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E4FCC" w14:textId="77777777" w:rsidR="00042292" w:rsidRPr="00575CB8" w:rsidRDefault="00042292" w:rsidP="00042292">
      <w:pPr>
        <w:rPr>
          <w:lang w:val="en-US"/>
        </w:rPr>
      </w:pPr>
    </w:p>
    <w:p w14:paraId="2308362E" w14:textId="77777777" w:rsidR="00042292" w:rsidRDefault="00042292" w:rsidP="00042292"/>
    <w:p w14:paraId="0D1339DD" w14:textId="77777777" w:rsidR="00042292" w:rsidRDefault="00042292" w:rsidP="00042292"/>
    <w:p w14:paraId="359F7AC6" w14:textId="77777777" w:rsidR="00042292" w:rsidRDefault="00042292" w:rsidP="00042292"/>
    <w:p w14:paraId="4235CD34" w14:textId="77777777" w:rsidR="00042292" w:rsidRDefault="00042292" w:rsidP="00042292"/>
    <w:p w14:paraId="250E247A" w14:textId="77777777" w:rsidR="00042292" w:rsidRDefault="00042292" w:rsidP="00042292"/>
    <w:p w14:paraId="2A9A14F8" w14:textId="2ED994C3" w:rsidR="00042292" w:rsidRDefault="00042292" w:rsidP="00042292"/>
    <w:p w14:paraId="6C2CDB79" w14:textId="52C4D437" w:rsidR="00CB7FAE" w:rsidRDefault="00CB7FAE" w:rsidP="00042292"/>
    <w:p w14:paraId="640E2269" w14:textId="77777777" w:rsidR="00CB7FAE" w:rsidRDefault="00CB7FAE" w:rsidP="00042292"/>
    <w:p w14:paraId="74232DDB" w14:textId="77777777" w:rsidR="00042292" w:rsidRDefault="00042292" w:rsidP="00042292"/>
    <w:p w14:paraId="04A31A81" w14:textId="77777777" w:rsidR="00042292" w:rsidRDefault="00042292" w:rsidP="00042292"/>
    <w:tbl>
      <w:tblPr>
        <w:tblW w:w="10089" w:type="dxa"/>
        <w:tblLook w:val="01E0" w:firstRow="1" w:lastRow="1" w:firstColumn="1" w:lastColumn="1" w:noHBand="0" w:noVBand="0"/>
      </w:tblPr>
      <w:tblGrid>
        <w:gridCol w:w="10089"/>
      </w:tblGrid>
      <w:tr w:rsidR="00042292" w:rsidRPr="00ED4181" w14:paraId="79E0CC9D" w14:textId="77777777" w:rsidTr="00A07AEB">
        <w:tc>
          <w:tcPr>
            <w:tcW w:w="10089" w:type="dxa"/>
          </w:tcPr>
          <w:p w14:paraId="003C88BB"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2D561473" w14:textId="4FF163E7" w:rsidR="00042292" w:rsidRPr="00A07AEB" w:rsidRDefault="00042292" w:rsidP="0021735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936916" w:rsidRPr="00936916">
              <w:rPr>
                <w:rFonts w:ascii="Tahoma" w:hAnsi="Tahoma" w:cs="Tahoma"/>
                <w:b/>
                <w:bCs/>
                <w:iCs/>
                <w:color w:val="243285"/>
                <w:sz w:val="36"/>
                <w:szCs w:val="36"/>
                <w:lang w:val="es-ES"/>
              </w:rPr>
              <w:t>1904-1</w:t>
            </w:r>
          </w:p>
          <w:p w14:paraId="5A5B4131" w14:textId="4593BEF2"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936916" w:rsidRPr="00936916">
              <w:rPr>
                <w:rFonts w:ascii="Tahoma" w:hAnsi="Tahoma" w:cs="Tahoma"/>
                <w:b/>
                <w:bCs/>
                <w:iCs/>
                <w:color w:val="243285"/>
                <w:szCs w:val="24"/>
                <w:lang w:val="es-ES"/>
              </w:rPr>
              <w:t>09/2019</w:t>
            </w:r>
            <w:r w:rsidRPr="00A07AEB">
              <w:rPr>
                <w:rFonts w:ascii="Tahoma" w:hAnsi="Tahoma" w:cs="Tahoma"/>
                <w:b/>
                <w:bCs/>
                <w:iCs/>
                <w:color w:val="243285"/>
                <w:szCs w:val="24"/>
                <w:lang w:val="es-ES_tradnl"/>
              </w:rPr>
              <w:t>)</w:t>
            </w:r>
          </w:p>
        </w:tc>
      </w:tr>
      <w:tr w:rsidR="00042292" w:rsidRPr="0021735B" w14:paraId="4236F490" w14:textId="77777777" w:rsidTr="00A07AEB">
        <w:tc>
          <w:tcPr>
            <w:tcW w:w="10089" w:type="dxa"/>
          </w:tcPr>
          <w:p w14:paraId="40169EBE"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55D0B184" w14:textId="526D507F" w:rsidR="00042292" w:rsidRPr="00A07AEB" w:rsidRDefault="00936916" w:rsidP="00CB7FAE">
            <w:pPr>
              <w:spacing w:before="80" w:line="500" w:lineRule="exact"/>
              <w:jc w:val="right"/>
              <w:rPr>
                <w:rFonts w:ascii="Tahoma" w:hAnsi="Tahoma" w:cs="Tahoma"/>
                <w:b/>
                <w:bCs/>
                <w:iCs/>
                <w:color w:val="243285"/>
                <w:sz w:val="44"/>
                <w:szCs w:val="44"/>
                <w:lang w:val="es-ES_tradnl"/>
              </w:rPr>
            </w:pPr>
            <w:r w:rsidRPr="00936916">
              <w:rPr>
                <w:rFonts w:ascii="Tahoma" w:hAnsi="Tahoma" w:cs="Tahoma"/>
                <w:b/>
                <w:bCs/>
                <w:color w:val="243285"/>
                <w:sz w:val="44"/>
                <w:szCs w:val="44"/>
                <w:lang w:val="es-ES"/>
              </w:rPr>
              <w:t xml:space="preserve">Características, requisitos de calidad de funcionamiento y criterios de protección </w:t>
            </w:r>
            <w:r w:rsidRPr="00936916">
              <w:rPr>
                <w:rFonts w:ascii="Tahoma" w:hAnsi="Tahoma" w:cs="Tahoma"/>
                <w:b/>
                <w:bCs/>
                <w:color w:val="243285"/>
                <w:sz w:val="44"/>
                <w:szCs w:val="44"/>
                <w:lang w:val="es-ES"/>
              </w:rPr>
              <w:br/>
              <w:t xml:space="preserve">de las estaciones receptoras del servicio </w:t>
            </w:r>
            <w:r w:rsidRPr="00936916">
              <w:rPr>
                <w:rFonts w:ascii="Tahoma" w:hAnsi="Tahoma" w:cs="Tahoma"/>
                <w:b/>
                <w:bCs/>
                <w:color w:val="243285"/>
                <w:sz w:val="44"/>
                <w:szCs w:val="44"/>
                <w:lang w:val="es-ES"/>
              </w:rPr>
              <w:br/>
              <w:t>de radionavegación por satélite (espacio</w:t>
            </w:r>
            <w:r w:rsidRPr="00936916">
              <w:rPr>
                <w:rFonts w:ascii="Tahoma" w:hAnsi="Tahoma" w:cs="Tahoma"/>
                <w:b/>
                <w:bCs/>
                <w:color w:val="243285"/>
                <w:sz w:val="44"/>
                <w:szCs w:val="44"/>
                <w:lang w:val="es-ES"/>
              </w:rPr>
              <w:noBreakHyphen/>
              <w:t>espacio) que funcionan en las bandas de frecuencias 1 164</w:t>
            </w:r>
            <w:r w:rsidRPr="00936916">
              <w:rPr>
                <w:rFonts w:ascii="Tahoma" w:hAnsi="Tahoma" w:cs="Tahoma"/>
                <w:b/>
                <w:bCs/>
                <w:color w:val="243285"/>
                <w:sz w:val="44"/>
                <w:szCs w:val="44"/>
                <w:lang w:val="es-ES"/>
              </w:rPr>
              <w:noBreakHyphen/>
              <w:t>1 215 MHz, 1 215</w:t>
            </w:r>
            <w:r w:rsidRPr="00936916">
              <w:rPr>
                <w:rFonts w:ascii="Tahoma" w:hAnsi="Tahoma" w:cs="Tahoma"/>
                <w:b/>
                <w:bCs/>
                <w:color w:val="243285"/>
                <w:sz w:val="44"/>
                <w:szCs w:val="44"/>
                <w:lang w:val="es-ES"/>
              </w:rPr>
              <w:noBreakHyphen/>
              <w:t>1 300 MHz y 1 559</w:t>
            </w:r>
            <w:r w:rsidRPr="00936916">
              <w:rPr>
                <w:rFonts w:ascii="Tahoma" w:hAnsi="Tahoma" w:cs="Tahoma"/>
                <w:b/>
                <w:bCs/>
                <w:color w:val="243285"/>
                <w:sz w:val="44"/>
                <w:szCs w:val="44"/>
                <w:lang w:val="es-ES"/>
              </w:rPr>
              <w:noBreakHyphen/>
              <w:t>1 610 MHz</w:t>
            </w:r>
          </w:p>
        </w:tc>
      </w:tr>
      <w:tr w:rsidR="00042292" w:rsidRPr="00ED4181" w14:paraId="630812A6" w14:textId="77777777" w:rsidTr="00A07AEB">
        <w:tc>
          <w:tcPr>
            <w:tcW w:w="10089" w:type="dxa"/>
          </w:tcPr>
          <w:p w14:paraId="515114EC"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4728E673"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071DA5DE"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1770F231"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47C043C5" w14:textId="77777777" w:rsidR="00042292" w:rsidRPr="0026666F" w:rsidRDefault="00042292" w:rsidP="00042292">
      <w:pPr>
        <w:spacing w:before="80"/>
        <w:rPr>
          <w:i/>
          <w:sz w:val="22"/>
          <w:lang w:val="es-ES_tradnl"/>
        </w:rPr>
      </w:pPr>
    </w:p>
    <w:p w14:paraId="35F4B1C3" w14:textId="77777777" w:rsidR="00042292" w:rsidRPr="0026666F" w:rsidRDefault="00042292" w:rsidP="00042292">
      <w:pPr>
        <w:spacing w:before="80"/>
        <w:rPr>
          <w:i/>
          <w:sz w:val="22"/>
          <w:lang w:val="es-ES_tradnl"/>
        </w:rPr>
      </w:pPr>
    </w:p>
    <w:p w14:paraId="07544D7A" w14:textId="77777777" w:rsidR="00042292" w:rsidRPr="0026666F" w:rsidRDefault="00042292" w:rsidP="00042292">
      <w:pPr>
        <w:spacing w:before="80"/>
        <w:rPr>
          <w:i/>
          <w:sz w:val="22"/>
          <w:lang w:val="es-ES_tradnl"/>
        </w:rPr>
      </w:pPr>
    </w:p>
    <w:p w14:paraId="482CE74F"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14:paraId="7DB29F0E"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488CE8BA"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0C8FF29"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9F1AEB3"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7C7C498"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5CDE491" w14:textId="77777777" w:rsidR="00042292" w:rsidRPr="007C36CA" w:rsidRDefault="00042292" w:rsidP="00042292">
      <w:pPr>
        <w:spacing w:before="0"/>
        <w:jc w:val="center"/>
        <w:rPr>
          <w:sz w:val="22"/>
          <w:lang w:val="es-ES_tradnl"/>
        </w:rPr>
      </w:pPr>
    </w:p>
    <w:p w14:paraId="76C67759"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D4181" w14:paraId="79CFB816" w14:textId="77777777" w:rsidTr="00CB1354">
        <w:tc>
          <w:tcPr>
            <w:tcW w:w="9360" w:type="dxa"/>
            <w:gridSpan w:val="2"/>
          </w:tcPr>
          <w:p w14:paraId="36DD8818"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BBAD6CF"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77C915DD" w14:textId="77777777" w:rsidTr="00CB1354">
        <w:tc>
          <w:tcPr>
            <w:tcW w:w="1140" w:type="dxa"/>
          </w:tcPr>
          <w:p w14:paraId="30D60B9F"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1E888E55"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65CA2D4B" w14:textId="77777777" w:rsidTr="00CB1354">
        <w:tc>
          <w:tcPr>
            <w:tcW w:w="1140" w:type="dxa"/>
          </w:tcPr>
          <w:p w14:paraId="7858A7F5"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7C3058C3"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ED4181" w14:paraId="02E08892" w14:textId="77777777" w:rsidTr="00CB1354">
        <w:tc>
          <w:tcPr>
            <w:tcW w:w="1140" w:type="dxa"/>
          </w:tcPr>
          <w:p w14:paraId="18388B36"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4C415ED9"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617A9481" w14:textId="77777777" w:rsidTr="00CB1354">
        <w:tc>
          <w:tcPr>
            <w:tcW w:w="1140" w:type="dxa"/>
          </w:tcPr>
          <w:p w14:paraId="7AE4056E"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18B1363E"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14:paraId="51A2F353" w14:textId="77777777" w:rsidTr="00CB1354">
        <w:tc>
          <w:tcPr>
            <w:tcW w:w="1140" w:type="dxa"/>
            <w:shd w:val="clear" w:color="auto" w:fill="auto"/>
          </w:tcPr>
          <w:p w14:paraId="36A00A9B"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34C3ABCF"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14:paraId="477134F3" w14:textId="77777777" w:rsidTr="00CB1354">
        <w:tc>
          <w:tcPr>
            <w:tcW w:w="1140" w:type="dxa"/>
            <w:shd w:val="clear" w:color="auto" w:fill="auto"/>
          </w:tcPr>
          <w:p w14:paraId="735D89CC"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667C3E5C"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ED4181" w14:paraId="4C59418A" w14:textId="77777777" w:rsidTr="00CB1354">
        <w:tc>
          <w:tcPr>
            <w:tcW w:w="1140" w:type="dxa"/>
            <w:shd w:val="clear" w:color="auto" w:fill="F3F3F3"/>
          </w:tcPr>
          <w:p w14:paraId="5D092CD6"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4409F06C"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ED4181" w14:paraId="6BDA97E2" w14:textId="77777777" w:rsidTr="00CB1354">
        <w:tc>
          <w:tcPr>
            <w:tcW w:w="1140" w:type="dxa"/>
          </w:tcPr>
          <w:p w14:paraId="173430F7"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48472170"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3DF0DC8E" w14:textId="77777777" w:rsidTr="00CB1354">
        <w:tc>
          <w:tcPr>
            <w:tcW w:w="1140" w:type="dxa"/>
          </w:tcPr>
          <w:p w14:paraId="3C019CE8"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24ED4806"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ED4181" w14:paraId="40A8BCAD" w14:textId="77777777" w:rsidTr="00CB1354">
        <w:tc>
          <w:tcPr>
            <w:tcW w:w="1140" w:type="dxa"/>
          </w:tcPr>
          <w:p w14:paraId="5C4A0D46"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1FEC2088"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6C0FE919" w14:textId="77777777" w:rsidTr="00CB1354">
        <w:tc>
          <w:tcPr>
            <w:tcW w:w="1140" w:type="dxa"/>
          </w:tcPr>
          <w:p w14:paraId="245B0653"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530E70F3" w14:textId="77777777"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14:paraId="211F4241" w14:textId="77777777" w:rsidTr="00CB1354">
        <w:tc>
          <w:tcPr>
            <w:tcW w:w="1140" w:type="dxa"/>
          </w:tcPr>
          <w:p w14:paraId="396E6795"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5B889093" w14:textId="77777777"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ED4181" w14:paraId="4506BFD7" w14:textId="77777777" w:rsidTr="00CB1354">
        <w:tc>
          <w:tcPr>
            <w:tcW w:w="1140" w:type="dxa"/>
          </w:tcPr>
          <w:p w14:paraId="473D6BD7"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1A5EE1BD"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607D9A5C" w14:textId="77777777" w:rsidTr="00CB1354">
        <w:tc>
          <w:tcPr>
            <w:tcW w:w="1140" w:type="dxa"/>
            <w:shd w:val="clear" w:color="auto" w:fill="auto"/>
          </w:tcPr>
          <w:p w14:paraId="2EFA6D14"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5837672A" w14:textId="77777777" w:rsidR="00042292" w:rsidRPr="001240BC" w:rsidRDefault="00042292" w:rsidP="00CB1354">
            <w:pPr>
              <w:spacing w:before="30" w:after="30"/>
              <w:jc w:val="left"/>
              <w:rPr>
                <w:sz w:val="20"/>
                <w:lang w:val="en-US"/>
              </w:rPr>
            </w:pPr>
            <w:r w:rsidRPr="001240BC">
              <w:rPr>
                <w:sz w:val="20"/>
              </w:rPr>
              <w:t>Gestión del espectro</w:t>
            </w:r>
          </w:p>
        </w:tc>
      </w:tr>
      <w:tr w:rsidR="00042292" w:rsidRPr="00036EE3" w14:paraId="05A67FDF" w14:textId="77777777" w:rsidTr="00CB1354">
        <w:tc>
          <w:tcPr>
            <w:tcW w:w="1140" w:type="dxa"/>
          </w:tcPr>
          <w:p w14:paraId="4D97AF09"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4F22D086" w14:textId="77777777"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ED4181" w14:paraId="44423FD9" w14:textId="77777777" w:rsidTr="00CB1354">
        <w:tc>
          <w:tcPr>
            <w:tcW w:w="1140" w:type="dxa"/>
          </w:tcPr>
          <w:p w14:paraId="5F8443A9"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70248654"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3AFCC9CC" w14:textId="77777777" w:rsidTr="00CB1354">
        <w:tc>
          <w:tcPr>
            <w:tcW w:w="1140" w:type="dxa"/>
          </w:tcPr>
          <w:p w14:paraId="3C984112"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38053631"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0ED66257"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5240F9FD" w14:textId="77777777" w:rsidTr="00CB1354">
        <w:tc>
          <w:tcPr>
            <w:tcW w:w="720" w:type="dxa"/>
          </w:tcPr>
          <w:p w14:paraId="5187652B"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D4181" w14:paraId="58343D21" w14:textId="77777777" w:rsidTr="00A07AEB">
        <w:tc>
          <w:tcPr>
            <w:tcW w:w="9360" w:type="dxa"/>
          </w:tcPr>
          <w:p w14:paraId="21C330CF"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671A0336" w14:textId="77777777" w:rsidR="00042292" w:rsidRPr="00763D08" w:rsidRDefault="00042292" w:rsidP="00042292">
      <w:pPr>
        <w:spacing w:before="0"/>
        <w:jc w:val="center"/>
        <w:rPr>
          <w:sz w:val="22"/>
          <w:lang w:val="es-ES_tradnl"/>
        </w:rPr>
      </w:pPr>
    </w:p>
    <w:p w14:paraId="6BFA21DB"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75F1B655"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54ECCABF" w14:textId="77777777" w:rsidR="00042292" w:rsidRPr="00763D08" w:rsidRDefault="00042292" w:rsidP="00042292">
      <w:pPr>
        <w:spacing w:before="0"/>
        <w:jc w:val="center"/>
        <w:rPr>
          <w:sz w:val="22"/>
          <w:lang w:val="es-ES_tradnl"/>
        </w:rPr>
      </w:pPr>
    </w:p>
    <w:p w14:paraId="1B2AE292"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AD7FAD">
        <w:rPr>
          <w:sz w:val="20"/>
          <w:lang w:val="es-ES_tradnl"/>
        </w:rPr>
        <w:t>20</w:t>
      </w:r>
    </w:p>
    <w:p w14:paraId="5742C511"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78F08B3" w14:textId="77777777"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054D879C" w14:textId="19CEA8F5" w:rsidR="00574749" w:rsidRPr="0010336F" w:rsidRDefault="00574749" w:rsidP="0021735B">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936916">
        <w:rPr>
          <w:rStyle w:val="href"/>
          <w:lang w:val="es-ES_tradnl"/>
        </w:rPr>
        <w:t>1904-1</w:t>
      </w:r>
    </w:p>
    <w:p w14:paraId="1817FF8D" w14:textId="77777777" w:rsidR="00936916" w:rsidRPr="00493C95" w:rsidRDefault="00936916" w:rsidP="00936916">
      <w:pPr>
        <w:pStyle w:val="Rectitle"/>
        <w:rPr>
          <w:lang w:val="es-ES"/>
        </w:rPr>
      </w:pPr>
      <w:r w:rsidRPr="00493C95">
        <w:rPr>
          <w:lang w:val="es-ES"/>
        </w:rPr>
        <w:t>Características, requisitos de calidad de funcionamiento y criterios</w:t>
      </w:r>
      <w:r w:rsidRPr="00493C95">
        <w:rPr>
          <w:lang w:val="es-ES"/>
        </w:rPr>
        <w:br/>
        <w:t>de protección de las estaciones receptoras del servicio</w:t>
      </w:r>
      <w:r w:rsidRPr="00493C95">
        <w:rPr>
          <w:lang w:val="es-ES"/>
        </w:rPr>
        <w:br/>
        <w:t>de radionavegación por satélite (espacio-espacio)</w:t>
      </w:r>
      <w:r w:rsidRPr="00493C95">
        <w:rPr>
          <w:lang w:val="es-ES"/>
        </w:rPr>
        <w:br/>
        <w:t>que funcionan en las bandas de frecuencias</w:t>
      </w:r>
      <w:r w:rsidRPr="00493C95">
        <w:rPr>
          <w:lang w:val="es-ES"/>
        </w:rPr>
        <w:br/>
        <w:t>1 164</w:t>
      </w:r>
      <w:r w:rsidRPr="00493C95">
        <w:rPr>
          <w:lang w:val="es-ES"/>
        </w:rPr>
        <w:noBreakHyphen/>
        <w:t>1 215 MHz, 1 215</w:t>
      </w:r>
      <w:r w:rsidRPr="00493C95">
        <w:rPr>
          <w:lang w:val="es-ES"/>
        </w:rPr>
        <w:noBreakHyphen/>
        <w:t>1 300 MHz</w:t>
      </w:r>
      <w:r w:rsidRPr="00493C95">
        <w:rPr>
          <w:lang w:val="es-ES"/>
        </w:rPr>
        <w:br/>
        <w:t>y 1 559</w:t>
      </w:r>
      <w:r w:rsidRPr="00493C95">
        <w:rPr>
          <w:lang w:val="es-ES"/>
        </w:rPr>
        <w:noBreakHyphen/>
        <w:t>1 610 MHz</w:t>
      </w:r>
    </w:p>
    <w:p w14:paraId="6BB38BA1" w14:textId="77777777" w:rsidR="00936916" w:rsidRPr="00493C95" w:rsidRDefault="00936916" w:rsidP="00936916">
      <w:pPr>
        <w:pStyle w:val="Recref"/>
        <w:rPr>
          <w:lang w:val="es-ES"/>
        </w:rPr>
      </w:pPr>
      <w:r w:rsidRPr="00493C95">
        <w:rPr>
          <w:lang w:val="es-ES"/>
        </w:rPr>
        <w:t>(Cuestiones UIT</w:t>
      </w:r>
      <w:r w:rsidRPr="00493C95">
        <w:rPr>
          <w:lang w:val="es-ES"/>
        </w:rPr>
        <w:noBreakHyphen/>
        <w:t>R 217-2/4 y UIT</w:t>
      </w:r>
      <w:r w:rsidRPr="00493C95">
        <w:rPr>
          <w:lang w:val="es-ES"/>
        </w:rPr>
        <w:noBreakHyphen/>
        <w:t>R 288/4)</w:t>
      </w:r>
    </w:p>
    <w:p w14:paraId="62007D4C" w14:textId="77777777" w:rsidR="00936916" w:rsidRPr="00493C95" w:rsidRDefault="00936916" w:rsidP="00936916">
      <w:pPr>
        <w:pStyle w:val="Recdate"/>
        <w:rPr>
          <w:lang w:val="es-ES"/>
        </w:rPr>
      </w:pPr>
      <w:r w:rsidRPr="00493C95">
        <w:rPr>
          <w:lang w:val="es-ES"/>
        </w:rPr>
        <w:t>(2012-2019)</w:t>
      </w:r>
    </w:p>
    <w:p w14:paraId="47D3B655" w14:textId="77777777" w:rsidR="00936916" w:rsidRPr="00493C95" w:rsidRDefault="00936916" w:rsidP="00936916">
      <w:pPr>
        <w:pStyle w:val="HeadingSum"/>
        <w:rPr>
          <w:lang w:val="es-ES"/>
        </w:rPr>
      </w:pPr>
      <w:r w:rsidRPr="00493C95">
        <w:rPr>
          <w:lang w:val="es-ES"/>
        </w:rPr>
        <w:t>Cometido</w:t>
      </w:r>
    </w:p>
    <w:p w14:paraId="2006C009" w14:textId="77777777" w:rsidR="00936916" w:rsidRPr="00493C95" w:rsidRDefault="00936916" w:rsidP="007065EB">
      <w:pPr>
        <w:pStyle w:val="Summary"/>
      </w:pPr>
      <w:r w:rsidRPr="00493C95">
        <w:t xml:space="preserve">En este proyecto de nueva Recomendación figuran las características y los criterios de protección de los receptores a </w:t>
      </w:r>
      <w:r w:rsidRPr="007065EB">
        <w:t>bordo</w:t>
      </w:r>
      <w:r w:rsidRPr="00493C95">
        <w:t xml:space="preserve"> de vehículos espaciales del servicio de radionavegación por satélite (SRNS). Dicha información está destinada a analizar los efectos de la interferencia de radiofrecuencia en los receptores del SRNS (espacio-espacio) que funcionan en las bandas 1 164</w:t>
      </w:r>
      <w:r w:rsidRPr="00493C95">
        <w:noBreakHyphen/>
        <w:t>1 215 MHz, 1 215</w:t>
      </w:r>
      <w:r w:rsidRPr="00493C95">
        <w:noBreakHyphen/>
        <w:t>1 300 MHz y 1 559-1 610 MHz causada por emisiones de fuentes distintas del SRNS.</w:t>
      </w:r>
    </w:p>
    <w:p w14:paraId="3E01D4FD" w14:textId="77777777" w:rsidR="00936916" w:rsidRPr="00493C95" w:rsidRDefault="00936916" w:rsidP="007065EB">
      <w:pPr>
        <w:pStyle w:val="Headingb"/>
        <w:rPr>
          <w:lang w:val="es-ES"/>
        </w:rPr>
      </w:pPr>
      <w:r w:rsidRPr="007065EB">
        <w:t>Palabras</w:t>
      </w:r>
      <w:r>
        <w:rPr>
          <w:lang w:val="es-ES"/>
        </w:rPr>
        <w:t xml:space="preserve"> clave</w:t>
      </w:r>
    </w:p>
    <w:p w14:paraId="6754BED5" w14:textId="77777777" w:rsidR="00936916" w:rsidRPr="00493C95" w:rsidRDefault="00936916" w:rsidP="00936916">
      <w:pPr>
        <w:rPr>
          <w:lang w:val="es-ES"/>
        </w:rPr>
      </w:pPr>
      <w:r>
        <w:rPr>
          <w:lang w:val="es-ES"/>
        </w:rPr>
        <w:t>SRNS</w:t>
      </w:r>
      <w:r w:rsidRPr="00493C95">
        <w:rPr>
          <w:lang w:val="es-ES"/>
        </w:rPr>
        <w:t xml:space="preserve">, </w:t>
      </w:r>
      <w:r>
        <w:rPr>
          <w:lang w:val="es-ES"/>
        </w:rPr>
        <w:t>criterios de protección</w:t>
      </w:r>
      <w:r w:rsidRPr="00493C95">
        <w:rPr>
          <w:lang w:val="es-ES"/>
        </w:rPr>
        <w:t xml:space="preserve">, </w:t>
      </w:r>
      <w:r>
        <w:rPr>
          <w:lang w:val="es-ES"/>
        </w:rPr>
        <w:t>repercusión en términos de interferencia de radiofrecuencias</w:t>
      </w:r>
    </w:p>
    <w:p w14:paraId="3929D1D0" w14:textId="77777777" w:rsidR="00936916" w:rsidRPr="00493C95" w:rsidRDefault="00936916" w:rsidP="00936916">
      <w:pPr>
        <w:pStyle w:val="Headingb"/>
        <w:rPr>
          <w:lang w:val="es-ES"/>
        </w:rPr>
      </w:pPr>
      <w:r>
        <w:rPr>
          <w:lang w:val="es-ES"/>
        </w:rPr>
        <w:t>Abreviaturas</w:t>
      </w:r>
      <w:r w:rsidRPr="00493C95">
        <w:rPr>
          <w:lang w:val="es-ES"/>
        </w:rPr>
        <w:t>/Glos</w:t>
      </w:r>
      <w:r>
        <w:rPr>
          <w:lang w:val="es-ES"/>
        </w:rPr>
        <w:t>ario</w:t>
      </w:r>
    </w:p>
    <w:p w14:paraId="1462E9A3" w14:textId="77777777" w:rsidR="00936916" w:rsidRPr="00493C95" w:rsidRDefault="00936916" w:rsidP="00936916">
      <w:pPr>
        <w:tabs>
          <w:tab w:val="clear" w:pos="794"/>
          <w:tab w:val="left" w:pos="1134"/>
        </w:tabs>
        <w:rPr>
          <w:lang w:val="es-ES"/>
        </w:rPr>
      </w:pPr>
      <w:r w:rsidRPr="00493C95">
        <w:rPr>
          <w:lang w:val="es-ES"/>
        </w:rPr>
        <w:t>AWGN</w:t>
      </w:r>
      <w:r w:rsidRPr="00493C95">
        <w:rPr>
          <w:lang w:val="es-ES"/>
        </w:rPr>
        <w:tab/>
      </w:r>
      <w:r w:rsidRPr="00E108DC">
        <w:rPr>
          <w:lang w:val="es-ES"/>
        </w:rPr>
        <w:t xml:space="preserve">Ruido gaussiano blanco aditivo </w:t>
      </w:r>
      <w:r>
        <w:rPr>
          <w:lang w:val="es-ES"/>
        </w:rPr>
        <w:t>(</w:t>
      </w:r>
      <w:r w:rsidRPr="00493C95">
        <w:rPr>
          <w:i/>
          <w:iCs/>
          <w:lang w:val="es-ES"/>
        </w:rPr>
        <w:t xml:space="preserve">additive white </w:t>
      </w:r>
      <w:r w:rsidRPr="00E108DC">
        <w:rPr>
          <w:i/>
          <w:iCs/>
          <w:lang w:val="es-ES"/>
        </w:rPr>
        <w:t>g</w:t>
      </w:r>
      <w:r w:rsidRPr="00493C95">
        <w:rPr>
          <w:i/>
          <w:iCs/>
          <w:lang w:val="es-ES"/>
        </w:rPr>
        <w:t>aussian noise</w:t>
      </w:r>
      <w:r>
        <w:rPr>
          <w:lang w:val="es-ES"/>
        </w:rPr>
        <w:t>)</w:t>
      </w:r>
    </w:p>
    <w:p w14:paraId="31A9DA39" w14:textId="77777777" w:rsidR="00936916" w:rsidRPr="00493C95" w:rsidRDefault="00936916" w:rsidP="00936916">
      <w:pPr>
        <w:tabs>
          <w:tab w:val="clear" w:pos="794"/>
          <w:tab w:val="left" w:pos="1134"/>
        </w:tabs>
        <w:rPr>
          <w:lang w:val="es-ES"/>
        </w:rPr>
      </w:pPr>
      <w:r w:rsidRPr="00493C95">
        <w:rPr>
          <w:lang w:val="es-ES"/>
        </w:rPr>
        <w:t>PDC</w:t>
      </w:r>
      <w:r w:rsidRPr="00493C95">
        <w:rPr>
          <w:lang w:val="es-ES"/>
        </w:rPr>
        <w:tab/>
      </w:r>
      <w:r>
        <w:rPr>
          <w:lang w:val="es-ES"/>
        </w:rPr>
        <w:t>C</w:t>
      </w:r>
      <w:r w:rsidRPr="00E108DC">
        <w:rPr>
          <w:lang w:val="es-ES"/>
        </w:rPr>
        <w:t xml:space="preserve">iclo de trabajo impulsivo </w:t>
      </w:r>
      <w:r>
        <w:rPr>
          <w:lang w:val="es-ES"/>
        </w:rPr>
        <w:t>(</w:t>
      </w:r>
      <w:r w:rsidRPr="00493C95">
        <w:rPr>
          <w:i/>
          <w:iCs/>
          <w:lang w:val="es-ES"/>
        </w:rPr>
        <w:t>pulse duty cycle</w:t>
      </w:r>
      <w:r>
        <w:rPr>
          <w:lang w:val="es-ES"/>
        </w:rPr>
        <w:t>)</w:t>
      </w:r>
    </w:p>
    <w:p w14:paraId="5C258589" w14:textId="77777777" w:rsidR="00936916" w:rsidRPr="00493C95" w:rsidRDefault="00936916" w:rsidP="00936916">
      <w:pPr>
        <w:tabs>
          <w:tab w:val="clear" w:pos="794"/>
          <w:tab w:val="left" w:pos="1134"/>
        </w:tabs>
        <w:rPr>
          <w:lang w:val="es-ES"/>
        </w:rPr>
      </w:pPr>
      <w:r w:rsidRPr="00493C95">
        <w:rPr>
          <w:lang w:val="es-ES"/>
        </w:rPr>
        <w:t>PNT</w:t>
      </w:r>
      <w:r w:rsidRPr="00493C95">
        <w:rPr>
          <w:lang w:val="es-ES"/>
        </w:rPr>
        <w:tab/>
      </w:r>
      <w:r>
        <w:rPr>
          <w:lang w:val="es-ES"/>
        </w:rPr>
        <w:t>P</w:t>
      </w:r>
      <w:r w:rsidRPr="00E108DC">
        <w:rPr>
          <w:lang w:val="es-ES"/>
        </w:rPr>
        <w:t xml:space="preserve">osición, navegación y temporización </w:t>
      </w:r>
      <w:r>
        <w:rPr>
          <w:lang w:val="es-ES"/>
        </w:rPr>
        <w:t>(</w:t>
      </w:r>
      <w:r w:rsidRPr="00493C95">
        <w:rPr>
          <w:i/>
          <w:iCs/>
          <w:lang w:val="es-ES"/>
        </w:rPr>
        <w:t>position, navigation and timing</w:t>
      </w:r>
      <w:r>
        <w:rPr>
          <w:lang w:val="es-ES"/>
        </w:rPr>
        <w:t>)</w:t>
      </w:r>
    </w:p>
    <w:p w14:paraId="2680C7E4" w14:textId="77777777" w:rsidR="00936916" w:rsidRPr="00493C95" w:rsidRDefault="00936916" w:rsidP="00936916">
      <w:pPr>
        <w:tabs>
          <w:tab w:val="clear" w:pos="794"/>
          <w:tab w:val="left" w:pos="1134"/>
        </w:tabs>
        <w:rPr>
          <w:lang w:val="es-ES"/>
        </w:rPr>
      </w:pPr>
      <w:r w:rsidRPr="00493C95">
        <w:rPr>
          <w:lang w:val="es-ES"/>
        </w:rPr>
        <w:t>PRF</w:t>
      </w:r>
      <w:r w:rsidRPr="00493C95">
        <w:rPr>
          <w:lang w:val="es-ES"/>
        </w:rPr>
        <w:tab/>
      </w:r>
      <w:r>
        <w:rPr>
          <w:lang w:val="es-ES"/>
        </w:rPr>
        <w:t>F</w:t>
      </w:r>
      <w:r w:rsidRPr="00E108DC">
        <w:rPr>
          <w:lang w:val="es-ES"/>
        </w:rPr>
        <w:t xml:space="preserve">recuencia de repetición de impulsos </w:t>
      </w:r>
      <w:r>
        <w:rPr>
          <w:lang w:val="es-ES"/>
        </w:rPr>
        <w:t>(</w:t>
      </w:r>
      <w:r w:rsidRPr="00493C95">
        <w:rPr>
          <w:i/>
          <w:iCs/>
          <w:lang w:val="es-ES"/>
        </w:rPr>
        <w:t>pulse repetition frequency</w:t>
      </w:r>
      <w:r>
        <w:rPr>
          <w:lang w:val="es-ES"/>
        </w:rPr>
        <w:t>)</w:t>
      </w:r>
    </w:p>
    <w:p w14:paraId="3581379E" w14:textId="77777777" w:rsidR="00936916" w:rsidRPr="00493C95" w:rsidRDefault="00936916" w:rsidP="00936916">
      <w:pPr>
        <w:tabs>
          <w:tab w:val="clear" w:pos="794"/>
          <w:tab w:val="left" w:pos="1134"/>
        </w:tabs>
        <w:rPr>
          <w:lang w:val="es-ES"/>
        </w:rPr>
      </w:pPr>
      <w:r w:rsidRPr="00493C95">
        <w:rPr>
          <w:lang w:val="es-ES"/>
        </w:rPr>
        <w:t>RHCP</w:t>
      </w:r>
      <w:r w:rsidRPr="00493C95">
        <w:rPr>
          <w:lang w:val="es-ES"/>
        </w:rPr>
        <w:tab/>
      </w:r>
      <w:r>
        <w:rPr>
          <w:lang w:val="es-ES"/>
        </w:rPr>
        <w:t>P</w:t>
      </w:r>
      <w:r w:rsidRPr="00E108DC">
        <w:rPr>
          <w:lang w:val="es-ES"/>
        </w:rPr>
        <w:t xml:space="preserve">olarización circular dextrógira </w:t>
      </w:r>
      <w:r>
        <w:rPr>
          <w:lang w:val="es-ES"/>
        </w:rPr>
        <w:t>(</w:t>
      </w:r>
      <w:r w:rsidRPr="00493C95">
        <w:rPr>
          <w:i/>
          <w:iCs/>
          <w:lang w:val="es-ES"/>
        </w:rPr>
        <w:t>right-hand circular polarization</w:t>
      </w:r>
      <w:r>
        <w:rPr>
          <w:lang w:val="es-ES"/>
        </w:rPr>
        <w:t>)</w:t>
      </w:r>
    </w:p>
    <w:p w14:paraId="393F6E4F" w14:textId="77777777" w:rsidR="00936916" w:rsidRPr="00493C95" w:rsidRDefault="00936916" w:rsidP="00936916">
      <w:pPr>
        <w:tabs>
          <w:tab w:val="clear" w:pos="794"/>
          <w:tab w:val="left" w:pos="1134"/>
        </w:tabs>
        <w:ind w:left="1134" w:hanging="1134"/>
        <w:rPr>
          <w:lang w:val="es-ES"/>
        </w:rPr>
      </w:pPr>
      <w:r w:rsidRPr="00493C95">
        <w:rPr>
          <w:lang w:val="es-ES"/>
        </w:rPr>
        <w:t>SQPN</w:t>
      </w:r>
      <w:r w:rsidRPr="00493C95">
        <w:rPr>
          <w:lang w:val="es-ES"/>
        </w:rPr>
        <w:tab/>
      </w:r>
      <w:r>
        <w:rPr>
          <w:lang w:val="es-ES"/>
        </w:rPr>
        <w:t>R</w:t>
      </w:r>
      <w:r w:rsidRPr="00E108DC">
        <w:rPr>
          <w:lang w:val="es-ES"/>
        </w:rPr>
        <w:t xml:space="preserve">uido seudoaleatorio escalonado en cuadratura </w:t>
      </w:r>
      <w:r>
        <w:rPr>
          <w:lang w:val="es-ES"/>
        </w:rPr>
        <w:t>(</w:t>
      </w:r>
      <w:r w:rsidRPr="00493C95">
        <w:rPr>
          <w:i/>
          <w:iCs/>
          <w:lang w:val="es-ES"/>
        </w:rPr>
        <w:t>staggered quadrature pseudo-random noise</w:t>
      </w:r>
      <w:r>
        <w:rPr>
          <w:lang w:val="es-ES"/>
        </w:rPr>
        <w:t>)</w:t>
      </w:r>
    </w:p>
    <w:p w14:paraId="5177923B" w14:textId="77777777" w:rsidR="00936916" w:rsidRPr="00493C95" w:rsidRDefault="00936916" w:rsidP="00936916">
      <w:pPr>
        <w:tabs>
          <w:tab w:val="clear" w:pos="794"/>
          <w:tab w:val="left" w:pos="1134"/>
        </w:tabs>
        <w:ind w:left="1134" w:hanging="1134"/>
        <w:rPr>
          <w:lang w:val="es-ES"/>
        </w:rPr>
      </w:pPr>
      <w:r w:rsidRPr="00493C95">
        <w:rPr>
          <w:lang w:val="es-ES"/>
        </w:rPr>
        <w:t>SQPSK</w:t>
      </w:r>
      <w:r w:rsidRPr="00493C95">
        <w:rPr>
          <w:lang w:val="es-ES"/>
        </w:rPr>
        <w:tab/>
      </w:r>
      <w:r>
        <w:rPr>
          <w:lang w:val="es-ES"/>
        </w:rPr>
        <w:t>M</w:t>
      </w:r>
      <w:r w:rsidRPr="007677D8">
        <w:rPr>
          <w:lang w:val="es-ES"/>
        </w:rPr>
        <w:t xml:space="preserve">odulación por desplazamiento alternado de fase en cuadratura </w:t>
      </w:r>
      <w:r>
        <w:rPr>
          <w:lang w:val="es-ES"/>
        </w:rPr>
        <w:t>(</w:t>
      </w:r>
      <w:r w:rsidRPr="00493C95">
        <w:rPr>
          <w:i/>
          <w:iCs/>
          <w:lang w:val="es-ES"/>
        </w:rPr>
        <w:t>staggered quadrature phase-shift keying</w:t>
      </w:r>
      <w:r>
        <w:rPr>
          <w:lang w:val="es-ES"/>
        </w:rPr>
        <w:t>)</w:t>
      </w:r>
    </w:p>
    <w:p w14:paraId="7331D0D9" w14:textId="77777777" w:rsidR="00936916" w:rsidRPr="00493C95" w:rsidRDefault="00936916" w:rsidP="00936916">
      <w:pPr>
        <w:tabs>
          <w:tab w:val="clear" w:pos="794"/>
          <w:tab w:val="left" w:pos="1134"/>
        </w:tabs>
        <w:rPr>
          <w:lang w:val="es-ES"/>
        </w:rPr>
      </w:pPr>
      <w:r w:rsidRPr="00493C95">
        <w:rPr>
          <w:lang w:val="es-ES"/>
        </w:rPr>
        <w:t>SSC</w:t>
      </w:r>
      <w:r w:rsidRPr="00493C95">
        <w:rPr>
          <w:lang w:val="es-ES"/>
        </w:rPr>
        <w:tab/>
      </w:r>
      <w:r>
        <w:rPr>
          <w:lang w:val="es-ES"/>
        </w:rPr>
        <w:t>C</w:t>
      </w:r>
      <w:r w:rsidRPr="007677D8">
        <w:rPr>
          <w:lang w:val="es-ES"/>
        </w:rPr>
        <w:t xml:space="preserve">oeficiente de separación espectral </w:t>
      </w:r>
      <w:r>
        <w:rPr>
          <w:lang w:val="es-ES"/>
        </w:rPr>
        <w:t>(</w:t>
      </w:r>
      <w:r w:rsidRPr="004702A1">
        <w:rPr>
          <w:i/>
          <w:iCs/>
          <w:lang w:val="es-ES"/>
        </w:rPr>
        <w:t>s</w:t>
      </w:r>
      <w:r w:rsidRPr="00493C95">
        <w:rPr>
          <w:i/>
          <w:iCs/>
          <w:lang w:val="es-ES"/>
        </w:rPr>
        <w:t>pectral separation coefficient</w:t>
      </w:r>
      <w:r>
        <w:rPr>
          <w:lang w:val="es-ES"/>
        </w:rPr>
        <w:t>)</w:t>
      </w:r>
    </w:p>
    <w:p w14:paraId="592618DB" w14:textId="77777777" w:rsidR="00936916" w:rsidRPr="00493C95" w:rsidRDefault="00936916" w:rsidP="00936916">
      <w:pPr>
        <w:pStyle w:val="Headingb"/>
        <w:rPr>
          <w:lang w:val="es-ES"/>
        </w:rPr>
      </w:pPr>
      <w:r w:rsidRPr="007677D8">
        <w:rPr>
          <w:lang w:val="es-ES"/>
        </w:rPr>
        <w:t>Recomendaciones e Informes de la UIT conexos</w:t>
      </w:r>
    </w:p>
    <w:p w14:paraId="2594657F" w14:textId="77777777" w:rsidR="00936916" w:rsidRPr="007065EB" w:rsidRDefault="00936916" w:rsidP="007065EB">
      <w:pPr>
        <w:pStyle w:val="Reftext"/>
        <w:tabs>
          <w:tab w:val="left" w:pos="3402"/>
        </w:tabs>
      </w:pPr>
      <w:r w:rsidRPr="007065EB">
        <w:t>Recomendación UIT-R M.1318-1</w:t>
      </w:r>
      <w:r w:rsidRPr="007065EB">
        <w:tab/>
        <w:t>Modelo de evaluación de interferencias continuas causadas por otras fuentes radioeléctricas distintas a las del servicio de radionavegación por satélite a los sistemas y redes del servicio de radionavegación por satélite en las bandas 1 164-1 215 MHz, 1 215</w:t>
      </w:r>
      <w:r w:rsidRPr="007065EB">
        <w:noBreakHyphen/>
        <w:t>1 300 MHz, 1 559</w:t>
      </w:r>
      <w:r w:rsidRPr="007065EB">
        <w:noBreakHyphen/>
        <w:t>1 610 MHz y 5 010-5 030 MHz.</w:t>
      </w:r>
    </w:p>
    <w:p w14:paraId="49068E1B" w14:textId="77777777" w:rsidR="00936916" w:rsidRPr="007065EB" w:rsidRDefault="00936916" w:rsidP="007065EB">
      <w:pPr>
        <w:pStyle w:val="Reftext"/>
        <w:tabs>
          <w:tab w:val="left" w:pos="3402"/>
        </w:tabs>
      </w:pPr>
      <w:r w:rsidRPr="007065EB">
        <w:t>Recomendación UIT-R M.1787-3</w:t>
      </w:r>
      <w:r w:rsidRPr="007065EB">
        <w:tab/>
        <w:t>Descripción de sistemas y redes del servicio de radionavegación por satélite (espacio-Tierra y espacio-espacio) y características técnicas de estaciones espaciales transmisoras que funcionan en las bandas 1 164-1 215 MHz, 1 215-1 300 MHz y 1 559-1 610 MHz</w:t>
      </w:r>
      <w:r w:rsidRPr="007065EB">
        <w:rPr>
          <w:rFonts w:eastAsia="SimSun"/>
        </w:rPr>
        <w:t>.</w:t>
      </w:r>
    </w:p>
    <w:p w14:paraId="1B867AE7" w14:textId="180A46EA" w:rsidR="00936916" w:rsidRPr="007065EB" w:rsidRDefault="00936916" w:rsidP="007065EB">
      <w:pPr>
        <w:pStyle w:val="Reftext"/>
        <w:tabs>
          <w:tab w:val="left" w:pos="3402"/>
        </w:tabs>
      </w:pPr>
      <w:r w:rsidRPr="007065EB">
        <w:t>Recomendación UIT-R M.1901-</w:t>
      </w:r>
      <w:r w:rsidR="00570376">
        <w:t>2</w:t>
      </w:r>
      <w:r w:rsidRPr="007065EB">
        <w:tab/>
        <w:t>Directrices sobre Recomendaciones del UIT-R relativas a sistemas y redes del servicio de radionavegación por satélite que funcionan en las bandas de frecuencias 1 164</w:t>
      </w:r>
      <w:r w:rsidR="00A44198">
        <w:noBreakHyphen/>
      </w:r>
      <w:r w:rsidRPr="007065EB">
        <w:t>1 215 MHz, 1 215-1 300 MHz, 1 559-1 610 MHz, 5 000-5 010 MHz y 5 010-5 030 MHz.</w:t>
      </w:r>
    </w:p>
    <w:p w14:paraId="1125A246" w14:textId="45FA98D8" w:rsidR="00936916" w:rsidRPr="007065EB" w:rsidRDefault="00936916" w:rsidP="007065EB">
      <w:pPr>
        <w:pStyle w:val="Reftext"/>
        <w:tabs>
          <w:tab w:val="left" w:pos="3402"/>
        </w:tabs>
      </w:pPr>
      <w:r w:rsidRPr="007065EB">
        <w:t>Recomendación UIT-R M.1902-</w:t>
      </w:r>
      <w:r w:rsidR="00570376">
        <w:t>1</w:t>
      </w:r>
      <w:r w:rsidRPr="007065EB">
        <w:tab/>
        <w:t>Características y criterios de protección de las estaciones terrenas receptoras del servicio de radionavegación por satélite (espacio</w:t>
      </w:r>
      <w:r w:rsidRPr="007065EB">
        <w:noBreakHyphen/>
        <w:t>Tierra) que funcionan en la banda 1 215-1 300 MHz.</w:t>
      </w:r>
    </w:p>
    <w:p w14:paraId="6BCF0D4D" w14:textId="1620DE90" w:rsidR="00936916" w:rsidRPr="007065EB" w:rsidRDefault="00936916" w:rsidP="007065EB">
      <w:pPr>
        <w:pStyle w:val="Reftext"/>
        <w:tabs>
          <w:tab w:val="left" w:pos="3402"/>
        </w:tabs>
      </w:pPr>
      <w:r w:rsidRPr="007065EB">
        <w:t>Recomendación UIT-R M.1903-</w:t>
      </w:r>
      <w:r w:rsidR="00570376">
        <w:t>1</w:t>
      </w:r>
      <w:r w:rsidRPr="007065EB">
        <w:tab/>
        <w:t>Características y criterios de protección de las estaciones terrenas receptoras del servicio de radionavegación por satélite (espacio</w:t>
      </w:r>
      <w:r w:rsidRPr="007065EB">
        <w:noBreakHyphen/>
        <w:t>Tierra) y de los receptores del servicio de radionavegación aeronáutica que funcionan en la banda 1 559-1 610 MHz.</w:t>
      </w:r>
    </w:p>
    <w:p w14:paraId="013E33D2" w14:textId="0C7D2732" w:rsidR="00936916" w:rsidRPr="007065EB" w:rsidRDefault="00936916" w:rsidP="007065EB">
      <w:pPr>
        <w:pStyle w:val="Reftext"/>
        <w:tabs>
          <w:tab w:val="left" w:pos="3402"/>
        </w:tabs>
      </w:pPr>
      <w:r w:rsidRPr="007065EB">
        <w:t>Recomendación UIT-R M.1905-</w:t>
      </w:r>
      <w:r w:rsidR="00570376">
        <w:t>1</w:t>
      </w:r>
      <w:r w:rsidRPr="007065EB">
        <w:tab/>
        <w:t>Características y criterios de protección de las estaciones terrenas receptoras del servicio de radionavegación por satélite (espacio</w:t>
      </w:r>
      <w:r w:rsidRPr="007065EB">
        <w:noBreakHyphen/>
        <w:t>Tierra) que funcionan en la banda 1 164-1 215 MHz.</w:t>
      </w:r>
    </w:p>
    <w:p w14:paraId="4A56A1AE" w14:textId="77777777" w:rsidR="00936916" w:rsidRPr="007065EB" w:rsidRDefault="00936916" w:rsidP="007065EB">
      <w:pPr>
        <w:pStyle w:val="Reftext"/>
        <w:tabs>
          <w:tab w:val="left" w:pos="3402"/>
        </w:tabs>
      </w:pPr>
      <w:r w:rsidRPr="007065EB">
        <w:t>Recomendación UIT-R M.1906-1</w:t>
      </w:r>
      <w:r w:rsidRPr="007065EB">
        <w:tab/>
        <w:t>Características y criterios de protección de las estaciones espaciales receptoras y características de las estaciones terrenas transmisoras del servicio de radionavegación por satélite (Tie</w:t>
      </w:r>
      <w:bookmarkStart w:id="3" w:name="_GoBack"/>
      <w:bookmarkEnd w:id="3"/>
      <w:r w:rsidRPr="007065EB">
        <w:t>rra-espacio) que funcionan en la banda 5 000-5 010 MHz.</w:t>
      </w:r>
    </w:p>
    <w:p w14:paraId="7885785C" w14:textId="77777777" w:rsidR="00936916" w:rsidRPr="007065EB" w:rsidRDefault="00936916" w:rsidP="007065EB">
      <w:pPr>
        <w:pStyle w:val="Reftext"/>
        <w:tabs>
          <w:tab w:val="left" w:pos="3402"/>
        </w:tabs>
      </w:pPr>
      <w:r w:rsidRPr="007065EB">
        <w:t>Recomendación UIT-R M.2030-0</w:t>
      </w:r>
      <w:r w:rsidRPr="007065EB">
        <w:tab/>
        <w:t>Método de evaluación para la interferencia impulsiva causada por fuentes radioeléctricas pertinentes distintas de las del servicio de radionavegación por satélite a sistemas y redes del servicio de radionavegación por satélite en las bandas de frecuencias 1 164</w:t>
      </w:r>
      <w:r w:rsidRPr="007065EB">
        <w:noBreakHyphen/>
        <w:t>1 215 MHz, 1 215-1 300 MHz y 1 559-1 610 MHz.</w:t>
      </w:r>
    </w:p>
    <w:p w14:paraId="33675929" w14:textId="77777777" w:rsidR="00936916" w:rsidRPr="007065EB" w:rsidRDefault="00936916" w:rsidP="007065EB">
      <w:pPr>
        <w:pStyle w:val="Reftext"/>
        <w:tabs>
          <w:tab w:val="left" w:pos="3402"/>
        </w:tabs>
      </w:pPr>
      <w:r w:rsidRPr="007065EB">
        <w:t>Recomendación UIT-R M.2031-1</w:t>
      </w:r>
      <w:r w:rsidRPr="007065EB">
        <w:tab/>
        <w:t>Características y criterios de protección de las estaciones terrenas receptoras y características de las estaciones espaciales transmisoras del servicio de radionavegación por satélite (espacio-Tierra) que funcionan en la banda 5 010</w:t>
      </w:r>
      <w:r w:rsidRPr="007065EB">
        <w:noBreakHyphen/>
        <w:t>5 030 MHz.</w:t>
      </w:r>
    </w:p>
    <w:p w14:paraId="1ED43790" w14:textId="77777777" w:rsidR="00936916" w:rsidRPr="00493C95" w:rsidRDefault="00936916" w:rsidP="00936916">
      <w:pPr>
        <w:pStyle w:val="Normalaftertitle"/>
        <w:rPr>
          <w:lang w:val="es-ES"/>
        </w:rPr>
      </w:pPr>
      <w:r w:rsidRPr="00493C95">
        <w:rPr>
          <w:lang w:val="es-ES"/>
        </w:rPr>
        <w:t>La Asamblea de Radiocomunicaciones de la UIT,</w:t>
      </w:r>
    </w:p>
    <w:p w14:paraId="4E645598" w14:textId="77777777" w:rsidR="00936916" w:rsidRPr="00493C95" w:rsidRDefault="00936916" w:rsidP="00936916">
      <w:pPr>
        <w:pStyle w:val="Call"/>
        <w:rPr>
          <w:lang w:val="es-ES"/>
        </w:rPr>
      </w:pPr>
      <w:r w:rsidRPr="00493C95">
        <w:rPr>
          <w:lang w:val="es-ES"/>
        </w:rPr>
        <w:t>considerando</w:t>
      </w:r>
    </w:p>
    <w:p w14:paraId="7A349097" w14:textId="77777777" w:rsidR="00936916" w:rsidRPr="00493C95" w:rsidRDefault="00936916" w:rsidP="00936916">
      <w:pPr>
        <w:rPr>
          <w:lang w:val="es-ES"/>
        </w:rPr>
      </w:pPr>
      <w:r w:rsidRPr="00493C95">
        <w:rPr>
          <w:i/>
          <w:iCs/>
          <w:lang w:val="es-ES"/>
        </w:rPr>
        <w:t>a)</w:t>
      </w:r>
      <w:r w:rsidRPr="00493C95">
        <w:rPr>
          <w:lang w:val="es-ES"/>
        </w:rPr>
        <w:tab/>
        <w:t>que los receptores a bordo de vehículos espaciales del SRNS que utilizan transmisiones del SRNS existentes o planificadas en las bandas 1 164</w:t>
      </w:r>
      <w:r w:rsidRPr="00493C95">
        <w:rPr>
          <w:lang w:val="es-ES"/>
        </w:rPr>
        <w:noBreakHyphen/>
        <w:t>1 215 MHz, 1 215</w:t>
      </w:r>
      <w:r w:rsidRPr="00493C95">
        <w:rPr>
          <w:lang w:val="es-ES"/>
        </w:rPr>
        <w:noBreakHyphen/>
        <w:t>1 300 MHz y 1 559</w:t>
      </w:r>
      <w:r>
        <w:rPr>
          <w:lang w:val="es-ES"/>
        </w:rPr>
        <w:noBreakHyphen/>
      </w:r>
      <w:r w:rsidRPr="00493C95">
        <w:rPr>
          <w:lang w:val="es-ES"/>
        </w:rPr>
        <w:t>1 610 MHz ya funcionan o tienen previsto funcionar sobre vehículos espaciales de varias redes y sistemas de satélites;</w:t>
      </w:r>
    </w:p>
    <w:p w14:paraId="4D9BF208" w14:textId="77777777" w:rsidR="00936916" w:rsidRPr="00493C95" w:rsidRDefault="00936916" w:rsidP="00936916">
      <w:pPr>
        <w:rPr>
          <w:lang w:val="es-ES"/>
        </w:rPr>
      </w:pPr>
      <w:r w:rsidRPr="00493C95">
        <w:rPr>
          <w:i/>
          <w:iCs/>
          <w:lang w:val="es-ES"/>
        </w:rPr>
        <w:t>b)</w:t>
      </w:r>
      <w:r w:rsidRPr="00493C95">
        <w:rPr>
          <w:lang w:val="es-ES"/>
        </w:rPr>
        <w:tab/>
        <w:t>que las emisiones de enlace descendente del SRNS en las bandas 1 164</w:t>
      </w:r>
      <w:r w:rsidRPr="00493C95">
        <w:rPr>
          <w:lang w:val="es-ES"/>
        </w:rPr>
        <w:noBreakHyphen/>
        <w:t>1 215 MHz, 1 215</w:t>
      </w:r>
      <w:r w:rsidRPr="00493C95">
        <w:rPr>
          <w:lang w:val="es-ES"/>
        </w:rPr>
        <w:noBreakHyphen/>
        <w:t>1 300 MHz y 1 559</w:t>
      </w:r>
      <w:r w:rsidRPr="00493C95">
        <w:rPr>
          <w:lang w:val="es-ES"/>
        </w:rPr>
        <w:noBreakHyphen/>
        <w:t>1 610 MHz también pueden emplearse para aplicaciones espacio</w:t>
      </w:r>
      <w:r w:rsidRPr="00493C95">
        <w:rPr>
          <w:lang w:val="es-ES"/>
        </w:rPr>
        <w:noBreakHyphen/>
        <w:t>espacio (por ejemplo, posicionamiento del vehículo espacial), sin utilizar recursos de espectro adicionales</w:t>
      </w:r>
      <w:r>
        <w:rPr>
          <w:lang w:val="es-ES"/>
        </w:rPr>
        <w:t>,</w:t>
      </w:r>
    </w:p>
    <w:p w14:paraId="72A0FC70" w14:textId="77777777" w:rsidR="00936916" w:rsidRDefault="00936916" w:rsidP="00936916">
      <w:pPr>
        <w:pStyle w:val="Call"/>
        <w:rPr>
          <w:lang w:val="es-ES"/>
        </w:rPr>
      </w:pPr>
      <w:r>
        <w:rPr>
          <w:lang w:val="es-ES"/>
        </w:rPr>
        <w:t>observando</w:t>
      </w:r>
    </w:p>
    <w:p w14:paraId="2501453B" w14:textId="77777777" w:rsidR="00936916" w:rsidRPr="00493C95" w:rsidRDefault="00936916" w:rsidP="00936916">
      <w:pPr>
        <w:rPr>
          <w:lang w:val="es-ES"/>
        </w:rPr>
      </w:pPr>
      <w:r w:rsidRPr="00EF7284">
        <w:rPr>
          <w:i/>
          <w:iCs/>
          <w:lang w:val="es-ES"/>
        </w:rPr>
        <w:t>a</w:t>
      </w:r>
      <w:r w:rsidRPr="00493C95">
        <w:rPr>
          <w:i/>
          <w:iCs/>
          <w:lang w:val="es-ES"/>
        </w:rPr>
        <w:t>)</w:t>
      </w:r>
      <w:r w:rsidRPr="00493C95">
        <w:rPr>
          <w:lang w:val="es-ES"/>
        </w:rPr>
        <w:tab/>
        <w:t>que la Recomendación UIT</w:t>
      </w:r>
      <w:r w:rsidRPr="00493C95">
        <w:rPr>
          <w:lang w:val="es-ES"/>
        </w:rPr>
        <w:noBreakHyphen/>
        <w:t>R M.1787 proporciona información sobre características de la señal de sistemas y redes del SRNS y las Recomendaciones UIT</w:t>
      </w:r>
      <w:r w:rsidRPr="00493C95">
        <w:rPr>
          <w:lang w:val="es-ES"/>
        </w:rPr>
        <w:noBreakHyphen/>
        <w:t>R M.1902, M.1903 y M.1905 ofrecen información sobre las características técnicas y de calidad de funcionamiento de los receptores del SRNS para los sistemas y redes del SRNS;</w:t>
      </w:r>
    </w:p>
    <w:p w14:paraId="3CC9BBAE" w14:textId="77777777" w:rsidR="00936916" w:rsidRPr="00493C95" w:rsidRDefault="00936916" w:rsidP="00936916">
      <w:pPr>
        <w:rPr>
          <w:lang w:val="es-ES"/>
        </w:rPr>
      </w:pPr>
      <w:r w:rsidRPr="00EF7284">
        <w:rPr>
          <w:i/>
          <w:iCs/>
          <w:lang w:val="es-ES"/>
        </w:rPr>
        <w:t>b)</w:t>
      </w:r>
      <w:r w:rsidRPr="00493C95">
        <w:rPr>
          <w:lang w:val="es-ES"/>
        </w:rPr>
        <w:tab/>
        <w:t>que la Recomendación UIT</w:t>
      </w:r>
      <w:r w:rsidRPr="00493C95">
        <w:rPr>
          <w:lang w:val="es-ES"/>
        </w:rPr>
        <w:noBreakHyphen/>
        <w:t>R M.1901 da directrices sobre esta y otras Recomendaciones del UIT</w:t>
      </w:r>
      <w:r w:rsidRPr="00493C95">
        <w:rPr>
          <w:lang w:val="es-ES"/>
        </w:rPr>
        <w:noBreakHyphen/>
        <w:t>R relativas a sistemas y redes del SRNS que funcionan en las bandas de frecuencia 1 164</w:t>
      </w:r>
      <w:r w:rsidRPr="00493C95">
        <w:rPr>
          <w:lang w:val="es-ES"/>
        </w:rPr>
        <w:noBreakHyphen/>
        <w:t>1 215 MHz, 1 215</w:t>
      </w:r>
      <w:r w:rsidRPr="00493C95">
        <w:rPr>
          <w:lang w:val="es-ES"/>
        </w:rPr>
        <w:noBreakHyphen/>
        <w:t>1 300 MHz, 1 559</w:t>
      </w:r>
      <w:r w:rsidRPr="00493C95">
        <w:rPr>
          <w:lang w:val="es-ES"/>
        </w:rPr>
        <w:noBreakHyphen/>
        <w:t>1 610 MHz, 5 000</w:t>
      </w:r>
      <w:r w:rsidRPr="00493C95">
        <w:rPr>
          <w:lang w:val="es-ES"/>
        </w:rPr>
        <w:noBreakHyphen/>
        <w:t>5 010 MHz y 5 010</w:t>
      </w:r>
      <w:r w:rsidRPr="00493C95">
        <w:rPr>
          <w:lang w:val="es-ES"/>
        </w:rPr>
        <w:noBreakHyphen/>
        <w:t>5 030 MHz,</w:t>
      </w:r>
    </w:p>
    <w:p w14:paraId="2231D47C" w14:textId="77777777" w:rsidR="00936916" w:rsidRPr="00493C95" w:rsidRDefault="00936916" w:rsidP="00936916">
      <w:pPr>
        <w:pStyle w:val="Call"/>
        <w:rPr>
          <w:lang w:val="es-ES"/>
        </w:rPr>
      </w:pPr>
      <w:r w:rsidRPr="00493C95">
        <w:rPr>
          <w:lang w:val="es-ES"/>
        </w:rPr>
        <w:t>reconociendo</w:t>
      </w:r>
    </w:p>
    <w:p w14:paraId="6CB15D74" w14:textId="77777777" w:rsidR="00936916" w:rsidRPr="00493C95" w:rsidRDefault="00936916" w:rsidP="00936916">
      <w:pPr>
        <w:rPr>
          <w:lang w:val="es-ES"/>
        </w:rPr>
      </w:pPr>
      <w:r w:rsidRPr="00493C95">
        <w:rPr>
          <w:i/>
          <w:iCs/>
          <w:lang w:val="es-ES"/>
        </w:rPr>
        <w:t>a)</w:t>
      </w:r>
      <w:r w:rsidRPr="00493C95">
        <w:rPr>
          <w:lang w:val="es-ES"/>
        </w:rPr>
        <w:tab/>
        <w:t>que las bandas 1 164-1 215 MHz, 1 215-1 300 MHz y 1 559-1 610 MHz están atribuidas a título primario al SRNS (espacio-Tierra) (espacio-espacio) en las tres Regiones;</w:t>
      </w:r>
    </w:p>
    <w:p w14:paraId="6B5B251F" w14:textId="77777777" w:rsidR="00936916" w:rsidRPr="00493C95" w:rsidRDefault="00936916" w:rsidP="00936916">
      <w:pPr>
        <w:rPr>
          <w:lang w:val="es-ES"/>
        </w:rPr>
      </w:pPr>
      <w:r w:rsidRPr="00493C95">
        <w:rPr>
          <w:i/>
          <w:iCs/>
          <w:lang w:val="es-ES"/>
        </w:rPr>
        <w:t>b)</w:t>
      </w:r>
      <w:r w:rsidRPr="00493C95">
        <w:rPr>
          <w:lang w:val="es-ES"/>
        </w:rPr>
        <w:tab/>
        <w:t xml:space="preserve">que con arreglo al número </w:t>
      </w:r>
      <w:r w:rsidRPr="00493C95">
        <w:rPr>
          <w:b/>
          <w:bCs/>
          <w:lang w:val="es-ES"/>
        </w:rPr>
        <w:t>5.329A</w:t>
      </w:r>
      <w:r w:rsidRPr="00493C95">
        <w:rPr>
          <w:lang w:val="es-ES"/>
        </w:rPr>
        <w:t xml:space="preserve"> del Reglamento de Radiocomunicaciones, «la utilización de sistemas del servicio de radionavegación por satélite (espacio-espacio) que funcionan en las bandas 1 215</w:t>
      </w:r>
      <w:r w:rsidRPr="00493C95">
        <w:rPr>
          <w:lang w:val="es-ES"/>
        </w:rPr>
        <w:noBreakHyphen/>
        <w:t>1 300 MHz y 1 559</w:t>
      </w:r>
      <w:r w:rsidRPr="00493C95">
        <w:rPr>
          <w:lang w:val="es-ES"/>
        </w:rPr>
        <w:noBreakHyphen/>
        <w:t>1 610 MHz no está prevista para aplicaciones de los servicios de seguridad, y no deberá imponer limitaciones adicionales a otros sistemas o servicios que funcionen con arreglo al Cuadro de atribución de bandas de frecuencias»;</w:t>
      </w:r>
    </w:p>
    <w:p w14:paraId="22AC0B60" w14:textId="77777777" w:rsidR="00936916" w:rsidRPr="00493C95" w:rsidRDefault="00936916" w:rsidP="00936916">
      <w:pPr>
        <w:rPr>
          <w:lang w:val="es-ES"/>
        </w:rPr>
      </w:pPr>
      <w:r w:rsidRPr="00493C95">
        <w:rPr>
          <w:i/>
          <w:iCs/>
          <w:lang w:val="es-ES"/>
        </w:rPr>
        <w:t>c)</w:t>
      </w:r>
      <w:r w:rsidRPr="00493C95">
        <w:rPr>
          <w:lang w:val="es-ES"/>
        </w:rPr>
        <w:tab/>
        <w:t>que las bandas 1 164</w:t>
      </w:r>
      <w:r w:rsidRPr="00493C95">
        <w:rPr>
          <w:lang w:val="es-ES"/>
        </w:rPr>
        <w:noBreakHyphen/>
        <w:t>1 215 MHz, 1 215</w:t>
      </w:r>
      <w:r w:rsidRPr="00493C95">
        <w:rPr>
          <w:lang w:val="es-ES"/>
        </w:rPr>
        <w:noBreakHyphen/>
        <w:t>1 300 MHz y 1 559</w:t>
      </w:r>
      <w:r w:rsidRPr="00493C95">
        <w:rPr>
          <w:lang w:val="es-ES"/>
        </w:rPr>
        <w:noBreakHyphen/>
        <w:t>1 610 MHz también están atribuidas a título primario a otros servicios en las tres Regiones,</w:t>
      </w:r>
    </w:p>
    <w:p w14:paraId="3D3D381E" w14:textId="77777777" w:rsidR="00936916" w:rsidRPr="00493C95" w:rsidRDefault="00936916" w:rsidP="00936916">
      <w:pPr>
        <w:pStyle w:val="Call"/>
        <w:rPr>
          <w:lang w:val="es-ES"/>
        </w:rPr>
      </w:pPr>
      <w:r w:rsidRPr="00493C95">
        <w:rPr>
          <w:lang w:val="es-ES"/>
        </w:rPr>
        <w:t>recomienda</w:t>
      </w:r>
    </w:p>
    <w:p w14:paraId="709EB35B" w14:textId="77777777" w:rsidR="00936916" w:rsidRPr="00493C95" w:rsidRDefault="00936916" w:rsidP="00936916">
      <w:pPr>
        <w:rPr>
          <w:lang w:val="es-ES"/>
        </w:rPr>
      </w:pPr>
      <w:r w:rsidRPr="00493C95">
        <w:rPr>
          <w:b/>
          <w:bCs/>
          <w:lang w:val="es-ES"/>
        </w:rPr>
        <w:t>1</w:t>
      </w:r>
      <w:r w:rsidRPr="00493C95">
        <w:rPr>
          <w:b/>
          <w:bCs/>
          <w:lang w:val="es-ES"/>
        </w:rPr>
        <w:tab/>
      </w:r>
      <w:r w:rsidRPr="00493C95">
        <w:rPr>
          <w:lang w:val="es-ES"/>
        </w:rPr>
        <w:t>que para llevar a cabo los análisis de comportamiento de la interferencia de radiofrecuencia en los receptores del SRNS a bordo de vehículos espaciales (espacio-espacio) que funcionan en las bandas 1 164</w:t>
      </w:r>
      <w:r w:rsidRPr="00493C95">
        <w:rPr>
          <w:lang w:val="es-ES"/>
        </w:rPr>
        <w:noBreakHyphen/>
        <w:t>1 215 MHz, 1 215</w:t>
      </w:r>
      <w:r w:rsidRPr="00493C95">
        <w:rPr>
          <w:lang w:val="es-ES"/>
        </w:rPr>
        <w:noBreakHyphen/>
        <w:t>1 300 MHz y 1 559</w:t>
      </w:r>
      <w:r w:rsidRPr="00493C95">
        <w:rPr>
          <w:lang w:val="es-ES"/>
        </w:rPr>
        <w:noBreakHyphen/>
        <w:t>1 610 MHz causada por emisiones de fuentes distintas del SRNS, se utilicen las características del receptor y los criterios de protección del SRNS que figuran en los Anexos 1, 2 y 3;</w:t>
      </w:r>
    </w:p>
    <w:p w14:paraId="1353AFCF" w14:textId="77777777" w:rsidR="00936916" w:rsidRPr="00493C95" w:rsidRDefault="00936916" w:rsidP="00936916">
      <w:pPr>
        <w:rPr>
          <w:lang w:val="es-ES"/>
        </w:rPr>
      </w:pPr>
      <w:r w:rsidRPr="00493C95">
        <w:rPr>
          <w:b/>
          <w:bCs/>
          <w:lang w:val="es-ES"/>
        </w:rPr>
        <w:t>2</w:t>
      </w:r>
      <w:r w:rsidRPr="00493C95">
        <w:rPr>
          <w:b/>
          <w:bCs/>
          <w:lang w:val="es-ES"/>
        </w:rPr>
        <w:tab/>
      </w:r>
      <w:r w:rsidRPr="00493C95">
        <w:rPr>
          <w:lang w:val="es-ES"/>
        </w:rPr>
        <w:t>que en los cálculos de interferencia para los receptores de radionavegación a bordo de satélites se utilicen los umbrales de potencia de interferencia combinada que aparecen en los Anexos;</w:t>
      </w:r>
    </w:p>
    <w:p w14:paraId="0C8C5485" w14:textId="77777777" w:rsidR="00936916" w:rsidRPr="00493C95" w:rsidRDefault="00936916" w:rsidP="00936916">
      <w:pPr>
        <w:rPr>
          <w:lang w:val="es-ES"/>
        </w:rPr>
      </w:pPr>
      <w:r w:rsidRPr="00493C95">
        <w:rPr>
          <w:b/>
          <w:bCs/>
          <w:lang w:val="es-ES"/>
        </w:rPr>
        <w:t>3</w:t>
      </w:r>
      <w:r w:rsidRPr="00493C95">
        <w:rPr>
          <w:lang w:val="es-ES"/>
        </w:rPr>
        <w:tab/>
        <w:t>que en los cálculos de interferencia en los receptores del SRNS a bordo de vehículos espaciales a las mayores altitudes se utilicen los requisitos señalados en los Anexos 1, 2 y 3 junto con otras características de los sistemas del SRNS;</w:t>
      </w:r>
    </w:p>
    <w:p w14:paraId="7E932E41" w14:textId="77777777" w:rsidR="00936916" w:rsidRPr="00493C95" w:rsidRDefault="00936916" w:rsidP="00936916">
      <w:pPr>
        <w:rPr>
          <w:lang w:val="es-ES"/>
        </w:rPr>
      </w:pPr>
      <w:r w:rsidRPr="00493C95">
        <w:rPr>
          <w:b/>
          <w:bCs/>
          <w:lang w:val="es-ES"/>
        </w:rPr>
        <w:t>4</w:t>
      </w:r>
      <w:r w:rsidRPr="00493C95">
        <w:rPr>
          <w:lang w:val="es-ES"/>
        </w:rPr>
        <w:tab/>
        <w:t>que en los casos en que se rebasen los umbrales de potencia de interferencia combinada que figuran en los Anexos, para los cálculos de interferencia en los receptores del SRNS a bordo de vehículos espaciales se utilicen los requisitos indicados en los Anexos 1, 2 y 3 junto con otras características de los sistemas del SRNS;</w:t>
      </w:r>
    </w:p>
    <w:p w14:paraId="6F627FCD" w14:textId="77777777" w:rsidR="00936916" w:rsidRPr="00493C95" w:rsidRDefault="00936916" w:rsidP="00936916">
      <w:pPr>
        <w:rPr>
          <w:lang w:val="es-ES"/>
        </w:rPr>
      </w:pPr>
      <w:r w:rsidRPr="00493C95">
        <w:rPr>
          <w:b/>
          <w:bCs/>
          <w:lang w:val="es-ES"/>
        </w:rPr>
        <w:t>5</w:t>
      </w:r>
      <w:r w:rsidRPr="00493C95">
        <w:rPr>
          <w:lang w:val="es-ES"/>
        </w:rPr>
        <w:tab/>
        <w:t>que la siguiente Nota se considere parte integrante de la presente Recomendación.</w:t>
      </w:r>
    </w:p>
    <w:p w14:paraId="30CDD5FB" w14:textId="7955190F" w:rsidR="00936916" w:rsidRDefault="00936916" w:rsidP="00936916">
      <w:pPr>
        <w:pStyle w:val="Note"/>
        <w:rPr>
          <w:lang w:val="es-ES"/>
        </w:rPr>
      </w:pPr>
      <w:r w:rsidRPr="00493C95">
        <w:rPr>
          <w:lang w:val="es-ES"/>
        </w:rPr>
        <w:t xml:space="preserve">NOTA – Esta Recomendación no está destinada a constituir la base de futuras modificaciones en los máximos niveles de emisiones no deseadas en la banda </w:t>
      </w:r>
      <w:r w:rsidRPr="00493C95">
        <w:rPr>
          <w:szCs w:val="24"/>
          <w:lang w:val="es-ES"/>
        </w:rPr>
        <w:t>1 559</w:t>
      </w:r>
      <w:r w:rsidRPr="00493C95">
        <w:rPr>
          <w:szCs w:val="24"/>
          <w:lang w:val="es-ES"/>
        </w:rPr>
        <w:noBreakHyphen/>
        <w:t>1 610 MHz</w:t>
      </w:r>
      <w:r w:rsidRPr="00493C95">
        <w:rPr>
          <w:lang w:val="es-ES"/>
        </w:rPr>
        <w:t xml:space="preserve"> indicados en los Anexos a las Recomendaciones UIT</w:t>
      </w:r>
      <w:r w:rsidRPr="00493C95">
        <w:rPr>
          <w:lang w:val="es-ES"/>
        </w:rPr>
        <w:noBreakHyphen/>
        <w:t>R M.1343</w:t>
      </w:r>
      <w:r w:rsidRPr="00493C95">
        <w:rPr>
          <w:lang w:val="es-ES"/>
        </w:rPr>
        <w:noBreakHyphen/>
        <w:t xml:space="preserve">1 y M.1480 para las ETM del SMS. Estos máximos niveles de emisiones no deseadas para la citada banda </w:t>
      </w:r>
      <w:r w:rsidRPr="00493C95">
        <w:rPr>
          <w:szCs w:val="24"/>
          <w:lang w:val="es-ES"/>
        </w:rPr>
        <w:t>1 559-1 610 MHz</w:t>
      </w:r>
      <w:r w:rsidRPr="00493C95">
        <w:rPr>
          <w:lang w:val="es-ES"/>
        </w:rPr>
        <w:t xml:space="preserve"> indicados en las Recomendaciones UIT</w:t>
      </w:r>
      <w:r w:rsidRPr="00493C95">
        <w:rPr>
          <w:lang w:val="es-ES"/>
        </w:rPr>
        <w:noBreakHyphen/>
        <w:t>R M.1343</w:t>
      </w:r>
      <w:r w:rsidRPr="00493C95">
        <w:rPr>
          <w:lang w:val="es-ES"/>
        </w:rPr>
        <w:noBreakHyphen/>
        <w:t>1 y M.1480 se han determinado con arreglo a una hipótesis de interferencia específica y no están destinados a ser aplicados a ningún servicio diferente de las ETM del SMS que funcionan en la gama 1-3 GHz, a menos que se realicen nuevos estudios.</w:t>
      </w:r>
    </w:p>
    <w:p w14:paraId="50AF3F85" w14:textId="49976B92" w:rsidR="00936916" w:rsidRDefault="00936916" w:rsidP="00936916">
      <w:pPr>
        <w:rPr>
          <w:lang w:val="es-ES"/>
        </w:rPr>
      </w:pPr>
    </w:p>
    <w:p w14:paraId="5106AE2F" w14:textId="77777777" w:rsidR="00936916" w:rsidRPr="00493C95" w:rsidRDefault="00936916" w:rsidP="00936916">
      <w:pPr>
        <w:rPr>
          <w:lang w:val="es-ES"/>
        </w:rPr>
      </w:pPr>
    </w:p>
    <w:p w14:paraId="6396D76C" w14:textId="77777777" w:rsidR="00936916" w:rsidRPr="00493C95" w:rsidRDefault="00936916" w:rsidP="00936916">
      <w:pPr>
        <w:pStyle w:val="AnnexNoTitle"/>
        <w:rPr>
          <w:lang w:val="es-ES"/>
        </w:rPr>
      </w:pPr>
      <w:r w:rsidRPr="00493C95">
        <w:rPr>
          <w:lang w:val="es-ES"/>
        </w:rPr>
        <w:t>Anexo 1</w:t>
      </w:r>
      <w:r w:rsidRPr="00493C95">
        <w:rPr>
          <w:lang w:val="es-ES"/>
        </w:rPr>
        <w:br/>
      </w:r>
      <w:r w:rsidRPr="00493C95">
        <w:rPr>
          <w:lang w:val="es-ES"/>
        </w:rPr>
        <w:br/>
        <w:t>Características de los receptores GLONASS</w:t>
      </w:r>
      <w:r w:rsidRPr="00493C95">
        <w:rPr>
          <w:lang w:val="es-ES"/>
        </w:rPr>
        <w:br/>
        <w:t>a bordo de vehículos espaciales</w:t>
      </w:r>
    </w:p>
    <w:p w14:paraId="2CD330E3" w14:textId="77777777" w:rsidR="00936916" w:rsidRPr="00493C95" w:rsidRDefault="00936916" w:rsidP="00936916">
      <w:pPr>
        <w:pStyle w:val="Normalaftertitle"/>
        <w:rPr>
          <w:lang w:val="es-ES"/>
        </w:rPr>
      </w:pPr>
      <w:r w:rsidRPr="00493C95">
        <w:rPr>
          <w:lang w:val="es-ES"/>
        </w:rPr>
        <w:t>El Cuadro 1 proporciona las características de los receptores del SRNS a bordo de vehículos espaciales utilizados en el Sistema Mundial de Navegación por Satélite (GLONASS).</w:t>
      </w:r>
    </w:p>
    <w:p w14:paraId="3D074876" w14:textId="77777777" w:rsidR="00936916" w:rsidRPr="00493C95" w:rsidRDefault="00936916" w:rsidP="00936916">
      <w:pPr>
        <w:pStyle w:val="TableNo"/>
        <w:rPr>
          <w:lang w:val="es-ES"/>
        </w:rPr>
      </w:pPr>
      <w:r w:rsidRPr="00493C95">
        <w:rPr>
          <w:lang w:val="es-ES"/>
        </w:rPr>
        <w:t>CUADRO 1</w:t>
      </w:r>
    </w:p>
    <w:p w14:paraId="5B73A218" w14:textId="77777777" w:rsidR="00936916" w:rsidRPr="00493C95" w:rsidRDefault="00936916" w:rsidP="00936916">
      <w:pPr>
        <w:pStyle w:val="Tabletitle"/>
        <w:rPr>
          <w:lang w:val="es-ES"/>
        </w:rPr>
      </w:pPr>
      <w:r w:rsidRPr="00493C95">
        <w:rPr>
          <w:lang w:val="es-ES"/>
        </w:rPr>
        <w:t>Características de los receptores GLONASS</w:t>
      </w:r>
      <w:r w:rsidRPr="00493C95">
        <w:rPr>
          <w:lang w:val="es-ES"/>
        </w:rPr>
        <w:br/>
        <w:t>a bordo de vehículos espaciales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3"/>
        <w:gridCol w:w="3065"/>
        <w:gridCol w:w="2491"/>
      </w:tblGrid>
      <w:tr w:rsidR="00936916" w:rsidRPr="00E108DC" w14:paraId="1F8AFFBF"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7E1E5AA4" w14:textId="77777777" w:rsidR="00936916" w:rsidRPr="00493C95" w:rsidRDefault="00936916" w:rsidP="00D80347">
            <w:pPr>
              <w:pStyle w:val="Tablehead"/>
              <w:rPr>
                <w:lang w:val="es-ES"/>
              </w:rPr>
            </w:pPr>
            <w:r w:rsidRPr="00493C95">
              <w:rPr>
                <w:lang w:val="es-ES"/>
              </w:rPr>
              <w:t>Parámetro</w:t>
            </w:r>
          </w:p>
        </w:tc>
        <w:tc>
          <w:tcPr>
            <w:tcW w:w="5556" w:type="dxa"/>
            <w:gridSpan w:val="2"/>
            <w:tcBorders>
              <w:top w:val="single" w:sz="4" w:space="0" w:color="auto"/>
              <w:left w:val="single" w:sz="4" w:space="0" w:color="auto"/>
              <w:bottom w:val="single" w:sz="4" w:space="0" w:color="auto"/>
              <w:right w:val="single" w:sz="4" w:space="0" w:color="auto"/>
            </w:tcBorders>
          </w:tcPr>
          <w:p w14:paraId="6D88434E" w14:textId="77777777" w:rsidR="00936916" w:rsidRPr="00E108DC" w:rsidRDefault="00936916" w:rsidP="00D80347">
            <w:pPr>
              <w:pStyle w:val="Tablehead"/>
              <w:rPr>
                <w:lang w:val="es-ES"/>
              </w:rPr>
            </w:pPr>
            <w:r w:rsidRPr="00493C95">
              <w:rPr>
                <w:lang w:val="es-ES"/>
              </w:rPr>
              <w:t>Valor</w:t>
            </w:r>
          </w:p>
        </w:tc>
      </w:tr>
      <w:tr w:rsidR="00936916" w:rsidRPr="00E108DC" w14:paraId="4912CE30"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32821855" w14:textId="77777777" w:rsidR="00936916" w:rsidRPr="00E108DC" w:rsidRDefault="00936916" w:rsidP="00D80347">
            <w:pPr>
              <w:pStyle w:val="Tablehead"/>
              <w:rPr>
                <w:lang w:val="es-ES"/>
              </w:rPr>
            </w:pPr>
            <w:r>
              <w:rPr>
                <w:lang w:val="es-ES"/>
              </w:rPr>
              <w:t>Señales</w:t>
            </w:r>
          </w:p>
        </w:tc>
        <w:tc>
          <w:tcPr>
            <w:tcW w:w="3065" w:type="dxa"/>
            <w:tcBorders>
              <w:top w:val="single" w:sz="4" w:space="0" w:color="auto"/>
              <w:left w:val="single" w:sz="4" w:space="0" w:color="auto"/>
              <w:bottom w:val="single" w:sz="4" w:space="0" w:color="auto"/>
              <w:right w:val="single" w:sz="4" w:space="0" w:color="auto"/>
            </w:tcBorders>
          </w:tcPr>
          <w:p w14:paraId="43EC3578" w14:textId="77777777" w:rsidR="00936916" w:rsidRPr="00E108DC" w:rsidRDefault="00936916" w:rsidP="00D80347">
            <w:pPr>
              <w:pStyle w:val="Tablehead"/>
              <w:rPr>
                <w:lang w:val="es-ES"/>
              </w:rPr>
            </w:pPr>
            <w:r w:rsidRPr="00825E23">
              <w:rPr>
                <w:lang w:val="es-ES"/>
              </w:rPr>
              <w:t>AMDF</w:t>
            </w:r>
          </w:p>
        </w:tc>
        <w:tc>
          <w:tcPr>
            <w:tcW w:w="2491" w:type="dxa"/>
            <w:tcBorders>
              <w:top w:val="single" w:sz="4" w:space="0" w:color="auto"/>
              <w:left w:val="single" w:sz="4" w:space="0" w:color="auto"/>
              <w:bottom w:val="single" w:sz="4" w:space="0" w:color="auto"/>
              <w:right w:val="single" w:sz="4" w:space="0" w:color="auto"/>
            </w:tcBorders>
          </w:tcPr>
          <w:p w14:paraId="57CC0619" w14:textId="77777777" w:rsidR="00936916" w:rsidRPr="00E108DC" w:rsidRDefault="00936916" w:rsidP="00D80347">
            <w:pPr>
              <w:pStyle w:val="Tablehead"/>
              <w:rPr>
                <w:lang w:val="es-ES"/>
              </w:rPr>
            </w:pPr>
            <w:r>
              <w:rPr>
                <w:lang w:val="es-ES"/>
              </w:rPr>
              <w:t>AMDC</w:t>
            </w:r>
          </w:p>
        </w:tc>
      </w:tr>
      <w:tr w:rsidR="00936916" w:rsidRPr="00E108DC" w14:paraId="640F870B"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717CF0DC" w14:textId="77777777" w:rsidR="00936916" w:rsidRPr="00493C95" w:rsidRDefault="00936916" w:rsidP="00D80347">
            <w:pPr>
              <w:pStyle w:val="Tabletext"/>
              <w:rPr>
                <w:lang w:val="es-ES"/>
              </w:rPr>
            </w:pPr>
            <w:r w:rsidRPr="00493C95">
              <w:rPr>
                <w:lang w:val="es-ES"/>
              </w:rPr>
              <w:t>Frecuencias portadoras (MHz)</w:t>
            </w:r>
          </w:p>
        </w:tc>
        <w:tc>
          <w:tcPr>
            <w:tcW w:w="3065" w:type="dxa"/>
            <w:tcBorders>
              <w:top w:val="single" w:sz="4" w:space="0" w:color="auto"/>
              <w:left w:val="single" w:sz="4" w:space="0" w:color="auto"/>
              <w:bottom w:val="single" w:sz="4" w:space="0" w:color="auto"/>
              <w:right w:val="single" w:sz="4" w:space="0" w:color="auto"/>
            </w:tcBorders>
          </w:tcPr>
          <w:p w14:paraId="61311790" w14:textId="77777777" w:rsidR="00936916" w:rsidRPr="00493C95" w:rsidRDefault="00936916" w:rsidP="00D80347">
            <w:pPr>
              <w:pStyle w:val="Tabletext"/>
              <w:jc w:val="center"/>
              <w:rPr>
                <w:u w:val="single"/>
                <w:lang w:val="es-ES"/>
              </w:rPr>
            </w:pPr>
            <w:r w:rsidRPr="00493C95">
              <w:rPr>
                <w:lang w:val="es-ES"/>
              </w:rPr>
              <w:t>(1998-2005)</w:t>
            </w:r>
            <w:r w:rsidRPr="00493C95">
              <w:rPr>
                <w:vertAlign w:val="superscript"/>
                <w:lang w:val="es-ES"/>
              </w:rPr>
              <w:t>(1)</w:t>
            </w:r>
          </w:p>
          <w:p w14:paraId="3361E207" w14:textId="77777777" w:rsidR="00936916" w:rsidRPr="00493C95" w:rsidRDefault="00936916" w:rsidP="00D80347">
            <w:pPr>
              <w:pStyle w:val="Tabletext"/>
              <w:jc w:val="center"/>
              <w:rPr>
                <w:lang w:val="es-ES"/>
              </w:rPr>
            </w:pPr>
            <w:r w:rsidRPr="00493C95">
              <w:rPr>
                <w:i/>
                <w:iCs/>
                <w:lang w:val="es-ES"/>
              </w:rPr>
              <w:t>F</w:t>
            </w:r>
            <w:r w:rsidRPr="00493C95">
              <w:rPr>
                <w:lang w:val="es-ES"/>
              </w:rPr>
              <w:t xml:space="preserve"> = 1 602 + 0,5625 </w:t>
            </w:r>
            <w:r w:rsidRPr="00493C95">
              <w:rPr>
                <w:i/>
                <w:iCs/>
                <w:lang w:val="es-ES"/>
              </w:rPr>
              <w:t>K</w:t>
            </w:r>
            <w:r w:rsidRPr="00493C95">
              <w:rPr>
                <w:lang w:val="es-ES"/>
              </w:rPr>
              <w:br/>
              <w:t>donde</w:t>
            </w:r>
            <w:r w:rsidRPr="00493C95">
              <w:rPr>
                <w:lang w:val="es-ES"/>
              </w:rPr>
              <w:br/>
            </w:r>
            <w:r w:rsidRPr="00493C95">
              <w:rPr>
                <w:i/>
                <w:iCs/>
                <w:lang w:val="es-ES"/>
              </w:rPr>
              <w:t>K</w:t>
            </w:r>
            <w:r w:rsidRPr="00493C95">
              <w:rPr>
                <w:lang w:val="es-ES"/>
              </w:rPr>
              <w:t> = −7, …, 13</w:t>
            </w:r>
            <w:r w:rsidRPr="00493C95">
              <w:rPr>
                <w:lang w:val="es-ES"/>
              </w:rPr>
              <w:br/>
            </w:r>
            <w:r w:rsidRPr="00493C95">
              <w:rPr>
                <w:i/>
                <w:iCs/>
                <w:lang w:val="es-ES"/>
              </w:rPr>
              <w:t>F</w:t>
            </w:r>
            <w:r w:rsidRPr="00493C95">
              <w:rPr>
                <w:lang w:val="es-ES"/>
              </w:rPr>
              <w:t xml:space="preserve"> = 1 246 + 0,4375 </w:t>
            </w:r>
            <w:r w:rsidRPr="00493C95">
              <w:rPr>
                <w:i/>
                <w:iCs/>
                <w:lang w:val="es-ES"/>
              </w:rPr>
              <w:t>K</w:t>
            </w:r>
            <w:r w:rsidRPr="00493C95">
              <w:rPr>
                <w:lang w:val="es-ES"/>
              </w:rPr>
              <w:br/>
              <w:t>donde</w:t>
            </w:r>
            <w:r w:rsidRPr="00493C95">
              <w:rPr>
                <w:lang w:val="es-ES"/>
              </w:rPr>
              <w:br/>
            </w:r>
            <w:r w:rsidRPr="00493C95">
              <w:rPr>
                <w:i/>
                <w:iCs/>
                <w:lang w:val="es-ES"/>
              </w:rPr>
              <w:t>K</w:t>
            </w:r>
            <w:r w:rsidRPr="00493C95">
              <w:rPr>
                <w:lang w:val="es-ES"/>
              </w:rPr>
              <w:t> = −7, …, 13</w:t>
            </w:r>
          </w:p>
          <w:p w14:paraId="4D2903E7" w14:textId="77777777" w:rsidR="00936916" w:rsidRPr="00493C95" w:rsidRDefault="00936916" w:rsidP="00D80347">
            <w:pPr>
              <w:pStyle w:val="Tabletext"/>
              <w:jc w:val="center"/>
              <w:rPr>
                <w:lang w:val="es-ES"/>
              </w:rPr>
            </w:pPr>
            <w:r w:rsidRPr="00493C95">
              <w:rPr>
                <w:lang w:val="es-ES"/>
              </w:rPr>
              <w:t>(después de 2005)</w:t>
            </w:r>
          </w:p>
          <w:p w14:paraId="39879B32" w14:textId="77777777" w:rsidR="00936916" w:rsidRPr="00493C95" w:rsidRDefault="00936916" w:rsidP="00D80347">
            <w:pPr>
              <w:pStyle w:val="Tabletext"/>
              <w:jc w:val="center"/>
              <w:rPr>
                <w:lang w:val="es-ES"/>
              </w:rPr>
            </w:pPr>
            <w:r w:rsidRPr="00493C95">
              <w:rPr>
                <w:i/>
                <w:iCs/>
                <w:lang w:val="es-ES"/>
              </w:rPr>
              <w:t>F</w:t>
            </w:r>
            <w:r w:rsidRPr="00493C95">
              <w:rPr>
                <w:lang w:val="es-ES"/>
              </w:rPr>
              <w:t xml:space="preserve"> = 1 602 + 0,5625 </w:t>
            </w:r>
            <w:r w:rsidRPr="00493C95">
              <w:rPr>
                <w:i/>
                <w:iCs/>
                <w:lang w:val="es-ES"/>
              </w:rPr>
              <w:t>K</w:t>
            </w:r>
            <w:r w:rsidRPr="00493C95">
              <w:rPr>
                <w:lang w:val="es-ES"/>
              </w:rPr>
              <w:br/>
              <w:t>donde</w:t>
            </w:r>
            <w:r w:rsidRPr="00493C95">
              <w:rPr>
                <w:lang w:val="es-ES"/>
              </w:rPr>
              <w:br/>
            </w:r>
            <w:r w:rsidRPr="00493C95">
              <w:rPr>
                <w:i/>
                <w:iCs/>
                <w:lang w:val="es-ES"/>
              </w:rPr>
              <w:t>K</w:t>
            </w:r>
            <w:r w:rsidRPr="00493C95">
              <w:rPr>
                <w:lang w:val="es-ES"/>
              </w:rPr>
              <w:t> = −7, …, 6</w:t>
            </w:r>
            <w:r w:rsidRPr="00493C95">
              <w:rPr>
                <w:lang w:val="es-ES"/>
              </w:rPr>
              <w:br/>
            </w:r>
            <w:r w:rsidRPr="00493C95">
              <w:rPr>
                <w:i/>
                <w:iCs/>
                <w:lang w:val="es-ES"/>
              </w:rPr>
              <w:t>F</w:t>
            </w:r>
            <w:r w:rsidRPr="00493C95">
              <w:rPr>
                <w:lang w:val="es-ES"/>
              </w:rPr>
              <w:t xml:space="preserve"> = 1 246 + 0,4375 </w:t>
            </w:r>
            <w:r w:rsidRPr="00493C95">
              <w:rPr>
                <w:i/>
                <w:iCs/>
                <w:lang w:val="es-ES"/>
              </w:rPr>
              <w:t>K</w:t>
            </w:r>
            <w:r w:rsidRPr="00493C95">
              <w:rPr>
                <w:lang w:val="es-ES"/>
              </w:rPr>
              <w:br/>
              <w:t>donde</w:t>
            </w:r>
            <w:r w:rsidRPr="00493C95">
              <w:rPr>
                <w:lang w:val="es-ES"/>
              </w:rPr>
              <w:br/>
            </w:r>
            <w:r w:rsidRPr="00493C95">
              <w:rPr>
                <w:i/>
                <w:iCs/>
                <w:lang w:val="es-ES"/>
              </w:rPr>
              <w:t>K</w:t>
            </w:r>
            <w:r w:rsidRPr="00493C95">
              <w:rPr>
                <w:lang w:val="es-ES"/>
              </w:rPr>
              <w:t> = −7, …, 6</w:t>
            </w:r>
            <w:r w:rsidRPr="00493C95">
              <w:rPr>
                <w:lang w:val="es-ES"/>
              </w:rPr>
              <w:br/>
            </w:r>
            <w:r w:rsidRPr="00493C95">
              <w:rPr>
                <w:i/>
                <w:iCs/>
                <w:lang w:val="es-ES"/>
              </w:rPr>
              <w:t>F</w:t>
            </w:r>
            <w:r w:rsidRPr="00493C95">
              <w:rPr>
                <w:lang w:val="es-ES"/>
              </w:rPr>
              <w:t xml:space="preserve"> = 1 204,704 + 0,423 </w:t>
            </w:r>
            <w:r w:rsidRPr="00493C95">
              <w:rPr>
                <w:i/>
                <w:iCs/>
                <w:lang w:val="es-ES"/>
              </w:rPr>
              <w:t>K</w:t>
            </w:r>
            <w:r w:rsidRPr="00493C95">
              <w:rPr>
                <w:lang w:val="es-ES"/>
              </w:rPr>
              <w:br/>
              <w:t>donde</w:t>
            </w:r>
            <w:r w:rsidRPr="00493C95">
              <w:rPr>
                <w:lang w:val="es-ES"/>
              </w:rPr>
              <w:br/>
            </w:r>
            <w:r w:rsidRPr="00493C95">
              <w:rPr>
                <w:i/>
                <w:iCs/>
                <w:lang w:val="es-ES"/>
              </w:rPr>
              <w:t>K</w:t>
            </w:r>
            <w:r w:rsidRPr="00493C95">
              <w:rPr>
                <w:lang w:val="es-ES"/>
              </w:rPr>
              <w:t> = −7, …, 12</w:t>
            </w:r>
          </w:p>
        </w:tc>
        <w:tc>
          <w:tcPr>
            <w:tcW w:w="2491" w:type="dxa"/>
            <w:tcBorders>
              <w:top w:val="single" w:sz="4" w:space="0" w:color="auto"/>
              <w:left w:val="single" w:sz="4" w:space="0" w:color="auto"/>
              <w:bottom w:val="single" w:sz="4" w:space="0" w:color="auto"/>
              <w:right w:val="single" w:sz="4" w:space="0" w:color="auto"/>
            </w:tcBorders>
          </w:tcPr>
          <w:p w14:paraId="2259A4AF" w14:textId="77777777" w:rsidR="00936916" w:rsidRPr="00493C95" w:rsidRDefault="00936916" w:rsidP="00D80347">
            <w:pPr>
              <w:pStyle w:val="Tabletext"/>
              <w:jc w:val="center"/>
              <w:rPr>
                <w:szCs w:val="22"/>
                <w:lang w:val="es-ES"/>
              </w:rPr>
            </w:pPr>
            <w:r w:rsidRPr="00493C95">
              <w:rPr>
                <w:i/>
                <w:iCs/>
                <w:szCs w:val="22"/>
                <w:lang w:val="en-US"/>
              </w:rPr>
              <w:t>F</w:t>
            </w:r>
            <w:r w:rsidRPr="00493C95">
              <w:rPr>
                <w:szCs w:val="22"/>
                <w:lang w:val="en-US"/>
              </w:rPr>
              <w:t> = 1 </w:t>
            </w:r>
            <w:r w:rsidRPr="00EF7284">
              <w:rPr>
                <w:szCs w:val="22"/>
                <w:lang w:val="en-US"/>
              </w:rPr>
              <w:t>600</w:t>
            </w:r>
            <w:r w:rsidRPr="00493C95">
              <w:rPr>
                <w:szCs w:val="22"/>
                <w:lang w:val="en-US"/>
              </w:rPr>
              <w:t>,995</w:t>
            </w:r>
            <w:r>
              <w:rPr>
                <w:szCs w:val="22"/>
                <w:lang w:val="en-US"/>
              </w:rPr>
              <w:br/>
            </w:r>
            <w:r w:rsidRPr="00493C95">
              <w:rPr>
                <w:i/>
                <w:iCs/>
                <w:szCs w:val="22"/>
                <w:lang w:val="en-US"/>
              </w:rPr>
              <w:t>F</w:t>
            </w:r>
            <w:r w:rsidRPr="00493C95">
              <w:rPr>
                <w:szCs w:val="22"/>
                <w:lang w:val="en-US"/>
              </w:rPr>
              <w:t> = 1 248,06</w:t>
            </w:r>
            <w:r>
              <w:rPr>
                <w:szCs w:val="22"/>
                <w:lang w:val="en-US"/>
              </w:rPr>
              <w:br/>
            </w:r>
            <w:r w:rsidRPr="00493C95">
              <w:rPr>
                <w:i/>
                <w:iCs/>
                <w:szCs w:val="22"/>
                <w:lang w:val="en-US"/>
              </w:rPr>
              <w:t>F</w:t>
            </w:r>
            <w:r w:rsidRPr="00493C95">
              <w:rPr>
                <w:szCs w:val="22"/>
                <w:lang w:val="en-US"/>
              </w:rPr>
              <w:t> = 1 202,025</w:t>
            </w:r>
          </w:p>
        </w:tc>
      </w:tr>
      <w:tr w:rsidR="00936916" w:rsidRPr="00E108DC" w14:paraId="004C32D6"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42BC970C" w14:textId="77777777" w:rsidR="00936916" w:rsidRPr="00493C95" w:rsidRDefault="00936916" w:rsidP="00D80347">
            <w:pPr>
              <w:pStyle w:val="Tabletext"/>
              <w:jc w:val="left"/>
              <w:rPr>
                <w:lang w:val="es-ES"/>
              </w:rPr>
            </w:pPr>
            <w:r w:rsidRPr="00493C95">
              <w:rPr>
                <w:lang w:val="es-ES"/>
              </w:rPr>
              <w:t>Velocidad de segmento de código con ruido pseudoaleatorio (Mcps)</w:t>
            </w:r>
          </w:p>
        </w:tc>
        <w:tc>
          <w:tcPr>
            <w:tcW w:w="3065" w:type="dxa"/>
            <w:tcBorders>
              <w:top w:val="single" w:sz="4" w:space="0" w:color="auto"/>
              <w:left w:val="single" w:sz="4" w:space="0" w:color="auto"/>
              <w:bottom w:val="single" w:sz="4" w:space="0" w:color="auto"/>
              <w:right w:val="single" w:sz="4" w:space="0" w:color="auto"/>
            </w:tcBorders>
          </w:tcPr>
          <w:p w14:paraId="57FB9055" w14:textId="77777777" w:rsidR="00936916" w:rsidRPr="00493C95" w:rsidRDefault="00936916" w:rsidP="00D80347">
            <w:pPr>
              <w:pStyle w:val="Tabletext"/>
              <w:jc w:val="center"/>
              <w:rPr>
                <w:lang w:val="es-ES"/>
              </w:rPr>
            </w:pPr>
            <w:r w:rsidRPr="00493C95">
              <w:rPr>
                <w:lang w:val="es-ES"/>
              </w:rPr>
              <w:t>5,11 (señales HA L1 y HA L2)</w:t>
            </w:r>
            <w:r w:rsidRPr="00493C95">
              <w:rPr>
                <w:lang w:val="es-ES"/>
              </w:rPr>
              <w:br/>
              <w:t>0,511 (señales SA L1 y SA L2)</w:t>
            </w:r>
            <w:r w:rsidRPr="00493C95">
              <w:rPr>
                <w:lang w:val="es-ES"/>
              </w:rPr>
              <w:br/>
              <w:t>4,095</w:t>
            </w:r>
            <w:r w:rsidRPr="00493C95">
              <w:rPr>
                <w:rFonts w:eastAsia="MS PGothic"/>
                <w:lang w:val="es-ES"/>
              </w:rPr>
              <w:t xml:space="preserve"> </w:t>
            </w:r>
            <w:r w:rsidRPr="00493C95">
              <w:rPr>
                <w:lang w:val="es-ES"/>
              </w:rPr>
              <w:t>(señales HA L3 y SA L3)</w:t>
            </w:r>
          </w:p>
        </w:tc>
        <w:tc>
          <w:tcPr>
            <w:tcW w:w="2491" w:type="dxa"/>
            <w:tcBorders>
              <w:top w:val="single" w:sz="4" w:space="0" w:color="auto"/>
              <w:left w:val="single" w:sz="4" w:space="0" w:color="auto"/>
              <w:bottom w:val="single" w:sz="4" w:space="0" w:color="auto"/>
              <w:right w:val="single" w:sz="4" w:space="0" w:color="auto"/>
            </w:tcBorders>
          </w:tcPr>
          <w:p w14:paraId="68DCF913" w14:textId="77777777" w:rsidR="00936916" w:rsidRPr="00493C95" w:rsidRDefault="00936916" w:rsidP="00D80347">
            <w:pPr>
              <w:pStyle w:val="Tabletext"/>
              <w:jc w:val="center"/>
              <w:rPr>
                <w:szCs w:val="22"/>
                <w:lang w:val="es-ES"/>
              </w:rPr>
            </w:pPr>
            <w:r w:rsidRPr="00493C95">
              <w:rPr>
                <w:szCs w:val="22"/>
                <w:lang w:val="en-US"/>
              </w:rPr>
              <w:t xml:space="preserve">1,023 </w:t>
            </w:r>
            <w:r w:rsidRPr="00EF7284">
              <w:rPr>
                <w:szCs w:val="22"/>
                <w:lang w:val="en-US"/>
              </w:rPr>
              <w:t>(L1, L2)</w:t>
            </w:r>
            <w:r>
              <w:rPr>
                <w:rFonts w:ascii="Calibri" w:eastAsia="Calibri" w:hAnsi="Calibri" w:cs="Arial"/>
                <w:szCs w:val="22"/>
                <w:lang w:val="en-US"/>
              </w:rPr>
              <w:br/>
            </w:r>
            <w:r w:rsidRPr="00493C95">
              <w:rPr>
                <w:szCs w:val="22"/>
                <w:lang w:val="en-US"/>
              </w:rPr>
              <w:t xml:space="preserve">10 </w:t>
            </w:r>
            <w:r w:rsidRPr="00D66A3B">
              <w:rPr>
                <w:sz w:val="12"/>
                <w:szCs w:val="12"/>
                <w:lang w:val="en-GB"/>
              </w:rPr>
              <w:t>*</w:t>
            </w:r>
            <w:r>
              <w:rPr>
                <w:szCs w:val="22"/>
                <w:lang w:val="en-GB"/>
              </w:rPr>
              <w:t xml:space="preserve"> </w:t>
            </w:r>
            <w:r w:rsidRPr="00493C95">
              <w:rPr>
                <w:szCs w:val="22"/>
                <w:lang w:val="en-US"/>
              </w:rPr>
              <w:t>1,023 (L3)</w:t>
            </w:r>
          </w:p>
        </w:tc>
      </w:tr>
      <w:tr w:rsidR="00936916" w:rsidRPr="00E108DC" w14:paraId="006212A8"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0646E28F" w14:textId="77777777" w:rsidR="00936916" w:rsidRPr="00493C95" w:rsidRDefault="00936916" w:rsidP="00D80347">
            <w:pPr>
              <w:pStyle w:val="Tabletext"/>
              <w:jc w:val="left"/>
              <w:rPr>
                <w:lang w:val="es-ES"/>
              </w:rPr>
            </w:pPr>
            <w:r w:rsidRPr="00493C95">
              <w:rPr>
                <w:lang w:val="es-ES"/>
              </w:rPr>
              <w:t>Velocidad binaria de los datos de navegación (bps)</w:t>
            </w:r>
          </w:p>
        </w:tc>
        <w:tc>
          <w:tcPr>
            <w:tcW w:w="3065" w:type="dxa"/>
            <w:tcBorders>
              <w:top w:val="single" w:sz="4" w:space="0" w:color="auto"/>
              <w:left w:val="single" w:sz="4" w:space="0" w:color="auto"/>
              <w:bottom w:val="single" w:sz="4" w:space="0" w:color="auto"/>
              <w:right w:val="single" w:sz="4" w:space="0" w:color="auto"/>
            </w:tcBorders>
          </w:tcPr>
          <w:p w14:paraId="686E3EDF" w14:textId="77777777" w:rsidR="00936916" w:rsidRPr="00493C95" w:rsidRDefault="00936916" w:rsidP="00D80347">
            <w:pPr>
              <w:pStyle w:val="Tabletext"/>
              <w:jc w:val="center"/>
              <w:rPr>
                <w:lang w:val="es-ES"/>
              </w:rPr>
            </w:pPr>
            <w:r w:rsidRPr="00493C95">
              <w:rPr>
                <w:lang w:val="es-ES"/>
              </w:rPr>
              <w:t>50 (señales L1 y L2)</w:t>
            </w:r>
            <w:r w:rsidRPr="00493C95">
              <w:rPr>
                <w:lang w:val="es-ES"/>
              </w:rPr>
              <w:br/>
              <w:t>125 (señales L3)</w:t>
            </w:r>
          </w:p>
        </w:tc>
        <w:tc>
          <w:tcPr>
            <w:tcW w:w="2491" w:type="dxa"/>
            <w:tcBorders>
              <w:top w:val="single" w:sz="4" w:space="0" w:color="auto"/>
              <w:left w:val="single" w:sz="4" w:space="0" w:color="auto"/>
              <w:bottom w:val="single" w:sz="4" w:space="0" w:color="auto"/>
              <w:right w:val="single" w:sz="4" w:space="0" w:color="auto"/>
            </w:tcBorders>
          </w:tcPr>
          <w:p w14:paraId="686EDEB1" w14:textId="77777777" w:rsidR="00936916" w:rsidRPr="00493C95" w:rsidRDefault="00936916" w:rsidP="00D80347">
            <w:pPr>
              <w:pStyle w:val="Tabletext"/>
              <w:jc w:val="center"/>
              <w:rPr>
                <w:szCs w:val="22"/>
                <w:lang w:val="es-ES"/>
              </w:rPr>
            </w:pPr>
            <w:r w:rsidRPr="00570376">
              <w:rPr>
                <w:szCs w:val="22"/>
                <w:lang w:val="fr-CH"/>
              </w:rPr>
              <w:t>125 (señales L1)</w:t>
            </w:r>
            <w:r w:rsidRPr="00570376">
              <w:rPr>
                <w:rFonts w:ascii="Calibri" w:eastAsia="Calibri" w:hAnsi="Calibri" w:cs="Arial"/>
                <w:szCs w:val="22"/>
                <w:lang w:val="fr-CH"/>
              </w:rPr>
              <w:br/>
            </w:r>
            <w:r w:rsidRPr="00570376">
              <w:rPr>
                <w:szCs w:val="22"/>
                <w:lang w:val="fr-CH"/>
              </w:rPr>
              <w:t>125 y 250 (señales L2)</w:t>
            </w:r>
            <w:r w:rsidRPr="00570376">
              <w:rPr>
                <w:rFonts w:ascii="Calibri" w:eastAsia="Calibri" w:hAnsi="Calibri" w:cs="Arial"/>
                <w:szCs w:val="22"/>
                <w:lang w:val="fr-CH"/>
              </w:rPr>
              <w:br/>
            </w:r>
            <w:r w:rsidRPr="00570376">
              <w:rPr>
                <w:szCs w:val="22"/>
                <w:lang w:val="fr-CH"/>
              </w:rPr>
              <w:t>100 (señales L3)</w:t>
            </w:r>
          </w:p>
        </w:tc>
      </w:tr>
      <w:tr w:rsidR="00936916" w:rsidRPr="00E108DC" w14:paraId="6C6833E1"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4D726F27" w14:textId="77777777" w:rsidR="00936916" w:rsidRPr="00493C95" w:rsidRDefault="00936916" w:rsidP="00D80347">
            <w:pPr>
              <w:pStyle w:val="Tabletext"/>
              <w:jc w:val="left"/>
              <w:rPr>
                <w:lang w:val="es-ES"/>
              </w:rPr>
            </w:pPr>
            <w:r w:rsidRPr="00493C95">
              <w:rPr>
                <w:lang w:val="es-ES"/>
              </w:rPr>
              <w:t>Máxima proporción de bits erróneos admisible</w:t>
            </w:r>
          </w:p>
        </w:tc>
        <w:tc>
          <w:tcPr>
            <w:tcW w:w="3065" w:type="dxa"/>
            <w:tcBorders>
              <w:top w:val="single" w:sz="4" w:space="0" w:color="auto"/>
              <w:left w:val="single" w:sz="4" w:space="0" w:color="auto"/>
              <w:bottom w:val="single" w:sz="4" w:space="0" w:color="auto"/>
              <w:right w:val="single" w:sz="4" w:space="0" w:color="auto"/>
            </w:tcBorders>
          </w:tcPr>
          <w:p w14:paraId="3A1F06E2" w14:textId="77777777" w:rsidR="00936916" w:rsidRPr="00493C95" w:rsidRDefault="00936916" w:rsidP="00D80347">
            <w:pPr>
              <w:pStyle w:val="Tabletext"/>
              <w:jc w:val="center"/>
              <w:rPr>
                <w:lang w:val="es-ES"/>
              </w:rPr>
            </w:pPr>
            <w:r w:rsidRPr="00493C95">
              <w:rPr>
                <w:lang w:val="es-ES"/>
              </w:rPr>
              <w:t xml:space="preserve">1 </w:t>
            </w:r>
            <w:r w:rsidRPr="00493C95">
              <w:rPr>
                <w:rFonts w:ascii="Symbol" w:hAnsi="Symbol" w:cs="Symbol"/>
                <w:lang w:val="es-ES"/>
              </w:rPr>
              <w:t></w:t>
            </w:r>
            <w:r w:rsidRPr="00493C95">
              <w:rPr>
                <w:lang w:val="es-ES"/>
              </w:rPr>
              <w:t xml:space="preserve"> 10</w:t>
            </w:r>
            <w:r w:rsidRPr="00493C95">
              <w:rPr>
                <w:vertAlign w:val="superscript"/>
                <w:lang w:val="es-ES"/>
              </w:rPr>
              <w:t>−5</w:t>
            </w:r>
          </w:p>
        </w:tc>
        <w:tc>
          <w:tcPr>
            <w:tcW w:w="2491" w:type="dxa"/>
            <w:tcBorders>
              <w:top w:val="single" w:sz="4" w:space="0" w:color="auto"/>
              <w:left w:val="single" w:sz="4" w:space="0" w:color="auto"/>
              <w:bottom w:val="single" w:sz="4" w:space="0" w:color="auto"/>
              <w:right w:val="single" w:sz="4" w:space="0" w:color="auto"/>
            </w:tcBorders>
          </w:tcPr>
          <w:p w14:paraId="5357DA8D" w14:textId="77777777" w:rsidR="00936916" w:rsidRPr="00493C95" w:rsidRDefault="00936916" w:rsidP="00D80347">
            <w:pPr>
              <w:pStyle w:val="Tabletext"/>
              <w:jc w:val="center"/>
              <w:rPr>
                <w:szCs w:val="22"/>
                <w:lang w:val="es-ES"/>
              </w:rPr>
            </w:pPr>
            <w:r w:rsidRPr="00493C95">
              <w:rPr>
                <w:szCs w:val="22"/>
                <w:lang w:val="en-US"/>
              </w:rPr>
              <w:t>1 × 1</w:t>
            </w:r>
            <w:r w:rsidRPr="00EF7284">
              <w:rPr>
                <w:szCs w:val="22"/>
                <w:lang w:val="en-US"/>
              </w:rPr>
              <w:t>0</w:t>
            </w:r>
            <w:r w:rsidRPr="00493C95">
              <w:rPr>
                <w:szCs w:val="22"/>
                <w:vertAlign w:val="superscript"/>
                <w:lang w:val="en-US"/>
              </w:rPr>
              <w:t>−5</w:t>
            </w:r>
          </w:p>
        </w:tc>
      </w:tr>
      <w:tr w:rsidR="00936916" w:rsidRPr="00E108DC" w14:paraId="7EF8612C"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749B24B6" w14:textId="77777777" w:rsidR="00936916" w:rsidRPr="00493C95" w:rsidRDefault="00936916" w:rsidP="00D80347">
            <w:pPr>
              <w:pStyle w:val="Tabletext"/>
              <w:rPr>
                <w:lang w:val="es-ES"/>
              </w:rPr>
            </w:pPr>
            <w:r w:rsidRPr="00493C95">
              <w:rPr>
                <w:lang w:val="es-ES"/>
              </w:rPr>
              <w:t>Método de modulación de la señal</w:t>
            </w:r>
          </w:p>
        </w:tc>
        <w:tc>
          <w:tcPr>
            <w:tcW w:w="3065" w:type="dxa"/>
            <w:tcBorders>
              <w:top w:val="single" w:sz="4" w:space="0" w:color="auto"/>
              <w:left w:val="single" w:sz="4" w:space="0" w:color="auto"/>
              <w:bottom w:val="single" w:sz="4" w:space="0" w:color="auto"/>
              <w:right w:val="single" w:sz="4" w:space="0" w:color="auto"/>
            </w:tcBorders>
          </w:tcPr>
          <w:p w14:paraId="7EDC628F" w14:textId="77777777" w:rsidR="00936916" w:rsidRPr="00493C95" w:rsidRDefault="00936916" w:rsidP="00D80347">
            <w:pPr>
              <w:pStyle w:val="Tabletext"/>
              <w:jc w:val="center"/>
              <w:rPr>
                <w:lang w:val="es-ES"/>
              </w:rPr>
            </w:pPr>
            <w:r w:rsidRPr="00493C95">
              <w:rPr>
                <w:snapToGrid w:val="0"/>
                <w:lang w:val="es-ES"/>
              </w:rPr>
              <w:t>MDPB</w:t>
            </w:r>
          </w:p>
        </w:tc>
        <w:tc>
          <w:tcPr>
            <w:tcW w:w="2491" w:type="dxa"/>
            <w:tcBorders>
              <w:top w:val="single" w:sz="4" w:space="0" w:color="auto"/>
              <w:left w:val="single" w:sz="4" w:space="0" w:color="auto"/>
              <w:bottom w:val="single" w:sz="4" w:space="0" w:color="auto"/>
              <w:right w:val="single" w:sz="4" w:space="0" w:color="auto"/>
            </w:tcBorders>
          </w:tcPr>
          <w:p w14:paraId="56DBC663" w14:textId="77777777" w:rsidR="00A44198" w:rsidRPr="00570376" w:rsidRDefault="00936916" w:rsidP="00D80347">
            <w:pPr>
              <w:pStyle w:val="Tabletext"/>
              <w:jc w:val="center"/>
              <w:rPr>
                <w:rFonts w:eastAsia="Calibri"/>
                <w:szCs w:val="22"/>
                <w:lang w:val="fr-CH"/>
              </w:rPr>
            </w:pPr>
            <w:r w:rsidRPr="00570376">
              <w:rPr>
                <w:szCs w:val="22"/>
                <w:lang w:val="fr-CH"/>
              </w:rPr>
              <w:t xml:space="preserve">Para señales L1 y L2: </w:t>
            </w:r>
            <w:r w:rsidRPr="00570376">
              <w:rPr>
                <w:rFonts w:eastAsia="Calibri"/>
                <w:szCs w:val="22"/>
                <w:lang w:val="fr-CH"/>
              </w:rPr>
              <w:t>MDP-2(1), BOC(1,1), BOC(5,2,5)</w:t>
            </w:r>
          </w:p>
          <w:p w14:paraId="67BDFF4F" w14:textId="12F1EE59" w:rsidR="00936916" w:rsidRPr="00493C95" w:rsidRDefault="00936916" w:rsidP="00D80347">
            <w:pPr>
              <w:pStyle w:val="Tabletext"/>
              <w:jc w:val="center"/>
              <w:rPr>
                <w:snapToGrid w:val="0"/>
                <w:szCs w:val="22"/>
                <w:lang w:val="es-ES"/>
              </w:rPr>
            </w:pPr>
            <w:r w:rsidRPr="00570376">
              <w:rPr>
                <w:szCs w:val="22"/>
                <w:lang w:val="fr-CH"/>
              </w:rPr>
              <w:t>Para señal L3: manipulación bifase (MDP</w:t>
            </w:r>
            <w:r w:rsidRPr="00570376">
              <w:rPr>
                <w:szCs w:val="22"/>
                <w:lang w:val="fr-CH"/>
              </w:rPr>
              <w:noBreakHyphen/>
              <w:t>2(10))</w:t>
            </w:r>
          </w:p>
        </w:tc>
      </w:tr>
      <w:tr w:rsidR="00936916" w:rsidRPr="00E108DC" w14:paraId="7D49B232"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19B4CF45" w14:textId="77777777" w:rsidR="00936916" w:rsidRPr="00493C95" w:rsidRDefault="00936916" w:rsidP="00D80347">
            <w:pPr>
              <w:pStyle w:val="Tabletext"/>
              <w:rPr>
                <w:lang w:val="es-ES"/>
              </w:rPr>
            </w:pPr>
            <w:r w:rsidRPr="00493C95">
              <w:rPr>
                <w:lang w:val="es-ES"/>
              </w:rPr>
              <w:t>Polarización</w:t>
            </w:r>
          </w:p>
        </w:tc>
        <w:tc>
          <w:tcPr>
            <w:tcW w:w="5556" w:type="dxa"/>
            <w:gridSpan w:val="2"/>
            <w:tcBorders>
              <w:top w:val="single" w:sz="4" w:space="0" w:color="auto"/>
              <w:left w:val="single" w:sz="4" w:space="0" w:color="auto"/>
              <w:bottom w:val="single" w:sz="4" w:space="0" w:color="auto"/>
              <w:right w:val="single" w:sz="4" w:space="0" w:color="auto"/>
            </w:tcBorders>
          </w:tcPr>
          <w:p w14:paraId="48804E53" w14:textId="77777777" w:rsidR="00936916" w:rsidRPr="00E108DC" w:rsidRDefault="00936916" w:rsidP="00D80347">
            <w:pPr>
              <w:pStyle w:val="Tabletext"/>
              <w:jc w:val="center"/>
              <w:rPr>
                <w:snapToGrid w:val="0"/>
                <w:lang w:val="es-ES"/>
              </w:rPr>
            </w:pPr>
            <w:r w:rsidRPr="00493C95">
              <w:rPr>
                <w:snapToGrid w:val="0"/>
                <w:lang w:val="es-ES"/>
              </w:rPr>
              <w:t>Polarización circular dextrógira</w:t>
            </w:r>
          </w:p>
        </w:tc>
      </w:tr>
      <w:tr w:rsidR="00936916" w:rsidRPr="00E108DC" w14:paraId="1081F7A0"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0F462586" w14:textId="77777777" w:rsidR="00936916" w:rsidRPr="00493C95" w:rsidRDefault="00936916" w:rsidP="00D80347">
            <w:pPr>
              <w:pStyle w:val="Tabletext"/>
              <w:rPr>
                <w:lang w:val="es-ES"/>
              </w:rPr>
            </w:pPr>
            <w:r w:rsidRPr="00493C95">
              <w:rPr>
                <w:lang w:val="es-ES"/>
              </w:rPr>
              <w:t>Elipticidad (dB)</w:t>
            </w:r>
          </w:p>
        </w:tc>
        <w:tc>
          <w:tcPr>
            <w:tcW w:w="3065" w:type="dxa"/>
            <w:tcBorders>
              <w:top w:val="single" w:sz="4" w:space="0" w:color="auto"/>
              <w:left w:val="single" w:sz="4" w:space="0" w:color="auto"/>
              <w:bottom w:val="single" w:sz="4" w:space="0" w:color="auto"/>
              <w:right w:val="single" w:sz="4" w:space="0" w:color="auto"/>
            </w:tcBorders>
          </w:tcPr>
          <w:p w14:paraId="111A34D0" w14:textId="77777777" w:rsidR="00936916" w:rsidRPr="00493C95" w:rsidRDefault="00936916" w:rsidP="00D80347">
            <w:pPr>
              <w:pStyle w:val="Tabletext"/>
              <w:jc w:val="center"/>
              <w:rPr>
                <w:snapToGrid w:val="0"/>
                <w:lang w:val="es-ES"/>
              </w:rPr>
            </w:pPr>
            <w:r w:rsidRPr="00493C95">
              <w:rPr>
                <w:snapToGrid w:val="0"/>
                <w:lang w:val="es-ES"/>
              </w:rPr>
              <w:t>−1,55</w:t>
            </w:r>
          </w:p>
        </w:tc>
        <w:tc>
          <w:tcPr>
            <w:tcW w:w="2491" w:type="dxa"/>
            <w:tcBorders>
              <w:top w:val="single" w:sz="4" w:space="0" w:color="auto"/>
              <w:left w:val="single" w:sz="4" w:space="0" w:color="auto"/>
              <w:bottom w:val="single" w:sz="4" w:space="0" w:color="auto"/>
              <w:right w:val="single" w:sz="4" w:space="0" w:color="auto"/>
            </w:tcBorders>
          </w:tcPr>
          <w:p w14:paraId="3568CCB4" w14:textId="77777777" w:rsidR="00936916" w:rsidRPr="00493C95" w:rsidRDefault="00936916" w:rsidP="00D80347">
            <w:pPr>
              <w:pStyle w:val="Tabletext"/>
              <w:jc w:val="center"/>
              <w:rPr>
                <w:snapToGrid w:val="0"/>
                <w:szCs w:val="22"/>
                <w:lang w:val="es-ES"/>
              </w:rPr>
            </w:pPr>
            <w:r w:rsidRPr="00493C95">
              <w:rPr>
                <w:snapToGrid w:val="0"/>
                <w:szCs w:val="22"/>
                <w:lang w:val="en-US"/>
              </w:rPr>
              <w:t>−</w:t>
            </w:r>
            <w:r w:rsidRPr="00EF7284">
              <w:rPr>
                <w:snapToGrid w:val="0"/>
                <w:szCs w:val="22"/>
                <w:lang w:val="en-US"/>
              </w:rPr>
              <w:t>1,55</w:t>
            </w:r>
          </w:p>
        </w:tc>
      </w:tr>
      <w:tr w:rsidR="00936916" w:rsidRPr="00E108DC" w14:paraId="54E79431"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65056D9E" w14:textId="77777777" w:rsidR="00936916" w:rsidRPr="00493C95" w:rsidRDefault="00936916" w:rsidP="00D80347">
            <w:pPr>
              <w:pStyle w:val="Tabletext"/>
              <w:rPr>
                <w:lang w:val="es-ES"/>
              </w:rPr>
            </w:pPr>
            <w:r w:rsidRPr="00493C95">
              <w:rPr>
                <w:lang w:val="es-ES"/>
              </w:rPr>
              <w:t>Mínimo nivel de potencia recibida (dBW)</w:t>
            </w:r>
          </w:p>
        </w:tc>
        <w:tc>
          <w:tcPr>
            <w:tcW w:w="3065" w:type="dxa"/>
            <w:tcBorders>
              <w:top w:val="single" w:sz="4" w:space="0" w:color="auto"/>
              <w:left w:val="single" w:sz="4" w:space="0" w:color="auto"/>
              <w:bottom w:val="single" w:sz="4" w:space="0" w:color="auto"/>
              <w:right w:val="single" w:sz="4" w:space="0" w:color="auto"/>
            </w:tcBorders>
          </w:tcPr>
          <w:p w14:paraId="1C4B44F4" w14:textId="77777777" w:rsidR="00936916" w:rsidRPr="00493C95" w:rsidRDefault="00936916" w:rsidP="00D80347">
            <w:pPr>
              <w:pStyle w:val="Tabletext"/>
              <w:jc w:val="center"/>
              <w:rPr>
                <w:lang w:val="es-ES"/>
              </w:rPr>
            </w:pPr>
            <w:r w:rsidRPr="00493C95">
              <w:rPr>
                <w:snapToGrid w:val="0"/>
                <w:lang w:val="es-ES"/>
              </w:rPr>
              <w:t>−170</w:t>
            </w:r>
          </w:p>
        </w:tc>
        <w:tc>
          <w:tcPr>
            <w:tcW w:w="2491" w:type="dxa"/>
            <w:tcBorders>
              <w:top w:val="single" w:sz="4" w:space="0" w:color="auto"/>
              <w:left w:val="single" w:sz="4" w:space="0" w:color="auto"/>
              <w:bottom w:val="single" w:sz="4" w:space="0" w:color="auto"/>
              <w:right w:val="single" w:sz="4" w:space="0" w:color="auto"/>
            </w:tcBorders>
          </w:tcPr>
          <w:p w14:paraId="0EA11677" w14:textId="77777777" w:rsidR="00936916" w:rsidRPr="00493C95" w:rsidRDefault="00936916" w:rsidP="00D80347">
            <w:pPr>
              <w:pStyle w:val="Tabletext"/>
              <w:jc w:val="center"/>
              <w:rPr>
                <w:snapToGrid w:val="0"/>
                <w:szCs w:val="22"/>
                <w:lang w:val="es-ES"/>
              </w:rPr>
            </w:pPr>
            <w:r w:rsidRPr="00493C95">
              <w:rPr>
                <w:snapToGrid w:val="0"/>
                <w:szCs w:val="22"/>
                <w:lang w:val="en-US"/>
              </w:rPr>
              <w:t>−17</w:t>
            </w:r>
            <w:r w:rsidRPr="00EF7284">
              <w:rPr>
                <w:snapToGrid w:val="0"/>
                <w:szCs w:val="22"/>
                <w:lang w:val="en-US"/>
              </w:rPr>
              <w:t>0</w:t>
            </w:r>
          </w:p>
        </w:tc>
      </w:tr>
      <w:tr w:rsidR="00936916" w:rsidRPr="00E108DC" w14:paraId="6AC389E3"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532D0825" w14:textId="77777777" w:rsidR="00936916" w:rsidRPr="00493C95" w:rsidRDefault="00936916" w:rsidP="00D80347">
            <w:pPr>
              <w:pStyle w:val="Tabletext"/>
              <w:jc w:val="left"/>
              <w:rPr>
                <w:lang w:val="es-ES"/>
              </w:rPr>
            </w:pPr>
            <w:r w:rsidRPr="00493C95">
              <w:rPr>
                <w:lang w:val="es-ES"/>
              </w:rPr>
              <w:t>Mínima ganancia de antena del receptor</w:t>
            </w:r>
            <w:r w:rsidRPr="00493C95">
              <w:rPr>
                <w:vertAlign w:val="superscript"/>
                <w:lang w:val="es-ES"/>
              </w:rPr>
              <w:t>(2)</w:t>
            </w:r>
            <w:r w:rsidRPr="00493C95">
              <w:rPr>
                <w:lang w:val="es-ES"/>
              </w:rPr>
              <w:t xml:space="preserve"> (dBi) para el ángulo de elevación correspondiente (grados)</w:t>
            </w:r>
          </w:p>
        </w:tc>
        <w:tc>
          <w:tcPr>
            <w:tcW w:w="3065" w:type="dxa"/>
            <w:tcBorders>
              <w:top w:val="single" w:sz="4" w:space="0" w:color="auto"/>
              <w:left w:val="single" w:sz="4" w:space="0" w:color="auto"/>
              <w:bottom w:val="single" w:sz="4" w:space="0" w:color="auto"/>
              <w:right w:val="single" w:sz="4" w:space="0" w:color="auto"/>
            </w:tcBorders>
          </w:tcPr>
          <w:p w14:paraId="019E6650" w14:textId="77777777" w:rsidR="00936916" w:rsidRPr="00493C95" w:rsidRDefault="00936916" w:rsidP="00D80347">
            <w:pPr>
              <w:pStyle w:val="Tabletext"/>
              <w:jc w:val="center"/>
              <w:rPr>
                <w:lang w:val="es-ES"/>
              </w:rPr>
            </w:pPr>
            <w:r w:rsidRPr="00493C95">
              <w:rPr>
                <w:lang w:val="es-ES"/>
              </w:rPr>
              <w:t xml:space="preserve">−6 (señales L1, L2, L3) </w:t>
            </w:r>
            <w:r>
              <w:rPr>
                <w:lang w:val="es-ES"/>
              </w:rPr>
              <w:br/>
            </w:r>
            <w:r w:rsidRPr="00493C95">
              <w:rPr>
                <w:lang w:val="es-ES"/>
              </w:rPr>
              <w:t>a 5 grados</w:t>
            </w:r>
          </w:p>
        </w:tc>
        <w:tc>
          <w:tcPr>
            <w:tcW w:w="2491" w:type="dxa"/>
            <w:tcBorders>
              <w:top w:val="single" w:sz="4" w:space="0" w:color="auto"/>
              <w:left w:val="single" w:sz="4" w:space="0" w:color="auto"/>
              <w:bottom w:val="single" w:sz="4" w:space="0" w:color="auto"/>
              <w:right w:val="single" w:sz="4" w:space="0" w:color="auto"/>
            </w:tcBorders>
          </w:tcPr>
          <w:p w14:paraId="34C7A9A2" w14:textId="77777777" w:rsidR="00936916" w:rsidRPr="00493C95" w:rsidRDefault="00936916" w:rsidP="00D80347">
            <w:pPr>
              <w:pStyle w:val="Tabletext"/>
              <w:jc w:val="center"/>
              <w:rPr>
                <w:szCs w:val="22"/>
                <w:lang w:val="es-ES"/>
              </w:rPr>
            </w:pPr>
            <w:r w:rsidRPr="00570376">
              <w:rPr>
                <w:szCs w:val="22"/>
                <w:lang w:val="fr-CH"/>
              </w:rPr>
              <w:t>−6 (señales L1, L2, L3) para 5 grados</w:t>
            </w:r>
          </w:p>
        </w:tc>
      </w:tr>
      <w:tr w:rsidR="00936916" w:rsidRPr="00E108DC" w14:paraId="11ACAA0C"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6A8DAD3B" w14:textId="77777777" w:rsidR="00936916" w:rsidRPr="00493C95" w:rsidRDefault="00936916" w:rsidP="00D80347">
            <w:pPr>
              <w:pStyle w:val="Tabletext"/>
              <w:jc w:val="left"/>
              <w:rPr>
                <w:lang w:val="es-ES"/>
              </w:rPr>
            </w:pPr>
            <w:r w:rsidRPr="00493C95">
              <w:rPr>
                <w:lang w:val="es-ES"/>
              </w:rPr>
              <w:t>Máxima ganancia de antena del receptor en el hemisferio superior (dBi)</w:t>
            </w:r>
          </w:p>
        </w:tc>
        <w:tc>
          <w:tcPr>
            <w:tcW w:w="3065" w:type="dxa"/>
            <w:tcBorders>
              <w:top w:val="single" w:sz="4" w:space="0" w:color="auto"/>
              <w:left w:val="single" w:sz="4" w:space="0" w:color="auto"/>
              <w:bottom w:val="single" w:sz="4" w:space="0" w:color="auto"/>
              <w:right w:val="single" w:sz="4" w:space="0" w:color="auto"/>
            </w:tcBorders>
          </w:tcPr>
          <w:p w14:paraId="583B97D5" w14:textId="77777777" w:rsidR="00936916" w:rsidRPr="00493C95" w:rsidRDefault="00936916" w:rsidP="00D80347">
            <w:pPr>
              <w:pStyle w:val="Tabletext"/>
              <w:jc w:val="center"/>
              <w:rPr>
                <w:lang w:val="es-ES"/>
              </w:rPr>
            </w:pPr>
            <w:r w:rsidRPr="00493C95">
              <w:rPr>
                <w:lang w:val="es-ES"/>
              </w:rPr>
              <w:t>3</w:t>
            </w:r>
          </w:p>
        </w:tc>
        <w:tc>
          <w:tcPr>
            <w:tcW w:w="2491" w:type="dxa"/>
            <w:tcBorders>
              <w:top w:val="single" w:sz="4" w:space="0" w:color="auto"/>
              <w:left w:val="single" w:sz="4" w:space="0" w:color="auto"/>
              <w:bottom w:val="single" w:sz="4" w:space="0" w:color="auto"/>
              <w:right w:val="single" w:sz="4" w:space="0" w:color="auto"/>
            </w:tcBorders>
          </w:tcPr>
          <w:p w14:paraId="013CB9B3" w14:textId="77777777" w:rsidR="00936916" w:rsidRPr="00493C95" w:rsidRDefault="00936916" w:rsidP="00D80347">
            <w:pPr>
              <w:pStyle w:val="Tabletext"/>
              <w:jc w:val="center"/>
              <w:rPr>
                <w:szCs w:val="22"/>
                <w:lang w:val="es-ES"/>
              </w:rPr>
            </w:pPr>
            <w:r w:rsidRPr="00493C95">
              <w:rPr>
                <w:szCs w:val="22"/>
                <w:lang w:val="en-US"/>
              </w:rPr>
              <w:t>3 (L1)</w:t>
            </w:r>
            <w:r>
              <w:rPr>
                <w:szCs w:val="22"/>
                <w:lang w:val="en-US"/>
              </w:rPr>
              <w:br/>
            </w:r>
            <w:r w:rsidRPr="00493C95">
              <w:rPr>
                <w:szCs w:val="22"/>
                <w:lang w:val="en-US"/>
              </w:rPr>
              <w:t xml:space="preserve">1 </w:t>
            </w:r>
            <w:r w:rsidRPr="00EF7284">
              <w:rPr>
                <w:szCs w:val="22"/>
                <w:lang w:val="en-US"/>
              </w:rPr>
              <w:t xml:space="preserve">(L2 </w:t>
            </w:r>
            <w:r w:rsidRPr="00493C95">
              <w:rPr>
                <w:szCs w:val="22"/>
                <w:lang w:val="en-US"/>
              </w:rPr>
              <w:t>y L3)</w:t>
            </w:r>
          </w:p>
        </w:tc>
      </w:tr>
      <w:tr w:rsidR="00936916" w:rsidRPr="00E108DC" w14:paraId="6D3EC34A"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280453AC" w14:textId="77777777" w:rsidR="00936916" w:rsidRPr="00493C95" w:rsidRDefault="00936916" w:rsidP="00D80347">
            <w:pPr>
              <w:pStyle w:val="Tabletext"/>
              <w:jc w:val="left"/>
              <w:rPr>
                <w:lang w:val="es-ES"/>
              </w:rPr>
            </w:pPr>
            <w:r w:rsidRPr="00493C95">
              <w:rPr>
                <w:lang w:val="es-ES"/>
              </w:rPr>
              <w:t>Máxima ganancia de antena del receptor en el hemisferio inferior (dBi)</w:t>
            </w:r>
          </w:p>
        </w:tc>
        <w:tc>
          <w:tcPr>
            <w:tcW w:w="3065" w:type="dxa"/>
            <w:tcBorders>
              <w:top w:val="single" w:sz="4" w:space="0" w:color="auto"/>
              <w:left w:val="single" w:sz="4" w:space="0" w:color="auto"/>
              <w:bottom w:val="single" w:sz="4" w:space="0" w:color="auto"/>
              <w:right w:val="single" w:sz="4" w:space="0" w:color="auto"/>
            </w:tcBorders>
          </w:tcPr>
          <w:p w14:paraId="490AAD23" w14:textId="77777777" w:rsidR="00936916" w:rsidRPr="00493C95" w:rsidRDefault="00936916" w:rsidP="00D80347">
            <w:pPr>
              <w:pStyle w:val="Tabletext"/>
              <w:jc w:val="center"/>
              <w:rPr>
                <w:lang w:val="es-ES"/>
              </w:rPr>
            </w:pPr>
            <w:r w:rsidRPr="00493C95">
              <w:rPr>
                <w:lang w:val="es-ES"/>
              </w:rPr>
              <w:t>0</w:t>
            </w:r>
          </w:p>
        </w:tc>
        <w:tc>
          <w:tcPr>
            <w:tcW w:w="2491" w:type="dxa"/>
            <w:tcBorders>
              <w:top w:val="single" w:sz="4" w:space="0" w:color="auto"/>
              <w:left w:val="single" w:sz="4" w:space="0" w:color="auto"/>
              <w:bottom w:val="single" w:sz="4" w:space="0" w:color="auto"/>
              <w:right w:val="single" w:sz="4" w:space="0" w:color="auto"/>
            </w:tcBorders>
          </w:tcPr>
          <w:p w14:paraId="39A0EA06" w14:textId="77777777" w:rsidR="00936916" w:rsidRPr="00493C95" w:rsidRDefault="00936916" w:rsidP="00D80347">
            <w:pPr>
              <w:pStyle w:val="Tabletext"/>
              <w:jc w:val="center"/>
              <w:rPr>
                <w:szCs w:val="22"/>
                <w:lang w:val="en-US"/>
              </w:rPr>
            </w:pPr>
            <w:r w:rsidRPr="00EF7284">
              <w:rPr>
                <w:szCs w:val="22"/>
                <w:lang w:val="en-US"/>
              </w:rPr>
              <w:t>0</w:t>
            </w:r>
          </w:p>
        </w:tc>
      </w:tr>
    </w:tbl>
    <w:p w14:paraId="1BD6E94B" w14:textId="77777777" w:rsidR="00936916" w:rsidRDefault="00936916" w:rsidP="00936916">
      <w:pPr>
        <w:pStyle w:val="Tablefin"/>
      </w:pPr>
    </w:p>
    <w:p w14:paraId="1EC09C05" w14:textId="77777777" w:rsidR="00936916" w:rsidRPr="00493C95" w:rsidRDefault="00936916" w:rsidP="00936916">
      <w:pPr>
        <w:pStyle w:val="TableNo"/>
        <w:rPr>
          <w:lang w:val="es-ES"/>
        </w:rPr>
      </w:pPr>
      <w:r w:rsidRPr="00493C95">
        <w:rPr>
          <w:lang w:val="es-ES"/>
        </w:rPr>
        <w:t xml:space="preserve">CUADRO 1 </w:t>
      </w:r>
      <w:r w:rsidRPr="00493C95">
        <w:rPr>
          <w:i/>
          <w:iCs/>
          <w:lang w:val="es-ES"/>
        </w:rPr>
        <w:t>(</w:t>
      </w:r>
      <w:r>
        <w:rPr>
          <w:i/>
          <w:iCs/>
          <w:lang w:val="es-ES"/>
        </w:rPr>
        <w:t>f</w:t>
      </w:r>
      <w:r w:rsidRPr="00493C95">
        <w:rPr>
          <w:i/>
          <w:iCs/>
          <w:lang w:val="es-ES"/>
        </w:rPr>
        <w:t>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3"/>
        <w:gridCol w:w="3065"/>
        <w:gridCol w:w="2491"/>
      </w:tblGrid>
      <w:tr w:rsidR="00936916" w:rsidRPr="00E108DC" w14:paraId="0D6E0140"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5E2E2104" w14:textId="77777777" w:rsidR="00936916" w:rsidRPr="00493C95" w:rsidRDefault="00936916" w:rsidP="00D80347">
            <w:pPr>
              <w:pStyle w:val="Tablehead"/>
              <w:rPr>
                <w:lang w:val="es-ES"/>
              </w:rPr>
            </w:pPr>
            <w:r w:rsidRPr="00493C95">
              <w:rPr>
                <w:lang w:val="es-ES"/>
              </w:rPr>
              <w:t>Parámetro</w:t>
            </w:r>
          </w:p>
        </w:tc>
        <w:tc>
          <w:tcPr>
            <w:tcW w:w="5556" w:type="dxa"/>
            <w:gridSpan w:val="2"/>
            <w:tcBorders>
              <w:top w:val="single" w:sz="4" w:space="0" w:color="auto"/>
              <w:left w:val="single" w:sz="4" w:space="0" w:color="auto"/>
              <w:bottom w:val="single" w:sz="4" w:space="0" w:color="auto"/>
              <w:right w:val="single" w:sz="4" w:space="0" w:color="auto"/>
            </w:tcBorders>
          </w:tcPr>
          <w:p w14:paraId="2AB56EF2" w14:textId="77777777" w:rsidR="00936916" w:rsidRPr="00493C95" w:rsidRDefault="00936916" w:rsidP="00D80347">
            <w:pPr>
              <w:pStyle w:val="Tablehead"/>
              <w:rPr>
                <w:lang w:val="es-ES"/>
              </w:rPr>
            </w:pPr>
            <w:r w:rsidRPr="00493C95">
              <w:rPr>
                <w:lang w:val="es-ES"/>
              </w:rPr>
              <w:t>Valor</w:t>
            </w:r>
          </w:p>
        </w:tc>
      </w:tr>
      <w:tr w:rsidR="00936916" w:rsidRPr="00E108DC" w14:paraId="6C954A1F"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5032A4BA" w14:textId="77777777" w:rsidR="00936916" w:rsidRPr="00493C95" w:rsidRDefault="00936916" w:rsidP="00D80347">
            <w:pPr>
              <w:pStyle w:val="Tabletext"/>
              <w:rPr>
                <w:lang w:val="es-ES"/>
              </w:rPr>
            </w:pPr>
            <w:r w:rsidRPr="00493C95">
              <w:rPr>
                <w:lang w:val="es-ES"/>
              </w:rPr>
              <w:t>Anchura de banda a 3 dB del filtro de RF (MHz)</w:t>
            </w:r>
          </w:p>
        </w:tc>
        <w:tc>
          <w:tcPr>
            <w:tcW w:w="3065" w:type="dxa"/>
            <w:tcBorders>
              <w:top w:val="single" w:sz="4" w:space="0" w:color="auto"/>
              <w:left w:val="single" w:sz="4" w:space="0" w:color="auto"/>
              <w:bottom w:val="single" w:sz="4" w:space="0" w:color="auto"/>
              <w:right w:val="single" w:sz="4" w:space="0" w:color="auto"/>
            </w:tcBorders>
          </w:tcPr>
          <w:p w14:paraId="41E6616A" w14:textId="77777777" w:rsidR="00936916" w:rsidRPr="00493C95" w:rsidRDefault="00936916" w:rsidP="00D80347">
            <w:pPr>
              <w:pStyle w:val="Tabletext"/>
              <w:jc w:val="center"/>
              <w:rPr>
                <w:lang w:val="es-ES"/>
              </w:rPr>
            </w:pPr>
            <w:r w:rsidRPr="00493C95">
              <w:rPr>
                <w:lang w:val="es-ES"/>
              </w:rPr>
              <w:t>60</w:t>
            </w:r>
            <w:r w:rsidRPr="00493C95">
              <w:rPr>
                <w:rFonts w:eastAsia="MS PGothic"/>
                <w:lang w:val="es-ES"/>
              </w:rPr>
              <w:t xml:space="preserve"> </w:t>
            </w:r>
            <w:r w:rsidRPr="00493C95">
              <w:rPr>
                <w:lang w:val="es-ES"/>
              </w:rPr>
              <w:t>(señales L1)</w:t>
            </w:r>
            <w:r w:rsidRPr="00493C95">
              <w:rPr>
                <w:lang w:val="es-ES"/>
              </w:rPr>
              <w:br/>
              <w:t>30</w:t>
            </w:r>
            <w:r w:rsidRPr="00493C95">
              <w:rPr>
                <w:rFonts w:eastAsia="MS PGothic"/>
                <w:lang w:val="es-ES"/>
              </w:rPr>
              <w:t xml:space="preserve"> </w:t>
            </w:r>
            <w:r w:rsidRPr="00493C95">
              <w:rPr>
                <w:lang w:val="es-ES"/>
              </w:rPr>
              <w:t>(señales L2)</w:t>
            </w:r>
            <w:r w:rsidRPr="00493C95">
              <w:rPr>
                <w:lang w:val="es-ES"/>
              </w:rPr>
              <w:br/>
              <w:t>17</w:t>
            </w:r>
            <w:r w:rsidRPr="00493C95">
              <w:rPr>
                <w:rFonts w:eastAsia="MS PGothic"/>
                <w:lang w:val="es-ES"/>
              </w:rPr>
              <w:t xml:space="preserve"> </w:t>
            </w:r>
            <w:r w:rsidRPr="00493C95">
              <w:rPr>
                <w:lang w:val="es-ES"/>
              </w:rPr>
              <w:t>(señales L3)</w:t>
            </w:r>
          </w:p>
        </w:tc>
        <w:tc>
          <w:tcPr>
            <w:tcW w:w="2491" w:type="dxa"/>
            <w:tcBorders>
              <w:top w:val="single" w:sz="4" w:space="0" w:color="auto"/>
              <w:left w:val="single" w:sz="4" w:space="0" w:color="auto"/>
              <w:bottom w:val="single" w:sz="4" w:space="0" w:color="auto"/>
              <w:right w:val="single" w:sz="4" w:space="0" w:color="auto"/>
            </w:tcBorders>
          </w:tcPr>
          <w:p w14:paraId="3E340449" w14:textId="77777777" w:rsidR="00936916" w:rsidRPr="00493C95" w:rsidRDefault="00936916" w:rsidP="00D80347">
            <w:pPr>
              <w:pStyle w:val="Tabletext"/>
              <w:jc w:val="center"/>
              <w:rPr>
                <w:szCs w:val="22"/>
                <w:lang w:val="es-ES"/>
              </w:rPr>
            </w:pPr>
            <w:r w:rsidRPr="00570376">
              <w:rPr>
                <w:szCs w:val="22"/>
                <w:lang w:val="fr-CH"/>
              </w:rPr>
              <w:t>30 (señales L1)</w:t>
            </w:r>
            <w:r w:rsidRPr="00570376">
              <w:rPr>
                <w:szCs w:val="22"/>
                <w:lang w:val="fr-CH"/>
              </w:rPr>
              <w:br/>
              <w:t>30 (señales L2)</w:t>
            </w:r>
            <w:r w:rsidRPr="00570376">
              <w:rPr>
                <w:szCs w:val="22"/>
                <w:lang w:val="fr-CH"/>
              </w:rPr>
              <w:br/>
              <w:t>30 (señales L3)</w:t>
            </w:r>
          </w:p>
        </w:tc>
      </w:tr>
      <w:tr w:rsidR="00936916" w:rsidRPr="00E108DC" w14:paraId="6AADBAA1"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36496CCA" w14:textId="77777777" w:rsidR="00936916" w:rsidRPr="00493C95" w:rsidRDefault="00936916" w:rsidP="00D80347">
            <w:pPr>
              <w:pStyle w:val="Tabletext"/>
              <w:jc w:val="left"/>
              <w:rPr>
                <w:lang w:val="es-ES"/>
              </w:rPr>
            </w:pPr>
            <w:r w:rsidRPr="00493C95">
              <w:rPr>
                <w:lang w:val="es-ES"/>
              </w:rPr>
              <w:t>Anchura de banda a 3 dB del filtro de precorrelación (MHz)</w:t>
            </w:r>
          </w:p>
        </w:tc>
        <w:tc>
          <w:tcPr>
            <w:tcW w:w="3065" w:type="dxa"/>
            <w:tcBorders>
              <w:top w:val="single" w:sz="4" w:space="0" w:color="auto"/>
              <w:left w:val="single" w:sz="4" w:space="0" w:color="auto"/>
              <w:bottom w:val="single" w:sz="4" w:space="0" w:color="auto"/>
              <w:right w:val="single" w:sz="4" w:space="0" w:color="auto"/>
            </w:tcBorders>
          </w:tcPr>
          <w:p w14:paraId="39DF6005" w14:textId="77777777" w:rsidR="00936916" w:rsidRPr="00493C95" w:rsidRDefault="00936916" w:rsidP="00D80347">
            <w:pPr>
              <w:pStyle w:val="Tabletext"/>
              <w:jc w:val="center"/>
              <w:rPr>
                <w:lang w:val="es-ES"/>
              </w:rPr>
            </w:pPr>
            <w:r w:rsidRPr="00493C95">
              <w:rPr>
                <w:lang w:val="es-ES"/>
              </w:rPr>
              <w:t>22</w:t>
            </w:r>
            <w:r w:rsidRPr="00493C95">
              <w:rPr>
                <w:rFonts w:eastAsia="MS PGothic"/>
                <w:lang w:val="es-ES"/>
              </w:rPr>
              <w:t xml:space="preserve"> </w:t>
            </w:r>
            <w:r w:rsidRPr="00493C95">
              <w:rPr>
                <w:lang w:val="es-ES"/>
              </w:rPr>
              <w:t>(señales L1)</w:t>
            </w:r>
            <w:r w:rsidRPr="00493C95">
              <w:rPr>
                <w:lang w:val="es-ES"/>
              </w:rPr>
              <w:br/>
              <w:t>20</w:t>
            </w:r>
            <w:r w:rsidRPr="00493C95">
              <w:rPr>
                <w:rFonts w:eastAsia="MS PGothic"/>
                <w:lang w:val="es-ES"/>
              </w:rPr>
              <w:t xml:space="preserve"> </w:t>
            </w:r>
            <w:r w:rsidRPr="00493C95">
              <w:rPr>
                <w:lang w:val="es-ES"/>
              </w:rPr>
              <w:t>(señales L2)</w:t>
            </w:r>
            <w:r w:rsidRPr="00493C95">
              <w:rPr>
                <w:lang w:val="es-ES"/>
              </w:rPr>
              <w:br/>
              <w:t>17</w:t>
            </w:r>
            <w:r w:rsidRPr="00493C95">
              <w:rPr>
                <w:rFonts w:eastAsia="MS PGothic"/>
                <w:lang w:val="es-ES"/>
              </w:rPr>
              <w:t xml:space="preserve"> </w:t>
            </w:r>
            <w:r w:rsidRPr="00493C95">
              <w:rPr>
                <w:lang w:val="es-ES"/>
              </w:rPr>
              <w:t>(señales L3)</w:t>
            </w:r>
          </w:p>
        </w:tc>
        <w:tc>
          <w:tcPr>
            <w:tcW w:w="2491" w:type="dxa"/>
            <w:tcBorders>
              <w:top w:val="single" w:sz="4" w:space="0" w:color="auto"/>
              <w:left w:val="single" w:sz="4" w:space="0" w:color="auto"/>
              <w:bottom w:val="single" w:sz="4" w:space="0" w:color="auto"/>
              <w:right w:val="single" w:sz="4" w:space="0" w:color="auto"/>
            </w:tcBorders>
          </w:tcPr>
          <w:p w14:paraId="4973631A" w14:textId="77777777" w:rsidR="00936916" w:rsidRPr="00493C95" w:rsidRDefault="00936916" w:rsidP="00D80347">
            <w:pPr>
              <w:pStyle w:val="Tabletext"/>
              <w:jc w:val="center"/>
              <w:rPr>
                <w:szCs w:val="22"/>
                <w:lang w:val="es-ES"/>
              </w:rPr>
            </w:pPr>
            <w:r w:rsidRPr="00570376">
              <w:rPr>
                <w:szCs w:val="22"/>
                <w:lang w:val="fr-CH"/>
              </w:rPr>
              <w:t>25 (señales L1)</w:t>
            </w:r>
            <w:r w:rsidRPr="00570376">
              <w:rPr>
                <w:szCs w:val="22"/>
                <w:lang w:val="fr-CH"/>
              </w:rPr>
              <w:br/>
              <w:t>25 (señales L2)</w:t>
            </w:r>
            <w:r w:rsidRPr="00570376">
              <w:rPr>
                <w:szCs w:val="22"/>
                <w:lang w:val="fr-CH"/>
              </w:rPr>
              <w:br/>
              <w:t>25 (señales L3)</w:t>
            </w:r>
          </w:p>
        </w:tc>
      </w:tr>
      <w:tr w:rsidR="00936916" w:rsidRPr="00E108DC" w14:paraId="0B6FFECA"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25DD98B1" w14:textId="77777777" w:rsidR="00936916" w:rsidRPr="00493C95" w:rsidRDefault="00936916" w:rsidP="00D80347">
            <w:pPr>
              <w:pStyle w:val="Tabletext"/>
              <w:jc w:val="left"/>
              <w:rPr>
                <w:lang w:val="es-ES"/>
              </w:rPr>
            </w:pPr>
            <w:r w:rsidRPr="00493C95">
              <w:rPr>
                <w:lang w:val="es-ES"/>
              </w:rPr>
              <w:t>Temperatura de ruido del sistema receptor</w:t>
            </w:r>
            <w:r w:rsidRPr="00493C95">
              <w:rPr>
                <w:vertAlign w:val="superscript"/>
                <w:lang w:val="es-ES"/>
              </w:rPr>
              <w:t>(2)</w:t>
            </w:r>
            <w:r w:rsidRPr="00493C95">
              <w:rPr>
                <w:lang w:val="es-ES"/>
              </w:rPr>
              <w:t xml:space="preserve"> (K)</w:t>
            </w:r>
          </w:p>
        </w:tc>
        <w:tc>
          <w:tcPr>
            <w:tcW w:w="5556" w:type="dxa"/>
            <w:gridSpan w:val="2"/>
            <w:tcBorders>
              <w:top w:val="single" w:sz="4" w:space="0" w:color="auto"/>
              <w:left w:val="single" w:sz="4" w:space="0" w:color="auto"/>
              <w:bottom w:val="single" w:sz="4" w:space="0" w:color="auto"/>
              <w:right w:val="single" w:sz="4" w:space="0" w:color="auto"/>
            </w:tcBorders>
          </w:tcPr>
          <w:p w14:paraId="41378ED9" w14:textId="77777777" w:rsidR="00936916" w:rsidRPr="00E108DC" w:rsidRDefault="00936916" w:rsidP="00D80347">
            <w:pPr>
              <w:pStyle w:val="Tabletext"/>
              <w:jc w:val="center"/>
              <w:rPr>
                <w:lang w:val="es-ES"/>
              </w:rPr>
            </w:pPr>
            <w:r w:rsidRPr="00493C95">
              <w:rPr>
                <w:lang w:val="es-ES"/>
              </w:rPr>
              <w:t>100-670</w:t>
            </w:r>
          </w:p>
        </w:tc>
      </w:tr>
      <w:tr w:rsidR="00936916" w:rsidRPr="00E108DC" w14:paraId="07D47B2A" w14:textId="77777777" w:rsidTr="00D80347">
        <w:trPr>
          <w:cantSplit/>
          <w:trHeight w:val="18"/>
          <w:jc w:val="center"/>
        </w:trPr>
        <w:tc>
          <w:tcPr>
            <w:tcW w:w="9639" w:type="dxa"/>
            <w:gridSpan w:val="3"/>
            <w:tcBorders>
              <w:top w:val="single" w:sz="4" w:space="0" w:color="auto"/>
              <w:left w:val="single" w:sz="4" w:space="0" w:color="auto"/>
              <w:bottom w:val="single" w:sz="4" w:space="0" w:color="auto"/>
              <w:right w:val="single" w:sz="4" w:space="0" w:color="auto"/>
            </w:tcBorders>
          </w:tcPr>
          <w:p w14:paraId="628E4AB2" w14:textId="77777777" w:rsidR="00936916" w:rsidRPr="00867C7F" w:rsidRDefault="00936916" w:rsidP="00D80347">
            <w:pPr>
              <w:pStyle w:val="Tablehead"/>
              <w:rPr>
                <w:lang w:val="es-ES"/>
              </w:rPr>
            </w:pPr>
            <w:r w:rsidRPr="00867C7F">
              <w:rPr>
                <w:lang w:val="es-ES"/>
              </w:rPr>
              <w:t>Umbrales para la interferencia continua</w:t>
            </w:r>
          </w:p>
        </w:tc>
      </w:tr>
      <w:tr w:rsidR="00936916" w:rsidRPr="00E108DC" w14:paraId="528510C2" w14:textId="77777777" w:rsidTr="00D80347">
        <w:trPr>
          <w:cantSplit/>
          <w:trHeight w:val="18"/>
          <w:jc w:val="center"/>
        </w:trPr>
        <w:tc>
          <w:tcPr>
            <w:tcW w:w="4083" w:type="dxa"/>
            <w:tcBorders>
              <w:top w:val="single" w:sz="4" w:space="0" w:color="auto"/>
              <w:left w:val="single" w:sz="4" w:space="0" w:color="auto"/>
              <w:bottom w:val="single" w:sz="4" w:space="0" w:color="auto"/>
              <w:right w:val="single" w:sz="4" w:space="0" w:color="auto"/>
            </w:tcBorders>
          </w:tcPr>
          <w:p w14:paraId="7D85AE54" w14:textId="77777777" w:rsidR="00936916" w:rsidRPr="00493C95" w:rsidRDefault="00936916" w:rsidP="00D80347">
            <w:pPr>
              <w:pStyle w:val="Tabletext"/>
              <w:jc w:val="left"/>
              <w:rPr>
                <w:vertAlign w:val="superscript"/>
                <w:lang w:val="es-ES"/>
              </w:rPr>
            </w:pPr>
            <w:r w:rsidRPr="00493C95">
              <w:rPr>
                <w:lang w:val="es-ES"/>
              </w:rPr>
              <w:t>Nivel de potencia umbral de la interferencia de banda estrecha combinada a la salida de una antena pasiva en modo seguimiento (dBW)</w:t>
            </w:r>
            <w:r w:rsidRPr="00493C95">
              <w:rPr>
                <w:vertAlign w:val="superscript"/>
                <w:lang w:val="es-ES"/>
              </w:rPr>
              <w:t>(3)</w:t>
            </w:r>
          </w:p>
        </w:tc>
        <w:tc>
          <w:tcPr>
            <w:tcW w:w="5556" w:type="dxa"/>
            <w:gridSpan w:val="2"/>
            <w:tcBorders>
              <w:top w:val="single" w:sz="4" w:space="0" w:color="auto"/>
              <w:left w:val="single" w:sz="4" w:space="0" w:color="auto"/>
              <w:bottom w:val="single" w:sz="4" w:space="0" w:color="auto"/>
              <w:right w:val="single" w:sz="4" w:space="0" w:color="auto"/>
            </w:tcBorders>
          </w:tcPr>
          <w:p w14:paraId="0C7DD5F0" w14:textId="77777777" w:rsidR="00936916" w:rsidRPr="00E108DC" w:rsidRDefault="00936916" w:rsidP="00D80347">
            <w:pPr>
              <w:pStyle w:val="Tabletext"/>
              <w:jc w:val="center"/>
              <w:rPr>
                <w:snapToGrid w:val="0"/>
                <w:lang w:val="es-ES"/>
              </w:rPr>
            </w:pPr>
            <w:r w:rsidRPr="00493C95">
              <w:rPr>
                <w:snapToGrid w:val="0"/>
                <w:lang w:val="es-ES"/>
              </w:rPr>
              <w:t>−149</w:t>
            </w:r>
          </w:p>
        </w:tc>
      </w:tr>
      <w:tr w:rsidR="00936916" w:rsidRPr="00E108DC" w14:paraId="594693B5"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55E0C1A2" w14:textId="77777777" w:rsidR="00936916" w:rsidRPr="00493C95" w:rsidRDefault="00936916" w:rsidP="00D80347">
            <w:pPr>
              <w:pStyle w:val="Tabletext"/>
              <w:jc w:val="left"/>
              <w:rPr>
                <w:vertAlign w:val="superscript"/>
                <w:lang w:val="es-ES"/>
              </w:rPr>
            </w:pPr>
            <w:r w:rsidRPr="00493C95">
              <w:rPr>
                <w:lang w:val="es-ES"/>
              </w:rPr>
              <w:t>Nivel de potencia umbral de la interferencia de banda estrecha combinada a la salida de una antena pasiva en modo adquisición (dBW)</w:t>
            </w:r>
            <w:r w:rsidRPr="00493C95">
              <w:rPr>
                <w:vertAlign w:val="superscript"/>
                <w:lang w:val="es-ES"/>
              </w:rPr>
              <w:t>(3)</w:t>
            </w:r>
          </w:p>
        </w:tc>
        <w:tc>
          <w:tcPr>
            <w:tcW w:w="5556" w:type="dxa"/>
            <w:gridSpan w:val="2"/>
            <w:tcBorders>
              <w:top w:val="single" w:sz="4" w:space="0" w:color="auto"/>
              <w:left w:val="single" w:sz="4" w:space="0" w:color="auto"/>
              <w:bottom w:val="single" w:sz="4" w:space="0" w:color="auto"/>
              <w:right w:val="single" w:sz="4" w:space="0" w:color="auto"/>
            </w:tcBorders>
          </w:tcPr>
          <w:p w14:paraId="2A7157EB" w14:textId="77777777" w:rsidR="00936916" w:rsidRPr="00493C95" w:rsidRDefault="00936916" w:rsidP="00D80347">
            <w:pPr>
              <w:pStyle w:val="Tabletext"/>
              <w:jc w:val="center"/>
              <w:rPr>
                <w:lang w:val="es-ES"/>
              </w:rPr>
            </w:pPr>
            <w:r w:rsidRPr="00493C95">
              <w:rPr>
                <w:snapToGrid w:val="0"/>
                <w:lang w:val="es-ES"/>
              </w:rPr>
              <w:t>−155</w:t>
            </w:r>
          </w:p>
        </w:tc>
      </w:tr>
      <w:tr w:rsidR="00936916" w:rsidRPr="00E108DC" w14:paraId="0D20565B"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039D6F95" w14:textId="77777777" w:rsidR="00936916" w:rsidRPr="00493C95" w:rsidRDefault="00936916" w:rsidP="00D80347">
            <w:pPr>
              <w:pStyle w:val="Tabletext"/>
              <w:jc w:val="left"/>
              <w:rPr>
                <w:vertAlign w:val="superscript"/>
                <w:lang w:val="es-ES"/>
              </w:rPr>
            </w:pPr>
            <w:r w:rsidRPr="00493C95">
              <w:rPr>
                <w:lang w:val="es-ES"/>
              </w:rPr>
              <w:t>Nivel de densidad de potencia umbral de la interferencia de banda amplia combinada a la salida de una antena pasiva en modo seguimiento (dBW/MHz)</w:t>
            </w:r>
            <w:r w:rsidRPr="00493C95">
              <w:rPr>
                <w:vertAlign w:val="superscript"/>
                <w:lang w:val="es-ES"/>
              </w:rPr>
              <w:t>(3)</w:t>
            </w:r>
          </w:p>
        </w:tc>
        <w:tc>
          <w:tcPr>
            <w:tcW w:w="5556" w:type="dxa"/>
            <w:gridSpan w:val="2"/>
            <w:tcBorders>
              <w:top w:val="single" w:sz="4" w:space="0" w:color="auto"/>
              <w:left w:val="single" w:sz="4" w:space="0" w:color="auto"/>
              <w:bottom w:val="single" w:sz="4" w:space="0" w:color="auto"/>
              <w:right w:val="single" w:sz="4" w:space="0" w:color="auto"/>
            </w:tcBorders>
          </w:tcPr>
          <w:p w14:paraId="49CE5F06" w14:textId="77777777" w:rsidR="00936916" w:rsidRPr="00493C95" w:rsidRDefault="00936916" w:rsidP="00D80347">
            <w:pPr>
              <w:pStyle w:val="Tabletext"/>
              <w:jc w:val="center"/>
              <w:rPr>
                <w:lang w:val="es-ES"/>
              </w:rPr>
            </w:pPr>
            <w:r w:rsidRPr="00493C95">
              <w:rPr>
                <w:lang w:val="es-ES"/>
              </w:rPr>
              <w:t>−140</w:t>
            </w:r>
          </w:p>
        </w:tc>
      </w:tr>
      <w:tr w:rsidR="00936916" w:rsidRPr="00E108DC" w14:paraId="18324704"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2C9D8720" w14:textId="77777777" w:rsidR="00936916" w:rsidRPr="00493C95" w:rsidRDefault="00936916" w:rsidP="00D80347">
            <w:pPr>
              <w:pStyle w:val="Tabletext"/>
              <w:jc w:val="left"/>
              <w:rPr>
                <w:vertAlign w:val="superscript"/>
                <w:lang w:val="es-ES"/>
              </w:rPr>
            </w:pPr>
            <w:r w:rsidRPr="00493C95">
              <w:rPr>
                <w:lang w:val="es-ES"/>
              </w:rPr>
              <w:t>Nivel de densidad de potencia umbral de la interferencia de banda amplia combinada a la salida de una antena pasiva en modo adquisición (dBW/MHz)</w:t>
            </w:r>
            <w:r w:rsidRPr="00493C95">
              <w:rPr>
                <w:vertAlign w:val="superscript"/>
                <w:lang w:val="es-ES"/>
              </w:rPr>
              <w:t>(3)</w:t>
            </w:r>
          </w:p>
        </w:tc>
        <w:tc>
          <w:tcPr>
            <w:tcW w:w="5556" w:type="dxa"/>
            <w:gridSpan w:val="2"/>
            <w:tcBorders>
              <w:top w:val="single" w:sz="4" w:space="0" w:color="auto"/>
              <w:left w:val="single" w:sz="4" w:space="0" w:color="auto"/>
              <w:bottom w:val="single" w:sz="4" w:space="0" w:color="auto"/>
              <w:right w:val="single" w:sz="4" w:space="0" w:color="auto"/>
            </w:tcBorders>
          </w:tcPr>
          <w:p w14:paraId="32559498" w14:textId="77777777" w:rsidR="00936916" w:rsidRPr="00493C95" w:rsidRDefault="00936916" w:rsidP="00D80347">
            <w:pPr>
              <w:pStyle w:val="Tabletext"/>
              <w:jc w:val="center"/>
              <w:rPr>
                <w:lang w:val="es-ES"/>
              </w:rPr>
            </w:pPr>
            <w:r w:rsidRPr="00493C95">
              <w:rPr>
                <w:snapToGrid w:val="0"/>
                <w:lang w:val="es-ES"/>
              </w:rPr>
              <w:t>−146</w:t>
            </w:r>
          </w:p>
        </w:tc>
      </w:tr>
      <w:tr w:rsidR="00936916" w:rsidRPr="008C2FDD" w14:paraId="7EE71A7E" w14:textId="77777777" w:rsidTr="00D80347">
        <w:trPr>
          <w:cantSplit/>
          <w:trHeight w:val="20"/>
          <w:jc w:val="center"/>
        </w:trPr>
        <w:tc>
          <w:tcPr>
            <w:tcW w:w="9639" w:type="dxa"/>
            <w:gridSpan w:val="3"/>
            <w:tcBorders>
              <w:top w:val="single" w:sz="4" w:space="0" w:color="auto"/>
              <w:left w:val="single" w:sz="4" w:space="0" w:color="auto"/>
              <w:bottom w:val="single" w:sz="4" w:space="0" w:color="auto"/>
              <w:right w:val="single" w:sz="4" w:space="0" w:color="auto"/>
            </w:tcBorders>
          </w:tcPr>
          <w:p w14:paraId="5BDB15FB" w14:textId="77777777" w:rsidR="00936916" w:rsidRPr="008C2FDD" w:rsidRDefault="00936916" w:rsidP="00D80347">
            <w:pPr>
              <w:pStyle w:val="Tablehead"/>
              <w:rPr>
                <w:lang w:val="es-ES"/>
              </w:rPr>
            </w:pPr>
            <w:r w:rsidRPr="008C2FDD">
              <w:rPr>
                <w:lang w:val="es-ES"/>
              </w:rPr>
              <w:t xml:space="preserve">Umbrales para la interferencia impulsiva </w:t>
            </w:r>
            <w:r w:rsidRPr="008C2FDD">
              <w:rPr>
                <w:b w:val="0"/>
                <w:bCs/>
                <w:lang w:val="es-ES"/>
              </w:rPr>
              <w:t>(véase la Nota 4)</w:t>
            </w:r>
          </w:p>
        </w:tc>
      </w:tr>
      <w:tr w:rsidR="00936916" w:rsidRPr="00E108DC" w14:paraId="5D409A48"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02F04B96" w14:textId="77777777" w:rsidR="00936916" w:rsidRPr="00493C95" w:rsidRDefault="00936916" w:rsidP="00D80347">
            <w:pPr>
              <w:pStyle w:val="Tabletext"/>
              <w:jc w:val="left"/>
              <w:rPr>
                <w:lang w:val="es-ES"/>
              </w:rPr>
            </w:pPr>
            <w:r w:rsidRPr="00493C95">
              <w:rPr>
                <w:lang w:val="es-ES"/>
              </w:rPr>
              <w:t xml:space="preserve">Nivel de </w:t>
            </w:r>
            <w:r>
              <w:rPr>
                <w:lang w:val="es-ES"/>
              </w:rPr>
              <w:t>saturación</w:t>
            </w:r>
            <w:r w:rsidRPr="00493C95">
              <w:rPr>
                <w:lang w:val="es-ES"/>
              </w:rPr>
              <w:t xml:space="preserve"> a la entrada del receptor</w:t>
            </w:r>
            <w:r w:rsidRPr="00493C95">
              <w:rPr>
                <w:vertAlign w:val="superscript"/>
                <w:lang w:val="es-ES"/>
              </w:rPr>
              <w:t>(</w:t>
            </w:r>
            <w:r>
              <w:rPr>
                <w:vertAlign w:val="superscript"/>
                <w:lang w:val="es-ES"/>
              </w:rPr>
              <w:t>4</w:t>
            </w:r>
            <w:r w:rsidRPr="00493C95">
              <w:rPr>
                <w:vertAlign w:val="superscript"/>
                <w:lang w:val="es-ES"/>
              </w:rPr>
              <w:t>)</w:t>
            </w:r>
            <w:r w:rsidRPr="00493C95">
              <w:rPr>
                <w:lang w:val="es-ES"/>
              </w:rPr>
              <w:t xml:space="preserve"> (dBW)</w:t>
            </w:r>
          </w:p>
        </w:tc>
        <w:tc>
          <w:tcPr>
            <w:tcW w:w="5556" w:type="dxa"/>
            <w:gridSpan w:val="2"/>
            <w:tcBorders>
              <w:top w:val="single" w:sz="4" w:space="0" w:color="auto"/>
              <w:left w:val="single" w:sz="4" w:space="0" w:color="auto"/>
              <w:bottom w:val="single" w:sz="4" w:space="0" w:color="auto"/>
              <w:right w:val="single" w:sz="4" w:space="0" w:color="auto"/>
            </w:tcBorders>
          </w:tcPr>
          <w:p w14:paraId="57907E0D" w14:textId="77777777" w:rsidR="00936916" w:rsidRPr="00493C95" w:rsidRDefault="00936916" w:rsidP="00D80347">
            <w:pPr>
              <w:pStyle w:val="Tabletext"/>
              <w:jc w:val="center"/>
              <w:rPr>
                <w:lang w:val="es-ES"/>
              </w:rPr>
            </w:pPr>
            <w:r w:rsidRPr="00493C95">
              <w:rPr>
                <w:lang w:val="es-ES"/>
              </w:rPr>
              <w:t>−80</w:t>
            </w:r>
          </w:p>
        </w:tc>
      </w:tr>
      <w:tr w:rsidR="00936916" w:rsidRPr="00E108DC" w14:paraId="39C5D9BB"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126B99AB" w14:textId="77777777" w:rsidR="00936916" w:rsidRPr="00493C95" w:rsidRDefault="00936916" w:rsidP="00D80347">
            <w:pPr>
              <w:pStyle w:val="Tabletext"/>
              <w:jc w:val="left"/>
              <w:rPr>
                <w:lang w:val="es-ES"/>
              </w:rPr>
            </w:pPr>
            <w:r w:rsidRPr="00493C95">
              <w:rPr>
                <w:lang w:val="es-ES"/>
              </w:rPr>
              <w:t>Nivel de supervivencia del receptor</w:t>
            </w:r>
            <w:r w:rsidRPr="00493C95">
              <w:rPr>
                <w:vertAlign w:val="superscript"/>
                <w:lang w:val="es-ES"/>
              </w:rPr>
              <w:t>(</w:t>
            </w:r>
            <w:r>
              <w:rPr>
                <w:vertAlign w:val="superscript"/>
                <w:lang w:val="es-ES"/>
              </w:rPr>
              <w:t>4</w:t>
            </w:r>
            <w:r w:rsidRPr="00493C95">
              <w:rPr>
                <w:vertAlign w:val="superscript"/>
                <w:lang w:val="es-ES"/>
              </w:rPr>
              <w:t>)</w:t>
            </w:r>
            <w:r w:rsidRPr="00493C95">
              <w:rPr>
                <w:lang w:val="es-ES"/>
              </w:rPr>
              <w:t xml:space="preserve"> (dBW)</w:t>
            </w:r>
          </w:p>
        </w:tc>
        <w:tc>
          <w:tcPr>
            <w:tcW w:w="5556" w:type="dxa"/>
            <w:gridSpan w:val="2"/>
            <w:tcBorders>
              <w:top w:val="single" w:sz="4" w:space="0" w:color="auto"/>
              <w:left w:val="single" w:sz="4" w:space="0" w:color="auto"/>
              <w:bottom w:val="single" w:sz="4" w:space="0" w:color="auto"/>
              <w:right w:val="single" w:sz="4" w:space="0" w:color="auto"/>
            </w:tcBorders>
          </w:tcPr>
          <w:p w14:paraId="44F302F9" w14:textId="77777777" w:rsidR="00936916" w:rsidRPr="00493C95" w:rsidRDefault="00936916" w:rsidP="00D80347">
            <w:pPr>
              <w:pStyle w:val="Tabletext"/>
              <w:jc w:val="center"/>
              <w:rPr>
                <w:lang w:val="es-ES"/>
              </w:rPr>
            </w:pPr>
            <w:r w:rsidRPr="00493C95">
              <w:rPr>
                <w:lang w:val="es-ES"/>
              </w:rPr>
              <w:t>−1</w:t>
            </w:r>
          </w:p>
        </w:tc>
      </w:tr>
      <w:tr w:rsidR="00936916" w:rsidRPr="00E108DC" w14:paraId="7B01E47E" w14:textId="77777777" w:rsidTr="00D80347">
        <w:trPr>
          <w:cantSplit/>
          <w:trHeight w:val="20"/>
          <w:jc w:val="center"/>
        </w:trPr>
        <w:tc>
          <w:tcPr>
            <w:tcW w:w="4083" w:type="dxa"/>
            <w:tcBorders>
              <w:top w:val="single" w:sz="4" w:space="0" w:color="auto"/>
              <w:left w:val="single" w:sz="4" w:space="0" w:color="auto"/>
              <w:bottom w:val="single" w:sz="4" w:space="0" w:color="auto"/>
              <w:right w:val="single" w:sz="4" w:space="0" w:color="auto"/>
            </w:tcBorders>
          </w:tcPr>
          <w:p w14:paraId="763EBB83" w14:textId="77777777" w:rsidR="00936916" w:rsidRPr="00493C95" w:rsidRDefault="00936916" w:rsidP="00D80347">
            <w:pPr>
              <w:pStyle w:val="Tabletext"/>
              <w:jc w:val="left"/>
              <w:rPr>
                <w:lang w:val="es-ES"/>
              </w:rPr>
            </w:pPr>
            <w:r w:rsidRPr="00493C95">
              <w:rPr>
                <w:lang w:val="es-ES"/>
              </w:rPr>
              <w:t>Tiempo de recuperación de sobrecarga</w:t>
            </w:r>
            <w:r w:rsidRPr="00493C95">
              <w:rPr>
                <w:vertAlign w:val="superscript"/>
                <w:lang w:val="es-ES"/>
              </w:rPr>
              <w:t>(</w:t>
            </w:r>
            <w:r>
              <w:rPr>
                <w:vertAlign w:val="superscript"/>
                <w:lang w:val="es-ES"/>
              </w:rPr>
              <w:t>4</w:t>
            </w:r>
            <w:r w:rsidRPr="00493C95">
              <w:rPr>
                <w:vertAlign w:val="superscript"/>
                <w:lang w:val="es-ES"/>
              </w:rPr>
              <w:t>)</w:t>
            </w:r>
            <w:r w:rsidRPr="00493C95">
              <w:rPr>
                <w:lang w:val="es-ES"/>
              </w:rPr>
              <w:t xml:space="preserve"> (s)</w:t>
            </w:r>
          </w:p>
        </w:tc>
        <w:tc>
          <w:tcPr>
            <w:tcW w:w="5556" w:type="dxa"/>
            <w:gridSpan w:val="2"/>
            <w:tcBorders>
              <w:top w:val="single" w:sz="4" w:space="0" w:color="auto"/>
              <w:left w:val="single" w:sz="4" w:space="0" w:color="auto"/>
              <w:bottom w:val="single" w:sz="4" w:space="0" w:color="auto"/>
              <w:right w:val="single" w:sz="4" w:space="0" w:color="auto"/>
            </w:tcBorders>
          </w:tcPr>
          <w:p w14:paraId="5FAC95F6" w14:textId="77777777" w:rsidR="00936916" w:rsidRPr="00493C95" w:rsidRDefault="00936916" w:rsidP="00D80347">
            <w:pPr>
              <w:pStyle w:val="Tabletext"/>
              <w:jc w:val="center"/>
              <w:rPr>
                <w:lang w:val="es-ES"/>
              </w:rPr>
            </w:pPr>
            <w:r w:rsidRPr="00493C95">
              <w:rPr>
                <w:lang w:val="es-ES"/>
              </w:rPr>
              <w:t>1 × 10</w:t>
            </w:r>
            <w:r w:rsidRPr="00493C95">
              <w:rPr>
                <w:vertAlign w:val="superscript"/>
                <w:lang w:val="es-ES"/>
              </w:rPr>
              <w:t>−3</w:t>
            </w:r>
          </w:p>
        </w:tc>
      </w:tr>
      <w:tr w:rsidR="00936916" w:rsidRPr="00E108DC" w14:paraId="2F6FDBB8" w14:textId="77777777" w:rsidTr="00D80347">
        <w:trPr>
          <w:cantSplit/>
          <w:trHeight w:val="20"/>
          <w:jc w:val="center"/>
        </w:trPr>
        <w:tc>
          <w:tcPr>
            <w:tcW w:w="9639" w:type="dxa"/>
            <w:gridSpan w:val="3"/>
            <w:tcBorders>
              <w:top w:val="single" w:sz="4" w:space="0" w:color="auto"/>
              <w:left w:val="nil"/>
              <w:bottom w:val="nil"/>
              <w:right w:val="nil"/>
            </w:tcBorders>
          </w:tcPr>
          <w:p w14:paraId="12A7A5B8" w14:textId="77777777" w:rsidR="00936916" w:rsidRPr="00D66A3B" w:rsidRDefault="00936916" w:rsidP="00D80347">
            <w:pPr>
              <w:pStyle w:val="Tablelegend"/>
              <w:ind w:hanging="284"/>
              <w:jc w:val="left"/>
              <w:rPr>
                <w:lang w:val="es-ES"/>
              </w:rPr>
            </w:pPr>
            <w:r w:rsidRPr="00493C95">
              <w:rPr>
                <w:lang w:val="es-ES"/>
              </w:rPr>
              <w:t>HA = alta precisión.</w:t>
            </w:r>
          </w:p>
          <w:p w14:paraId="448D45B5" w14:textId="77777777" w:rsidR="00936916" w:rsidRPr="00D66A3B" w:rsidRDefault="00936916" w:rsidP="00D80347">
            <w:pPr>
              <w:pStyle w:val="Tablelegend"/>
              <w:ind w:hanging="284"/>
              <w:jc w:val="left"/>
              <w:rPr>
                <w:lang w:val="es-ES"/>
              </w:rPr>
            </w:pPr>
            <w:r w:rsidRPr="00493C95">
              <w:rPr>
                <w:lang w:val="es-ES"/>
              </w:rPr>
              <w:t>SA = precisión normalizada.</w:t>
            </w:r>
          </w:p>
          <w:p w14:paraId="7AB7FDA1" w14:textId="77777777" w:rsidR="00936916" w:rsidRPr="00493C95" w:rsidRDefault="00936916" w:rsidP="00D80347">
            <w:pPr>
              <w:pStyle w:val="Tablelegend"/>
              <w:ind w:hanging="284"/>
              <w:jc w:val="left"/>
              <w:rPr>
                <w:lang w:val="es-ES"/>
              </w:rPr>
            </w:pPr>
            <w:r w:rsidRPr="00493C95">
              <w:rPr>
                <w:vertAlign w:val="superscript"/>
                <w:lang w:val="es-ES"/>
              </w:rPr>
              <w:t>(1)</w:t>
            </w:r>
            <w:r w:rsidRPr="00493C95">
              <w:rPr>
                <w:lang w:val="es-ES"/>
              </w:rPr>
              <w:tab/>
              <w:t>Los receptores GLONASS fabricados antes de 2006 pueden funcionar con señales de navegación que tienen números de frecuencia portadora (К) −7 a +13.</w:t>
            </w:r>
          </w:p>
          <w:p w14:paraId="7F89F143" w14:textId="77777777" w:rsidR="00936916" w:rsidRPr="00493C95" w:rsidRDefault="00936916" w:rsidP="00D80347">
            <w:pPr>
              <w:pStyle w:val="Tablelegend"/>
              <w:ind w:hanging="284"/>
              <w:jc w:val="left"/>
              <w:rPr>
                <w:lang w:val="es-ES"/>
              </w:rPr>
            </w:pPr>
            <w:r w:rsidRPr="00493C95">
              <w:rPr>
                <w:vertAlign w:val="superscript"/>
                <w:lang w:val="es-ES"/>
              </w:rPr>
              <w:t>(2)</w:t>
            </w:r>
            <w:r w:rsidRPr="00493C95">
              <w:rPr>
                <w:lang w:val="es-ES"/>
              </w:rPr>
              <w:tab/>
              <w:t>Receptores de vehículos espaciales distintos pueden tener valores diferentes a estos valores típicos.</w:t>
            </w:r>
          </w:p>
          <w:p w14:paraId="69F98735" w14:textId="77777777" w:rsidR="00936916" w:rsidRDefault="00936916" w:rsidP="00D80347">
            <w:pPr>
              <w:pStyle w:val="Tablelegend"/>
              <w:ind w:hanging="284"/>
              <w:jc w:val="left"/>
              <w:rPr>
                <w:lang w:val="es-ES"/>
              </w:rPr>
            </w:pPr>
            <w:r w:rsidRPr="00493C95">
              <w:rPr>
                <w:vertAlign w:val="superscript"/>
                <w:lang w:val="es-ES"/>
              </w:rPr>
              <w:t>(3)</w:t>
            </w:r>
            <w:r w:rsidRPr="00493C95">
              <w:rPr>
                <w:lang w:val="es-ES"/>
              </w:rPr>
              <w:tab/>
              <w:t>El umbral debe tener en cuenta toda la interferencia combinada no procedente del SRNS. El valor umbral no incluye un margen de seguridad de 6 dB.</w:t>
            </w:r>
          </w:p>
          <w:p w14:paraId="24C4DD70" w14:textId="77777777" w:rsidR="00936916" w:rsidRPr="00493C95" w:rsidRDefault="00936916" w:rsidP="00D80347">
            <w:pPr>
              <w:pStyle w:val="Tablelegend"/>
              <w:ind w:hanging="284"/>
              <w:jc w:val="left"/>
              <w:rPr>
                <w:lang w:val="es-ES"/>
              </w:rPr>
            </w:pPr>
            <w:r w:rsidRPr="005C3492">
              <w:rPr>
                <w:vertAlign w:val="superscript"/>
                <w:lang w:val="es-ES"/>
              </w:rPr>
              <w:t>(</w:t>
            </w:r>
            <w:r>
              <w:rPr>
                <w:vertAlign w:val="superscript"/>
                <w:lang w:val="es-ES"/>
              </w:rPr>
              <w:t>4</w:t>
            </w:r>
            <w:r w:rsidRPr="005C3492">
              <w:rPr>
                <w:vertAlign w:val="superscript"/>
                <w:lang w:val="es-ES"/>
              </w:rPr>
              <w:t>)</w:t>
            </w:r>
            <w:r>
              <w:rPr>
                <w:lang w:val="es-ES"/>
              </w:rPr>
              <w:tab/>
            </w:r>
            <w:r w:rsidRPr="00493C95">
              <w:rPr>
                <w:szCs w:val="22"/>
                <w:lang w:val="es-ES"/>
              </w:rPr>
              <w:t xml:space="preserve">Los valores de estas filas deben utilizarse para la evaluación de la interferencia </w:t>
            </w:r>
            <w:r w:rsidRPr="00EF7284">
              <w:rPr>
                <w:lang w:val="es-ES"/>
              </w:rPr>
              <w:t>procedente</w:t>
            </w:r>
            <w:r w:rsidRPr="00493C95">
              <w:rPr>
                <w:szCs w:val="22"/>
                <w:lang w:val="es-ES"/>
              </w:rPr>
              <w:t xml:space="preserve"> de fuentes impulsivas junto con la metodología que figura en la Recomendación UIT-R M.2030.</w:t>
            </w:r>
            <w:r w:rsidRPr="00493C95">
              <w:rPr>
                <w:szCs w:val="22"/>
              </w:rPr>
              <w:t xml:space="preserve"> </w:t>
            </w:r>
            <w:r w:rsidRPr="00493C95">
              <w:rPr>
                <w:szCs w:val="22"/>
                <w:lang w:val="es-ES"/>
              </w:rPr>
              <w:t>Por</w:t>
            </w:r>
            <w:r w:rsidRPr="00981357">
              <w:rPr>
                <w:lang w:val="es-ES"/>
              </w:rPr>
              <w:t xml:space="preserve"> interferencia </w:t>
            </w:r>
            <w:r>
              <w:rPr>
                <w:lang w:val="es-ES"/>
              </w:rPr>
              <w:t>impulsiva</w:t>
            </w:r>
            <w:r w:rsidRPr="00981357">
              <w:rPr>
                <w:lang w:val="es-ES"/>
              </w:rPr>
              <w:t xml:space="preserve"> se entiende aquí una interferencia que consiste en ráfagas de transmisión seguidas de per</w:t>
            </w:r>
            <w:r>
              <w:rPr>
                <w:lang w:val="es-ES"/>
              </w:rPr>
              <w:t>i</w:t>
            </w:r>
            <w:r w:rsidRPr="00981357">
              <w:rPr>
                <w:lang w:val="es-ES"/>
              </w:rPr>
              <w:t xml:space="preserve">odos de no transmisión. La compatibilidad con el </w:t>
            </w:r>
            <w:r>
              <w:rPr>
                <w:lang w:val="es-ES"/>
              </w:rPr>
              <w:t>SRNS</w:t>
            </w:r>
            <w:r w:rsidRPr="00981357">
              <w:rPr>
                <w:lang w:val="es-ES"/>
              </w:rPr>
              <w:t xml:space="preserve"> es una función de la potencia y duración de la ráfaga, y del ciclo de trabajo de la transmisión.</w:t>
            </w:r>
          </w:p>
        </w:tc>
      </w:tr>
    </w:tbl>
    <w:p w14:paraId="714CE700" w14:textId="77777777" w:rsidR="00936916" w:rsidRPr="00493C95" w:rsidRDefault="00936916" w:rsidP="00936916">
      <w:pPr>
        <w:pStyle w:val="Tablefin"/>
        <w:rPr>
          <w:lang w:val="es-ES"/>
        </w:rPr>
      </w:pPr>
    </w:p>
    <w:p w14:paraId="2E46DDF1" w14:textId="77777777" w:rsidR="00936916" w:rsidRPr="00493C95" w:rsidRDefault="00936916" w:rsidP="00936916">
      <w:pPr>
        <w:pStyle w:val="AnnexNoTitle"/>
        <w:rPr>
          <w:lang w:val="es-ES"/>
        </w:rPr>
      </w:pPr>
      <w:r w:rsidRPr="00493C95">
        <w:rPr>
          <w:lang w:val="es-ES"/>
        </w:rPr>
        <w:t>Anexo 2</w:t>
      </w:r>
      <w:r w:rsidRPr="00493C95">
        <w:rPr>
          <w:lang w:val="es-ES"/>
        </w:rPr>
        <w:br/>
      </w:r>
      <w:r w:rsidRPr="00493C95">
        <w:rPr>
          <w:lang w:val="es-ES"/>
        </w:rPr>
        <w:br/>
        <w:t xml:space="preserve">Características de los receptores a bordo de un vehículo espacial </w:t>
      </w:r>
      <w:r w:rsidRPr="00493C95">
        <w:rPr>
          <w:lang w:val="es-ES"/>
        </w:rPr>
        <w:br/>
        <w:t>del Sistema Mundial de Determinación de la Posición Navstar</w:t>
      </w:r>
    </w:p>
    <w:p w14:paraId="6FBD329A" w14:textId="77777777" w:rsidR="00936916" w:rsidRPr="00493C95" w:rsidRDefault="00936916" w:rsidP="00936916">
      <w:pPr>
        <w:pStyle w:val="Normalaftertitle"/>
        <w:rPr>
          <w:lang w:val="es-ES"/>
        </w:rPr>
      </w:pPr>
      <w:r w:rsidRPr="00493C95">
        <w:rPr>
          <w:lang w:val="es-ES"/>
        </w:rPr>
        <w:t>Las características del receptor que figuran a continuación tienen por objeto servir en los análisis de interferencia causada al SRNS por fuentes radioeléctricas no pertenecientes a los sistemas del SRNS y no deben considerarse requisitos técnicos, especificaciones o normas. En la Recomendación UIT</w:t>
      </w:r>
      <w:r w:rsidRPr="00493C95">
        <w:rPr>
          <w:lang w:val="es-ES"/>
        </w:rPr>
        <w:noBreakHyphen/>
        <w:t xml:space="preserve">R M.1787 aparece la información actual sobre el Sistema Mundial de Determinación de la Posición (GPS) que funciona en las bandas </w:t>
      </w:r>
      <w:r w:rsidRPr="00493C95">
        <w:rPr>
          <w:rFonts w:eastAsia="MS Mincho"/>
          <w:lang w:val="es-ES" w:eastAsia="en-AU"/>
        </w:rPr>
        <w:t>1 164-1 215 MHz, 1 215-1 300 MHz y 1 559-1 610 MHz.</w:t>
      </w:r>
    </w:p>
    <w:p w14:paraId="484B25CC" w14:textId="77777777" w:rsidR="00936916" w:rsidRPr="00493C95" w:rsidRDefault="00936916" w:rsidP="00936916">
      <w:pPr>
        <w:rPr>
          <w:lang w:val="es-ES"/>
        </w:rPr>
      </w:pPr>
      <w:r w:rsidRPr="00493C95">
        <w:rPr>
          <w:lang w:val="es-ES"/>
        </w:rPr>
        <w:t>El Cuadro 2 proporciona las características de los receptores a bordo de vehículos espaciales para su utilización con el GPS. Cabe señalar que como los requisitos técnicos y el entorno operacional de los receptores del SRNS a bordo de vehículos espaciales difiere del de los receptores terrenales, sus características pueden ser diferentes. Por ejemplo, la adquisición de la señal puede ser más difícil en un receptor a bordo de un vehículo espacial situado en órbita terrestre baja debido a los grandes desplazamientos de frecuencia por efecto Doppler y menor duración del tiempo en que el satélite del SRNS permanece a la vista.</w:t>
      </w:r>
    </w:p>
    <w:p w14:paraId="05F5D3A9" w14:textId="77777777" w:rsidR="00936916" w:rsidRPr="00493C95" w:rsidRDefault="00936916" w:rsidP="00936916">
      <w:pPr>
        <w:pStyle w:val="TableNo"/>
        <w:rPr>
          <w:lang w:val="es-ES"/>
        </w:rPr>
      </w:pPr>
      <w:r w:rsidRPr="00493C95">
        <w:rPr>
          <w:lang w:val="es-ES"/>
        </w:rPr>
        <w:t>CUADRO 2</w:t>
      </w:r>
    </w:p>
    <w:p w14:paraId="42C5B7FC" w14:textId="77777777" w:rsidR="00936916" w:rsidRPr="00493C95" w:rsidRDefault="00936916" w:rsidP="00936916">
      <w:pPr>
        <w:pStyle w:val="Tabletitle"/>
        <w:rPr>
          <w:lang w:val="es-ES"/>
        </w:rPr>
      </w:pPr>
      <w:r w:rsidRPr="00493C95">
        <w:rPr>
          <w:lang w:val="es-ES"/>
        </w:rPr>
        <w:t>Características de los receptores a bordo de un vehículo espacial GPS</w:t>
      </w:r>
      <w:r>
        <w:rPr>
          <w:rStyle w:val="FootnoteReference"/>
          <w:lang w:val="es-ES"/>
        </w:rPr>
        <w:footnoteReference w:id="1"/>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9"/>
        <w:gridCol w:w="4084"/>
      </w:tblGrid>
      <w:tr w:rsidR="00936916" w:rsidRPr="00E108DC" w14:paraId="13EB2455"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3630243A" w14:textId="77777777" w:rsidR="00936916" w:rsidRPr="00493C95" w:rsidRDefault="00936916" w:rsidP="00D80347">
            <w:pPr>
              <w:pStyle w:val="Tablehead"/>
              <w:rPr>
                <w:lang w:val="es-ES"/>
              </w:rPr>
            </w:pPr>
            <w:r w:rsidRPr="00493C95">
              <w:rPr>
                <w:lang w:val="es-ES"/>
              </w:rPr>
              <w:t>Parámetro</w:t>
            </w:r>
          </w:p>
        </w:tc>
        <w:tc>
          <w:tcPr>
            <w:tcW w:w="4084" w:type="dxa"/>
            <w:tcBorders>
              <w:top w:val="single" w:sz="4" w:space="0" w:color="auto"/>
              <w:left w:val="single" w:sz="4" w:space="0" w:color="auto"/>
              <w:bottom w:val="single" w:sz="4" w:space="0" w:color="auto"/>
              <w:right w:val="single" w:sz="4" w:space="0" w:color="auto"/>
            </w:tcBorders>
          </w:tcPr>
          <w:p w14:paraId="6FEA8B33" w14:textId="77777777" w:rsidR="00936916" w:rsidRPr="00493C95" w:rsidRDefault="00936916" w:rsidP="00D80347">
            <w:pPr>
              <w:pStyle w:val="Tablehead"/>
              <w:rPr>
                <w:lang w:val="es-ES"/>
              </w:rPr>
            </w:pPr>
            <w:r w:rsidRPr="00493C95">
              <w:rPr>
                <w:lang w:val="es-ES"/>
              </w:rPr>
              <w:t>Parámetro (valor)</w:t>
            </w:r>
          </w:p>
        </w:tc>
      </w:tr>
      <w:tr w:rsidR="00936916" w:rsidRPr="00570376" w14:paraId="2D78F1C4"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3EDD8DA5" w14:textId="77777777" w:rsidR="00936916" w:rsidRPr="00493C95" w:rsidRDefault="00936916" w:rsidP="00D80347">
            <w:pPr>
              <w:pStyle w:val="Tabletext"/>
              <w:keepNext/>
              <w:keepLines/>
              <w:rPr>
                <w:lang w:val="es-ES"/>
              </w:rPr>
            </w:pPr>
            <w:r w:rsidRPr="00493C95">
              <w:rPr>
                <w:lang w:val="es-ES"/>
              </w:rPr>
              <w:t>Gama de frecuencias de la señal (MHz)</w:t>
            </w:r>
          </w:p>
        </w:tc>
        <w:tc>
          <w:tcPr>
            <w:tcW w:w="4084" w:type="dxa"/>
            <w:tcBorders>
              <w:top w:val="single" w:sz="4" w:space="0" w:color="auto"/>
              <w:left w:val="single" w:sz="4" w:space="0" w:color="auto"/>
              <w:bottom w:val="single" w:sz="4" w:space="0" w:color="auto"/>
              <w:right w:val="single" w:sz="4" w:space="0" w:color="auto"/>
            </w:tcBorders>
          </w:tcPr>
          <w:p w14:paraId="548FD8B1" w14:textId="77777777" w:rsidR="00936916" w:rsidRPr="00493C95" w:rsidRDefault="00936916" w:rsidP="00D80347">
            <w:pPr>
              <w:pStyle w:val="Tabletext"/>
              <w:keepNext/>
              <w:keepLines/>
              <w:jc w:val="center"/>
              <w:rPr>
                <w:lang w:val="es-ES"/>
              </w:rPr>
            </w:pPr>
            <w:r w:rsidRPr="00493C95">
              <w:rPr>
                <w:lang w:val="es-ES"/>
              </w:rPr>
              <w:t>1 575,42</w:t>
            </w:r>
            <w:r w:rsidRPr="00493C95">
              <w:rPr>
                <w:rFonts w:eastAsia="MS PGothic"/>
                <w:lang w:val="es-ES"/>
              </w:rPr>
              <w:t xml:space="preserve"> ± </w:t>
            </w:r>
            <w:r w:rsidRPr="00493C95">
              <w:rPr>
                <w:lang w:val="es-ES"/>
              </w:rPr>
              <w:t>15,345</w:t>
            </w:r>
            <w:r w:rsidRPr="00493C95">
              <w:rPr>
                <w:rFonts w:eastAsia="MS PGothic"/>
                <w:lang w:val="es-ES"/>
              </w:rPr>
              <w:t xml:space="preserve"> </w:t>
            </w:r>
            <w:r w:rsidRPr="00493C95">
              <w:rPr>
                <w:lang w:val="es-ES"/>
              </w:rPr>
              <w:t>(señal GPS L1),</w:t>
            </w:r>
            <w:r w:rsidRPr="00493C95">
              <w:rPr>
                <w:lang w:val="es-ES"/>
              </w:rPr>
              <w:br/>
              <w:t>1 227,6 ± 15,345 (señal GPS L2),</w:t>
            </w:r>
            <w:r w:rsidRPr="00493C95">
              <w:rPr>
                <w:lang w:val="es-ES"/>
              </w:rPr>
              <w:br/>
              <w:t>1 176,45</w:t>
            </w:r>
            <w:r w:rsidRPr="00493C95">
              <w:rPr>
                <w:rFonts w:eastAsia="MS PGothic"/>
                <w:lang w:val="es-ES"/>
              </w:rPr>
              <w:t xml:space="preserve"> ± 12 </w:t>
            </w:r>
            <w:r w:rsidRPr="00493C95">
              <w:rPr>
                <w:lang w:val="es-ES"/>
              </w:rPr>
              <w:t>(señal GPS L5)</w:t>
            </w:r>
          </w:p>
        </w:tc>
      </w:tr>
      <w:tr w:rsidR="00936916" w:rsidRPr="00E108DC" w14:paraId="6004B9A6"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13DFC286" w14:textId="77777777" w:rsidR="00936916" w:rsidRPr="00493C95" w:rsidRDefault="00936916" w:rsidP="00D80347">
            <w:pPr>
              <w:pStyle w:val="Tabletext"/>
              <w:keepNext/>
              <w:keepLines/>
              <w:jc w:val="left"/>
              <w:rPr>
                <w:lang w:val="es-ES"/>
              </w:rPr>
            </w:pPr>
            <w:r w:rsidRPr="00493C95">
              <w:rPr>
                <w:lang w:val="es-ES"/>
              </w:rPr>
              <w:t>Máxima ganancia de antena del receptor en el hemisferio superior (dBi)</w:t>
            </w:r>
          </w:p>
        </w:tc>
        <w:tc>
          <w:tcPr>
            <w:tcW w:w="4084" w:type="dxa"/>
            <w:tcBorders>
              <w:top w:val="single" w:sz="4" w:space="0" w:color="auto"/>
              <w:left w:val="single" w:sz="4" w:space="0" w:color="auto"/>
              <w:bottom w:val="single" w:sz="4" w:space="0" w:color="auto"/>
              <w:right w:val="single" w:sz="4" w:space="0" w:color="auto"/>
            </w:tcBorders>
          </w:tcPr>
          <w:p w14:paraId="0A364BC0" w14:textId="77777777" w:rsidR="00936916" w:rsidRPr="00493C95" w:rsidRDefault="00936916" w:rsidP="00D80347">
            <w:pPr>
              <w:pStyle w:val="Tabletext"/>
              <w:keepNext/>
              <w:keepLines/>
              <w:jc w:val="center"/>
              <w:rPr>
                <w:lang w:val="es-ES"/>
              </w:rPr>
            </w:pPr>
            <w:r w:rsidRPr="00493C95">
              <w:rPr>
                <w:lang w:val="es-ES"/>
              </w:rPr>
              <w:t>7,0 (antena apuntada en dirección cenital desde una órbita terrestre baja (LEO))</w:t>
            </w:r>
            <w:r w:rsidRPr="00493C95">
              <w:rPr>
                <w:lang w:val="es-ES"/>
              </w:rPr>
              <w:br/>
              <w:t>(con respecto a una señal con polarización dextrógira)</w:t>
            </w:r>
          </w:p>
        </w:tc>
      </w:tr>
      <w:tr w:rsidR="00936916" w:rsidRPr="00E108DC" w14:paraId="34AA1896"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3052F849" w14:textId="77777777" w:rsidR="00936916" w:rsidRPr="00493C95" w:rsidRDefault="00936916" w:rsidP="00D80347">
            <w:pPr>
              <w:pStyle w:val="Tabletext"/>
              <w:keepNext/>
              <w:keepLines/>
              <w:jc w:val="left"/>
              <w:rPr>
                <w:lang w:val="es-ES"/>
              </w:rPr>
            </w:pPr>
            <w:r w:rsidRPr="00493C95">
              <w:rPr>
                <w:lang w:val="es-ES"/>
              </w:rPr>
              <w:t>Máxima ganancia de antena del receptor en el hemisferio inferior (dBi)</w:t>
            </w:r>
          </w:p>
        </w:tc>
        <w:tc>
          <w:tcPr>
            <w:tcW w:w="4084" w:type="dxa"/>
            <w:tcBorders>
              <w:top w:val="single" w:sz="4" w:space="0" w:color="auto"/>
              <w:left w:val="single" w:sz="4" w:space="0" w:color="auto"/>
              <w:bottom w:val="single" w:sz="4" w:space="0" w:color="auto"/>
              <w:right w:val="single" w:sz="4" w:space="0" w:color="auto"/>
            </w:tcBorders>
          </w:tcPr>
          <w:p w14:paraId="7A0BE055" w14:textId="77777777" w:rsidR="00936916" w:rsidRPr="00493C95" w:rsidRDefault="00936916" w:rsidP="00D80347">
            <w:pPr>
              <w:pStyle w:val="Tabletext"/>
              <w:keepNext/>
              <w:keepLines/>
              <w:jc w:val="center"/>
              <w:rPr>
                <w:lang w:val="es-ES"/>
              </w:rPr>
            </w:pPr>
            <w:r w:rsidRPr="00493C95">
              <w:rPr>
                <w:lang w:val="es-ES"/>
              </w:rPr>
              <w:t>−10,0 (antena apuntada en dirección cenital desde LEO)</w:t>
            </w:r>
            <w:r w:rsidRPr="00493C95">
              <w:rPr>
                <w:lang w:val="es-ES"/>
              </w:rPr>
              <w:br/>
              <w:t>(con respecto a una señal con polarización dextrógira)</w:t>
            </w:r>
          </w:p>
        </w:tc>
      </w:tr>
      <w:tr w:rsidR="00936916" w:rsidRPr="00E108DC" w14:paraId="60EAD2E2"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7C7E0822" w14:textId="77777777" w:rsidR="00936916" w:rsidRPr="00493C95" w:rsidRDefault="00936916" w:rsidP="00D80347">
            <w:pPr>
              <w:pStyle w:val="Tabletext"/>
              <w:rPr>
                <w:lang w:val="es-ES"/>
              </w:rPr>
            </w:pPr>
            <w:r w:rsidRPr="00493C95">
              <w:rPr>
                <w:lang w:val="es-ES"/>
              </w:rPr>
              <w:t>Anchura de banda a 3 dB del filtro de RF (MHz)</w:t>
            </w:r>
          </w:p>
        </w:tc>
        <w:tc>
          <w:tcPr>
            <w:tcW w:w="4084" w:type="dxa"/>
            <w:tcBorders>
              <w:top w:val="single" w:sz="4" w:space="0" w:color="auto"/>
              <w:left w:val="single" w:sz="4" w:space="0" w:color="auto"/>
              <w:bottom w:val="single" w:sz="4" w:space="0" w:color="auto"/>
              <w:right w:val="single" w:sz="4" w:space="0" w:color="auto"/>
            </w:tcBorders>
          </w:tcPr>
          <w:p w14:paraId="0A0AF1CC" w14:textId="77777777" w:rsidR="00936916" w:rsidRPr="00493C95" w:rsidRDefault="00936916" w:rsidP="00D80347">
            <w:pPr>
              <w:pStyle w:val="Tabletext"/>
              <w:jc w:val="center"/>
              <w:rPr>
                <w:lang w:val="es-ES"/>
              </w:rPr>
            </w:pPr>
            <w:r w:rsidRPr="00493C95">
              <w:rPr>
                <w:lang w:val="es-ES"/>
              </w:rPr>
              <w:t>24,0</w:t>
            </w:r>
          </w:p>
        </w:tc>
      </w:tr>
      <w:tr w:rsidR="00936916" w:rsidRPr="00E108DC" w14:paraId="561BC957"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2BA915A6" w14:textId="77777777" w:rsidR="00936916" w:rsidRPr="00493C95" w:rsidRDefault="00936916" w:rsidP="00D80347">
            <w:pPr>
              <w:pStyle w:val="Tabletext"/>
              <w:rPr>
                <w:lang w:val="es-ES"/>
              </w:rPr>
            </w:pPr>
            <w:r w:rsidRPr="00493C95">
              <w:rPr>
                <w:lang w:val="es-ES"/>
              </w:rPr>
              <w:t>Anchura de banda a 3 dB del filtro de precorrelación (MHz)</w:t>
            </w:r>
          </w:p>
        </w:tc>
        <w:tc>
          <w:tcPr>
            <w:tcW w:w="4084" w:type="dxa"/>
            <w:tcBorders>
              <w:top w:val="single" w:sz="4" w:space="0" w:color="auto"/>
              <w:left w:val="single" w:sz="4" w:space="0" w:color="auto"/>
              <w:bottom w:val="single" w:sz="4" w:space="0" w:color="auto"/>
              <w:right w:val="single" w:sz="4" w:space="0" w:color="auto"/>
            </w:tcBorders>
          </w:tcPr>
          <w:p w14:paraId="10B04A37" w14:textId="77777777" w:rsidR="00936916" w:rsidRPr="00493C95" w:rsidRDefault="00936916" w:rsidP="00D80347">
            <w:pPr>
              <w:pStyle w:val="Tabletext"/>
              <w:jc w:val="center"/>
              <w:rPr>
                <w:lang w:val="es-ES"/>
              </w:rPr>
            </w:pPr>
            <w:r w:rsidRPr="00493C95">
              <w:rPr>
                <w:lang w:val="es-ES"/>
              </w:rPr>
              <w:t>20,46</w:t>
            </w:r>
          </w:p>
        </w:tc>
      </w:tr>
      <w:tr w:rsidR="00936916" w:rsidRPr="00E108DC" w14:paraId="4A1C7984"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0307F2A4" w14:textId="77777777" w:rsidR="00936916" w:rsidRPr="00493C95" w:rsidRDefault="00936916" w:rsidP="00D80347">
            <w:pPr>
              <w:pStyle w:val="Tabletext"/>
              <w:rPr>
                <w:lang w:val="es-ES"/>
              </w:rPr>
            </w:pPr>
            <w:r w:rsidRPr="00493C95">
              <w:rPr>
                <w:lang w:val="es-ES"/>
              </w:rPr>
              <w:t>Temperatura de ruido del sistema receptor (K)</w:t>
            </w:r>
          </w:p>
        </w:tc>
        <w:tc>
          <w:tcPr>
            <w:tcW w:w="4084" w:type="dxa"/>
            <w:tcBorders>
              <w:top w:val="single" w:sz="4" w:space="0" w:color="auto"/>
              <w:left w:val="single" w:sz="4" w:space="0" w:color="auto"/>
              <w:bottom w:val="single" w:sz="4" w:space="0" w:color="auto"/>
              <w:right w:val="single" w:sz="4" w:space="0" w:color="auto"/>
            </w:tcBorders>
          </w:tcPr>
          <w:p w14:paraId="62F41D7F" w14:textId="77777777" w:rsidR="00936916" w:rsidRPr="00493C95" w:rsidRDefault="00936916" w:rsidP="00D80347">
            <w:pPr>
              <w:pStyle w:val="Tabletext"/>
              <w:jc w:val="center"/>
              <w:rPr>
                <w:lang w:val="es-ES"/>
              </w:rPr>
            </w:pPr>
            <w:r w:rsidRPr="00493C95">
              <w:rPr>
                <w:lang w:val="es-ES"/>
              </w:rPr>
              <w:t>111,0</w:t>
            </w:r>
            <w:r w:rsidRPr="00493C95">
              <w:rPr>
                <w:vertAlign w:val="superscript"/>
                <w:lang w:val="es-ES"/>
              </w:rPr>
              <w:t>(1)</w:t>
            </w:r>
          </w:p>
        </w:tc>
      </w:tr>
    </w:tbl>
    <w:p w14:paraId="2CADC932" w14:textId="77777777" w:rsidR="00A44198" w:rsidRPr="00493C95" w:rsidRDefault="00A44198" w:rsidP="00A44198">
      <w:pPr>
        <w:pStyle w:val="Tablefin"/>
        <w:rPr>
          <w:lang w:val="es-ES"/>
        </w:rPr>
      </w:pPr>
    </w:p>
    <w:p w14:paraId="3DAEF230" w14:textId="4FF4F9E9" w:rsidR="00A44198" w:rsidRPr="00493C95" w:rsidRDefault="00A44198" w:rsidP="00A44198">
      <w:pPr>
        <w:pStyle w:val="TableNo"/>
        <w:keepLines/>
        <w:rPr>
          <w:lang w:val="es-ES"/>
        </w:rPr>
      </w:pPr>
      <w:r w:rsidRPr="00493C95">
        <w:rPr>
          <w:lang w:val="es-ES"/>
        </w:rPr>
        <w:t>CUADRO 2</w:t>
      </w:r>
      <w:r>
        <w:rPr>
          <w:lang w:val="es-ES"/>
        </w:rPr>
        <w:t xml:space="preserve"> (</w:t>
      </w:r>
      <w:r>
        <w:rPr>
          <w:i/>
          <w:iCs/>
          <w:lang w:val="es-ES"/>
        </w:rPr>
        <w:t>continuación</w:t>
      </w:r>
      <w:r>
        <w:rPr>
          <w:lang w:val="es-ES"/>
        </w:rPr>
        <w: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2"/>
        <w:gridCol w:w="4086"/>
      </w:tblGrid>
      <w:tr w:rsidR="00A44198" w:rsidRPr="00E108DC" w14:paraId="51FBC108" w14:textId="77777777" w:rsidTr="00A44198">
        <w:trPr>
          <w:jc w:val="center"/>
        </w:trPr>
        <w:tc>
          <w:tcPr>
            <w:tcW w:w="5559" w:type="dxa"/>
            <w:tcBorders>
              <w:top w:val="single" w:sz="4" w:space="0" w:color="auto"/>
              <w:left w:val="single" w:sz="4" w:space="0" w:color="auto"/>
              <w:bottom w:val="single" w:sz="4" w:space="0" w:color="auto"/>
              <w:right w:val="single" w:sz="4" w:space="0" w:color="auto"/>
            </w:tcBorders>
          </w:tcPr>
          <w:p w14:paraId="7D48E398" w14:textId="77777777" w:rsidR="00A44198" w:rsidRPr="00493C95" w:rsidRDefault="00A44198" w:rsidP="00D80347">
            <w:pPr>
              <w:pStyle w:val="Tablehead"/>
              <w:rPr>
                <w:lang w:val="es-ES"/>
              </w:rPr>
            </w:pPr>
            <w:r w:rsidRPr="00493C95">
              <w:rPr>
                <w:lang w:val="es-ES"/>
              </w:rPr>
              <w:t>Parámetro</w:t>
            </w:r>
          </w:p>
        </w:tc>
        <w:tc>
          <w:tcPr>
            <w:tcW w:w="4084" w:type="dxa"/>
            <w:tcBorders>
              <w:top w:val="single" w:sz="4" w:space="0" w:color="auto"/>
              <w:left w:val="single" w:sz="4" w:space="0" w:color="auto"/>
              <w:bottom w:val="single" w:sz="4" w:space="0" w:color="auto"/>
              <w:right w:val="single" w:sz="4" w:space="0" w:color="auto"/>
            </w:tcBorders>
          </w:tcPr>
          <w:p w14:paraId="705041DD" w14:textId="77777777" w:rsidR="00A44198" w:rsidRPr="00493C95" w:rsidRDefault="00A44198" w:rsidP="00D80347">
            <w:pPr>
              <w:pStyle w:val="Tablehead"/>
              <w:rPr>
                <w:lang w:val="es-ES"/>
              </w:rPr>
            </w:pPr>
            <w:r w:rsidRPr="00493C95">
              <w:rPr>
                <w:lang w:val="es-ES"/>
              </w:rPr>
              <w:t>Parámetro (valor)</w:t>
            </w:r>
          </w:p>
        </w:tc>
      </w:tr>
      <w:tr w:rsidR="00936916" w:rsidRPr="00E108DC" w14:paraId="4873D440" w14:textId="77777777" w:rsidTr="00A44198">
        <w:trPr>
          <w:jc w:val="center"/>
        </w:trPr>
        <w:tc>
          <w:tcPr>
            <w:tcW w:w="9648" w:type="dxa"/>
            <w:gridSpan w:val="2"/>
            <w:tcBorders>
              <w:top w:val="single" w:sz="4" w:space="0" w:color="auto"/>
              <w:left w:val="single" w:sz="4" w:space="0" w:color="auto"/>
              <w:bottom w:val="single" w:sz="4" w:space="0" w:color="auto"/>
              <w:right w:val="single" w:sz="4" w:space="0" w:color="auto"/>
            </w:tcBorders>
          </w:tcPr>
          <w:p w14:paraId="416E8868" w14:textId="77777777" w:rsidR="00936916" w:rsidRPr="00493C95" w:rsidRDefault="00936916" w:rsidP="00A44198">
            <w:pPr>
              <w:pStyle w:val="Tablehead"/>
              <w:keepLines/>
              <w:rPr>
                <w:lang w:val="es-ES"/>
              </w:rPr>
            </w:pPr>
            <w:r w:rsidRPr="00493C95">
              <w:rPr>
                <w:lang w:val="es-ES"/>
              </w:rPr>
              <w:t>Umbrales para la interferencia continua</w:t>
            </w:r>
          </w:p>
        </w:tc>
      </w:tr>
      <w:tr w:rsidR="00936916" w:rsidRPr="00E108DC" w14:paraId="58879094"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1EA26641" w14:textId="77777777" w:rsidR="00936916" w:rsidRPr="00493C95" w:rsidRDefault="00936916" w:rsidP="00A44198">
            <w:pPr>
              <w:pStyle w:val="Tabletext"/>
              <w:keepNext/>
              <w:keepLines/>
              <w:jc w:val="left"/>
              <w:rPr>
                <w:lang w:val="es-ES"/>
              </w:rPr>
            </w:pPr>
            <w:r w:rsidRPr="00493C95">
              <w:rPr>
                <w:lang w:val="es-ES"/>
              </w:rPr>
              <w:t>Nivel de potencia umbral en modo seguimiento de la interferencia de banda estrecha combinada a la salida de una antena pasiva (dBW)</w:t>
            </w:r>
          </w:p>
        </w:tc>
        <w:tc>
          <w:tcPr>
            <w:tcW w:w="4086" w:type="dxa"/>
            <w:tcBorders>
              <w:top w:val="single" w:sz="4" w:space="0" w:color="auto"/>
              <w:left w:val="single" w:sz="4" w:space="0" w:color="auto"/>
              <w:bottom w:val="single" w:sz="4" w:space="0" w:color="auto"/>
              <w:right w:val="single" w:sz="4" w:space="0" w:color="auto"/>
            </w:tcBorders>
          </w:tcPr>
          <w:p w14:paraId="57399EA2" w14:textId="77777777" w:rsidR="00936916" w:rsidRPr="00493C95" w:rsidRDefault="00936916" w:rsidP="00A44198">
            <w:pPr>
              <w:pStyle w:val="Tabletext"/>
              <w:keepNext/>
              <w:keepLines/>
              <w:jc w:val="center"/>
              <w:rPr>
                <w:lang w:val="es-ES"/>
              </w:rPr>
            </w:pPr>
            <w:r w:rsidRPr="00493C95">
              <w:rPr>
                <w:lang w:val="es-ES"/>
              </w:rPr>
              <w:t>−164,0 (señal L1)</w:t>
            </w:r>
            <w:r w:rsidRPr="00493C95">
              <w:rPr>
                <w:vertAlign w:val="superscript"/>
                <w:lang w:val="es-ES"/>
              </w:rPr>
              <w:t>(2)</w:t>
            </w:r>
            <w:r w:rsidRPr="00493C95">
              <w:rPr>
                <w:lang w:val="es-ES"/>
              </w:rPr>
              <w:br/>
              <w:t>−157,0 (señal L2)</w:t>
            </w:r>
            <w:r w:rsidRPr="00493C95">
              <w:rPr>
                <w:vertAlign w:val="superscript"/>
                <w:lang w:val="es-ES"/>
              </w:rPr>
              <w:t>(3)</w:t>
            </w:r>
            <w:r w:rsidRPr="00493C95">
              <w:rPr>
                <w:lang w:val="es-ES"/>
              </w:rPr>
              <w:br/>
              <w:t>−154,0 (señal L5)</w:t>
            </w:r>
            <w:r w:rsidRPr="00493C95">
              <w:rPr>
                <w:vertAlign w:val="superscript"/>
                <w:lang w:val="es-ES"/>
              </w:rPr>
              <w:t>(4)</w:t>
            </w:r>
            <w:r w:rsidRPr="00493C95">
              <w:rPr>
                <w:lang w:val="es-ES"/>
              </w:rPr>
              <w:br/>
              <w:t>(anchura de banda interferente &lt; 1 MHz)</w:t>
            </w:r>
            <w:r w:rsidRPr="00493C95">
              <w:rPr>
                <w:lang w:val="es-ES"/>
              </w:rPr>
              <w:br/>
              <w:t>(estos valores se aplican fundamentalmente a las fuentes de interferencia espaciales)</w:t>
            </w:r>
          </w:p>
        </w:tc>
      </w:tr>
      <w:tr w:rsidR="00936916" w:rsidRPr="00E108DC" w14:paraId="4AA79F55"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6B29F3CA" w14:textId="77777777" w:rsidR="00936916" w:rsidRPr="00493C95" w:rsidRDefault="00936916" w:rsidP="00D80347">
            <w:pPr>
              <w:pStyle w:val="Tabletext"/>
              <w:jc w:val="left"/>
              <w:rPr>
                <w:lang w:val="es-ES"/>
              </w:rPr>
            </w:pPr>
            <w:r w:rsidRPr="00493C95">
              <w:rPr>
                <w:lang w:val="es-ES"/>
              </w:rPr>
              <w:t>Nivel de potencia umbral en modo adquisición de la interferencia de banda estrecha combinada a la salida de una antena pasiva (dBW)</w:t>
            </w:r>
          </w:p>
        </w:tc>
        <w:tc>
          <w:tcPr>
            <w:tcW w:w="4086" w:type="dxa"/>
            <w:tcBorders>
              <w:top w:val="single" w:sz="4" w:space="0" w:color="auto"/>
              <w:left w:val="single" w:sz="4" w:space="0" w:color="auto"/>
              <w:bottom w:val="single" w:sz="4" w:space="0" w:color="auto"/>
              <w:right w:val="single" w:sz="4" w:space="0" w:color="auto"/>
            </w:tcBorders>
          </w:tcPr>
          <w:p w14:paraId="437A6CAA" w14:textId="77777777" w:rsidR="00936916" w:rsidRPr="00493C95" w:rsidRDefault="00936916" w:rsidP="00D80347">
            <w:pPr>
              <w:pStyle w:val="Tabletext"/>
              <w:jc w:val="center"/>
              <w:rPr>
                <w:lang w:val="es-ES"/>
              </w:rPr>
            </w:pPr>
            <w:r w:rsidRPr="00493C95">
              <w:rPr>
                <w:lang w:val="es-ES"/>
              </w:rPr>
              <w:t>−164,0 (señal L1)</w:t>
            </w:r>
            <w:r w:rsidRPr="00493C95">
              <w:rPr>
                <w:vertAlign w:val="superscript"/>
                <w:lang w:val="es-ES"/>
              </w:rPr>
              <w:t>(2)</w:t>
            </w:r>
            <w:r w:rsidRPr="00493C95">
              <w:rPr>
                <w:lang w:val="es-ES"/>
              </w:rPr>
              <w:br/>
              <w:t>−163,0 (señal L2)</w:t>
            </w:r>
            <w:r w:rsidRPr="00493C95">
              <w:rPr>
                <w:vertAlign w:val="superscript"/>
                <w:lang w:val="es-ES"/>
              </w:rPr>
              <w:t>(5)</w:t>
            </w:r>
            <w:r w:rsidRPr="00493C95">
              <w:rPr>
                <w:lang w:val="es-ES"/>
              </w:rPr>
              <w:br/>
              <w:t>−154,0 (señal L5)</w:t>
            </w:r>
            <w:r w:rsidRPr="00493C95">
              <w:rPr>
                <w:vertAlign w:val="superscript"/>
                <w:lang w:val="es-ES"/>
              </w:rPr>
              <w:t>(4)</w:t>
            </w:r>
            <w:r w:rsidRPr="00493C95">
              <w:rPr>
                <w:lang w:val="es-ES"/>
              </w:rPr>
              <w:br/>
              <w:t>(anchura de banda interferente &lt; 1 MHz)</w:t>
            </w:r>
            <w:r w:rsidRPr="00493C95">
              <w:rPr>
                <w:lang w:val="es-ES"/>
              </w:rPr>
              <w:br/>
              <w:t>(estos valores se aplican fundamentalmente a las fuentes de interferencia espaciales)</w:t>
            </w:r>
          </w:p>
        </w:tc>
      </w:tr>
      <w:tr w:rsidR="00936916" w:rsidRPr="00E108DC" w14:paraId="6F575C2B"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1B985719" w14:textId="77777777" w:rsidR="00936916" w:rsidRPr="00493C95" w:rsidRDefault="00936916" w:rsidP="00D80347">
            <w:pPr>
              <w:pStyle w:val="Tabletext"/>
              <w:jc w:val="left"/>
              <w:rPr>
                <w:lang w:val="es-ES"/>
              </w:rPr>
            </w:pPr>
            <w:r w:rsidRPr="00493C95">
              <w:rPr>
                <w:lang w:val="es-ES"/>
              </w:rPr>
              <w:t>Nivel de densidad de potencia umbral en modo seguimiento de la interferencia de banda amplia combinada a la salida de una antena pasiva (dB(W/MHz))</w:t>
            </w:r>
          </w:p>
        </w:tc>
        <w:tc>
          <w:tcPr>
            <w:tcW w:w="4086" w:type="dxa"/>
            <w:tcBorders>
              <w:top w:val="single" w:sz="4" w:space="0" w:color="auto"/>
              <w:left w:val="single" w:sz="4" w:space="0" w:color="auto"/>
              <w:bottom w:val="single" w:sz="4" w:space="0" w:color="auto"/>
              <w:right w:val="single" w:sz="4" w:space="0" w:color="auto"/>
            </w:tcBorders>
          </w:tcPr>
          <w:p w14:paraId="3E521E0B" w14:textId="77777777" w:rsidR="00936916" w:rsidRPr="00493C95" w:rsidRDefault="00936916" w:rsidP="00D80347">
            <w:pPr>
              <w:pStyle w:val="Tabletext"/>
              <w:jc w:val="center"/>
              <w:rPr>
                <w:lang w:val="es-ES"/>
              </w:rPr>
            </w:pPr>
            <w:r w:rsidRPr="00493C95">
              <w:rPr>
                <w:lang w:val="es-ES"/>
              </w:rPr>
              <w:t>−154,0</w:t>
            </w:r>
            <w:r w:rsidRPr="00493C95">
              <w:rPr>
                <w:vertAlign w:val="superscript"/>
                <w:lang w:val="es-ES"/>
              </w:rPr>
              <w:t>(6)</w:t>
            </w:r>
            <w:r w:rsidRPr="00493C95">
              <w:rPr>
                <w:lang w:val="es-ES"/>
              </w:rPr>
              <w:br/>
              <w:t xml:space="preserve">(anchura de banda interferente </w:t>
            </w:r>
            <w:r w:rsidRPr="00493C95">
              <w:rPr>
                <w:lang w:val="es-ES"/>
              </w:rPr>
              <w:sym w:font="Symbol" w:char="00B3"/>
            </w:r>
            <w:r w:rsidRPr="00493C95">
              <w:rPr>
                <w:lang w:val="es-ES"/>
              </w:rPr>
              <w:t xml:space="preserve"> 1 MHz)</w:t>
            </w:r>
          </w:p>
        </w:tc>
      </w:tr>
      <w:tr w:rsidR="00936916" w:rsidRPr="00E108DC" w14:paraId="1861DE7F"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0577C51A" w14:textId="77777777" w:rsidR="00936916" w:rsidRPr="00493C95" w:rsidRDefault="00936916" w:rsidP="00D80347">
            <w:pPr>
              <w:pStyle w:val="Tabletext"/>
              <w:jc w:val="left"/>
              <w:rPr>
                <w:lang w:val="es-ES"/>
              </w:rPr>
            </w:pPr>
            <w:r w:rsidRPr="00493C95">
              <w:rPr>
                <w:lang w:val="es-ES"/>
              </w:rPr>
              <w:t>Nivel de densidad de potencia umbral en modo adquisición de la interferencia de banda amplia combinada a la salida de una antena pasiva (dB(W/MHz))</w:t>
            </w:r>
          </w:p>
        </w:tc>
        <w:tc>
          <w:tcPr>
            <w:tcW w:w="4086" w:type="dxa"/>
            <w:tcBorders>
              <w:top w:val="single" w:sz="4" w:space="0" w:color="auto"/>
              <w:left w:val="single" w:sz="4" w:space="0" w:color="auto"/>
              <w:bottom w:val="single" w:sz="4" w:space="0" w:color="auto"/>
              <w:right w:val="single" w:sz="4" w:space="0" w:color="auto"/>
            </w:tcBorders>
          </w:tcPr>
          <w:p w14:paraId="5ED12413" w14:textId="77777777" w:rsidR="00936916" w:rsidRPr="00493C95" w:rsidRDefault="00936916" w:rsidP="00D80347">
            <w:pPr>
              <w:pStyle w:val="Tabletext"/>
              <w:jc w:val="center"/>
              <w:rPr>
                <w:lang w:val="es-ES"/>
              </w:rPr>
            </w:pPr>
            <w:r w:rsidRPr="00493C95">
              <w:rPr>
                <w:lang w:val="es-ES"/>
              </w:rPr>
              <w:t>−154,0</w:t>
            </w:r>
            <w:r w:rsidRPr="00493C95">
              <w:rPr>
                <w:vertAlign w:val="superscript"/>
                <w:lang w:val="es-ES"/>
              </w:rPr>
              <w:t>(6)</w:t>
            </w:r>
            <w:r w:rsidRPr="00493C95">
              <w:rPr>
                <w:lang w:val="es-ES"/>
              </w:rPr>
              <w:br/>
              <w:t xml:space="preserve">(anchura de banda interferente </w:t>
            </w:r>
            <w:r w:rsidRPr="00493C95">
              <w:rPr>
                <w:lang w:val="es-ES"/>
              </w:rPr>
              <w:sym w:font="Symbol" w:char="00B3"/>
            </w:r>
            <w:r w:rsidRPr="00493C95">
              <w:rPr>
                <w:lang w:val="es-ES"/>
              </w:rPr>
              <w:t xml:space="preserve"> 1 MHz)</w:t>
            </w:r>
          </w:p>
        </w:tc>
      </w:tr>
      <w:tr w:rsidR="00936916" w:rsidRPr="00E108DC" w14:paraId="3546FD65" w14:textId="77777777" w:rsidTr="00A44198">
        <w:trPr>
          <w:jc w:val="center"/>
        </w:trPr>
        <w:tc>
          <w:tcPr>
            <w:tcW w:w="9648" w:type="dxa"/>
            <w:gridSpan w:val="2"/>
            <w:tcBorders>
              <w:top w:val="single" w:sz="4" w:space="0" w:color="auto"/>
              <w:left w:val="single" w:sz="4" w:space="0" w:color="auto"/>
              <w:bottom w:val="single" w:sz="4" w:space="0" w:color="auto"/>
              <w:right w:val="single" w:sz="4" w:space="0" w:color="auto"/>
            </w:tcBorders>
          </w:tcPr>
          <w:p w14:paraId="7DA16FB2" w14:textId="77777777" w:rsidR="00936916" w:rsidRPr="00E108DC" w:rsidRDefault="00936916" w:rsidP="00D80347">
            <w:pPr>
              <w:pStyle w:val="Tablehead"/>
              <w:rPr>
                <w:lang w:val="es-ES"/>
              </w:rPr>
            </w:pPr>
            <w:r w:rsidRPr="005C3492">
              <w:rPr>
                <w:lang w:val="es-ES"/>
              </w:rPr>
              <w:t xml:space="preserve">Umbrales para la interferencia </w:t>
            </w:r>
            <w:r>
              <w:rPr>
                <w:lang w:val="es-ES"/>
              </w:rPr>
              <w:t xml:space="preserve">impulsiva </w:t>
            </w:r>
            <w:r w:rsidRPr="008C2FDD">
              <w:rPr>
                <w:b w:val="0"/>
                <w:bCs/>
                <w:lang w:val="es-ES"/>
              </w:rPr>
              <w:t xml:space="preserve">(véase </w:t>
            </w:r>
            <w:r w:rsidRPr="008C2FDD">
              <w:rPr>
                <w:b w:val="0"/>
                <w:bCs/>
                <w:vertAlign w:val="superscript"/>
                <w:lang w:val="es-ES"/>
              </w:rPr>
              <w:t>(8)</w:t>
            </w:r>
            <w:r w:rsidRPr="008C2FDD">
              <w:rPr>
                <w:b w:val="0"/>
                <w:bCs/>
                <w:lang w:val="es-ES"/>
              </w:rPr>
              <w:t>)</w:t>
            </w:r>
          </w:p>
        </w:tc>
      </w:tr>
      <w:tr w:rsidR="00936916" w:rsidRPr="00E108DC" w14:paraId="1426282E"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7F73DDBC" w14:textId="77777777" w:rsidR="00936916" w:rsidRPr="00493C95" w:rsidRDefault="00936916" w:rsidP="00D80347">
            <w:pPr>
              <w:pStyle w:val="Tabletext"/>
              <w:rPr>
                <w:lang w:val="es-ES"/>
              </w:rPr>
            </w:pPr>
            <w:r w:rsidRPr="00493C95">
              <w:rPr>
                <w:lang w:val="es-ES"/>
              </w:rPr>
              <w:t xml:space="preserve">Nivel de </w:t>
            </w:r>
            <w:r>
              <w:rPr>
                <w:lang w:val="es-ES"/>
              </w:rPr>
              <w:t>saturación</w:t>
            </w:r>
            <w:r w:rsidRPr="00493C95">
              <w:rPr>
                <w:lang w:val="es-ES"/>
              </w:rPr>
              <w:t xml:space="preserve"> a la entrada del receptor (dBW)</w:t>
            </w:r>
            <w:r w:rsidRPr="00493C95">
              <w:rPr>
                <w:vertAlign w:val="superscript"/>
                <w:lang w:val="es-ES"/>
              </w:rPr>
              <w:t>(8)</w:t>
            </w:r>
          </w:p>
        </w:tc>
        <w:tc>
          <w:tcPr>
            <w:tcW w:w="4086" w:type="dxa"/>
            <w:tcBorders>
              <w:top w:val="single" w:sz="4" w:space="0" w:color="auto"/>
              <w:left w:val="single" w:sz="4" w:space="0" w:color="auto"/>
              <w:bottom w:val="single" w:sz="4" w:space="0" w:color="auto"/>
              <w:right w:val="single" w:sz="4" w:space="0" w:color="auto"/>
            </w:tcBorders>
          </w:tcPr>
          <w:p w14:paraId="1B0E7188" w14:textId="77777777" w:rsidR="00936916" w:rsidRPr="00493C95" w:rsidRDefault="00936916" w:rsidP="00D80347">
            <w:pPr>
              <w:pStyle w:val="Tabletext"/>
              <w:keepNext/>
              <w:keepLines/>
              <w:jc w:val="center"/>
              <w:rPr>
                <w:lang w:val="es-ES"/>
              </w:rPr>
            </w:pPr>
            <w:r w:rsidRPr="00493C95">
              <w:rPr>
                <w:lang w:val="es-ES"/>
              </w:rPr>
              <w:t>−56,0</w:t>
            </w:r>
          </w:p>
        </w:tc>
      </w:tr>
      <w:tr w:rsidR="00936916" w:rsidRPr="00E108DC" w14:paraId="1FB4C60D"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16E021EA" w14:textId="77777777" w:rsidR="00936916" w:rsidRPr="00493C95" w:rsidRDefault="00936916" w:rsidP="00D80347">
            <w:pPr>
              <w:pStyle w:val="Tabletext"/>
              <w:rPr>
                <w:lang w:val="es-ES"/>
              </w:rPr>
            </w:pPr>
            <w:r w:rsidRPr="00493C95">
              <w:rPr>
                <w:lang w:val="es-ES"/>
              </w:rPr>
              <w:t>Nivel de supervivencia del receptor (dBW)</w:t>
            </w:r>
            <w:r w:rsidRPr="005C3492">
              <w:rPr>
                <w:vertAlign w:val="superscript"/>
                <w:lang w:val="es-ES"/>
              </w:rPr>
              <w:t>(7) (8)</w:t>
            </w:r>
          </w:p>
        </w:tc>
        <w:tc>
          <w:tcPr>
            <w:tcW w:w="4086" w:type="dxa"/>
            <w:tcBorders>
              <w:top w:val="single" w:sz="4" w:space="0" w:color="auto"/>
              <w:left w:val="single" w:sz="4" w:space="0" w:color="auto"/>
              <w:bottom w:val="single" w:sz="4" w:space="0" w:color="auto"/>
              <w:right w:val="single" w:sz="4" w:space="0" w:color="auto"/>
            </w:tcBorders>
          </w:tcPr>
          <w:p w14:paraId="2F81C023" w14:textId="77777777" w:rsidR="00936916" w:rsidRPr="00493C95" w:rsidRDefault="00936916" w:rsidP="00D80347">
            <w:pPr>
              <w:pStyle w:val="Tabletext"/>
              <w:keepNext/>
              <w:keepLines/>
              <w:jc w:val="center"/>
              <w:rPr>
                <w:lang w:val="es-ES"/>
              </w:rPr>
            </w:pPr>
            <w:r w:rsidRPr="00493C95">
              <w:rPr>
                <w:lang w:val="es-ES"/>
              </w:rPr>
              <w:t>−15,0</w:t>
            </w:r>
          </w:p>
        </w:tc>
      </w:tr>
      <w:tr w:rsidR="00936916" w:rsidRPr="00E108DC" w14:paraId="344D0471" w14:textId="77777777" w:rsidTr="00A44198">
        <w:trPr>
          <w:jc w:val="center"/>
        </w:trPr>
        <w:tc>
          <w:tcPr>
            <w:tcW w:w="5562" w:type="dxa"/>
            <w:tcBorders>
              <w:top w:val="single" w:sz="4" w:space="0" w:color="auto"/>
              <w:left w:val="single" w:sz="4" w:space="0" w:color="auto"/>
              <w:bottom w:val="single" w:sz="4" w:space="0" w:color="auto"/>
              <w:right w:val="single" w:sz="4" w:space="0" w:color="auto"/>
            </w:tcBorders>
          </w:tcPr>
          <w:p w14:paraId="751E9133" w14:textId="77777777" w:rsidR="00936916" w:rsidRPr="00493C95" w:rsidRDefault="00936916" w:rsidP="00D80347">
            <w:pPr>
              <w:pStyle w:val="Tabletext"/>
              <w:rPr>
                <w:lang w:val="es-ES"/>
              </w:rPr>
            </w:pPr>
            <w:r w:rsidRPr="00493C95">
              <w:rPr>
                <w:lang w:val="es-ES"/>
              </w:rPr>
              <w:t>Tiempo de recuperación de sobrecarga (s)</w:t>
            </w:r>
            <w:r w:rsidRPr="005C3492">
              <w:rPr>
                <w:vertAlign w:val="superscript"/>
                <w:lang w:val="es-ES"/>
              </w:rPr>
              <w:t>(8)</w:t>
            </w:r>
          </w:p>
        </w:tc>
        <w:tc>
          <w:tcPr>
            <w:tcW w:w="4086" w:type="dxa"/>
            <w:tcBorders>
              <w:top w:val="single" w:sz="4" w:space="0" w:color="auto"/>
              <w:left w:val="single" w:sz="4" w:space="0" w:color="auto"/>
              <w:bottom w:val="single" w:sz="4" w:space="0" w:color="auto"/>
              <w:right w:val="single" w:sz="4" w:space="0" w:color="auto"/>
            </w:tcBorders>
          </w:tcPr>
          <w:p w14:paraId="30B53F60" w14:textId="77777777" w:rsidR="00936916" w:rsidRPr="00493C95" w:rsidRDefault="00936916" w:rsidP="00D80347">
            <w:pPr>
              <w:pStyle w:val="Tabletext"/>
              <w:keepNext/>
              <w:keepLines/>
              <w:jc w:val="center"/>
              <w:rPr>
                <w:lang w:val="es-ES"/>
              </w:rPr>
            </w:pPr>
            <w:r w:rsidRPr="00493C95">
              <w:rPr>
                <w:lang w:val="es-ES"/>
              </w:rPr>
              <w:t>10</w:t>
            </w:r>
            <w:r w:rsidRPr="00493C95">
              <w:rPr>
                <w:vertAlign w:val="superscript"/>
                <w:lang w:val="es-ES"/>
              </w:rPr>
              <w:t>−6</w:t>
            </w:r>
          </w:p>
        </w:tc>
      </w:tr>
      <w:tr w:rsidR="00936916" w:rsidRPr="00E108DC" w14:paraId="6D3CE471" w14:textId="77777777" w:rsidTr="00A44198">
        <w:trPr>
          <w:jc w:val="center"/>
        </w:trPr>
        <w:tc>
          <w:tcPr>
            <w:tcW w:w="9648" w:type="dxa"/>
            <w:gridSpan w:val="2"/>
            <w:tcBorders>
              <w:top w:val="nil"/>
              <w:left w:val="nil"/>
              <w:bottom w:val="nil"/>
              <w:right w:val="nil"/>
            </w:tcBorders>
          </w:tcPr>
          <w:p w14:paraId="09B0303B" w14:textId="77777777" w:rsidR="00936916" w:rsidRPr="00493C95" w:rsidRDefault="00936916" w:rsidP="00D80347">
            <w:pPr>
              <w:pStyle w:val="Tablelegend"/>
              <w:ind w:hanging="284"/>
              <w:jc w:val="left"/>
              <w:rPr>
                <w:lang w:val="es-ES"/>
              </w:rPr>
            </w:pPr>
            <w:r w:rsidRPr="00493C95">
              <w:rPr>
                <w:vertAlign w:val="superscript"/>
                <w:lang w:val="es-ES"/>
              </w:rPr>
              <w:t>(1)</w:t>
            </w:r>
            <w:r>
              <w:rPr>
                <w:lang w:val="es-ES"/>
              </w:rPr>
              <w:tab/>
            </w:r>
            <w:r w:rsidRPr="00493C95">
              <w:rPr>
                <w:lang w:val="es-ES"/>
              </w:rPr>
              <w:t xml:space="preserve">Esta temperatura de ruido se basa en un receptor espacial existente utilizado para determinar la órbita del vehículo espacial con una precisión de centímetros. El receptor tiene un amplificador de bajo nivel de ruido con un factor de ruido de 0,8 dB, una antena apuntada al zenith de 7 dBi con una temperatura de ruido de la antena de 10 K y unas pérdidas en el cable de 0,5 dB. Por consiguiente, el ruido térmico de fondo es </w:t>
            </w:r>
            <w:r w:rsidRPr="00493C95">
              <w:rPr>
                <w:i/>
                <w:lang w:val="es-ES"/>
              </w:rPr>
              <w:t>N</w:t>
            </w:r>
            <w:r w:rsidRPr="00493C95">
              <w:rPr>
                <w:vertAlign w:val="subscript"/>
                <w:lang w:val="es-ES"/>
              </w:rPr>
              <w:t>0</w:t>
            </w:r>
            <w:r w:rsidRPr="00493C95">
              <w:rPr>
                <w:lang w:val="es-ES"/>
              </w:rPr>
              <w:t> = 10log(</w:t>
            </w:r>
            <w:r w:rsidRPr="00493C95">
              <w:rPr>
                <w:i/>
                <w:lang w:val="es-ES"/>
              </w:rPr>
              <w:t>kT</w:t>
            </w:r>
            <w:r w:rsidRPr="00493C95">
              <w:rPr>
                <w:i/>
                <w:vertAlign w:val="subscript"/>
                <w:lang w:val="es-ES"/>
              </w:rPr>
              <w:t>sys</w:t>
            </w:r>
            <w:r w:rsidRPr="00493C95">
              <w:rPr>
                <w:lang w:val="es-ES"/>
              </w:rPr>
              <w:t xml:space="preserve">) = −208 dB(W/Hz) = −148 dB(W/MHz) siendo </w:t>
            </w:r>
            <w:r w:rsidRPr="00493C95">
              <w:rPr>
                <w:i/>
                <w:lang w:val="es-ES"/>
              </w:rPr>
              <w:t>k</w:t>
            </w:r>
            <w:r w:rsidRPr="00493C95">
              <w:rPr>
                <w:lang w:val="es-ES"/>
              </w:rPr>
              <w:t xml:space="preserve"> la constante de Boltzmann.</w:t>
            </w:r>
          </w:p>
          <w:p w14:paraId="4736FE5B" w14:textId="77777777" w:rsidR="00936916" w:rsidRPr="002B5115" w:rsidRDefault="00936916" w:rsidP="00D80347">
            <w:pPr>
              <w:pStyle w:val="Tablelegend"/>
              <w:ind w:hanging="284"/>
              <w:jc w:val="left"/>
              <w:rPr>
                <w:lang w:val="es-ES"/>
              </w:rPr>
            </w:pPr>
            <w:r w:rsidRPr="00493C95">
              <w:rPr>
                <w:vertAlign w:val="superscript"/>
                <w:lang w:val="es-ES"/>
              </w:rPr>
              <w:t>(</w:t>
            </w:r>
            <w:r w:rsidRPr="002B5115">
              <w:rPr>
                <w:vertAlign w:val="superscript"/>
                <w:lang w:val="es-ES"/>
              </w:rPr>
              <w:t>2</w:t>
            </w:r>
            <w:r w:rsidRPr="00493C95">
              <w:rPr>
                <w:vertAlign w:val="superscript"/>
                <w:lang w:val="es-ES"/>
              </w:rPr>
              <w:t>)</w:t>
            </w:r>
            <w:r>
              <w:rPr>
                <w:lang w:val="es-ES"/>
              </w:rPr>
              <w:tab/>
            </w:r>
            <w:r w:rsidRPr="002B5115">
              <w:rPr>
                <w:lang w:val="es-ES"/>
              </w:rPr>
              <w:t>Este valor umbral se aplica únicamente al canal receptor de código L1 CA y para una anchura de banda de la señal interferente de banda estrecha continua inferior a 700 Hz. Para anchuras de banda comprendidas entre 700 Hz y 1 MHz, el umbral crece como sigue (véase la Fig. 2 de la Recomendación UIT</w:t>
            </w:r>
            <w:r w:rsidRPr="002B5115">
              <w:rPr>
                <w:lang w:val="es-ES"/>
              </w:rPr>
              <w:noBreakHyphen/>
              <w:t xml:space="preserve">R M.1903); 1) para una anchura de banda de la interferencia </w:t>
            </w:r>
            <w:r w:rsidRPr="002B5115">
              <w:rPr>
                <w:i/>
                <w:lang w:val="es-ES"/>
              </w:rPr>
              <w:t>B</w:t>
            </w:r>
            <w:r w:rsidRPr="002B5115">
              <w:rPr>
                <w:i/>
                <w:vertAlign w:val="subscript"/>
                <w:lang w:val="es-ES"/>
              </w:rPr>
              <w:t>I</w:t>
            </w:r>
            <w:r w:rsidRPr="002B5115">
              <w:rPr>
                <w:lang w:val="es-ES"/>
              </w:rPr>
              <w:t xml:space="preserve"> de 700 Hz a 10 kHz el umbral aumenta linealmente con el log(</w:t>
            </w:r>
            <w:r w:rsidRPr="002B5115">
              <w:rPr>
                <w:i/>
                <w:lang w:val="es-ES"/>
              </w:rPr>
              <w:t>B</w:t>
            </w:r>
            <w:r w:rsidRPr="002B5115">
              <w:rPr>
                <w:i/>
                <w:vertAlign w:val="subscript"/>
                <w:lang w:val="es-ES"/>
              </w:rPr>
              <w:t>I</w:t>
            </w:r>
            <w:r w:rsidRPr="002B5115">
              <w:rPr>
                <w:lang w:val="es-ES"/>
              </w:rPr>
              <w:t>) (</w:t>
            </w:r>
            <w:r w:rsidRPr="002B5115">
              <w:rPr>
                <w:i/>
                <w:lang w:val="es-ES"/>
              </w:rPr>
              <w:t>B</w:t>
            </w:r>
            <w:r w:rsidRPr="002B5115">
              <w:rPr>
                <w:i/>
                <w:vertAlign w:val="subscript"/>
                <w:lang w:val="es-ES"/>
              </w:rPr>
              <w:t>I</w:t>
            </w:r>
            <w:r w:rsidRPr="002B5115">
              <w:rPr>
                <w:lang w:val="es-ES"/>
              </w:rPr>
              <w:t xml:space="preserve"> en kHz) desde –164 dBW para </w:t>
            </w:r>
            <w:r w:rsidRPr="002B5115">
              <w:rPr>
                <w:i/>
                <w:lang w:val="es-ES"/>
              </w:rPr>
              <w:t>B</w:t>
            </w:r>
            <w:r w:rsidRPr="002B5115">
              <w:rPr>
                <w:i/>
                <w:vertAlign w:val="subscript"/>
                <w:lang w:val="es-ES"/>
              </w:rPr>
              <w:t>I</w:t>
            </w:r>
            <w:r w:rsidRPr="002B5115">
              <w:rPr>
                <w:lang w:val="es-ES"/>
              </w:rPr>
              <w:t xml:space="preserve"> = 0,7 kHz hasta –157 dBW para </w:t>
            </w:r>
            <w:r w:rsidRPr="002B5115">
              <w:rPr>
                <w:i/>
                <w:lang w:val="es-ES"/>
              </w:rPr>
              <w:t>B</w:t>
            </w:r>
            <w:r w:rsidRPr="002B5115">
              <w:rPr>
                <w:i/>
                <w:vertAlign w:val="subscript"/>
                <w:lang w:val="es-ES"/>
              </w:rPr>
              <w:t>I</w:t>
            </w:r>
            <w:r w:rsidRPr="002B5115">
              <w:rPr>
                <w:lang w:val="es-ES"/>
              </w:rPr>
              <w:t xml:space="preserve"> = 10 kHz; 2) para 10 kHz </w:t>
            </w:r>
            <w:r w:rsidRPr="002B5115">
              <w:rPr>
                <w:lang w:val="es-ES"/>
              </w:rPr>
              <w:sym w:font="Symbol" w:char="00A3"/>
            </w:r>
            <w:r w:rsidRPr="002B5115">
              <w:rPr>
                <w:lang w:val="es-ES"/>
              </w:rPr>
              <w:t xml:space="preserve"> </w:t>
            </w:r>
            <w:r w:rsidRPr="002B5115">
              <w:rPr>
                <w:i/>
                <w:lang w:val="es-ES"/>
              </w:rPr>
              <w:t>B</w:t>
            </w:r>
            <w:r w:rsidRPr="002B5115">
              <w:rPr>
                <w:i/>
                <w:vertAlign w:val="subscript"/>
                <w:lang w:val="es-ES"/>
              </w:rPr>
              <w:t>I</w:t>
            </w:r>
            <w:r w:rsidRPr="002B5115">
              <w:rPr>
                <w:lang w:val="es-ES"/>
              </w:rPr>
              <w:t xml:space="preserve"> </w:t>
            </w:r>
            <w:r w:rsidRPr="002B5115">
              <w:rPr>
                <w:lang w:val="es-ES"/>
              </w:rPr>
              <w:sym w:font="Symbol" w:char="00A3"/>
            </w:r>
            <w:r w:rsidRPr="002B5115">
              <w:rPr>
                <w:lang w:val="es-ES"/>
              </w:rPr>
              <w:t xml:space="preserve"> 100 kHz, el umbral crece linealmente con el log(</w:t>
            </w:r>
            <w:r w:rsidRPr="002B5115">
              <w:rPr>
                <w:i/>
                <w:lang w:val="es-ES"/>
              </w:rPr>
              <w:t>B</w:t>
            </w:r>
            <w:r w:rsidRPr="002B5115">
              <w:rPr>
                <w:i/>
                <w:vertAlign w:val="subscript"/>
                <w:lang w:val="es-ES"/>
              </w:rPr>
              <w:t>I</w:t>
            </w:r>
            <w:r w:rsidRPr="002B5115">
              <w:rPr>
                <w:lang w:val="es-ES"/>
              </w:rPr>
              <w:t>) (</w:t>
            </w:r>
            <w:r w:rsidRPr="002B5115">
              <w:rPr>
                <w:i/>
                <w:lang w:val="es-ES"/>
              </w:rPr>
              <w:t>B</w:t>
            </w:r>
            <w:r w:rsidRPr="002B5115">
              <w:rPr>
                <w:i/>
                <w:vertAlign w:val="subscript"/>
                <w:lang w:val="es-ES"/>
              </w:rPr>
              <w:t>I</w:t>
            </w:r>
            <w:r w:rsidRPr="002B5115">
              <w:rPr>
                <w:lang w:val="es-ES"/>
              </w:rPr>
              <w:t xml:space="preserve"> en kHz) desde</w:t>
            </w:r>
            <w:r>
              <w:rPr>
                <w:lang w:val="es-ES"/>
              </w:rPr>
              <w:t xml:space="preserve"> </w:t>
            </w:r>
            <w:r w:rsidRPr="002B5115">
              <w:rPr>
                <w:lang w:val="es-ES"/>
              </w:rPr>
              <w:t xml:space="preserve">–157 dBW para </w:t>
            </w:r>
            <w:r w:rsidRPr="002B5115">
              <w:rPr>
                <w:i/>
                <w:lang w:val="es-ES"/>
              </w:rPr>
              <w:t>B</w:t>
            </w:r>
            <w:r w:rsidRPr="002B5115">
              <w:rPr>
                <w:i/>
                <w:vertAlign w:val="subscript"/>
                <w:lang w:val="es-ES"/>
              </w:rPr>
              <w:t>I</w:t>
            </w:r>
            <w:r w:rsidRPr="002B5115">
              <w:rPr>
                <w:lang w:val="es-ES"/>
              </w:rPr>
              <w:t xml:space="preserve"> = 10 kHz hasta –154 dBW para </w:t>
            </w:r>
            <w:r w:rsidRPr="002B5115">
              <w:rPr>
                <w:i/>
                <w:lang w:val="es-ES"/>
              </w:rPr>
              <w:t>B</w:t>
            </w:r>
            <w:r w:rsidRPr="002B5115">
              <w:rPr>
                <w:i/>
                <w:vertAlign w:val="subscript"/>
                <w:lang w:val="es-ES"/>
              </w:rPr>
              <w:t>I</w:t>
            </w:r>
            <w:r w:rsidRPr="002B5115">
              <w:rPr>
                <w:lang w:val="es-ES"/>
              </w:rPr>
              <w:t> = 100 kHz; 3) para 100 kHz </w:t>
            </w:r>
            <w:r w:rsidRPr="002B5115">
              <w:rPr>
                <w:lang w:val="es-ES"/>
              </w:rPr>
              <w:sym w:font="Symbol" w:char="00A3"/>
            </w:r>
            <w:r w:rsidRPr="002B5115">
              <w:rPr>
                <w:lang w:val="es-ES"/>
              </w:rPr>
              <w:t> </w:t>
            </w:r>
            <w:r w:rsidRPr="002B5115">
              <w:rPr>
                <w:i/>
                <w:lang w:val="es-ES"/>
              </w:rPr>
              <w:t>B</w:t>
            </w:r>
            <w:r w:rsidRPr="002B5115">
              <w:rPr>
                <w:i/>
                <w:vertAlign w:val="subscript"/>
                <w:lang w:val="es-ES"/>
              </w:rPr>
              <w:t>I</w:t>
            </w:r>
            <w:r w:rsidRPr="002B5115">
              <w:rPr>
                <w:lang w:val="es-ES"/>
              </w:rPr>
              <w:t> </w:t>
            </w:r>
            <w:r w:rsidRPr="002B5115">
              <w:rPr>
                <w:lang w:val="es-ES"/>
              </w:rPr>
              <w:sym w:font="Symbol" w:char="00A3"/>
            </w:r>
            <w:r w:rsidRPr="002B5115">
              <w:rPr>
                <w:lang w:val="es-ES"/>
              </w:rPr>
              <w:t> 1 000 kHz el umbral es –154 dBW.</w:t>
            </w:r>
          </w:p>
          <w:p w14:paraId="23C8C85F" w14:textId="77777777" w:rsidR="00936916" w:rsidRPr="002B5115" w:rsidRDefault="00936916" w:rsidP="00D80347">
            <w:pPr>
              <w:pStyle w:val="Tablelegend"/>
              <w:ind w:hanging="284"/>
              <w:jc w:val="left"/>
              <w:rPr>
                <w:rFonts w:eastAsia="Calibri"/>
                <w:lang w:val="es-ES"/>
              </w:rPr>
            </w:pPr>
            <w:r w:rsidRPr="00493C95">
              <w:rPr>
                <w:vertAlign w:val="superscript"/>
                <w:lang w:val="es-ES"/>
              </w:rPr>
              <w:t>(</w:t>
            </w:r>
            <w:r w:rsidRPr="002B5115">
              <w:rPr>
                <w:vertAlign w:val="superscript"/>
                <w:lang w:val="es-ES"/>
              </w:rPr>
              <w:t>3</w:t>
            </w:r>
            <w:r w:rsidRPr="00493C95">
              <w:rPr>
                <w:vertAlign w:val="superscript"/>
                <w:lang w:val="es-ES"/>
              </w:rPr>
              <w:t>)</w:t>
            </w:r>
            <w:r>
              <w:rPr>
                <w:lang w:val="es-ES"/>
              </w:rPr>
              <w:tab/>
            </w:r>
            <w:r w:rsidRPr="002B5115">
              <w:rPr>
                <w:lang w:val="es-ES"/>
              </w:rPr>
              <w:t>Este valor se basa en la señal L2C consistente en un código de longitud moderada de 511,5 kcps (L2C</w:t>
            </w:r>
            <w:r>
              <w:rPr>
                <w:lang w:val="es-ES"/>
              </w:rPr>
              <w:noBreakHyphen/>
            </w:r>
            <w:r w:rsidRPr="002B5115">
              <w:rPr>
                <w:lang w:val="es-ES"/>
              </w:rPr>
              <w:t>M) con periodo de código de 20 ms multiplexado en el tiempo con otro código largo de 511,5 kcps (L2C-L) con un periodo de código de 1 500 ms para producir una velocidad de segmento total de 1,023 Mcps. Los umbrales para anchuras de banda de la interferencia comprendidas entre 1 kHz y 1 MHz para L2C no han sido definidos y deben ser objeto de nuevos estudios</w:t>
            </w:r>
            <w:r w:rsidRPr="002B5115">
              <w:rPr>
                <w:rFonts w:eastAsia="Calibri"/>
                <w:lang w:val="es-ES"/>
              </w:rPr>
              <w:t>.</w:t>
            </w:r>
          </w:p>
          <w:p w14:paraId="70D66DBD" w14:textId="0F7322A0" w:rsidR="00936916" w:rsidRPr="002B5115" w:rsidRDefault="00936916" w:rsidP="00A44198">
            <w:pPr>
              <w:pStyle w:val="Tablelegend"/>
              <w:ind w:hanging="284"/>
              <w:jc w:val="left"/>
              <w:rPr>
                <w:lang w:val="es-ES"/>
              </w:rPr>
            </w:pPr>
            <w:r w:rsidRPr="00493C95">
              <w:rPr>
                <w:vertAlign w:val="superscript"/>
                <w:lang w:val="es-ES"/>
              </w:rPr>
              <w:t>(</w:t>
            </w:r>
            <w:r w:rsidRPr="002B5115">
              <w:rPr>
                <w:vertAlign w:val="superscript"/>
                <w:lang w:val="es-ES"/>
              </w:rPr>
              <w:t>4</w:t>
            </w:r>
            <w:r w:rsidRPr="00493C95">
              <w:rPr>
                <w:vertAlign w:val="superscript"/>
                <w:lang w:val="es-ES"/>
              </w:rPr>
              <w:t>)</w:t>
            </w:r>
            <w:r>
              <w:rPr>
                <w:lang w:val="es-ES"/>
              </w:rPr>
              <w:tab/>
            </w:r>
            <w:r w:rsidRPr="002B5115">
              <w:rPr>
                <w:lang w:val="es-ES"/>
              </w:rPr>
              <w:t>Este umbral se debe al carácter de raya espectral de la señal piloto L5 que puede provocar una capacidad de rechazo de la interferencia hasta 10 dB menor que la calculada suponiendo un código aleatorio de 10,23 Mcps no periódico con un espectro de potencia continuo (es decir, bajo la hipótesis de código aleatorio, el umbral sería de –144 dBW). Los umbrales para anchuras de banda de la interferencia comprendidas entre 700 Hz y 1 MHz están siendo objeto de estudio.</w:t>
            </w:r>
          </w:p>
        </w:tc>
      </w:tr>
    </w:tbl>
    <w:p w14:paraId="5414BBC2" w14:textId="26BC55B8" w:rsidR="00936916" w:rsidRDefault="00936916" w:rsidP="00936916">
      <w:pPr>
        <w:pStyle w:val="Tablefin"/>
        <w:rPr>
          <w:lang w:val="es-ES"/>
        </w:rPr>
      </w:pPr>
    </w:p>
    <w:p w14:paraId="5A5F4921" w14:textId="62D78704" w:rsidR="00A44198" w:rsidRPr="00493C95" w:rsidRDefault="00A44198" w:rsidP="00A44198">
      <w:pPr>
        <w:pStyle w:val="TableNo"/>
        <w:keepLines/>
        <w:rPr>
          <w:lang w:val="es-ES"/>
        </w:rPr>
      </w:pPr>
      <w:r w:rsidRPr="00493C95">
        <w:rPr>
          <w:lang w:val="es-ES"/>
        </w:rPr>
        <w:t>CUADRO 2</w:t>
      </w:r>
      <w:r>
        <w:rPr>
          <w:lang w:val="es-ES"/>
        </w:rPr>
        <w:t xml:space="preserve"> (</w:t>
      </w:r>
      <w:r>
        <w:rPr>
          <w:i/>
          <w:iCs/>
          <w:lang w:val="es-ES"/>
        </w:rPr>
        <w:t>fin</w:t>
      </w:r>
      <w:r>
        <w:rPr>
          <w:lang w:val="es-ES"/>
        </w:rPr>
        <w:t>)</w:t>
      </w:r>
    </w:p>
    <w:tbl>
      <w:tblPr>
        <w:tblStyle w:val="TableGrid"/>
        <w:tblW w:w="0" w:type="auto"/>
        <w:tblLook w:val="04A0" w:firstRow="1" w:lastRow="0" w:firstColumn="1" w:lastColumn="0" w:noHBand="0" w:noVBand="1"/>
      </w:tblPr>
      <w:tblGrid>
        <w:gridCol w:w="9629"/>
      </w:tblGrid>
      <w:tr w:rsidR="00A44198" w14:paraId="74E5E948" w14:textId="77777777" w:rsidTr="00A44198">
        <w:tc>
          <w:tcPr>
            <w:tcW w:w="9629" w:type="dxa"/>
            <w:tcBorders>
              <w:top w:val="nil"/>
              <w:left w:val="nil"/>
              <w:bottom w:val="nil"/>
              <w:right w:val="nil"/>
            </w:tcBorders>
          </w:tcPr>
          <w:p w14:paraId="1BC91843" w14:textId="77777777" w:rsidR="00A44198" w:rsidRPr="002B5115" w:rsidRDefault="00A44198" w:rsidP="00A44198">
            <w:pPr>
              <w:pStyle w:val="Tablelegend"/>
              <w:ind w:hanging="284"/>
              <w:jc w:val="left"/>
              <w:rPr>
                <w:lang w:val="es-ES"/>
              </w:rPr>
            </w:pPr>
            <w:r w:rsidRPr="00493C95">
              <w:rPr>
                <w:vertAlign w:val="superscript"/>
                <w:lang w:val="es-ES"/>
              </w:rPr>
              <w:t>(</w:t>
            </w:r>
            <w:r w:rsidRPr="002B5115">
              <w:rPr>
                <w:vertAlign w:val="superscript"/>
                <w:lang w:val="es-ES"/>
              </w:rPr>
              <w:t>5</w:t>
            </w:r>
            <w:r w:rsidRPr="00493C95">
              <w:rPr>
                <w:vertAlign w:val="superscript"/>
                <w:lang w:val="es-ES"/>
              </w:rPr>
              <w:t>)</w:t>
            </w:r>
            <w:r>
              <w:rPr>
                <w:lang w:val="es-ES"/>
              </w:rPr>
              <w:tab/>
            </w:r>
            <w:r w:rsidRPr="002B5115">
              <w:rPr>
                <w:lang w:val="es-ES"/>
              </w:rPr>
              <w:t>Este valor se basa en la adquisición directa de la señal L2C utilizando L2C-M. Los umbrales para anchuras de banda de la interferencia comprendidas entre 1 kHz y 1 MHz para L2C no están definidos y pueden requerir más estudios</w:t>
            </w:r>
            <w:r w:rsidRPr="002B5115">
              <w:rPr>
                <w:rFonts w:eastAsia="Calibri"/>
                <w:lang w:val="es-ES"/>
              </w:rPr>
              <w:t>.</w:t>
            </w:r>
          </w:p>
          <w:p w14:paraId="0CB48A80" w14:textId="77777777" w:rsidR="00A44198" w:rsidRPr="00603381" w:rsidRDefault="00A44198" w:rsidP="00A44198">
            <w:pPr>
              <w:pStyle w:val="Tablelegend"/>
              <w:keepNext/>
              <w:keepLines/>
              <w:ind w:hanging="284"/>
              <w:jc w:val="left"/>
              <w:rPr>
                <w:lang w:val="es-ES_tradnl"/>
              </w:rPr>
            </w:pPr>
            <w:r w:rsidRPr="00493C95">
              <w:rPr>
                <w:vertAlign w:val="superscript"/>
                <w:lang w:val="es-ES"/>
              </w:rPr>
              <w:t>(</w:t>
            </w:r>
            <w:r w:rsidRPr="002B5115">
              <w:rPr>
                <w:vertAlign w:val="superscript"/>
                <w:lang w:val="es-ES"/>
              </w:rPr>
              <w:t>6</w:t>
            </w:r>
            <w:r w:rsidRPr="00493C95">
              <w:rPr>
                <w:vertAlign w:val="superscript"/>
                <w:lang w:val="es-ES"/>
              </w:rPr>
              <w:t>)</w:t>
            </w:r>
            <w:r>
              <w:rPr>
                <w:lang w:val="es-ES"/>
              </w:rPr>
              <w:tab/>
            </w:r>
            <w:r w:rsidRPr="002B5115">
              <w:rPr>
                <w:lang w:val="es-ES"/>
              </w:rPr>
              <w:t xml:space="preserve">Este umbral se basa en una relación </w:t>
            </w:r>
            <w:r w:rsidRPr="002B5115">
              <w:rPr>
                <w:i/>
                <w:iCs/>
                <w:lang w:val="es-ES"/>
              </w:rPr>
              <w:t>I/N</w:t>
            </w:r>
            <w:r w:rsidRPr="002B5115">
              <w:rPr>
                <w:lang w:val="es-ES"/>
              </w:rPr>
              <w:t xml:space="preserve"> de –6 dB con respecto al ruido térmico de fondo (</w:t>
            </w:r>
            <w:r w:rsidRPr="002B5115">
              <w:rPr>
                <w:i/>
                <w:lang w:val="es-ES"/>
              </w:rPr>
              <w:t>N</w:t>
            </w:r>
            <w:r w:rsidRPr="002B5115">
              <w:rPr>
                <w:vertAlign w:val="subscript"/>
                <w:lang w:val="es-ES"/>
              </w:rPr>
              <w:t>0</w:t>
            </w:r>
            <w:r w:rsidRPr="002B5115">
              <w:rPr>
                <w:lang w:val="es-ES"/>
              </w:rPr>
              <w:t> = −148 dB(W/MHz)). De forma equivalente, esta interferencia dará lugar a un incremento de 1 dB en el ruido térmico de fondo. El incremento del ruido de fondo puede ser superior a 1 dB en las bandas 1 215</w:t>
            </w:r>
            <w:r w:rsidRPr="002B5115">
              <w:rPr>
                <w:lang w:val="es-ES"/>
              </w:rPr>
              <w:noBreakHyphen/>
              <w:t>1 300 MHz y 1 164</w:t>
            </w:r>
            <w:r w:rsidRPr="002B5115">
              <w:rPr>
                <w:lang w:val="es-ES"/>
              </w:rPr>
              <w:noBreakHyphen/>
              <w:t>1 215 MHz debido a la posible interferencia de RF impulsiva (por ejemplo, procedente de radares de abertura sintética a bordo de vehículos espaciales y/o transmisores del SRNA). El efecto de la interferencia de RF impulsiva sobre el comportamiento del receptor dependerá de una cierta variedad de factores incluida la potencia impulsiva recibida (valor de cresta/valor medio), la duración del impulso y el ciclo de trabajo del impulso, así como de parámetros específicos del receptor tales como el nivel de saturación del extremo frontal, el tiempo de recuperación tras la saturación, el nivel de saturación del control automático de ganancia y la constante de tiempo (si se emplea A/D multibit) y un tipo de conversor A/D y niveles umbral de cuantificación. Se necesitan más estudios por parte del UIT</w:t>
            </w:r>
            <w:r w:rsidRPr="002B5115">
              <w:rPr>
                <w:lang w:val="es-ES"/>
              </w:rPr>
              <w:noBreakHyphen/>
              <w:t>R para elaborar un método que evalúe la repercusión de la interferencia de RF impulsiva en los receptores del SRNS.</w:t>
            </w:r>
            <w:r>
              <w:t xml:space="preserve"> </w:t>
            </w:r>
            <w:r w:rsidRPr="00603381">
              <w:rPr>
                <w:lang w:val="es-ES_tradnl"/>
              </w:rPr>
              <w:t>Véase también la Recomendación UIT-R M.2030 para «un modelo de evaluación de la interferencia impulsiva causada por fuentes radioeléctricas pertinentes distintas de las del SRNS a los sistemas y redes del SRNS que funcionan en las bandas de frecuencias 1 164</w:t>
            </w:r>
            <w:r w:rsidRPr="00603381">
              <w:rPr>
                <w:lang w:val="es-ES_tradnl"/>
              </w:rPr>
              <w:noBreakHyphen/>
              <w:t>1 215 MHz, 1 215-1 300 MHz y 1 559-1 610 MHz».</w:t>
            </w:r>
          </w:p>
          <w:p w14:paraId="053200E8" w14:textId="77777777" w:rsidR="00A44198" w:rsidRPr="00603381" w:rsidRDefault="00A44198" w:rsidP="00A44198">
            <w:pPr>
              <w:pStyle w:val="Tablelegend"/>
              <w:ind w:hanging="284"/>
              <w:jc w:val="left"/>
              <w:rPr>
                <w:lang w:val="es-ES_tradnl"/>
              </w:rPr>
            </w:pPr>
            <w:r w:rsidRPr="00603381">
              <w:rPr>
                <w:vertAlign w:val="superscript"/>
                <w:lang w:val="es-ES_tradnl"/>
              </w:rPr>
              <w:t>(7)</w:t>
            </w:r>
            <w:r w:rsidRPr="00603381">
              <w:rPr>
                <w:lang w:val="es-ES_tradnl"/>
              </w:rPr>
              <w:tab/>
              <w:t>El nivel de supervivencia es el nivel de potencia de cresta para una señal impulsiva con un factor de actividad máximo del 10 por ciento</w:t>
            </w:r>
            <w:r w:rsidRPr="00603381">
              <w:rPr>
                <w:rFonts w:eastAsia="Calibri"/>
                <w:lang w:val="es-ES_tradnl"/>
              </w:rPr>
              <w:t>.</w:t>
            </w:r>
          </w:p>
          <w:p w14:paraId="6871E833" w14:textId="6A5984CB" w:rsidR="00A44198" w:rsidRDefault="00A44198" w:rsidP="00A44198">
            <w:pPr>
              <w:pStyle w:val="Tablelegend"/>
              <w:ind w:hanging="284"/>
              <w:jc w:val="left"/>
              <w:rPr>
                <w:lang w:val="es-ES"/>
              </w:rPr>
            </w:pPr>
            <w:r w:rsidRPr="00A44198">
              <w:rPr>
                <w:vertAlign w:val="superscript"/>
                <w:lang w:val="es-ES_tradnl"/>
              </w:rPr>
              <w:t>(8)</w:t>
            </w:r>
            <w:r w:rsidRPr="00A44198">
              <w:rPr>
                <w:vertAlign w:val="superscript"/>
                <w:lang w:val="es-ES_tradnl"/>
              </w:rPr>
              <w:tab/>
            </w:r>
            <w:r w:rsidRPr="00603381">
              <w:rPr>
                <w:lang w:val="es-ES_tradnl"/>
              </w:rPr>
              <w:t>Los valores de estas filas deben utilizarse para la evaluación de la interferencia procedente de fuentes impulsivas junto con la metodología que figura en la Recomendación UIT-R M.2030. Por interferencia impulsiva se entiende aquí una interferencia que consiste en ráfagas de transmisión seguidas de periodos de no transmisión. La compatibilidad con el SRNS es una función de la potencia y duración de la ráfaga, y del ciclo de trabajo de la transmisión</w:t>
            </w:r>
            <w:r w:rsidRPr="00A44198">
              <w:rPr>
                <w:lang w:val="es-ES_tradnl"/>
              </w:rPr>
              <w:t>.</w:t>
            </w:r>
          </w:p>
        </w:tc>
      </w:tr>
    </w:tbl>
    <w:p w14:paraId="3BB23F51" w14:textId="77777777" w:rsidR="00A44198" w:rsidRPr="00493C95" w:rsidRDefault="00A44198" w:rsidP="00A44198">
      <w:pPr>
        <w:pStyle w:val="Tablefin"/>
        <w:rPr>
          <w:lang w:val="es-ES"/>
        </w:rPr>
      </w:pPr>
    </w:p>
    <w:p w14:paraId="2231345C" w14:textId="12503E89" w:rsidR="00A44198" w:rsidRDefault="00A44198" w:rsidP="00A44198">
      <w:pPr>
        <w:rPr>
          <w:lang w:val="es-ES"/>
        </w:rPr>
      </w:pPr>
    </w:p>
    <w:p w14:paraId="2B7BDA0C" w14:textId="77777777" w:rsidR="00A44198" w:rsidRPr="00A44198" w:rsidRDefault="00A44198" w:rsidP="00A44198">
      <w:pPr>
        <w:rPr>
          <w:lang w:val="es-ES"/>
        </w:rPr>
      </w:pPr>
    </w:p>
    <w:p w14:paraId="3A73F34B" w14:textId="77777777" w:rsidR="00936916" w:rsidRPr="00493C95" w:rsidRDefault="00936916" w:rsidP="00A44198">
      <w:pPr>
        <w:pStyle w:val="AnnexNoTitle"/>
        <w:keepNext w:val="0"/>
        <w:keepLines w:val="0"/>
        <w:rPr>
          <w:lang w:val="es-ES"/>
        </w:rPr>
      </w:pPr>
      <w:r w:rsidRPr="00493C95">
        <w:rPr>
          <w:lang w:val="es-ES"/>
        </w:rPr>
        <w:t>Anexo 3</w:t>
      </w:r>
      <w:r w:rsidRPr="00493C95">
        <w:rPr>
          <w:lang w:val="es-ES"/>
        </w:rPr>
        <w:br/>
      </w:r>
      <w:r w:rsidRPr="00493C95">
        <w:rPr>
          <w:lang w:val="es-ES"/>
        </w:rPr>
        <w:br/>
        <w:t>Características de los receptores a bordo de un vehículo espacial Galileo</w:t>
      </w:r>
    </w:p>
    <w:p w14:paraId="0D495AB7" w14:textId="77777777" w:rsidR="00936916" w:rsidRPr="00493C95" w:rsidRDefault="00936916" w:rsidP="00A44198">
      <w:pPr>
        <w:pStyle w:val="Normalaftertitle"/>
        <w:rPr>
          <w:lang w:val="es-ES"/>
        </w:rPr>
      </w:pPr>
      <w:r w:rsidRPr="00493C95">
        <w:rPr>
          <w:lang w:val="es-ES"/>
        </w:rPr>
        <w:t>El Cuadro 3-1 proporciona las características de los receptores del SRNS a bordo de un vehículo espacial para su utilización con el sistema Galileo.</w:t>
      </w:r>
    </w:p>
    <w:p w14:paraId="5229E97C" w14:textId="77777777" w:rsidR="00936916" w:rsidRPr="00493C95" w:rsidRDefault="00936916" w:rsidP="00A8357E">
      <w:pPr>
        <w:pStyle w:val="TableNo"/>
        <w:keepLines/>
        <w:rPr>
          <w:lang w:val="es-ES"/>
        </w:rPr>
      </w:pPr>
      <w:r w:rsidRPr="00493C95">
        <w:rPr>
          <w:lang w:val="es-ES"/>
        </w:rPr>
        <w:t>CUADRO 3</w:t>
      </w:r>
    </w:p>
    <w:p w14:paraId="2CEF0D12" w14:textId="77777777" w:rsidR="00936916" w:rsidRPr="00493C95" w:rsidRDefault="00936916" w:rsidP="00A8357E">
      <w:pPr>
        <w:pStyle w:val="Tabletitle"/>
        <w:keepLines/>
        <w:rPr>
          <w:lang w:val="es-ES"/>
        </w:rPr>
      </w:pPr>
      <w:r w:rsidRPr="00493C95">
        <w:rPr>
          <w:lang w:val="es-ES"/>
        </w:rPr>
        <w:t>Características de los receptores a bordo de un vehículo espacial Galileo</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3"/>
        <w:gridCol w:w="1417"/>
        <w:gridCol w:w="1417"/>
        <w:gridCol w:w="1020"/>
        <w:gridCol w:w="1219"/>
        <w:gridCol w:w="935"/>
        <w:gridCol w:w="256"/>
        <w:gridCol w:w="1020"/>
      </w:tblGrid>
      <w:tr w:rsidR="00936916" w:rsidRPr="00E108DC" w14:paraId="5A5A7495" w14:textId="77777777" w:rsidTr="00A8357E">
        <w:trPr>
          <w:cantSplit/>
          <w:tblHeader/>
          <w:jc w:val="center"/>
        </w:trPr>
        <w:tc>
          <w:tcPr>
            <w:tcW w:w="2353" w:type="dxa"/>
            <w:vMerge w:val="restart"/>
            <w:vAlign w:val="center"/>
          </w:tcPr>
          <w:p w14:paraId="69D528E7" w14:textId="77777777" w:rsidR="00936916" w:rsidRPr="00493C95" w:rsidRDefault="00936916" w:rsidP="00A8357E">
            <w:pPr>
              <w:pStyle w:val="Tablehead"/>
              <w:keepLines/>
              <w:rPr>
                <w:rFonts w:eastAsia="MS PGothic"/>
                <w:lang w:val="es-ES"/>
              </w:rPr>
            </w:pPr>
            <w:r w:rsidRPr="00493C95">
              <w:rPr>
                <w:rFonts w:eastAsia="MS PGothic"/>
                <w:lang w:val="es-ES"/>
              </w:rPr>
              <w:t>Parámetro</w:t>
            </w:r>
          </w:p>
        </w:tc>
        <w:tc>
          <w:tcPr>
            <w:tcW w:w="7284" w:type="dxa"/>
            <w:gridSpan w:val="7"/>
            <w:vAlign w:val="center"/>
          </w:tcPr>
          <w:p w14:paraId="318F1D0E" w14:textId="77777777" w:rsidR="00936916" w:rsidRPr="00493C95" w:rsidRDefault="00936916" w:rsidP="00A8357E">
            <w:pPr>
              <w:pStyle w:val="Tablehead"/>
              <w:keepLines/>
              <w:rPr>
                <w:rFonts w:eastAsia="MS PGothic"/>
                <w:lang w:val="es-ES"/>
              </w:rPr>
            </w:pPr>
            <w:r w:rsidRPr="00493C95">
              <w:rPr>
                <w:rFonts w:eastAsia="MS PGothic"/>
                <w:lang w:val="es-ES"/>
              </w:rPr>
              <w:t>Valor del parámetro</w:t>
            </w:r>
          </w:p>
        </w:tc>
      </w:tr>
      <w:tr w:rsidR="00936916" w:rsidRPr="00E108DC" w14:paraId="782636CE"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vMerge/>
            <w:tcBorders>
              <w:top w:val="single" w:sz="4" w:space="0" w:color="auto"/>
              <w:left w:val="single" w:sz="4" w:space="0" w:color="auto"/>
              <w:bottom w:val="single" w:sz="4" w:space="0" w:color="auto"/>
              <w:right w:val="single" w:sz="4" w:space="0" w:color="auto"/>
            </w:tcBorders>
            <w:vAlign w:val="center"/>
          </w:tcPr>
          <w:p w14:paraId="5B375171" w14:textId="77777777" w:rsidR="00936916" w:rsidRPr="00493C95" w:rsidRDefault="00936916" w:rsidP="00A8357E">
            <w:pPr>
              <w:pStyle w:val="Tablehead"/>
              <w:keepLines/>
              <w:rPr>
                <w:rFonts w:eastAsia="MS PGothic"/>
                <w:lang w:val="es-ES"/>
              </w:rPr>
            </w:pPr>
          </w:p>
        </w:tc>
        <w:tc>
          <w:tcPr>
            <w:tcW w:w="1417" w:type="dxa"/>
            <w:tcBorders>
              <w:top w:val="single" w:sz="4" w:space="0" w:color="auto"/>
              <w:left w:val="single" w:sz="4" w:space="0" w:color="auto"/>
              <w:bottom w:val="single" w:sz="4" w:space="0" w:color="auto"/>
              <w:right w:val="single" w:sz="4" w:space="0" w:color="auto"/>
            </w:tcBorders>
            <w:vAlign w:val="center"/>
          </w:tcPr>
          <w:p w14:paraId="743C49AB" w14:textId="77777777" w:rsidR="00936916" w:rsidRPr="00493C95" w:rsidRDefault="00936916" w:rsidP="00A8357E">
            <w:pPr>
              <w:pStyle w:val="Tablehead"/>
              <w:keepLines/>
              <w:rPr>
                <w:rFonts w:eastAsia="MS PGothic"/>
                <w:lang w:val="es-ES"/>
              </w:rPr>
            </w:pPr>
            <w:r w:rsidRPr="00493C95">
              <w:rPr>
                <w:rFonts w:eastAsia="MS PGothic"/>
                <w:lang w:val="es-ES"/>
              </w:rPr>
              <w:t>E5a</w:t>
            </w:r>
          </w:p>
        </w:tc>
        <w:tc>
          <w:tcPr>
            <w:tcW w:w="1417" w:type="dxa"/>
            <w:tcBorders>
              <w:top w:val="single" w:sz="4" w:space="0" w:color="auto"/>
              <w:left w:val="single" w:sz="4" w:space="0" w:color="auto"/>
              <w:bottom w:val="single" w:sz="4" w:space="0" w:color="auto"/>
              <w:right w:val="single" w:sz="4" w:space="0" w:color="auto"/>
            </w:tcBorders>
            <w:vAlign w:val="center"/>
          </w:tcPr>
          <w:p w14:paraId="47E31B5C" w14:textId="77777777" w:rsidR="00936916" w:rsidRPr="00493C95" w:rsidRDefault="00936916" w:rsidP="00A8357E">
            <w:pPr>
              <w:pStyle w:val="Tablehead"/>
              <w:keepLines/>
              <w:rPr>
                <w:rFonts w:eastAsia="MS PGothic"/>
                <w:lang w:val="es-ES"/>
              </w:rPr>
            </w:pPr>
            <w:r w:rsidRPr="00493C95">
              <w:rPr>
                <w:rFonts w:eastAsia="MS PGothic"/>
                <w:lang w:val="es-ES"/>
              </w:rPr>
              <w:t>E5b</w:t>
            </w:r>
          </w:p>
        </w:tc>
        <w:tc>
          <w:tcPr>
            <w:tcW w:w="1020" w:type="dxa"/>
            <w:tcBorders>
              <w:top w:val="single" w:sz="4" w:space="0" w:color="auto"/>
              <w:left w:val="single" w:sz="4" w:space="0" w:color="auto"/>
              <w:bottom w:val="single" w:sz="4" w:space="0" w:color="auto"/>
              <w:right w:val="single" w:sz="4" w:space="0" w:color="auto"/>
            </w:tcBorders>
            <w:vAlign w:val="center"/>
          </w:tcPr>
          <w:p w14:paraId="6E9D642C" w14:textId="77777777" w:rsidR="00936916" w:rsidRPr="00493C95" w:rsidRDefault="00936916" w:rsidP="00A8357E">
            <w:pPr>
              <w:pStyle w:val="Tablehead"/>
              <w:keepLines/>
              <w:rPr>
                <w:rFonts w:eastAsia="MS PGothic"/>
                <w:lang w:val="es-ES"/>
              </w:rPr>
            </w:pPr>
            <w:r w:rsidRPr="00493C95">
              <w:rPr>
                <w:rFonts w:eastAsia="MS PGothic"/>
                <w:lang w:val="es-ES"/>
              </w:rPr>
              <w:t>E6 CS</w:t>
            </w:r>
          </w:p>
        </w:tc>
        <w:tc>
          <w:tcPr>
            <w:tcW w:w="1219" w:type="dxa"/>
            <w:tcBorders>
              <w:top w:val="single" w:sz="4" w:space="0" w:color="auto"/>
              <w:left w:val="single" w:sz="4" w:space="0" w:color="auto"/>
              <w:bottom w:val="single" w:sz="4" w:space="0" w:color="auto"/>
              <w:right w:val="single" w:sz="4" w:space="0" w:color="auto"/>
            </w:tcBorders>
            <w:vAlign w:val="center"/>
          </w:tcPr>
          <w:p w14:paraId="2718DE54" w14:textId="77777777" w:rsidR="00936916" w:rsidRPr="00493C95" w:rsidRDefault="00936916" w:rsidP="00A8357E">
            <w:pPr>
              <w:pStyle w:val="Tablehead"/>
              <w:keepLines/>
              <w:rPr>
                <w:rFonts w:eastAsia="MS PGothic"/>
                <w:lang w:val="es-ES"/>
              </w:rPr>
            </w:pPr>
            <w:r w:rsidRPr="00493C95">
              <w:rPr>
                <w:rFonts w:eastAsia="MS PGothic"/>
                <w:lang w:val="es-ES"/>
              </w:rPr>
              <w:t>E6 PRS</w:t>
            </w:r>
          </w:p>
        </w:tc>
        <w:tc>
          <w:tcPr>
            <w:tcW w:w="935" w:type="dxa"/>
            <w:tcBorders>
              <w:top w:val="single" w:sz="4" w:space="0" w:color="auto"/>
              <w:left w:val="single" w:sz="4" w:space="0" w:color="auto"/>
              <w:bottom w:val="single" w:sz="4" w:space="0" w:color="auto"/>
              <w:right w:val="single" w:sz="4" w:space="0" w:color="auto"/>
            </w:tcBorders>
            <w:vAlign w:val="center"/>
          </w:tcPr>
          <w:p w14:paraId="0015F730" w14:textId="77777777" w:rsidR="00936916" w:rsidRPr="00493C95" w:rsidRDefault="00936916" w:rsidP="00A8357E">
            <w:pPr>
              <w:pStyle w:val="Tablehead"/>
              <w:keepLines/>
              <w:rPr>
                <w:rFonts w:eastAsia="MS PGothic"/>
                <w:lang w:val="es-ES"/>
              </w:rPr>
            </w:pPr>
            <w:r w:rsidRPr="00493C95">
              <w:rPr>
                <w:rFonts w:eastAsia="MS PGothic"/>
                <w:lang w:val="es-ES"/>
              </w:rPr>
              <w:t>E OS</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5B8A887" w14:textId="77777777" w:rsidR="00936916" w:rsidRPr="00493C95" w:rsidRDefault="00936916" w:rsidP="00A8357E">
            <w:pPr>
              <w:pStyle w:val="Tablehead"/>
              <w:keepLines/>
              <w:rPr>
                <w:rFonts w:eastAsia="MS PGothic"/>
                <w:lang w:val="es-ES"/>
              </w:rPr>
            </w:pPr>
            <w:r w:rsidRPr="00493C95">
              <w:rPr>
                <w:rFonts w:eastAsia="MS PGothic"/>
                <w:lang w:val="es-ES"/>
              </w:rPr>
              <w:t>E PRS</w:t>
            </w:r>
          </w:p>
        </w:tc>
      </w:tr>
      <w:tr w:rsidR="00936916" w:rsidRPr="00E108DC" w14:paraId="5BBABFBF"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left w:val="single" w:sz="4" w:space="0" w:color="auto"/>
              <w:bottom w:val="single" w:sz="4" w:space="0" w:color="auto"/>
              <w:right w:val="single" w:sz="4" w:space="0" w:color="auto"/>
            </w:tcBorders>
            <w:vAlign w:val="center"/>
          </w:tcPr>
          <w:p w14:paraId="6D117CA9"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Gama de frecuencias de la señal (MHz)</w:t>
            </w:r>
          </w:p>
        </w:tc>
        <w:tc>
          <w:tcPr>
            <w:tcW w:w="1417" w:type="dxa"/>
            <w:tcBorders>
              <w:top w:val="single" w:sz="4" w:space="0" w:color="auto"/>
              <w:left w:val="single" w:sz="4" w:space="0" w:color="auto"/>
              <w:bottom w:val="single" w:sz="4" w:space="0" w:color="auto"/>
              <w:right w:val="single" w:sz="4" w:space="0" w:color="auto"/>
            </w:tcBorders>
            <w:vAlign w:val="center"/>
          </w:tcPr>
          <w:p w14:paraId="52E85B1A"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1 176,45 ± 12</w:t>
            </w:r>
          </w:p>
        </w:tc>
        <w:tc>
          <w:tcPr>
            <w:tcW w:w="1417" w:type="dxa"/>
            <w:tcBorders>
              <w:top w:val="single" w:sz="4" w:space="0" w:color="auto"/>
              <w:left w:val="single" w:sz="4" w:space="0" w:color="auto"/>
              <w:bottom w:val="single" w:sz="4" w:space="0" w:color="auto"/>
              <w:right w:val="single" w:sz="4" w:space="0" w:color="auto"/>
            </w:tcBorders>
            <w:vAlign w:val="center"/>
          </w:tcPr>
          <w:p w14:paraId="36FBCA17"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1 207,14 ± 12</w:t>
            </w:r>
          </w:p>
        </w:tc>
        <w:tc>
          <w:tcPr>
            <w:tcW w:w="2239" w:type="dxa"/>
            <w:gridSpan w:val="2"/>
            <w:tcBorders>
              <w:top w:val="single" w:sz="4" w:space="0" w:color="auto"/>
              <w:left w:val="single" w:sz="4" w:space="0" w:color="auto"/>
              <w:bottom w:val="single" w:sz="4" w:space="0" w:color="auto"/>
              <w:right w:val="single" w:sz="4" w:space="0" w:color="auto"/>
            </w:tcBorders>
            <w:vAlign w:val="center"/>
          </w:tcPr>
          <w:p w14:paraId="74849F6E"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1 278,75 ± 20,5</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1EE53F51"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1 575,42 ± 16</w:t>
            </w:r>
          </w:p>
        </w:tc>
      </w:tr>
      <w:tr w:rsidR="00936916" w:rsidRPr="00E108DC" w14:paraId="01706BDC"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265ADA81"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Velocidad de segmento de código con ruido pseudoaleatorio (Mcps)</w:t>
            </w:r>
          </w:p>
        </w:tc>
        <w:tc>
          <w:tcPr>
            <w:tcW w:w="2834" w:type="dxa"/>
            <w:gridSpan w:val="2"/>
            <w:tcBorders>
              <w:top w:val="single" w:sz="4" w:space="0" w:color="auto"/>
              <w:left w:val="single" w:sz="4" w:space="0" w:color="auto"/>
              <w:bottom w:val="single" w:sz="4" w:space="0" w:color="auto"/>
              <w:right w:val="single" w:sz="4" w:space="0" w:color="auto"/>
            </w:tcBorders>
            <w:vAlign w:val="center"/>
          </w:tcPr>
          <w:p w14:paraId="067D51B8"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10,023</w:t>
            </w:r>
          </w:p>
        </w:tc>
        <w:tc>
          <w:tcPr>
            <w:tcW w:w="2239" w:type="dxa"/>
            <w:gridSpan w:val="2"/>
            <w:tcBorders>
              <w:top w:val="single" w:sz="4" w:space="0" w:color="auto"/>
              <w:left w:val="single" w:sz="4" w:space="0" w:color="auto"/>
              <w:bottom w:val="single" w:sz="4" w:space="0" w:color="auto"/>
              <w:right w:val="single" w:sz="4" w:space="0" w:color="auto"/>
            </w:tcBorders>
            <w:vAlign w:val="center"/>
          </w:tcPr>
          <w:p w14:paraId="10B4C4EE"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5,115</w:t>
            </w:r>
          </w:p>
        </w:tc>
        <w:tc>
          <w:tcPr>
            <w:tcW w:w="935" w:type="dxa"/>
            <w:tcBorders>
              <w:top w:val="single" w:sz="4" w:space="0" w:color="auto"/>
              <w:left w:val="single" w:sz="4" w:space="0" w:color="auto"/>
              <w:bottom w:val="single" w:sz="4" w:space="0" w:color="auto"/>
              <w:right w:val="single" w:sz="4" w:space="0" w:color="auto"/>
            </w:tcBorders>
            <w:vAlign w:val="center"/>
          </w:tcPr>
          <w:p w14:paraId="01F3A413"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1,023</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AEA168F"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2,5575</w:t>
            </w:r>
          </w:p>
        </w:tc>
      </w:tr>
      <w:tr w:rsidR="00936916" w:rsidRPr="00E108DC" w14:paraId="6B0575D6"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50E67D5C"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Velocidades binarias de datos/símbolos de navegación (bps/sps)</w:t>
            </w:r>
          </w:p>
        </w:tc>
        <w:tc>
          <w:tcPr>
            <w:tcW w:w="1417" w:type="dxa"/>
            <w:tcBorders>
              <w:top w:val="single" w:sz="4" w:space="0" w:color="auto"/>
              <w:left w:val="single" w:sz="4" w:space="0" w:color="auto"/>
              <w:bottom w:val="single" w:sz="4" w:space="0" w:color="auto"/>
              <w:right w:val="single" w:sz="4" w:space="0" w:color="auto"/>
            </w:tcBorders>
            <w:vAlign w:val="center"/>
          </w:tcPr>
          <w:p w14:paraId="3564133B"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25 bps/</w:t>
            </w:r>
            <w:r w:rsidRPr="00493C95">
              <w:rPr>
                <w:rFonts w:eastAsia="MS PGothic"/>
                <w:lang w:val="es-ES"/>
              </w:rPr>
              <w:br/>
              <w:t>50 sps</w:t>
            </w:r>
          </w:p>
        </w:tc>
        <w:tc>
          <w:tcPr>
            <w:tcW w:w="1417" w:type="dxa"/>
            <w:tcBorders>
              <w:top w:val="single" w:sz="4" w:space="0" w:color="auto"/>
              <w:left w:val="single" w:sz="4" w:space="0" w:color="auto"/>
              <w:bottom w:val="single" w:sz="4" w:space="0" w:color="auto"/>
              <w:right w:val="single" w:sz="4" w:space="0" w:color="auto"/>
            </w:tcBorders>
            <w:vAlign w:val="center"/>
          </w:tcPr>
          <w:p w14:paraId="5B429772"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125 bps/</w:t>
            </w:r>
            <w:r w:rsidRPr="00493C95">
              <w:rPr>
                <w:rFonts w:eastAsia="MS PGothic"/>
                <w:lang w:val="es-ES"/>
              </w:rPr>
              <w:br/>
              <w:t>250 sps</w:t>
            </w:r>
          </w:p>
        </w:tc>
        <w:tc>
          <w:tcPr>
            <w:tcW w:w="1020" w:type="dxa"/>
            <w:tcBorders>
              <w:top w:val="single" w:sz="4" w:space="0" w:color="auto"/>
              <w:left w:val="single" w:sz="4" w:space="0" w:color="auto"/>
              <w:bottom w:val="single" w:sz="4" w:space="0" w:color="auto"/>
              <w:right w:val="single" w:sz="4" w:space="0" w:color="auto"/>
            </w:tcBorders>
            <w:vAlign w:val="center"/>
          </w:tcPr>
          <w:p w14:paraId="24B8E887"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500 bps/</w:t>
            </w:r>
            <w:r w:rsidRPr="00493C95">
              <w:rPr>
                <w:rFonts w:eastAsia="MS PGothic"/>
                <w:lang w:val="es-ES"/>
              </w:rPr>
              <w:br/>
              <w:t>1 000 sps</w:t>
            </w:r>
          </w:p>
        </w:tc>
        <w:tc>
          <w:tcPr>
            <w:tcW w:w="1219" w:type="dxa"/>
            <w:tcBorders>
              <w:top w:val="single" w:sz="4" w:space="0" w:color="auto"/>
              <w:left w:val="single" w:sz="4" w:space="0" w:color="auto"/>
              <w:bottom w:val="single" w:sz="4" w:space="0" w:color="auto"/>
              <w:right w:val="single" w:sz="4" w:space="0" w:color="auto"/>
            </w:tcBorders>
            <w:vAlign w:val="center"/>
          </w:tcPr>
          <w:p w14:paraId="64BD3D09"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Reservada</w:t>
            </w:r>
          </w:p>
        </w:tc>
        <w:tc>
          <w:tcPr>
            <w:tcW w:w="935" w:type="dxa"/>
            <w:tcBorders>
              <w:top w:val="single" w:sz="4" w:space="0" w:color="auto"/>
              <w:left w:val="single" w:sz="4" w:space="0" w:color="auto"/>
              <w:bottom w:val="single" w:sz="4" w:space="0" w:color="auto"/>
              <w:right w:val="single" w:sz="4" w:space="0" w:color="auto"/>
            </w:tcBorders>
            <w:vAlign w:val="center"/>
          </w:tcPr>
          <w:p w14:paraId="4ADB72BD"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125 bps/</w:t>
            </w:r>
            <w:r w:rsidRPr="00493C95">
              <w:rPr>
                <w:rFonts w:eastAsia="MS PGothic"/>
                <w:lang w:val="es-ES"/>
              </w:rPr>
              <w:br/>
              <w:t>250 sps</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CD88C9"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Reservada</w:t>
            </w:r>
          </w:p>
        </w:tc>
      </w:tr>
      <w:tr w:rsidR="00936916" w:rsidRPr="00E108DC" w14:paraId="61C57869"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4B868562"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Máxima proporción de bits erróneos admisible</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02B7D726"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2 × 10</w:t>
            </w:r>
            <w:r w:rsidRPr="00493C95">
              <w:rPr>
                <w:rFonts w:eastAsia="MS PGothic"/>
                <w:vertAlign w:val="superscript"/>
                <w:lang w:val="es-ES"/>
              </w:rPr>
              <w:t>−7</w:t>
            </w:r>
          </w:p>
        </w:tc>
      </w:tr>
      <w:tr w:rsidR="00936916" w:rsidRPr="00E108DC" w14:paraId="0D8F1209"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6FA94968"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Método de modulación de la señal</w:t>
            </w:r>
            <w:r w:rsidRPr="005C3492">
              <w:rPr>
                <w:rFonts w:eastAsia="MS PGothic"/>
                <w:vertAlign w:val="superscript"/>
                <w:lang w:val="es-ES"/>
              </w:rPr>
              <w:t>(</w:t>
            </w:r>
            <w:r>
              <w:rPr>
                <w:rFonts w:eastAsia="MS PGothic"/>
                <w:vertAlign w:val="superscript"/>
                <w:lang w:val="es-ES"/>
              </w:rPr>
              <w:t>1</w:t>
            </w:r>
            <w:r w:rsidRPr="005C3492">
              <w:rPr>
                <w:rFonts w:eastAsia="MS PGothic"/>
                <w:vertAlign w:val="superscript"/>
                <w:lang w:val="es-ES"/>
              </w:rPr>
              <w:t>)</w:t>
            </w:r>
          </w:p>
        </w:tc>
        <w:tc>
          <w:tcPr>
            <w:tcW w:w="2834" w:type="dxa"/>
            <w:gridSpan w:val="2"/>
            <w:tcBorders>
              <w:top w:val="single" w:sz="4" w:space="0" w:color="auto"/>
              <w:left w:val="single" w:sz="4" w:space="0" w:color="auto"/>
              <w:bottom w:val="single" w:sz="4" w:space="0" w:color="auto"/>
              <w:right w:val="single" w:sz="4" w:space="0" w:color="auto"/>
            </w:tcBorders>
            <w:vAlign w:val="center"/>
          </w:tcPr>
          <w:p w14:paraId="4C7215E3"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AltBOC (15.10)</w:t>
            </w:r>
          </w:p>
        </w:tc>
        <w:tc>
          <w:tcPr>
            <w:tcW w:w="1020" w:type="dxa"/>
            <w:tcBorders>
              <w:top w:val="single" w:sz="4" w:space="0" w:color="auto"/>
              <w:left w:val="single" w:sz="4" w:space="0" w:color="auto"/>
              <w:bottom w:val="single" w:sz="4" w:space="0" w:color="auto"/>
              <w:right w:val="single" w:sz="4" w:space="0" w:color="auto"/>
            </w:tcBorders>
            <w:vAlign w:val="center"/>
          </w:tcPr>
          <w:p w14:paraId="4FBE9016" w14:textId="77777777" w:rsidR="00936916" w:rsidRPr="00493C95" w:rsidRDefault="00936916" w:rsidP="00A8357E">
            <w:pPr>
              <w:pStyle w:val="Tabletext"/>
              <w:keepNext/>
              <w:keepLines/>
              <w:ind w:left="-57" w:right="-57"/>
              <w:jc w:val="center"/>
              <w:rPr>
                <w:rFonts w:eastAsia="MS PGothic"/>
                <w:lang w:val="es-ES"/>
              </w:rPr>
            </w:pPr>
            <w:r w:rsidRPr="00493C95">
              <w:rPr>
                <w:rFonts w:eastAsia="MS PGothic"/>
                <w:lang w:val="es-ES"/>
              </w:rPr>
              <w:t>MDPB (5)</w:t>
            </w:r>
          </w:p>
        </w:tc>
        <w:tc>
          <w:tcPr>
            <w:tcW w:w="1219" w:type="dxa"/>
            <w:tcBorders>
              <w:top w:val="single" w:sz="4" w:space="0" w:color="auto"/>
              <w:left w:val="single" w:sz="4" w:space="0" w:color="auto"/>
              <w:bottom w:val="single" w:sz="4" w:space="0" w:color="auto"/>
              <w:right w:val="single" w:sz="4" w:space="0" w:color="auto"/>
            </w:tcBorders>
            <w:vAlign w:val="center"/>
          </w:tcPr>
          <w:p w14:paraId="5CAA880A"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BOC (10,5)</w:t>
            </w:r>
          </w:p>
        </w:tc>
        <w:tc>
          <w:tcPr>
            <w:tcW w:w="935" w:type="dxa"/>
            <w:tcBorders>
              <w:top w:val="single" w:sz="4" w:space="0" w:color="auto"/>
              <w:left w:val="single" w:sz="4" w:space="0" w:color="auto"/>
              <w:bottom w:val="single" w:sz="4" w:space="0" w:color="auto"/>
              <w:right w:val="single" w:sz="4" w:space="0" w:color="auto"/>
            </w:tcBorders>
            <w:vAlign w:val="center"/>
          </w:tcPr>
          <w:p w14:paraId="1531BEA1"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MBOC</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06AD58B" w14:textId="77777777" w:rsidR="00936916" w:rsidRPr="00493C95" w:rsidRDefault="00936916" w:rsidP="00A8357E">
            <w:pPr>
              <w:pStyle w:val="Tabletext"/>
              <w:keepNext/>
              <w:keepLines/>
              <w:ind w:left="-113" w:right="-113"/>
              <w:jc w:val="center"/>
              <w:rPr>
                <w:rFonts w:eastAsia="MS PGothic"/>
                <w:lang w:val="es-ES"/>
              </w:rPr>
            </w:pPr>
            <w:r w:rsidRPr="00493C95">
              <w:rPr>
                <w:rFonts w:eastAsia="MS PGothic"/>
                <w:lang w:val="es-ES"/>
              </w:rPr>
              <w:t>BOC (15,2.5)</w:t>
            </w:r>
          </w:p>
        </w:tc>
      </w:tr>
      <w:tr w:rsidR="00936916" w:rsidRPr="00E108DC" w14:paraId="0090FF95"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44B3A342"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Polarización</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3A8AF976" w14:textId="77777777" w:rsidR="00936916" w:rsidRPr="00493C95" w:rsidRDefault="00936916" w:rsidP="00A8357E">
            <w:pPr>
              <w:pStyle w:val="Tabletext"/>
              <w:keepNext/>
              <w:keepLines/>
              <w:ind w:left="-113" w:right="-113"/>
              <w:jc w:val="center"/>
              <w:rPr>
                <w:rFonts w:eastAsia="MS PGothic"/>
                <w:lang w:val="es-ES"/>
              </w:rPr>
            </w:pPr>
            <w:r w:rsidRPr="00493C95">
              <w:rPr>
                <w:rFonts w:eastAsia="MS PGothic"/>
                <w:lang w:val="es-ES"/>
              </w:rPr>
              <w:t>Polarización circular dextrógira</w:t>
            </w:r>
          </w:p>
        </w:tc>
      </w:tr>
      <w:tr w:rsidR="00936916" w:rsidRPr="00E108DC" w14:paraId="09DA78AC"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55A9B731"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Mínimo nivel de potencia recibida (dBW)</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6AE5B841" w14:textId="77777777" w:rsidR="00936916" w:rsidRPr="00493C95" w:rsidRDefault="00936916" w:rsidP="00A8357E">
            <w:pPr>
              <w:pStyle w:val="Tabletext"/>
              <w:keepNext/>
              <w:keepLines/>
              <w:ind w:left="-113" w:right="-113"/>
              <w:jc w:val="center"/>
              <w:rPr>
                <w:rFonts w:eastAsia="MS PGothic"/>
                <w:lang w:val="es-ES"/>
              </w:rPr>
            </w:pPr>
            <w:r w:rsidRPr="00493C95">
              <w:rPr>
                <w:rFonts w:eastAsia="MS PGothic"/>
                <w:lang w:val="es-ES"/>
              </w:rPr>
              <w:t>−160</w:t>
            </w:r>
          </w:p>
        </w:tc>
      </w:tr>
      <w:tr w:rsidR="00936916" w:rsidRPr="00E108DC" w14:paraId="4CE11331"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1D54170F"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Máxima ganancia de antena del receptor en el hemisferio superior (dBi)</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3E05533F"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7,0 (satélite LEO)</w:t>
            </w:r>
          </w:p>
          <w:p w14:paraId="6D576596" w14:textId="77777777" w:rsidR="00936916" w:rsidRPr="00493C95" w:rsidRDefault="00936916" w:rsidP="00A8357E">
            <w:pPr>
              <w:pStyle w:val="Tabletext"/>
              <w:keepNext/>
              <w:keepLines/>
              <w:ind w:left="-113" w:right="-113"/>
              <w:jc w:val="center"/>
              <w:rPr>
                <w:rFonts w:eastAsia="MS PGothic"/>
                <w:lang w:val="es-ES"/>
              </w:rPr>
            </w:pPr>
            <w:r w:rsidRPr="00493C95">
              <w:rPr>
                <w:rFonts w:eastAsia="MS PGothic"/>
                <w:lang w:val="es-ES"/>
              </w:rPr>
              <w:t>14 (satélite GSO)</w:t>
            </w:r>
          </w:p>
        </w:tc>
      </w:tr>
      <w:tr w:rsidR="00936916" w:rsidRPr="00E108DC" w14:paraId="04903F1A"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14:paraId="71AA279F"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Máxima ganancia de antena del receptor en el hemisferio inferior (dBi)</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27BF0363"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−10,0 (satélite LEO)</w:t>
            </w:r>
          </w:p>
          <w:p w14:paraId="65F1B3EC" w14:textId="77777777" w:rsidR="00936916" w:rsidRPr="00493C95" w:rsidRDefault="00936916" w:rsidP="00A8357E">
            <w:pPr>
              <w:pStyle w:val="Tabletext"/>
              <w:keepNext/>
              <w:keepLines/>
              <w:ind w:left="-113" w:right="-113"/>
              <w:jc w:val="center"/>
              <w:rPr>
                <w:rFonts w:eastAsia="MS PGothic"/>
                <w:lang w:val="es-ES"/>
              </w:rPr>
            </w:pPr>
            <w:r w:rsidRPr="00493C95">
              <w:rPr>
                <w:rFonts w:eastAsia="MS PGothic"/>
                <w:lang w:val="es-ES"/>
              </w:rPr>
              <w:t>−15 (satélite OSG)</w:t>
            </w:r>
          </w:p>
        </w:tc>
      </w:tr>
      <w:tr w:rsidR="00936916" w:rsidRPr="00E108DC" w14:paraId="42F73FB9"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left w:val="single" w:sz="4" w:space="0" w:color="auto"/>
              <w:bottom w:val="single" w:sz="4" w:space="0" w:color="auto"/>
              <w:right w:val="single" w:sz="4" w:space="0" w:color="auto"/>
            </w:tcBorders>
          </w:tcPr>
          <w:p w14:paraId="2CD17E2C"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Anchura de banda a 3 dB del filtro de RF (MHz)</w:t>
            </w:r>
          </w:p>
        </w:tc>
        <w:tc>
          <w:tcPr>
            <w:tcW w:w="2834" w:type="dxa"/>
            <w:gridSpan w:val="2"/>
            <w:tcBorders>
              <w:top w:val="single" w:sz="4" w:space="0" w:color="auto"/>
              <w:left w:val="single" w:sz="4" w:space="0" w:color="auto"/>
              <w:bottom w:val="single" w:sz="4" w:space="0" w:color="auto"/>
              <w:right w:val="single" w:sz="4" w:space="0" w:color="auto"/>
            </w:tcBorders>
            <w:vAlign w:val="center"/>
          </w:tcPr>
          <w:p w14:paraId="7BE21A86"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51,15</w:t>
            </w:r>
          </w:p>
        </w:tc>
        <w:tc>
          <w:tcPr>
            <w:tcW w:w="2239" w:type="dxa"/>
            <w:gridSpan w:val="2"/>
            <w:tcBorders>
              <w:top w:val="single" w:sz="4" w:space="0" w:color="auto"/>
              <w:left w:val="single" w:sz="4" w:space="0" w:color="auto"/>
              <w:bottom w:val="single" w:sz="4" w:space="0" w:color="auto"/>
              <w:right w:val="single" w:sz="4" w:space="0" w:color="auto"/>
            </w:tcBorders>
            <w:vAlign w:val="center"/>
          </w:tcPr>
          <w:p w14:paraId="2C207DE4"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30,69</w:t>
            </w:r>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758A6D5D"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4 (básica) a 24 (usos científicos)</w:t>
            </w:r>
          </w:p>
        </w:tc>
        <w:tc>
          <w:tcPr>
            <w:tcW w:w="1020" w:type="dxa"/>
            <w:tcBorders>
              <w:top w:val="single" w:sz="4" w:space="0" w:color="auto"/>
              <w:left w:val="single" w:sz="4" w:space="0" w:color="auto"/>
              <w:bottom w:val="single" w:sz="4" w:space="0" w:color="auto"/>
              <w:right w:val="single" w:sz="4" w:space="0" w:color="auto"/>
            </w:tcBorders>
            <w:vAlign w:val="center"/>
          </w:tcPr>
          <w:p w14:paraId="5A928B4F"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32</w:t>
            </w:r>
          </w:p>
        </w:tc>
      </w:tr>
      <w:tr w:rsidR="00936916" w:rsidRPr="00E108DC" w14:paraId="10CAEE3D"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tcPr>
          <w:p w14:paraId="225476DF"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Anchura de banda a 3 dB del filtro de precorrelación (MHz)</w:t>
            </w:r>
          </w:p>
        </w:tc>
        <w:tc>
          <w:tcPr>
            <w:tcW w:w="2834" w:type="dxa"/>
            <w:gridSpan w:val="2"/>
            <w:tcBorders>
              <w:top w:val="single" w:sz="4" w:space="0" w:color="auto"/>
              <w:left w:val="single" w:sz="4" w:space="0" w:color="auto"/>
              <w:bottom w:val="single" w:sz="4" w:space="0" w:color="auto"/>
              <w:right w:val="single" w:sz="4" w:space="0" w:color="auto"/>
            </w:tcBorders>
            <w:vAlign w:val="center"/>
          </w:tcPr>
          <w:p w14:paraId="1D611A9C"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24</w:t>
            </w:r>
          </w:p>
        </w:tc>
        <w:tc>
          <w:tcPr>
            <w:tcW w:w="2239" w:type="dxa"/>
            <w:gridSpan w:val="2"/>
            <w:tcBorders>
              <w:top w:val="single" w:sz="4" w:space="0" w:color="auto"/>
              <w:left w:val="single" w:sz="4" w:space="0" w:color="auto"/>
              <w:bottom w:val="single" w:sz="4" w:space="0" w:color="auto"/>
              <w:right w:val="single" w:sz="4" w:space="0" w:color="auto"/>
            </w:tcBorders>
            <w:vAlign w:val="center"/>
          </w:tcPr>
          <w:p w14:paraId="3146A518"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30,69</w:t>
            </w:r>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7E385C10"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4 (básica) a 24 (usos científicos)</w:t>
            </w:r>
          </w:p>
        </w:tc>
        <w:tc>
          <w:tcPr>
            <w:tcW w:w="1020" w:type="dxa"/>
            <w:tcBorders>
              <w:top w:val="single" w:sz="4" w:space="0" w:color="auto"/>
              <w:left w:val="single" w:sz="4" w:space="0" w:color="auto"/>
              <w:bottom w:val="single" w:sz="4" w:space="0" w:color="auto"/>
              <w:right w:val="single" w:sz="4" w:space="0" w:color="auto"/>
            </w:tcBorders>
            <w:vAlign w:val="center"/>
          </w:tcPr>
          <w:p w14:paraId="5330C38E"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32</w:t>
            </w:r>
          </w:p>
        </w:tc>
      </w:tr>
      <w:tr w:rsidR="00936916" w:rsidRPr="00E108DC" w14:paraId="5985A227"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tcPr>
          <w:p w14:paraId="542250DB" w14:textId="77777777" w:rsidR="00936916" w:rsidRPr="00493C95" w:rsidRDefault="00936916" w:rsidP="00A8357E">
            <w:pPr>
              <w:pStyle w:val="Tabletext"/>
              <w:keepNext/>
              <w:keepLines/>
              <w:jc w:val="left"/>
              <w:rPr>
                <w:rFonts w:eastAsia="MS PGothic"/>
                <w:lang w:val="es-ES"/>
              </w:rPr>
            </w:pPr>
            <w:r w:rsidRPr="00493C95">
              <w:rPr>
                <w:rFonts w:eastAsia="MS PGothic"/>
                <w:lang w:val="es-ES"/>
              </w:rPr>
              <w:t>Temperatura de ruido del sistema receptor (K)</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4384D253" w14:textId="77777777" w:rsidR="00936916" w:rsidRPr="00493C95" w:rsidRDefault="00936916" w:rsidP="00A8357E">
            <w:pPr>
              <w:pStyle w:val="Tabletext"/>
              <w:keepNext/>
              <w:keepLines/>
              <w:jc w:val="center"/>
              <w:rPr>
                <w:rFonts w:eastAsia="MS PGothic"/>
                <w:lang w:val="es-ES"/>
              </w:rPr>
            </w:pPr>
            <w:r w:rsidRPr="00493C95">
              <w:rPr>
                <w:rFonts w:eastAsia="MS PGothic"/>
                <w:lang w:val="es-ES"/>
              </w:rPr>
              <w:t>75</w:t>
            </w:r>
          </w:p>
        </w:tc>
      </w:tr>
      <w:tr w:rsidR="00A8357E" w:rsidRPr="00E108DC" w14:paraId="0FF55874"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9637" w:type="dxa"/>
            <w:gridSpan w:val="8"/>
            <w:tcBorders>
              <w:top w:val="single" w:sz="4" w:space="0" w:color="auto"/>
              <w:left w:val="single" w:sz="4" w:space="0" w:color="auto"/>
              <w:bottom w:val="single" w:sz="4" w:space="0" w:color="auto"/>
              <w:right w:val="single" w:sz="4" w:space="0" w:color="auto"/>
            </w:tcBorders>
            <w:vAlign w:val="center"/>
          </w:tcPr>
          <w:p w14:paraId="3D08A6D7" w14:textId="77777777" w:rsidR="00A8357E" w:rsidRPr="006570ED" w:rsidRDefault="00A8357E" w:rsidP="00D80347">
            <w:pPr>
              <w:pStyle w:val="Tablehead"/>
              <w:keepLines/>
              <w:rPr>
                <w:rFonts w:eastAsia="MS PGothic"/>
                <w:lang w:val="es-ES"/>
              </w:rPr>
            </w:pPr>
            <w:r w:rsidRPr="006570ED">
              <w:rPr>
                <w:rFonts w:eastAsia="MS PGothic"/>
                <w:lang w:val="es-ES"/>
              </w:rPr>
              <w:t>Umbrales para la interferencia continua</w:t>
            </w:r>
          </w:p>
        </w:tc>
      </w:tr>
      <w:tr w:rsidR="00A8357E" w:rsidRPr="00E108DC" w14:paraId="1F51752E"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tcPr>
          <w:p w14:paraId="22ABC1A8" w14:textId="77777777" w:rsidR="00A8357E" w:rsidRPr="00493C95" w:rsidRDefault="00A8357E" w:rsidP="00D80347">
            <w:pPr>
              <w:pStyle w:val="Tabletext"/>
              <w:keepNext/>
              <w:keepLines/>
              <w:jc w:val="left"/>
              <w:rPr>
                <w:rFonts w:eastAsia="MS PGothic"/>
                <w:lang w:val="es-ES"/>
              </w:rPr>
            </w:pPr>
            <w:r w:rsidRPr="00493C95">
              <w:rPr>
                <w:rFonts w:eastAsia="MS PGothic"/>
                <w:lang w:val="es-ES"/>
              </w:rPr>
              <w:t>Nivel de potencia umbral en modo seguimiento de la interferencia de banda estrecha combinada a la salida de una antena pasiva (dBW)</w:t>
            </w:r>
            <w:r w:rsidRPr="00A8357E">
              <w:rPr>
                <w:rFonts w:eastAsia="MS PGothic"/>
                <w:vertAlign w:val="superscript"/>
                <w:lang w:val="es-ES"/>
              </w:rPr>
              <w:t>(2)</w:t>
            </w:r>
          </w:p>
        </w:tc>
        <w:tc>
          <w:tcPr>
            <w:tcW w:w="7284" w:type="dxa"/>
            <w:gridSpan w:val="7"/>
            <w:tcBorders>
              <w:top w:val="single" w:sz="4" w:space="0" w:color="auto"/>
              <w:left w:val="single" w:sz="4" w:space="0" w:color="auto"/>
              <w:bottom w:val="single" w:sz="4" w:space="0" w:color="auto"/>
              <w:right w:val="single" w:sz="4" w:space="0" w:color="auto"/>
            </w:tcBorders>
            <w:vAlign w:val="center"/>
          </w:tcPr>
          <w:p w14:paraId="32311077" w14:textId="77777777" w:rsidR="00A8357E" w:rsidRPr="00493C95" w:rsidRDefault="00A8357E" w:rsidP="00D80347">
            <w:pPr>
              <w:pStyle w:val="Tabletext"/>
              <w:keepNext/>
              <w:keepLines/>
              <w:jc w:val="center"/>
              <w:rPr>
                <w:rFonts w:eastAsia="MS PGothic"/>
                <w:lang w:val="es-ES"/>
              </w:rPr>
            </w:pPr>
            <w:r w:rsidRPr="00493C95">
              <w:rPr>
                <w:rFonts w:eastAsia="MS PGothic"/>
                <w:lang w:val="es-ES"/>
              </w:rPr>
              <w:t>−142,0</w:t>
            </w:r>
          </w:p>
        </w:tc>
      </w:tr>
    </w:tbl>
    <w:p w14:paraId="33C1A224" w14:textId="77777777" w:rsidR="00A8357E" w:rsidRDefault="00A8357E" w:rsidP="00A8357E">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
        <w:gridCol w:w="2398"/>
        <w:gridCol w:w="1365"/>
        <w:gridCol w:w="1417"/>
        <w:gridCol w:w="1020"/>
        <w:gridCol w:w="1219"/>
        <w:gridCol w:w="935"/>
        <w:gridCol w:w="1276"/>
        <w:gridCol w:w="8"/>
      </w:tblGrid>
      <w:tr w:rsidR="00A8357E" w:rsidRPr="00E108DC" w14:paraId="27D5BB7C" w14:textId="77777777" w:rsidTr="00A8357E">
        <w:trPr>
          <w:gridAfter w:val="1"/>
          <w:wAfter w:w="8" w:type="dxa"/>
          <w:cantSplit/>
          <w:tblHeader/>
          <w:jc w:val="center"/>
        </w:trPr>
        <w:tc>
          <w:tcPr>
            <w:tcW w:w="2405" w:type="dxa"/>
            <w:gridSpan w:val="2"/>
            <w:vMerge w:val="restart"/>
            <w:vAlign w:val="center"/>
          </w:tcPr>
          <w:p w14:paraId="2897BCD0" w14:textId="77777777" w:rsidR="00A8357E" w:rsidRPr="00493C95" w:rsidRDefault="00A8357E" w:rsidP="00D80347">
            <w:pPr>
              <w:pStyle w:val="Tablehead"/>
              <w:keepLines/>
              <w:rPr>
                <w:rFonts w:eastAsia="MS PGothic"/>
                <w:lang w:val="es-ES"/>
              </w:rPr>
            </w:pPr>
            <w:r w:rsidRPr="00493C95">
              <w:rPr>
                <w:rFonts w:eastAsia="MS PGothic"/>
                <w:lang w:val="es-ES"/>
              </w:rPr>
              <w:t>Parámetro</w:t>
            </w:r>
          </w:p>
        </w:tc>
        <w:tc>
          <w:tcPr>
            <w:tcW w:w="7232" w:type="dxa"/>
            <w:gridSpan w:val="6"/>
            <w:vAlign w:val="center"/>
          </w:tcPr>
          <w:p w14:paraId="6033371A" w14:textId="77777777" w:rsidR="00A8357E" w:rsidRPr="00493C95" w:rsidRDefault="00A8357E" w:rsidP="00D80347">
            <w:pPr>
              <w:pStyle w:val="Tablehead"/>
              <w:keepLines/>
              <w:rPr>
                <w:rFonts w:eastAsia="MS PGothic"/>
                <w:lang w:val="es-ES"/>
              </w:rPr>
            </w:pPr>
            <w:r w:rsidRPr="00493C95">
              <w:rPr>
                <w:rFonts w:eastAsia="MS PGothic"/>
                <w:lang w:val="es-ES"/>
              </w:rPr>
              <w:t>Valor del parámetro</w:t>
            </w:r>
          </w:p>
        </w:tc>
      </w:tr>
      <w:tr w:rsidR="00A8357E" w:rsidRPr="00E108DC" w14:paraId="70D1E119"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vMerge/>
            <w:tcBorders>
              <w:top w:val="single" w:sz="4" w:space="0" w:color="auto"/>
              <w:left w:val="single" w:sz="4" w:space="0" w:color="auto"/>
              <w:bottom w:val="single" w:sz="4" w:space="0" w:color="auto"/>
              <w:right w:val="single" w:sz="4" w:space="0" w:color="auto"/>
            </w:tcBorders>
            <w:vAlign w:val="center"/>
          </w:tcPr>
          <w:p w14:paraId="4D86521F" w14:textId="77777777" w:rsidR="00A8357E" w:rsidRPr="00493C95" w:rsidRDefault="00A8357E" w:rsidP="00D80347">
            <w:pPr>
              <w:pStyle w:val="Tablehead"/>
              <w:keepLines/>
              <w:rPr>
                <w:rFonts w:eastAsia="MS PGothic"/>
                <w:lang w:val="es-ES"/>
              </w:rPr>
            </w:pPr>
          </w:p>
        </w:tc>
        <w:tc>
          <w:tcPr>
            <w:tcW w:w="1365" w:type="dxa"/>
            <w:tcBorders>
              <w:top w:val="single" w:sz="4" w:space="0" w:color="auto"/>
              <w:left w:val="single" w:sz="4" w:space="0" w:color="auto"/>
              <w:bottom w:val="single" w:sz="4" w:space="0" w:color="auto"/>
              <w:right w:val="single" w:sz="4" w:space="0" w:color="auto"/>
            </w:tcBorders>
            <w:vAlign w:val="center"/>
          </w:tcPr>
          <w:p w14:paraId="35095371" w14:textId="77777777" w:rsidR="00A8357E" w:rsidRPr="00493C95" w:rsidRDefault="00A8357E" w:rsidP="00D80347">
            <w:pPr>
              <w:pStyle w:val="Tablehead"/>
              <w:keepLines/>
              <w:rPr>
                <w:rFonts w:eastAsia="MS PGothic"/>
                <w:lang w:val="es-ES"/>
              </w:rPr>
            </w:pPr>
            <w:r w:rsidRPr="00493C95">
              <w:rPr>
                <w:rFonts w:eastAsia="MS PGothic"/>
                <w:lang w:val="es-ES"/>
              </w:rPr>
              <w:t>E5a</w:t>
            </w:r>
          </w:p>
        </w:tc>
        <w:tc>
          <w:tcPr>
            <w:tcW w:w="1417" w:type="dxa"/>
            <w:tcBorders>
              <w:top w:val="single" w:sz="4" w:space="0" w:color="auto"/>
              <w:left w:val="single" w:sz="4" w:space="0" w:color="auto"/>
              <w:bottom w:val="single" w:sz="4" w:space="0" w:color="auto"/>
              <w:right w:val="single" w:sz="4" w:space="0" w:color="auto"/>
            </w:tcBorders>
            <w:vAlign w:val="center"/>
          </w:tcPr>
          <w:p w14:paraId="41D2EA45" w14:textId="77777777" w:rsidR="00A8357E" w:rsidRPr="00493C95" w:rsidRDefault="00A8357E" w:rsidP="00D80347">
            <w:pPr>
              <w:pStyle w:val="Tablehead"/>
              <w:keepLines/>
              <w:rPr>
                <w:rFonts w:eastAsia="MS PGothic"/>
                <w:lang w:val="es-ES"/>
              </w:rPr>
            </w:pPr>
            <w:r w:rsidRPr="00493C95">
              <w:rPr>
                <w:rFonts w:eastAsia="MS PGothic"/>
                <w:lang w:val="es-ES"/>
              </w:rPr>
              <w:t>E5b</w:t>
            </w:r>
          </w:p>
        </w:tc>
        <w:tc>
          <w:tcPr>
            <w:tcW w:w="1020" w:type="dxa"/>
            <w:tcBorders>
              <w:top w:val="single" w:sz="4" w:space="0" w:color="auto"/>
              <w:left w:val="single" w:sz="4" w:space="0" w:color="auto"/>
              <w:bottom w:val="single" w:sz="4" w:space="0" w:color="auto"/>
              <w:right w:val="single" w:sz="4" w:space="0" w:color="auto"/>
            </w:tcBorders>
            <w:vAlign w:val="center"/>
          </w:tcPr>
          <w:p w14:paraId="53723933" w14:textId="77777777" w:rsidR="00A8357E" w:rsidRPr="00493C95" w:rsidRDefault="00A8357E" w:rsidP="00D80347">
            <w:pPr>
              <w:pStyle w:val="Tablehead"/>
              <w:keepLines/>
              <w:rPr>
                <w:rFonts w:eastAsia="MS PGothic"/>
                <w:lang w:val="es-ES"/>
              </w:rPr>
            </w:pPr>
            <w:r w:rsidRPr="00493C95">
              <w:rPr>
                <w:rFonts w:eastAsia="MS PGothic"/>
                <w:lang w:val="es-ES"/>
              </w:rPr>
              <w:t>E6 CS</w:t>
            </w:r>
          </w:p>
        </w:tc>
        <w:tc>
          <w:tcPr>
            <w:tcW w:w="1219" w:type="dxa"/>
            <w:tcBorders>
              <w:top w:val="single" w:sz="4" w:space="0" w:color="auto"/>
              <w:left w:val="single" w:sz="4" w:space="0" w:color="auto"/>
              <w:bottom w:val="single" w:sz="4" w:space="0" w:color="auto"/>
              <w:right w:val="single" w:sz="4" w:space="0" w:color="auto"/>
            </w:tcBorders>
            <w:vAlign w:val="center"/>
          </w:tcPr>
          <w:p w14:paraId="60093517" w14:textId="77777777" w:rsidR="00A8357E" w:rsidRPr="00493C95" w:rsidRDefault="00A8357E" w:rsidP="00D80347">
            <w:pPr>
              <w:pStyle w:val="Tablehead"/>
              <w:keepLines/>
              <w:rPr>
                <w:rFonts w:eastAsia="MS PGothic"/>
                <w:lang w:val="es-ES"/>
              </w:rPr>
            </w:pPr>
            <w:r w:rsidRPr="00493C95">
              <w:rPr>
                <w:rFonts w:eastAsia="MS PGothic"/>
                <w:lang w:val="es-ES"/>
              </w:rPr>
              <w:t>E6 PRS</w:t>
            </w:r>
          </w:p>
        </w:tc>
        <w:tc>
          <w:tcPr>
            <w:tcW w:w="935" w:type="dxa"/>
            <w:tcBorders>
              <w:top w:val="single" w:sz="4" w:space="0" w:color="auto"/>
              <w:left w:val="single" w:sz="4" w:space="0" w:color="auto"/>
              <w:bottom w:val="single" w:sz="4" w:space="0" w:color="auto"/>
              <w:right w:val="single" w:sz="4" w:space="0" w:color="auto"/>
            </w:tcBorders>
            <w:vAlign w:val="center"/>
          </w:tcPr>
          <w:p w14:paraId="5C468BD8" w14:textId="77777777" w:rsidR="00A8357E" w:rsidRPr="00493C95" w:rsidRDefault="00A8357E" w:rsidP="00D80347">
            <w:pPr>
              <w:pStyle w:val="Tablehead"/>
              <w:keepLines/>
              <w:rPr>
                <w:rFonts w:eastAsia="MS PGothic"/>
                <w:lang w:val="es-ES"/>
              </w:rPr>
            </w:pPr>
            <w:r w:rsidRPr="00493C95">
              <w:rPr>
                <w:rFonts w:eastAsia="MS PGothic"/>
                <w:lang w:val="es-ES"/>
              </w:rPr>
              <w:t>E OS</w:t>
            </w:r>
          </w:p>
        </w:tc>
        <w:tc>
          <w:tcPr>
            <w:tcW w:w="1276" w:type="dxa"/>
            <w:tcBorders>
              <w:top w:val="single" w:sz="4" w:space="0" w:color="auto"/>
              <w:left w:val="single" w:sz="4" w:space="0" w:color="auto"/>
              <w:bottom w:val="single" w:sz="4" w:space="0" w:color="auto"/>
              <w:right w:val="single" w:sz="4" w:space="0" w:color="auto"/>
            </w:tcBorders>
            <w:vAlign w:val="center"/>
          </w:tcPr>
          <w:p w14:paraId="196FCB2B" w14:textId="77777777" w:rsidR="00A8357E" w:rsidRPr="00493C95" w:rsidRDefault="00A8357E" w:rsidP="00D80347">
            <w:pPr>
              <w:pStyle w:val="Tablehead"/>
              <w:keepLines/>
              <w:rPr>
                <w:rFonts w:eastAsia="MS PGothic"/>
                <w:lang w:val="es-ES"/>
              </w:rPr>
            </w:pPr>
            <w:r w:rsidRPr="00493C95">
              <w:rPr>
                <w:rFonts w:eastAsia="MS PGothic"/>
                <w:lang w:val="es-ES"/>
              </w:rPr>
              <w:t>E PRS</w:t>
            </w:r>
          </w:p>
        </w:tc>
      </w:tr>
      <w:tr w:rsidR="00936916" w:rsidRPr="00E108DC" w14:paraId="544D8D4C"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tcBorders>
              <w:top w:val="single" w:sz="4" w:space="0" w:color="auto"/>
              <w:left w:val="single" w:sz="4" w:space="0" w:color="auto"/>
              <w:bottom w:val="single" w:sz="4" w:space="0" w:color="auto"/>
              <w:right w:val="single" w:sz="4" w:space="0" w:color="auto"/>
            </w:tcBorders>
          </w:tcPr>
          <w:p w14:paraId="5B6F459F" w14:textId="77777777" w:rsidR="00936916" w:rsidRPr="00493C95" w:rsidRDefault="00936916" w:rsidP="00D80347">
            <w:pPr>
              <w:pStyle w:val="Tabletext"/>
              <w:jc w:val="left"/>
              <w:rPr>
                <w:rFonts w:eastAsia="MS PGothic"/>
                <w:lang w:val="es-ES"/>
              </w:rPr>
            </w:pPr>
            <w:r w:rsidRPr="00493C95">
              <w:rPr>
                <w:rFonts w:eastAsia="MS PGothic"/>
                <w:lang w:val="es-ES"/>
              </w:rPr>
              <w:t>Nivel de potencia umbral en modo adquisición de la interferencia de banda estrecha combinada a la salida de una antena pasiva (dBW)</w:t>
            </w:r>
            <w:r w:rsidRPr="005C3492">
              <w:rPr>
                <w:rFonts w:eastAsia="MS PGothic"/>
                <w:vertAlign w:val="superscript"/>
                <w:lang w:val="es-ES"/>
              </w:rPr>
              <w:t>(</w:t>
            </w:r>
            <w:r>
              <w:rPr>
                <w:rFonts w:eastAsia="MS PGothic"/>
                <w:vertAlign w:val="superscript"/>
                <w:lang w:val="es-ES"/>
              </w:rPr>
              <w:t>2</w:t>
            </w:r>
            <w:r w:rsidRPr="005C3492">
              <w:rPr>
                <w:rFonts w:eastAsia="MS PGothic"/>
                <w:vertAlign w:val="superscript"/>
                <w:lang w:val="es-ES"/>
              </w:rPr>
              <w:t>)</w:t>
            </w:r>
          </w:p>
        </w:tc>
        <w:tc>
          <w:tcPr>
            <w:tcW w:w="7232" w:type="dxa"/>
            <w:gridSpan w:val="6"/>
            <w:tcBorders>
              <w:top w:val="single" w:sz="4" w:space="0" w:color="auto"/>
              <w:left w:val="single" w:sz="4" w:space="0" w:color="auto"/>
              <w:bottom w:val="single" w:sz="4" w:space="0" w:color="auto"/>
              <w:right w:val="single" w:sz="4" w:space="0" w:color="auto"/>
            </w:tcBorders>
            <w:vAlign w:val="center"/>
          </w:tcPr>
          <w:p w14:paraId="56CEBDA0" w14:textId="77777777" w:rsidR="00936916" w:rsidRPr="00493C95" w:rsidRDefault="00936916" w:rsidP="00D80347">
            <w:pPr>
              <w:pStyle w:val="Tabletext"/>
              <w:jc w:val="center"/>
              <w:rPr>
                <w:rFonts w:eastAsia="MS PGothic"/>
                <w:lang w:val="es-ES"/>
              </w:rPr>
            </w:pPr>
            <w:r w:rsidRPr="00493C95">
              <w:rPr>
                <w:rFonts w:eastAsia="MS PGothic"/>
                <w:lang w:val="es-ES"/>
              </w:rPr>
              <w:t>−135,0</w:t>
            </w:r>
          </w:p>
        </w:tc>
      </w:tr>
      <w:tr w:rsidR="00936916" w:rsidRPr="00E108DC" w14:paraId="67E2F0A0"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tcBorders>
              <w:top w:val="single" w:sz="4" w:space="0" w:color="auto"/>
              <w:left w:val="single" w:sz="4" w:space="0" w:color="auto"/>
              <w:bottom w:val="single" w:sz="4" w:space="0" w:color="auto"/>
              <w:right w:val="single" w:sz="4" w:space="0" w:color="auto"/>
            </w:tcBorders>
          </w:tcPr>
          <w:p w14:paraId="3E328536" w14:textId="77777777" w:rsidR="00936916" w:rsidRPr="00493C95" w:rsidRDefault="00936916" w:rsidP="00D80347">
            <w:pPr>
              <w:pStyle w:val="Tabletext"/>
              <w:jc w:val="left"/>
              <w:rPr>
                <w:rFonts w:eastAsia="MS PGothic"/>
                <w:lang w:val="es-ES"/>
              </w:rPr>
            </w:pPr>
            <w:r w:rsidRPr="00493C95">
              <w:rPr>
                <w:rFonts w:eastAsia="MS PGothic"/>
                <w:lang w:val="es-ES"/>
              </w:rPr>
              <w:t>Nivel de densidad de potencia umbral en modo seguimiento de la interferencia de banda amplia combinada a la salida de una antena pasiva (dBW/MHz)</w:t>
            </w:r>
            <w:r w:rsidRPr="005C3492">
              <w:rPr>
                <w:rFonts w:eastAsia="MS PGothic"/>
                <w:vertAlign w:val="superscript"/>
                <w:lang w:val="es-ES"/>
              </w:rPr>
              <w:t>(</w:t>
            </w:r>
            <w:r>
              <w:rPr>
                <w:rFonts w:eastAsia="MS PGothic"/>
                <w:vertAlign w:val="superscript"/>
                <w:lang w:val="es-ES"/>
              </w:rPr>
              <w:t>2</w:t>
            </w:r>
            <w:r w:rsidRPr="005C3492">
              <w:rPr>
                <w:rFonts w:eastAsia="MS PGothic"/>
                <w:vertAlign w:val="superscript"/>
                <w:lang w:val="es-ES"/>
              </w:rPr>
              <w:t>)</w:t>
            </w:r>
          </w:p>
        </w:tc>
        <w:tc>
          <w:tcPr>
            <w:tcW w:w="7232" w:type="dxa"/>
            <w:gridSpan w:val="6"/>
            <w:tcBorders>
              <w:top w:val="single" w:sz="4" w:space="0" w:color="auto"/>
              <w:left w:val="single" w:sz="4" w:space="0" w:color="auto"/>
              <w:bottom w:val="single" w:sz="4" w:space="0" w:color="auto"/>
              <w:right w:val="single" w:sz="4" w:space="0" w:color="auto"/>
            </w:tcBorders>
            <w:vAlign w:val="center"/>
          </w:tcPr>
          <w:p w14:paraId="332D31F9" w14:textId="77777777" w:rsidR="00936916" w:rsidRPr="00493C95" w:rsidRDefault="00936916" w:rsidP="00D80347">
            <w:pPr>
              <w:pStyle w:val="Tabletext"/>
              <w:jc w:val="center"/>
              <w:rPr>
                <w:rFonts w:eastAsia="MS PGothic"/>
                <w:lang w:val="es-ES"/>
              </w:rPr>
            </w:pPr>
            <w:r w:rsidRPr="00493C95">
              <w:rPr>
                <w:rFonts w:eastAsia="MS PGothic"/>
                <w:lang w:val="es-ES"/>
              </w:rPr>
              <w:t>−142,0</w:t>
            </w:r>
          </w:p>
        </w:tc>
      </w:tr>
      <w:tr w:rsidR="00936916" w:rsidRPr="00E108DC" w14:paraId="6CEB8E09"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tcBorders>
              <w:top w:val="single" w:sz="4" w:space="0" w:color="auto"/>
              <w:left w:val="single" w:sz="4" w:space="0" w:color="auto"/>
              <w:bottom w:val="single" w:sz="4" w:space="0" w:color="auto"/>
              <w:right w:val="single" w:sz="4" w:space="0" w:color="auto"/>
            </w:tcBorders>
          </w:tcPr>
          <w:p w14:paraId="08361BCC" w14:textId="77777777" w:rsidR="00936916" w:rsidRPr="00493C95" w:rsidRDefault="00936916" w:rsidP="00D80347">
            <w:pPr>
              <w:pStyle w:val="Tabletext"/>
              <w:jc w:val="left"/>
              <w:rPr>
                <w:rFonts w:eastAsia="MS PGothic"/>
                <w:lang w:val="es-ES"/>
              </w:rPr>
            </w:pPr>
            <w:r w:rsidRPr="00493C95">
              <w:rPr>
                <w:rFonts w:eastAsia="MS PGothic"/>
                <w:lang w:val="es-ES"/>
              </w:rPr>
              <w:t>Nivel de densidad de potencia umbral en modo adquisición de la interferencia de banda amplia combinada a la salida de una antena pasiva (dBW/MHz)</w:t>
            </w:r>
            <w:r w:rsidRPr="005C3492">
              <w:rPr>
                <w:rFonts w:eastAsia="MS PGothic"/>
                <w:vertAlign w:val="superscript"/>
                <w:lang w:val="es-ES"/>
              </w:rPr>
              <w:t>(</w:t>
            </w:r>
            <w:r>
              <w:rPr>
                <w:rFonts w:eastAsia="MS PGothic"/>
                <w:vertAlign w:val="superscript"/>
                <w:lang w:val="es-ES"/>
              </w:rPr>
              <w:t>2</w:t>
            </w:r>
            <w:r w:rsidRPr="005C3492">
              <w:rPr>
                <w:rFonts w:eastAsia="MS PGothic"/>
                <w:vertAlign w:val="superscript"/>
                <w:lang w:val="es-ES"/>
              </w:rPr>
              <w:t>)</w:t>
            </w:r>
          </w:p>
        </w:tc>
        <w:tc>
          <w:tcPr>
            <w:tcW w:w="7232" w:type="dxa"/>
            <w:gridSpan w:val="6"/>
            <w:tcBorders>
              <w:top w:val="single" w:sz="4" w:space="0" w:color="auto"/>
              <w:left w:val="single" w:sz="4" w:space="0" w:color="auto"/>
              <w:bottom w:val="single" w:sz="4" w:space="0" w:color="auto"/>
              <w:right w:val="single" w:sz="4" w:space="0" w:color="auto"/>
            </w:tcBorders>
            <w:vAlign w:val="center"/>
          </w:tcPr>
          <w:p w14:paraId="1ED50347" w14:textId="77777777" w:rsidR="00936916" w:rsidRPr="00493C95" w:rsidRDefault="00936916" w:rsidP="00D80347">
            <w:pPr>
              <w:pStyle w:val="Tabletext"/>
              <w:jc w:val="center"/>
              <w:rPr>
                <w:rFonts w:eastAsia="MS PGothic"/>
                <w:lang w:val="es-ES"/>
              </w:rPr>
            </w:pPr>
            <w:r w:rsidRPr="00493C95">
              <w:rPr>
                <w:rFonts w:eastAsia="MS PGothic"/>
                <w:lang w:val="es-ES"/>
              </w:rPr>
              <w:t>−135,0</w:t>
            </w:r>
          </w:p>
        </w:tc>
      </w:tr>
      <w:tr w:rsidR="00936916" w:rsidRPr="00E108DC" w14:paraId="6E3173D7"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9637" w:type="dxa"/>
            <w:gridSpan w:val="8"/>
            <w:tcBorders>
              <w:top w:val="single" w:sz="4" w:space="0" w:color="auto"/>
              <w:left w:val="single" w:sz="4" w:space="0" w:color="auto"/>
              <w:bottom w:val="single" w:sz="4" w:space="0" w:color="auto"/>
              <w:right w:val="single" w:sz="4" w:space="0" w:color="auto"/>
            </w:tcBorders>
          </w:tcPr>
          <w:p w14:paraId="23B4E7E8" w14:textId="77777777" w:rsidR="00936916" w:rsidRPr="00E108DC" w:rsidRDefault="00936916" w:rsidP="00D80347">
            <w:pPr>
              <w:pStyle w:val="Tablehead"/>
              <w:rPr>
                <w:rFonts w:eastAsia="MS PGothic"/>
                <w:lang w:val="es-ES"/>
              </w:rPr>
            </w:pPr>
            <w:r w:rsidRPr="00493C95">
              <w:rPr>
                <w:rFonts w:eastAsia="MS PGothic"/>
                <w:lang w:val="es-ES"/>
              </w:rPr>
              <w:t>Umbrales para la interferencia impulsiva</w:t>
            </w:r>
            <w:r w:rsidRPr="00884158">
              <w:rPr>
                <w:rFonts w:eastAsia="MS PGothic"/>
                <w:b w:val="0"/>
                <w:bCs/>
                <w:vertAlign w:val="superscript"/>
                <w:lang w:val="es-ES"/>
              </w:rPr>
              <w:t>(3)</w:t>
            </w:r>
          </w:p>
        </w:tc>
      </w:tr>
      <w:tr w:rsidR="00936916" w:rsidRPr="00E108DC" w14:paraId="002EE771"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tcBorders>
              <w:top w:val="single" w:sz="4" w:space="0" w:color="auto"/>
              <w:left w:val="single" w:sz="4" w:space="0" w:color="auto"/>
              <w:bottom w:val="single" w:sz="4" w:space="0" w:color="auto"/>
              <w:right w:val="single" w:sz="4" w:space="0" w:color="auto"/>
            </w:tcBorders>
          </w:tcPr>
          <w:p w14:paraId="7A35E0A9" w14:textId="77777777" w:rsidR="00936916" w:rsidRPr="00493C95" w:rsidRDefault="00936916" w:rsidP="00D80347">
            <w:pPr>
              <w:pStyle w:val="Tabletext"/>
              <w:jc w:val="left"/>
              <w:rPr>
                <w:lang w:val="es-ES"/>
              </w:rPr>
            </w:pPr>
            <w:r w:rsidRPr="002B5115">
              <w:rPr>
                <w:lang w:val="es-ES"/>
              </w:rPr>
              <w:t>Nivel de saturación a la entrada del receptor (dBW)</w:t>
            </w:r>
            <w:r w:rsidRPr="005C3492">
              <w:rPr>
                <w:rFonts w:eastAsia="MS PGothic"/>
                <w:vertAlign w:val="superscript"/>
                <w:lang w:val="es-ES"/>
              </w:rPr>
              <w:t>(3)</w:t>
            </w:r>
          </w:p>
        </w:tc>
        <w:tc>
          <w:tcPr>
            <w:tcW w:w="7232" w:type="dxa"/>
            <w:gridSpan w:val="6"/>
            <w:tcBorders>
              <w:top w:val="single" w:sz="4" w:space="0" w:color="auto"/>
              <w:left w:val="single" w:sz="4" w:space="0" w:color="auto"/>
              <w:bottom w:val="single" w:sz="4" w:space="0" w:color="auto"/>
              <w:right w:val="single" w:sz="4" w:space="0" w:color="auto"/>
            </w:tcBorders>
            <w:vAlign w:val="center"/>
          </w:tcPr>
          <w:p w14:paraId="7FF8A069" w14:textId="77777777" w:rsidR="00936916" w:rsidRPr="00493C95" w:rsidRDefault="00936916" w:rsidP="00D80347">
            <w:pPr>
              <w:pStyle w:val="Tabletext"/>
              <w:jc w:val="center"/>
              <w:rPr>
                <w:rFonts w:eastAsia="MS PGothic"/>
                <w:lang w:val="es-ES"/>
              </w:rPr>
            </w:pPr>
            <w:r w:rsidRPr="00493C95">
              <w:rPr>
                <w:rFonts w:eastAsia="MS PGothic"/>
                <w:lang w:val="es-ES"/>
              </w:rPr>
              <w:t>−50</w:t>
            </w:r>
          </w:p>
        </w:tc>
      </w:tr>
      <w:tr w:rsidR="00936916" w:rsidRPr="00E108DC" w14:paraId="12FCE7A1"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tcBorders>
              <w:top w:val="single" w:sz="4" w:space="0" w:color="auto"/>
              <w:left w:val="single" w:sz="4" w:space="0" w:color="auto"/>
              <w:bottom w:val="single" w:sz="4" w:space="0" w:color="auto"/>
              <w:right w:val="single" w:sz="4" w:space="0" w:color="auto"/>
            </w:tcBorders>
          </w:tcPr>
          <w:p w14:paraId="227180F1" w14:textId="77777777" w:rsidR="00936916" w:rsidRPr="00493C95" w:rsidRDefault="00936916" w:rsidP="00D80347">
            <w:pPr>
              <w:pStyle w:val="Tabletext"/>
              <w:jc w:val="left"/>
              <w:rPr>
                <w:lang w:val="es-ES"/>
              </w:rPr>
            </w:pPr>
            <w:r w:rsidRPr="00493C95">
              <w:rPr>
                <w:lang w:val="es-ES"/>
              </w:rPr>
              <w:t>Nivel de supervivencia del receptor (dBW)</w:t>
            </w:r>
            <w:r w:rsidRPr="005C3492">
              <w:rPr>
                <w:rFonts w:eastAsia="MS PGothic"/>
                <w:vertAlign w:val="superscript"/>
                <w:lang w:val="es-ES"/>
              </w:rPr>
              <w:t>(3)</w:t>
            </w:r>
          </w:p>
        </w:tc>
        <w:tc>
          <w:tcPr>
            <w:tcW w:w="7232" w:type="dxa"/>
            <w:gridSpan w:val="6"/>
            <w:tcBorders>
              <w:top w:val="single" w:sz="4" w:space="0" w:color="auto"/>
              <w:left w:val="single" w:sz="4" w:space="0" w:color="auto"/>
              <w:bottom w:val="single" w:sz="4" w:space="0" w:color="auto"/>
              <w:right w:val="single" w:sz="4" w:space="0" w:color="auto"/>
            </w:tcBorders>
            <w:vAlign w:val="center"/>
          </w:tcPr>
          <w:p w14:paraId="776C5B71" w14:textId="77777777" w:rsidR="00936916" w:rsidRPr="00493C95" w:rsidRDefault="00936916" w:rsidP="00D80347">
            <w:pPr>
              <w:pStyle w:val="Tabletext"/>
              <w:jc w:val="center"/>
              <w:rPr>
                <w:rFonts w:eastAsia="MS PGothic"/>
                <w:lang w:val="es-ES"/>
              </w:rPr>
            </w:pPr>
            <w:r w:rsidRPr="00493C95">
              <w:rPr>
                <w:rFonts w:eastAsia="MS PGothic"/>
                <w:lang w:val="es-ES"/>
              </w:rPr>
              <w:t>−10</w:t>
            </w:r>
          </w:p>
        </w:tc>
      </w:tr>
      <w:tr w:rsidR="00936916" w:rsidRPr="00E108DC" w14:paraId="0193C787"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405" w:type="dxa"/>
            <w:gridSpan w:val="2"/>
            <w:tcBorders>
              <w:top w:val="single" w:sz="4" w:space="0" w:color="auto"/>
              <w:left w:val="single" w:sz="4" w:space="0" w:color="auto"/>
              <w:bottom w:val="single" w:sz="4" w:space="0" w:color="auto"/>
              <w:right w:val="single" w:sz="4" w:space="0" w:color="auto"/>
            </w:tcBorders>
          </w:tcPr>
          <w:p w14:paraId="0B4EBC6C" w14:textId="77777777" w:rsidR="00936916" w:rsidRPr="002B5115" w:rsidRDefault="00936916" w:rsidP="00D80347">
            <w:pPr>
              <w:pStyle w:val="Tabletext"/>
              <w:jc w:val="left"/>
              <w:rPr>
                <w:lang w:val="es-ES"/>
              </w:rPr>
            </w:pPr>
            <w:r w:rsidRPr="002B5115">
              <w:rPr>
                <w:lang w:val="es-ES"/>
              </w:rPr>
              <w:t>Tiempo de recuperación de sobrecarga (s)</w:t>
            </w:r>
            <w:r w:rsidRPr="005C3492">
              <w:rPr>
                <w:rFonts w:eastAsia="MS PGothic"/>
                <w:vertAlign w:val="superscript"/>
                <w:lang w:val="es-ES"/>
              </w:rPr>
              <w:t>(3)</w:t>
            </w:r>
          </w:p>
        </w:tc>
        <w:tc>
          <w:tcPr>
            <w:tcW w:w="7232" w:type="dxa"/>
            <w:gridSpan w:val="6"/>
            <w:tcBorders>
              <w:top w:val="single" w:sz="4" w:space="0" w:color="auto"/>
              <w:left w:val="single" w:sz="4" w:space="0" w:color="auto"/>
              <w:bottom w:val="single" w:sz="4" w:space="0" w:color="auto"/>
              <w:right w:val="single" w:sz="4" w:space="0" w:color="auto"/>
            </w:tcBorders>
            <w:vAlign w:val="center"/>
          </w:tcPr>
          <w:p w14:paraId="669F1FCC" w14:textId="77777777" w:rsidR="00936916" w:rsidRPr="002B5115" w:rsidRDefault="00936916" w:rsidP="00D80347">
            <w:pPr>
              <w:pStyle w:val="Tabletext"/>
              <w:jc w:val="center"/>
              <w:rPr>
                <w:rFonts w:eastAsia="MS PGothic"/>
                <w:lang w:val="es-ES"/>
              </w:rPr>
            </w:pPr>
            <w:r w:rsidRPr="002B5115">
              <w:rPr>
                <w:rFonts w:eastAsia="MS PGothic"/>
                <w:lang w:val="es-ES"/>
              </w:rPr>
              <w:t>10</w:t>
            </w:r>
            <w:r w:rsidRPr="002B5115">
              <w:rPr>
                <w:rFonts w:eastAsia="MS PGothic"/>
                <w:vertAlign w:val="superscript"/>
                <w:lang w:val="es-ES"/>
              </w:rPr>
              <w:t>−6</w:t>
            </w:r>
          </w:p>
        </w:tc>
      </w:tr>
      <w:tr w:rsidR="00936916" w:rsidRPr="00E108DC" w14:paraId="74F71543" w14:textId="77777777" w:rsidTr="00A83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7" w:type="dxa"/>
          <w:cantSplit/>
          <w:jc w:val="center"/>
        </w:trPr>
        <w:tc>
          <w:tcPr>
            <w:tcW w:w="9638" w:type="dxa"/>
            <w:gridSpan w:val="8"/>
            <w:tcBorders>
              <w:top w:val="single" w:sz="4" w:space="0" w:color="auto"/>
              <w:left w:val="nil"/>
              <w:bottom w:val="nil"/>
              <w:right w:val="nil"/>
            </w:tcBorders>
          </w:tcPr>
          <w:p w14:paraId="1D5A4788" w14:textId="77777777" w:rsidR="00936916" w:rsidRDefault="00936916" w:rsidP="00D80347">
            <w:pPr>
              <w:pStyle w:val="Tablelegend"/>
              <w:ind w:hanging="284"/>
              <w:jc w:val="left"/>
              <w:rPr>
                <w:lang w:val="es-ES"/>
              </w:rPr>
            </w:pPr>
            <w:r w:rsidRPr="00493C95">
              <w:rPr>
                <w:vertAlign w:val="superscript"/>
                <w:lang w:val="es-ES"/>
              </w:rPr>
              <w:t>(</w:t>
            </w:r>
            <w:r>
              <w:rPr>
                <w:vertAlign w:val="superscript"/>
                <w:lang w:val="es-ES"/>
              </w:rPr>
              <w:t>1</w:t>
            </w:r>
            <w:r w:rsidRPr="00493C95">
              <w:rPr>
                <w:vertAlign w:val="superscript"/>
                <w:lang w:val="es-ES"/>
              </w:rPr>
              <w:t>)</w:t>
            </w:r>
            <w:r>
              <w:rPr>
                <w:lang w:val="es-ES"/>
              </w:rPr>
              <w:tab/>
            </w:r>
            <w:r w:rsidRPr="002B5115">
              <w:rPr>
                <w:lang w:val="es-ES"/>
              </w:rPr>
              <w:t>En los parámetros del SRNS Galileo, MDPB-R(</w:t>
            </w:r>
            <w:r w:rsidRPr="002B5115">
              <w:rPr>
                <w:i/>
                <w:iCs/>
                <w:lang w:val="es-ES"/>
              </w:rPr>
              <w:t>n</w:t>
            </w:r>
            <w:r w:rsidRPr="002B5115">
              <w:rPr>
                <w:lang w:val="es-ES"/>
              </w:rPr>
              <w:t xml:space="preserve">) se refiere a una modulación por desplazamiento de fase binaria que utiliza segmentos rectangulares con una velocidad de segmento de </w:t>
            </w:r>
            <w:r w:rsidRPr="002B5115">
              <w:rPr>
                <w:i/>
                <w:lang w:val="es-ES"/>
              </w:rPr>
              <w:t>n</w:t>
            </w:r>
            <w:r w:rsidRPr="002B5115">
              <w:rPr>
                <w:lang w:val="es-ES"/>
              </w:rPr>
              <w:t> </w:t>
            </w:r>
            <w:r w:rsidRPr="002B5115">
              <w:rPr>
                <w:lang w:val="es-ES"/>
              </w:rPr>
              <w:sym w:font="Symbol" w:char="00B4"/>
            </w:r>
            <w:r w:rsidRPr="002B5115">
              <w:rPr>
                <w:lang w:val="es-ES"/>
              </w:rPr>
              <w:t> 1,023 (Mcps). BOC (</w:t>
            </w:r>
            <w:r w:rsidRPr="002B5115">
              <w:rPr>
                <w:i/>
                <w:iCs/>
                <w:lang w:val="es-ES"/>
              </w:rPr>
              <w:t>m, n</w:t>
            </w:r>
            <w:r w:rsidRPr="002B5115">
              <w:rPr>
                <w:lang w:val="es-ES"/>
              </w:rPr>
              <w:t xml:space="preserve">) se refiere a una modulación con desplazamiento de portadora binaria con un desplazamiento de frecuencia portadora de </w:t>
            </w:r>
            <w:r w:rsidRPr="002B5115">
              <w:rPr>
                <w:i/>
                <w:iCs/>
                <w:lang w:val="es-ES"/>
              </w:rPr>
              <w:t>m</w:t>
            </w:r>
            <w:r w:rsidRPr="002B5115">
              <w:rPr>
                <w:lang w:val="es-ES"/>
              </w:rPr>
              <w:t> </w:t>
            </w:r>
            <w:r w:rsidRPr="002B5115">
              <w:rPr>
                <w:lang w:val="es-ES"/>
              </w:rPr>
              <w:sym w:font="Symbol" w:char="00B4"/>
            </w:r>
            <w:r w:rsidRPr="002B5115">
              <w:rPr>
                <w:lang w:val="es-ES"/>
              </w:rPr>
              <w:t xml:space="preserve"> 1,023 (MHz) y una velocidad de segmento de </w:t>
            </w:r>
            <w:r w:rsidRPr="002B5115">
              <w:rPr>
                <w:i/>
                <w:iCs/>
                <w:lang w:val="es-ES"/>
              </w:rPr>
              <w:t>n </w:t>
            </w:r>
            <w:r w:rsidRPr="002B5115">
              <w:rPr>
                <w:lang w:val="es-ES"/>
              </w:rPr>
              <w:sym w:font="Symbol" w:char="00B4"/>
            </w:r>
            <w:r w:rsidRPr="002B5115">
              <w:rPr>
                <w:lang w:val="es-ES"/>
              </w:rPr>
              <w:t xml:space="preserve"> 1,023 (Mcps). MBOC se refiere a una modulación de portadora con desplazamiento binaria multiplexada tal que la densidad del espectro de potencia </w:t>
            </w:r>
            <w:r w:rsidRPr="002B5115">
              <w:rPr>
                <w:i/>
                <w:lang w:val="es-ES"/>
              </w:rPr>
              <w:t>G</w:t>
            </w:r>
            <w:r w:rsidRPr="002B5115">
              <w:rPr>
                <w:i/>
                <w:vertAlign w:val="subscript"/>
                <w:lang w:val="es-ES"/>
              </w:rPr>
              <w:t>MBOC</w:t>
            </w:r>
            <w:r w:rsidRPr="002B5115">
              <w:rPr>
                <w:lang w:val="es-ES"/>
              </w:rPr>
              <w:t xml:space="preserve"> de la señal MBOC a una frecuencia determinada, </w:t>
            </w:r>
            <w:r w:rsidRPr="002B5115">
              <w:rPr>
                <w:i/>
                <w:iCs/>
                <w:lang w:val="es-ES"/>
              </w:rPr>
              <w:t>f</w:t>
            </w:r>
            <w:r w:rsidRPr="002B5115">
              <w:rPr>
                <w:lang w:val="es-ES"/>
              </w:rPr>
              <w:t xml:space="preserve">, es igual a </w:t>
            </w:r>
            <w:r w:rsidRPr="002B5115">
              <w:rPr>
                <w:i/>
                <w:lang w:val="es-ES"/>
              </w:rPr>
              <w:t>G</w:t>
            </w:r>
            <w:r w:rsidRPr="002B5115">
              <w:rPr>
                <w:i/>
                <w:vertAlign w:val="subscript"/>
                <w:lang w:val="es-ES"/>
              </w:rPr>
              <w:t>MBOC</w:t>
            </w:r>
            <w:r w:rsidRPr="002B5115">
              <w:rPr>
                <w:i/>
                <w:sz w:val="8"/>
                <w:vertAlign w:val="subscript"/>
                <w:lang w:val="es-ES"/>
              </w:rPr>
              <w:t> </w:t>
            </w:r>
            <w:r w:rsidRPr="002B5115">
              <w:rPr>
                <w:lang w:val="es-ES"/>
              </w:rPr>
              <w:t>(</w:t>
            </w:r>
            <w:r w:rsidRPr="002B5115">
              <w:rPr>
                <w:i/>
                <w:lang w:val="es-ES"/>
              </w:rPr>
              <w:t>f</w:t>
            </w:r>
            <w:r w:rsidRPr="002B5115">
              <w:rPr>
                <w:lang w:val="es-ES"/>
              </w:rPr>
              <w:t>) = 10/11 </w:t>
            </w:r>
            <w:r w:rsidRPr="002B5115">
              <w:rPr>
                <w:i/>
                <w:lang w:val="es-ES"/>
              </w:rPr>
              <w:t>G</w:t>
            </w:r>
            <w:r w:rsidRPr="002B5115">
              <w:rPr>
                <w:i/>
                <w:vertAlign w:val="subscript"/>
                <w:lang w:val="es-ES"/>
              </w:rPr>
              <w:t>BOC</w:t>
            </w:r>
            <w:r w:rsidRPr="002B5115">
              <w:rPr>
                <w:vertAlign w:val="subscript"/>
                <w:lang w:val="es-ES"/>
              </w:rPr>
              <w:t>(1,1)</w:t>
            </w:r>
            <w:r w:rsidRPr="002B5115">
              <w:rPr>
                <w:lang w:val="es-ES"/>
              </w:rPr>
              <w:t>(</w:t>
            </w:r>
            <w:r w:rsidRPr="002B5115">
              <w:rPr>
                <w:i/>
                <w:lang w:val="es-ES"/>
              </w:rPr>
              <w:t>f</w:t>
            </w:r>
            <w:r w:rsidRPr="002B5115">
              <w:rPr>
                <w:lang w:val="es-ES"/>
              </w:rPr>
              <w:t xml:space="preserve">) + 1/11 </w:t>
            </w:r>
            <w:r w:rsidRPr="002B5115">
              <w:rPr>
                <w:i/>
                <w:lang w:val="es-ES"/>
              </w:rPr>
              <w:t>G</w:t>
            </w:r>
            <w:r w:rsidRPr="002B5115">
              <w:rPr>
                <w:i/>
                <w:vertAlign w:val="subscript"/>
                <w:lang w:val="es-ES"/>
              </w:rPr>
              <w:t>BOC</w:t>
            </w:r>
            <w:r w:rsidRPr="002B5115">
              <w:rPr>
                <w:vertAlign w:val="subscript"/>
                <w:lang w:val="es-ES"/>
              </w:rPr>
              <w:t>(6,1)</w:t>
            </w:r>
            <w:r w:rsidRPr="002B5115">
              <w:rPr>
                <w:lang w:val="es-ES"/>
              </w:rPr>
              <w:t>(</w:t>
            </w:r>
            <w:r w:rsidRPr="002B5115">
              <w:rPr>
                <w:i/>
                <w:lang w:val="es-ES"/>
              </w:rPr>
              <w:t>f</w:t>
            </w:r>
            <w:r w:rsidRPr="002B5115">
              <w:rPr>
                <w:lang w:val="es-ES"/>
              </w:rPr>
              <w:t>).</w:t>
            </w:r>
          </w:p>
          <w:p w14:paraId="2B76FCCF" w14:textId="77777777" w:rsidR="00936916" w:rsidRPr="002B5115" w:rsidRDefault="00936916" w:rsidP="00D80347">
            <w:pPr>
              <w:pStyle w:val="Tablelegend"/>
              <w:ind w:hanging="284"/>
              <w:jc w:val="left"/>
              <w:rPr>
                <w:lang w:val="es-ES"/>
              </w:rPr>
            </w:pPr>
            <w:r w:rsidRPr="00493C95">
              <w:rPr>
                <w:vertAlign w:val="superscript"/>
                <w:lang w:val="es-ES"/>
              </w:rPr>
              <w:t>(</w:t>
            </w:r>
            <w:r>
              <w:rPr>
                <w:vertAlign w:val="superscript"/>
                <w:lang w:val="es-ES"/>
              </w:rPr>
              <w:t>2</w:t>
            </w:r>
            <w:r w:rsidRPr="00493C95">
              <w:rPr>
                <w:vertAlign w:val="superscript"/>
                <w:lang w:val="es-ES"/>
              </w:rPr>
              <w:t>)</w:t>
            </w:r>
            <w:r>
              <w:rPr>
                <w:lang w:val="es-ES"/>
              </w:rPr>
              <w:tab/>
            </w:r>
            <w:r w:rsidRPr="002B5115">
              <w:rPr>
                <w:lang w:val="es-ES"/>
              </w:rPr>
              <w:t>Se considera que una señal de interferencia de banda estrecha continua tiene una anchura de banda inferior a 700 Hz. Se considera que una interferencia de banda amplia continua tiene una anchura de banda superior a 1 MHz.</w:t>
            </w:r>
          </w:p>
          <w:p w14:paraId="0ECD4C5C" w14:textId="77777777" w:rsidR="00936916" w:rsidRPr="00493C95" w:rsidRDefault="00936916" w:rsidP="00D80347">
            <w:pPr>
              <w:pStyle w:val="Tablelegend"/>
              <w:ind w:hanging="284"/>
              <w:jc w:val="left"/>
              <w:rPr>
                <w:rFonts w:eastAsia="MS PGothic"/>
                <w:lang w:val="es-ES"/>
              </w:rPr>
            </w:pPr>
            <w:r w:rsidRPr="005C3492">
              <w:rPr>
                <w:vertAlign w:val="superscript"/>
                <w:lang w:val="es-ES"/>
              </w:rPr>
              <w:t>(</w:t>
            </w:r>
            <w:r>
              <w:rPr>
                <w:vertAlign w:val="superscript"/>
                <w:lang w:val="es-ES"/>
              </w:rPr>
              <w:t>3</w:t>
            </w:r>
            <w:r w:rsidRPr="005C3492">
              <w:rPr>
                <w:vertAlign w:val="superscript"/>
                <w:lang w:val="es-ES"/>
              </w:rPr>
              <w:t>)</w:t>
            </w:r>
            <w:r>
              <w:rPr>
                <w:lang w:val="es-ES"/>
              </w:rPr>
              <w:tab/>
            </w:r>
            <w:r w:rsidRPr="00F64B87">
              <w:rPr>
                <w:lang w:val="es-ES"/>
              </w:rPr>
              <w:t>Los valores de estas filas deben utilizarse para la evaluación de la interferencia procedente de fuentes impulsivas junto con la metodología que figura en la Recomendación UIT-R M.2030. Por interferencia impulsiva se entiende aquí una interferencia que consiste en ráfagas de transmisión seguidas de per</w:t>
            </w:r>
            <w:r>
              <w:rPr>
                <w:lang w:val="es-ES"/>
              </w:rPr>
              <w:t>i</w:t>
            </w:r>
            <w:r w:rsidRPr="00F64B87">
              <w:rPr>
                <w:lang w:val="es-ES"/>
              </w:rPr>
              <w:t>odos de no transmisión. La compatibilidad con el SRNS es una función de la potencia y duración de la ráfaga, y del ciclo de trabajo de la transmisión</w:t>
            </w:r>
            <w:r>
              <w:rPr>
                <w:lang w:val="es-ES"/>
              </w:rPr>
              <w:t>.</w:t>
            </w:r>
          </w:p>
        </w:tc>
      </w:tr>
    </w:tbl>
    <w:p w14:paraId="45F79780" w14:textId="77777777" w:rsidR="00936916" w:rsidRPr="00493C95" w:rsidRDefault="00936916" w:rsidP="00936916">
      <w:pPr>
        <w:pStyle w:val="Tablefin"/>
        <w:rPr>
          <w:lang w:val="es-ES"/>
        </w:rPr>
      </w:pPr>
    </w:p>
    <w:p w14:paraId="467BD7CD" w14:textId="77777777" w:rsidR="00936916" w:rsidRPr="00493C95" w:rsidRDefault="00936916" w:rsidP="00936916">
      <w:pPr>
        <w:jc w:val="center"/>
        <w:rPr>
          <w:lang w:val="es-ES"/>
        </w:rPr>
      </w:pPr>
      <w:r w:rsidRPr="00493C95">
        <w:rPr>
          <w:lang w:val="es-ES"/>
        </w:rPr>
        <w:t>______________</w:t>
      </w:r>
    </w:p>
    <w:sectPr w:rsidR="00936916" w:rsidRPr="00493C95" w:rsidSect="0004229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E80A0" w14:textId="77777777" w:rsidR="00A07AEB" w:rsidRDefault="00A07AEB">
      <w:r>
        <w:separator/>
      </w:r>
    </w:p>
  </w:endnote>
  <w:endnote w:type="continuationSeparator" w:id="0">
    <w:p w14:paraId="67917CF9" w14:textId="77777777"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91E87" w14:textId="77777777" w:rsidR="00A07AEB" w:rsidRDefault="00A07AEB">
      <w:r>
        <w:separator/>
      </w:r>
    </w:p>
  </w:footnote>
  <w:footnote w:type="continuationSeparator" w:id="0">
    <w:p w14:paraId="711B41B3" w14:textId="77777777" w:rsidR="00A07AEB" w:rsidRDefault="00A07AEB">
      <w:r>
        <w:continuationSeparator/>
      </w:r>
    </w:p>
  </w:footnote>
  <w:footnote w:id="1">
    <w:p w14:paraId="1812A632" w14:textId="77777777" w:rsidR="00936916" w:rsidRPr="006C7B30" w:rsidRDefault="00936916" w:rsidP="00936916">
      <w:pPr>
        <w:pStyle w:val="FootnoteText"/>
        <w:rPr>
          <w:lang w:val="es-ES"/>
        </w:rPr>
      </w:pPr>
      <w:r>
        <w:rPr>
          <w:rStyle w:val="FootnoteReference"/>
        </w:rPr>
        <w:footnoteRef/>
      </w:r>
      <w:r>
        <w:tab/>
      </w:r>
      <w:r w:rsidRPr="006C7B30">
        <w:rPr>
          <w:lang w:val="es-ES_tradnl"/>
        </w:rPr>
        <w:t>En la Recomendación UIT</w:t>
      </w:r>
      <w:r w:rsidRPr="006C7B30">
        <w:rPr>
          <w:lang w:val="es-ES_tradnl"/>
        </w:rPr>
        <w:noBreakHyphen/>
        <w:t>R M.1787 aparece más información sobre las características de la señal GPS en estas bandas.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F8B3" w14:textId="77777777"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B96F0" w14:textId="77777777" w:rsidR="00042292" w:rsidRDefault="00044D65" w:rsidP="00CB1354">
    <w:pPr>
      <w:ind w:right="360" w:firstLine="360"/>
    </w:pPr>
    <w:r>
      <w:rPr>
        <w:noProof/>
        <w:lang w:val="en-US"/>
      </w:rPr>
      <w:drawing>
        <wp:anchor distT="0" distB="0" distL="114300" distR="114300" simplePos="0" relativeHeight="251656704" behindDoc="1" locked="0" layoutInCell="1" allowOverlap="1" wp14:anchorId="187ADD25" wp14:editId="3C82829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E6DFB" w14:textId="0776E5CA"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AD7FAD">
      <w:rPr>
        <w:rStyle w:val="PageNumber"/>
        <w:b/>
        <w:bCs/>
        <w:noProof/>
      </w:rPr>
      <w:t>ii</w:t>
    </w:r>
    <w:r>
      <w:rPr>
        <w:rStyle w:val="PageNumber"/>
        <w:b/>
        <w:bCs/>
      </w:rPr>
      <w:fldChar w:fldCharType="end"/>
    </w:r>
    <w:r w:rsidR="00042292">
      <w:tab/>
    </w:r>
    <w:fldSimple w:instr=" DOCPROPERTY &quot;Header&quot; \* MERGEFORMAT ">
      <w:r w:rsidR="00A97D0C" w:rsidRPr="00A97D0C">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A97D0C">
      <w:rPr>
        <w:b/>
        <w:bCs/>
        <w:noProof/>
      </w:rPr>
      <w:t>UIT-R  M.1904-1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13CF" w14:textId="4A55F15C" w:rsidR="00042292" w:rsidRDefault="00042292">
    <w:r>
      <w:tab/>
    </w:r>
    <w:fldSimple w:instr=" DOCPROPERTY &quot;Header&quot; \* MERGEFORMAT ">
      <w:r w:rsidR="00A97D0C" w:rsidRPr="00A97D0C">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A97D0C">
      <w:rPr>
        <w:b/>
        <w:bCs/>
        <w:noProof/>
      </w:rPr>
      <w:t>UIT-R  M.1904-1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433CA" w14:textId="1A64A6CE" w:rsidR="00427ED9" w:rsidRPr="00936916" w:rsidRDefault="00936916" w:rsidP="009369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97D0C" w:rsidRPr="00A97D0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7D0C">
      <w:rPr>
        <w:b/>
        <w:bCs/>
        <w:noProof/>
        <w:lang w:val="en-US"/>
      </w:rPr>
      <w:t>UIT-R  M.1904-1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0AFB" w14:textId="01A1D374" w:rsidR="00427ED9" w:rsidRPr="00936916" w:rsidRDefault="00F32218" w:rsidP="00936916">
    <w:pPr>
      <w:pStyle w:val="Header"/>
      <w:jc w:val="left"/>
      <w:rPr>
        <w:b/>
        <w:bCs/>
      </w:rPr>
    </w:pPr>
    <w:r>
      <w:tab/>
    </w:r>
    <w:fldSimple w:instr=" DOCPROPERTY &quot;Header&quot; \* MERGEFORMAT ">
      <w:r w:rsidR="00A97D0C" w:rsidRPr="00A97D0C">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A97D0C">
      <w:rPr>
        <w:b/>
        <w:bCs/>
        <w:noProof/>
      </w:rPr>
      <w:t>UIT-R  M.1904-1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AD7FAD">
      <w:rPr>
        <w:rStyle w:val="PageNumber"/>
        <w:b/>
        <w:bCs/>
        <w:noProof/>
      </w:rPr>
      <w:t>1</w:t>
    </w:r>
    <w:r w:rsidRPr="00F32218">
      <w:rPr>
        <w:rStyle w:val="PageNumbe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0975F2"/>
    <w:rsid w:val="001B26B3"/>
    <w:rsid w:val="001B2F46"/>
    <w:rsid w:val="001B395D"/>
    <w:rsid w:val="0021735B"/>
    <w:rsid w:val="002D76C4"/>
    <w:rsid w:val="00383195"/>
    <w:rsid w:val="003C1642"/>
    <w:rsid w:val="00410F5B"/>
    <w:rsid w:val="00427ED9"/>
    <w:rsid w:val="00443F3D"/>
    <w:rsid w:val="00486986"/>
    <w:rsid w:val="004E4FBE"/>
    <w:rsid w:val="005418BE"/>
    <w:rsid w:val="00567624"/>
    <w:rsid w:val="00570376"/>
    <w:rsid w:val="00574749"/>
    <w:rsid w:val="00607D68"/>
    <w:rsid w:val="00616F70"/>
    <w:rsid w:val="006870AA"/>
    <w:rsid w:val="006F3D6E"/>
    <w:rsid w:val="007065EB"/>
    <w:rsid w:val="007172BA"/>
    <w:rsid w:val="0072064A"/>
    <w:rsid w:val="0076082A"/>
    <w:rsid w:val="00803104"/>
    <w:rsid w:val="008C67E6"/>
    <w:rsid w:val="00906075"/>
    <w:rsid w:val="00936916"/>
    <w:rsid w:val="00980545"/>
    <w:rsid w:val="00982F3A"/>
    <w:rsid w:val="00A07AEB"/>
    <w:rsid w:val="00A44198"/>
    <w:rsid w:val="00A6617B"/>
    <w:rsid w:val="00A80825"/>
    <w:rsid w:val="00A8357E"/>
    <w:rsid w:val="00A91124"/>
    <w:rsid w:val="00A97D0C"/>
    <w:rsid w:val="00AB0DC8"/>
    <w:rsid w:val="00AD7FAD"/>
    <w:rsid w:val="00B42F17"/>
    <w:rsid w:val="00B44E24"/>
    <w:rsid w:val="00BE15E9"/>
    <w:rsid w:val="00C36A75"/>
    <w:rsid w:val="00C411AF"/>
    <w:rsid w:val="00CB1354"/>
    <w:rsid w:val="00CB7FAE"/>
    <w:rsid w:val="00CF7F63"/>
    <w:rsid w:val="00D131B8"/>
    <w:rsid w:val="00D33FA3"/>
    <w:rsid w:val="00D4362D"/>
    <w:rsid w:val="00DF4176"/>
    <w:rsid w:val="00DF4734"/>
    <w:rsid w:val="00E704B6"/>
    <w:rsid w:val="00E750A2"/>
    <w:rsid w:val="00ED2BC8"/>
    <w:rsid w:val="00ED4181"/>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76527"/>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qFormat/>
    <w:rsid w:val="004E4FBE"/>
    <w:pPr>
      <w:spacing w:before="200"/>
      <w:outlineLvl w:val="2"/>
    </w:pPr>
  </w:style>
  <w:style w:type="paragraph" w:styleId="Heading4">
    <w:name w:val="heading 4"/>
    <w:basedOn w:val="Heading3"/>
    <w:next w:val="Normal"/>
    <w:qFormat/>
    <w:rsid w:val="004E4FBE"/>
    <w:pPr>
      <w:tabs>
        <w:tab w:val="clear" w:pos="794"/>
        <w:tab w:val="left" w:pos="992"/>
      </w:tabs>
      <w:ind w:left="992" w:hanging="992"/>
      <w:outlineLvl w:val="3"/>
    </w:pPr>
  </w:style>
  <w:style w:type="paragraph" w:styleId="Heading5">
    <w:name w:val="heading 5"/>
    <w:basedOn w:val="Heading4"/>
    <w:next w:val="Normal"/>
    <w:qFormat/>
    <w:rsid w:val="004E4FBE"/>
    <w:pPr>
      <w:outlineLvl w:val="4"/>
    </w:pPr>
  </w:style>
  <w:style w:type="paragraph" w:styleId="Heading6">
    <w:name w:val="heading 6"/>
    <w:basedOn w:val="Heading4"/>
    <w:next w:val="Normal"/>
    <w:qFormat/>
    <w:rsid w:val="004E4FBE"/>
    <w:pPr>
      <w:tabs>
        <w:tab w:val="clear" w:pos="992"/>
        <w:tab w:val="clear" w:pos="1191"/>
      </w:tabs>
      <w:ind w:left="1588" w:hanging="1588"/>
      <w:outlineLvl w:val="5"/>
    </w:pPr>
  </w:style>
  <w:style w:type="paragraph" w:styleId="Heading7">
    <w:name w:val="heading 7"/>
    <w:basedOn w:val="Heading6"/>
    <w:next w:val="Normal"/>
    <w:qFormat/>
    <w:rsid w:val="004E4FBE"/>
    <w:pPr>
      <w:outlineLvl w:val="6"/>
    </w:pPr>
  </w:style>
  <w:style w:type="paragraph" w:styleId="Heading8">
    <w:name w:val="heading 8"/>
    <w:basedOn w:val="Heading6"/>
    <w:next w:val="Normal"/>
    <w:qFormat/>
    <w:rsid w:val="004E4FBE"/>
    <w:pPr>
      <w:outlineLvl w:val="7"/>
    </w:pPr>
  </w:style>
  <w:style w:type="paragraph" w:styleId="Heading9">
    <w:name w:val="heading 9"/>
    <w:basedOn w:val="Heading6"/>
    <w:next w:val="Normal"/>
    <w:qFormat/>
    <w:rsid w:val="004E4F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link w:val="HeadingbChar"/>
    <w:qFormat/>
    <w:rsid w:val="004E4FBE"/>
    <w:pPr>
      <w:spacing w:before="160"/>
      <w:ind w:left="0" w:firstLine="0"/>
      <w:outlineLvl w:val="9"/>
    </w:pPr>
  </w:style>
  <w:style w:type="paragraph" w:customStyle="1" w:styleId="Headingi">
    <w:name w:val="Heading_i"/>
    <w:basedOn w:val="Heading3"/>
    <w:next w:val="Normal"/>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rsid w:val="004E4FBE"/>
    <w:pPr>
      <w:spacing w:before="320"/>
    </w:pPr>
  </w:style>
  <w:style w:type="paragraph" w:customStyle="1" w:styleId="Note">
    <w:name w:val="Note"/>
    <w:basedOn w:val="Normal"/>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4FBE"/>
    <w:pPr>
      <w:spacing w:before="240"/>
    </w:pPr>
    <w:rPr>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E4FBE"/>
    <w:pPr>
      <w:keepNext/>
      <w:spacing w:before="360" w:after="120"/>
      <w:jc w:val="center"/>
    </w:pPr>
  </w:style>
  <w:style w:type="paragraph" w:customStyle="1" w:styleId="Tabletext">
    <w:name w:val="Table_text"/>
    <w:basedOn w:val="Normal"/>
    <w:link w:val="Tabletext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basedOn w:val="DefaultParagraphFont"/>
    <w:semiHidden/>
    <w:rsid w:val="004E4FBE"/>
    <w:rPr>
      <w:position w:val="6"/>
      <w:sz w:val="18"/>
    </w:rPr>
  </w:style>
  <w:style w:type="paragraph" w:styleId="FootnoteText">
    <w:name w:val="footnote text"/>
    <w:basedOn w:val="Normal"/>
    <w:link w:val="FootnoteTextChar"/>
    <w:rsid w:val="004E4FBE"/>
    <w:pPr>
      <w:keepLines/>
      <w:tabs>
        <w:tab w:val="left" w:pos="255"/>
      </w:tabs>
      <w:ind w:left="255" w:hanging="255"/>
    </w:pPr>
    <w:rPr>
      <w:sz w:val="22"/>
    </w:rPr>
  </w:style>
  <w:style w:type="paragraph" w:styleId="Index1">
    <w:name w:val="index 1"/>
    <w:basedOn w:val="Normal"/>
    <w:next w:val="Normal"/>
    <w:semiHidden/>
    <w:rsid w:val="004E4FBE"/>
  </w:style>
  <w:style w:type="paragraph" w:styleId="Index2">
    <w:name w:val="index 2"/>
    <w:basedOn w:val="Normal"/>
    <w:next w:val="Normal"/>
    <w:semiHidden/>
    <w:rsid w:val="004E4FBE"/>
    <w:pPr>
      <w:ind w:left="283"/>
    </w:pPr>
  </w:style>
  <w:style w:type="paragraph" w:styleId="Index3">
    <w:name w:val="index 3"/>
    <w:basedOn w:val="Normal"/>
    <w:next w:val="Normal"/>
    <w:semiHidden/>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uiPriority w:val="39"/>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4FBE"/>
    <w:pPr>
      <w:tabs>
        <w:tab w:val="clear" w:pos="567"/>
        <w:tab w:val="left" w:pos="1276"/>
      </w:tabs>
      <w:spacing w:before="160"/>
      <w:ind w:left="1276" w:hanging="709"/>
    </w:pPr>
  </w:style>
  <w:style w:type="paragraph" w:styleId="TOC3">
    <w:name w:val="toc 3"/>
    <w:basedOn w:val="TOC2"/>
    <w:semiHidden/>
    <w:rsid w:val="004E4FBE"/>
    <w:pPr>
      <w:tabs>
        <w:tab w:val="clear" w:pos="1276"/>
        <w:tab w:val="left" w:pos="2155"/>
      </w:tabs>
      <w:ind w:left="2155" w:hanging="879"/>
    </w:pPr>
  </w:style>
  <w:style w:type="paragraph" w:styleId="TOC4">
    <w:name w:val="toc 4"/>
    <w:basedOn w:val="TOC3"/>
    <w:semiHidden/>
    <w:rsid w:val="004E4FBE"/>
    <w:pPr>
      <w:tabs>
        <w:tab w:val="left" w:pos="3261"/>
      </w:tabs>
      <w:spacing w:before="80"/>
      <w:ind w:left="3261" w:hanging="993"/>
    </w:pPr>
  </w:style>
  <w:style w:type="paragraph" w:styleId="TOC5">
    <w:name w:val="toc 5"/>
    <w:basedOn w:val="TOC4"/>
    <w:semiHidden/>
    <w:rsid w:val="004E4FBE"/>
  </w:style>
  <w:style w:type="paragraph" w:styleId="TOC6">
    <w:name w:val="toc 6"/>
    <w:basedOn w:val="TOC4"/>
    <w:semiHidden/>
    <w:rsid w:val="004E4FBE"/>
  </w:style>
  <w:style w:type="paragraph" w:styleId="TOC7">
    <w:name w:val="toc 7"/>
    <w:basedOn w:val="TOC4"/>
    <w:semiHidden/>
    <w:rsid w:val="004E4FBE"/>
  </w:style>
  <w:style w:type="paragraph" w:styleId="TOC8">
    <w:name w:val="toc 8"/>
    <w:basedOn w:val="TOC4"/>
    <w:semiHidden/>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4FBE"/>
    <w:pPr>
      <w:keepNext/>
      <w:spacing w:before="0" w:after="120"/>
      <w:jc w:val="center"/>
    </w:pPr>
    <w:rPr>
      <w:b/>
    </w:rPr>
  </w:style>
  <w:style w:type="paragraph" w:customStyle="1" w:styleId="Summary">
    <w:name w:val="Summary"/>
    <w:basedOn w:val="Normal"/>
    <w:next w:val="Normalaftertitle"/>
    <w:autoRedefine/>
    <w:rsid w:val="007065EB"/>
    <w:pPr>
      <w:spacing w:after="480"/>
    </w:pPr>
    <w:rPr>
      <w:lang w:val="es-ES"/>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TableNoChar">
    <w:name w:val="Table_No Char"/>
    <w:link w:val="TableNo"/>
    <w:locked/>
    <w:rsid w:val="00936916"/>
    <w:rPr>
      <w:sz w:val="24"/>
      <w:lang w:val="fr-FR" w:eastAsia="en-US"/>
    </w:rPr>
  </w:style>
  <w:style w:type="character" w:customStyle="1" w:styleId="FootnoteTextChar">
    <w:name w:val="Footnote Text Char"/>
    <w:link w:val="FootnoteText"/>
    <w:rsid w:val="00936916"/>
    <w:rPr>
      <w:sz w:val="22"/>
      <w:lang w:val="fr-FR" w:eastAsia="en-US"/>
    </w:rPr>
  </w:style>
  <w:style w:type="character" w:customStyle="1" w:styleId="HeadingbChar">
    <w:name w:val="Heading_b Char"/>
    <w:basedOn w:val="DefaultParagraphFont"/>
    <w:link w:val="Headingb"/>
    <w:locked/>
    <w:rsid w:val="0093691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12</Pages>
  <Words>4313</Words>
  <Characters>22257</Characters>
  <Application>Microsoft Office Word</Application>
  <DocSecurity>0</DocSecurity>
  <Lines>674</Lines>
  <Paragraphs>369</Paragraphs>
  <ScaleCrop>false</ScaleCrop>
  <HeadingPairs>
    <vt:vector size="2" baseType="variant">
      <vt:variant>
        <vt:lpstr>Title</vt:lpstr>
      </vt:variant>
      <vt:variant>
        <vt:i4>1</vt:i4>
      </vt:variant>
    </vt:vector>
  </HeadingPairs>
  <TitlesOfParts>
    <vt:vector size="1" baseType="lpstr">
      <vt:lpstr>RECOMENDACIÓN  UIT-R  M.1904-1 - Características, requisitos de calidad de funcionamiento y criterios de protección de las estaciones receptoras del servicio de radionavegación por satélite (espacio-espacio) que funcionan en las bandas de frecuencias 1 16</vt:lpstr>
    </vt:vector>
  </TitlesOfParts>
  <Manager/>
  <Company>ITU</Company>
  <LinksUpToDate>false</LinksUpToDate>
  <CharactersWithSpaces>26201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M.1904-1 - Características, requisitos de calidad de funcionamiento y criterios de protección de las estaciones receptoras del servicio de radionavegación por satélite (espacio-espacio) que funcionan en las bandas de frecuencias 1 164-1 215 MHz, 1 215-1 300 MHz y 1 559-1 610 MHz</dc:title>
  <dc:subject>Serie M = Servicios móviles, de radiodeterminación y de aficionados, incluidos los correspondientes servicios por satélite</dc:subject>
  <dc:creator>Oficina de Radiocomunicaciones del UIT (BR)</dc:creator>
  <cp:keywords>M,1904-1</cp:keywords>
  <dc:description>Gachetc, 16/06/2020, ITU51013811</dc:description>
  <cp:lastModifiedBy>Gachet, Christelle</cp:lastModifiedBy>
  <cp:revision>17</cp:revision>
  <cp:lastPrinted>2020-06-16T05:04:00Z</cp:lastPrinted>
  <dcterms:created xsi:type="dcterms:W3CDTF">2020-04-27T12:56:00Z</dcterms:created>
  <dcterms:modified xsi:type="dcterms:W3CDTF">2020-06-16T05:05:00Z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27 avril 2020</vt:lpwstr>
  </property>
</Properties>
</file>