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A65" w:rsidRPr="00575CB8" w:rsidRDefault="00E34A65" w:rsidP="00E34A65">
      <w:pPr>
        <w:rPr>
          <w:lang w:val="en-US"/>
        </w:rPr>
      </w:pPr>
    </w:p>
    <w:p w:rsidR="00E34A65" w:rsidRDefault="00E34A65" w:rsidP="00E34A65"/>
    <w:p w:rsidR="00E34A65" w:rsidRDefault="00E34A65" w:rsidP="00E34A65"/>
    <w:p w:rsidR="00E34A65" w:rsidRDefault="00E34A65" w:rsidP="00E34A65"/>
    <w:p w:rsidR="00E34A65" w:rsidRDefault="00E34A65" w:rsidP="00E34A65"/>
    <w:p w:rsidR="00E34A65" w:rsidRDefault="00E34A65" w:rsidP="00E34A65"/>
    <w:p w:rsidR="00E34A65" w:rsidRDefault="00E34A65" w:rsidP="00E34A65"/>
    <w:p w:rsidR="00E34A65" w:rsidRDefault="00E34A65" w:rsidP="00E34A65"/>
    <w:p w:rsidR="00E34A65" w:rsidRDefault="00E34A65" w:rsidP="00E34A65"/>
    <w:p w:rsidR="00E34A65" w:rsidRDefault="00E34A65" w:rsidP="00E34A65"/>
    <w:tbl>
      <w:tblPr>
        <w:tblW w:w="10089" w:type="dxa"/>
        <w:tblLook w:val="01E0" w:firstRow="1" w:lastRow="1" w:firstColumn="1" w:lastColumn="1" w:noHBand="0" w:noVBand="0"/>
      </w:tblPr>
      <w:tblGrid>
        <w:gridCol w:w="10089"/>
      </w:tblGrid>
      <w:tr w:rsidR="00E34A65" w:rsidRPr="00F91385" w:rsidTr="00022AA4">
        <w:tc>
          <w:tcPr>
            <w:tcW w:w="10089" w:type="dxa"/>
          </w:tcPr>
          <w:p w:rsidR="00E34A65" w:rsidRPr="00A07AEB" w:rsidRDefault="00E34A65" w:rsidP="00022AA4">
            <w:pPr>
              <w:spacing w:before="380" w:line="280" w:lineRule="exact"/>
              <w:jc w:val="right"/>
              <w:rPr>
                <w:rFonts w:ascii="Tahoma" w:hAnsi="Tahoma" w:cs="Tahoma"/>
                <w:b/>
                <w:bCs/>
                <w:iCs/>
                <w:color w:val="243285"/>
                <w:sz w:val="32"/>
                <w:szCs w:val="32"/>
                <w:lang w:val="en-US"/>
              </w:rPr>
            </w:pPr>
          </w:p>
          <w:p w:rsidR="00E34A65" w:rsidRPr="00A07AEB" w:rsidRDefault="00E34A65" w:rsidP="00E53666">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190</w:t>
            </w:r>
            <w:r w:rsidR="00E53666">
              <w:rPr>
                <w:rFonts w:ascii="Tahoma" w:hAnsi="Tahoma" w:cs="Tahoma"/>
                <w:b/>
                <w:bCs/>
                <w:iCs/>
                <w:color w:val="243285"/>
                <w:sz w:val="36"/>
                <w:szCs w:val="36"/>
                <w:lang w:val="es-ES_tradnl"/>
              </w:rPr>
              <w:t>4</w:t>
            </w:r>
          </w:p>
          <w:p w:rsidR="00E34A65" w:rsidRPr="00A07AEB" w:rsidRDefault="00E34A65" w:rsidP="00E34A65">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E34A65" w:rsidRPr="00A07AEB" w:rsidTr="00022AA4">
        <w:tc>
          <w:tcPr>
            <w:tcW w:w="10089" w:type="dxa"/>
          </w:tcPr>
          <w:p w:rsidR="00E34A65" w:rsidRPr="00A07AEB" w:rsidRDefault="00E34A65" w:rsidP="00022AA4">
            <w:pPr>
              <w:spacing w:before="80" w:line="500" w:lineRule="exact"/>
              <w:jc w:val="right"/>
              <w:rPr>
                <w:rFonts w:ascii="Tahoma" w:hAnsi="Tahoma" w:cs="Tahoma"/>
                <w:b/>
                <w:bCs/>
                <w:iCs/>
                <w:color w:val="243285"/>
                <w:sz w:val="44"/>
                <w:szCs w:val="44"/>
                <w:lang w:val="es-ES_tradnl"/>
              </w:rPr>
            </w:pPr>
          </w:p>
          <w:p w:rsidR="00E34A65" w:rsidRPr="00A07AEB" w:rsidRDefault="00E53666" w:rsidP="00E53666">
            <w:pPr>
              <w:spacing w:before="0" w:line="500" w:lineRule="exact"/>
              <w:jc w:val="right"/>
              <w:rPr>
                <w:rFonts w:ascii="Tahoma" w:hAnsi="Tahoma" w:cs="Tahoma"/>
                <w:b/>
                <w:bCs/>
                <w:iCs/>
                <w:color w:val="243285"/>
                <w:sz w:val="44"/>
                <w:szCs w:val="44"/>
                <w:lang w:val="es-ES_tradnl"/>
              </w:rPr>
            </w:pPr>
            <w:r w:rsidRPr="0029661B">
              <w:rPr>
                <w:rFonts w:ascii="Tahoma" w:hAnsi="Tahoma" w:cs="Tahoma"/>
                <w:b/>
                <w:bCs/>
                <w:color w:val="243285"/>
                <w:sz w:val="44"/>
                <w:szCs w:val="44"/>
                <w:lang w:val="es-ES_tradnl"/>
              </w:rPr>
              <w:t xml:space="preserve">Características, requisitos de calidad de funcionamiento y criterios de protección </w:t>
            </w:r>
            <w:r w:rsidRPr="0029661B">
              <w:rPr>
                <w:rFonts w:ascii="Tahoma" w:hAnsi="Tahoma" w:cs="Tahoma"/>
                <w:b/>
                <w:bCs/>
                <w:color w:val="243285"/>
                <w:sz w:val="44"/>
                <w:szCs w:val="44"/>
                <w:lang w:val="es-ES_tradnl"/>
              </w:rPr>
              <w:br/>
              <w:t xml:space="preserve">de las estaciones receptoras del servicio </w:t>
            </w:r>
            <w:r w:rsidRPr="0029661B">
              <w:rPr>
                <w:rFonts w:ascii="Tahoma" w:hAnsi="Tahoma" w:cs="Tahoma"/>
                <w:b/>
                <w:bCs/>
                <w:color w:val="243285"/>
                <w:sz w:val="44"/>
                <w:szCs w:val="44"/>
                <w:lang w:val="es-ES_tradnl"/>
              </w:rPr>
              <w:br/>
              <w:t>de radionavegación por satélite (espacio</w:t>
            </w:r>
            <w:r w:rsidRPr="0029661B">
              <w:rPr>
                <w:rFonts w:ascii="Tahoma" w:hAnsi="Tahoma" w:cs="Tahoma"/>
                <w:b/>
                <w:bCs/>
                <w:color w:val="243285"/>
                <w:sz w:val="44"/>
                <w:szCs w:val="44"/>
                <w:lang w:val="es-ES_tradnl"/>
              </w:rPr>
              <w:noBreakHyphen/>
              <w:t>espacio) que funcionan en las bandas de frecuencias 1 164</w:t>
            </w:r>
            <w:r w:rsidRPr="0029661B">
              <w:rPr>
                <w:rFonts w:ascii="Tahoma" w:hAnsi="Tahoma" w:cs="Tahoma"/>
                <w:b/>
                <w:bCs/>
                <w:color w:val="243285"/>
                <w:sz w:val="44"/>
                <w:szCs w:val="44"/>
                <w:lang w:val="es-ES_tradnl"/>
              </w:rPr>
              <w:noBreakHyphen/>
              <w:t>1 215 MHz, 1 215</w:t>
            </w:r>
            <w:r w:rsidRPr="0029661B">
              <w:rPr>
                <w:rFonts w:ascii="Tahoma" w:hAnsi="Tahoma" w:cs="Tahoma"/>
                <w:b/>
                <w:bCs/>
                <w:color w:val="243285"/>
                <w:sz w:val="44"/>
                <w:szCs w:val="44"/>
                <w:lang w:val="es-ES_tradnl"/>
              </w:rPr>
              <w:noBreakHyphen/>
              <w:t>1 300 MHz y 1 559</w:t>
            </w:r>
            <w:r w:rsidRPr="0029661B">
              <w:rPr>
                <w:rFonts w:ascii="Tahoma" w:hAnsi="Tahoma" w:cs="Tahoma"/>
                <w:b/>
                <w:bCs/>
                <w:color w:val="243285"/>
                <w:sz w:val="44"/>
                <w:szCs w:val="44"/>
                <w:lang w:val="es-ES_tradnl"/>
              </w:rPr>
              <w:noBreakHyphen/>
              <w:t>1 610 MHz</w:t>
            </w:r>
          </w:p>
          <w:p w:rsidR="00E34A65" w:rsidRPr="00A07AEB" w:rsidRDefault="00E34A65" w:rsidP="00022AA4">
            <w:pPr>
              <w:spacing w:before="80" w:line="500" w:lineRule="exact"/>
              <w:jc w:val="right"/>
              <w:rPr>
                <w:rFonts w:ascii="Tahoma" w:hAnsi="Tahoma" w:cs="Tahoma"/>
                <w:b/>
                <w:bCs/>
                <w:iCs/>
                <w:color w:val="243285"/>
                <w:sz w:val="44"/>
                <w:szCs w:val="44"/>
                <w:lang w:val="es-ES_tradnl"/>
              </w:rPr>
            </w:pPr>
          </w:p>
        </w:tc>
      </w:tr>
      <w:tr w:rsidR="00E34A65" w:rsidRPr="00F91385" w:rsidTr="00022AA4">
        <w:tc>
          <w:tcPr>
            <w:tcW w:w="10089" w:type="dxa"/>
          </w:tcPr>
          <w:p w:rsidR="00E34A65" w:rsidRPr="00A07AEB" w:rsidRDefault="00E34A65" w:rsidP="00022AA4">
            <w:pPr>
              <w:spacing w:before="80" w:line="280" w:lineRule="exact"/>
              <w:ind w:right="640"/>
              <w:rPr>
                <w:rFonts w:ascii="Tahoma" w:hAnsi="Tahoma" w:cs="Tahoma"/>
                <w:b/>
                <w:bCs/>
                <w:iCs/>
                <w:color w:val="243285"/>
                <w:sz w:val="32"/>
                <w:szCs w:val="32"/>
                <w:lang w:val="es-ES_tradnl"/>
              </w:rPr>
            </w:pPr>
          </w:p>
          <w:p w:rsidR="00E34A65" w:rsidRPr="00A07AEB" w:rsidRDefault="00E34A65" w:rsidP="00022AA4">
            <w:pPr>
              <w:spacing w:before="80" w:line="280" w:lineRule="exact"/>
              <w:ind w:right="640"/>
              <w:rPr>
                <w:rFonts w:ascii="Tahoma" w:hAnsi="Tahoma" w:cs="Tahoma"/>
                <w:b/>
                <w:bCs/>
                <w:iCs/>
                <w:color w:val="243285"/>
                <w:sz w:val="32"/>
                <w:szCs w:val="32"/>
                <w:lang w:val="es-ES_tradnl"/>
              </w:rPr>
            </w:pPr>
          </w:p>
          <w:p w:rsidR="00E34A65" w:rsidRPr="00A07AEB" w:rsidRDefault="00E34A65" w:rsidP="00022AA4">
            <w:pPr>
              <w:spacing w:before="80" w:after="180" w:line="360" w:lineRule="exact"/>
              <w:ind w:right="720"/>
              <w:rPr>
                <w:rFonts w:ascii="Tahoma" w:hAnsi="Tahoma" w:cs="Tahoma"/>
                <w:b/>
                <w:bCs/>
                <w:iCs/>
                <w:color w:val="243285"/>
                <w:sz w:val="36"/>
                <w:szCs w:val="36"/>
                <w:lang w:val="es-ES_tradnl"/>
              </w:rPr>
            </w:pPr>
          </w:p>
          <w:p w:rsidR="00E34A65" w:rsidRPr="00A07AEB" w:rsidRDefault="00E34A65" w:rsidP="00022AA4">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E34A65" w:rsidRPr="00A07AEB" w:rsidRDefault="00E34A65" w:rsidP="00E53666">
            <w:pPr>
              <w:spacing w:before="80" w:line="3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E34A65" w:rsidRPr="0026666F" w:rsidRDefault="00E34A65" w:rsidP="00E34A65">
      <w:pPr>
        <w:spacing w:before="80"/>
        <w:rPr>
          <w:i/>
          <w:sz w:val="22"/>
          <w:lang w:val="es-ES_tradnl"/>
        </w:rPr>
      </w:pPr>
    </w:p>
    <w:p w:rsidR="00E34A65" w:rsidRPr="0026666F" w:rsidRDefault="00E34A65" w:rsidP="00E34A65">
      <w:pPr>
        <w:spacing w:before="80"/>
        <w:rPr>
          <w:i/>
          <w:sz w:val="22"/>
          <w:lang w:val="es-ES_tradnl"/>
        </w:rPr>
      </w:pPr>
    </w:p>
    <w:p w:rsidR="00E34A65" w:rsidRPr="0026666F" w:rsidRDefault="00E34A65" w:rsidP="00E34A65">
      <w:pPr>
        <w:spacing w:before="80"/>
        <w:rPr>
          <w:i/>
          <w:sz w:val="22"/>
          <w:lang w:val="es-ES_tradnl"/>
        </w:rPr>
      </w:pPr>
    </w:p>
    <w:p w:rsidR="00E34A65" w:rsidRPr="0026666F" w:rsidRDefault="00E34A65" w:rsidP="00E34A65">
      <w:pPr>
        <w:spacing w:before="80"/>
        <w:rPr>
          <w:i/>
          <w:sz w:val="22"/>
          <w:lang w:val="es-ES_tradnl"/>
        </w:rPr>
      </w:pPr>
    </w:p>
    <w:p w:rsidR="00E34A65" w:rsidRPr="0026666F" w:rsidRDefault="00E34A65" w:rsidP="00E34A65">
      <w:pPr>
        <w:spacing w:before="80"/>
        <w:rPr>
          <w:i/>
          <w:sz w:val="22"/>
          <w:lang w:val="es-ES_tradnl"/>
        </w:rPr>
      </w:pPr>
    </w:p>
    <w:p w:rsidR="00E34A65" w:rsidRPr="0026666F" w:rsidRDefault="00E34A65" w:rsidP="00E34A65">
      <w:pPr>
        <w:spacing w:before="80"/>
        <w:rPr>
          <w:i/>
          <w:sz w:val="22"/>
          <w:lang w:val="es-ES_tradnl"/>
        </w:rPr>
      </w:pPr>
    </w:p>
    <w:p w:rsidR="00E34A65" w:rsidRPr="0026666F" w:rsidRDefault="00E34A65" w:rsidP="00E34A65">
      <w:pPr>
        <w:pStyle w:val="Equation"/>
        <w:tabs>
          <w:tab w:val="clear" w:pos="4820"/>
          <w:tab w:val="clear" w:pos="9639"/>
          <w:tab w:val="left" w:pos="1191"/>
          <w:tab w:val="left" w:pos="1588"/>
          <w:tab w:val="left" w:pos="1985"/>
        </w:tabs>
        <w:rPr>
          <w:rFonts w:ascii="Palatino Linotype" w:hAnsi="Palatino Linotype"/>
          <w:lang w:val="es-ES_tradnl"/>
        </w:rPr>
        <w:sectPr w:rsidR="00E34A65" w:rsidRPr="0026666F">
          <w:headerReference w:type="even" r:id="rId9"/>
          <w:headerReference w:type="default" r:id="rId10"/>
          <w:pgSz w:w="11907" w:h="16840" w:code="9"/>
          <w:pgMar w:top="1089" w:right="1089" w:bottom="284" w:left="1089" w:header="567" w:footer="284" w:gutter="0"/>
          <w:pgNumType w:start="1"/>
          <w:cols w:space="720"/>
        </w:sectPr>
      </w:pPr>
    </w:p>
    <w:p w:rsidR="00E34A65" w:rsidRPr="006C718C" w:rsidRDefault="00E34A65" w:rsidP="00E34A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E34A65" w:rsidRPr="006C718C" w:rsidRDefault="00E34A65" w:rsidP="00E34A6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34A65" w:rsidRPr="006C718C" w:rsidRDefault="00E34A65" w:rsidP="00E34A6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34A65" w:rsidRPr="00021E8A" w:rsidRDefault="00E34A65" w:rsidP="00E34A6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34A65" w:rsidRPr="00021E8A" w:rsidRDefault="00E34A65" w:rsidP="00E34A6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34A65" w:rsidRPr="007C36CA" w:rsidRDefault="00E34A65" w:rsidP="00E34A65">
      <w:pPr>
        <w:spacing w:before="0"/>
        <w:jc w:val="center"/>
        <w:rPr>
          <w:sz w:val="22"/>
          <w:lang w:val="es-ES_tradnl"/>
        </w:rPr>
      </w:pPr>
    </w:p>
    <w:p w:rsidR="00E34A65" w:rsidRPr="007C36CA" w:rsidRDefault="00E34A65" w:rsidP="00E34A6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34A65" w:rsidRPr="00F91385" w:rsidTr="00022AA4">
        <w:tc>
          <w:tcPr>
            <w:tcW w:w="9360" w:type="dxa"/>
            <w:gridSpan w:val="2"/>
          </w:tcPr>
          <w:p w:rsidR="00E34A65" w:rsidRPr="00021E8A" w:rsidRDefault="00E34A65" w:rsidP="00022AA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34A65" w:rsidRPr="00763D08"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rStyle w:val="Hyperlink"/>
                  <w:b w:val="0"/>
                  <w:bCs/>
                  <w:sz w:val="18"/>
                  <w:szCs w:val="18"/>
                  <w:lang w:val="es-ES_tradnl"/>
                </w:rPr>
                <w:t>http://www.itu.int/publ/R-REC/es</w:t>
              </w:r>
            </w:hyperlink>
            <w:r w:rsidRPr="00763D08">
              <w:rPr>
                <w:b w:val="0"/>
                <w:bCs/>
                <w:sz w:val="18"/>
                <w:szCs w:val="18"/>
                <w:lang w:val="es-ES_tradnl"/>
              </w:rPr>
              <w:t>)</w:t>
            </w:r>
          </w:p>
        </w:tc>
      </w:tr>
      <w:tr w:rsidR="00E34A65" w:rsidRPr="00036EE3" w:rsidTr="00022AA4">
        <w:tc>
          <w:tcPr>
            <w:tcW w:w="1140" w:type="dxa"/>
          </w:tcPr>
          <w:p w:rsidR="00E34A65" w:rsidRPr="00036EE3" w:rsidRDefault="00E34A65" w:rsidP="00022AA4">
            <w:pPr>
              <w:spacing w:before="180" w:after="100"/>
              <w:ind w:left="57"/>
              <w:rPr>
                <w:b/>
                <w:bCs/>
                <w:sz w:val="20"/>
                <w:lang w:val="en-US"/>
              </w:rPr>
            </w:pPr>
            <w:r w:rsidRPr="00036EE3">
              <w:rPr>
                <w:b/>
                <w:bCs/>
                <w:sz w:val="20"/>
                <w:lang w:val="en-US"/>
              </w:rPr>
              <w:t>Series</w:t>
            </w:r>
          </w:p>
        </w:tc>
        <w:tc>
          <w:tcPr>
            <w:tcW w:w="8220" w:type="dxa"/>
          </w:tcPr>
          <w:p w:rsidR="00E34A65" w:rsidRPr="00036EE3"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BO</w:t>
            </w:r>
          </w:p>
        </w:tc>
        <w:tc>
          <w:tcPr>
            <w:tcW w:w="8220" w:type="dxa"/>
          </w:tcPr>
          <w:p w:rsidR="00E34A65" w:rsidRPr="00021E8A"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E34A65" w:rsidRPr="00F91385"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BR</w:t>
            </w:r>
          </w:p>
        </w:tc>
        <w:tc>
          <w:tcPr>
            <w:tcW w:w="8220" w:type="dxa"/>
          </w:tcPr>
          <w:p w:rsidR="00E34A65" w:rsidRPr="00021E8A"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BS</w:t>
            </w:r>
          </w:p>
        </w:tc>
        <w:tc>
          <w:tcPr>
            <w:tcW w:w="8220" w:type="dxa"/>
          </w:tcPr>
          <w:p w:rsidR="00E34A65" w:rsidRPr="00021E8A"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E34A65" w:rsidRPr="00ED2695" w:rsidTr="00022AA4">
        <w:tc>
          <w:tcPr>
            <w:tcW w:w="1140" w:type="dxa"/>
            <w:shd w:val="clear" w:color="auto" w:fill="auto"/>
          </w:tcPr>
          <w:p w:rsidR="00E34A65" w:rsidRPr="00ED2695" w:rsidRDefault="00E34A65" w:rsidP="00022AA4">
            <w:pPr>
              <w:spacing w:before="30" w:after="30"/>
              <w:ind w:left="57"/>
              <w:jc w:val="left"/>
              <w:rPr>
                <w:b/>
                <w:bCs/>
                <w:sz w:val="20"/>
                <w:lang w:val="en-US"/>
              </w:rPr>
            </w:pPr>
            <w:r w:rsidRPr="00ED2695">
              <w:rPr>
                <w:b/>
                <w:bCs/>
                <w:sz w:val="20"/>
                <w:lang w:val="en-US"/>
              </w:rPr>
              <w:t>BT</w:t>
            </w:r>
          </w:p>
        </w:tc>
        <w:tc>
          <w:tcPr>
            <w:tcW w:w="8220" w:type="dxa"/>
            <w:shd w:val="clear" w:color="auto" w:fill="auto"/>
          </w:tcPr>
          <w:p w:rsidR="00E34A65" w:rsidRPr="00021E8A"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34A65" w:rsidRPr="00036EE3" w:rsidTr="00022AA4">
        <w:tc>
          <w:tcPr>
            <w:tcW w:w="1140" w:type="dxa"/>
            <w:shd w:val="clear" w:color="auto" w:fill="auto"/>
          </w:tcPr>
          <w:p w:rsidR="00E34A65" w:rsidRPr="00036EE3" w:rsidRDefault="00E34A65" w:rsidP="00022AA4">
            <w:pPr>
              <w:spacing w:before="30" w:after="30"/>
              <w:ind w:left="57"/>
              <w:jc w:val="left"/>
              <w:rPr>
                <w:b/>
                <w:bCs/>
                <w:sz w:val="20"/>
                <w:lang w:val="fr-CH"/>
              </w:rPr>
            </w:pPr>
            <w:r w:rsidRPr="00036EE3">
              <w:rPr>
                <w:b/>
                <w:bCs/>
                <w:sz w:val="20"/>
                <w:lang w:val="fr-CH"/>
              </w:rPr>
              <w:t>F</w:t>
            </w:r>
          </w:p>
        </w:tc>
        <w:tc>
          <w:tcPr>
            <w:tcW w:w="8220" w:type="dxa"/>
            <w:shd w:val="clear" w:color="auto" w:fill="auto"/>
          </w:tcPr>
          <w:p w:rsidR="00E34A65" w:rsidRPr="00021E8A" w:rsidRDefault="00E34A65" w:rsidP="00022A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34A65" w:rsidRPr="00F91385" w:rsidTr="00022AA4">
        <w:tc>
          <w:tcPr>
            <w:tcW w:w="1140" w:type="dxa"/>
            <w:shd w:val="clear" w:color="auto" w:fill="F3F3F3"/>
          </w:tcPr>
          <w:p w:rsidR="00E34A65" w:rsidRPr="001240BC" w:rsidRDefault="00E34A65" w:rsidP="00022AA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E34A65" w:rsidRPr="001240BC" w:rsidRDefault="00E34A65" w:rsidP="00022A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E34A65" w:rsidRPr="00F91385" w:rsidTr="00022AA4">
        <w:tc>
          <w:tcPr>
            <w:tcW w:w="1140" w:type="dxa"/>
          </w:tcPr>
          <w:p w:rsidR="00E34A65" w:rsidRPr="00036EE3" w:rsidRDefault="00E34A65" w:rsidP="00022AA4">
            <w:pPr>
              <w:spacing w:before="30" w:after="30"/>
              <w:ind w:left="57"/>
              <w:jc w:val="left"/>
              <w:rPr>
                <w:b/>
                <w:bCs/>
                <w:sz w:val="20"/>
                <w:lang w:val="fr-CH"/>
              </w:rPr>
            </w:pPr>
            <w:r w:rsidRPr="00036EE3">
              <w:rPr>
                <w:b/>
                <w:bCs/>
                <w:sz w:val="20"/>
                <w:lang w:val="fr-CH"/>
              </w:rPr>
              <w:t>P</w:t>
            </w:r>
          </w:p>
        </w:tc>
        <w:tc>
          <w:tcPr>
            <w:tcW w:w="8220" w:type="dxa"/>
          </w:tcPr>
          <w:p w:rsidR="00E34A65" w:rsidRPr="00021E8A" w:rsidRDefault="00E34A65" w:rsidP="00022AA4">
            <w:pPr>
              <w:spacing w:before="30" w:after="30"/>
              <w:jc w:val="left"/>
              <w:rPr>
                <w:bCs/>
                <w:sz w:val="20"/>
                <w:lang w:val="es-ES_tradnl"/>
              </w:rPr>
            </w:pPr>
            <w:r w:rsidRPr="00021E8A">
              <w:rPr>
                <w:bCs/>
                <w:sz w:val="20"/>
                <w:lang w:val="es-ES_tradnl"/>
              </w:rPr>
              <w:t>Propagación de las ondas radioeléctricas</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RA</w:t>
            </w:r>
          </w:p>
        </w:tc>
        <w:tc>
          <w:tcPr>
            <w:tcW w:w="8220" w:type="dxa"/>
          </w:tcPr>
          <w:p w:rsidR="00E34A65" w:rsidRPr="00021E8A" w:rsidRDefault="00E34A65" w:rsidP="00022A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E34A65" w:rsidRPr="00F91385"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RS</w:t>
            </w:r>
          </w:p>
        </w:tc>
        <w:tc>
          <w:tcPr>
            <w:tcW w:w="8220" w:type="dxa"/>
          </w:tcPr>
          <w:p w:rsidR="00E34A65" w:rsidRPr="00021E8A" w:rsidRDefault="00E34A65" w:rsidP="00022A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S</w:t>
            </w:r>
          </w:p>
        </w:tc>
        <w:tc>
          <w:tcPr>
            <w:tcW w:w="8220" w:type="dxa"/>
          </w:tcPr>
          <w:p w:rsidR="00E34A65" w:rsidRPr="00021E8A" w:rsidRDefault="00E34A65" w:rsidP="00022AA4">
            <w:pPr>
              <w:spacing w:before="30" w:after="30"/>
              <w:jc w:val="left"/>
              <w:rPr>
                <w:bCs/>
                <w:sz w:val="20"/>
                <w:lang w:val="en-US"/>
              </w:rPr>
            </w:pPr>
            <w:r w:rsidRPr="00021E8A">
              <w:rPr>
                <w:bCs/>
                <w:sz w:val="20"/>
              </w:rPr>
              <w:t>Servicio fijo por satélite</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SA</w:t>
            </w:r>
          </w:p>
        </w:tc>
        <w:tc>
          <w:tcPr>
            <w:tcW w:w="8220" w:type="dxa"/>
          </w:tcPr>
          <w:p w:rsidR="00E34A65" w:rsidRPr="00021E8A" w:rsidRDefault="00E34A65" w:rsidP="00022AA4">
            <w:pPr>
              <w:spacing w:before="30" w:after="30"/>
              <w:jc w:val="left"/>
              <w:rPr>
                <w:bCs/>
                <w:sz w:val="20"/>
                <w:lang w:val="en-US"/>
              </w:rPr>
            </w:pPr>
            <w:r w:rsidRPr="00021E8A">
              <w:rPr>
                <w:bCs/>
                <w:sz w:val="20"/>
              </w:rPr>
              <w:t>Aplicaciones espaciales y meteorología</w:t>
            </w:r>
          </w:p>
        </w:tc>
      </w:tr>
      <w:tr w:rsidR="00E34A65" w:rsidRPr="00F91385"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SF</w:t>
            </w:r>
          </w:p>
        </w:tc>
        <w:tc>
          <w:tcPr>
            <w:tcW w:w="8220" w:type="dxa"/>
          </w:tcPr>
          <w:p w:rsidR="00E34A65" w:rsidRPr="00021E8A" w:rsidRDefault="00E34A65" w:rsidP="00022AA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34A65" w:rsidRPr="00036EE3" w:rsidTr="00022AA4">
        <w:tc>
          <w:tcPr>
            <w:tcW w:w="1140" w:type="dxa"/>
            <w:shd w:val="clear" w:color="auto" w:fill="auto"/>
          </w:tcPr>
          <w:p w:rsidR="00E34A65" w:rsidRPr="001240BC" w:rsidRDefault="00E34A65" w:rsidP="00022AA4">
            <w:pPr>
              <w:spacing w:before="30" w:after="30"/>
              <w:ind w:left="57"/>
              <w:jc w:val="left"/>
              <w:rPr>
                <w:b/>
                <w:bCs/>
                <w:sz w:val="20"/>
                <w:lang w:val="en-US"/>
              </w:rPr>
            </w:pPr>
            <w:r w:rsidRPr="001240BC">
              <w:rPr>
                <w:b/>
                <w:bCs/>
                <w:sz w:val="20"/>
                <w:lang w:val="en-US"/>
              </w:rPr>
              <w:t>SM</w:t>
            </w:r>
          </w:p>
        </w:tc>
        <w:tc>
          <w:tcPr>
            <w:tcW w:w="8220" w:type="dxa"/>
            <w:shd w:val="clear" w:color="auto" w:fill="auto"/>
          </w:tcPr>
          <w:p w:rsidR="00E34A65" w:rsidRPr="001240BC" w:rsidRDefault="00E34A65" w:rsidP="00022AA4">
            <w:pPr>
              <w:spacing w:before="30" w:after="30"/>
              <w:jc w:val="left"/>
              <w:rPr>
                <w:sz w:val="20"/>
                <w:lang w:val="en-US"/>
              </w:rPr>
            </w:pPr>
            <w:r w:rsidRPr="001240BC">
              <w:rPr>
                <w:sz w:val="20"/>
              </w:rPr>
              <w:t>Gestión del espectro</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SNG</w:t>
            </w:r>
          </w:p>
        </w:tc>
        <w:tc>
          <w:tcPr>
            <w:tcW w:w="8220" w:type="dxa"/>
          </w:tcPr>
          <w:p w:rsidR="00E34A65" w:rsidRPr="00021E8A" w:rsidRDefault="00E34A65" w:rsidP="00022AA4">
            <w:pPr>
              <w:spacing w:before="30" w:after="30"/>
              <w:jc w:val="left"/>
              <w:rPr>
                <w:bCs/>
                <w:sz w:val="20"/>
                <w:lang w:val="en-US"/>
              </w:rPr>
            </w:pPr>
            <w:r w:rsidRPr="00021E8A">
              <w:rPr>
                <w:bCs/>
                <w:sz w:val="20"/>
              </w:rPr>
              <w:t>Periodismo electrónico por satélite</w:t>
            </w:r>
          </w:p>
        </w:tc>
      </w:tr>
      <w:tr w:rsidR="00E34A65" w:rsidRPr="00F91385"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TF</w:t>
            </w:r>
          </w:p>
        </w:tc>
        <w:tc>
          <w:tcPr>
            <w:tcW w:w="8220" w:type="dxa"/>
          </w:tcPr>
          <w:p w:rsidR="00E34A65" w:rsidRPr="00021E8A" w:rsidRDefault="00E34A65" w:rsidP="00022AA4">
            <w:pPr>
              <w:spacing w:before="30" w:after="30"/>
              <w:jc w:val="left"/>
              <w:rPr>
                <w:bCs/>
                <w:sz w:val="20"/>
                <w:lang w:val="es-ES_tradnl"/>
              </w:rPr>
            </w:pPr>
            <w:r w:rsidRPr="00021E8A">
              <w:rPr>
                <w:bCs/>
                <w:sz w:val="20"/>
                <w:lang w:val="es-ES_tradnl"/>
              </w:rPr>
              <w:t>Emisiones de frecuencias patrón y señales horarias</w:t>
            </w:r>
          </w:p>
        </w:tc>
      </w:tr>
      <w:tr w:rsidR="00E34A65" w:rsidRPr="00036EE3" w:rsidTr="00022AA4">
        <w:tc>
          <w:tcPr>
            <w:tcW w:w="1140" w:type="dxa"/>
          </w:tcPr>
          <w:p w:rsidR="00E34A65" w:rsidRPr="00036EE3" w:rsidRDefault="00E34A65" w:rsidP="00022AA4">
            <w:pPr>
              <w:spacing w:before="30" w:after="30"/>
              <w:ind w:left="57"/>
              <w:jc w:val="left"/>
              <w:rPr>
                <w:b/>
                <w:bCs/>
                <w:sz w:val="20"/>
                <w:lang w:val="en-US"/>
              </w:rPr>
            </w:pPr>
            <w:r w:rsidRPr="00036EE3">
              <w:rPr>
                <w:b/>
                <w:bCs/>
                <w:sz w:val="20"/>
                <w:lang w:val="en-US"/>
              </w:rPr>
              <w:t>V</w:t>
            </w:r>
          </w:p>
        </w:tc>
        <w:tc>
          <w:tcPr>
            <w:tcW w:w="8220" w:type="dxa"/>
          </w:tcPr>
          <w:p w:rsidR="00E34A65" w:rsidRPr="00021E8A" w:rsidRDefault="00E34A65" w:rsidP="00022AA4">
            <w:pPr>
              <w:spacing w:before="30" w:after="140"/>
              <w:jc w:val="left"/>
              <w:rPr>
                <w:bCs/>
                <w:sz w:val="20"/>
                <w:lang w:val="en-US"/>
              </w:rPr>
            </w:pPr>
            <w:r w:rsidRPr="00021E8A">
              <w:rPr>
                <w:bCs/>
                <w:sz w:val="20"/>
              </w:rPr>
              <w:t>Vocabulario y cuestiones afines</w:t>
            </w:r>
          </w:p>
        </w:tc>
      </w:tr>
    </w:tbl>
    <w:p w:rsidR="00E34A65" w:rsidRPr="00036EE3" w:rsidRDefault="00E34A65" w:rsidP="00E34A6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34A65" w:rsidTr="00022AA4">
        <w:tc>
          <w:tcPr>
            <w:tcW w:w="720" w:type="dxa"/>
          </w:tcPr>
          <w:p w:rsidR="00E34A65" w:rsidRDefault="00E34A65" w:rsidP="00022AA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34A65" w:rsidRPr="00F91385" w:rsidTr="00022AA4">
        <w:tc>
          <w:tcPr>
            <w:tcW w:w="9360" w:type="dxa"/>
          </w:tcPr>
          <w:p w:rsidR="00E34A65" w:rsidRPr="00A07AEB" w:rsidRDefault="00E34A65" w:rsidP="00022AA4">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E34A65" w:rsidRPr="00763D08" w:rsidRDefault="00E34A65" w:rsidP="00E34A65">
      <w:pPr>
        <w:spacing w:before="0"/>
        <w:jc w:val="center"/>
        <w:rPr>
          <w:sz w:val="22"/>
          <w:lang w:val="es-ES_tradnl"/>
        </w:rPr>
      </w:pPr>
    </w:p>
    <w:p w:rsidR="00E34A65" w:rsidRPr="00763D08" w:rsidRDefault="00E34A65" w:rsidP="00E34A65">
      <w:pPr>
        <w:spacing w:before="60"/>
        <w:jc w:val="right"/>
        <w:rPr>
          <w:i/>
          <w:iCs/>
          <w:sz w:val="20"/>
          <w:lang w:val="es-ES_tradnl"/>
        </w:rPr>
      </w:pPr>
      <w:r w:rsidRPr="00763D08">
        <w:rPr>
          <w:i/>
          <w:iCs/>
          <w:sz w:val="20"/>
          <w:lang w:val="es-ES_tradnl"/>
        </w:rPr>
        <w:t>Publicación electrónica</w:t>
      </w:r>
    </w:p>
    <w:p w:rsidR="00E34A65" w:rsidRPr="00763D08" w:rsidRDefault="00E34A65" w:rsidP="00E34A65">
      <w:pPr>
        <w:spacing w:before="0" w:after="40"/>
        <w:jc w:val="right"/>
        <w:rPr>
          <w:sz w:val="20"/>
          <w:lang w:val="es-ES_tradnl"/>
        </w:rPr>
      </w:pPr>
      <w:r w:rsidRPr="00763D08">
        <w:rPr>
          <w:sz w:val="20"/>
          <w:lang w:val="es-ES_tradnl"/>
        </w:rPr>
        <w:t>Ginebra, 20</w:t>
      </w:r>
      <w:r>
        <w:rPr>
          <w:sz w:val="20"/>
          <w:lang w:val="es-ES_tradnl"/>
        </w:rPr>
        <w:t>12</w:t>
      </w:r>
    </w:p>
    <w:p w:rsidR="00E34A65" w:rsidRPr="00763D08" w:rsidRDefault="00E34A65" w:rsidP="00E34A65">
      <w:pPr>
        <w:spacing w:before="0"/>
        <w:jc w:val="center"/>
        <w:rPr>
          <w:sz w:val="22"/>
          <w:lang w:val="es-ES_tradnl"/>
        </w:rPr>
      </w:pPr>
    </w:p>
    <w:p w:rsidR="00E34A65" w:rsidRPr="00763D08" w:rsidRDefault="00E34A65" w:rsidP="00E34A6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12</w:t>
      </w:r>
    </w:p>
    <w:p w:rsidR="00E34A65" w:rsidRPr="006C718C" w:rsidRDefault="00E34A65" w:rsidP="00E34A6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34A65" w:rsidRPr="006C718C" w:rsidRDefault="00E34A65" w:rsidP="00E34A65">
      <w:pPr>
        <w:spacing w:before="160"/>
        <w:rPr>
          <w:i/>
          <w:sz w:val="20"/>
          <w:highlight w:val="yellow"/>
          <w:lang w:val="es-ES_tradnl"/>
        </w:rPr>
        <w:sectPr w:rsidR="00E34A65" w:rsidRPr="006C718C" w:rsidSect="00022AA4">
          <w:headerReference w:type="even" r:id="rId13"/>
          <w:headerReference w:type="default" r:id="rId14"/>
          <w:pgSz w:w="11907" w:h="16834" w:code="9"/>
          <w:pgMar w:top="1418" w:right="1134" w:bottom="1134" w:left="1134" w:header="720" w:footer="482" w:gutter="0"/>
          <w:pgNumType w:fmt="lowerRoman" w:start="2"/>
          <w:cols w:space="720"/>
        </w:sectPr>
      </w:pPr>
    </w:p>
    <w:p w:rsidR="00E34A65" w:rsidRPr="00411C44" w:rsidRDefault="00E34A65" w:rsidP="000A3349">
      <w:pPr>
        <w:pStyle w:val="RecNo"/>
        <w:spacing w:before="0"/>
      </w:pPr>
      <w:bookmarkStart w:id="2" w:name="irecnoe"/>
      <w:bookmarkEnd w:id="2"/>
      <w:r w:rsidRPr="00763D08">
        <w:rPr>
          <w:lang w:val="es-ES_tradnl"/>
        </w:rPr>
        <w:lastRenderedPageBreak/>
        <w:t xml:space="preserve">RECOMENDACIÓN  </w:t>
      </w:r>
      <w:r w:rsidRPr="00763D08">
        <w:rPr>
          <w:rStyle w:val="href"/>
          <w:lang w:val="es-ES_tradnl"/>
        </w:rPr>
        <w:t>UIT-R  M.1</w:t>
      </w:r>
      <w:r>
        <w:rPr>
          <w:rStyle w:val="href"/>
          <w:lang w:val="es-ES_tradnl"/>
        </w:rPr>
        <w:t>90</w:t>
      </w:r>
      <w:r w:rsidR="000A3349">
        <w:rPr>
          <w:rStyle w:val="href"/>
          <w:lang w:val="es-ES_tradnl"/>
        </w:rPr>
        <w:t>4</w:t>
      </w:r>
    </w:p>
    <w:p w:rsidR="00E34A65" w:rsidRDefault="000A3349" w:rsidP="0011245A">
      <w:pPr>
        <w:pStyle w:val="Rectitle"/>
        <w:rPr>
          <w:lang w:val="es-ES_tradnl"/>
        </w:rPr>
      </w:pPr>
      <w:r w:rsidRPr="0029661B">
        <w:rPr>
          <w:lang w:val="es-ES_tradnl"/>
        </w:rPr>
        <w:t>Características, requisitos de calidad de funcionamiento y criterios</w:t>
      </w:r>
      <w:r w:rsidR="0011245A">
        <w:rPr>
          <w:lang w:val="es-ES_tradnl"/>
        </w:rPr>
        <w:br/>
      </w:r>
      <w:r w:rsidRPr="0029661B">
        <w:rPr>
          <w:lang w:val="es-ES_tradnl"/>
        </w:rPr>
        <w:t>de protección de las estaciones receptoras del servicio</w:t>
      </w:r>
      <w:r w:rsidR="0011245A">
        <w:rPr>
          <w:lang w:val="es-ES_tradnl"/>
        </w:rPr>
        <w:br/>
      </w:r>
      <w:r w:rsidRPr="0029661B">
        <w:rPr>
          <w:lang w:val="es-ES_tradnl"/>
        </w:rPr>
        <w:t>de radionavegación</w:t>
      </w:r>
      <w:r w:rsidR="0011245A">
        <w:rPr>
          <w:lang w:val="es-ES_tradnl"/>
        </w:rPr>
        <w:t xml:space="preserve"> </w:t>
      </w:r>
      <w:r w:rsidRPr="0029661B">
        <w:rPr>
          <w:lang w:val="es-ES_tradnl"/>
        </w:rPr>
        <w:t>por satélite (espacio-espacio)</w:t>
      </w:r>
      <w:r w:rsidR="0011245A">
        <w:rPr>
          <w:lang w:val="es-ES_tradnl"/>
        </w:rPr>
        <w:br/>
      </w:r>
      <w:r w:rsidRPr="0029661B">
        <w:rPr>
          <w:lang w:val="es-ES_tradnl"/>
        </w:rPr>
        <w:t>que funcionan en las bandas</w:t>
      </w:r>
      <w:r w:rsidR="0011245A">
        <w:rPr>
          <w:lang w:val="es-ES_tradnl"/>
        </w:rPr>
        <w:t xml:space="preserve"> </w:t>
      </w:r>
      <w:r w:rsidRPr="0029661B">
        <w:rPr>
          <w:lang w:val="es-ES_tradnl"/>
        </w:rPr>
        <w:t>de frecuencias</w:t>
      </w:r>
      <w:r w:rsidR="0011245A">
        <w:rPr>
          <w:lang w:val="es-ES_tradnl"/>
        </w:rPr>
        <w:br/>
      </w:r>
      <w:r w:rsidRPr="0029661B">
        <w:rPr>
          <w:lang w:val="es-ES_tradnl"/>
        </w:rPr>
        <w:t>1</w:t>
      </w:r>
      <w:r>
        <w:rPr>
          <w:lang w:val="es-ES_tradnl"/>
        </w:rPr>
        <w:t> </w:t>
      </w:r>
      <w:r w:rsidRPr="0029661B">
        <w:rPr>
          <w:lang w:val="es-ES_tradnl"/>
        </w:rPr>
        <w:t>164</w:t>
      </w:r>
      <w:r>
        <w:rPr>
          <w:lang w:val="es-ES_tradnl"/>
        </w:rPr>
        <w:noBreakHyphen/>
      </w:r>
      <w:r w:rsidRPr="0029661B">
        <w:rPr>
          <w:lang w:val="es-ES_tradnl"/>
        </w:rPr>
        <w:t>1</w:t>
      </w:r>
      <w:r>
        <w:rPr>
          <w:lang w:val="es-ES_tradnl"/>
        </w:rPr>
        <w:t> </w:t>
      </w:r>
      <w:r w:rsidRPr="0029661B">
        <w:rPr>
          <w:lang w:val="es-ES_tradnl"/>
        </w:rPr>
        <w:t>215</w:t>
      </w:r>
      <w:r>
        <w:rPr>
          <w:lang w:val="es-ES_tradnl"/>
        </w:rPr>
        <w:t> </w:t>
      </w:r>
      <w:r w:rsidRPr="0029661B">
        <w:rPr>
          <w:lang w:val="es-ES_tradnl"/>
        </w:rPr>
        <w:t>MHz, 1</w:t>
      </w:r>
      <w:r>
        <w:rPr>
          <w:lang w:val="es-ES_tradnl"/>
        </w:rPr>
        <w:t> </w:t>
      </w:r>
      <w:r w:rsidRPr="0029661B">
        <w:rPr>
          <w:lang w:val="es-ES_tradnl"/>
        </w:rPr>
        <w:t>215</w:t>
      </w:r>
      <w:r>
        <w:rPr>
          <w:lang w:val="es-ES_tradnl"/>
        </w:rPr>
        <w:noBreakHyphen/>
      </w:r>
      <w:r w:rsidRPr="0029661B">
        <w:rPr>
          <w:lang w:val="es-ES_tradnl"/>
        </w:rPr>
        <w:t>1</w:t>
      </w:r>
      <w:r>
        <w:rPr>
          <w:lang w:val="es-ES_tradnl"/>
        </w:rPr>
        <w:t> </w:t>
      </w:r>
      <w:r w:rsidRPr="0029661B">
        <w:rPr>
          <w:lang w:val="es-ES_tradnl"/>
        </w:rPr>
        <w:t>300</w:t>
      </w:r>
      <w:r>
        <w:rPr>
          <w:lang w:val="es-ES_tradnl"/>
        </w:rPr>
        <w:t> </w:t>
      </w:r>
      <w:r w:rsidRPr="0029661B">
        <w:rPr>
          <w:lang w:val="es-ES_tradnl"/>
        </w:rPr>
        <w:t>MHz</w:t>
      </w:r>
      <w:r w:rsidR="0011245A">
        <w:rPr>
          <w:lang w:val="es-ES_tradnl"/>
        </w:rPr>
        <w:br/>
      </w:r>
      <w:r w:rsidRPr="0029661B">
        <w:rPr>
          <w:lang w:val="es-ES_tradnl"/>
        </w:rPr>
        <w:t>y 1</w:t>
      </w:r>
      <w:r>
        <w:rPr>
          <w:lang w:val="es-ES_tradnl"/>
        </w:rPr>
        <w:t> </w:t>
      </w:r>
      <w:r w:rsidRPr="0029661B">
        <w:rPr>
          <w:lang w:val="es-ES_tradnl"/>
        </w:rPr>
        <w:t>559</w:t>
      </w:r>
      <w:r>
        <w:rPr>
          <w:lang w:val="es-ES_tradnl"/>
        </w:rPr>
        <w:noBreakHyphen/>
      </w:r>
      <w:r w:rsidRPr="0029661B">
        <w:rPr>
          <w:lang w:val="es-ES_tradnl"/>
        </w:rPr>
        <w:t>1</w:t>
      </w:r>
      <w:r>
        <w:rPr>
          <w:lang w:val="es-ES_tradnl"/>
        </w:rPr>
        <w:t> </w:t>
      </w:r>
      <w:r w:rsidRPr="0029661B">
        <w:rPr>
          <w:lang w:val="es-ES_tradnl"/>
        </w:rPr>
        <w:t>610</w:t>
      </w:r>
      <w:r>
        <w:rPr>
          <w:lang w:val="es-ES_tradnl"/>
        </w:rPr>
        <w:t> </w:t>
      </w:r>
      <w:r w:rsidRPr="0029661B">
        <w:rPr>
          <w:lang w:val="es-ES_tradnl"/>
        </w:rPr>
        <w:t>MHz</w:t>
      </w:r>
    </w:p>
    <w:p w:rsidR="00E34A65" w:rsidRDefault="00E34A65" w:rsidP="00E34A65">
      <w:pPr>
        <w:pStyle w:val="Recref"/>
        <w:rPr>
          <w:lang w:val="es-ES_tradnl"/>
        </w:rPr>
      </w:pPr>
      <w:r w:rsidRPr="003F2F6E">
        <w:rPr>
          <w:lang w:val="es-ES_tradnl"/>
        </w:rPr>
        <w:t>(Cuestiones UIT</w:t>
      </w:r>
      <w:r w:rsidRPr="003F2F6E">
        <w:rPr>
          <w:lang w:val="es-ES_tradnl"/>
        </w:rPr>
        <w:noBreakHyphen/>
        <w:t>R 217</w:t>
      </w:r>
      <w:r w:rsidR="000A3349">
        <w:rPr>
          <w:lang w:val="es-ES_tradnl"/>
        </w:rPr>
        <w:t>-2</w:t>
      </w:r>
      <w:r w:rsidRPr="003F2F6E">
        <w:rPr>
          <w:lang w:val="es-ES_tradnl"/>
        </w:rPr>
        <w:t>/4 y UIT</w:t>
      </w:r>
      <w:r w:rsidRPr="003F2F6E">
        <w:rPr>
          <w:lang w:val="es-ES_tradnl"/>
        </w:rPr>
        <w:noBreakHyphen/>
        <w:t>R 288/4)</w:t>
      </w:r>
    </w:p>
    <w:p w:rsidR="008968ED" w:rsidRPr="008968ED" w:rsidRDefault="008968ED" w:rsidP="008968ED">
      <w:pPr>
        <w:pStyle w:val="Blanc"/>
      </w:pPr>
    </w:p>
    <w:p w:rsidR="00E34A65" w:rsidRPr="003F2F6E" w:rsidRDefault="00E34A65" w:rsidP="00E34A65">
      <w:pPr>
        <w:pStyle w:val="Recdate"/>
        <w:rPr>
          <w:lang w:val="es-ES_tradnl"/>
        </w:rPr>
      </w:pPr>
      <w:r w:rsidRPr="003F2F6E">
        <w:rPr>
          <w:lang w:val="es-ES_tradnl"/>
        </w:rPr>
        <w:t>(20</w:t>
      </w:r>
      <w:r>
        <w:rPr>
          <w:lang w:val="es-ES_tradnl"/>
        </w:rPr>
        <w:t>12</w:t>
      </w:r>
      <w:r w:rsidRPr="003F2F6E">
        <w:rPr>
          <w:lang w:val="es-ES_tradnl"/>
        </w:rPr>
        <w:t>)</w:t>
      </w:r>
    </w:p>
    <w:p w:rsidR="00E34A65" w:rsidRDefault="00E34A65" w:rsidP="00E34A65">
      <w:pPr>
        <w:pStyle w:val="HeadingSum"/>
      </w:pPr>
      <w:r w:rsidRPr="00BD252C">
        <w:t>Cometido</w:t>
      </w:r>
    </w:p>
    <w:p w:rsidR="00E34A65" w:rsidRPr="00E34A65" w:rsidRDefault="000A3349" w:rsidP="009F64D0">
      <w:pPr>
        <w:pStyle w:val="Summary"/>
      </w:pPr>
      <w:r w:rsidRPr="0029661B">
        <w:t>En este proyecto de nueva Recomendación figuran las características y los criterios de protección de los</w:t>
      </w:r>
      <w:r w:rsidR="009F64D0">
        <w:t> </w:t>
      </w:r>
      <w:r w:rsidRPr="0029661B">
        <w:t>receptores a bordo de vehículos espaciales del servicio de radionavegación por satélite (SRNS). Dicha</w:t>
      </w:r>
      <w:r w:rsidR="009F64D0">
        <w:t> </w:t>
      </w:r>
      <w:r w:rsidRPr="0029661B">
        <w:t>información está destinada a analizar los efectos de la interferencia de radiofrecuencia en los receptores del SRNS (espacio-espacio) que funcionan en las bandas 1 164</w:t>
      </w:r>
      <w:r w:rsidRPr="0029661B">
        <w:noBreakHyphen/>
        <w:t>1 215 MHz, 1 215</w:t>
      </w:r>
      <w:r w:rsidRPr="0029661B">
        <w:noBreakHyphen/>
        <w:t>1 300 MHz y 1 559</w:t>
      </w:r>
      <w:r>
        <w:t>-</w:t>
      </w:r>
      <w:r w:rsidRPr="0029661B">
        <w:t>1 610 MHz causada por emisiones de fuentes distintas del SRNS.</w:t>
      </w:r>
    </w:p>
    <w:p w:rsidR="00E34A65" w:rsidRPr="006A4754" w:rsidRDefault="00E34A65" w:rsidP="00E34A65">
      <w:pPr>
        <w:pStyle w:val="Normalaftertitle"/>
        <w:rPr>
          <w:lang w:val="es-ES_tradnl"/>
        </w:rPr>
      </w:pPr>
      <w:r w:rsidRPr="006A4754">
        <w:rPr>
          <w:lang w:val="es-ES_tradnl"/>
        </w:rPr>
        <w:t>La Asamblea de Radiocomunicaciones de la UIT,</w:t>
      </w:r>
    </w:p>
    <w:p w:rsidR="00E34A65" w:rsidRPr="006A4754" w:rsidRDefault="00E34A65" w:rsidP="00E34A65">
      <w:pPr>
        <w:pStyle w:val="Call"/>
        <w:rPr>
          <w:lang w:val="es-ES_tradnl"/>
        </w:rPr>
      </w:pPr>
      <w:r w:rsidRPr="006A4754">
        <w:rPr>
          <w:lang w:val="es-ES_tradnl"/>
        </w:rPr>
        <w:t>considerando</w:t>
      </w:r>
    </w:p>
    <w:p w:rsidR="000A3349" w:rsidRPr="0029661B" w:rsidRDefault="000A3349" w:rsidP="000A3349">
      <w:pPr>
        <w:rPr>
          <w:lang w:val="es-ES_tradnl"/>
        </w:rPr>
      </w:pPr>
      <w:r w:rsidRPr="0029661B">
        <w:rPr>
          <w:lang w:val="es-ES_tradnl"/>
        </w:rPr>
        <w:t>a)</w:t>
      </w:r>
      <w:r w:rsidRPr="0029661B">
        <w:rPr>
          <w:lang w:val="es-ES_tradnl"/>
        </w:rPr>
        <w:tab/>
        <w:t>que los receptores a bordo de vehículos espaciales del SRNS que utilizan transmisiones del SRNS existentes o planificadas en las bandas 1 164</w:t>
      </w:r>
      <w:r w:rsidRPr="0029661B">
        <w:rPr>
          <w:lang w:val="es-ES_tradnl"/>
        </w:rPr>
        <w:noBreakHyphen/>
        <w:t>1 215 MHz, 1 215</w:t>
      </w:r>
      <w:r w:rsidRPr="0029661B">
        <w:rPr>
          <w:lang w:val="es-ES_tradnl"/>
        </w:rPr>
        <w:noBreakHyphen/>
        <w:t>1 300 MHz y 1 559</w:t>
      </w:r>
      <w:r w:rsidR="00AF7520">
        <w:rPr>
          <w:lang w:val="es-ES_tradnl"/>
        </w:rPr>
        <w:t>-</w:t>
      </w:r>
      <w:r w:rsidRPr="0029661B">
        <w:rPr>
          <w:lang w:val="es-ES_tradnl"/>
        </w:rPr>
        <w:t>1 610 MHz ya funcionan o tiene</w:t>
      </w:r>
      <w:r>
        <w:rPr>
          <w:lang w:val="es-ES_tradnl"/>
        </w:rPr>
        <w:t>n</w:t>
      </w:r>
      <w:r w:rsidRPr="0029661B">
        <w:rPr>
          <w:lang w:val="es-ES_tradnl"/>
        </w:rPr>
        <w:t xml:space="preserve"> previsto funcionar sobre vehículos espaciales de varias redes y sistemas de satélites;</w:t>
      </w:r>
    </w:p>
    <w:p w:rsidR="000A3349" w:rsidRPr="0029661B" w:rsidRDefault="000A3349" w:rsidP="000A3349">
      <w:pPr>
        <w:rPr>
          <w:lang w:val="es-ES_tradnl"/>
        </w:rPr>
      </w:pPr>
      <w:r w:rsidRPr="0029661B">
        <w:rPr>
          <w:lang w:val="es-ES_tradnl"/>
        </w:rPr>
        <w:t>b)</w:t>
      </w:r>
      <w:r w:rsidRPr="0029661B">
        <w:rPr>
          <w:lang w:val="es-ES_tradnl"/>
        </w:rPr>
        <w:tab/>
        <w:t>que las emisiones de enlace descendente del SRNS en las bandas 1 164</w:t>
      </w:r>
      <w:r w:rsidRPr="0029661B">
        <w:rPr>
          <w:lang w:val="es-ES_tradnl"/>
        </w:rPr>
        <w:noBreakHyphen/>
        <w:t>1 215 MHz, 1 215</w:t>
      </w:r>
      <w:r w:rsidRPr="0029661B">
        <w:rPr>
          <w:lang w:val="es-ES_tradnl"/>
        </w:rPr>
        <w:noBreakHyphen/>
        <w:t>1 300 MHz y 1 559</w:t>
      </w:r>
      <w:r w:rsidRPr="0029661B">
        <w:rPr>
          <w:lang w:val="es-ES_tradnl"/>
        </w:rPr>
        <w:noBreakHyphen/>
        <w:t>1 610 MHz también pueden emplearse para aplicaciones espacio</w:t>
      </w:r>
      <w:r w:rsidRPr="0029661B">
        <w:rPr>
          <w:lang w:val="es-ES_tradnl"/>
        </w:rPr>
        <w:noBreakHyphen/>
        <w:t>espacio (por ejemplo, posicionamiento del vehículo espacial), sin utilizar recursos de espectro adicionales;</w:t>
      </w:r>
    </w:p>
    <w:p w:rsidR="000A3349" w:rsidRPr="0029661B" w:rsidRDefault="000A3349" w:rsidP="00A06E08">
      <w:pPr>
        <w:rPr>
          <w:lang w:val="es-ES_tradnl"/>
        </w:rPr>
      </w:pPr>
      <w:r w:rsidRPr="0029661B">
        <w:rPr>
          <w:lang w:val="es-ES_tradnl"/>
        </w:rPr>
        <w:t>c)</w:t>
      </w:r>
      <w:r w:rsidRPr="0029661B">
        <w:rPr>
          <w:lang w:val="es-ES_tradnl"/>
        </w:rPr>
        <w:tab/>
        <w:t>que la Recomendación</w:t>
      </w:r>
      <w:r>
        <w:rPr>
          <w:lang w:val="es-ES_tradnl"/>
        </w:rPr>
        <w:t> </w:t>
      </w:r>
      <w:r w:rsidRPr="0029661B">
        <w:rPr>
          <w:lang w:val="es-ES_tradnl"/>
        </w:rPr>
        <w:t>UIT</w:t>
      </w:r>
      <w:r>
        <w:rPr>
          <w:lang w:val="es-ES_tradnl"/>
        </w:rPr>
        <w:noBreakHyphen/>
      </w:r>
      <w:r w:rsidRPr="0029661B">
        <w:rPr>
          <w:lang w:val="es-ES_tradnl"/>
        </w:rPr>
        <w:t>R</w:t>
      </w:r>
      <w:r>
        <w:rPr>
          <w:lang w:val="es-ES_tradnl"/>
        </w:rPr>
        <w:t> </w:t>
      </w:r>
      <w:r w:rsidRPr="0029661B">
        <w:rPr>
          <w:lang w:val="es-ES_tradnl"/>
        </w:rPr>
        <w:t>M.1787 pro</w:t>
      </w:r>
      <w:r w:rsidR="00B123B1">
        <w:rPr>
          <w:lang w:val="es-ES_tradnl"/>
        </w:rPr>
        <w:t>porciona</w:t>
      </w:r>
      <w:r w:rsidRPr="0029661B">
        <w:rPr>
          <w:lang w:val="es-ES_tradnl"/>
        </w:rPr>
        <w:t xml:space="preserve"> información sobre características de la señal de sistemas y redes del SRNS y las Recomendaciones</w:t>
      </w:r>
      <w:r>
        <w:rPr>
          <w:lang w:val="es-ES_tradnl"/>
        </w:rPr>
        <w:t> </w:t>
      </w:r>
      <w:r w:rsidRPr="0029661B">
        <w:rPr>
          <w:lang w:val="es-ES_tradnl"/>
        </w:rPr>
        <w:t>UIT</w:t>
      </w:r>
      <w:r>
        <w:rPr>
          <w:lang w:val="es-ES_tradnl"/>
        </w:rPr>
        <w:noBreakHyphen/>
      </w:r>
      <w:r w:rsidRPr="0029661B">
        <w:rPr>
          <w:lang w:val="es-ES_tradnl"/>
        </w:rPr>
        <w:t>R</w:t>
      </w:r>
      <w:r>
        <w:rPr>
          <w:lang w:val="es-ES_tradnl"/>
        </w:rPr>
        <w:t> </w:t>
      </w:r>
      <w:r w:rsidRPr="0029661B">
        <w:rPr>
          <w:lang w:val="es-ES_tradnl"/>
        </w:rPr>
        <w:t>M.190</w:t>
      </w:r>
      <w:r w:rsidR="00A06E08">
        <w:rPr>
          <w:lang w:val="es-ES_tradnl"/>
        </w:rPr>
        <w:t>2</w:t>
      </w:r>
      <w:r w:rsidRPr="0029661B">
        <w:rPr>
          <w:lang w:val="es-ES_tradnl"/>
        </w:rPr>
        <w:t xml:space="preserve">, </w:t>
      </w:r>
      <w:r>
        <w:rPr>
          <w:lang w:val="es-ES_tradnl"/>
        </w:rPr>
        <w:t>M.</w:t>
      </w:r>
      <w:r w:rsidRPr="0029661B">
        <w:rPr>
          <w:lang w:val="es-ES_tradnl"/>
        </w:rPr>
        <w:t>190</w:t>
      </w:r>
      <w:r w:rsidR="00A06E08">
        <w:rPr>
          <w:lang w:val="es-ES_tradnl"/>
        </w:rPr>
        <w:t>3</w:t>
      </w:r>
      <w:r w:rsidRPr="0029661B">
        <w:rPr>
          <w:lang w:val="es-ES_tradnl"/>
        </w:rPr>
        <w:t xml:space="preserve"> y </w:t>
      </w:r>
      <w:r>
        <w:rPr>
          <w:lang w:val="es-ES_tradnl"/>
        </w:rPr>
        <w:t>M.</w:t>
      </w:r>
      <w:r w:rsidRPr="0029661B">
        <w:rPr>
          <w:lang w:val="es-ES_tradnl"/>
        </w:rPr>
        <w:t>190</w:t>
      </w:r>
      <w:r w:rsidR="00A06E08">
        <w:rPr>
          <w:lang w:val="es-ES_tradnl"/>
        </w:rPr>
        <w:t>5</w:t>
      </w:r>
      <w:r w:rsidRPr="0029661B">
        <w:rPr>
          <w:lang w:val="es-ES_tradnl"/>
        </w:rPr>
        <w:t xml:space="preserve"> ofrecen información sobre las características técnicas y de calidad de funcionamiento de los receptores del SRNS para los sistemas y redes del SRNS;</w:t>
      </w:r>
    </w:p>
    <w:p w:rsidR="000A3349" w:rsidRPr="0029661B" w:rsidRDefault="000A3349" w:rsidP="000A3349">
      <w:pPr>
        <w:rPr>
          <w:lang w:val="es-ES_tradnl"/>
        </w:rPr>
      </w:pPr>
      <w:r w:rsidRPr="0029661B">
        <w:rPr>
          <w:lang w:val="es-ES_tradnl"/>
        </w:rPr>
        <w:t>d)</w:t>
      </w:r>
      <w:r w:rsidRPr="0029661B">
        <w:rPr>
          <w:lang w:val="es-ES_tradnl"/>
        </w:rPr>
        <w:tab/>
        <w:t>que la Recomendación</w:t>
      </w:r>
      <w:r>
        <w:rPr>
          <w:lang w:val="es-ES_tradnl"/>
        </w:rPr>
        <w:t> </w:t>
      </w:r>
      <w:r w:rsidRPr="0029661B">
        <w:rPr>
          <w:lang w:val="es-ES_tradnl"/>
        </w:rPr>
        <w:t>UIT</w:t>
      </w:r>
      <w:r>
        <w:rPr>
          <w:lang w:val="es-ES_tradnl"/>
        </w:rPr>
        <w:noBreakHyphen/>
      </w:r>
      <w:r w:rsidRPr="0029661B">
        <w:rPr>
          <w:lang w:val="es-ES_tradnl"/>
        </w:rPr>
        <w:t>R</w:t>
      </w:r>
      <w:r>
        <w:rPr>
          <w:lang w:val="es-ES_tradnl"/>
        </w:rPr>
        <w:t> </w:t>
      </w:r>
      <w:r w:rsidRPr="0029661B">
        <w:rPr>
          <w:lang w:val="es-ES_tradnl"/>
        </w:rPr>
        <w:t>M.1901 da directrices sobre esta y otras Recomendaciones del UIT</w:t>
      </w:r>
      <w:r w:rsidRPr="0029661B">
        <w:rPr>
          <w:lang w:val="es-ES_tradnl"/>
        </w:rPr>
        <w:noBreakHyphen/>
        <w:t>R relativas a sistemas y redes del SRNS que funcionan en las bandas de frecuencia 1 164</w:t>
      </w:r>
      <w:r w:rsidRPr="0029661B">
        <w:rPr>
          <w:lang w:val="es-ES_tradnl"/>
        </w:rPr>
        <w:noBreakHyphen/>
        <w:t>1 215 MHz, 1 215</w:t>
      </w:r>
      <w:r w:rsidRPr="0029661B">
        <w:rPr>
          <w:lang w:val="es-ES_tradnl"/>
        </w:rPr>
        <w:noBreakHyphen/>
        <w:t>1 300 MHz, 1 559</w:t>
      </w:r>
      <w:r w:rsidRPr="0029661B">
        <w:rPr>
          <w:lang w:val="es-ES_tradnl"/>
        </w:rPr>
        <w:noBreakHyphen/>
        <w:t>1 610 MHz, 5 000</w:t>
      </w:r>
      <w:r w:rsidRPr="0029661B">
        <w:rPr>
          <w:lang w:val="es-ES_tradnl"/>
        </w:rPr>
        <w:noBreakHyphen/>
        <w:t>5 010 MHz y 5 010</w:t>
      </w:r>
      <w:r w:rsidRPr="0029661B">
        <w:rPr>
          <w:lang w:val="es-ES_tradnl"/>
        </w:rPr>
        <w:noBreakHyphen/>
        <w:t>5 030 MHz,</w:t>
      </w:r>
    </w:p>
    <w:p w:rsidR="000A3349" w:rsidRPr="0029661B" w:rsidRDefault="000A3349" w:rsidP="000A3349">
      <w:pPr>
        <w:pStyle w:val="Call"/>
        <w:rPr>
          <w:lang w:val="es-ES_tradnl"/>
        </w:rPr>
      </w:pPr>
      <w:r w:rsidRPr="0029661B">
        <w:rPr>
          <w:lang w:val="es-ES_tradnl"/>
        </w:rPr>
        <w:t>reconociendo</w:t>
      </w:r>
    </w:p>
    <w:p w:rsidR="000A3349" w:rsidRPr="0029661B" w:rsidRDefault="000A3349" w:rsidP="000A3349">
      <w:pPr>
        <w:rPr>
          <w:lang w:val="es-ES_tradnl"/>
        </w:rPr>
      </w:pPr>
      <w:r w:rsidRPr="0029661B">
        <w:rPr>
          <w:lang w:val="es-ES_tradnl"/>
        </w:rPr>
        <w:t>a)</w:t>
      </w:r>
      <w:r w:rsidRPr="0029661B">
        <w:rPr>
          <w:lang w:val="es-ES_tradnl"/>
        </w:rPr>
        <w:tab/>
        <w:t>que las bandas 1 164-1 215 MHz, 1 215-1 300 MHz y 1 559-1 610 MHz están atribuidas a título primario al SRNS (espacio-Tierra) (espacio-espacio) en las tres Regiones;</w:t>
      </w:r>
    </w:p>
    <w:p w:rsidR="000A3349" w:rsidRPr="0029661B" w:rsidRDefault="000A3349" w:rsidP="000A3349">
      <w:pPr>
        <w:rPr>
          <w:lang w:val="es-ES_tradnl"/>
        </w:rPr>
      </w:pPr>
      <w:r w:rsidRPr="0029661B">
        <w:rPr>
          <w:lang w:val="es-ES_tradnl"/>
        </w:rPr>
        <w:t>b)</w:t>
      </w:r>
      <w:r w:rsidRPr="0029661B">
        <w:rPr>
          <w:lang w:val="es-ES_tradnl"/>
        </w:rPr>
        <w:tab/>
        <w:t xml:space="preserve">que con arreglo al número </w:t>
      </w:r>
      <w:r w:rsidRPr="0029661B">
        <w:rPr>
          <w:b/>
          <w:bCs/>
          <w:lang w:val="es-ES_tradnl"/>
        </w:rPr>
        <w:t>5.329A</w:t>
      </w:r>
      <w:r w:rsidRPr="0029661B">
        <w:rPr>
          <w:lang w:val="es-ES_tradnl"/>
        </w:rPr>
        <w:t xml:space="preserve"> del Reglamento de Radiocomunicaciones, «la utilización de sistemas del servicio de radionavegación por satélite (espacio-espacio) que funcionan en las bandas 1 215</w:t>
      </w:r>
      <w:r w:rsidRPr="0029661B">
        <w:rPr>
          <w:lang w:val="es-ES_tradnl"/>
        </w:rPr>
        <w:noBreakHyphen/>
        <w:t>1 300 MHz y 1 559</w:t>
      </w:r>
      <w:r w:rsidRPr="0029661B">
        <w:rPr>
          <w:lang w:val="es-ES_tradnl"/>
        </w:rPr>
        <w:noBreakHyphen/>
        <w:t>1 610 MHz no está prevista para aplicaciones de los servicios de seguridad, y no deberá imponer limitaciones adicionales a otros sistemas o servicios que funcionen con arreglo al Cuadro de atribución de bandas de frecuencias»;</w:t>
      </w:r>
    </w:p>
    <w:p w:rsidR="000A3349" w:rsidRPr="0029661B" w:rsidRDefault="000A3349" w:rsidP="000A3349">
      <w:pPr>
        <w:rPr>
          <w:lang w:val="es-ES_tradnl"/>
        </w:rPr>
      </w:pPr>
      <w:r w:rsidRPr="0029661B">
        <w:rPr>
          <w:lang w:val="es-ES_tradnl"/>
        </w:rPr>
        <w:t>c)</w:t>
      </w:r>
      <w:r w:rsidRPr="0029661B">
        <w:rPr>
          <w:lang w:val="es-ES_tradnl"/>
        </w:rPr>
        <w:tab/>
        <w:t>que las bandas 1 164</w:t>
      </w:r>
      <w:r>
        <w:rPr>
          <w:lang w:val="es-ES_tradnl"/>
        </w:rPr>
        <w:noBreakHyphen/>
      </w:r>
      <w:r w:rsidRPr="0029661B">
        <w:rPr>
          <w:lang w:val="es-ES_tradnl"/>
        </w:rPr>
        <w:t>1 215 MHz, 1 215</w:t>
      </w:r>
      <w:r>
        <w:rPr>
          <w:lang w:val="es-ES_tradnl"/>
        </w:rPr>
        <w:noBreakHyphen/>
      </w:r>
      <w:r w:rsidRPr="0029661B">
        <w:rPr>
          <w:lang w:val="es-ES_tradnl"/>
        </w:rPr>
        <w:t>1 300 MHz y 1 559</w:t>
      </w:r>
      <w:r>
        <w:rPr>
          <w:lang w:val="es-ES_tradnl"/>
        </w:rPr>
        <w:noBreakHyphen/>
      </w:r>
      <w:r w:rsidRPr="0029661B">
        <w:rPr>
          <w:lang w:val="es-ES_tradnl"/>
        </w:rPr>
        <w:t>1 610 MHz también están atribuidas a título primario a otros servicios en las tres Regiones,</w:t>
      </w:r>
    </w:p>
    <w:p w:rsidR="000A3349" w:rsidRPr="0029661B" w:rsidRDefault="000A3349" w:rsidP="000A3349">
      <w:pPr>
        <w:pStyle w:val="Call"/>
        <w:rPr>
          <w:lang w:val="es-ES_tradnl"/>
        </w:rPr>
      </w:pPr>
      <w:r w:rsidRPr="0029661B">
        <w:rPr>
          <w:lang w:val="es-ES_tradnl"/>
        </w:rPr>
        <w:lastRenderedPageBreak/>
        <w:t>recomienda</w:t>
      </w:r>
    </w:p>
    <w:p w:rsidR="000A3349" w:rsidRPr="0029661B" w:rsidRDefault="000A3349" w:rsidP="000A3349">
      <w:pPr>
        <w:rPr>
          <w:lang w:val="es-ES_tradnl"/>
        </w:rPr>
      </w:pPr>
      <w:r w:rsidRPr="0029661B">
        <w:rPr>
          <w:b/>
          <w:bCs/>
          <w:lang w:val="es-ES_tradnl"/>
        </w:rPr>
        <w:t>1</w:t>
      </w:r>
      <w:r w:rsidRPr="0029661B">
        <w:rPr>
          <w:b/>
          <w:bCs/>
          <w:lang w:val="es-ES_tradnl"/>
        </w:rPr>
        <w:tab/>
      </w:r>
      <w:r w:rsidRPr="0029661B">
        <w:rPr>
          <w:lang w:val="es-ES_tradnl"/>
        </w:rPr>
        <w:t>que para llevar a cabo los análisis de comportamiento de la interferencia de radiofrecuencia en los receptores del SRNS a bordo de vehículos espaciales (espacio-espacio) que funcionan en las bandas 1 164</w:t>
      </w:r>
      <w:r>
        <w:rPr>
          <w:lang w:val="es-ES_tradnl"/>
        </w:rPr>
        <w:noBreakHyphen/>
      </w:r>
      <w:r w:rsidRPr="0029661B">
        <w:rPr>
          <w:lang w:val="es-ES_tradnl"/>
        </w:rPr>
        <w:t>1 215 MHz, 1 215</w:t>
      </w:r>
      <w:r>
        <w:rPr>
          <w:lang w:val="es-ES_tradnl"/>
        </w:rPr>
        <w:noBreakHyphen/>
      </w:r>
      <w:r w:rsidRPr="0029661B">
        <w:rPr>
          <w:lang w:val="es-ES_tradnl"/>
        </w:rPr>
        <w:t>1 300 MHz y 1 559</w:t>
      </w:r>
      <w:r w:rsidRPr="0029661B">
        <w:rPr>
          <w:lang w:val="es-ES_tradnl"/>
        </w:rPr>
        <w:noBreakHyphen/>
        <w:t>1 610 MHz causada por emisiones de fuentes distintas del SRNS, se utilicen las características del receptor y los criterios de protección del SRNS que figuran en los Anexos</w:t>
      </w:r>
      <w:r>
        <w:rPr>
          <w:lang w:val="es-ES_tradnl"/>
        </w:rPr>
        <w:t> </w:t>
      </w:r>
      <w:r w:rsidRPr="0029661B">
        <w:rPr>
          <w:lang w:val="es-ES_tradnl"/>
        </w:rPr>
        <w:t>1, 2 y 3;</w:t>
      </w:r>
    </w:p>
    <w:p w:rsidR="000A3349" w:rsidRPr="0029661B" w:rsidRDefault="000A3349" w:rsidP="000A3349">
      <w:pPr>
        <w:rPr>
          <w:lang w:val="es-ES_tradnl"/>
        </w:rPr>
      </w:pPr>
      <w:r w:rsidRPr="0029661B">
        <w:rPr>
          <w:b/>
          <w:bCs/>
          <w:lang w:val="es-ES_tradnl"/>
        </w:rPr>
        <w:t>2</w:t>
      </w:r>
      <w:r w:rsidRPr="0029661B">
        <w:rPr>
          <w:b/>
          <w:bCs/>
          <w:lang w:val="es-ES_tradnl"/>
        </w:rPr>
        <w:tab/>
      </w:r>
      <w:r w:rsidRPr="0029661B">
        <w:rPr>
          <w:lang w:val="es-ES_tradnl"/>
        </w:rPr>
        <w:t>que en los cálculos de interferencia para los receptores de radionavegación a bordo de satélites se utilicen los umbrales de potencia de interferencia combinada que aparecen en los Anexos;</w:t>
      </w:r>
    </w:p>
    <w:p w:rsidR="000A3349" w:rsidRPr="0029661B" w:rsidRDefault="000A3349" w:rsidP="009D2E83">
      <w:pPr>
        <w:rPr>
          <w:lang w:val="es-ES_tradnl"/>
        </w:rPr>
      </w:pPr>
      <w:r w:rsidRPr="0029661B">
        <w:rPr>
          <w:b/>
          <w:bCs/>
          <w:lang w:val="es-ES_tradnl"/>
        </w:rPr>
        <w:t>3</w:t>
      </w:r>
      <w:r w:rsidRPr="0029661B">
        <w:rPr>
          <w:lang w:val="es-ES_tradnl"/>
        </w:rPr>
        <w:tab/>
        <w:t>que en los cálculos de interferencia en los receptores del SRNS a bordo de vehículos espaciales a las mayores altitudes se utilicen los requisitos señalados en los Anexos</w:t>
      </w:r>
      <w:r>
        <w:rPr>
          <w:lang w:val="es-ES_tradnl"/>
        </w:rPr>
        <w:t> </w:t>
      </w:r>
      <w:r w:rsidRPr="0029661B">
        <w:rPr>
          <w:lang w:val="es-ES_tradnl"/>
        </w:rPr>
        <w:t>1, 2 y 3 junto con otras características de los sistemas del SRNS;</w:t>
      </w:r>
    </w:p>
    <w:p w:rsidR="000A3349" w:rsidRPr="0029661B" w:rsidRDefault="000A3349" w:rsidP="000A3349">
      <w:pPr>
        <w:rPr>
          <w:lang w:val="es-ES_tradnl"/>
        </w:rPr>
      </w:pPr>
      <w:r w:rsidRPr="0029661B">
        <w:rPr>
          <w:b/>
          <w:bCs/>
          <w:lang w:val="es-ES_tradnl"/>
        </w:rPr>
        <w:t>4</w:t>
      </w:r>
      <w:r w:rsidRPr="0029661B">
        <w:rPr>
          <w:lang w:val="es-ES_tradnl"/>
        </w:rPr>
        <w:tab/>
        <w:t>que en los casos en que se rebasen los umbrales de potencia de interferencia combinada que figuran en los Anexos, para los cálculos de interferencia en los receptores del SRNS a bordo de vehículos espaciales se utilicen los requisitos indicados en los Anexos</w:t>
      </w:r>
      <w:r>
        <w:rPr>
          <w:lang w:val="es-ES_tradnl"/>
        </w:rPr>
        <w:t> </w:t>
      </w:r>
      <w:r w:rsidRPr="0029661B">
        <w:rPr>
          <w:lang w:val="es-ES_tradnl"/>
        </w:rPr>
        <w:t>1, 2 y 3 junto con otras características de los sistemas del SRNS;</w:t>
      </w:r>
    </w:p>
    <w:p w:rsidR="000A3349" w:rsidRPr="0029661B" w:rsidRDefault="000A3349" w:rsidP="000A3349">
      <w:pPr>
        <w:rPr>
          <w:lang w:val="es-ES_tradnl"/>
        </w:rPr>
      </w:pPr>
      <w:r w:rsidRPr="0029661B">
        <w:rPr>
          <w:b/>
          <w:bCs/>
          <w:lang w:val="es-ES_tradnl"/>
        </w:rPr>
        <w:t>5</w:t>
      </w:r>
      <w:r w:rsidRPr="0029661B">
        <w:rPr>
          <w:lang w:val="es-ES_tradnl"/>
        </w:rPr>
        <w:tab/>
        <w:t>que la siguiente Nota se considere parte integrante de la presente Recomendación.</w:t>
      </w:r>
    </w:p>
    <w:p w:rsidR="000A3349" w:rsidRPr="0029661B" w:rsidRDefault="000A3349" w:rsidP="00FE7659">
      <w:pPr>
        <w:rPr>
          <w:lang w:val="es-ES_tradnl"/>
        </w:rPr>
      </w:pPr>
      <w:r w:rsidRPr="0029661B">
        <w:rPr>
          <w:lang w:val="es-ES_tradnl"/>
        </w:rPr>
        <w:t xml:space="preserve">NOTA – Esta Recomendación no está destinada a constituir la base de futuras modificaciones en los máximos niveles de emisiones no deseadas en la banda </w:t>
      </w:r>
      <w:r w:rsidRPr="0029661B">
        <w:rPr>
          <w:szCs w:val="24"/>
          <w:lang w:val="es-ES_tradnl"/>
        </w:rPr>
        <w:t>1 559</w:t>
      </w:r>
      <w:r>
        <w:rPr>
          <w:szCs w:val="24"/>
          <w:lang w:val="es-ES_tradnl"/>
        </w:rPr>
        <w:noBreakHyphen/>
      </w:r>
      <w:r w:rsidRPr="0029661B">
        <w:rPr>
          <w:szCs w:val="24"/>
          <w:lang w:val="es-ES_tradnl"/>
        </w:rPr>
        <w:t>1 610 MHz</w:t>
      </w:r>
      <w:r w:rsidRPr="0029661B">
        <w:rPr>
          <w:lang w:val="es-ES_tradnl"/>
        </w:rPr>
        <w:t xml:space="preserve"> indicados en los Anexos a las Recomendaciones</w:t>
      </w:r>
      <w:r w:rsidR="00FE7659">
        <w:rPr>
          <w:lang w:val="es-ES_tradnl"/>
        </w:rPr>
        <w:t xml:space="preserve"> </w:t>
      </w:r>
      <w:r w:rsidRPr="0029661B">
        <w:rPr>
          <w:lang w:val="es-ES_tradnl"/>
        </w:rPr>
        <w:t>UIT</w:t>
      </w:r>
      <w:r>
        <w:rPr>
          <w:lang w:val="es-ES_tradnl"/>
        </w:rPr>
        <w:noBreakHyphen/>
      </w:r>
      <w:r w:rsidRPr="0029661B">
        <w:rPr>
          <w:lang w:val="es-ES_tradnl"/>
        </w:rPr>
        <w:t>R</w:t>
      </w:r>
      <w:r>
        <w:rPr>
          <w:lang w:val="es-ES_tradnl"/>
        </w:rPr>
        <w:t> </w:t>
      </w:r>
      <w:r w:rsidRPr="0029661B">
        <w:rPr>
          <w:lang w:val="es-ES_tradnl"/>
        </w:rPr>
        <w:t>M.1343</w:t>
      </w:r>
      <w:r>
        <w:rPr>
          <w:lang w:val="es-ES_tradnl"/>
        </w:rPr>
        <w:noBreakHyphen/>
      </w:r>
      <w:r w:rsidRPr="0029661B">
        <w:rPr>
          <w:lang w:val="es-ES_tradnl"/>
        </w:rPr>
        <w:t xml:space="preserve">1 y M.1480 para las ETM del SMS. Estos máximos niveles de emisiones no deseadas para la citada banda </w:t>
      </w:r>
      <w:r w:rsidRPr="0029661B">
        <w:rPr>
          <w:szCs w:val="24"/>
          <w:lang w:val="es-ES_tradnl"/>
        </w:rPr>
        <w:t>1 559-1 610 MHz</w:t>
      </w:r>
      <w:r w:rsidRPr="0029661B">
        <w:rPr>
          <w:lang w:val="es-ES_tradnl"/>
        </w:rPr>
        <w:t xml:space="preserve"> indicados en las Recomendaciones</w:t>
      </w:r>
      <w:r>
        <w:rPr>
          <w:lang w:val="es-ES_tradnl"/>
        </w:rPr>
        <w:t> </w:t>
      </w:r>
      <w:r w:rsidRPr="0029661B">
        <w:rPr>
          <w:lang w:val="es-ES_tradnl"/>
        </w:rPr>
        <w:t>UIT</w:t>
      </w:r>
      <w:r>
        <w:rPr>
          <w:lang w:val="es-ES_tradnl"/>
        </w:rPr>
        <w:noBreakHyphen/>
      </w:r>
      <w:r w:rsidRPr="0029661B">
        <w:rPr>
          <w:lang w:val="es-ES_tradnl"/>
        </w:rPr>
        <w:t>R</w:t>
      </w:r>
      <w:r>
        <w:rPr>
          <w:lang w:val="es-ES_tradnl"/>
        </w:rPr>
        <w:t> </w:t>
      </w:r>
      <w:r w:rsidRPr="0029661B">
        <w:rPr>
          <w:lang w:val="es-ES_tradnl"/>
        </w:rPr>
        <w:t>M.1343</w:t>
      </w:r>
      <w:r>
        <w:rPr>
          <w:lang w:val="es-ES_tradnl"/>
        </w:rPr>
        <w:noBreakHyphen/>
      </w:r>
      <w:r w:rsidRPr="0029661B">
        <w:rPr>
          <w:lang w:val="es-ES_tradnl"/>
        </w:rPr>
        <w:t xml:space="preserve">1 y </w:t>
      </w:r>
      <w:r>
        <w:rPr>
          <w:lang w:val="es-ES_tradnl"/>
        </w:rPr>
        <w:t>M.</w:t>
      </w:r>
      <w:r w:rsidRPr="0029661B">
        <w:rPr>
          <w:lang w:val="es-ES_tradnl"/>
        </w:rPr>
        <w:t>1480 se han determinado con arreglo a una hipótesis de interferencia específica y no están destinados a ser aplicados a ningún servicio diferente de las ETM del SMS que funcionan en la gama 1-3 GHz, a menos que se realicen nuevos estudios.</w:t>
      </w:r>
    </w:p>
    <w:p w:rsidR="000A3349" w:rsidRDefault="000A3349" w:rsidP="000A3349">
      <w:pPr>
        <w:rPr>
          <w:lang w:val="es-ES_tradnl"/>
        </w:rPr>
      </w:pPr>
    </w:p>
    <w:p w:rsidR="0036454F" w:rsidRDefault="0036454F" w:rsidP="000A3349">
      <w:pPr>
        <w:rPr>
          <w:lang w:val="es-ES_tradnl"/>
        </w:rPr>
      </w:pPr>
    </w:p>
    <w:p w:rsidR="0036454F" w:rsidRDefault="0036454F" w:rsidP="000A3349">
      <w:pPr>
        <w:rPr>
          <w:lang w:val="es-ES_tradnl"/>
        </w:rPr>
      </w:pPr>
    </w:p>
    <w:p w:rsidR="009D2E83" w:rsidRDefault="009D2E83" w:rsidP="000A3349">
      <w:pPr>
        <w:rPr>
          <w:lang w:val="es-ES_tradnl"/>
        </w:rPr>
      </w:pPr>
    </w:p>
    <w:p w:rsidR="009D2E83" w:rsidRPr="0029661B" w:rsidRDefault="009D2E83" w:rsidP="000A3349">
      <w:pPr>
        <w:rPr>
          <w:lang w:val="es-ES_tradnl"/>
        </w:rPr>
      </w:pPr>
    </w:p>
    <w:p w:rsidR="000A3349" w:rsidRPr="0029661B" w:rsidRDefault="000A3349" w:rsidP="009D2E83">
      <w:pPr>
        <w:pStyle w:val="AnnexNoTitle"/>
        <w:rPr>
          <w:lang w:val="es-ES_tradnl"/>
        </w:rPr>
      </w:pPr>
      <w:r w:rsidRPr="0029661B">
        <w:rPr>
          <w:lang w:val="es-ES_tradnl"/>
        </w:rPr>
        <w:t>Anexo 1</w:t>
      </w:r>
      <w:r w:rsidRPr="0029661B">
        <w:rPr>
          <w:lang w:val="es-ES_tradnl"/>
        </w:rPr>
        <w:br/>
      </w:r>
      <w:r w:rsidRPr="0029661B">
        <w:rPr>
          <w:lang w:val="es-ES_tradnl"/>
        </w:rPr>
        <w:br/>
        <w:t>Características de los receptores GLONASS</w:t>
      </w:r>
      <w:r w:rsidR="009D2E83">
        <w:rPr>
          <w:lang w:val="es-ES_tradnl"/>
        </w:rPr>
        <w:br/>
      </w:r>
      <w:r w:rsidRPr="0029661B">
        <w:rPr>
          <w:lang w:val="es-ES_tradnl"/>
        </w:rPr>
        <w:t>a bordo de vehículos espaciales</w:t>
      </w:r>
    </w:p>
    <w:p w:rsidR="000A3349" w:rsidRPr="0029661B" w:rsidRDefault="000A3349" w:rsidP="000A3349">
      <w:pPr>
        <w:pStyle w:val="Normalaftertitle"/>
        <w:rPr>
          <w:lang w:val="es-ES_tradnl"/>
        </w:rPr>
      </w:pPr>
      <w:r w:rsidRPr="0029661B">
        <w:rPr>
          <w:lang w:val="es-ES_tradnl"/>
        </w:rPr>
        <w:t>El Cuadro 1-1 proporciona las características de los receptores del SRNS a bordo de vehículos espaciales utilizados en el Sistema Mundial de Navegación por Satélite (GLONASS).</w:t>
      </w:r>
    </w:p>
    <w:p w:rsidR="000A3349" w:rsidRPr="0029661B" w:rsidRDefault="000A3349" w:rsidP="009D2E83">
      <w:pPr>
        <w:pStyle w:val="TableNo"/>
        <w:rPr>
          <w:lang w:val="es-ES_tradnl"/>
        </w:rPr>
      </w:pPr>
      <w:r w:rsidRPr="0029661B">
        <w:rPr>
          <w:lang w:val="es-ES_tradnl"/>
        </w:rPr>
        <w:lastRenderedPageBreak/>
        <w:t>CUADRO 1</w:t>
      </w:r>
      <w:r>
        <w:rPr>
          <w:lang w:val="es-ES_tradnl"/>
        </w:rPr>
        <w:t>-1</w:t>
      </w:r>
    </w:p>
    <w:p w:rsidR="000A3349" w:rsidRPr="0029661B" w:rsidRDefault="000A3349" w:rsidP="009D2E83">
      <w:pPr>
        <w:pStyle w:val="Tabletitle"/>
        <w:rPr>
          <w:lang w:val="es-ES_tradnl"/>
        </w:rPr>
      </w:pPr>
      <w:r w:rsidRPr="0029661B">
        <w:rPr>
          <w:lang w:val="es-ES_tradnl"/>
        </w:rPr>
        <w:t>Características de los receptores GLONASS</w:t>
      </w:r>
      <w:r w:rsidR="009D2E83">
        <w:rPr>
          <w:lang w:val="es-ES_tradnl"/>
        </w:rPr>
        <w:br/>
      </w:r>
      <w:r w:rsidRPr="0029661B">
        <w:rPr>
          <w:lang w:val="es-ES_tradnl"/>
        </w:rPr>
        <w:t xml:space="preserve">a bordo de vehículos espaciales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6"/>
        <w:gridCol w:w="3572"/>
      </w:tblGrid>
      <w:tr w:rsidR="009D2E83" w:rsidRPr="0029661B"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head"/>
              <w:rPr>
                <w:lang w:val="es-ES_tradnl"/>
              </w:rPr>
            </w:pPr>
            <w:r w:rsidRPr="0029661B">
              <w:rPr>
                <w:lang w:val="es-ES_tradnl"/>
              </w:rPr>
              <w:t>Parámetro</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head"/>
              <w:rPr>
                <w:lang w:val="es-ES_tradnl"/>
              </w:rPr>
            </w:pPr>
            <w:r w:rsidRPr="0029661B">
              <w:rPr>
                <w:lang w:val="es-ES_tradnl"/>
              </w:rPr>
              <w:t>Valor</w:t>
            </w:r>
          </w:p>
        </w:tc>
      </w:tr>
      <w:tr w:rsidR="009D2E83" w:rsidRPr="007034B2"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Frecuencias portadoras (MHz)</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u w:val="single"/>
                <w:lang w:val="es-ES_tradnl"/>
              </w:rPr>
            </w:pPr>
            <w:r w:rsidRPr="0029661B">
              <w:rPr>
                <w:lang w:val="es-ES_tradnl"/>
              </w:rPr>
              <w:t>(1998-2005)</w:t>
            </w:r>
            <w:r w:rsidRPr="0029661B">
              <w:rPr>
                <w:vertAlign w:val="superscript"/>
                <w:lang w:val="es-ES_tradnl"/>
              </w:rPr>
              <w:t>(1)</w:t>
            </w:r>
          </w:p>
          <w:p w:rsidR="000A3349" w:rsidRPr="0029661B" w:rsidRDefault="000A3349" w:rsidP="009D2E83">
            <w:pPr>
              <w:pStyle w:val="Tabletext"/>
              <w:jc w:val="left"/>
              <w:rPr>
                <w:lang w:val="es-ES_tradnl"/>
              </w:rPr>
            </w:pPr>
            <w:r w:rsidRPr="0029661B">
              <w:rPr>
                <w:i/>
                <w:iCs/>
                <w:lang w:val="es-ES_tradnl"/>
              </w:rPr>
              <w:t>F</w:t>
            </w:r>
            <w:r w:rsidRPr="0029661B">
              <w:rPr>
                <w:lang w:val="es-ES_tradnl"/>
              </w:rPr>
              <w:t xml:space="preserve"> = 1 602 + 0,5625 </w:t>
            </w:r>
            <w:r w:rsidRPr="0029661B">
              <w:rPr>
                <w:i/>
                <w:iCs/>
                <w:lang w:val="es-ES_tradnl"/>
              </w:rPr>
              <w:t>K</w:t>
            </w:r>
            <w:r w:rsidRPr="0029661B">
              <w:rPr>
                <w:lang w:val="es-ES_tradnl"/>
              </w:rPr>
              <w:br/>
              <w:t>donde</w:t>
            </w:r>
            <w:r w:rsidRPr="0029661B">
              <w:rPr>
                <w:lang w:val="es-ES_tradnl"/>
              </w:rPr>
              <w:br/>
            </w:r>
            <w:r w:rsidRPr="0029661B">
              <w:rPr>
                <w:i/>
                <w:iCs/>
                <w:lang w:val="es-ES_tradnl"/>
              </w:rPr>
              <w:t>K</w:t>
            </w:r>
            <w:r w:rsidRPr="0029661B">
              <w:rPr>
                <w:lang w:val="es-ES_tradnl"/>
              </w:rPr>
              <w:t> = −7, …, 13</w:t>
            </w:r>
            <w:r w:rsidRPr="0029661B">
              <w:rPr>
                <w:lang w:val="es-ES_tradnl"/>
              </w:rPr>
              <w:br/>
            </w:r>
            <w:r w:rsidRPr="0029661B">
              <w:rPr>
                <w:i/>
                <w:iCs/>
                <w:lang w:val="es-ES_tradnl"/>
              </w:rPr>
              <w:t>F</w:t>
            </w:r>
            <w:r w:rsidRPr="0029661B">
              <w:rPr>
                <w:lang w:val="es-ES_tradnl"/>
              </w:rPr>
              <w:t xml:space="preserve"> = 1 246 + 0,4375 </w:t>
            </w:r>
            <w:r w:rsidRPr="0029661B">
              <w:rPr>
                <w:i/>
                <w:iCs/>
                <w:lang w:val="es-ES_tradnl"/>
              </w:rPr>
              <w:t>K</w:t>
            </w:r>
            <w:r w:rsidRPr="0029661B">
              <w:rPr>
                <w:lang w:val="es-ES_tradnl"/>
              </w:rPr>
              <w:br/>
              <w:t>donde</w:t>
            </w:r>
            <w:r w:rsidRPr="0029661B">
              <w:rPr>
                <w:lang w:val="es-ES_tradnl"/>
              </w:rPr>
              <w:br/>
            </w:r>
            <w:r w:rsidRPr="0029661B">
              <w:rPr>
                <w:i/>
                <w:iCs/>
                <w:lang w:val="es-ES_tradnl"/>
              </w:rPr>
              <w:t>K</w:t>
            </w:r>
            <w:r w:rsidRPr="0029661B">
              <w:rPr>
                <w:lang w:val="es-ES_tradnl"/>
              </w:rPr>
              <w:t> = −7, …, 13</w:t>
            </w:r>
          </w:p>
          <w:p w:rsidR="000A3349" w:rsidRPr="0029661B" w:rsidRDefault="000A3349" w:rsidP="009D2E83">
            <w:pPr>
              <w:pStyle w:val="Tabletext"/>
              <w:jc w:val="left"/>
              <w:rPr>
                <w:lang w:val="es-ES_tradnl"/>
              </w:rPr>
            </w:pPr>
            <w:r w:rsidRPr="0029661B">
              <w:rPr>
                <w:lang w:val="es-ES_tradnl"/>
              </w:rPr>
              <w:t>(después de 2005)</w:t>
            </w:r>
          </w:p>
          <w:p w:rsidR="000A3349" w:rsidRPr="0029661B" w:rsidRDefault="000A3349" w:rsidP="009D2E83">
            <w:pPr>
              <w:pStyle w:val="Tabletext"/>
              <w:jc w:val="left"/>
              <w:rPr>
                <w:lang w:val="es-ES_tradnl"/>
              </w:rPr>
            </w:pPr>
            <w:r w:rsidRPr="0029661B">
              <w:rPr>
                <w:i/>
                <w:iCs/>
                <w:lang w:val="es-ES_tradnl"/>
              </w:rPr>
              <w:t>F</w:t>
            </w:r>
            <w:r w:rsidRPr="0029661B">
              <w:rPr>
                <w:lang w:val="es-ES_tradnl"/>
              </w:rPr>
              <w:t xml:space="preserve"> = 1 602 + 0,5625 </w:t>
            </w:r>
            <w:r w:rsidRPr="0029661B">
              <w:rPr>
                <w:i/>
                <w:iCs/>
                <w:lang w:val="es-ES_tradnl"/>
              </w:rPr>
              <w:t>K</w:t>
            </w:r>
            <w:r w:rsidRPr="0029661B">
              <w:rPr>
                <w:lang w:val="es-ES_tradnl"/>
              </w:rPr>
              <w:br/>
              <w:t>donde</w:t>
            </w:r>
            <w:r w:rsidRPr="0029661B">
              <w:rPr>
                <w:lang w:val="es-ES_tradnl"/>
              </w:rPr>
              <w:br/>
            </w:r>
            <w:r w:rsidRPr="0029661B">
              <w:rPr>
                <w:i/>
                <w:iCs/>
                <w:lang w:val="es-ES_tradnl"/>
              </w:rPr>
              <w:t>K</w:t>
            </w:r>
            <w:r w:rsidRPr="0029661B">
              <w:rPr>
                <w:lang w:val="es-ES_tradnl"/>
              </w:rPr>
              <w:t> = −7, …, 6</w:t>
            </w:r>
            <w:r w:rsidRPr="0029661B">
              <w:rPr>
                <w:lang w:val="es-ES_tradnl"/>
              </w:rPr>
              <w:br/>
            </w:r>
            <w:r w:rsidRPr="0029661B">
              <w:rPr>
                <w:i/>
                <w:iCs/>
                <w:lang w:val="es-ES_tradnl"/>
              </w:rPr>
              <w:t>F</w:t>
            </w:r>
            <w:r w:rsidRPr="0029661B">
              <w:rPr>
                <w:lang w:val="es-ES_tradnl"/>
              </w:rPr>
              <w:t xml:space="preserve"> = 1 246 + 0,4375 </w:t>
            </w:r>
            <w:r w:rsidRPr="0029661B">
              <w:rPr>
                <w:i/>
                <w:iCs/>
                <w:lang w:val="es-ES_tradnl"/>
              </w:rPr>
              <w:t>K</w:t>
            </w:r>
            <w:r w:rsidRPr="0029661B">
              <w:rPr>
                <w:lang w:val="es-ES_tradnl"/>
              </w:rPr>
              <w:br/>
              <w:t>donde</w:t>
            </w:r>
            <w:r w:rsidRPr="0029661B">
              <w:rPr>
                <w:lang w:val="es-ES_tradnl"/>
              </w:rPr>
              <w:br/>
            </w:r>
            <w:r w:rsidRPr="0029661B">
              <w:rPr>
                <w:i/>
                <w:iCs/>
                <w:lang w:val="es-ES_tradnl"/>
              </w:rPr>
              <w:t>K</w:t>
            </w:r>
            <w:r w:rsidRPr="0029661B">
              <w:rPr>
                <w:lang w:val="es-ES_tradnl"/>
              </w:rPr>
              <w:t> = −7, …, 6</w:t>
            </w:r>
            <w:r w:rsidRPr="0029661B">
              <w:rPr>
                <w:lang w:val="es-ES_tradnl"/>
              </w:rPr>
              <w:br/>
            </w:r>
            <w:r w:rsidRPr="0029661B">
              <w:rPr>
                <w:i/>
                <w:iCs/>
                <w:lang w:val="es-ES_tradnl"/>
              </w:rPr>
              <w:t>F</w:t>
            </w:r>
            <w:r w:rsidRPr="0029661B">
              <w:rPr>
                <w:lang w:val="es-ES_tradnl"/>
              </w:rPr>
              <w:t xml:space="preserve"> = 1 204,704 + 0,423 </w:t>
            </w:r>
            <w:r w:rsidRPr="0029661B">
              <w:rPr>
                <w:i/>
                <w:iCs/>
                <w:lang w:val="es-ES_tradnl"/>
              </w:rPr>
              <w:t>K</w:t>
            </w:r>
            <w:r w:rsidRPr="0029661B">
              <w:rPr>
                <w:lang w:val="es-ES_tradnl"/>
              </w:rPr>
              <w:br/>
              <w:t>donde</w:t>
            </w:r>
            <w:r w:rsidRPr="0029661B">
              <w:rPr>
                <w:lang w:val="es-ES_tradnl"/>
              </w:rPr>
              <w:br/>
            </w:r>
            <w:r w:rsidRPr="0029661B">
              <w:rPr>
                <w:i/>
                <w:iCs/>
                <w:lang w:val="es-ES_tradnl"/>
              </w:rPr>
              <w:t>K</w:t>
            </w:r>
            <w:r w:rsidRPr="0029661B">
              <w:rPr>
                <w:lang w:val="es-ES_tradnl"/>
              </w:rPr>
              <w:t> = −7, …, 12</w:t>
            </w:r>
          </w:p>
        </w:tc>
      </w:tr>
      <w:tr w:rsidR="009D2E83" w:rsidRPr="007034B2"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Velocidad de segm</w:t>
            </w:r>
            <w:r>
              <w:rPr>
                <w:lang w:val="es-ES_tradnl"/>
              </w:rPr>
              <w:t>ento de código con ruido pseudo</w:t>
            </w:r>
            <w:r w:rsidRPr="0029661B">
              <w:rPr>
                <w:lang w:val="es-ES_tradnl"/>
              </w:rPr>
              <w:t>aleatorio (Mcps)</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5,11 (señales HA L1 y HA L2)</w:t>
            </w:r>
            <w:r w:rsidRPr="0029661B">
              <w:rPr>
                <w:lang w:val="es-ES_tradnl"/>
              </w:rPr>
              <w:br/>
              <w:t>0,511 (señales SA L1 y SA L2)</w:t>
            </w:r>
            <w:r w:rsidRPr="0029661B">
              <w:rPr>
                <w:lang w:val="es-ES_tradnl"/>
              </w:rPr>
              <w:br/>
              <w:t>4,095</w:t>
            </w:r>
            <w:r w:rsidRPr="0029661B">
              <w:rPr>
                <w:rFonts w:eastAsia="MS PGothic"/>
                <w:lang w:val="es-ES_tradnl"/>
              </w:rPr>
              <w:t xml:space="preserve"> </w:t>
            </w:r>
            <w:r w:rsidRPr="0029661B">
              <w:rPr>
                <w:lang w:val="es-ES_tradnl"/>
              </w:rPr>
              <w:t>(señales HA L3 y SA L3)</w:t>
            </w:r>
          </w:p>
        </w:tc>
      </w:tr>
      <w:tr w:rsidR="009D2E83" w:rsidRPr="007034B2"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Velocidad binaria de los datos de navegación (bps)</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50 (señales L1 y L2)</w:t>
            </w:r>
            <w:r w:rsidRPr="0029661B">
              <w:rPr>
                <w:lang w:val="es-ES_tradnl"/>
              </w:rPr>
              <w:br/>
              <w:t>125 (señales L3)</w:t>
            </w:r>
          </w:p>
        </w:tc>
      </w:tr>
      <w:tr w:rsidR="009D2E83" w:rsidRPr="0029661B"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Máxima proporción de bits erróneos admisible</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 xml:space="preserve">1 </w:t>
            </w:r>
            <w:r w:rsidRPr="0029661B">
              <w:rPr>
                <w:rFonts w:ascii="Symbol" w:hAnsi="Symbol" w:cs="Symbol"/>
                <w:lang w:val="es-ES_tradnl"/>
              </w:rPr>
              <w:t></w:t>
            </w:r>
            <w:r w:rsidRPr="0029661B">
              <w:rPr>
                <w:lang w:val="es-ES_tradnl"/>
              </w:rPr>
              <w:t xml:space="preserve"> 10</w:t>
            </w:r>
            <w:r w:rsidRPr="0029661B">
              <w:rPr>
                <w:vertAlign w:val="superscript"/>
                <w:lang w:val="es-ES_tradnl"/>
              </w:rPr>
              <w:t>−5</w:t>
            </w:r>
          </w:p>
        </w:tc>
      </w:tr>
      <w:tr w:rsidR="009D2E83" w:rsidRPr="0029661B"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Método de modulación de la señal</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snapToGrid w:val="0"/>
                <w:lang w:val="es-ES_tradnl"/>
              </w:rPr>
              <w:t>MDPB</w:t>
            </w:r>
          </w:p>
        </w:tc>
      </w:tr>
      <w:tr w:rsidR="009D2E83" w:rsidRPr="0029661B"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Polarización</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snapToGrid w:val="0"/>
                <w:lang w:val="es-ES_tradnl"/>
              </w:rPr>
              <w:t>Polarización circular dextrógira</w:t>
            </w:r>
          </w:p>
        </w:tc>
      </w:tr>
      <w:tr w:rsidR="009D2E83" w:rsidRPr="0029661B"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Elipticidad (dB)</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snapToGrid w:val="0"/>
                <w:lang w:val="es-ES_tradnl"/>
              </w:rPr>
            </w:pPr>
            <w:r w:rsidRPr="0029661B">
              <w:rPr>
                <w:snapToGrid w:val="0"/>
                <w:lang w:val="es-ES_tradnl"/>
              </w:rPr>
              <w:t>−1,55</w:t>
            </w:r>
          </w:p>
        </w:tc>
      </w:tr>
      <w:tr w:rsidR="009D2E83" w:rsidRPr="0029661B"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Mínimo nivel de potencia recibida (dBW)</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snapToGrid w:val="0"/>
                <w:lang w:val="es-ES_tradnl"/>
              </w:rPr>
              <w:t>−170</w:t>
            </w:r>
          </w:p>
        </w:tc>
      </w:tr>
      <w:tr w:rsidR="009D2E83" w:rsidRPr="007034B2"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Mínima ganancia de antena del receptor</w:t>
            </w:r>
            <w:r w:rsidRPr="0029661B">
              <w:rPr>
                <w:vertAlign w:val="superscript"/>
                <w:lang w:val="es-ES_tradnl"/>
              </w:rPr>
              <w:t xml:space="preserve"> (2)</w:t>
            </w:r>
            <w:r w:rsidRPr="0029661B">
              <w:rPr>
                <w:lang w:val="es-ES_tradnl"/>
              </w:rPr>
              <w:t xml:space="preserve"> (dBi) para el ángulo de elevación correspondiente (grados)</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−6 (señales L1, L2, L3) a 5 grados</w:t>
            </w:r>
          </w:p>
        </w:tc>
      </w:tr>
      <w:tr w:rsidR="009D2E83" w:rsidRPr="0029661B"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Máxima ganancia de antena del receptor en el hemisferio superior (dBi)</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3</w:t>
            </w:r>
          </w:p>
        </w:tc>
      </w:tr>
      <w:tr w:rsidR="009D2E83" w:rsidRPr="0029661B"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36454F">
            <w:pPr>
              <w:pStyle w:val="Tabletext"/>
              <w:jc w:val="left"/>
              <w:rPr>
                <w:lang w:val="es-ES_tradnl"/>
              </w:rPr>
            </w:pPr>
            <w:r w:rsidRPr="0029661B">
              <w:rPr>
                <w:lang w:val="es-ES_tradnl"/>
              </w:rPr>
              <w:t>Máxima ganancia de antena del receptor en el hemisferio inferior</w:t>
            </w:r>
            <w:r>
              <w:rPr>
                <w:lang w:val="es-ES_tradnl"/>
              </w:rPr>
              <w:t xml:space="preserve"> </w:t>
            </w:r>
            <w:r w:rsidRPr="0029661B">
              <w:rPr>
                <w:lang w:val="es-ES_tradnl"/>
              </w:rPr>
              <w:t>(dBi)</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0</w:t>
            </w:r>
          </w:p>
        </w:tc>
      </w:tr>
      <w:tr w:rsidR="009D2E83" w:rsidRPr="007034B2"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Anchura de banda a 3 dB del filtro de RF (MHz)</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60</w:t>
            </w:r>
            <w:r w:rsidRPr="0029661B">
              <w:rPr>
                <w:rFonts w:eastAsia="MS PGothic"/>
                <w:lang w:val="es-ES_tradnl"/>
              </w:rPr>
              <w:t xml:space="preserve"> </w:t>
            </w:r>
            <w:r w:rsidRPr="0029661B">
              <w:rPr>
                <w:lang w:val="es-ES_tradnl"/>
              </w:rPr>
              <w:t>(señales L1)</w:t>
            </w:r>
            <w:r w:rsidRPr="0029661B">
              <w:rPr>
                <w:lang w:val="es-ES_tradnl"/>
              </w:rPr>
              <w:br/>
              <w:t>30</w:t>
            </w:r>
            <w:r w:rsidRPr="0029661B">
              <w:rPr>
                <w:rFonts w:eastAsia="MS PGothic"/>
                <w:lang w:val="es-ES_tradnl"/>
              </w:rPr>
              <w:t xml:space="preserve"> </w:t>
            </w:r>
            <w:r w:rsidRPr="0029661B">
              <w:rPr>
                <w:lang w:val="es-ES_tradnl"/>
              </w:rPr>
              <w:t>(señales L2)</w:t>
            </w:r>
            <w:r w:rsidRPr="0029661B">
              <w:rPr>
                <w:lang w:val="es-ES_tradnl"/>
              </w:rPr>
              <w:br/>
              <w:t>17</w:t>
            </w:r>
            <w:r w:rsidRPr="0029661B">
              <w:rPr>
                <w:rFonts w:eastAsia="MS PGothic"/>
                <w:lang w:val="es-ES_tradnl"/>
              </w:rPr>
              <w:t xml:space="preserve"> </w:t>
            </w:r>
            <w:r w:rsidRPr="0029661B">
              <w:rPr>
                <w:lang w:val="es-ES_tradnl"/>
              </w:rPr>
              <w:t>(señales L3)</w:t>
            </w:r>
          </w:p>
        </w:tc>
      </w:tr>
      <w:tr w:rsidR="009D2E83" w:rsidRPr="007034B2"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 xml:space="preserve">Anchura de banda </w:t>
            </w:r>
            <w:r>
              <w:rPr>
                <w:lang w:val="es-ES_tradnl"/>
              </w:rPr>
              <w:t xml:space="preserve">a </w:t>
            </w:r>
            <w:r w:rsidRPr="0029661B">
              <w:rPr>
                <w:lang w:val="es-ES_tradnl"/>
              </w:rPr>
              <w:t>3 dB del filtro de precorrelación (MHz)</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22</w:t>
            </w:r>
            <w:r w:rsidRPr="0029661B">
              <w:rPr>
                <w:rFonts w:eastAsia="MS PGothic"/>
                <w:lang w:val="es-ES_tradnl"/>
              </w:rPr>
              <w:t xml:space="preserve"> </w:t>
            </w:r>
            <w:r w:rsidRPr="0029661B">
              <w:rPr>
                <w:lang w:val="es-ES_tradnl"/>
              </w:rPr>
              <w:t>(señales L1)</w:t>
            </w:r>
            <w:r w:rsidRPr="0029661B">
              <w:rPr>
                <w:lang w:val="es-ES_tradnl"/>
              </w:rPr>
              <w:br/>
              <w:t>20</w:t>
            </w:r>
            <w:r w:rsidRPr="0029661B">
              <w:rPr>
                <w:rFonts w:eastAsia="MS PGothic"/>
                <w:lang w:val="es-ES_tradnl"/>
              </w:rPr>
              <w:t xml:space="preserve"> </w:t>
            </w:r>
            <w:r w:rsidRPr="0029661B">
              <w:rPr>
                <w:lang w:val="es-ES_tradnl"/>
              </w:rPr>
              <w:t>(señales L2)</w:t>
            </w:r>
            <w:r w:rsidRPr="0029661B">
              <w:rPr>
                <w:lang w:val="es-ES_tradnl"/>
              </w:rPr>
              <w:br/>
              <w:t>17</w:t>
            </w:r>
            <w:r w:rsidRPr="0029661B">
              <w:rPr>
                <w:rFonts w:eastAsia="MS PGothic"/>
                <w:lang w:val="es-ES_tradnl"/>
              </w:rPr>
              <w:t xml:space="preserve"> </w:t>
            </w:r>
            <w:r w:rsidRPr="0029661B">
              <w:rPr>
                <w:lang w:val="es-ES_tradnl"/>
              </w:rPr>
              <w:t>(señales L3)</w:t>
            </w:r>
          </w:p>
        </w:tc>
      </w:tr>
      <w:tr w:rsidR="009D2E83" w:rsidRPr="0029661B"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Temperatura de ruido del sistema receptor</w:t>
            </w:r>
            <w:r w:rsidRPr="0029661B">
              <w:rPr>
                <w:vertAlign w:val="superscript"/>
                <w:lang w:val="es-ES_tradnl"/>
              </w:rPr>
              <w:t>(2)</w:t>
            </w:r>
            <w:r w:rsidRPr="0029661B">
              <w:rPr>
                <w:lang w:val="es-ES_tradnl"/>
              </w:rPr>
              <w:t xml:space="preserve"> (K)</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100-670</w:t>
            </w:r>
          </w:p>
        </w:tc>
      </w:tr>
      <w:tr w:rsidR="009D2E83" w:rsidRPr="0029661B"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vertAlign w:val="superscript"/>
                <w:lang w:val="es-ES_tradnl"/>
              </w:rPr>
            </w:pPr>
            <w:r w:rsidRPr="0029661B">
              <w:rPr>
                <w:lang w:val="es-ES_tradnl"/>
              </w:rPr>
              <w:t>Nivel de potencia umbral de la interferencia de banda estrecha combinada a la salida de una antena pasiva en modo seguimiento (dBW)</w:t>
            </w:r>
            <w:r w:rsidRPr="0029661B">
              <w:rPr>
                <w:vertAlign w:val="superscript"/>
                <w:lang w:val="es-ES_tradnl"/>
              </w:rPr>
              <w:t>(3)</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snapToGrid w:val="0"/>
                <w:lang w:val="es-ES_tradnl"/>
              </w:rPr>
              <w:t>−149</w:t>
            </w:r>
          </w:p>
        </w:tc>
      </w:tr>
    </w:tbl>
    <w:p w:rsidR="0036454F" w:rsidRPr="0029661B" w:rsidRDefault="0036454F" w:rsidP="0036454F">
      <w:pPr>
        <w:pStyle w:val="Tablefin"/>
        <w:rPr>
          <w:lang w:val="es-ES_tradnl"/>
        </w:rPr>
      </w:pPr>
    </w:p>
    <w:p w:rsidR="0036454F" w:rsidRPr="0029661B" w:rsidRDefault="0036454F" w:rsidP="0036454F">
      <w:pPr>
        <w:pStyle w:val="TableNo"/>
        <w:rPr>
          <w:lang w:val="es-ES_tradnl"/>
        </w:rPr>
      </w:pPr>
      <w:r w:rsidRPr="0029661B">
        <w:rPr>
          <w:lang w:val="es-ES_tradnl"/>
        </w:rPr>
        <w:lastRenderedPageBreak/>
        <w:t>CUADRO 1</w:t>
      </w:r>
      <w:r>
        <w:rPr>
          <w:lang w:val="es-ES_tradnl"/>
        </w:rPr>
        <w:t xml:space="preserve">-1 </w:t>
      </w:r>
      <w:r w:rsidRPr="00FB75E8">
        <w:rPr>
          <w:i/>
          <w:iCs/>
          <w:lang w:val="es-ES_tradnl"/>
        </w:rPr>
        <w:t>(Fin)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6"/>
        <w:gridCol w:w="3573"/>
      </w:tblGrid>
      <w:tr w:rsidR="0036454F" w:rsidRPr="0029661B" w:rsidTr="00FB75E8">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36454F" w:rsidRPr="0029661B" w:rsidRDefault="0036454F" w:rsidP="00FB75E8">
            <w:pPr>
              <w:pStyle w:val="Tablehead"/>
              <w:rPr>
                <w:lang w:val="es-ES_tradnl"/>
              </w:rPr>
            </w:pPr>
            <w:r w:rsidRPr="0029661B">
              <w:rPr>
                <w:lang w:val="es-ES_tradnl"/>
              </w:rPr>
              <w:t>Parámetro</w:t>
            </w:r>
          </w:p>
        </w:tc>
        <w:tc>
          <w:tcPr>
            <w:tcW w:w="3572" w:type="dxa"/>
            <w:tcBorders>
              <w:top w:val="single" w:sz="4" w:space="0" w:color="auto"/>
              <w:left w:val="single" w:sz="4" w:space="0" w:color="auto"/>
              <w:bottom w:val="single" w:sz="4" w:space="0" w:color="auto"/>
              <w:right w:val="single" w:sz="4" w:space="0" w:color="auto"/>
            </w:tcBorders>
          </w:tcPr>
          <w:p w:rsidR="0036454F" w:rsidRPr="0029661B" w:rsidRDefault="0036454F" w:rsidP="00FB75E8">
            <w:pPr>
              <w:pStyle w:val="Tablehead"/>
              <w:rPr>
                <w:lang w:val="es-ES_tradnl"/>
              </w:rPr>
            </w:pPr>
            <w:r w:rsidRPr="0029661B">
              <w:rPr>
                <w:lang w:val="es-ES_tradnl"/>
              </w:rPr>
              <w:t>Valor</w:t>
            </w:r>
          </w:p>
        </w:tc>
      </w:tr>
      <w:tr w:rsidR="009D2E83" w:rsidRPr="0029661B"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vertAlign w:val="superscript"/>
                <w:lang w:val="es-ES_tradnl"/>
              </w:rPr>
            </w:pPr>
            <w:r w:rsidRPr="0029661B">
              <w:rPr>
                <w:lang w:val="es-ES_tradnl"/>
              </w:rPr>
              <w:t>Nivel de potencia umbral de la interferencia de banda estrecha combinada a la salida de una antena pasiva en modo adquisición (dBW)</w:t>
            </w:r>
            <w:r w:rsidRPr="0029661B">
              <w:rPr>
                <w:vertAlign w:val="superscript"/>
                <w:lang w:val="es-ES_tradnl"/>
              </w:rPr>
              <w:t>(3)</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snapToGrid w:val="0"/>
                <w:lang w:val="es-ES_tradnl"/>
              </w:rPr>
              <w:t>−155</w:t>
            </w:r>
          </w:p>
        </w:tc>
      </w:tr>
      <w:tr w:rsidR="009D2E83" w:rsidRPr="0029661B"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vertAlign w:val="superscript"/>
                <w:lang w:val="es-ES_tradnl"/>
              </w:rPr>
            </w:pPr>
            <w:r w:rsidRPr="0029661B">
              <w:rPr>
                <w:lang w:val="es-ES_tradnl"/>
              </w:rPr>
              <w:t>Nivel de densidad de potencia umbral de la interferencia de banda amplia combinada a la salida de una antena pasiva en modo seguimiento (dBW/MHz)</w:t>
            </w:r>
            <w:r w:rsidRPr="0029661B">
              <w:rPr>
                <w:vertAlign w:val="superscript"/>
                <w:lang w:val="es-ES_tradnl"/>
              </w:rPr>
              <w:t>(3)</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−140</w:t>
            </w:r>
          </w:p>
        </w:tc>
      </w:tr>
      <w:tr w:rsidR="009D2E83" w:rsidRPr="0029661B"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vertAlign w:val="superscript"/>
                <w:lang w:val="es-ES_tradnl"/>
              </w:rPr>
            </w:pPr>
            <w:r w:rsidRPr="0029661B">
              <w:rPr>
                <w:lang w:val="es-ES_tradnl"/>
              </w:rPr>
              <w:t>Nivel de densidad de potencia umbral de la interferencia de banda amplia combinada a la salida de una antena pasiva en modo adquisición (dBW/MHz)</w:t>
            </w:r>
            <w:r w:rsidRPr="0029661B">
              <w:rPr>
                <w:vertAlign w:val="superscript"/>
                <w:lang w:val="es-ES_tradnl"/>
              </w:rPr>
              <w:t>(3)</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snapToGrid w:val="0"/>
                <w:lang w:val="es-ES_tradnl"/>
              </w:rPr>
              <w:t>−146</w:t>
            </w:r>
          </w:p>
        </w:tc>
      </w:tr>
      <w:tr w:rsidR="009D2E83" w:rsidRPr="0029661B"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Nivel de compresión a la entrada del receptor (dBW)</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−80</w:t>
            </w:r>
          </w:p>
        </w:tc>
      </w:tr>
      <w:tr w:rsidR="009D2E83" w:rsidRPr="0029661B"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Nivel de supervivencia del receptor (dBW)</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−1</w:t>
            </w:r>
          </w:p>
        </w:tc>
      </w:tr>
      <w:tr w:rsidR="009D2E83" w:rsidRPr="0029661B" w:rsidTr="0036454F">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Tiempo de recuperación de sobrecarga (s)</w:t>
            </w:r>
          </w:p>
        </w:tc>
        <w:tc>
          <w:tcPr>
            <w:tcW w:w="357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1 × 10</w:t>
            </w:r>
            <w:r w:rsidRPr="0029661B">
              <w:rPr>
                <w:vertAlign w:val="superscript"/>
                <w:lang w:val="es-ES_tradnl"/>
              </w:rPr>
              <w:t>−3</w:t>
            </w:r>
          </w:p>
        </w:tc>
      </w:tr>
      <w:tr w:rsidR="000A3349" w:rsidRPr="007034B2" w:rsidTr="009D2E83">
        <w:trPr>
          <w:cantSplit/>
          <w:trHeight w:val="20"/>
          <w:jc w:val="center"/>
        </w:trPr>
        <w:tc>
          <w:tcPr>
            <w:tcW w:w="9639" w:type="dxa"/>
            <w:gridSpan w:val="2"/>
            <w:tcBorders>
              <w:top w:val="single" w:sz="4" w:space="0" w:color="auto"/>
              <w:left w:val="nil"/>
              <w:bottom w:val="nil"/>
              <w:right w:val="nil"/>
            </w:tcBorders>
          </w:tcPr>
          <w:p w:rsidR="000A3349" w:rsidRPr="0029661B" w:rsidRDefault="000A3349" w:rsidP="009D2E83">
            <w:pPr>
              <w:pStyle w:val="Tablelegend"/>
              <w:ind w:hanging="284"/>
              <w:jc w:val="left"/>
              <w:rPr>
                <w:vertAlign w:val="superscript"/>
                <w:lang w:val="es-ES_tradnl"/>
              </w:rPr>
            </w:pPr>
            <w:r w:rsidRPr="0029661B">
              <w:rPr>
                <w:lang w:val="es-ES_tradnl"/>
              </w:rPr>
              <w:t>HA = alta precisión.</w:t>
            </w:r>
          </w:p>
          <w:p w:rsidR="000A3349" w:rsidRPr="0029661B" w:rsidRDefault="000A3349" w:rsidP="009D2E83">
            <w:pPr>
              <w:pStyle w:val="Tablelegend"/>
              <w:ind w:hanging="284"/>
              <w:jc w:val="left"/>
              <w:rPr>
                <w:vertAlign w:val="superscript"/>
                <w:lang w:val="es-ES_tradnl"/>
              </w:rPr>
            </w:pPr>
            <w:r w:rsidRPr="0029661B">
              <w:rPr>
                <w:lang w:val="es-ES_tradnl"/>
              </w:rPr>
              <w:t>SA = precisión normalizada.</w:t>
            </w:r>
          </w:p>
          <w:p w:rsidR="000A3349" w:rsidRPr="0029661B" w:rsidRDefault="000A3349" w:rsidP="009D2E83">
            <w:pPr>
              <w:pStyle w:val="Tablelegend"/>
              <w:ind w:hanging="284"/>
              <w:jc w:val="left"/>
              <w:rPr>
                <w:lang w:val="es-ES_tradnl"/>
              </w:rPr>
            </w:pPr>
            <w:r w:rsidRPr="0029661B">
              <w:rPr>
                <w:vertAlign w:val="superscript"/>
                <w:lang w:val="es-ES_tradnl"/>
              </w:rPr>
              <w:t>(1)</w:t>
            </w:r>
            <w:r w:rsidRPr="0029661B">
              <w:rPr>
                <w:lang w:val="es-ES_tradnl"/>
              </w:rPr>
              <w:tab/>
              <w:t>Los receptores GLONASS fabricados antes de 2006 pueden funcionar con señales de navegación que tienen números de frecuencia portadora (К) −7 a +13.</w:t>
            </w:r>
          </w:p>
          <w:p w:rsidR="000A3349" w:rsidRPr="0029661B" w:rsidRDefault="000A3349" w:rsidP="009D2E83">
            <w:pPr>
              <w:pStyle w:val="Tablelegend"/>
              <w:ind w:hanging="284"/>
              <w:jc w:val="left"/>
              <w:rPr>
                <w:lang w:val="es-ES_tradnl"/>
              </w:rPr>
            </w:pPr>
            <w:r w:rsidRPr="0029661B">
              <w:rPr>
                <w:vertAlign w:val="superscript"/>
                <w:lang w:val="es-ES_tradnl"/>
              </w:rPr>
              <w:t>(2)</w:t>
            </w:r>
            <w:r w:rsidRPr="0029661B">
              <w:rPr>
                <w:lang w:val="es-ES_tradnl"/>
              </w:rPr>
              <w:tab/>
              <w:t>Receptores de vehículos espaciales distintos pueden tener valores diferentes a estos valores típicos.</w:t>
            </w:r>
          </w:p>
          <w:p w:rsidR="000A3349" w:rsidRPr="0029661B" w:rsidRDefault="000A3349" w:rsidP="009D2E83">
            <w:pPr>
              <w:pStyle w:val="Tablelegend"/>
              <w:ind w:hanging="284"/>
              <w:jc w:val="left"/>
              <w:rPr>
                <w:lang w:val="es-ES_tradnl"/>
              </w:rPr>
            </w:pPr>
            <w:r w:rsidRPr="0029661B">
              <w:rPr>
                <w:vertAlign w:val="superscript"/>
                <w:lang w:val="es-ES_tradnl"/>
              </w:rPr>
              <w:t>(3)</w:t>
            </w:r>
            <w:r w:rsidRPr="0029661B">
              <w:rPr>
                <w:lang w:val="es-ES_tradnl"/>
              </w:rPr>
              <w:tab/>
              <w:t>El umbral debe tener en cuenta toda la interferencia combinada no procedente del SRNS. El valor umbral no incluye un margen de seguridad de 6 dB.</w:t>
            </w:r>
          </w:p>
        </w:tc>
      </w:tr>
    </w:tbl>
    <w:p w:rsidR="000A3349" w:rsidRPr="0029661B" w:rsidRDefault="000A3349" w:rsidP="000A3349">
      <w:pPr>
        <w:pStyle w:val="Tablefin"/>
        <w:rPr>
          <w:lang w:val="es-ES_tradnl"/>
        </w:rPr>
      </w:pPr>
    </w:p>
    <w:p w:rsidR="000A3349" w:rsidRDefault="000A3349" w:rsidP="000A3349">
      <w:pPr>
        <w:rPr>
          <w:lang w:val="es-ES_tradnl"/>
        </w:rPr>
      </w:pPr>
    </w:p>
    <w:p w:rsidR="009D2E83" w:rsidRDefault="009D2E83" w:rsidP="000A3349">
      <w:pPr>
        <w:rPr>
          <w:lang w:val="es-ES_tradnl"/>
        </w:rPr>
      </w:pPr>
    </w:p>
    <w:p w:rsidR="0036454F" w:rsidRPr="0029661B" w:rsidRDefault="0036454F" w:rsidP="000A3349">
      <w:pPr>
        <w:rPr>
          <w:lang w:val="es-ES_tradnl"/>
        </w:rPr>
      </w:pPr>
    </w:p>
    <w:p w:rsidR="000A3349" w:rsidRPr="0029661B" w:rsidRDefault="000A3349" w:rsidP="000A3349">
      <w:pPr>
        <w:pStyle w:val="AnnexNoTitle"/>
        <w:rPr>
          <w:lang w:val="es-ES_tradnl"/>
        </w:rPr>
      </w:pPr>
      <w:r w:rsidRPr="0029661B">
        <w:rPr>
          <w:lang w:val="es-ES_tradnl"/>
        </w:rPr>
        <w:t>Anexo 2</w:t>
      </w:r>
      <w:r w:rsidRPr="0029661B">
        <w:rPr>
          <w:lang w:val="es-ES_tradnl"/>
        </w:rPr>
        <w:br/>
      </w:r>
      <w:r w:rsidRPr="0029661B">
        <w:rPr>
          <w:lang w:val="es-ES_tradnl"/>
        </w:rPr>
        <w:br/>
        <w:t xml:space="preserve">Características de los receptores a bordo de un vehículo espacial </w:t>
      </w:r>
      <w:r w:rsidRPr="0029661B">
        <w:rPr>
          <w:lang w:val="es-ES_tradnl"/>
        </w:rPr>
        <w:br/>
        <w:t>del Sistema Mundial de Determinación de la Posición Navstar</w:t>
      </w:r>
    </w:p>
    <w:p w:rsidR="000A3349" w:rsidRPr="0029661B" w:rsidRDefault="000A3349" w:rsidP="00AF7520">
      <w:pPr>
        <w:pStyle w:val="Normalaftertitle"/>
        <w:rPr>
          <w:lang w:val="es-ES_tradnl"/>
        </w:rPr>
      </w:pPr>
      <w:r w:rsidRPr="0029661B">
        <w:rPr>
          <w:lang w:val="es-ES_tradnl"/>
        </w:rPr>
        <w:t>Las características del receptor que figuran a continuación tienen por objeto servir en los análisis de interferencia causada al SRNS por fuentes radioeléctricas no pertenecientes a los sistemas del SRNS y no deben considerarse requisitos técnicos, especificaciones o normas. En la Recomendación</w:t>
      </w:r>
      <w:r w:rsidR="00AF7520">
        <w:rPr>
          <w:lang w:val="es-ES_tradnl"/>
        </w:rPr>
        <w:t xml:space="preserve"> </w:t>
      </w:r>
      <w:r w:rsidRPr="0029661B">
        <w:rPr>
          <w:lang w:val="es-ES_tradnl"/>
        </w:rPr>
        <w:t>UIT</w:t>
      </w:r>
      <w:r>
        <w:rPr>
          <w:lang w:val="es-ES_tradnl"/>
        </w:rPr>
        <w:noBreakHyphen/>
      </w:r>
      <w:r w:rsidRPr="0029661B">
        <w:rPr>
          <w:lang w:val="es-ES_tradnl"/>
        </w:rPr>
        <w:t>R</w:t>
      </w:r>
      <w:r>
        <w:rPr>
          <w:lang w:val="es-ES_tradnl"/>
        </w:rPr>
        <w:t> </w:t>
      </w:r>
      <w:r w:rsidRPr="0029661B">
        <w:rPr>
          <w:lang w:val="es-ES_tradnl"/>
        </w:rPr>
        <w:t xml:space="preserve">M.1787 aparece la información actual sobre el Sistema Mundial de Determinación de la Posición (GPS) que funciona en las bandas </w:t>
      </w:r>
      <w:r w:rsidR="00AF7520">
        <w:rPr>
          <w:rFonts w:eastAsia="MS Mincho"/>
          <w:lang w:val="es-ES_tradnl" w:eastAsia="en-AU"/>
        </w:rPr>
        <w:t>1 164-1 215 MHz, 1 215-</w:t>
      </w:r>
      <w:r w:rsidRPr="0029661B">
        <w:rPr>
          <w:rFonts w:eastAsia="MS Mincho"/>
          <w:lang w:val="es-ES_tradnl" w:eastAsia="en-AU"/>
        </w:rPr>
        <w:t>1 300 MHz y 1 559-1 610 MHz.</w:t>
      </w:r>
    </w:p>
    <w:p w:rsidR="000A3349" w:rsidRDefault="000A3349" w:rsidP="00962C62">
      <w:pPr>
        <w:rPr>
          <w:lang w:val="es-ES_tradnl"/>
        </w:rPr>
      </w:pPr>
      <w:r w:rsidRPr="0029661B">
        <w:rPr>
          <w:lang w:val="es-ES_tradnl"/>
        </w:rPr>
        <w:t>El Cuadro</w:t>
      </w:r>
      <w:r w:rsidR="00962C62">
        <w:rPr>
          <w:lang w:val="es-ES_tradnl"/>
        </w:rPr>
        <w:t> </w:t>
      </w:r>
      <w:r w:rsidRPr="0029661B">
        <w:rPr>
          <w:lang w:val="es-ES_tradnl"/>
        </w:rPr>
        <w:t>2-1 proporciona las ca</w:t>
      </w:r>
      <w:r>
        <w:rPr>
          <w:lang w:val="es-ES_tradnl"/>
        </w:rPr>
        <w:t>ra</w:t>
      </w:r>
      <w:r w:rsidRPr="0029661B">
        <w:rPr>
          <w:lang w:val="es-ES_tradnl"/>
        </w:rPr>
        <w:t>cterísticas de los receptores a bordo de vehículos espaciales para su utilización con el GPS. Cabe señalar que como los requisitos técnicos y el entorno operacional de los receptores del SRNS a bordo de vehículos espaciales difiere del de los receptores terrenales, sus características pueden ser diferentes. Por ejemplo, la adquisición de la señal puede ser más difícil en un receptor a bordo de un vehículo espacial situado en órbita terrestre baja debido a los grandes desplazamientos de frecuencia por efecto Doppler y menor duración del tiempo en que el satélite del SRNS permanece a la vista.</w:t>
      </w:r>
    </w:p>
    <w:p w:rsidR="000A3349" w:rsidRPr="0029661B" w:rsidRDefault="000A3349" w:rsidP="000A3349">
      <w:pPr>
        <w:pStyle w:val="TableNo"/>
        <w:rPr>
          <w:lang w:val="es-ES_tradnl"/>
        </w:rPr>
      </w:pPr>
      <w:r w:rsidRPr="0029661B">
        <w:rPr>
          <w:lang w:val="es-ES_tradnl"/>
        </w:rPr>
        <w:lastRenderedPageBreak/>
        <w:t>CUADRO  2-1</w:t>
      </w:r>
    </w:p>
    <w:p w:rsidR="000A3349" w:rsidRPr="0029661B" w:rsidRDefault="000A3349" w:rsidP="000A3349">
      <w:pPr>
        <w:pStyle w:val="Tabletitle"/>
        <w:rPr>
          <w:lang w:val="es-ES_tradnl"/>
        </w:rPr>
      </w:pPr>
      <w:r w:rsidRPr="0029661B">
        <w:rPr>
          <w:lang w:val="es-ES_tradnl"/>
        </w:rPr>
        <w:t>Características de los receptores a bordo de un vehículo espacial GPS</w:t>
      </w:r>
      <w:r w:rsidRPr="0029661B">
        <w:rPr>
          <w:b w:val="0"/>
          <w:bCs/>
          <w:position w:val="6"/>
          <w:sz w:val="18"/>
          <w:lang w:val="es-ES_tradnl"/>
        </w:rPr>
        <w:footnoteReference w:id="1"/>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6"/>
        <w:gridCol w:w="4082"/>
      </w:tblGrid>
      <w:tr w:rsidR="000A3349" w:rsidRPr="0029661B" w:rsidTr="007F3E34">
        <w:trPr>
          <w:tblHeader/>
          <w:jc w:val="center"/>
        </w:trPr>
        <w:tc>
          <w:tcPr>
            <w:tcW w:w="555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head"/>
              <w:rPr>
                <w:lang w:val="es-ES_tradnl"/>
              </w:rPr>
            </w:pPr>
            <w:r w:rsidRPr="0029661B">
              <w:rPr>
                <w:lang w:val="es-ES_tradnl"/>
              </w:rPr>
              <w:t>Parámetro</w:t>
            </w:r>
          </w:p>
        </w:tc>
        <w:tc>
          <w:tcPr>
            <w:tcW w:w="408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head"/>
              <w:rPr>
                <w:lang w:val="es-ES_tradnl"/>
              </w:rPr>
            </w:pPr>
            <w:r w:rsidRPr="0029661B">
              <w:rPr>
                <w:lang w:val="es-ES_tradnl"/>
              </w:rPr>
              <w:t>Parámetro (valor)</w:t>
            </w:r>
          </w:p>
        </w:tc>
      </w:tr>
      <w:tr w:rsidR="000A3349" w:rsidRPr="007034B2" w:rsidTr="007F3E34">
        <w:trPr>
          <w:jc w:val="center"/>
        </w:trPr>
        <w:tc>
          <w:tcPr>
            <w:tcW w:w="5556" w:type="dxa"/>
            <w:tcBorders>
              <w:top w:val="single" w:sz="4" w:space="0" w:color="auto"/>
              <w:left w:val="single" w:sz="4" w:space="0" w:color="auto"/>
              <w:bottom w:val="single" w:sz="4" w:space="0" w:color="auto"/>
              <w:right w:val="single" w:sz="4" w:space="0" w:color="auto"/>
            </w:tcBorders>
          </w:tcPr>
          <w:p w:rsidR="000A3349" w:rsidRPr="0029661B" w:rsidRDefault="000A3349" w:rsidP="007877A0">
            <w:pPr>
              <w:pStyle w:val="Tabletext"/>
              <w:keepNext/>
              <w:keepLines/>
              <w:rPr>
                <w:lang w:val="es-ES_tradnl"/>
              </w:rPr>
            </w:pPr>
            <w:r w:rsidRPr="0029661B">
              <w:rPr>
                <w:lang w:val="es-ES_tradnl"/>
              </w:rPr>
              <w:t>Gama de frecuencias de la señal (MHz)</w:t>
            </w:r>
          </w:p>
        </w:tc>
        <w:tc>
          <w:tcPr>
            <w:tcW w:w="4082" w:type="dxa"/>
            <w:tcBorders>
              <w:top w:val="single" w:sz="4" w:space="0" w:color="auto"/>
              <w:left w:val="single" w:sz="4" w:space="0" w:color="auto"/>
              <w:bottom w:val="single" w:sz="4" w:space="0" w:color="auto"/>
              <w:right w:val="single" w:sz="4" w:space="0" w:color="auto"/>
            </w:tcBorders>
          </w:tcPr>
          <w:p w:rsidR="000A3349" w:rsidRPr="0029661B" w:rsidRDefault="000A3349" w:rsidP="007877A0">
            <w:pPr>
              <w:pStyle w:val="Tabletext"/>
              <w:keepNext/>
              <w:keepLines/>
              <w:jc w:val="left"/>
              <w:rPr>
                <w:lang w:val="es-ES_tradnl"/>
              </w:rPr>
            </w:pPr>
            <w:r w:rsidRPr="0029661B">
              <w:rPr>
                <w:lang w:val="es-ES_tradnl"/>
              </w:rPr>
              <w:t>1 575,42</w:t>
            </w:r>
            <w:r w:rsidRPr="0029661B">
              <w:rPr>
                <w:rFonts w:eastAsia="MS PGothic"/>
                <w:lang w:val="es-ES_tradnl"/>
              </w:rPr>
              <w:t xml:space="preserve"> ± </w:t>
            </w:r>
            <w:r w:rsidRPr="0029661B">
              <w:rPr>
                <w:lang w:val="es-ES_tradnl"/>
              </w:rPr>
              <w:t>15,345</w:t>
            </w:r>
            <w:r w:rsidRPr="0029661B">
              <w:rPr>
                <w:rFonts w:eastAsia="MS PGothic"/>
                <w:lang w:val="es-ES_tradnl"/>
              </w:rPr>
              <w:t xml:space="preserve"> </w:t>
            </w:r>
            <w:r w:rsidRPr="0029661B">
              <w:rPr>
                <w:lang w:val="es-ES_tradnl"/>
              </w:rPr>
              <w:t>(señal GPS L1),</w:t>
            </w:r>
            <w:r w:rsidRPr="0029661B">
              <w:rPr>
                <w:lang w:val="es-ES_tradnl"/>
              </w:rPr>
              <w:br/>
              <w:t>1 227,6 ± 15,345 (señal GPS L2),</w:t>
            </w:r>
            <w:r w:rsidRPr="0029661B">
              <w:rPr>
                <w:lang w:val="es-ES_tradnl"/>
              </w:rPr>
              <w:br/>
              <w:t>1 176,45</w:t>
            </w:r>
            <w:r w:rsidRPr="0029661B">
              <w:rPr>
                <w:rFonts w:eastAsia="MS PGothic"/>
                <w:lang w:val="es-ES_tradnl"/>
              </w:rPr>
              <w:t xml:space="preserve"> ± 12 </w:t>
            </w:r>
            <w:r w:rsidRPr="0029661B">
              <w:rPr>
                <w:lang w:val="es-ES_tradnl"/>
              </w:rPr>
              <w:t>(señal GPS L5)</w:t>
            </w:r>
          </w:p>
        </w:tc>
      </w:tr>
      <w:tr w:rsidR="000A3349" w:rsidRPr="007034B2" w:rsidTr="007F3E34">
        <w:trPr>
          <w:jc w:val="center"/>
        </w:trPr>
        <w:tc>
          <w:tcPr>
            <w:tcW w:w="5556" w:type="dxa"/>
            <w:tcBorders>
              <w:top w:val="single" w:sz="4" w:space="0" w:color="auto"/>
              <w:left w:val="single" w:sz="4" w:space="0" w:color="auto"/>
              <w:bottom w:val="single" w:sz="4" w:space="0" w:color="auto"/>
              <w:right w:val="single" w:sz="4" w:space="0" w:color="auto"/>
            </w:tcBorders>
          </w:tcPr>
          <w:p w:rsidR="000A3349" w:rsidRPr="0029661B" w:rsidRDefault="000A3349" w:rsidP="007877A0">
            <w:pPr>
              <w:pStyle w:val="Tabletext"/>
              <w:keepNext/>
              <w:keepLines/>
              <w:jc w:val="left"/>
              <w:rPr>
                <w:lang w:val="es-ES_tradnl"/>
              </w:rPr>
            </w:pPr>
            <w:r w:rsidRPr="0029661B">
              <w:rPr>
                <w:lang w:val="es-ES_tradnl"/>
              </w:rPr>
              <w:t>Máxima ganancia de antena de</w:t>
            </w:r>
            <w:r>
              <w:rPr>
                <w:lang w:val="es-ES_tradnl"/>
              </w:rPr>
              <w:t>l</w:t>
            </w:r>
            <w:r w:rsidRPr="0029661B">
              <w:rPr>
                <w:lang w:val="es-ES_tradnl"/>
              </w:rPr>
              <w:t xml:space="preserve"> receptor en el hemisferio superior (dBi)</w:t>
            </w:r>
          </w:p>
        </w:tc>
        <w:tc>
          <w:tcPr>
            <w:tcW w:w="4082" w:type="dxa"/>
            <w:tcBorders>
              <w:top w:val="single" w:sz="4" w:space="0" w:color="auto"/>
              <w:left w:val="single" w:sz="4" w:space="0" w:color="auto"/>
              <w:bottom w:val="single" w:sz="4" w:space="0" w:color="auto"/>
              <w:right w:val="single" w:sz="4" w:space="0" w:color="auto"/>
            </w:tcBorders>
          </w:tcPr>
          <w:p w:rsidR="000A3349" w:rsidRPr="0029661B" w:rsidRDefault="000A3349" w:rsidP="007877A0">
            <w:pPr>
              <w:pStyle w:val="Tabletext"/>
              <w:keepNext/>
              <w:keepLines/>
              <w:jc w:val="left"/>
              <w:rPr>
                <w:lang w:val="es-ES_tradnl"/>
              </w:rPr>
            </w:pPr>
            <w:r w:rsidRPr="0029661B">
              <w:rPr>
                <w:lang w:val="es-ES_tradnl"/>
              </w:rPr>
              <w:t>7,0 (antena apuntada en dirección cenital desde una órbita terrestre baja (LEO))</w:t>
            </w:r>
            <w:r w:rsidRPr="0029661B">
              <w:rPr>
                <w:lang w:val="es-ES_tradnl"/>
              </w:rPr>
              <w:br/>
              <w:t>(con respecto a una señal con polarización dextrógira)</w:t>
            </w:r>
          </w:p>
        </w:tc>
      </w:tr>
      <w:tr w:rsidR="000A3349" w:rsidRPr="007034B2" w:rsidTr="007F3E34">
        <w:trPr>
          <w:jc w:val="center"/>
        </w:trPr>
        <w:tc>
          <w:tcPr>
            <w:tcW w:w="5556" w:type="dxa"/>
            <w:tcBorders>
              <w:top w:val="single" w:sz="4" w:space="0" w:color="auto"/>
              <w:left w:val="single" w:sz="4" w:space="0" w:color="auto"/>
              <w:bottom w:val="single" w:sz="4" w:space="0" w:color="auto"/>
              <w:right w:val="single" w:sz="4" w:space="0" w:color="auto"/>
            </w:tcBorders>
          </w:tcPr>
          <w:p w:rsidR="000A3349" w:rsidRPr="0029661B" w:rsidRDefault="000A3349" w:rsidP="00A46516">
            <w:pPr>
              <w:pStyle w:val="Tabletext"/>
              <w:keepNext/>
              <w:keepLines/>
              <w:jc w:val="left"/>
              <w:rPr>
                <w:lang w:val="es-ES_tradnl"/>
              </w:rPr>
            </w:pPr>
            <w:r w:rsidRPr="0029661B">
              <w:rPr>
                <w:lang w:val="es-ES_tradnl"/>
              </w:rPr>
              <w:t>Máxima ganancia de antena del receptor en el hemisferio inferior (dBi)</w:t>
            </w:r>
          </w:p>
        </w:tc>
        <w:tc>
          <w:tcPr>
            <w:tcW w:w="4082" w:type="dxa"/>
            <w:tcBorders>
              <w:top w:val="single" w:sz="4" w:space="0" w:color="auto"/>
              <w:left w:val="single" w:sz="4" w:space="0" w:color="auto"/>
              <w:bottom w:val="single" w:sz="4" w:space="0" w:color="auto"/>
              <w:right w:val="single" w:sz="4" w:space="0" w:color="auto"/>
            </w:tcBorders>
          </w:tcPr>
          <w:p w:rsidR="000A3349" w:rsidRPr="0029661B" w:rsidRDefault="000A3349" w:rsidP="00A46516">
            <w:pPr>
              <w:pStyle w:val="Tabletext"/>
              <w:keepNext/>
              <w:keepLines/>
              <w:jc w:val="left"/>
              <w:rPr>
                <w:lang w:val="es-ES_tradnl"/>
              </w:rPr>
            </w:pPr>
            <w:r w:rsidRPr="0029661B">
              <w:rPr>
                <w:lang w:val="es-ES_tradnl"/>
              </w:rPr>
              <w:t>−10,0 (antena apuntada en dirección cenital desde LEO)</w:t>
            </w:r>
            <w:r w:rsidRPr="0029661B">
              <w:rPr>
                <w:lang w:val="es-ES_tradnl"/>
              </w:rPr>
              <w:br/>
              <w:t>(con respecto a una señal con polarización dextrógira)</w:t>
            </w:r>
          </w:p>
        </w:tc>
      </w:tr>
      <w:tr w:rsidR="000A3349" w:rsidRPr="0029661B" w:rsidTr="007F3E34">
        <w:trPr>
          <w:jc w:val="center"/>
        </w:trPr>
        <w:tc>
          <w:tcPr>
            <w:tcW w:w="555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Anchura de banda a 3 dB del filtro de RF</w:t>
            </w:r>
            <w:r>
              <w:rPr>
                <w:lang w:val="es-ES_tradnl"/>
              </w:rPr>
              <w:t xml:space="preserve"> </w:t>
            </w:r>
            <w:r w:rsidRPr="0029661B">
              <w:rPr>
                <w:lang w:val="es-ES_tradnl"/>
              </w:rPr>
              <w:t>(MHz)</w:t>
            </w:r>
          </w:p>
        </w:tc>
        <w:tc>
          <w:tcPr>
            <w:tcW w:w="408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24,0</w:t>
            </w:r>
          </w:p>
        </w:tc>
      </w:tr>
      <w:tr w:rsidR="000A3349" w:rsidRPr="0029661B" w:rsidTr="007F3E34">
        <w:trPr>
          <w:jc w:val="center"/>
        </w:trPr>
        <w:tc>
          <w:tcPr>
            <w:tcW w:w="555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 xml:space="preserve">Anchura de banda </w:t>
            </w:r>
            <w:r>
              <w:rPr>
                <w:lang w:val="es-ES_tradnl"/>
              </w:rPr>
              <w:t xml:space="preserve">a </w:t>
            </w:r>
            <w:r w:rsidRPr="0029661B">
              <w:rPr>
                <w:lang w:val="es-ES_tradnl"/>
              </w:rPr>
              <w:t>3 dB del filtro de precorrelación (MHz)</w:t>
            </w:r>
          </w:p>
        </w:tc>
        <w:tc>
          <w:tcPr>
            <w:tcW w:w="408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20,46</w:t>
            </w:r>
          </w:p>
        </w:tc>
      </w:tr>
      <w:tr w:rsidR="000A3349" w:rsidRPr="0029661B" w:rsidTr="007F3E34">
        <w:trPr>
          <w:jc w:val="center"/>
        </w:trPr>
        <w:tc>
          <w:tcPr>
            <w:tcW w:w="555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Temperatura de ruido del sistema receptor (K)</w:t>
            </w:r>
          </w:p>
        </w:tc>
        <w:tc>
          <w:tcPr>
            <w:tcW w:w="408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rPr>
                <w:lang w:val="es-ES_tradnl"/>
              </w:rPr>
            </w:pPr>
            <w:r w:rsidRPr="0029661B">
              <w:rPr>
                <w:lang w:val="es-ES_tradnl"/>
              </w:rPr>
              <w:t>111,0 (Nota 1)</w:t>
            </w:r>
          </w:p>
        </w:tc>
      </w:tr>
      <w:tr w:rsidR="000A3349" w:rsidRPr="007034B2" w:rsidTr="007F3E34">
        <w:trPr>
          <w:jc w:val="center"/>
        </w:trPr>
        <w:tc>
          <w:tcPr>
            <w:tcW w:w="5556" w:type="dxa"/>
            <w:tcBorders>
              <w:top w:val="single" w:sz="4" w:space="0" w:color="auto"/>
              <w:left w:val="single" w:sz="4" w:space="0" w:color="auto"/>
              <w:bottom w:val="single" w:sz="4" w:space="0" w:color="auto"/>
              <w:right w:val="single" w:sz="4" w:space="0" w:color="auto"/>
            </w:tcBorders>
          </w:tcPr>
          <w:p w:rsidR="000A3349" w:rsidRPr="0029661B" w:rsidRDefault="000A3349" w:rsidP="00FB75E8">
            <w:pPr>
              <w:pStyle w:val="Tabletext"/>
              <w:jc w:val="left"/>
              <w:rPr>
                <w:lang w:val="es-ES_tradnl"/>
              </w:rPr>
            </w:pPr>
            <w:r w:rsidRPr="0029661B">
              <w:rPr>
                <w:lang w:val="es-ES_tradnl"/>
              </w:rPr>
              <w:t>Nivel de potencia umbral en modo seguimiento de la interferencia de banda estrecha combinada a la salida de</w:t>
            </w:r>
            <w:r w:rsidR="00FB75E8">
              <w:rPr>
                <w:lang w:val="es-ES_tradnl"/>
              </w:rPr>
              <w:t> </w:t>
            </w:r>
            <w:r w:rsidRPr="0029661B">
              <w:rPr>
                <w:lang w:val="es-ES_tradnl"/>
              </w:rPr>
              <w:t>una</w:t>
            </w:r>
            <w:r w:rsidR="00FB75E8">
              <w:rPr>
                <w:lang w:val="es-ES_tradnl"/>
              </w:rPr>
              <w:t> </w:t>
            </w:r>
            <w:r w:rsidRPr="0029661B">
              <w:rPr>
                <w:lang w:val="es-ES_tradnl"/>
              </w:rPr>
              <w:t>antena pasiva (dBW)</w:t>
            </w:r>
          </w:p>
        </w:tc>
        <w:tc>
          <w:tcPr>
            <w:tcW w:w="408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−164,0 (señal L1) (Nota 2)</w:t>
            </w:r>
            <w:r w:rsidRPr="0029661B">
              <w:rPr>
                <w:lang w:val="es-ES_tradnl"/>
              </w:rPr>
              <w:br/>
              <w:t>−157,0 (señal L2) (Nota 3)</w:t>
            </w:r>
            <w:r w:rsidRPr="0029661B">
              <w:rPr>
                <w:lang w:val="es-ES_tradnl"/>
              </w:rPr>
              <w:br/>
              <w:t>−154,0 (señal L5) (Nota 4)</w:t>
            </w:r>
            <w:r w:rsidRPr="0029661B">
              <w:rPr>
                <w:lang w:val="es-ES_tradnl"/>
              </w:rPr>
              <w:br/>
              <w:t>(anchura de banda interferente &lt; 1 MHz)</w:t>
            </w:r>
            <w:r w:rsidRPr="0029661B">
              <w:rPr>
                <w:lang w:val="es-ES_tradnl"/>
              </w:rPr>
              <w:br/>
              <w:t>(estos valores se aplican fundamentalmente a las fuentes de interferencia espaciales)</w:t>
            </w:r>
          </w:p>
        </w:tc>
      </w:tr>
      <w:tr w:rsidR="000A3349" w:rsidRPr="007034B2" w:rsidTr="007F3E34">
        <w:trPr>
          <w:jc w:val="center"/>
        </w:trPr>
        <w:tc>
          <w:tcPr>
            <w:tcW w:w="555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Nivel de potencia umbral en modo adquisición de la interferencia de banda estrec</w:t>
            </w:r>
            <w:r w:rsidR="00FB75E8">
              <w:rPr>
                <w:lang w:val="es-ES_tradnl"/>
              </w:rPr>
              <w:t xml:space="preserve">ha combinada a la salida </w:t>
            </w:r>
            <w:r w:rsidR="00FB75E8" w:rsidRPr="0029661B">
              <w:rPr>
                <w:lang w:val="es-ES_tradnl"/>
              </w:rPr>
              <w:t>de</w:t>
            </w:r>
            <w:r w:rsidR="00FB75E8">
              <w:rPr>
                <w:lang w:val="es-ES_tradnl"/>
              </w:rPr>
              <w:t> </w:t>
            </w:r>
            <w:r w:rsidR="00FB75E8" w:rsidRPr="0029661B">
              <w:rPr>
                <w:lang w:val="es-ES_tradnl"/>
              </w:rPr>
              <w:t>una</w:t>
            </w:r>
            <w:r w:rsidR="00FB75E8">
              <w:rPr>
                <w:lang w:val="es-ES_tradnl"/>
              </w:rPr>
              <w:t> </w:t>
            </w:r>
            <w:r w:rsidRPr="0029661B">
              <w:rPr>
                <w:lang w:val="es-ES_tradnl"/>
              </w:rPr>
              <w:t>antena pasiva (dBW)</w:t>
            </w:r>
          </w:p>
        </w:tc>
        <w:tc>
          <w:tcPr>
            <w:tcW w:w="408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−164,0 (señal L1) (Nota 2)</w:t>
            </w:r>
            <w:r w:rsidRPr="0029661B">
              <w:rPr>
                <w:lang w:val="es-ES_tradnl"/>
              </w:rPr>
              <w:br/>
              <w:t>−163,0 (señal L2) (Nota 5)</w:t>
            </w:r>
            <w:r w:rsidRPr="0029661B">
              <w:rPr>
                <w:lang w:val="es-ES_tradnl"/>
              </w:rPr>
              <w:br/>
              <w:t>−154,0 (señal L5) (Nota 4)</w:t>
            </w:r>
            <w:r w:rsidRPr="0029661B">
              <w:rPr>
                <w:lang w:val="es-ES_tradnl"/>
              </w:rPr>
              <w:br/>
              <w:t>(anchura de banda interferente &lt; 1 MHz)</w:t>
            </w:r>
            <w:r w:rsidRPr="0029661B">
              <w:rPr>
                <w:lang w:val="es-ES_tradnl"/>
              </w:rPr>
              <w:br/>
              <w:t>(estos valores se aplican fundamentalmente a las fuentes de interferencia espaciales)</w:t>
            </w:r>
          </w:p>
        </w:tc>
      </w:tr>
      <w:tr w:rsidR="000A3349" w:rsidRPr="007034B2" w:rsidTr="007F3E34">
        <w:trPr>
          <w:jc w:val="center"/>
        </w:trPr>
        <w:tc>
          <w:tcPr>
            <w:tcW w:w="555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 xml:space="preserve">Nivel de densidad de potencia umbral en modo seguimiento de la interferencia de </w:t>
            </w:r>
            <w:r w:rsidRPr="00666107">
              <w:rPr>
                <w:lang w:val="es-ES_tradnl"/>
              </w:rPr>
              <w:t>banda</w:t>
            </w:r>
            <w:r w:rsidRPr="0029661B">
              <w:rPr>
                <w:lang w:val="es-ES_tradnl"/>
              </w:rPr>
              <w:t xml:space="preserve"> amplia combinada a la salida de una antena pasiva (dB(W/MHz))</w:t>
            </w:r>
          </w:p>
        </w:tc>
        <w:tc>
          <w:tcPr>
            <w:tcW w:w="408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−154,0 (Nota 6)</w:t>
            </w:r>
            <w:r w:rsidRPr="0029661B">
              <w:rPr>
                <w:lang w:val="es-ES_tradnl"/>
              </w:rPr>
              <w:br/>
              <w:t xml:space="preserve">(anchura de banda interferente </w:t>
            </w:r>
            <w:r w:rsidRPr="0029661B">
              <w:rPr>
                <w:lang w:val="es-ES_tradnl"/>
              </w:rPr>
              <w:sym w:font="Symbol" w:char="00B3"/>
            </w:r>
            <w:r w:rsidRPr="0029661B">
              <w:rPr>
                <w:lang w:val="es-ES_tradnl"/>
              </w:rPr>
              <w:t xml:space="preserve"> 1 MHz)</w:t>
            </w:r>
          </w:p>
        </w:tc>
      </w:tr>
      <w:tr w:rsidR="000A3349" w:rsidRPr="007034B2" w:rsidTr="007F3E34">
        <w:trPr>
          <w:jc w:val="center"/>
        </w:trPr>
        <w:tc>
          <w:tcPr>
            <w:tcW w:w="5556"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Nivel de densidad de potencia umbral en modo adquisición de la interferencia de banda amplia combinada a la salida de una antena pasiva (dB(W/MHz))</w:t>
            </w:r>
          </w:p>
        </w:tc>
        <w:tc>
          <w:tcPr>
            <w:tcW w:w="4082" w:type="dxa"/>
            <w:tcBorders>
              <w:top w:val="single" w:sz="4" w:space="0" w:color="auto"/>
              <w:left w:val="single" w:sz="4" w:space="0" w:color="auto"/>
              <w:bottom w:val="single" w:sz="4" w:space="0" w:color="auto"/>
              <w:right w:val="single" w:sz="4" w:space="0" w:color="auto"/>
            </w:tcBorders>
          </w:tcPr>
          <w:p w:rsidR="000A3349" w:rsidRPr="0029661B" w:rsidRDefault="000A3349" w:rsidP="009D2E83">
            <w:pPr>
              <w:pStyle w:val="Tabletext"/>
              <w:jc w:val="left"/>
              <w:rPr>
                <w:lang w:val="es-ES_tradnl"/>
              </w:rPr>
            </w:pPr>
            <w:r w:rsidRPr="0029661B">
              <w:rPr>
                <w:lang w:val="es-ES_tradnl"/>
              </w:rPr>
              <w:t>−154,0 (Nota 6)</w:t>
            </w:r>
            <w:r w:rsidRPr="0029661B">
              <w:rPr>
                <w:lang w:val="es-ES_tradnl"/>
              </w:rPr>
              <w:br/>
              <w:t xml:space="preserve">(anchura de banda interferente </w:t>
            </w:r>
            <w:r w:rsidRPr="0029661B">
              <w:rPr>
                <w:lang w:val="es-ES_tradnl"/>
              </w:rPr>
              <w:sym w:font="Symbol" w:char="00B3"/>
            </w:r>
            <w:r w:rsidRPr="0029661B">
              <w:rPr>
                <w:lang w:val="es-ES_tradnl"/>
              </w:rPr>
              <w:t xml:space="preserve"> 1 MHz)</w:t>
            </w:r>
          </w:p>
        </w:tc>
      </w:tr>
      <w:tr w:rsidR="000A3349" w:rsidRPr="0029661B" w:rsidTr="004B57E9">
        <w:trPr>
          <w:jc w:val="center"/>
        </w:trPr>
        <w:tc>
          <w:tcPr>
            <w:tcW w:w="5556" w:type="dxa"/>
            <w:tcBorders>
              <w:top w:val="single" w:sz="4" w:space="0" w:color="auto"/>
              <w:left w:val="single" w:sz="4" w:space="0" w:color="auto"/>
              <w:bottom w:val="single" w:sz="4" w:space="0" w:color="auto"/>
              <w:right w:val="single" w:sz="4" w:space="0" w:color="auto"/>
            </w:tcBorders>
          </w:tcPr>
          <w:p w:rsidR="000A3349" w:rsidRPr="0029661B" w:rsidRDefault="000A3349" w:rsidP="007F3E34">
            <w:pPr>
              <w:pStyle w:val="Tabletext"/>
              <w:keepNext/>
              <w:keepLines/>
              <w:rPr>
                <w:lang w:val="es-ES_tradnl"/>
              </w:rPr>
            </w:pPr>
            <w:r w:rsidRPr="0029661B">
              <w:rPr>
                <w:lang w:val="es-ES_tradnl"/>
              </w:rPr>
              <w:t>Nivel de compresión a la entrada del receptor (dBW)</w:t>
            </w:r>
          </w:p>
        </w:tc>
        <w:tc>
          <w:tcPr>
            <w:tcW w:w="4082" w:type="dxa"/>
            <w:tcBorders>
              <w:top w:val="single" w:sz="4" w:space="0" w:color="auto"/>
              <w:left w:val="single" w:sz="4" w:space="0" w:color="auto"/>
              <w:bottom w:val="single" w:sz="4" w:space="0" w:color="auto"/>
              <w:right w:val="single" w:sz="4" w:space="0" w:color="auto"/>
            </w:tcBorders>
          </w:tcPr>
          <w:p w:rsidR="000A3349" w:rsidRPr="0029661B" w:rsidRDefault="000A3349" w:rsidP="007F3E34">
            <w:pPr>
              <w:pStyle w:val="Tabletext"/>
              <w:keepNext/>
              <w:keepLines/>
              <w:rPr>
                <w:lang w:val="es-ES_tradnl"/>
              </w:rPr>
            </w:pPr>
            <w:r w:rsidRPr="0029661B">
              <w:rPr>
                <w:lang w:val="es-ES_tradnl"/>
              </w:rPr>
              <w:t>−56,0</w:t>
            </w:r>
          </w:p>
        </w:tc>
      </w:tr>
      <w:tr w:rsidR="000A3349" w:rsidRPr="0029661B" w:rsidTr="004B57E9">
        <w:trPr>
          <w:jc w:val="center"/>
        </w:trPr>
        <w:tc>
          <w:tcPr>
            <w:tcW w:w="5556" w:type="dxa"/>
            <w:tcBorders>
              <w:top w:val="single" w:sz="4" w:space="0" w:color="auto"/>
              <w:left w:val="single" w:sz="4" w:space="0" w:color="auto"/>
              <w:bottom w:val="single" w:sz="4" w:space="0" w:color="auto"/>
              <w:right w:val="single" w:sz="4" w:space="0" w:color="auto"/>
            </w:tcBorders>
          </w:tcPr>
          <w:p w:rsidR="000A3349" w:rsidRPr="0029661B" w:rsidRDefault="000A3349" w:rsidP="007F3E34">
            <w:pPr>
              <w:pStyle w:val="Tabletext"/>
              <w:keepNext/>
              <w:keepLines/>
              <w:rPr>
                <w:lang w:val="es-ES_tradnl"/>
              </w:rPr>
            </w:pPr>
            <w:r w:rsidRPr="0029661B">
              <w:rPr>
                <w:lang w:val="es-ES_tradnl"/>
              </w:rPr>
              <w:t>Nivel de supervivencia del receptor (dBW)</w:t>
            </w:r>
          </w:p>
        </w:tc>
        <w:tc>
          <w:tcPr>
            <w:tcW w:w="4082" w:type="dxa"/>
            <w:tcBorders>
              <w:top w:val="single" w:sz="4" w:space="0" w:color="auto"/>
              <w:left w:val="single" w:sz="4" w:space="0" w:color="auto"/>
              <w:bottom w:val="single" w:sz="4" w:space="0" w:color="auto"/>
              <w:right w:val="single" w:sz="4" w:space="0" w:color="auto"/>
            </w:tcBorders>
          </w:tcPr>
          <w:p w:rsidR="000A3349" w:rsidRPr="0029661B" w:rsidRDefault="000A3349" w:rsidP="007F3E34">
            <w:pPr>
              <w:pStyle w:val="Tabletext"/>
              <w:keepNext/>
              <w:keepLines/>
              <w:rPr>
                <w:lang w:val="es-ES_tradnl"/>
              </w:rPr>
            </w:pPr>
            <w:r w:rsidRPr="0029661B">
              <w:rPr>
                <w:lang w:val="es-ES_tradnl"/>
              </w:rPr>
              <w:t>−15,0</w:t>
            </w:r>
          </w:p>
        </w:tc>
      </w:tr>
      <w:tr w:rsidR="000A3349" w:rsidRPr="0029661B" w:rsidTr="004B57E9">
        <w:trPr>
          <w:jc w:val="center"/>
        </w:trPr>
        <w:tc>
          <w:tcPr>
            <w:tcW w:w="5556" w:type="dxa"/>
            <w:tcBorders>
              <w:top w:val="single" w:sz="4" w:space="0" w:color="auto"/>
              <w:left w:val="single" w:sz="4" w:space="0" w:color="auto"/>
              <w:bottom w:val="single" w:sz="4" w:space="0" w:color="auto"/>
              <w:right w:val="single" w:sz="4" w:space="0" w:color="auto"/>
            </w:tcBorders>
          </w:tcPr>
          <w:p w:rsidR="000A3349" w:rsidRPr="0029661B" w:rsidRDefault="000A3349" w:rsidP="007F3E34">
            <w:pPr>
              <w:pStyle w:val="Tabletext"/>
              <w:keepNext/>
              <w:keepLines/>
              <w:rPr>
                <w:lang w:val="es-ES_tradnl"/>
              </w:rPr>
            </w:pPr>
            <w:r w:rsidRPr="0029661B">
              <w:rPr>
                <w:lang w:val="es-ES_tradnl"/>
              </w:rPr>
              <w:t>Tiempo de recuperación de sobrecarga</w:t>
            </w:r>
            <w:r>
              <w:rPr>
                <w:lang w:val="es-ES_tradnl"/>
              </w:rPr>
              <w:t xml:space="preserve"> </w:t>
            </w:r>
            <w:r w:rsidRPr="0029661B">
              <w:rPr>
                <w:lang w:val="es-ES_tradnl"/>
              </w:rPr>
              <w:t>(s)</w:t>
            </w:r>
          </w:p>
        </w:tc>
        <w:tc>
          <w:tcPr>
            <w:tcW w:w="4082" w:type="dxa"/>
            <w:tcBorders>
              <w:top w:val="single" w:sz="4" w:space="0" w:color="auto"/>
              <w:left w:val="single" w:sz="4" w:space="0" w:color="auto"/>
              <w:bottom w:val="single" w:sz="4" w:space="0" w:color="auto"/>
              <w:right w:val="single" w:sz="4" w:space="0" w:color="auto"/>
            </w:tcBorders>
          </w:tcPr>
          <w:p w:rsidR="000A3349" w:rsidRPr="0029661B" w:rsidRDefault="000A3349" w:rsidP="007F3E34">
            <w:pPr>
              <w:pStyle w:val="Tabletext"/>
              <w:keepNext/>
              <w:keepLines/>
              <w:rPr>
                <w:lang w:val="es-ES_tradnl"/>
              </w:rPr>
            </w:pPr>
            <w:r w:rsidRPr="0029661B">
              <w:rPr>
                <w:lang w:val="es-ES_tradnl"/>
              </w:rPr>
              <w:t>10</w:t>
            </w:r>
            <w:r w:rsidRPr="0029661B">
              <w:rPr>
                <w:vertAlign w:val="superscript"/>
                <w:lang w:val="es-ES_tradnl"/>
              </w:rPr>
              <w:t>−6</w:t>
            </w:r>
          </w:p>
        </w:tc>
      </w:tr>
    </w:tbl>
    <w:p w:rsidR="004B57E9" w:rsidRDefault="004B57E9" w:rsidP="004B57E9">
      <w:pPr>
        <w:pStyle w:val="Tablefin"/>
      </w:pPr>
    </w:p>
    <w:p w:rsidR="004B57E9" w:rsidRDefault="004B57E9">
      <w:pPr>
        <w:tabs>
          <w:tab w:val="clear" w:pos="794"/>
          <w:tab w:val="clear" w:pos="1191"/>
          <w:tab w:val="clear" w:pos="1588"/>
          <w:tab w:val="clear" w:pos="1985"/>
        </w:tabs>
        <w:overflowPunct/>
        <w:autoSpaceDE/>
        <w:autoSpaceDN/>
        <w:adjustRightInd/>
        <w:spacing w:before="0"/>
        <w:jc w:val="left"/>
        <w:textAlignment w:val="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0A3349" w:rsidRPr="007034B2" w:rsidTr="004B57E9">
        <w:trPr>
          <w:jc w:val="center"/>
        </w:trPr>
        <w:tc>
          <w:tcPr>
            <w:tcW w:w="9638" w:type="dxa"/>
            <w:tcBorders>
              <w:top w:val="nil"/>
              <w:left w:val="nil"/>
              <w:bottom w:val="nil"/>
              <w:right w:val="nil"/>
            </w:tcBorders>
          </w:tcPr>
          <w:p w:rsidR="004B57E9" w:rsidRPr="004B57E9" w:rsidRDefault="004B57E9" w:rsidP="007F3E34">
            <w:pPr>
              <w:pStyle w:val="TableLegendNote"/>
              <w:rPr>
                <w:i/>
                <w:iCs/>
              </w:rPr>
            </w:pPr>
            <w:r w:rsidRPr="004B57E9">
              <w:rPr>
                <w:i/>
                <w:iCs/>
              </w:rPr>
              <w:lastRenderedPageBreak/>
              <w:t>Notas relativas al Cuadro 2</w:t>
            </w:r>
            <w:r>
              <w:rPr>
                <w:i/>
                <w:iCs/>
              </w:rPr>
              <w:t>-1</w:t>
            </w:r>
            <w:r w:rsidRPr="004B57E9">
              <w:rPr>
                <w:i/>
                <w:iCs/>
              </w:rPr>
              <w:t>:</w:t>
            </w:r>
          </w:p>
          <w:p w:rsidR="000A3349" w:rsidRPr="0029661B" w:rsidRDefault="004B57E9" w:rsidP="004B57E9">
            <w:pPr>
              <w:pStyle w:val="TableLegendNote"/>
            </w:pPr>
            <w:r w:rsidRPr="0029661B">
              <w:t>NOTA</w:t>
            </w:r>
            <w:r>
              <w:t> 1 </w:t>
            </w:r>
            <w:r w:rsidRPr="0029661B">
              <w:t>−</w:t>
            </w:r>
            <w:r>
              <w:t> </w:t>
            </w:r>
            <w:r w:rsidR="000A3349" w:rsidRPr="0029661B">
              <w:t xml:space="preserve">Esta temperatura de ruido se basa en </w:t>
            </w:r>
            <w:r w:rsidR="000A3349">
              <w:t>un</w:t>
            </w:r>
            <w:r w:rsidR="000A3349" w:rsidRPr="0029661B">
              <w:t xml:space="preserve"> receptor esp</w:t>
            </w:r>
            <w:r w:rsidR="000A3349">
              <w:t>a</w:t>
            </w:r>
            <w:r w:rsidR="000A3349" w:rsidRPr="0029661B">
              <w:t>cial existente utilizado para determinar la órbita del vehículo espacial con una precisión de centímetros. El receptor tiene un amplificador de bajo nivel de ruido con un factor de ruido de 0,8</w:t>
            </w:r>
            <w:r w:rsidR="000A3349">
              <w:t> </w:t>
            </w:r>
            <w:r w:rsidR="000A3349" w:rsidRPr="0029661B">
              <w:t>dB, una antena apuntada al zenith de 7</w:t>
            </w:r>
            <w:r w:rsidR="000A3349">
              <w:t> </w:t>
            </w:r>
            <w:r w:rsidR="000A3349" w:rsidRPr="0029661B">
              <w:t>dBi con una temperatura de ruido de la antena de 10</w:t>
            </w:r>
            <w:r w:rsidR="000A3349">
              <w:t> </w:t>
            </w:r>
            <w:r w:rsidR="000A3349" w:rsidRPr="0029661B">
              <w:t>K y unas pérdidas en el cable de 0,5</w:t>
            </w:r>
            <w:r w:rsidR="000A3349">
              <w:t> </w:t>
            </w:r>
            <w:r w:rsidR="000A3349" w:rsidRPr="0029661B">
              <w:t xml:space="preserve">dB. Por consiguiente, el ruido térmico de fondo es </w:t>
            </w:r>
            <w:r w:rsidR="000A3349" w:rsidRPr="0029661B">
              <w:rPr>
                <w:i/>
              </w:rPr>
              <w:t>N</w:t>
            </w:r>
            <w:r w:rsidR="000A3349" w:rsidRPr="0029661B">
              <w:rPr>
                <w:vertAlign w:val="subscript"/>
              </w:rPr>
              <w:t>0</w:t>
            </w:r>
            <w:r w:rsidR="000A3349" w:rsidRPr="0029661B">
              <w:t> = 10log(</w:t>
            </w:r>
            <w:r w:rsidR="000A3349" w:rsidRPr="0029661B">
              <w:rPr>
                <w:i/>
              </w:rPr>
              <w:t>kT</w:t>
            </w:r>
            <w:r w:rsidR="000A3349" w:rsidRPr="0029661B">
              <w:rPr>
                <w:i/>
                <w:vertAlign w:val="subscript"/>
              </w:rPr>
              <w:t>sys</w:t>
            </w:r>
            <w:r w:rsidR="000A3349" w:rsidRPr="0029661B">
              <w:t xml:space="preserve">) = −208 dB(W/Hz) = −148 dB(W/MHz) siendo </w:t>
            </w:r>
            <w:r w:rsidR="000A3349" w:rsidRPr="0029661B">
              <w:rPr>
                <w:i/>
              </w:rPr>
              <w:t>k</w:t>
            </w:r>
            <w:r w:rsidR="000A3349" w:rsidRPr="0029661B">
              <w:t xml:space="preserve"> la constante de Boltzmann.</w:t>
            </w:r>
          </w:p>
          <w:p w:rsidR="000A3349" w:rsidRPr="0029661B" w:rsidRDefault="004B57E9" w:rsidP="00962C62">
            <w:pPr>
              <w:pStyle w:val="TableLegendNote"/>
            </w:pPr>
            <w:r w:rsidRPr="0029661B">
              <w:t>NOTA</w:t>
            </w:r>
            <w:r>
              <w:t> 2 </w:t>
            </w:r>
            <w:r w:rsidRPr="0029661B">
              <w:t>−</w:t>
            </w:r>
            <w:r>
              <w:t> </w:t>
            </w:r>
            <w:r w:rsidR="000A3349" w:rsidRPr="0029661B">
              <w:t>Este valor umbral se aplica únicamente al canal receptor de código L1 CA y para una anchura de banda de la señal interferente de banda es</w:t>
            </w:r>
            <w:r w:rsidR="000A3349">
              <w:t>trecha continua inferior a 700 </w:t>
            </w:r>
            <w:r w:rsidR="000A3349" w:rsidRPr="0029661B">
              <w:t>Hz. Para anchuras de b</w:t>
            </w:r>
            <w:r w:rsidR="000A3349">
              <w:t>anda comprendidas entre 700 </w:t>
            </w:r>
            <w:r w:rsidR="000A3349" w:rsidRPr="0029661B">
              <w:t>Hz y 1</w:t>
            </w:r>
            <w:r w:rsidR="000A3349">
              <w:t> </w:t>
            </w:r>
            <w:r w:rsidR="000A3349" w:rsidRPr="0029661B">
              <w:t>MHz, el umbral crece como sigue (véase la Fig.</w:t>
            </w:r>
            <w:r w:rsidR="000A3349">
              <w:t> </w:t>
            </w:r>
            <w:r w:rsidR="000A3349" w:rsidRPr="0029661B">
              <w:t>2 de la Recomendación</w:t>
            </w:r>
            <w:r w:rsidR="007F3E34">
              <w:t xml:space="preserve"> </w:t>
            </w:r>
            <w:r w:rsidR="000A3349" w:rsidRPr="0029661B">
              <w:t>UIT</w:t>
            </w:r>
            <w:r w:rsidR="000A3349">
              <w:noBreakHyphen/>
            </w:r>
            <w:r w:rsidR="000A3349" w:rsidRPr="0029661B">
              <w:t>R</w:t>
            </w:r>
            <w:r w:rsidR="000A3349">
              <w:t> </w:t>
            </w:r>
            <w:r w:rsidR="000A3349" w:rsidRPr="0029661B">
              <w:t>M.1903); 1)</w:t>
            </w:r>
            <w:r w:rsidR="00962C62">
              <w:t> </w:t>
            </w:r>
            <w:r w:rsidR="000A3349" w:rsidRPr="0029661B">
              <w:t xml:space="preserve">para una anchura de banda de la interferencia </w:t>
            </w:r>
            <w:r w:rsidR="000A3349" w:rsidRPr="0029661B">
              <w:rPr>
                <w:i/>
              </w:rPr>
              <w:t>B</w:t>
            </w:r>
            <w:r w:rsidR="000A3349" w:rsidRPr="0029661B">
              <w:rPr>
                <w:i/>
                <w:vertAlign w:val="subscript"/>
              </w:rPr>
              <w:t>I</w:t>
            </w:r>
            <w:r w:rsidR="000A3349">
              <w:t xml:space="preserve"> de 700 </w:t>
            </w:r>
            <w:r w:rsidR="000A3349" w:rsidRPr="0029661B">
              <w:t>Hz a 10</w:t>
            </w:r>
            <w:r w:rsidR="000A3349">
              <w:t> </w:t>
            </w:r>
            <w:r w:rsidR="000A3349" w:rsidRPr="0029661B">
              <w:t>kHz el umbral</w:t>
            </w:r>
            <w:r w:rsidR="000A3349">
              <w:t xml:space="preserve"> aumenta linealmente con el log</w:t>
            </w:r>
            <w:r w:rsidR="000A3349" w:rsidRPr="0029661B">
              <w:t>(</w:t>
            </w:r>
            <w:r w:rsidR="000A3349" w:rsidRPr="0029661B">
              <w:rPr>
                <w:i/>
              </w:rPr>
              <w:t>B</w:t>
            </w:r>
            <w:r w:rsidR="000A3349" w:rsidRPr="0029661B">
              <w:rPr>
                <w:i/>
                <w:vertAlign w:val="subscript"/>
              </w:rPr>
              <w:t>I</w:t>
            </w:r>
            <w:r w:rsidR="000A3349" w:rsidRPr="0029661B">
              <w:t>) (</w:t>
            </w:r>
            <w:r w:rsidR="000A3349" w:rsidRPr="0029661B">
              <w:rPr>
                <w:i/>
              </w:rPr>
              <w:t>B</w:t>
            </w:r>
            <w:r w:rsidR="000A3349" w:rsidRPr="0029661B">
              <w:rPr>
                <w:i/>
                <w:vertAlign w:val="subscript"/>
              </w:rPr>
              <w:t>I</w:t>
            </w:r>
            <w:r w:rsidR="000A3349" w:rsidRPr="0029661B">
              <w:t xml:space="preserve"> en kHz) desde </w:t>
            </w:r>
            <w:r w:rsidR="000A3349" w:rsidRPr="00437B15">
              <w:t>–</w:t>
            </w:r>
            <w:r w:rsidR="000A3349" w:rsidRPr="0029661B">
              <w:t>164</w:t>
            </w:r>
            <w:r w:rsidR="000A3349">
              <w:t> </w:t>
            </w:r>
            <w:r w:rsidR="000A3349" w:rsidRPr="0029661B">
              <w:t xml:space="preserve">dBW para </w:t>
            </w:r>
            <w:r w:rsidR="000A3349" w:rsidRPr="0029661B">
              <w:rPr>
                <w:i/>
              </w:rPr>
              <w:t>B</w:t>
            </w:r>
            <w:r w:rsidR="000A3349" w:rsidRPr="0029661B">
              <w:rPr>
                <w:i/>
                <w:vertAlign w:val="subscript"/>
              </w:rPr>
              <w:t>I</w:t>
            </w:r>
            <w:r>
              <w:t> </w:t>
            </w:r>
            <w:r w:rsidR="000A3349" w:rsidRPr="0029661B">
              <w:t>=</w:t>
            </w:r>
            <w:r>
              <w:t> </w:t>
            </w:r>
            <w:r w:rsidR="000A3349" w:rsidRPr="0029661B">
              <w:t>0,7</w:t>
            </w:r>
            <w:r w:rsidR="000A3349">
              <w:t> </w:t>
            </w:r>
            <w:r w:rsidR="000A3349" w:rsidRPr="0029661B">
              <w:t xml:space="preserve">kHz hasta </w:t>
            </w:r>
            <w:r w:rsidR="000A3349" w:rsidRPr="00437B15">
              <w:t>–</w:t>
            </w:r>
            <w:r w:rsidR="000A3349" w:rsidRPr="0029661B">
              <w:t>157</w:t>
            </w:r>
            <w:r w:rsidR="000A3349">
              <w:t> </w:t>
            </w:r>
            <w:r w:rsidR="000A3349" w:rsidRPr="0029661B">
              <w:t xml:space="preserve">dBW para </w:t>
            </w:r>
            <w:r w:rsidR="000A3349" w:rsidRPr="0029661B">
              <w:rPr>
                <w:i/>
              </w:rPr>
              <w:t>B</w:t>
            </w:r>
            <w:r w:rsidR="000A3349" w:rsidRPr="0029661B">
              <w:rPr>
                <w:i/>
                <w:vertAlign w:val="subscript"/>
              </w:rPr>
              <w:t>I</w:t>
            </w:r>
            <w:r w:rsidR="000A3349">
              <w:t> </w:t>
            </w:r>
            <w:r w:rsidR="000A3349" w:rsidRPr="0029661B">
              <w:t>=</w:t>
            </w:r>
            <w:r w:rsidR="000A3349">
              <w:t> </w:t>
            </w:r>
            <w:r w:rsidR="000A3349" w:rsidRPr="0029661B">
              <w:t>10</w:t>
            </w:r>
            <w:r w:rsidR="000A3349">
              <w:t> </w:t>
            </w:r>
            <w:r w:rsidR="00962C62">
              <w:t xml:space="preserve">kHz; </w:t>
            </w:r>
            <w:r w:rsidR="000A3349" w:rsidRPr="0029661B">
              <w:t>2)</w:t>
            </w:r>
            <w:r w:rsidR="00962C62">
              <w:t> </w:t>
            </w:r>
            <w:r w:rsidR="000A3349" w:rsidRPr="0029661B">
              <w:t>para 10</w:t>
            </w:r>
            <w:r w:rsidR="000A3349">
              <w:t> </w:t>
            </w:r>
            <w:r w:rsidR="000A3349" w:rsidRPr="0029661B">
              <w:t xml:space="preserve">kHz </w:t>
            </w:r>
            <w:r w:rsidR="000A3349" w:rsidRPr="0029661B">
              <w:sym w:font="Symbol" w:char="00A3"/>
            </w:r>
            <w:r w:rsidR="000A3349" w:rsidRPr="0029661B">
              <w:t xml:space="preserve"> </w:t>
            </w:r>
            <w:r w:rsidR="000A3349" w:rsidRPr="0029661B">
              <w:rPr>
                <w:i/>
              </w:rPr>
              <w:t>B</w:t>
            </w:r>
            <w:r w:rsidR="000A3349" w:rsidRPr="0029661B">
              <w:rPr>
                <w:i/>
                <w:vertAlign w:val="subscript"/>
              </w:rPr>
              <w:t>I</w:t>
            </w:r>
            <w:r w:rsidR="000A3349" w:rsidRPr="0029661B">
              <w:t xml:space="preserve"> </w:t>
            </w:r>
            <w:r w:rsidR="000A3349" w:rsidRPr="0029661B">
              <w:sym w:font="Symbol" w:char="00A3"/>
            </w:r>
            <w:r w:rsidR="000A3349" w:rsidRPr="0029661B">
              <w:t xml:space="preserve"> 100</w:t>
            </w:r>
            <w:r w:rsidR="000A3349">
              <w:t> </w:t>
            </w:r>
            <w:r w:rsidR="000A3349" w:rsidRPr="0029661B">
              <w:t>kHz, el umbr</w:t>
            </w:r>
            <w:r w:rsidR="000A3349">
              <w:t>al crece linealmente con el log</w:t>
            </w:r>
            <w:r w:rsidR="000A3349" w:rsidRPr="0029661B">
              <w:t>(</w:t>
            </w:r>
            <w:r w:rsidR="000A3349" w:rsidRPr="0029661B">
              <w:rPr>
                <w:i/>
              </w:rPr>
              <w:t>B</w:t>
            </w:r>
            <w:r w:rsidR="000A3349" w:rsidRPr="0029661B">
              <w:rPr>
                <w:i/>
                <w:vertAlign w:val="subscript"/>
              </w:rPr>
              <w:t>I</w:t>
            </w:r>
            <w:r w:rsidR="000A3349" w:rsidRPr="0029661B">
              <w:t>) (</w:t>
            </w:r>
            <w:r w:rsidR="000A3349" w:rsidRPr="0029661B">
              <w:rPr>
                <w:i/>
              </w:rPr>
              <w:t>B</w:t>
            </w:r>
            <w:r w:rsidR="000A3349" w:rsidRPr="0029661B">
              <w:rPr>
                <w:i/>
                <w:vertAlign w:val="subscript"/>
              </w:rPr>
              <w:t>I</w:t>
            </w:r>
            <w:r w:rsidR="000A3349" w:rsidRPr="0029661B">
              <w:t xml:space="preserve"> en kHz) desde</w:t>
            </w:r>
            <w:r w:rsidR="007877A0">
              <w:br/>
            </w:r>
            <w:r w:rsidR="000A3349" w:rsidRPr="00437B15">
              <w:t>–</w:t>
            </w:r>
            <w:r w:rsidR="000A3349" w:rsidRPr="0029661B">
              <w:t>157</w:t>
            </w:r>
            <w:r w:rsidR="000A3349">
              <w:t> </w:t>
            </w:r>
            <w:r w:rsidR="000A3349" w:rsidRPr="0029661B">
              <w:t xml:space="preserve">dBW para </w:t>
            </w:r>
            <w:r w:rsidR="000A3349" w:rsidRPr="0029661B">
              <w:rPr>
                <w:i/>
              </w:rPr>
              <w:t>B</w:t>
            </w:r>
            <w:r w:rsidR="000A3349" w:rsidRPr="0029661B">
              <w:rPr>
                <w:i/>
                <w:vertAlign w:val="subscript"/>
              </w:rPr>
              <w:t>I</w:t>
            </w:r>
            <w:r w:rsidR="001E1BC3">
              <w:t> </w:t>
            </w:r>
            <w:r w:rsidR="000A3349" w:rsidRPr="0029661B">
              <w:t>=</w:t>
            </w:r>
            <w:r w:rsidR="001E1BC3">
              <w:t> </w:t>
            </w:r>
            <w:r w:rsidR="000A3349" w:rsidRPr="0029661B">
              <w:t>10</w:t>
            </w:r>
            <w:r w:rsidR="000A3349">
              <w:t> </w:t>
            </w:r>
            <w:r w:rsidR="000A3349" w:rsidRPr="0029661B">
              <w:t xml:space="preserve">kHz hasta </w:t>
            </w:r>
            <w:r w:rsidR="000A3349" w:rsidRPr="00CE2D2D">
              <w:t>–</w:t>
            </w:r>
            <w:r w:rsidR="000A3349" w:rsidRPr="0029661B">
              <w:t>154</w:t>
            </w:r>
            <w:r w:rsidR="000A3349">
              <w:t> </w:t>
            </w:r>
            <w:r w:rsidR="000A3349" w:rsidRPr="0029661B">
              <w:t xml:space="preserve">dBW para </w:t>
            </w:r>
            <w:r w:rsidR="000A3349" w:rsidRPr="0029661B">
              <w:rPr>
                <w:i/>
              </w:rPr>
              <w:t>B</w:t>
            </w:r>
            <w:r w:rsidR="000A3349" w:rsidRPr="0029661B">
              <w:rPr>
                <w:i/>
                <w:vertAlign w:val="subscript"/>
              </w:rPr>
              <w:t>I</w:t>
            </w:r>
            <w:r w:rsidR="001E1BC3">
              <w:t> </w:t>
            </w:r>
            <w:r w:rsidR="000A3349" w:rsidRPr="0029661B">
              <w:t>=</w:t>
            </w:r>
            <w:r w:rsidR="001E1BC3">
              <w:t> </w:t>
            </w:r>
            <w:r w:rsidR="000A3349" w:rsidRPr="0029661B">
              <w:t>100</w:t>
            </w:r>
            <w:r w:rsidR="000A3349">
              <w:t> </w:t>
            </w:r>
            <w:r w:rsidR="00962C62">
              <w:t xml:space="preserve">kHz; </w:t>
            </w:r>
            <w:r w:rsidR="000A3349" w:rsidRPr="0029661B">
              <w:t>3)</w:t>
            </w:r>
            <w:r w:rsidR="00962C62">
              <w:t> </w:t>
            </w:r>
            <w:r w:rsidR="000A3349" w:rsidRPr="0029661B">
              <w:t>para 100</w:t>
            </w:r>
            <w:r w:rsidR="000A3349">
              <w:t> </w:t>
            </w:r>
            <w:r w:rsidR="000A3349" w:rsidRPr="0029661B">
              <w:t>kHz</w:t>
            </w:r>
            <w:r w:rsidR="001E1BC3">
              <w:t> </w:t>
            </w:r>
            <w:r w:rsidR="000A3349" w:rsidRPr="0029661B">
              <w:sym w:font="Symbol" w:char="00A3"/>
            </w:r>
            <w:r w:rsidR="001E1BC3">
              <w:t> </w:t>
            </w:r>
            <w:r w:rsidR="000A3349" w:rsidRPr="0029661B">
              <w:rPr>
                <w:i/>
              </w:rPr>
              <w:t>B</w:t>
            </w:r>
            <w:r w:rsidR="000A3349" w:rsidRPr="0029661B">
              <w:rPr>
                <w:i/>
                <w:vertAlign w:val="subscript"/>
              </w:rPr>
              <w:t>I</w:t>
            </w:r>
            <w:r w:rsidR="001E1BC3">
              <w:t> </w:t>
            </w:r>
            <w:r w:rsidR="000A3349" w:rsidRPr="0029661B">
              <w:sym w:font="Symbol" w:char="00A3"/>
            </w:r>
            <w:r w:rsidR="001E1BC3">
              <w:t> </w:t>
            </w:r>
            <w:r w:rsidR="000A3349" w:rsidRPr="0029661B">
              <w:t>1</w:t>
            </w:r>
            <w:r w:rsidR="000A3349">
              <w:t> </w:t>
            </w:r>
            <w:r w:rsidR="000A3349" w:rsidRPr="0029661B">
              <w:t>000</w:t>
            </w:r>
            <w:r w:rsidR="000A3349">
              <w:t> </w:t>
            </w:r>
            <w:r w:rsidR="000A3349" w:rsidRPr="0029661B">
              <w:t xml:space="preserve">kHz el umbral es </w:t>
            </w:r>
            <w:r w:rsidR="000A3349" w:rsidRPr="00437B15">
              <w:t>–</w:t>
            </w:r>
            <w:r w:rsidR="000A3349" w:rsidRPr="0029661B">
              <w:t>154</w:t>
            </w:r>
            <w:r w:rsidR="000A3349">
              <w:t> </w:t>
            </w:r>
            <w:r w:rsidR="000A3349" w:rsidRPr="0029661B">
              <w:t>dBW.</w:t>
            </w:r>
          </w:p>
          <w:p w:rsidR="000A3349" w:rsidRPr="0029661B" w:rsidRDefault="000A3349" w:rsidP="004B57E9">
            <w:pPr>
              <w:pStyle w:val="TableLegendNote"/>
              <w:rPr>
                <w:rFonts w:eastAsia="Calibri"/>
              </w:rPr>
            </w:pPr>
            <w:r w:rsidRPr="0029661B">
              <w:t>NOTA</w:t>
            </w:r>
            <w:r w:rsidR="004B57E9">
              <w:t> </w:t>
            </w:r>
            <w:r w:rsidRPr="0029661B">
              <w:t>3</w:t>
            </w:r>
            <w:r w:rsidR="004B57E9">
              <w:t> </w:t>
            </w:r>
            <w:r w:rsidRPr="0029661B">
              <w:t>−</w:t>
            </w:r>
            <w:r w:rsidR="004B57E9">
              <w:t> </w:t>
            </w:r>
            <w:r w:rsidRPr="0029661B">
              <w:t>Este valor se basa en la señal L2C consistente en un código de longitud moderada de 511,5</w:t>
            </w:r>
            <w:r>
              <w:t> </w:t>
            </w:r>
            <w:r w:rsidRPr="0029661B">
              <w:t>kcps (L2C-M) con periodo de código de 20</w:t>
            </w:r>
            <w:r>
              <w:t> </w:t>
            </w:r>
            <w:r w:rsidRPr="0029661B">
              <w:t>ms multiplexado en el tiempo con otro código largo de 511,5</w:t>
            </w:r>
            <w:r>
              <w:t> </w:t>
            </w:r>
            <w:r w:rsidRPr="0029661B">
              <w:t>kcps (L2C-L) con un periodo de código de 1</w:t>
            </w:r>
            <w:r>
              <w:t> </w:t>
            </w:r>
            <w:r w:rsidRPr="0029661B">
              <w:t>500</w:t>
            </w:r>
            <w:r>
              <w:t> </w:t>
            </w:r>
            <w:r w:rsidRPr="0029661B">
              <w:t>ms para producir una velocidad de segmento total de 1,023 Mcps. Los umbrales para anchuras de banda de la interferencia comprendidas ent</w:t>
            </w:r>
            <w:r>
              <w:t>re 1 kHz y 1 MHz para L2C no han</w:t>
            </w:r>
            <w:r w:rsidRPr="0029661B">
              <w:t xml:space="preserve"> sido definidos y deben ser objeto de nuevos estudios</w:t>
            </w:r>
            <w:r w:rsidRPr="0029661B">
              <w:rPr>
                <w:rFonts w:eastAsia="Calibri"/>
              </w:rPr>
              <w:t>.</w:t>
            </w:r>
          </w:p>
          <w:p w:rsidR="000A3349" w:rsidRPr="0029661B" w:rsidRDefault="004B57E9" w:rsidP="004B57E9">
            <w:pPr>
              <w:pStyle w:val="TableLegendNote"/>
            </w:pPr>
            <w:r w:rsidRPr="0029661B">
              <w:t>NOTA</w:t>
            </w:r>
            <w:r>
              <w:t> 4 </w:t>
            </w:r>
            <w:r w:rsidRPr="0029661B">
              <w:t>−</w:t>
            </w:r>
            <w:r>
              <w:t> </w:t>
            </w:r>
            <w:r w:rsidR="000A3349" w:rsidRPr="0029661B">
              <w:t>Este umbral se debe al carácter de raya espectral de la señal piloto L5 que puede provocar una capacidad de rechazo de la interferencia hasta 10</w:t>
            </w:r>
            <w:r w:rsidR="000A3349">
              <w:t> </w:t>
            </w:r>
            <w:r w:rsidR="000A3349" w:rsidRPr="0029661B">
              <w:t>dB menor que la calculada suponiendo un código aleatorio de 10,23 M</w:t>
            </w:r>
            <w:r w:rsidR="000A3349">
              <w:t>c</w:t>
            </w:r>
            <w:r w:rsidR="000A3349" w:rsidRPr="0029661B">
              <w:t xml:space="preserve">ps no periódico con un espectro de potencia continuo (es decir, bajo la hipótesis de código aleatorio, el umbral sería de </w:t>
            </w:r>
            <w:r w:rsidR="000A3349" w:rsidRPr="00F43BA3">
              <w:t>–</w:t>
            </w:r>
            <w:r w:rsidR="000A3349" w:rsidRPr="0029661B">
              <w:t>144</w:t>
            </w:r>
            <w:r w:rsidR="000A3349">
              <w:t> </w:t>
            </w:r>
            <w:r w:rsidR="000A3349" w:rsidRPr="0029661B">
              <w:t>dBW). Los umbrales para anchuras de banda de la interferencia comprendidas entre 700 Hz y 1</w:t>
            </w:r>
            <w:r w:rsidR="000A3349">
              <w:t> </w:t>
            </w:r>
            <w:r w:rsidR="000A3349" w:rsidRPr="0029661B">
              <w:t>MHz están siendo objeto de estudio.</w:t>
            </w:r>
          </w:p>
          <w:p w:rsidR="000A3349" w:rsidRPr="0029661B" w:rsidRDefault="004B57E9" w:rsidP="004B57E9">
            <w:pPr>
              <w:pStyle w:val="TableLegendNote"/>
            </w:pPr>
            <w:r w:rsidRPr="0029661B">
              <w:t>NOTA</w:t>
            </w:r>
            <w:r>
              <w:t> 5 </w:t>
            </w:r>
            <w:r w:rsidRPr="0029661B">
              <w:t>−</w:t>
            </w:r>
            <w:r>
              <w:t> </w:t>
            </w:r>
            <w:r w:rsidR="000A3349" w:rsidRPr="0029661B">
              <w:t>Este valor se basa en la adquisición directa de la señal L2C utilizando L2C-M. Los umbrales para anchuras de banda de la interferencia comprendidas entre 1</w:t>
            </w:r>
            <w:r w:rsidR="000A3349">
              <w:t> </w:t>
            </w:r>
            <w:r w:rsidR="000A3349" w:rsidRPr="0029661B">
              <w:t>kHz y 1</w:t>
            </w:r>
            <w:r w:rsidR="000A3349">
              <w:t> </w:t>
            </w:r>
            <w:r w:rsidR="000A3349" w:rsidRPr="0029661B">
              <w:t>MHz para L2C no están definidos y pueden requerir más estudios</w:t>
            </w:r>
            <w:r w:rsidR="000A3349" w:rsidRPr="0029661B">
              <w:rPr>
                <w:rFonts w:eastAsia="Calibri"/>
              </w:rPr>
              <w:t>.</w:t>
            </w:r>
          </w:p>
          <w:p w:rsidR="000A3349" w:rsidRPr="0029661B" w:rsidRDefault="004B57E9" w:rsidP="00F27F5E">
            <w:pPr>
              <w:pStyle w:val="TableLegendNote"/>
            </w:pPr>
            <w:r w:rsidRPr="0029661B">
              <w:t>NOTA</w:t>
            </w:r>
            <w:r>
              <w:t> 6 </w:t>
            </w:r>
            <w:r w:rsidRPr="0029661B">
              <w:t>−</w:t>
            </w:r>
            <w:r>
              <w:t> </w:t>
            </w:r>
            <w:r w:rsidR="000A3349" w:rsidRPr="0029661B">
              <w:t xml:space="preserve">Este umbral se basa en una relación </w:t>
            </w:r>
            <w:r w:rsidR="000A3349" w:rsidRPr="0029661B">
              <w:rPr>
                <w:i/>
                <w:iCs/>
              </w:rPr>
              <w:t>I/N</w:t>
            </w:r>
            <w:r w:rsidR="000A3349" w:rsidRPr="0029661B">
              <w:t xml:space="preserve"> de </w:t>
            </w:r>
            <w:r w:rsidR="000A3349" w:rsidRPr="005D7A33">
              <w:t>–</w:t>
            </w:r>
            <w:r w:rsidR="000A3349" w:rsidRPr="0029661B">
              <w:t>6</w:t>
            </w:r>
            <w:r w:rsidR="000A3349">
              <w:t> </w:t>
            </w:r>
            <w:r w:rsidR="000A3349" w:rsidRPr="0029661B">
              <w:t>dB con respecto al ruido térmico de fondo (</w:t>
            </w:r>
            <w:r w:rsidR="000A3349" w:rsidRPr="0029661B">
              <w:rPr>
                <w:i/>
              </w:rPr>
              <w:t>N</w:t>
            </w:r>
            <w:r w:rsidR="000A3349" w:rsidRPr="0029661B">
              <w:rPr>
                <w:vertAlign w:val="subscript"/>
              </w:rPr>
              <w:t>0</w:t>
            </w:r>
            <w:r w:rsidR="000A3349" w:rsidRPr="0029661B">
              <w:t> = −148 dB(W/MHz)). De forma equivalente, esta interferencia dará lugar a un incremento de 1</w:t>
            </w:r>
            <w:r w:rsidR="000A3349">
              <w:t> </w:t>
            </w:r>
            <w:r w:rsidR="000A3349" w:rsidRPr="0029661B">
              <w:t>dB en el ruido térmico de fondo. El incremento del ruido de fondo puede ser superior a 1</w:t>
            </w:r>
            <w:r w:rsidR="000A3349">
              <w:t> </w:t>
            </w:r>
            <w:r w:rsidR="000A3349" w:rsidRPr="0029661B">
              <w:t>dB en las bandas 1 215</w:t>
            </w:r>
            <w:r w:rsidR="000A3349">
              <w:noBreakHyphen/>
            </w:r>
            <w:r w:rsidR="000A3349" w:rsidRPr="0029661B">
              <w:t>1 300 MHz y 1 164</w:t>
            </w:r>
            <w:r w:rsidR="000A3349" w:rsidRPr="0029661B">
              <w:noBreakHyphen/>
              <w:t>1 215 MHz debido a la posible interferencia de RF impulsiva (por ejemplo, procedente de radares de abertura sintética a bordo de vehículos espaciales y/o transmisores del SRNA). El efecto de la interferencia de RF impulsiva sobre el comportamiento del receptor dependerá de una cierta variedad de factores incluida la potencia impulsiva recibida (valor de cresta/valor medio), la duración del impulso y el ciclo de trabajo del impulso</w:t>
            </w:r>
            <w:r w:rsidR="000A3349">
              <w:t>,</w:t>
            </w:r>
            <w:r w:rsidR="000A3349" w:rsidRPr="0029661B">
              <w:t xml:space="preserve"> así como de parámetros específicos del receptor tales como </w:t>
            </w:r>
            <w:r w:rsidR="000A3349">
              <w:t xml:space="preserve">el </w:t>
            </w:r>
            <w:r w:rsidR="000A3349" w:rsidRPr="0029661B">
              <w:t>nivel de saturación del extremo frontal, el tiempo de recuperación tras la saturación, el nivel de saturación del control automático de ganancia y la constante de tiempo (si se emplea A/D</w:t>
            </w:r>
            <w:r w:rsidR="000A3349">
              <w:t xml:space="preserve"> </w:t>
            </w:r>
            <w:r w:rsidR="000A3349" w:rsidRPr="0029661B">
              <w:t>multibit) y un tipo de conversor A/D y niveles umbral de cuantificación. Se necesitan más estudios por parte del UIT</w:t>
            </w:r>
            <w:r w:rsidR="000A3349">
              <w:noBreakHyphen/>
            </w:r>
            <w:r w:rsidR="000A3349" w:rsidRPr="0029661B">
              <w:t>R para elaborar un método que evalúe la repercusión de la interferencia de RF impulsiva en los receptores del</w:t>
            </w:r>
            <w:r w:rsidR="00F27F5E">
              <w:t> </w:t>
            </w:r>
            <w:r w:rsidR="000A3349" w:rsidRPr="0029661B">
              <w:t>SRNS.</w:t>
            </w:r>
          </w:p>
        </w:tc>
      </w:tr>
    </w:tbl>
    <w:p w:rsidR="000A3349" w:rsidRPr="0029661B" w:rsidRDefault="000A3349" w:rsidP="000A3349">
      <w:pPr>
        <w:pStyle w:val="Tablefin"/>
        <w:rPr>
          <w:lang w:val="es-ES_tradnl"/>
        </w:rPr>
      </w:pPr>
    </w:p>
    <w:p w:rsidR="004B57E9" w:rsidRDefault="004B57E9">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0A3349" w:rsidRPr="0029661B" w:rsidRDefault="000A3349" w:rsidP="000A3349">
      <w:pPr>
        <w:pStyle w:val="AnnexNoTitle"/>
        <w:rPr>
          <w:lang w:val="es-ES_tradnl"/>
        </w:rPr>
      </w:pPr>
      <w:r w:rsidRPr="0029661B">
        <w:rPr>
          <w:lang w:val="es-ES_tradnl"/>
        </w:rPr>
        <w:lastRenderedPageBreak/>
        <w:t>Anexo 3</w:t>
      </w:r>
      <w:r w:rsidRPr="0029661B">
        <w:rPr>
          <w:lang w:val="es-ES_tradnl"/>
        </w:rPr>
        <w:br/>
      </w:r>
      <w:r w:rsidRPr="0029661B">
        <w:rPr>
          <w:lang w:val="es-ES_tradnl"/>
        </w:rPr>
        <w:br/>
        <w:t>Características de los receptores a bordo de un vehículo espacial Galileo</w:t>
      </w:r>
    </w:p>
    <w:p w:rsidR="000A3349" w:rsidRPr="0029661B" w:rsidRDefault="000A3349" w:rsidP="000A3349">
      <w:pPr>
        <w:pStyle w:val="Normalaftertitle"/>
        <w:rPr>
          <w:lang w:val="es-ES_tradnl"/>
        </w:rPr>
      </w:pPr>
      <w:r w:rsidRPr="0029661B">
        <w:rPr>
          <w:lang w:val="es-ES_tradnl"/>
        </w:rPr>
        <w:t>El Cuadro 3-1 proporciona las características de los receptores del SRNS a bordo de un vehículo espacial para su utilización con el sistema Galileo.</w:t>
      </w:r>
    </w:p>
    <w:p w:rsidR="000A3349" w:rsidRPr="0029661B" w:rsidRDefault="000A3349" w:rsidP="000A3349">
      <w:pPr>
        <w:pStyle w:val="TableNo"/>
        <w:rPr>
          <w:lang w:val="es-ES_tradnl"/>
        </w:rPr>
      </w:pPr>
      <w:r w:rsidRPr="0029661B">
        <w:rPr>
          <w:lang w:val="es-ES_tradnl"/>
        </w:rPr>
        <w:t>CUADRO  3-1</w:t>
      </w:r>
    </w:p>
    <w:p w:rsidR="000A3349" w:rsidRPr="0029661B" w:rsidRDefault="000A3349" w:rsidP="000A3349">
      <w:pPr>
        <w:pStyle w:val="Tabletitle"/>
        <w:rPr>
          <w:lang w:val="es-ES_tradnl"/>
        </w:rPr>
      </w:pPr>
      <w:r>
        <w:rPr>
          <w:lang w:val="es-ES_tradnl"/>
        </w:rPr>
        <w:t>Características de los receptores a bordo de un vehículo espacial</w:t>
      </w:r>
      <w:r w:rsidRPr="00F43BA3">
        <w:rPr>
          <w:lang w:val="es-ES_tradnl"/>
        </w:rPr>
        <w:t xml:space="preserve"> </w:t>
      </w:r>
      <w:r w:rsidRPr="0029661B">
        <w:rPr>
          <w:lang w:val="es-ES_tradnl"/>
        </w:rPr>
        <w:t>Galileo</w:t>
      </w:r>
    </w:p>
    <w:tbl>
      <w:tblPr>
        <w:tblW w:w="9637" w:type="dxa"/>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53"/>
        <w:gridCol w:w="1417"/>
        <w:gridCol w:w="1417"/>
        <w:gridCol w:w="1020"/>
        <w:gridCol w:w="1219"/>
        <w:gridCol w:w="935"/>
        <w:gridCol w:w="256"/>
        <w:gridCol w:w="1020"/>
      </w:tblGrid>
      <w:tr w:rsidR="00851679" w:rsidRPr="0029661B" w:rsidTr="00851679">
        <w:trPr>
          <w:cantSplit/>
          <w:tblHeader/>
          <w:jc w:val="center"/>
        </w:trPr>
        <w:tc>
          <w:tcPr>
            <w:tcW w:w="2353" w:type="dxa"/>
            <w:vMerge w:val="restart"/>
            <w:vAlign w:val="center"/>
          </w:tcPr>
          <w:p w:rsidR="00851679" w:rsidRPr="0029661B" w:rsidRDefault="00851679" w:rsidP="00851679">
            <w:pPr>
              <w:pStyle w:val="Tablehead"/>
              <w:rPr>
                <w:rFonts w:eastAsia="MS PGothic"/>
                <w:lang w:val="es-ES_tradnl"/>
              </w:rPr>
            </w:pPr>
            <w:r w:rsidRPr="0029661B">
              <w:rPr>
                <w:rFonts w:eastAsia="MS PGothic"/>
                <w:lang w:val="es-ES_tradnl"/>
              </w:rPr>
              <w:t>Parámetro</w:t>
            </w:r>
          </w:p>
        </w:tc>
        <w:tc>
          <w:tcPr>
            <w:tcW w:w="7284" w:type="dxa"/>
            <w:gridSpan w:val="7"/>
            <w:vAlign w:val="center"/>
          </w:tcPr>
          <w:p w:rsidR="00851679" w:rsidRPr="0029661B" w:rsidRDefault="00851679" w:rsidP="00851679">
            <w:pPr>
              <w:pStyle w:val="Tablehead"/>
              <w:rPr>
                <w:rFonts w:eastAsia="MS PGothic"/>
                <w:lang w:val="es-ES_tradnl"/>
              </w:rPr>
            </w:pPr>
            <w:r w:rsidRPr="0029661B">
              <w:rPr>
                <w:rFonts w:eastAsia="MS PGothic"/>
                <w:lang w:val="es-ES_tradnl"/>
              </w:rPr>
              <w:t>Valor del parámetro</w:t>
            </w:r>
          </w:p>
        </w:tc>
      </w:tr>
      <w:tr w:rsidR="00851679" w:rsidRPr="0029661B" w:rsidTr="0085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vMerge/>
            <w:tcBorders>
              <w:top w:val="single" w:sz="4" w:space="0" w:color="auto"/>
              <w:left w:val="single" w:sz="4" w:space="0" w:color="auto"/>
              <w:bottom w:val="single" w:sz="4" w:space="0" w:color="auto"/>
              <w:right w:val="single" w:sz="4" w:space="0" w:color="auto"/>
            </w:tcBorders>
            <w:vAlign w:val="center"/>
          </w:tcPr>
          <w:p w:rsidR="00851679" w:rsidRPr="0029661B" w:rsidRDefault="00851679" w:rsidP="009D2E83">
            <w:pPr>
              <w:pStyle w:val="Tablehead"/>
              <w:rPr>
                <w:rFonts w:eastAsia="MS PGothic"/>
                <w:lang w:val="es-ES_tradnl"/>
              </w:rPr>
            </w:pPr>
          </w:p>
        </w:tc>
        <w:tc>
          <w:tcPr>
            <w:tcW w:w="1417" w:type="dxa"/>
            <w:tcBorders>
              <w:top w:val="single" w:sz="4" w:space="0" w:color="auto"/>
              <w:left w:val="single" w:sz="4" w:space="0" w:color="auto"/>
              <w:bottom w:val="single" w:sz="4" w:space="0" w:color="auto"/>
              <w:right w:val="single" w:sz="4" w:space="0" w:color="auto"/>
            </w:tcBorders>
            <w:vAlign w:val="center"/>
          </w:tcPr>
          <w:p w:rsidR="00851679" w:rsidRPr="0029661B" w:rsidRDefault="00851679" w:rsidP="009D2E83">
            <w:pPr>
              <w:pStyle w:val="Tablehead"/>
              <w:rPr>
                <w:rFonts w:eastAsia="MS PGothic"/>
                <w:lang w:val="es-ES_tradnl"/>
              </w:rPr>
            </w:pPr>
            <w:r w:rsidRPr="0029661B">
              <w:rPr>
                <w:rFonts w:eastAsia="MS PGothic"/>
                <w:lang w:val="es-ES_tradnl"/>
              </w:rPr>
              <w:t>E5a</w:t>
            </w:r>
          </w:p>
        </w:tc>
        <w:tc>
          <w:tcPr>
            <w:tcW w:w="1417" w:type="dxa"/>
            <w:tcBorders>
              <w:top w:val="single" w:sz="4" w:space="0" w:color="auto"/>
              <w:left w:val="single" w:sz="4" w:space="0" w:color="auto"/>
              <w:bottom w:val="single" w:sz="4" w:space="0" w:color="auto"/>
              <w:right w:val="single" w:sz="4" w:space="0" w:color="auto"/>
            </w:tcBorders>
            <w:vAlign w:val="center"/>
          </w:tcPr>
          <w:p w:rsidR="00851679" w:rsidRPr="0029661B" w:rsidRDefault="00851679" w:rsidP="009D2E83">
            <w:pPr>
              <w:pStyle w:val="Tablehead"/>
              <w:rPr>
                <w:rFonts w:eastAsia="MS PGothic"/>
                <w:lang w:val="es-ES_tradnl"/>
              </w:rPr>
            </w:pPr>
            <w:r w:rsidRPr="0029661B">
              <w:rPr>
                <w:rFonts w:eastAsia="MS PGothic"/>
                <w:lang w:val="es-ES_tradnl"/>
              </w:rPr>
              <w:t>E5b</w:t>
            </w:r>
          </w:p>
        </w:tc>
        <w:tc>
          <w:tcPr>
            <w:tcW w:w="1020" w:type="dxa"/>
            <w:tcBorders>
              <w:top w:val="single" w:sz="4" w:space="0" w:color="auto"/>
              <w:left w:val="single" w:sz="4" w:space="0" w:color="auto"/>
              <w:bottom w:val="single" w:sz="4" w:space="0" w:color="auto"/>
              <w:right w:val="single" w:sz="4" w:space="0" w:color="auto"/>
            </w:tcBorders>
            <w:vAlign w:val="center"/>
          </w:tcPr>
          <w:p w:rsidR="00851679" w:rsidRPr="0029661B" w:rsidRDefault="00851679" w:rsidP="009D2E83">
            <w:pPr>
              <w:pStyle w:val="Tablehead"/>
              <w:rPr>
                <w:rFonts w:eastAsia="MS PGothic"/>
                <w:lang w:val="es-ES_tradnl"/>
              </w:rPr>
            </w:pPr>
            <w:r w:rsidRPr="0029661B">
              <w:rPr>
                <w:rFonts w:eastAsia="MS PGothic"/>
                <w:lang w:val="es-ES_tradnl"/>
              </w:rPr>
              <w:t>E6 CS</w:t>
            </w:r>
          </w:p>
        </w:tc>
        <w:tc>
          <w:tcPr>
            <w:tcW w:w="1219" w:type="dxa"/>
            <w:tcBorders>
              <w:top w:val="single" w:sz="4" w:space="0" w:color="auto"/>
              <w:left w:val="single" w:sz="4" w:space="0" w:color="auto"/>
              <w:bottom w:val="single" w:sz="4" w:space="0" w:color="auto"/>
              <w:right w:val="single" w:sz="4" w:space="0" w:color="auto"/>
            </w:tcBorders>
            <w:vAlign w:val="center"/>
          </w:tcPr>
          <w:p w:rsidR="00851679" w:rsidRPr="0029661B" w:rsidRDefault="00851679" w:rsidP="009D2E83">
            <w:pPr>
              <w:pStyle w:val="Tablehead"/>
              <w:rPr>
                <w:rFonts w:eastAsia="MS PGothic"/>
                <w:lang w:val="es-ES_tradnl"/>
              </w:rPr>
            </w:pPr>
            <w:r w:rsidRPr="0029661B">
              <w:rPr>
                <w:rFonts w:eastAsia="MS PGothic"/>
                <w:lang w:val="es-ES_tradnl"/>
              </w:rPr>
              <w:t>E6 PRS</w:t>
            </w:r>
          </w:p>
        </w:tc>
        <w:tc>
          <w:tcPr>
            <w:tcW w:w="935" w:type="dxa"/>
            <w:tcBorders>
              <w:top w:val="single" w:sz="4" w:space="0" w:color="auto"/>
              <w:left w:val="single" w:sz="4" w:space="0" w:color="auto"/>
              <w:bottom w:val="single" w:sz="4" w:space="0" w:color="auto"/>
              <w:right w:val="single" w:sz="4" w:space="0" w:color="auto"/>
            </w:tcBorders>
            <w:vAlign w:val="center"/>
          </w:tcPr>
          <w:p w:rsidR="00851679" w:rsidRPr="0029661B" w:rsidRDefault="00851679" w:rsidP="009D2E83">
            <w:pPr>
              <w:pStyle w:val="Tablehead"/>
              <w:rPr>
                <w:rFonts w:eastAsia="MS PGothic"/>
                <w:lang w:val="es-ES_tradnl"/>
              </w:rPr>
            </w:pPr>
            <w:r w:rsidRPr="0029661B">
              <w:rPr>
                <w:rFonts w:eastAsia="MS PGothic"/>
                <w:lang w:val="es-ES_tradnl"/>
              </w:rPr>
              <w:t>E OS</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851679" w:rsidRPr="0029661B" w:rsidRDefault="00851679" w:rsidP="009D2E83">
            <w:pPr>
              <w:pStyle w:val="Tablehead"/>
              <w:rPr>
                <w:rFonts w:eastAsia="MS PGothic"/>
                <w:lang w:val="es-ES_tradnl"/>
              </w:rPr>
            </w:pPr>
            <w:r w:rsidRPr="0029661B">
              <w:rPr>
                <w:rFonts w:eastAsia="MS PGothic"/>
                <w:lang w:val="es-ES_tradnl"/>
              </w:rPr>
              <w:t>E PRS</w:t>
            </w:r>
          </w:p>
        </w:tc>
      </w:tr>
      <w:tr w:rsidR="00B737DE" w:rsidRPr="0029661B" w:rsidTr="0085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left w:val="single" w:sz="4" w:space="0" w:color="auto"/>
              <w:bottom w:val="single" w:sz="4" w:space="0" w:color="auto"/>
              <w:right w:val="single" w:sz="4" w:space="0" w:color="auto"/>
            </w:tcBorders>
            <w:vAlign w:val="center"/>
          </w:tcPr>
          <w:p w:rsidR="00B737DE" w:rsidRPr="0029661B" w:rsidRDefault="00B737DE" w:rsidP="009B4E75">
            <w:pPr>
              <w:pStyle w:val="Tabletext"/>
              <w:jc w:val="left"/>
              <w:rPr>
                <w:rFonts w:eastAsia="MS PGothic"/>
                <w:lang w:val="es-ES_tradnl"/>
              </w:rPr>
            </w:pPr>
            <w:r w:rsidRPr="0029661B">
              <w:rPr>
                <w:rFonts w:eastAsia="MS PGothic"/>
                <w:lang w:val="es-ES_tradnl"/>
              </w:rPr>
              <w:t>Gama de frecuencias de</w:t>
            </w:r>
            <w:r w:rsidR="009B4E75">
              <w:rPr>
                <w:rFonts w:eastAsia="MS PGothic"/>
                <w:lang w:val="es-ES_tradnl"/>
              </w:rPr>
              <w:t> </w:t>
            </w:r>
            <w:r w:rsidRPr="0029661B">
              <w:rPr>
                <w:rFonts w:eastAsia="MS PGothic"/>
                <w:lang w:val="es-ES_tradnl"/>
              </w:rPr>
              <w:t>la señal (MHz)</w:t>
            </w:r>
          </w:p>
        </w:tc>
        <w:tc>
          <w:tcPr>
            <w:tcW w:w="1417" w:type="dxa"/>
            <w:tcBorders>
              <w:top w:val="single" w:sz="4" w:space="0" w:color="auto"/>
              <w:left w:val="single" w:sz="4" w:space="0" w:color="auto"/>
              <w:bottom w:val="single" w:sz="4" w:space="0" w:color="auto"/>
              <w:right w:val="single" w:sz="4" w:space="0" w:color="auto"/>
            </w:tcBorders>
          </w:tcPr>
          <w:p w:rsidR="00B737DE" w:rsidRPr="0029661B" w:rsidRDefault="00B737DE" w:rsidP="00B737DE">
            <w:pPr>
              <w:pStyle w:val="Tabletext"/>
              <w:jc w:val="center"/>
              <w:rPr>
                <w:rFonts w:eastAsia="MS PGothic"/>
                <w:lang w:val="es-ES_tradnl"/>
              </w:rPr>
            </w:pPr>
            <w:r w:rsidRPr="0029661B">
              <w:rPr>
                <w:rFonts w:eastAsia="MS PGothic"/>
                <w:lang w:val="es-ES_tradnl"/>
              </w:rPr>
              <w:t>1 176,45 ± 12</w:t>
            </w:r>
          </w:p>
        </w:tc>
        <w:tc>
          <w:tcPr>
            <w:tcW w:w="1417" w:type="dxa"/>
            <w:tcBorders>
              <w:top w:val="single" w:sz="4" w:space="0" w:color="auto"/>
              <w:left w:val="single" w:sz="4" w:space="0" w:color="auto"/>
              <w:bottom w:val="single" w:sz="4" w:space="0" w:color="auto"/>
              <w:right w:val="single" w:sz="4" w:space="0" w:color="auto"/>
            </w:tcBorders>
          </w:tcPr>
          <w:p w:rsidR="00B737DE" w:rsidRPr="0029661B" w:rsidRDefault="00B737DE" w:rsidP="00B737DE">
            <w:pPr>
              <w:pStyle w:val="Tabletext"/>
              <w:jc w:val="center"/>
              <w:rPr>
                <w:rFonts w:eastAsia="MS PGothic"/>
                <w:lang w:val="es-ES_tradnl"/>
              </w:rPr>
            </w:pPr>
            <w:r w:rsidRPr="0029661B">
              <w:rPr>
                <w:rFonts w:eastAsia="MS PGothic"/>
                <w:lang w:val="es-ES_tradnl"/>
              </w:rPr>
              <w:t>1 207,14 ± 12</w:t>
            </w:r>
          </w:p>
        </w:tc>
        <w:tc>
          <w:tcPr>
            <w:tcW w:w="2239" w:type="dxa"/>
            <w:gridSpan w:val="2"/>
            <w:tcBorders>
              <w:top w:val="single" w:sz="4" w:space="0" w:color="auto"/>
              <w:left w:val="single" w:sz="4" w:space="0" w:color="auto"/>
              <w:bottom w:val="single" w:sz="4" w:space="0" w:color="auto"/>
              <w:right w:val="single" w:sz="4" w:space="0" w:color="auto"/>
            </w:tcBorders>
          </w:tcPr>
          <w:p w:rsidR="00B737DE" w:rsidRPr="0029661B" w:rsidRDefault="00B737DE" w:rsidP="00B737DE">
            <w:pPr>
              <w:pStyle w:val="Tabletext"/>
              <w:jc w:val="center"/>
              <w:rPr>
                <w:rFonts w:eastAsia="MS PGothic"/>
                <w:lang w:val="es-ES_tradnl"/>
              </w:rPr>
            </w:pPr>
            <w:r w:rsidRPr="0029661B">
              <w:rPr>
                <w:rFonts w:eastAsia="MS PGothic"/>
                <w:lang w:val="es-ES_tradnl"/>
              </w:rPr>
              <w:t>1</w:t>
            </w:r>
            <w:r>
              <w:rPr>
                <w:rFonts w:eastAsia="MS PGothic"/>
                <w:lang w:val="es-ES_tradnl"/>
              </w:rPr>
              <w:t> </w:t>
            </w:r>
            <w:r w:rsidRPr="0029661B">
              <w:rPr>
                <w:rFonts w:eastAsia="MS PGothic"/>
                <w:lang w:val="es-ES_tradnl"/>
              </w:rPr>
              <w:t>278,75 ± 20,5</w:t>
            </w:r>
          </w:p>
        </w:tc>
        <w:tc>
          <w:tcPr>
            <w:tcW w:w="2211" w:type="dxa"/>
            <w:gridSpan w:val="3"/>
            <w:tcBorders>
              <w:top w:val="single" w:sz="4" w:space="0" w:color="auto"/>
              <w:left w:val="single" w:sz="4" w:space="0" w:color="auto"/>
              <w:bottom w:val="single" w:sz="4" w:space="0" w:color="auto"/>
              <w:right w:val="single" w:sz="4" w:space="0" w:color="auto"/>
            </w:tcBorders>
          </w:tcPr>
          <w:p w:rsidR="00B737DE" w:rsidRPr="0029661B" w:rsidRDefault="00B737DE" w:rsidP="00B737DE">
            <w:pPr>
              <w:pStyle w:val="Tabletext"/>
              <w:jc w:val="center"/>
              <w:rPr>
                <w:rFonts w:eastAsia="MS PGothic"/>
                <w:lang w:val="es-ES_tradnl"/>
              </w:rPr>
            </w:pPr>
            <w:r w:rsidRPr="0029661B">
              <w:rPr>
                <w:rFonts w:eastAsia="MS PGothic"/>
                <w:lang w:val="es-ES_tradnl"/>
              </w:rPr>
              <w:t>1</w:t>
            </w:r>
            <w:r>
              <w:rPr>
                <w:rFonts w:eastAsia="MS PGothic"/>
                <w:lang w:val="es-ES_tradnl"/>
              </w:rPr>
              <w:t> </w:t>
            </w:r>
            <w:r w:rsidRPr="0029661B">
              <w:rPr>
                <w:rFonts w:eastAsia="MS PGothic"/>
                <w:lang w:val="es-ES_tradnl"/>
              </w:rPr>
              <w:t>575,42 ± 16</w:t>
            </w:r>
          </w:p>
        </w:tc>
      </w:tr>
      <w:tr w:rsidR="00B737DE" w:rsidRPr="0029661B" w:rsidTr="0085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vAlign w:val="center"/>
          </w:tcPr>
          <w:p w:rsidR="00B737DE" w:rsidRPr="0029661B" w:rsidRDefault="00B737DE" w:rsidP="00B737DE">
            <w:pPr>
              <w:pStyle w:val="Tabletext"/>
              <w:jc w:val="left"/>
              <w:rPr>
                <w:rFonts w:eastAsia="MS PGothic"/>
                <w:lang w:val="es-ES_tradnl"/>
              </w:rPr>
            </w:pPr>
            <w:r w:rsidRPr="0029661B">
              <w:rPr>
                <w:rFonts w:eastAsia="MS PGothic"/>
                <w:lang w:val="es-ES_tradnl"/>
              </w:rPr>
              <w:t>Velocidad de segmento de código con ruido pseudoaleatorio (Mcps)</w:t>
            </w:r>
          </w:p>
        </w:tc>
        <w:tc>
          <w:tcPr>
            <w:tcW w:w="2834" w:type="dxa"/>
            <w:gridSpan w:val="2"/>
            <w:tcBorders>
              <w:top w:val="single" w:sz="4" w:space="0" w:color="auto"/>
              <w:left w:val="single" w:sz="4" w:space="0" w:color="auto"/>
              <w:bottom w:val="single" w:sz="4" w:space="0" w:color="auto"/>
              <w:right w:val="single" w:sz="4" w:space="0" w:color="auto"/>
            </w:tcBorders>
          </w:tcPr>
          <w:p w:rsidR="00B737DE" w:rsidRPr="0029661B" w:rsidRDefault="00B737DE" w:rsidP="00B737DE">
            <w:pPr>
              <w:pStyle w:val="Tabletext"/>
              <w:jc w:val="center"/>
              <w:rPr>
                <w:rFonts w:eastAsia="MS PGothic"/>
                <w:lang w:val="es-ES_tradnl"/>
              </w:rPr>
            </w:pPr>
            <w:r w:rsidRPr="0029661B">
              <w:rPr>
                <w:rFonts w:eastAsia="MS PGothic"/>
                <w:lang w:val="es-ES_tradnl"/>
              </w:rPr>
              <w:t>10,023</w:t>
            </w:r>
          </w:p>
        </w:tc>
        <w:tc>
          <w:tcPr>
            <w:tcW w:w="2239" w:type="dxa"/>
            <w:gridSpan w:val="2"/>
            <w:tcBorders>
              <w:top w:val="single" w:sz="4" w:space="0" w:color="auto"/>
              <w:left w:val="single" w:sz="4" w:space="0" w:color="auto"/>
              <w:bottom w:val="single" w:sz="4" w:space="0" w:color="auto"/>
              <w:right w:val="single" w:sz="4" w:space="0" w:color="auto"/>
            </w:tcBorders>
          </w:tcPr>
          <w:p w:rsidR="00B737DE" w:rsidRPr="0029661B" w:rsidRDefault="00B737DE" w:rsidP="00B737DE">
            <w:pPr>
              <w:pStyle w:val="Tabletext"/>
              <w:jc w:val="center"/>
              <w:rPr>
                <w:rFonts w:eastAsia="MS PGothic"/>
                <w:lang w:val="es-ES_tradnl"/>
              </w:rPr>
            </w:pPr>
            <w:r w:rsidRPr="0029661B">
              <w:rPr>
                <w:rFonts w:eastAsia="MS PGothic"/>
                <w:lang w:val="es-ES_tradnl"/>
              </w:rPr>
              <w:t>5,115</w:t>
            </w:r>
          </w:p>
        </w:tc>
        <w:tc>
          <w:tcPr>
            <w:tcW w:w="935" w:type="dxa"/>
            <w:tcBorders>
              <w:top w:val="single" w:sz="4" w:space="0" w:color="auto"/>
              <w:left w:val="single" w:sz="4" w:space="0" w:color="auto"/>
              <w:bottom w:val="single" w:sz="4" w:space="0" w:color="auto"/>
              <w:right w:val="single" w:sz="4" w:space="0" w:color="auto"/>
            </w:tcBorders>
          </w:tcPr>
          <w:p w:rsidR="00B737DE" w:rsidRPr="0029661B" w:rsidRDefault="00B737DE" w:rsidP="00B737DE">
            <w:pPr>
              <w:pStyle w:val="Tabletext"/>
              <w:jc w:val="center"/>
              <w:rPr>
                <w:rFonts w:eastAsia="MS PGothic"/>
                <w:lang w:val="es-ES_tradnl"/>
              </w:rPr>
            </w:pPr>
            <w:r w:rsidRPr="0029661B">
              <w:rPr>
                <w:rFonts w:eastAsia="MS PGothic"/>
                <w:lang w:val="es-ES_tradnl"/>
              </w:rPr>
              <w:t>1,023</w:t>
            </w:r>
          </w:p>
        </w:tc>
        <w:tc>
          <w:tcPr>
            <w:tcW w:w="1276" w:type="dxa"/>
            <w:gridSpan w:val="2"/>
            <w:tcBorders>
              <w:top w:val="single" w:sz="4" w:space="0" w:color="auto"/>
              <w:left w:val="single" w:sz="4" w:space="0" w:color="auto"/>
              <w:bottom w:val="single" w:sz="4" w:space="0" w:color="auto"/>
              <w:right w:val="single" w:sz="4" w:space="0" w:color="auto"/>
            </w:tcBorders>
          </w:tcPr>
          <w:p w:rsidR="00B737DE" w:rsidRPr="0029661B" w:rsidRDefault="00B737DE" w:rsidP="00B737DE">
            <w:pPr>
              <w:pStyle w:val="Tabletext"/>
              <w:jc w:val="center"/>
              <w:rPr>
                <w:rFonts w:eastAsia="MS PGothic"/>
                <w:lang w:val="es-ES_tradnl"/>
              </w:rPr>
            </w:pPr>
            <w:r w:rsidRPr="0029661B">
              <w:rPr>
                <w:rFonts w:eastAsia="MS PGothic"/>
                <w:lang w:val="es-ES_tradnl"/>
              </w:rPr>
              <w:t>2,5575</w:t>
            </w:r>
          </w:p>
        </w:tc>
      </w:tr>
      <w:tr w:rsidR="00B737DE" w:rsidRPr="0029661B" w:rsidTr="0085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vAlign w:val="center"/>
          </w:tcPr>
          <w:p w:rsidR="00B737DE" w:rsidRPr="0029661B" w:rsidRDefault="00B737DE" w:rsidP="009B4E75">
            <w:pPr>
              <w:pStyle w:val="Tabletext"/>
              <w:jc w:val="left"/>
              <w:rPr>
                <w:rFonts w:eastAsia="MS PGothic"/>
                <w:lang w:val="es-ES_tradnl"/>
              </w:rPr>
            </w:pPr>
            <w:r w:rsidRPr="0029661B">
              <w:rPr>
                <w:rFonts w:eastAsia="MS PGothic"/>
                <w:lang w:val="es-ES_tradnl"/>
              </w:rPr>
              <w:t>Velocidades binarias de</w:t>
            </w:r>
            <w:r w:rsidR="009B4E75">
              <w:rPr>
                <w:rFonts w:eastAsia="MS PGothic"/>
                <w:lang w:val="es-ES_tradnl"/>
              </w:rPr>
              <w:t> </w:t>
            </w:r>
            <w:r w:rsidRPr="0029661B">
              <w:rPr>
                <w:rFonts w:eastAsia="MS PGothic"/>
                <w:lang w:val="es-ES_tradnl"/>
              </w:rPr>
              <w:t>datos/símbolos de navegación (bps/sps)</w:t>
            </w:r>
          </w:p>
        </w:tc>
        <w:tc>
          <w:tcPr>
            <w:tcW w:w="1417" w:type="dxa"/>
            <w:tcBorders>
              <w:top w:val="single" w:sz="4" w:space="0" w:color="auto"/>
              <w:left w:val="single" w:sz="4" w:space="0" w:color="auto"/>
              <w:bottom w:val="single" w:sz="4" w:space="0" w:color="auto"/>
              <w:right w:val="single" w:sz="4" w:space="0" w:color="auto"/>
            </w:tcBorders>
            <w:vAlign w:val="center"/>
          </w:tcPr>
          <w:p w:rsidR="00B737DE" w:rsidRPr="0029661B" w:rsidRDefault="00B737DE" w:rsidP="007877A0">
            <w:pPr>
              <w:pStyle w:val="Tabletext"/>
              <w:jc w:val="center"/>
              <w:rPr>
                <w:rFonts w:eastAsia="MS PGothic"/>
                <w:lang w:val="es-ES_tradnl"/>
              </w:rPr>
            </w:pPr>
            <w:r w:rsidRPr="0029661B">
              <w:rPr>
                <w:rFonts w:eastAsia="MS PGothic"/>
                <w:lang w:val="es-ES_tradnl"/>
              </w:rPr>
              <w:t>25 bps/</w:t>
            </w:r>
            <w:r w:rsidRPr="0029661B">
              <w:rPr>
                <w:rFonts w:eastAsia="MS PGothic"/>
                <w:lang w:val="es-ES_tradnl"/>
              </w:rPr>
              <w:br/>
              <w:t>50 sps</w:t>
            </w:r>
          </w:p>
        </w:tc>
        <w:tc>
          <w:tcPr>
            <w:tcW w:w="1417" w:type="dxa"/>
            <w:tcBorders>
              <w:top w:val="single" w:sz="4" w:space="0" w:color="auto"/>
              <w:left w:val="single" w:sz="4" w:space="0" w:color="auto"/>
              <w:bottom w:val="single" w:sz="4" w:space="0" w:color="auto"/>
              <w:right w:val="single" w:sz="4" w:space="0" w:color="auto"/>
            </w:tcBorders>
            <w:vAlign w:val="center"/>
          </w:tcPr>
          <w:p w:rsidR="00B737DE" w:rsidRPr="0029661B" w:rsidRDefault="00B737DE" w:rsidP="007877A0">
            <w:pPr>
              <w:pStyle w:val="Tabletext"/>
              <w:jc w:val="center"/>
              <w:rPr>
                <w:rFonts w:eastAsia="MS PGothic"/>
                <w:lang w:val="es-ES_tradnl"/>
              </w:rPr>
            </w:pPr>
            <w:r w:rsidRPr="0029661B">
              <w:rPr>
                <w:rFonts w:eastAsia="MS PGothic"/>
                <w:lang w:val="es-ES_tradnl"/>
              </w:rPr>
              <w:t>125 bps/</w:t>
            </w:r>
            <w:r w:rsidRPr="0029661B">
              <w:rPr>
                <w:rFonts w:eastAsia="MS PGothic"/>
                <w:lang w:val="es-ES_tradnl"/>
              </w:rPr>
              <w:br/>
              <w:t>250 sps</w:t>
            </w:r>
          </w:p>
        </w:tc>
        <w:tc>
          <w:tcPr>
            <w:tcW w:w="1020" w:type="dxa"/>
            <w:tcBorders>
              <w:top w:val="single" w:sz="4" w:space="0" w:color="auto"/>
              <w:left w:val="single" w:sz="4" w:space="0" w:color="auto"/>
              <w:bottom w:val="single" w:sz="4" w:space="0" w:color="auto"/>
              <w:right w:val="single" w:sz="4" w:space="0" w:color="auto"/>
            </w:tcBorders>
            <w:vAlign w:val="center"/>
          </w:tcPr>
          <w:p w:rsidR="00B737DE" w:rsidRPr="0029661B" w:rsidRDefault="00B737DE" w:rsidP="007877A0">
            <w:pPr>
              <w:pStyle w:val="Tabletext"/>
              <w:jc w:val="center"/>
              <w:rPr>
                <w:rFonts w:eastAsia="MS PGothic"/>
                <w:lang w:val="es-ES_tradnl"/>
              </w:rPr>
            </w:pPr>
            <w:r w:rsidRPr="0029661B">
              <w:rPr>
                <w:rFonts w:eastAsia="MS PGothic"/>
                <w:lang w:val="es-ES_tradnl"/>
              </w:rPr>
              <w:t>500 bps/</w:t>
            </w:r>
            <w:r>
              <w:rPr>
                <w:rFonts w:eastAsia="MS PGothic"/>
                <w:lang w:val="es-ES_tradnl"/>
              </w:rPr>
              <w:br/>
            </w:r>
            <w:r w:rsidRPr="0029661B">
              <w:rPr>
                <w:rFonts w:eastAsia="MS PGothic"/>
                <w:lang w:val="es-ES_tradnl"/>
              </w:rPr>
              <w:t>1 000 sps</w:t>
            </w:r>
          </w:p>
        </w:tc>
        <w:tc>
          <w:tcPr>
            <w:tcW w:w="1219" w:type="dxa"/>
            <w:tcBorders>
              <w:top w:val="single" w:sz="4" w:space="0" w:color="auto"/>
              <w:left w:val="single" w:sz="4" w:space="0" w:color="auto"/>
              <w:bottom w:val="single" w:sz="4" w:space="0" w:color="auto"/>
              <w:right w:val="single" w:sz="4" w:space="0" w:color="auto"/>
            </w:tcBorders>
            <w:vAlign w:val="center"/>
          </w:tcPr>
          <w:p w:rsidR="00B737DE" w:rsidRPr="0029661B" w:rsidRDefault="001E1BC3" w:rsidP="007877A0">
            <w:pPr>
              <w:pStyle w:val="Tabletext"/>
              <w:jc w:val="center"/>
              <w:rPr>
                <w:rFonts w:eastAsia="MS PGothic"/>
                <w:lang w:val="es-ES_tradnl"/>
              </w:rPr>
            </w:pPr>
            <w:r w:rsidRPr="0029661B">
              <w:rPr>
                <w:rFonts w:eastAsia="MS PGothic"/>
                <w:lang w:val="es-ES_tradnl"/>
              </w:rPr>
              <w:t>Reservada</w:t>
            </w:r>
          </w:p>
        </w:tc>
        <w:tc>
          <w:tcPr>
            <w:tcW w:w="935" w:type="dxa"/>
            <w:tcBorders>
              <w:top w:val="single" w:sz="4" w:space="0" w:color="auto"/>
              <w:left w:val="single" w:sz="4" w:space="0" w:color="auto"/>
              <w:bottom w:val="single" w:sz="4" w:space="0" w:color="auto"/>
              <w:right w:val="single" w:sz="4" w:space="0" w:color="auto"/>
            </w:tcBorders>
            <w:vAlign w:val="center"/>
          </w:tcPr>
          <w:p w:rsidR="00B737DE" w:rsidRPr="0029661B" w:rsidRDefault="00B737DE" w:rsidP="007877A0">
            <w:pPr>
              <w:pStyle w:val="Tabletext"/>
              <w:jc w:val="center"/>
              <w:rPr>
                <w:rFonts w:eastAsia="MS PGothic"/>
                <w:lang w:val="es-ES_tradnl"/>
              </w:rPr>
            </w:pPr>
            <w:r w:rsidRPr="0029661B">
              <w:rPr>
                <w:rFonts w:eastAsia="MS PGothic"/>
                <w:lang w:val="es-ES_tradnl"/>
              </w:rPr>
              <w:t>125 bps/</w:t>
            </w:r>
            <w:r w:rsidRPr="0029661B">
              <w:rPr>
                <w:rFonts w:eastAsia="MS PGothic"/>
                <w:lang w:val="es-ES_tradnl"/>
              </w:rPr>
              <w:br/>
              <w:t>250 sps</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B737DE" w:rsidRPr="0029661B" w:rsidRDefault="001E1BC3" w:rsidP="007877A0">
            <w:pPr>
              <w:pStyle w:val="Tabletext"/>
              <w:jc w:val="center"/>
              <w:rPr>
                <w:rFonts w:eastAsia="MS PGothic"/>
                <w:lang w:val="es-ES_tradnl"/>
              </w:rPr>
            </w:pPr>
            <w:r w:rsidRPr="0029661B">
              <w:rPr>
                <w:rFonts w:eastAsia="MS PGothic"/>
                <w:lang w:val="es-ES_tradnl"/>
              </w:rPr>
              <w:t>Reservada</w:t>
            </w:r>
          </w:p>
        </w:tc>
      </w:tr>
      <w:tr w:rsidR="00B737DE" w:rsidRPr="0029661B" w:rsidTr="0085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vAlign w:val="center"/>
          </w:tcPr>
          <w:p w:rsidR="00B737DE" w:rsidRPr="0029661B" w:rsidRDefault="00B737DE" w:rsidP="00B737DE">
            <w:pPr>
              <w:pStyle w:val="Tabletext"/>
              <w:jc w:val="left"/>
              <w:rPr>
                <w:rFonts w:eastAsia="MS PGothic"/>
                <w:lang w:val="es-ES_tradnl"/>
              </w:rPr>
            </w:pPr>
            <w:r w:rsidRPr="0029661B">
              <w:rPr>
                <w:rFonts w:eastAsia="MS PGothic"/>
                <w:lang w:val="es-ES_tradnl"/>
              </w:rPr>
              <w:t>Máxima proporción de bits erróneos admisible</w:t>
            </w:r>
          </w:p>
        </w:tc>
        <w:tc>
          <w:tcPr>
            <w:tcW w:w="7284" w:type="dxa"/>
            <w:gridSpan w:val="7"/>
            <w:tcBorders>
              <w:top w:val="single" w:sz="4" w:space="0" w:color="auto"/>
              <w:left w:val="single" w:sz="4" w:space="0" w:color="auto"/>
              <w:bottom w:val="single" w:sz="4" w:space="0" w:color="auto"/>
              <w:right w:val="single" w:sz="4" w:space="0" w:color="auto"/>
            </w:tcBorders>
            <w:vAlign w:val="center"/>
          </w:tcPr>
          <w:p w:rsidR="00B737DE" w:rsidRPr="0029661B" w:rsidRDefault="00B737DE" w:rsidP="007877A0">
            <w:pPr>
              <w:pStyle w:val="Tabletext"/>
              <w:jc w:val="center"/>
              <w:rPr>
                <w:rFonts w:eastAsia="MS PGothic"/>
                <w:lang w:val="es-ES_tradnl"/>
              </w:rPr>
            </w:pPr>
            <w:r w:rsidRPr="0029661B">
              <w:rPr>
                <w:rFonts w:eastAsia="MS PGothic"/>
                <w:lang w:val="es-ES_tradnl"/>
              </w:rPr>
              <w:t>2 × 10</w:t>
            </w:r>
            <w:r w:rsidRPr="0029661B">
              <w:rPr>
                <w:rFonts w:eastAsia="MS PGothic"/>
                <w:vertAlign w:val="superscript"/>
                <w:lang w:val="es-ES_tradnl"/>
              </w:rPr>
              <w:t>−7</w:t>
            </w:r>
          </w:p>
        </w:tc>
      </w:tr>
      <w:tr w:rsidR="00B737DE" w:rsidRPr="0029661B" w:rsidTr="0085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vAlign w:val="center"/>
          </w:tcPr>
          <w:p w:rsidR="00B737DE" w:rsidRPr="0029661B" w:rsidRDefault="00B737DE" w:rsidP="00B737DE">
            <w:pPr>
              <w:pStyle w:val="Tabletext"/>
              <w:jc w:val="left"/>
              <w:rPr>
                <w:rFonts w:eastAsia="MS PGothic"/>
                <w:lang w:val="es-ES_tradnl"/>
              </w:rPr>
            </w:pPr>
            <w:r w:rsidRPr="0029661B">
              <w:rPr>
                <w:rFonts w:eastAsia="MS PGothic"/>
                <w:lang w:val="es-ES_tradnl"/>
              </w:rPr>
              <w:t>Método de modulación de la señal</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B737DE" w:rsidRPr="0029661B" w:rsidRDefault="00B737DE" w:rsidP="007877A0">
            <w:pPr>
              <w:pStyle w:val="Tabletext"/>
              <w:jc w:val="center"/>
              <w:rPr>
                <w:rFonts w:eastAsia="MS PGothic"/>
                <w:lang w:val="es-ES_tradnl"/>
              </w:rPr>
            </w:pPr>
            <w:r w:rsidRPr="0029661B">
              <w:rPr>
                <w:rFonts w:eastAsia="MS PGothic"/>
                <w:lang w:val="es-ES_tradnl"/>
              </w:rPr>
              <w:t>AltBOC (15.10)</w:t>
            </w:r>
          </w:p>
        </w:tc>
        <w:tc>
          <w:tcPr>
            <w:tcW w:w="1020" w:type="dxa"/>
            <w:tcBorders>
              <w:top w:val="single" w:sz="4" w:space="0" w:color="auto"/>
              <w:left w:val="single" w:sz="4" w:space="0" w:color="auto"/>
              <w:bottom w:val="single" w:sz="4" w:space="0" w:color="auto"/>
              <w:right w:val="single" w:sz="4" w:space="0" w:color="auto"/>
            </w:tcBorders>
            <w:vAlign w:val="center"/>
          </w:tcPr>
          <w:p w:rsidR="00B737DE" w:rsidRPr="0029661B" w:rsidRDefault="00B737DE" w:rsidP="00B737DE">
            <w:pPr>
              <w:pStyle w:val="Tabletext"/>
              <w:ind w:left="-57" w:right="-57"/>
              <w:jc w:val="center"/>
              <w:rPr>
                <w:rFonts w:eastAsia="MS PGothic"/>
                <w:lang w:val="es-ES_tradnl"/>
              </w:rPr>
            </w:pPr>
            <w:r>
              <w:rPr>
                <w:rFonts w:eastAsia="MS PGothic"/>
                <w:lang w:val="es-ES_tradnl"/>
              </w:rPr>
              <w:t>MDPB</w:t>
            </w:r>
            <w:r w:rsidRPr="0029661B">
              <w:rPr>
                <w:rFonts w:eastAsia="MS PGothic"/>
                <w:lang w:val="es-ES_tradnl"/>
              </w:rPr>
              <w:t xml:space="preserve"> (5)</w:t>
            </w:r>
          </w:p>
        </w:tc>
        <w:tc>
          <w:tcPr>
            <w:tcW w:w="1219" w:type="dxa"/>
            <w:tcBorders>
              <w:top w:val="single" w:sz="4" w:space="0" w:color="auto"/>
              <w:left w:val="single" w:sz="4" w:space="0" w:color="auto"/>
              <w:bottom w:val="single" w:sz="4" w:space="0" w:color="auto"/>
              <w:right w:val="single" w:sz="4" w:space="0" w:color="auto"/>
            </w:tcBorders>
            <w:vAlign w:val="center"/>
          </w:tcPr>
          <w:p w:rsidR="00B737DE" w:rsidRPr="0029661B" w:rsidRDefault="00B737DE" w:rsidP="007877A0">
            <w:pPr>
              <w:pStyle w:val="Tabletext"/>
              <w:jc w:val="center"/>
              <w:rPr>
                <w:rFonts w:eastAsia="MS PGothic"/>
                <w:lang w:val="es-ES_tradnl"/>
              </w:rPr>
            </w:pPr>
            <w:r w:rsidRPr="0029661B">
              <w:rPr>
                <w:rFonts w:eastAsia="MS PGothic"/>
                <w:lang w:val="es-ES_tradnl"/>
              </w:rPr>
              <w:t>BOC (10,5)</w:t>
            </w:r>
          </w:p>
        </w:tc>
        <w:tc>
          <w:tcPr>
            <w:tcW w:w="935" w:type="dxa"/>
            <w:tcBorders>
              <w:top w:val="single" w:sz="4" w:space="0" w:color="auto"/>
              <w:left w:val="single" w:sz="4" w:space="0" w:color="auto"/>
              <w:bottom w:val="single" w:sz="4" w:space="0" w:color="auto"/>
              <w:right w:val="single" w:sz="4" w:space="0" w:color="auto"/>
            </w:tcBorders>
            <w:vAlign w:val="center"/>
          </w:tcPr>
          <w:p w:rsidR="00B737DE" w:rsidRPr="0029661B" w:rsidRDefault="00B737DE" w:rsidP="007877A0">
            <w:pPr>
              <w:pStyle w:val="Tabletext"/>
              <w:jc w:val="center"/>
              <w:rPr>
                <w:rFonts w:eastAsia="MS PGothic"/>
                <w:lang w:val="es-ES_tradnl"/>
              </w:rPr>
            </w:pPr>
            <w:r w:rsidRPr="0029661B">
              <w:rPr>
                <w:rFonts w:eastAsia="MS PGothic"/>
                <w:lang w:val="es-ES_tradnl"/>
              </w:rPr>
              <w:t>MBOC</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B737DE" w:rsidRPr="0029661B" w:rsidRDefault="00B737DE" w:rsidP="00B737DE">
            <w:pPr>
              <w:pStyle w:val="Tabletext"/>
              <w:ind w:left="-113" w:right="-113"/>
              <w:jc w:val="center"/>
              <w:rPr>
                <w:rFonts w:eastAsia="MS PGothic"/>
                <w:lang w:val="es-ES_tradnl"/>
              </w:rPr>
            </w:pPr>
            <w:r w:rsidRPr="0029661B">
              <w:rPr>
                <w:rFonts w:eastAsia="MS PGothic"/>
                <w:lang w:val="es-ES_tradnl"/>
              </w:rPr>
              <w:t>BOC (15,2.5)</w:t>
            </w:r>
          </w:p>
        </w:tc>
      </w:tr>
      <w:tr w:rsidR="00B737DE" w:rsidRPr="0029661B" w:rsidTr="0085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vAlign w:val="center"/>
          </w:tcPr>
          <w:p w:rsidR="00B737DE" w:rsidRPr="0029661B" w:rsidRDefault="00B737DE" w:rsidP="00B737DE">
            <w:pPr>
              <w:pStyle w:val="Tabletext"/>
              <w:jc w:val="left"/>
              <w:rPr>
                <w:rFonts w:eastAsia="MS PGothic"/>
                <w:lang w:val="es-ES_tradnl"/>
              </w:rPr>
            </w:pPr>
            <w:r w:rsidRPr="0029661B">
              <w:rPr>
                <w:rFonts w:eastAsia="MS PGothic"/>
                <w:lang w:val="es-ES_tradnl"/>
              </w:rPr>
              <w:t>Polarización</w:t>
            </w:r>
          </w:p>
        </w:tc>
        <w:tc>
          <w:tcPr>
            <w:tcW w:w="7284" w:type="dxa"/>
            <w:gridSpan w:val="7"/>
            <w:tcBorders>
              <w:top w:val="single" w:sz="4" w:space="0" w:color="auto"/>
              <w:left w:val="single" w:sz="4" w:space="0" w:color="auto"/>
              <w:bottom w:val="single" w:sz="4" w:space="0" w:color="auto"/>
              <w:right w:val="single" w:sz="4" w:space="0" w:color="auto"/>
            </w:tcBorders>
            <w:vAlign w:val="center"/>
          </w:tcPr>
          <w:p w:rsidR="00B737DE" w:rsidRPr="0029661B" w:rsidRDefault="00B737DE" w:rsidP="00B737DE">
            <w:pPr>
              <w:pStyle w:val="Tabletext"/>
              <w:ind w:left="-113" w:right="-113"/>
              <w:jc w:val="center"/>
              <w:rPr>
                <w:rFonts w:eastAsia="MS PGothic"/>
                <w:lang w:val="es-ES_tradnl"/>
              </w:rPr>
            </w:pPr>
            <w:r w:rsidRPr="0029661B">
              <w:rPr>
                <w:rFonts w:eastAsia="MS PGothic"/>
                <w:lang w:val="es-ES_tradnl"/>
              </w:rPr>
              <w:t>Polarización circular dextrógira</w:t>
            </w:r>
          </w:p>
        </w:tc>
      </w:tr>
      <w:tr w:rsidR="00B737DE" w:rsidRPr="0029661B" w:rsidTr="0085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vAlign w:val="center"/>
          </w:tcPr>
          <w:p w:rsidR="00B737DE" w:rsidRPr="0029661B" w:rsidRDefault="00B737DE" w:rsidP="00B737DE">
            <w:pPr>
              <w:pStyle w:val="Tabletext"/>
              <w:jc w:val="left"/>
              <w:rPr>
                <w:rFonts w:eastAsia="MS PGothic"/>
                <w:lang w:val="es-ES_tradnl"/>
              </w:rPr>
            </w:pPr>
            <w:r w:rsidRPr="0029661B">
              <w:rPr>
                <w:rFonts w:eastAsia="MS PGothic"/>
                <w:lang w:val="es-ES_tradnl"/>
              </w:rPr>
              <w:t>Mínimo nivel de potencia recibida (dBW)</w:t>
            </w:r>
          </w:p>
        </w:tc>
        <w:tc>
          <w:tcPr>
            <w:tcW w:w="7284" w:type="dxa"/>
            <w:gridSpan w:val="7"/>
            <w:tcBorders>
              <w:top w:val="single" w:sz="4" w:space="0" w:color="auto"/>
              <w:left w:val="single" w:sz="4" w:space="0" w:color="auto"/>
              <w:bottom w:val="single" w:sz="4" w:space="0" w:color="auto"/>
              <w:right w:val="single" w:sz="4" w:space="0" w:color="auto"/>
            </w:tcBorders>
            <w:vAlign w:val="center"/>
          </w:tcPr>
          <w:p w:rsidR="00B737DE" w:rsidRPr="0029661B" w:rsidRDefault="00B737DE" w:rsidP="00B737DE">
            <w:pPr>
              <w:pStyle w:val="Tabletext"/>
              <w:ind w:left="-113" w:right="-113"/>
              <w:jc w:val="center"/>
              <w:rPr>
                <w:rFonts w:eastAsia="MS PGothic"/>
                <w:lang w:val="es-ES_tradnl"/>
              </w:rPr>
            </w:pPr>
            <w:r w:rsidRPr="0029661B">
              <w:rPr>
                <w:rFonts w:eastAsia="MS PGothic"/>
                <w:lang w:val="es-ES_tradnl"/>
              </w:rPr>
              <w:t>−160</w:t>
            </w:r>
          </w:p>
        </w:tc>
      </w:tr>
      <w:tr w:rsidR="00B737DE" w:rsidRPr="0029661B" w:rsidTr="0085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vAlign w:val="center"/>
          </w:tcPr>
          <w:p w:rsidR="00B737DE" w:rsidRPr="0029661B" w:rsidRDefault="00B737DE" w:rsidP="00B737DE">
            <w:pPr>
              <w:pStyle w:val="Tabletext"/>
              <w:jc w:val="left"/>
              <w:rPr>
                <w:rFonts w:eastAsia="MS PGothic"/>
                <w:lang w:val="es-ES_tradnl"/>
              </w:rPr>
            </w:pPr>
            <w:r w:rsidRPr="0029661B">
              <w:rPr>
                <w:rFonts w:eastAsia="MS PGothic"/>
                <w:lang w:val="es-ES_tradnl"/>
              </w:rPr>
              <w:t>Máxima ganancia de antena del receptor en el</w:t>
            </w:r>
            <w:r>
              <w:rPr>
                <w:rFonts w:eastAsia="MS PGothic"/>
                <w:lang w:val="es-ES_tradnl"/>
              </w:rPr>
              <w:t> </w:t>
            </w:r>
            <w:r w:rsidRPr="0029661B">
              <w:rPr>
                <w:rFonts w:eastAsia="MS PGothic"/>
                <w:lang w:val="es-ES_tradnl"/>
              </w:rPr>
              <w:t>hemisferio superior (dBi)</w:t>
            </w:r>
          </w:p>
        </w:tc>
        <w:tc>
          <w:tcPr>
            <w:tcW w:w="7284" w:type="dxa"/>
            <w:gridSpan w:val="7"/>
            <w:tcBorders>
              <w:top w:val="single" w:sz="4" w:space="0" w:color="auto"/>
              <w:left w:val="single" w:sz="4" w:space="0" w:color="auto"/>
              <w:bottom w:val="single" w:sz="4" w:space="0" w:color="auto"/>
              <w:right w:val="single" w:sz="4" w:space="0" w:color="auto"/>
            </w:tcBorders>
            <w:vAlign w:val="center"/>
          </w:tcPr>
          <w:p w:rsidR="00B737DE" w:rsidRPr="0029661B" w:rsidRDefault="00B737DE" w:rsidP="00B737DE">
            <w:pPr>
              <w:pStyle w:val="Tabletext"/>
              <w:jc w:val="center"/>
              <w:rPr>
                <w:rFonts w:eastAsia="MS PGothic"/>
                <w:lang w:val="es-ES_tradnl"/>
              </w:rPr>
            </w:pPr>
            <w:r>
              <w:rPr>
                <w:rFonts w:eastAsia="MS PGothic"/>
                <w:lang w:val="es-ES_tradnl"/>
              </w:rPr>
              <w:t>7,</w:t>
            </w:r>
            <w:r w:rsidRPr="0029661B">
              <w:rPr>
                <w:rFonts w:eastAsia="MS PGothic"/>
                <w:lang w:val="es-ES_tradnl"/>
              </w:rPr>
              <w:t>0 (satélite LEO)</w:t>
            </w:r>
          </w:p>
          <w:p w:rsidR="00B737DE" w:rsidRPr="0029661B" w:rsidRDefault="00B737DE" w:rsidP="00B737DE">
            <w:pPr>
              <w:pStyle w:val="Tabletext"/>
              <w:ind w:left="-113" w:right="-113"/>
              <w:jc w:val="center"/>
              <w:rPr>
                <w:rFonts w:eastAsia="MS PGothic"/>
                <w:lang w:val="es-ES_tradnl"/>
              </w:rPr>
            </w:pPr>
            <w:r w:rsidRPr="0029661B">
              <w:rPr>
                <w:rFonts w:eastAsia="MS PGothic"/>
                <w:lang w:val="es-ES_tradnl"/>
              </w:rPr>
              <w:t>14 (satélite GSO)</w:t>
            </w:r>
          </w:p>
        </w:tc>
      </w:tr>
      <w:tr w:rsidR="00B737DE" w:rsidRPr="0029661B" w:rsidTr="0085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vAlign w:val="center"/>
          </w:tcPr>
          <w:p w:rsidR="00B737DE" w:rsidRPr="0029661B" w:rsidRDefault="00B737DE" w:rsidP="00B737DE">
            <w:pPr>
              <w:pStyle w:val="Tabletext"/>
              <w:jc w:val="left"/>
              <w:rPr>
                <w:rFonts w:eastAsia="MS PGothic"/>
                <w:lang w:val="es-ES_tradnl"/>
              </w:rPr>
            </w:pPr>
            <w:r w:rsidRPr="0029661B">
              <w:rPr>
                <w:rFonts w:eastAsia="MS PGothic"/>
                <w:lang w:val="es-ES_tradnl"/>
              </w:rPr>
              <w:t>Máxima ganancia de antena del receptor en el hemisferio inferior (dBi)</w:t>
            </w:r>
          </w:p>
        </w:tc>
        <w:tc>
          <w:tcPr>
            <w:tcW w:w="7284" w:type="dxa"/>
            <w:gridSpan w:val="7"/>
            <w:tcBorders>
              <w:top w:val="single" w:sz="4" w:space="0" w:color="auto"/>
              <w:left w:val="single" w:sz="4" w:space="0" w:color="auto"/>
              <w:bottom w:val="single" w:sz="4" w:space="0" w:color="auto"/>
              <w:right w:val="single" w:sz="4" w:space="0" w:color="auto"/>
            </w:tcBorders>
            <w:vAlign w:val="center"/>
          </w:tcPr>
          <w:p w:rsidR="00B737DE" w:rsidRPr="0029661B" w:rsidRDefault="00B737DE" w:rsidP="00B737DE">
            <w:pPr>
              <w:pStyle w:val="Tabletext"/>
              <w:jc w:val="center"/>
              <w:rPr>
                <w:rFonts w:eastAsia="MS PGothic"/>
                <w:lang w:val="es-ES_tradnl"/>
              </w:rPr>
            </w:pPr>
            <w:r w:rsidRPr="0029661B">
              <w:rPr>
                <w:rFonts w:eastAsia="MS PGothic"/>
                <w:lang w:val="es-ES_tradnl"/>
              </w:rPr>
              <w:t>−</w:t>
            </w:r>
            <w:r>
              <w:rPr>
                <w:rFonts w:eastAsia="MS PGothic"/>
                <w:lang w:val="es-ES_tradnl"/>
              </w:rPr>
              <w:t>10,</w:t>
            </w:r>
            <w:r w:rsidRPr="0029661B">
              <w:rPr>
                <w:rFonts w:eastAsia="MS PGothic"/>
                <w:lang w:val="es-ES_tradnl"/>
              </w:rPr>
              <w:t>0 (satélite LEO)</w:t>
            </w:r>
          </w:p>
          <w:p w:rsidR="00B737DE" w:rsidRPr="0029661B" w:rsidRDefault="00B737DE" w:rsidP="00B737DE">
            <w:pPr>
              <w:pStyle w:val="Tabletext"/>
              <w:ind w:left="-113" w:right="-113"/>
              <w:jc w:val="center"/>
              <w:rPr>
                <w:rFonts w:eastAsia="MS PGothic"/>
                <w:lang w:val="es-ES_tradnl"/>
              </w:rPr>
            </w:pPr>
            <w:r w:rsidRPr="0029661B">
              <w:rPr>
                <w:rFonts w:eastAsia="MS PGothic"/>
                <w:lang w:val="es-ES_tradnl"/>
              </w:rPr>
              <w:t>−15 (satélite OSG)</w:t>
            </w:r>
          </w:p>
        </w:tc>
      </w:tr>
      <w:tr w:rsidR="00851679" w:rsidRPr="0029661B" w:rsidTr="0085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left w:val="single" w:sz="4" w:space="0" w:color="auto"/>
              <w:bottom w:val="single" w:sz="4" w:space="0" w:color="auto"/>
              <w:right w:val="single" w:sz="4" w:space="0" w:color="auto"/>
            </w:tcBorders>
          </w:tcPr>
          <w:p w:rsidR="00851679" w:rsidRPr="0029661B" w:rsidRDefault="00851679" w:rsidP="00851679">
            <w:pPr>
              <w:pStyle w:val="Tabletext"/>
              <w:jc w:val="left"/>
              <w:rPr>
                <w:rFonts w:eastAsia="MS PGothic"/>
                <w:lang w:val="es-ES_tradnl"/>
              </w:rPr>
            </w:pPr>
            <w:r w:rsidRPr="0029661B">
              <w:rPr>
                <w:rFonts w:eastAsia="MS PGothic"/>
                <w:lang w:val="es-ES_tradnl"/>
              </w:rPr>
              <w:t>Anchura de banda a 3 dB del filtro</w:t>
            </w:r>
            <w:r>
              <w:rPr>
                <w:rFonts w:eastAsia="MS PGothic"/>
                <w:lang w:val="es-ES_tradnl"/>
              </w:rPr>
              <w:t xml:space="preserve"> de</w:t>
            </w:r>
            <w:r w:rsidRPr="0029661B">
              <w:rPr>
                <w:rFonts w:eastAsia="MS PGothic"/>
                <w:lang w:val="es-ES_tradnl"/>
              </w:rPr>
              <w:t xml:space="preserve"> RF</w:t>
            </w:r>
            <w:r>
              <w:rPr>
                <w:rFonts w:eastAsia="MS PGothic"/>
                <w:lang w:val="es-ES_tradnl"/>
              </w:rPr>
              <w:t xml:space="preserve"> </w:t>
            </w:r>
            <w:r w:rsidRPr="0029661B">
              <w:rPr>
                <w:rFonts w:eastAsia="MS PGothic"/>
                <w:lang w:val="es-ES_tradnl"/>
              </w:rPr>
              <w:t>(MHz)</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text"/>
              <w:jc w:val="center"/>
              <w:rPr>
                <w:rFonts w:eastAsia="MS PGothic"/>
                <w:lang w:val="es-ES_tradnl"/>
              </w:rPr>
            </w:pPr>
            <w:r w:rsidRPr="0029661B">
              <w:rPr>
                <w:rFonts w:eastAsia="MS PGothic"/>
                <w:lang w:val="es-ES_tradnl"/>
              </w:rPr>
              <w:t>51,15</w:t>
            </w:r>
          </w:p>
        </w:tc>
        <w:tc>
          <w:tcPr>
            <w:tcW w:w="2239" w:type="dxa"/>
            <w:gridSpan w:val="2"/>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text"/>
              <w:jc w:val="center"/>
              <w:rPr>
                <w:rFonts w:eastAsia="MS PGothic"/>
                <w:lang w:val="es-ES_tradnl"/>
              </w:rPr>
            </w:pPr>
            <w:r w:rsidRPr="0029661B">
              <w:rPr>
                <w:rFonts w:eastAsia="MS PGothic"/>
                <w:lang w:val="es-ES_tradnl"/>
              </w:rPr>
              <w:t>30,69</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text"/>
              <w:jc w:val="center"/>
              <w:rPr>
                <w:rFonts w:eastAsia="MS PGothic"/>
                <w:lang w:val="es-ES_tradnl"/>
              </w:rPr>
            </w:pPr>
            <w:r w:rsidRPr="0029661B">
              <w:rPr>
                <w:rFonts w:eastAsia="MS PGothic"/>
                <w:lang w:val="es-ES_tradnl"/>
              </w:rPr>
              <w:t>4 (básica) a</w:t>
            </w:r>
            <w:r>
              <w:rPr>
                <w:rFonts w:eastAsia="MS PGothic"/>
                <w:lang w:val="es-ES_tradnl"/>
              </w:rPr>
              <w:t> </w:t>
            </w:r>
            <w:r w:rsidRPr="0029661B">
              <w:rPr>
                <w:rFonts w:eastAsia="MS PGothic"/>
                <w:lang w:val="es-ES_tradnl"/>
              </w:rPr>
              <w:t>24 (usos científicos)</w:t>
            </w:r>
          </w:p>
        </w:tc>
        <w:tc>
          <w:tcPr>
            <w:tcW w:w="1020" w:type="dxa"/>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text"/>
              <w:jc w:val="center"/>
              <w:rPr>
                <w:rFonts w:eastAsia="MS PGothic"/>
                <w:lang w:val="es-ES_tradnl"/>
              </w:rPr>
            </w:pPr>
            <w:r w:rsidRPr="0029661B">
              <w:rPr>
                <w:rFonts w:eastAsia="MS PGothic"/>
                <w:lang w:val="es-ES_tradnl"/>
              </w:rPr>
              <w:t>32</w:t>
            </w:r>
          </w:p>
        </w:tc>
      </w:tr>
      <w:tr w:rsidR="00851679" w:rsidRPr="0029661B" w:rsidTr="0085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tcPr>
          <w:p w:rsidR="00851679" w:rsidRPr="0029661B" w:rsidRDefault="00851679" w:rsidP="00851679">
            <w:pPr>
              <w:pStyle w:val="Tabletext"/>
              <w:jc w:val="left"/>
              <w:rPr>
                <w:rFonts w:eastAsia="MS PGothic"/>
                <w:lang w:val="es-ES_tradnl"/>
              </w:rPr>
            </w:pPr>
            <w:r w:rsidRPr="0029661B">
              <w:rPr>
                <w:rFonts w:eastAsia="MS PGothic"/>
                <w:lang w:val="es-ES_tradnl"/>
              </w:rPr>
              <w:t>Anchura de banda a 3 dB del filtro de precorrelación (MHz)</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text"/>
              <w:jc w:val="center"/>
              <w:rPr>
                <w:rFonts w:eastAsia="MS PGothic"/>
                <w:lang w:val="es-ES_tradnl"/>
              </w:rPr>
            </w:pPr>
            <w:r w:rsidRPr="0029661B">
              <w:rPr>
                <w:rFonts w:eastAsia="MS PGothic"/>
                <w:lang w:val="es-ES_tradnl"/>
              </w:rPr>
              <w:t>24</w:t>
            </w:r>
          </w:p>
        </w:tc>
        <w:tc>
          <w:tcPr>
            <w:tcW w:w="2239" w:type="dxa"/>
            <w:gridSpan w:val="2"/>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text"/>
              <w:jc w:val="center"/>
              <w:rPr>
                <w:rFonts w:eastAsia="MS PGothic"/>
                <w:lang w:val="es-ES_tradnl"/>
              </w:rPr>
            </w:pPr>
            <w:r w:rsidRPr="0029661B">
              <w:rPr>
                <w:rFonts w:eastAsia="MS PGothic"/>
                <w:lang w:val="es-ES_tradnl"/>
              </w:rPr>
              <w:t>30,69</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text"/>
              <w:jc w:val="center"/>
              <w:rPr>
                <w:rFonts w:eastAsia="MS PGothic"/>
                <w:lang w:val="es-ES_tradnl"/>
              </w:rPr>
            </w:pPr>
            <w:r w:rsidRPr="0029661B">
              <w:rPr>
                <w:rFonts w:eastAsia="MS PGothic"/>
                <w:lang w:val="es-ES_tradnl"/>
              </w:rPr>
              <w:t>4 (básica) a</w:t>
            </w:r>
            <w:r>
              <w:rPr>
                <w:rFonts w:eastAsia="MS PGothic"/>
                <w:lang w:val="es-ES_tradnl"/>
              </w:rPr>
              <w:t> </w:t>
            </w:r>
            <w:r w:rsidRPr="0029661B">
              <w:rPr>
                <w:rFonts w:eastAsia="MS PGothic"/>
                <w:lang w:val="es-ES_tradnl"/>
              </w:rPr>
              <w:t>24 (usos científicos)</w:t>
            </w:r>
          </w:p>
        </w:tc>
        <w:tc>
          <w:tcPr>
            <w:tcW w:w="1020" w:type="dxa"/>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text"/>
              <w:jc w:val="center"/>
              <w:rPr>
                <w:rFonts w:eastAsia="MS PGothic"/>
                <w:lang w:val="es-ES_tradnl"/>
              </w:rPr>
            </w:pPr>
            <w:r>
              <w:rPr>
                <w:rFonts w:eastAsia="MS PGothic"/>
                <w:lang w:val="es-ES_tradnl"/>
              </w:rPr>
              <w:t>32</w:t>
            </w:r>
          </w:p>
        </w:tc>
      </w:tr>
      <w:tr w:rsidR="00851679" w:rsidRPr="0029661B" w:rsidTr="008516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353" w:type="dxa"/>
            <w:tcBorders>
              <w:top w:val="single" w:sz="4" w:space="0" w:color="auto"/>
              <w:left w:val="single" w:sz="4" w:space="0" w:color="auto"/>
              <w:bottom w:val="single" w:sz="4" w:space="0" w:color="auto"/>
              <w:right w:val="single" w:sz="4" w:space="0" w:color="auto"/>
            </w:tcBorders>
          </w:tcPr>
          <w:p w:rsidR="00851679" w:rsidRPr="0029661B" w:rsidRDefault="00851679" w:rsidP="00851679">
            <w:pPr>
              <w:pStyle w:val="Tabletext"/>
              <w:jc w:val="left"/>
              <w:rPr>
                <w:rFonts w:eastAsia="MS PGothic"/>
                <w:lang w:val="es-ES_tradnl"/>
              </w:rPr>
            </w:pPr>
            <w:r w:rsidRPr="0029661B">
              <w:rPr>
                <w:rFonts w:eastAsia="MS PGothic"/>
                <w:lang w:val="es-ES_tradnl"/>
              </w:rPr>
              <w:t>Temperatura de ruido del sistema receptor (K)</w:t>
            </w:r>
          </w:p>
        </w:tc>
        <w:tc>
          <w:tcPr>
            <w:tcW w:w="7284" w:type="dxa"/>
            <w:gridSpan w:val="7"/>
            <w:tcBorders>
              <w:top w:val="single" w:sz="4" w:space="0" w:color="auto"/>
              <w:left w:val="single" w:sz="4" w:space="0" w:color="auto"/>
              <w:bottom w:val="single" w:sz="4" w:space="0" w:color="auto"/>
              <w:right w:val="single" w:sz="4" w:space="0" w:color="auto"/>
            </w:tcBorders>
            <w:vAlign w:val="center"/>
          </w:tcPr>
          <w:p w:rsidR="00851679" w:rsidRDefault="00851679" w:rsidP="00851679">
            <w:pPr>
              <w:pStyle w:val="Tabletext"/>
              <w:jc w:val="center"/>
              <w:rPr>
                <w:rFonts w:eastAsia="MS PGothic"/>
                <w:lang w:val="es-ES_tradnl"/>
              </w:rPr>
            </w:pPr>
            <w:r w:rsidRPr="0029661B">
              <w:rPr>
                <w:rFonts w:eastAsia="MS PGothic"/>
                <w:lang w:val="es-ES_tradnl"/>
              </w:rPr>
              <w:t>75</w:t>
            </w:r>
          </w:p>
        </w:tc>
      </w:tr>
    </w:tbl>
    <w:p w:rsidR="00851679" w:rsidRDefault="00851679"/>
    <w:p w:rsidR="000A3349" w:rsidRPr="0029661B" w:rsidRDefault="000A3349" w:rsidP="000A3349">
      <w:pPr>
        <w:pStyle w:val="TableNo"/>
        <w:rPr>
          <w:i/>
          <w:iCs/>
          <w:lang w:val="es-ES_tradnl"/>
        </w:rPr>
      </w:pPr>
      <w:r w:rsidRPr="0029661B">
        <w:rPr>
          <w:lang w:val="es-ES_tradnl"/>
        </w:rPr>
        <w:lastRenderedPageBreak/>
        <w:t xml:space="preserve">CUADRO  3-1 </w:t>
      </w:r>
      <w:r w:rsidRPr="0029661B">
        <w:rPr>
          <w:i/>
          <w:iCs/>
          <w:lang w:val="es-ES_tradnl"/>
        </w:rPr>
        <w:t>(</w:t>
      </w:r>
      <w:r w:rsidR="00AF7520" w:rsidRPr="0029661B">
        <w:rPr>
          <w:i/>
          <w:iCs/>
          <w:lang w:val="es-ES_tradnl"/>
        </w:rPr>
        <w:t>Fin</w:t>
      </w:r>
      <w:r w:rsidRPr="0029661B">
        <w:rPr>
          <w:i/>
          <w:iCs/>
          <w:lang w:val="es-ES_tradnl"/>
        </w:rPr>
        <w:t>)</w:t>
      </w:r>
    </w:p>
    <w:tbl>
      <w:tblPr>
        <w:tblW w:w="9645" w:type="dxa"/>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7"/>
        <w:gridCol w:w="2346"/>
        <w:gridCol w:w="1417"/>
        <w:gridCol w:w="1417"/>
        <w:gridCol w:w="1020"/>
        <w:gridCol w:w="1219"/>
        <w:gridCol w:w="935"/>
        <w:gridCol w:w="1276"/>
        <w:gridCol w:w="8"/>
      </w:tblGrid>
      <w:tr w:rsidR="00851679" w:rsidRPr="0029661B" w:rsidTr="005C5104">
        <w:trPr>
          <w:gridAfter w:val="1"/>
          <w:wAfter w:w="8" w:type="dxa"/>
          <w:cantSplit/>
          <w:tblHeader/>
          <w:jc w:val="center"/>
        </w:trPr>
        <w:tc>
          <w:tcPr>
            <w:tcW w:w="2353" w:type="dxa"/>
            <w:gridSpan w:val="2"/>
            <w:vMerge w:val="restart"/>
            <w:vAlign w:val="center"/>
          </w:tcPr>
          <w:p w:rsidR="00851679" w:rsidRPr="0029661B" w:rsidRDefault="00851679" w:rsidP="00851679">
            <w:pPr>
              <w:pStyle w:val="Tablehead"/>
              <w:rPr>
                <w:rFonts w:eastAsia="MS PGothic"/>
                <w:lang w:val="es-ES_tradnl"/>
              </w:rPr>
            </w:pPr>
            <w:r w:rsidRPr="0029661B">
              <w:rPr>
                <w:rFonts w:eastAsia="MS PGothic"/>
                <w:lang w:val="es-ES_tradnl"/>
              </w:rPr>
              <w:t>Parámetro</w:t>
            </w:r>
          </w:p>
        </w:tc>
        <w:tc>
          <w:tcPr>
            <w:tcW w:w="7284" w:type="dxa"/>
            <w:gridSpan w:val="6"/>
            <w:vAlign w:val="center"/>
          </w:tcPr>
          <w:p w:rsidR="00851679" w:rsidRPr="0029661B" w:rsidRDefault="00851679" w:rsidP="00851679">
            <w:pPr>
              <w:pStyle w:val="Tablehead"/>
              <w:rPr>
                <w:rFonts w:eastAsia="MS PGothic"/>
                <w:lang w:val="es-ES_tradnl"/>
              </w:rPr>
            </w:pPr>
            <w:r w:rsidRPr="0029661B">
              <w:rPr>
                <w:rFonts w:eastAsia="MS PGothic"/>
                <w:lang w:val="es-ES_tradnl"/>
              </w:rPr>
              <w:t>Valor del parámetro</w:t>
            </w:r>
          </w:p>
        </w:tc>
      </w:tr>
      <w:tr w:rsidR="00851679" w:rsidRPr="0029661B" w:rsidTr="005C51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blHeader/>
          <w:jc w:val="center"/>
        </w:trPr>
        <w:tc>
          <w:tcPr>
            <w:tcW w:w="2353" w:type="dxa"/>
            <w:gridSpan w:val="2"/>
            <w:vMerge/>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head"/>
              <w:rPr>
                <w:rFonts w:eastAsia="MS PGothic"/>
                <w:lang w:val="es-ES_tradnl"/>
              </w:rPr>
            </w:pPr>
          </w:p>
        </w:tc>
        <w:tc>
          <w:tcPr>
            <w:tcW w:w="1417" w:type="dxa"/>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head"/>
              <w:rPr>
                <w:rFonts w:eastAsia="MS PGothic"/>
                <w:lang w:val="es-ES_tradnl"/>
              </w:rPr>
            </w:pPr>
            <w:r w:rsidRPr="0029661B">
              <w:rPr>
                <w:rFonts w:eastAsia="MS PGothic"/>
                <w:lang w:val="es-ES_tradnl"/>
              </w:rPr>
              <w:t>E5a</w:t>
            </w:r>
          </w:p>
        </w:tc>
        <w:tc>
          <w:tcPr>
            <w:tcW w:w="1417" w:type="dxa"/>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head"/>
              <w:rPr>
                <w:rFonts w:eastAsia="MS PGothic"/>
                <w:lang w:val="es-ES_tradnl"/>
              </w:rPr>
            </w:pPr>
            <w:r w:rsidRPr="0029661B">
              <w:rPr>
                <w:rFonts w:eastAsia="MS PGothic"/>
                <w:lang w:val="es-ES_tradnl"/>
              </w:rPr>
              <w:t>E5b</w:t>
            </w:r>
          </w:p>
        </w:tc>
        <w:tc>
          <w:tcPr>
            <w:tcW w:w="1020" w:type="dxa"/>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head"/>
              <w:rPr>
                <w:rFonts w:eastAsia="MS PGothic"/>
                <w:lang w:val="es-ES_tradnl"/>
              </w:rPr>
            </w:pPr>
            <w:r w:rsidRPr="0029661B">
              <w:rPr>
                <w:rFonts w:eastAsia="MS PGothic"/>
                <w:lang w:val="es-ES_tradnl"/>
              </w:rPr>
              <w:t>E6 CS</w:t>
            </w:r>
          </w:p>
        </w:tc>
        <w:tc>
          <w:tcPr>
            <w:tcW w:w="1219" w:type="dxa"/>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head"/>
              <w:rPr>
                <w:rFonts w:eastAsia="MS PGothic"/>
                <w:lang w:val="es-ES_tradnl"/>
              </w:rPr>
            </w:pPr>
            <w:r w:rsidRPr="0029661B">
              <w:rPr>
                <w:rFonts w:eastAsia="MS PGothic"/>
                <w:lang w:val="es-ES_tradnl"/>
              </w:rPr>
              <w:t>E6 PRS</w:t>
            </w:r>
          </w:p>
        </w:tc>
        <w:tc>
          <w:tcPr>
            <w:tcW w:w="935" w:type="dxa"/>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head"/>
              <w:rPr>
                <w:rFonts w:eastAsia="MS PGothic"/>
                <w:lang w:val="es-ES_tradnl"/>
              </w:rPr>
            </w:pPr>
            <w:r w:rsidRPr="0029661B">
              <w:rPr>
                <w:rFonts w:eastAsia="MS PGothic"/>
                <w:lang w:val="es-ES_tradnl"/>
              </w:rPr>
              <w:t>E OS</w:t>
            </w:r>
          </w:p>
        </w:tc>
        <w:tc>
          <w:tcPr>
            <w:tcW w:w="1276" w:type="dxa"/>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head"/>
              <w:rPr>
                <w:rFonts w:eastAsia="MS PGothic"/>
                <w:lang w:val="es-ES_tradnl"/>
              </w:rPr>
            </w:pPr>
            <w:r w:rsidRPr="0029661B">
              <w:rPr>
                <w:rFonts w:eastAsia="MS PGothic"/>
                <w:lang w:val="es-ES_tradnl"/>
              </w:rPr>
              <w:t>E PRS</w:t>
            </w:r>
          </w:p>
        </w:tc>
      </w:tr>
      <w:tr w:rsidR="00851679" w:rsidRPr="0029661B" w:rsidTr="005C51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blHeader/>
          <w:jc w:val="center"/>
        </w:trPr>
        <w:tc>
          <w:tcPr>
            <w:tcW w:w="2353" w:type="dxa"/>
            <w:gridSpan w:val="2"/>
            <w:tcBorders>
              <w:top w:val="single" w:sz="4" w:space="0" w:color="auto"/>
              <w:left w:val="single" w:sz="4" w:space="0" w:color="auto"/>
              <w:bottom w:val="single" w:sz="4" w:space="0" w:color="auto"/>
              <w:right w:val="single" w:sz="4" w:space="0" w:color="auto"/>
            </w:tcBorders>
            <w:vAlign w:val="center"/>
          </w:tcPr>
          <w:p w:rsidR="00851679" w:rsidRPr="0029661B" w:rsidRDefault="00851679" w:rsidP="009B4E75">
            <w:pPr>
              <w:pStyle w:val="Tabletext"/>
              <w:jc w:val="left"/>
              <w:rPr>
                <w:rFonts w:eastAsia="MS PGothic"/>
                <w:lang w:val="es-ES_tradnl"/>
              </w:rPr>
            </w:pPr>
            <w:r w:rsidRPr="0029661B">
              <w:rPr>
                <w:rFonts w:eastAsia="MS PGothic"/>
                <w:lang w:val="es-ES_tradnl"/>
              </w:rPr>
              <w:t>Nivel de potencia umbral en modo seguimiento de la interferencia de banda estrecha combinada a la</w:t>
            </w:r>
            <w:r w:rsidR="009B4E75">
              <w:rPr>
                <w:rFonts w:eastAsia="MS PGothic"/>
                <w:lang w:val="es-ES_tradnl"/>
              </w:rPr>
              <w:t> </w:t>
            </w:r>
            <w:r w:rsidRPr="0029661B">
              <w:rPr>
                <w:rFonts w:eastAsia="MS PGothic"/>
                <w:lang w:val="es-ES_tradnl"/>
              </w:rPr>
              <w:t>salida de una antena pasiva (dBW)</w:t>
            </w:r>
          </w:p>
        </w:tc>
        <w:tc>
          <w:tcPr>
            <w:tcW w:w="7284" w:type="dxa"/>
            <w:gridSpan w:val="6"/>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text"/>
              <w:jc w:val="center"/>
              <w:rPr>
                <w:rFonts w:eastAsia="MS PGothic"/>
                <w:lang w:val="es-ES_tradnl"/>
              </w:rPr>
            </w:pPr>
            <w:r w:rsidRPr="0029661B">
              <w:rPr>
                <w:rFonts w:eastAsia="MS PGothic"/>
                <w:lang w:val="es-ES_tradnl"/>
              </w:rPr>
              <w:t>−142,0</w:t>
            </w:r>
          </w:p>
        </w:tc>
      </w:tr>
      <w:tr w:rsidR="00851679" w:rsidRPr="0029661B" w:rsidTr="005C51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blHeader/>
          <w:jc w:val="center"/>
        </w:trPr>
        <w:tc>
          <w:tcPr>
            <w:tcW w:w="2353" w:type="dxa"/>
            <w:gridSpan w:val="2"/>
            <w:tcBorders>
              <w:top w:val="single" w:sz="4" w:space="0" w:color="auto"/>
              <w:left w:val="single" w:sz="4" w:space="0" w:color="auto"/>
              <w:bottom w:val="single" w:sz="4" w:space="0" w:color="auto"/>
              <w:right w:val="single" w:sz="4" w:space="0" w:color="auto"/>
            </w:tcBorders>
          </w:tcPr>
          <w:p w:rsidR="00851679" w:rsidRPr="0029661B" w:rsidRDefault="00851679" w:rsidP="009B4E75">
            <w:pPr>
              <w:pStyle w:val="Tabletext"/>
              <w:jc w:val="left"/>
              <w:rPr>
                <w:rFonts w:eastAsia="MS PGothic"/>
                <w:lang w:val="es-ES_tradnl"/>
              </w:rPr>
            </w:pPr>
            <w:r w:rsidRPr="0029661B">
              <w:rPr>
                <w:rFonts w:eastAsia="MS PGothic"/>
                <w:lang w:val="es-ES_tradnl"/>
              </w:rPr>
              <w:t>Nivel de potencia umbral en modo adquisición de la interferencia de banda estrecha combinada a la</w:t>
            </w:r>
            <w:r w:rsidR="009B4E75">
              <w:rPr>
                <w:rFonts w:eastAsia="MS PGothic"/>
                <w:lang w:val="es-ES_tradnl"/>
              </w:rPr>
              <w:t> </w:t>
            </w:r>
            <w:r w:rsidRPr="0029661B">
              <w:rPr>
                <w:rFonts w:eastAsia="MS PGothic"/>
                <w:lang w:val="es-ES_tradnl"/>
              </w:rPr>
              <w:t>salida de una antena pasiva (dBW)</w:t>
            </w:r>
          </w:p>
        </w:tc>
        <w:tc>
          <w:tcPr>
            <w:tcW w:w="7284" w:type="dxa"/>
            <w:gridSpan w:val="6"/>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text"/>
              <w:jc w:val="center"/>
              <w:rPr>
                <w:rFonts w:eastAsia="MS PGothic"/>
                <w:lang w:val="es-ES_tradnl"/>
              </w:rPr>
            </w:pPr>
            <w:r w:rsidRPr="0029661B">
              <w:rPr>
                <w:rFonts w:eastAsia="MS PGothic"/>
                <w:lang w:val="es-ES_tradnl"/>
              </w:rPr>
              <w:t>−135,0</w:t>
            </w:r>
          </w:p>
        </w:tc>
      </w:tr>
      <w:tr w:rsidR="00851679" w:rsidRPr="0029661B" w:rsidTr="005C51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blHeader/>
          <w:jc w:val="center"/>
        </w:trPr>
        <w:tc>
          <w:tcPr>
            <w:tcW w:w="2353" w:type="dxa"/>
            <w:gridSpan w:val="2"/>
            <w:tcBorders>
              <w:top w:val="single" w:sz="4" w:space="0" w:color="auto"/>
              <w:left w:val="single" w:sz="4" w:space="0" w:color="auto"/>
              <w:bottom w:val="single" w:sz="4" w:space="0" w:color="auto"/>
              <w:right w:val="single" w:sz="4" w:space="0" w:color="auto"/>
            </w:tcBorders>
          </w:tcPr>
          <w:p w:rsidR="00851679" w:rsidRPr="0029661B" w:rsidRDefault="00851679" w:rsidP="00851679">
            <w:pPr>
              <w:pStyle w:val="Tabletext"/>
              <w:jc w:val="left"/>
              <w:rPr>
                <w:rFonts w:eastAsia="MS PGothic"/>
                <w:lang w:val="es-ES_tradnl"/>
              </w:rPr>
            </w:pPr>
            <w:r w:rsidRPr="0029661B">
              <w:rPr>
                <w:rFonts w:eastAsia="MS PGothic"/>
                <w:lang w:val="es-ES_tradnl"/>
              </w:rPr>
              <w:t>Nivel de densidad de potencia umbral en modo seguimiento de la interferencia de banda amplia combinada a la salida de una antena pasiva (dBW/MHz)</w:t>
            </w:r>
          </w:p>
        </w:tc>
        <w:tc>
          <w:tcPr>
            <w:tcW w:w="7284" w:type="dxa"/>
            <w:gridSpan w:val="6"/>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text"/>
              <w:jc w:val="center"/>
              <w:rPr>
                <w:rFonts w:eastAsia="MS PGothic"/>
                <w:lang w:val="es-ES_tradnl"/>
              </w:rPr>
            </w:pPr>
            <w:r w:rsidRPr="0029661B">
              <w:rPr>
                <w:rFonts w:eastAsia="MS PGothic"/>
                <w:lang w:val="es-ES_tradnl"/>
              </w:rPr>
              <w:t>−142,0</w:t>
            </w:r>
          </w:p>
        </w:tc>
      </w:tr>
      <w:tr w:rsidR="00851679" w:rsidRPr="0029661B" w:rsidTr="005C51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blHeader/>
          <w:jc w:val="center"/>
        </w:trPr>
        <w:tc>
          <w:tcPr>
            <w:tcW w:w="2353" w:type="dxa"/>
            <w:gridSpan w:val="2"/>
            <w:tcBorders>
              <w:top w:val="single" w:sz="4" w:space="0" w:color="auto"/>
              <w:left w:val="single" w:sz="4" w:space="0" w:color="auto"/>
              <w:bottom w:val="single" w:sz="4" w:space="0" w:color="auto"/>
              <w:right w:val="single" w:sz="4" w:space="0" w:color="auto"/>
            </w:tcBorders>
          </w:tcPr>
          <w:p w:rsidR="00851679" w:rsidRPr="0029661B" w:rsidRDefault="00851679" w:rsidP="00851679">
            <w:pPr>
              <w:pStyle w:val="Tabletext"/>
              <w:jc w:val="left"/>
              <w:rPr>
                <w:rFonts w:eastAsia="MS PGothic"/>
                <w:lang w:val="es-ES_tradnl"/>
              </w:rPr>
            </w:pPr>
            <w:r w:rsidRPr="0029661B">
              <w:rPr>
                <w:rFonts w:eastAsia="MS PGothic"/>
                <w:lang w:val="es-ES_tradnl"/>
              </w:rPr>
              <w:t xml:space="preserve">Nivel de densidad de potencia umbral en modo adquisición de la interferencia de banda amplia combinada a la salida de una antena pasiva (dBW/MHz) </w:t>
            </w:r>
          </w:p>
        </w:tc>
        <w:tc>
          <w:tcPr>
            <w:tcW w:w="7284" w:type="dxa"/>
            <w:gridSpan w:val="6"/>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text"/>
              <w:jc w:val="center"/>
              <w:rPr>
                <w:rFonts w:eastAsia="MS PGothic"/>
                <w:lang w:val="es-ES_tradnl"/>
              </w:rPr>
            </w:pPr>
            <w:r w:rsidRPr="0029661B">
              <w:rPr>
                <w:rFonts w:eastAsia="MS PGothic"/>
                <w:lang w:val="es-ES_tradnl"/>
              </w:rPr>
              <w:t>−135,0</w:t>
            </w:r>
          </w:p>
        </w:tc>
      </w:tr>
      <w:tr w:rsidR="00851679" w:rsidRPr="0029661B" w:rsidTr="005C51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blHeader/>
          <w:jc w:val="center"/>
        </w:trPr>
        <w:tc>
          <w:tcPr>
            <w:tcW w:w="2353" w:type="dxa"/>
            <w:gridSpan w:val="2"/>
            <w:tcBorders>
              <w:top w:val="single" w:sz="4" w:space="0" w:color="auto"/>
              <w:left w:val="single" w:sz="4" w:space="0" w:color="auto"/>
              <w:bottom w:val="single" w:sz="4" w:space="0" w:color="auto"/>
              <w:right w:val="single" w:sz="4" w:space="0" w:color="auto"/>
            </w:tcBorders>
          </w:tcPr>
          <w:p w:rsidR="00851679" w:rsidRPr="0029661B" w:rsidRDefault="00851679" w:rsidP="00851679">
            <w:pPr>
              <w:pStyle w:val="Tabletext"/>
              <w:jc w:val="left"/>
              <w:rPr>
                <w:lang w:val="es-ES_tradnl"/>
              </w:rPr>
            </w:pPr>
            <w:r w:rsidRPr="0029661B">
              <w:rPr>
                <w:lang w:val="es-ES_tradnl"/>
              </w:rPr>
              <w:t>Nivel de compresión a la entrada del receptor (dBW)</w:t>
            </w:r>
          </w:p>
        </w:tc>
        <w:tc>
          <w:tcPr>
            <w:tcW w:w="7284" w:type="dxa"/>
            <w:gridSpan w:val="6"/>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text"/>
              <w:jc w:val="center"/>
              <w:rPr>
                <w:rFonts w:eastAsia="MS PGothic"/>
                <w:lang w:val="es-ES_tradnl"/>
              </w:rPr>
            </w:pPr>
            <w:r w:rsidRPr="0029661B">
              <w:rPr>
                <w:rFonts w:eastAsia="MS PGothic"/>
                <w:lang w:val="es-ES_tradnl"/>
              </w:rPr>
              <w:t>−50</w:t>
            </w:r>
          </w:p>
        </w:tc>
      </w:tr>
      <w:tr w:rsidR="00851679" w:rsidRPr="0029661B" w:rsidTr="005C51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blHeader/>
          <w:jc w:val="center"/>
        </w:trPr>
        <w:tc>
          <w:tcPr>
            <w:tcW w:w="2353" w:type="dxa"/>
            <w:gridSpan w:val="2"/>
            <w:tcBorders>
              <w:top w:val="single" w:sz="4" w:space="0" w:color="auto"/>
              <w:left w:val="single" w:sz="4" w:space="0" w:color="auto"/>
              <w:bottom w:val="single" w:sz="4" w:space="0" w:color="auto"/>
              <w:right w:val="single" w:sz="4" w:space="0" w:color="auto"/>
            </w:tcBorders>
          </w:tcPr>
          <w:p w:rsidR="00851679" w:rsidRPr="0029661B" w:rsidRDefault="00851679" w:rsidP="00851679">
            <w:pPr>
              <w:pStyle w:val="Tabletext"/>
              <w:jc w:val="left"/>
              <w:rPr>
                <w:lang w:val="es-ES_tradnl"/>
              </w:rPr>
            </w:pPr>
            <w:r w:rsidRPr="0029661B">
              <w:rPr>
                <w:lang w:val="es-ES_tradnl"/>
              </w:rPr>
              <w:t>Nivel de supervivencia del receptor (dBW)</w:t>
            </w:r>
          </w:p>
        </w:tc>
        <w:tc>
          <w:tcPr>
            <w:tcW w:w="7284" w:type="dxa"/>
            <w:gridSpan w:val="6"/>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text"/>
              <w:jc w:val="center"/>
              <w:rPr>
                <w:rFonts w:eastAsia="MS PGothic"/>
                <w:lang w:val="es-ES_tradnl"/>
              </w:rPr>
            </w:pPr>
            <w:r w:rsidRPr="0029661B">
              <w:rPr>
                <w:rFonts w:eastAsia="MS PGothic"/>
                <w:lang w:val="es-ES_tradnl"/>
              </w:rPr>
              <w:t>−10</w:t>
            </w:r>
          </w:p>
        </w:tc>
      </w:tr>
      <w:tr w:rsidR="00851679" w:rsidRPr="0029661B" w:rsidTr="005C51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cantSplit/>
          <w:tblHeader/>
          <w:jc w:val="center"/>
        </w:trPr>
        <w:tc>
          <w:tcPr>
            <w:tcW w:w="2353" w:type="dxa"/>
            <w:gridSpan w:val="2"/>
            <w:tcBorders>
              <w:top w:val="single" w:sz="4" w:space="0" w:color="auto"/>
              <w:left w:val="single" w:sz="4" w:space="0" w:color="auto"/>
              <w:bottom w:val="single" w:sz="4" w:space="0" w:color="auto"/>
              <w:right w:val="single" w:sz="4" w:space="0" w:color="auto"/>
            </w:tcBorders>
          </w:tcPr>
          <w:p w:rsidR="00851679" w:rsidRPr="0029661B" w:rsidRDefault="00851679" w:rsidP="00851679">
            <w:pPr>
              <w:pStyle w:val="Tabletext"/>
              <w:jc w:val="left"/>
              <w:rPr>
                <w:lang w:val="es-ES_tradnl"/>
              </w:rPr>
            </w:pPr>
            <w:r w:rsidRPr="0029661B">
              <w:rPr>
                <w:lang w:val="es-ES_tradnl"/>
              </w:rPr>
              <w:t>Tiempo de recuperación de sobrecarga</w:t>
            </w:r>
            <w:r>
              <w:rPr>
                <w:lang w:val="es-ES_tradnl"/>
              </w:rPr>
              <w:t xml:space="preserve"> </w:t>
            </w:r>
            <w:r w:rsidRPr="0029661B">
              <w:rPr>
                <w:lang w:val="es-ES_tradnl"/>
              </w:rPr>
              <w:t>(s)</w:t>
            </w:r>
          </w:p>
        </w:tc>
        <w:tc>
          <w:tcPr>
            <w:tcW w:w="7284" w:type="dxa"/>
            <w:gridSpan w:val="6"/>
            <w:tcBorders>
              <w:top w:val="single" w:sz="4" w:space="0" w:color="auto"/>
              <w:left w:val="single" w:sz="4" w:space="0" w:color="auto"/>
              <w:bottom w:val="single" w:sz="4" w:space="0" w:color="auto"/>
              <w:right w:val="single" w:sz="4" w:space="0" w:color="auto"/>
            </w:tcBorders>
            <w:vAlign w:val="center"/>
          </w:tcPr>
          <w:p w:rsidR="00851679" w:rsidRPr="0029661B" w:rsidRDefault="00851679" w:rsidP="00851679">
            <w:pPr>
              <w:pStyle w:val="Tabletext"/>
              <w:jc w:val="center"/>
              <w:rPr>
                <w:rFonts w:eastAsia="MS PGothic"/>
                <w:lang w:val="es-ES_tradnl"/>
              </w:rPr>
            </w:pPr>
            <w:r w:rsidRPr="0029661B">
              <w:rPr>
                <w:rFonts w:eastAsia="MS PGothic"/>
                <w:lang w:val="es-ES_tradnl"/>
              </w:rPr>
              <w:t>10</w:t>
            </w:r>
            <w:r w:rsidRPr="0029661B">
              <w:rPr>
                <w:rFonts w:eastAsia="MS PGothic"/>
                <w:vertAlign w:val="superscript"/>
                <w:lang w:val="es-ES_tradnl"/>
              </w:rPr>
              <w:t>−6</w:t>
            </w:r>
          </w:p>
        </w:tc>
      </w:tr>
      <w:tr w:rsidR="000A3349" w:rsidRPr="007034B2" w:rsidTr="005C51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7" w:type="dxa"/>
          <w:cantSplit/>
          <w:jc w:val="center"/>
        </w:trPr>
        <w:tc>
          <w:tcPr>
            <w:tcW w:w="9638" w:type="dxa"/>
            <w:gridSpan w:val="8"/>
            <w:tcBorders>
              <w:top w:val="single" w:sz="4" w:space="0" w:color="auto"/>
              <w:left w:val="nil"/>
              <w:bottom w:val="nil"/>
              <w:right w:val="nil"/>
            </w:tcBorders>
          </w:tcPr>
          <w:p w:rsidR="000A3349" w:rsidRPr="0029661B" w:rsidRDefault="000A3349" w:rsidP="00530C2D">
            <w:pPr>
              <w:pStyle w:val="TableLegendNote"/>
            </w:pPr>
            <w:r w:rsidRPr="0029661B">
              <w:t>NOTA</w:t>
            </w:r>
            <w:r w:rsidR="00530C2D">
              <w:t> </w:t>
            </w:r>
            <w:r w:rsidRPr="0029661B">
              <w:t>1</w:t>
            </w:r>
            <w:r w:rsidR="00530C2D">
              <w:t> </w:t>
            </w:r>
            <w:r w:rsidRPr="0029661B">
              <w:t>−</w:t>
            </w:r>
            <w:r w:rsidR="00530C2D">
              <w:t> </w:t>
            </w:r>
            <w:r w:rsidRPr="0029661B">
              <w:t>Se considera que una señal de interferencia de banda estrecha continua tiene una anchura de banda inferior a 700</w:t>
            </w:r>
            <w:r>
              <w:t> </w:t>
            </w:r>
            <w:r w:rsidRPr="0029661B">
              <w:t>Hz. Se considera que una interferencia de banda amplia continua tiene una anchura de banda superior a 1</w:t>
            </w:r>
            <w:r>
              <w:t> </w:t>
            </w:r>
            <w:r w:rsidRPr="0029661B">
              <w:t>MHz.</w:t>
            </w:r>
          </w:p>
          <w:p w:rsidR="000A3349" w:rsidRPr="0029661B" w:rsidRDefault="000A3349" w:rsidP="00B75383">
            <w:pPr>
              <w:pStyle w:val="TableLegendNote"/>
              <w:rPr>
                <w:rFonts w:eastAsia="MS PGothic"/>
              </w:rPr>
            </w:pPr>
            <w:r w:rsidRPr="0029661B">
              <w:t>NOTA</w:t>
            </w:r>
            <w:r w:rsidR="00530C2D">
              <w:t> </w:t>
            </w:r>
            <w:r w:rsidRPr="0029661B">
              <w:t>2</w:t>
            </w:r>
            <w:r w:rsidR="00530C2D">
              <w:t> </w:t>
            </w:r>
            <w:r w:rsidRPr="0029661B">
              <w:t>−</w:t>
            </w:r>
            <w:r w:rsidR="00530C2D">
              <w:t> </w:t>
            </w:r>
            <w:r w:rsidRPr="0029661B">
              <w:t>En los parámetros del SRNS Galileo, MDPB-R(</w:t>
            </w:r>
            <w:r w:rsidRPr="00F43BA3">
              <w:rPr>
                <w:i/>
                <w:iCs/>
              </w:rPr>
              <w:t>n</w:t>
            </w:r>
            <w:r w:rsidRPr="0029661B">
              <w:t>) se refiere a una modulación por de</w:t>
            </w:r>
            <w:r>
              <w:t>s</w:t>
            </w:r>
            <w:r w:rsidRPr="0029661B">
              <w:t xml:space="preserve">plazamiento de fase binaria que utiliza segmentos rectangulares con una velocidad de segmento de </w:t>
            </w:r>
            <w:r w:rsidRPr="0029661B">
              <w:rPr>
                <w:i/>
              </w:rPr>
              <w:t>n</w:t>
            </w:r>
            <w:r w:rsidR="005C5104">
              <w:t> </w:t>
            </w:r>
            <w:r w:rsidRPr="0029661B">
              <w:sym w:font="Symbol" w:char="00B4"/>
            </w:r>
            <w:r w:rsidR="005C5104">
              <w:t> </w:t>
            </w:r>
            <w:r w:rsidRPr="0029661B">
              <w:t>1,023 (Mcps). BOC</w:t>
            </w:r>
            <w:r>
              <w:t> </w:t>
            </w:r>
            <w:r w:rsidRPr="0029661B">
              <w:t>(</w:t>
            </w:r>
            <w:r w:rsidRPr="0029661B">
              <w:rPr>
                <w:i/>
                <w:iCs/>
              </w:rPr>
              <w:t>m</w:t>
            </w:r>
            <w:r>
              <w:rPr>
                <w:i/>
                <w:iCs/>
              </w:rPr>
              <w:t>, </w:t>
            </w:r>
            <w:r w:rsidRPr="0029661B">
              <w:rPr>
                <w:i/>
                <w:iCs/>
              </w:rPr>
              <w:t>n</w:t>
            </w:r>
            <w:r w:rsidRPr="0029661B">
              <w:t xml:space="preserve">) se refiere a una modulación con desplazamiento de portadora binaria con un desplazamiento de frecuencia portadora de </w:t>
            </w:r>
            <w:r w:rsidRPr="0029661B">
              <w:rPr>
                <w:i/>
                <w:iCs/>
              </w:rPr>
              <w:t>m</w:t>
            </w:r>
            <w:r w:rsidR="005C5104" w:rsidRPr="005C5104">
              <w:t> </w:t>
            </w:r>
            <w:r w:rsidR="005C5104" w:rsidRPr="0029661B">
              <w:sym w:font="Symbol" w:char="00B4"/>
            </w:r>
            <w:r w:rsidR="005C5104">
              <w:t> </w:t>
            </w:r>
            <w:r w:rsidRPr="0029661B">
              <w:t>1,023</w:t>
            </w:r>
            <w:r w:rsidR="005C5104">
              <w:t> </w:t>
            </w:r>
            <w:r w:rsidRPr="0029661B">
              <w:t xml:space="preserve">(MHz) y una velocidad de segmento de </w:t>
            </w:r>
            <w:r w:rsidRPr="0029661B">
              <w:rPr>
                <w:i/>
                <w:iCs/>
              </w:rPr>
              <w:t>n</w:t>
            </w:r>
            <w:r w:rsidR="005C5104">
              <w:rPr>
                <w:i/>
                <w:iCs/>
              </w:rPr>
              <w:t> </w:t>
            </w:r>
            <w:r w:rsidR="005C5104" w:rsidRPr="0029661B">
              <w:sym w:font="Symbol" w:char="00B4"/>
            </w:r>
            <w:r w:rsidR="005C5104">
              <w:t> </w:t>
            </w:r>
            <w:r w:rsidRPr="0029661B">
              <w:t xml:space="preserve">1,023 (Mcps). MBOC se refiere a una modulación de portadora con desplazamiento </w:t>
            </w:r>
            <w:r>
              <w:t>binaria multiplexada tal que la</w:t>
            </w:r>
            <w:r w:rsidRPr="0029661B">
              <w:t xml:space="preserve"> densidad del espectro de potencia </w:t>
            </w:r>
            <w:r w:rsidRPr="0029661B">
              <w:rPr>
                <w:i/>
              </w:rPr>
              <w:t>G</w:t>
            </w:r>
            <w:r w:rsidRPr="0029661B">
              <w:rPr>
                <w:i/>
                <w:vertAlign w:val="subscript"/>
              </w:rPr>
              <w:t>MBOC</w:t>
            </w:r>
            <w:r w:rsidRPr="0029661B">
              <w:t xml:space="preserve"> de la señal MBOC a una frecuencia determinada, </w:t>
            </w:r>
            <w:r w:rsidRPr="0029661B">
              <w:rPr>
                <w:i/>
                <w:iCs/>
              </w:rPr>
              <w:t>f</w:t>
            </w:r>
            <w:r w:rsidRPr="0029661B">
              <w:t xml:space="preserve">, es igual a: </w:t>
            </w:r>
            <w:r w:rsidRPr="0029661B">
              <w:rPr>
                <w:i/>
              </w:rPr>
              <w:t>G</w:t>
            </w:r>
            <w:r w:rsidRPr="0029661B">
              <w:rPr>
                <w:i/>
                <w:vertAlign w:val="subscript"/>
              </w:rPr>
              <w:t>MBOC</w:t>
            </w:r>
            <w:bookmarkStart w:id="3" w:name="_GoBack"/>
            <w:r w:rsidR="00B75383" w:rsidRPr="00B75383">
              <w:rPr>
                <w:i/>
                <w:sz w:val="8"/>
                <w:vertAlign w:val="subscript"/>
              </w:rPr>
              <w:t> </w:t>
            </w:r>
            <w:bookmarkEnd w:id="3"/>
            <w:r w:rsidRPr="0029661B">
              <w:t>(</w:t>
            </w:r>
            <w:r w:rsidRPr="0029661B">
              <w:rPr>
                <w:i/>
              </w:rPr>
              <w:t>f</w:t>
            </w:r>
            <w:r w:rsidRPr="0029661B">
              <w:t>) = 10/11</w:t>
            </w:r>
            <w:r>
              <w:t> </w:t>
            </w:r>
            <w:r w:rsidRPr="0029661B">
              <w:rPr>
                <w:i/>
              </w:rPr>
              <w:t>G</w:t>
            </w:r>
            <w:r w:rsidRPr="0029661B">
              <w:rPr>
                <w:i/>
                <w:vertAlign w:val="subscript"/>
              </w:rPr>
              <w:t>BOC</w:t>
            </w:r>
            <w:r w:rsidRPr="0029661B">
              <w:rPr>
                <w:vertAlign w:val="subscript"/>
              </w:rPr>
              <w:t>(1,1)</w:t>
            </w:r>
            <w:r w:rsidRPr="0029661B">
              <w:t>(</w:t>
            </w:r>
            <w:r w:rsidRPr="0029661B">
              <w:rPr>
                <w:i/>
              </w:rPr>
              <w:t>f</w:t>
            </w:r>
            <w:r w:rsidRPr="0029661B">
              <w:t>)</w:t>
            </w:r>
            <w:r>
              <w:t> </w:t>
            </w:r>
            <w:r w:rsidRPr="0029661B">
              <w:t>+</w:t>
            </w:r>
            <w:r>
              <w:t> </w:t>
            </w:r>
            <w:r w:rsidRPr="0029661B">
              <w:t xml:space="preserve">1/11 </w:t>
            </w:r>
            <w:r w:rsidRPr="0029661B">
              <w:rPr>
                <w:i/>
              </w:rPr>
              <w:t>G</w:t>
            </w:r>
            <w:r w:rsidRPr="0029661B">
              <w:rPr>
                <w:i/>
                <w:vertAlign w:val="subscript"/>
              </w:rPr>
              <w:t>BOC</w:t>
            </w:r>
            <w:r w:rsidRPr="0029661B">
              <w:rPr>
                <w:vertAlign w:val="subscript"/>
              </w:rPr>
              <w:t>(6,1)</w:t>
            </w:r>
            <w:r w:rsidRPr="0029661B">
              <w:t>(</w:t>
            </w:r>
            <w:r w:rsidRPr="0029661B">
              <w:rPr>
                <w:i/>
              </w:rPr>
              <w:t>f</w:t>
            </w:r>
            <w:r w:rsidRPr="0029661B">
              <w:t>).</w:t>
            </w:r>
          </w:p>
        </w:tc>
      </w:tr>
    </w:tbl>
    <w:p w:rsidR="000A3349" w:rsidRDefault="000A3349" w:rsidP="000A3349">
      <w:pPr>
        <w:pStyle w:val="Tablefin"/>
        <w:rPr>
          <w:lang w:val="es-ES_tradnl"/>
        </w:rPr>
      </w:pPr>
    </w:p>
    <w:p w:rsidR="00E34A65" w:rsidRDefault="00E34A65">
      <w:pPr>
        <w:jc w:val="center"/>
      </w:pPr>
      <w:r>
        <w:t>______________</w:t>
      </w:r>
    </w:p>
    <w:sectPr w:rsidR="00E34A65" w:rsidSect="00E34A65">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659" w:rsidRDefault="00FE7659">
      <w:r>
        <w:separator/>
      </w:r>
    </w:p>
  </w:endnote>
  <w:endnote w:type="continuationSeparator" w:id="0">
    <w:p w:rsidR="00FE7659" w:rsidRDefault="00FE7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659" w:rsidRDefault="00FE7659">
      <w:r>
        <w:separator/>
      </w:r>
    </w:p>
  </w:footnote>
  <w:footnote w:type="continuationSeparator" w:id="0">
    <w:p w:rsidR="00FE7659" w:rsidRDefault="00FE7659">
      <w:r>
        <w:continuationSeparator/>
      </w:r>
    </w:p>
  </w:footnote>
  <w:footnote w:id="1">
    <w:p w:rsidR="00FE7659" w:rsidRPr="00C22388" w:rsidRDefault="00FE7659" w:rsidP="000A3349">
      <w:pPr>
        <w:pStyle w:val="FootnoteText"/>
        <w:rPr>
          <w:lang w:val="es-ES_tradnl"/>
        </w:rPr>
      </w:pPr>
      <w:r>
        <w:footnoteRef/>
      </w:r>
      <w:r w:rsidRPr="00C22388">
        <w:rPr>
          <w:lang w:val="es-ES_tradnl"/>
        </w:rPr>
        <w:t xml:space="preserve"> </w:t>
      </w:r>
      <w:r w:rsidRPr="00C22388">
        <w:rPr>
          <w:lang w:val="es-ES_tradnl"/>
        </w:rPr>
        <w:tab/>
        <w:t>En la Recomendaci</w:t>
      </w:r>
      <w:r>
        <w:rPr>
          <w:lang w:val="es-ES_tradnl"/>
        </w:rPr>
        <w:t>ó</w:t>
      </w:r>
      <w:r w:rsidRPr="00C22388">
        <w:rPr>
          <w:lang w:val="es-ES_tradnl"/>
        </w:rPr>
        <w:t>n </w:t>
      </w:r>
      <w:r>
        <w:rPr>
          <w:lang w:val="es-ES_tradnl"/>
        </w:rPr>
        <w:t>UIT</w:t>
      </w:r>
      <w:r w:rsidRPr="00C22388">
        <w:rPr>
          <w:lang w:val="es-ES_tradnl"/>
        </w:rPr>
        <w:noBreakHyphen/>
        <w:t>R M.1787</w:t>
      </w:r>
      <w:r>
        <w:rPr>
          <w:lang w:val="es-ES_tradnl"/>
        </w:rPr>
        <w:t xml:space="preserve"> aparece más información sobre las características de la señal GPS en estas bandas</w:t>
      </w:r>
      <w:r w:rsidRPr="00C22388">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59" w:rsidRDefault="00FE7659">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59" w:rsidRDefault="00FE7659" w:rsidP="00022AA4">
    <w:pPr>
      <w:ind w:right="360" w:firstLine="360"/>
    </w:pPr>
    <w:r>
      <w:rPr>
        <w:noProof/>
        <w:lang w:val="en-US" w:eastAsia="zh-CN"/>
      </w:rPr>
      <w:drawing>
        <wp:anchor distT="0" distB="0" distL="114300" distR="114300" simplePos="0" relativeHeight="251659264" behindDoc="1" locked="0" layoutInCell="1" allowOverlap="1" wp14:anchorId="36ED138E" wp14:editId="4013F46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59" w:rsidRDefault="00FE7659" w:rsidP="00022AA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27F5E">
      <w:rPr>
        <w:rStyle w:val="PageNumber"/>
        <w:b/>
        <w:bCs/>
        <w:noProof/>
      </w:rPr>
      <w:t>ii</w:t>
    </w:r>
    <w:r>
      <w:rPr>
        <w:rStyle w:val="PageNumber"/>
        <w:b/>
        <w:bCs/>
      </w:rPr>
      <w:fldChar w:fldCharType="end"/>
    </w:r>
    <w:r>
      <w:tab/>
    </w:r>
    <w:r w:rsidR="00B75383">
      <w:fldChar w:fldCharType="begin"/>
    </w:r>
    <w:r w:rsidR="00B75383">
      <w:instrText xml:space="preserve"> DOCPROPERTY "Header" \* MERGEFORMAT </w:instrText>
    </w:r>
    <w:r w:rsidR="00B75383">
      <w:fldChar w:fldCharType="separate"/>
    </w:r>
    <w:r w:rsidR="00F27F5E" w:rsidRPr="00F27F5E">
      <w:rPr>
        <w:b/>
        <w:bCs/>
      </w:rPr>
      <w:t xml:space="preserve">Rec. </w:t>
    </w:r>
    <w:r w:rsidR="00B75383">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F27F5E">
      <w:rPr>
        <w:b/>
        <w:bCs/>
        <w:noProof/>
      </w:rPr>
      <w:t>UIT-R  M.1904</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59" w:rsidRDefault="00FE7659">
    <w:r>
      <w:tab/>
    </w:r>
    <w:r w:rsidR="00B75383">
      <w:fldChar w:fldCharType="begin"/>
    </w:r>
    <w:r w:rsidR="00B75383">
      <w:instrText xml:space="preserve"> DOCPROPERTY "Header" \* MERGEFORMAT </w:instrText>
    </w:r>
    <w:r w:rsidR="00B75383">
      <w:fldChar w:fldCharType="separate"/>
    </w:r>
    <w:r w:rsidR="00F27F5E" w:rsidRPr="00F27F5E">
      <w:rPr>
        <w:b/>
        <w:bCs/>
      </w:rPr>
      <w:t xml:space="preserve">Rec. </w:t>
    </w:r>
    <w:r w:rsidR="00B75383">
      <w:rPr>
        <w:b/>
        <w:bCs/>
      </w:rPr>
      <w:fldChar w:fldCharType="end"/>
    </w:r>
    <w:r>
      <w:rPr>
        <w:b/>
        <w:bCs/>
      </w:rPr>
      <w:t xml:space="preserve"> </w:t>
    </w:r>
    <w:r>
      <w:rPr>
        <w:b/>
        <w:bCs/>
      </w:rPr>
      <w:fldChar w:fldCharType="begin"/>
    </w:r>
    <w:r>
      <w:rPr>
        <w:b/>
        <w:bCs/>
      </w:rPr>
      <w:instrText>styleref href</w:instrText>
    </w:r>
    <w:r>
      <w:rPr>
        <w:b/>
        <w:bCs/>
      </w:rPr>
      <w:fldChar w:fldCharType="separate"/>
    </w:r>
    <w:r w:rsidR="00F27F5E">
      <w:rPr>
        <w:b/>
        <w:bCs/>
        <w:noProof/>
      </w:rPr>
      <w:t>UIT-R  M.1904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06E08">
      <w:rPr>
        <w:rStyle w:val="PageNumber"/>
        <w:b/>
        <w:bCs/>
        <w:noProof/>
      </w:rPr>
      <w:t>viii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59" w:rsidRDefault="00FE765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75383">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27F5E" w:rsidRPr="00F27F5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75383">
      <w:rPr>
        <w:b/>
        <w:bCs/>
        <w:noProof/>
      </w:rPr>
      <w:t>UIT-R  M.1904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59" w:rsidRDefault="00FE7659">
    <w:pPr>
      <w:pStyle w:val="Header"/>
    </w:pPr>
    <w:r>
      <w:tab/>
    </w:r>
    <w:r w:rsidR="00B75383">
      <w:fldChar w:fldCharType="begin"/>
    </w:r>
    <w:r w:rsidR="00B75383">
      <w:instrText xml:space="preserve"> DOCPROPERTY "Header" \* MERGEFORMAT </w:instrText>
    </w:r>
    <w:r w:rsidR="00B75383">
      <w:fldChar w:fldCharType="separate"/>
    </w:r>
    <w:r w:rsidR="00F27F5E" w:rsidRPr="00F27F5E">
      <w:rPr>
        <w:b/>
        <w:bCs/>
      </w:rPr>
      <w:t xml:space="preserve">Rec. </w:t>
    </w:r>
    <w:r w:rsidR="00B75383">
      <w:rPr>
        <w:b/>
        <w:bCs/>
      </w:rPr>
      <w:fldChar w:fldCharType="end"/>
    </w:r>
    <w:r>
      <w:rPr>
        <w:b/>
        <w:bCs/>
      </w:rPr>
      <w:t xml:space="preserve"> </w:t>
    </w:r>
    <w:r>
      <w:rPr>
        <w:b/>
        <w:bCs/>
      </w:rPr>
      <w:fldChar w:fldCharType="begin"/>
    </w:r>
    <w:r>
      <w:rPr>
        <w:b/>
        <w:bCs/>
      </w:rPr>
      <w:instrText>styleref href</w:instrText>
    </w:r>
    <w:r>
      <w:rPr>
        <w:b/>
        <w:bCs/>
      </w:rPr>
      <w:fldChar w:fldCharType="separate"/>
    </w:r>
    <w:r w:rsidR="00F27F5E">
      <w:rPr>
        <w:b/>
        <w:bCs/>
        <w:noProof/>
      </w:rPr>
      <w:t>UIT-R  M.1904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27F5E">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AF8531E"/>
    <w:lvl w:ilvl="0">
      <w:start w:val="1"/>
      <w:numFmt w:val="decimal"/>
      <w:lvlText w:val="%1."/>
      <w:lvlJc w:val="left"/>
      <w:pPr>
        <w:tabs>
          <w:tab w:val="num" w:pos="1492"/>
        </w:tabs>
        <w:ind w:left="1492" w:hanging="360"/>
      </w:pPr>
    </w:lvl>
  </w:abstractNum>
  <w:abstractNum w:abstractNumId="1">
    <w:nsid w:val="FFFFFF7D"/>
    <w:multiLevelType w:val="singleLevel"/>
    <w:tmpl w:val="8F3A2C38"/>
    <w:lvl w:ilvl="0">
      <w:start w:val="1"/>
      <w:numFmt w:val="decimal"/>
      <w:lvlText w:val="%1."/>
      <w:lvlJc w:val="left"/>
      <w:pPr>
        <w:tabs>
          <w:tab w:val="num" w:pos="1209"/>
        </w:tabs>
        <w:ind w:left="1209" w:hanging="360"/>
      </w:pPr>
    </w:lvl>
  </w:abstractNum>
  <w:abstractNum w:abstractNumId="2">
    <w:nsid w:val="FFFFFF7E"/>
    <w:multiLevelType w:val="singleLevel"/>
    <w:tmpl w:val="9A7AC3A8"/>
    <w:lvl w:ilvl="0">
      <w:start w:val="1"/>
      <w:numFmt w:val="decimal"/>
      <w:lvlText w:val="%1."/>
      <w:lvlJc w:val="left"/>
      <w:pPr>
        <w:tabs>
          <w:tab w:val="num" w:pos="926"/>
        </w:tabs>
        <w:ind w:left="926" w:hanging="360"/>
      </w:pPr>
    </w:lvl>
  </w:abstractNum>
  <w:abstractNum w:abstractNumId="3">
    <w:nsid w:val="FFFFFF7F"/>
    <w:multiLevelType w:val="singleLevel"/>
    <w:tmpl w:val="DFD814BA"/>
    <w:lvl w:ilvl="0">
      <w:start w:val="1"/>
      <w:numFmt w:val="decimal"/>
      <w:lvlText w:val="%1."/>
      <w:lvlJc w:val="left"/>
      <w:pPr>
        <w:tabs>
          <w:tab w:val="num" w:pos="643"/>
        </w:tabs>
        <w:ind w:left="643" w:hanging="360"/>
      </w:pPr>
    </w:lvl>
  </w:abstractNum>
  <w:abstractNum w:abstractNumId="4">
    <w:nsid w:val="FFFFFF80"/>
    <w:multiLevelType w:val="singleLevel"/>
    <w:tmpl w:val="044EA57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F16EB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0C002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8C603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48E7458"/>
    <w:lvl w:ilvl="0">
      <w:start w:val="1"/>
      <w:numFmt w:val="decimal"/>
      <w:lvlText w:val="%1."/>
      <w:lvlJc w:val="left"/>
      <w:pPr>
        <w:tabs>
          <w:tab w:val="num" w:pos="360"/>
        </w:tabs>
        <w:ind w:left="360" w:hanging="360"/>
      </w:pPr>
    </w:lvl>
  </w:abstractNum>
  <w:abstractNum w:abstractNumId="9">
    <w:nsid w:val="FFFFFF89"/>
    <w:multiLevelType w:val="singleLevel"/>
    <w:tmpl w:val="A3322FF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A65"/>
    <w:rsid w:val="00022AA4"/>
    <w:rsid w:val="000A3349"/>
    <w:rsid w:val="000E61A1"/>
    <w:rsid w:val="0011245A"/>
    <w:rsid w:val="001E1BC3"/>
    <w:rsid w:val="00217EBF"/>
    <w:rsid w:val="00242AEE"/>
    <w:rsid w:val="002A0C8C"/>
    <w:rsid w:val="002D76C4"/>
    <w:rsid w:val="002E4406"/>
    <w:rsid w:val="0036454F"/>
    <w:rsid w:val="003D115F"/>
    <w:rsid w:val="00411C44"/>
    <w:rsid w:val="004B57E9"/>
    <w:rsid w:val="004C6F8F"/>
    <w:rsid w:val="004E1CEA"/>
    <w:rsid w:val="0052529D"/>
    <w:rsid w:val="00530C2D"/>
    <w:rsid w:val="005C5104"/>
    <w:rsid w:val="00607D68"/>
    <w:rsid w:val="00615B76"/>
    <w:rsid w:val="00660430"/>
    <w:rsid w:val="006A4FC1"/>
    <w:rsid w:val="007468DA"/>
    <w:rsid w:val="00757D7D"/>
    <w:rsid w:val="007877A0"/>
    <w:rsid w:val="007D6D77"/>
    <w:rsid w:val="007F3E34"/>
    <w:rsid w:val="00851679"/>
    <w:rsid w:val="008968ED"/>
    <w:rsid w:val="008F077F"/>
    <w:rsid w:val="00913F19"/>
    <w:rsid w:val="00962C62"/>
    <w:rsid w:val="009B4E75"/>
    <w:rsid w:val="009D2E83"/>
    <w:rsid w:val="009E00A8"/>
    <w:rsid w:val="009F64D0"/>
    <w:rsid w:val="00A06E08"/>
    <w:rsid w:val="00A25538"/>
    <w:rsid w:val="00A46516"/>
    <w:rsid w:val="00A6617B"/>
    <w:rsid w:val="00AB0DC8"/>
    <w:rsid w:val="00AF7520"/>
    <w:rsid w:val="00B123B1"/>
    <w:rsid w:val="00B258AA"/>
    <w:rsid w:val="00B44E24"/>
    <w:rsid w:val="00B737DE"/>
    <w:rsid w:val="00B75383"/>
    <w:rsid w:val="00B868FB"/>
    <w:rsid w:val="00CE20E0"/>
    <w:rsid w:val="00DF4176"/>
    <w:rsid w:val="00E17EF1"/>
    <w:rsid w:val="00E34A65"/>
    <w:rsid w:val="00E364EF"/>
    <w:rsid w:val="00E53666"/>
    <w:rsid w:val="00EC3114"/>
    <w:rsid w:val="00F27F5E"/>
    <w:rsid w:val="00FB75E8"/>
    <w:rsid w:val="00FC6022"/>
    <w:rsid w:val="00FE76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A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sid w:val="000A3349"/>
    <w:rPr>
      <w:sz w:val="24"/>
      <w:lang w:val="fr-FR" w:eastAsia="en-US"/>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link w:val="FootnoteText"/>
    <w:rsid w:val="000A3349"/>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E34A65"/>
    <w:rPr>
      <w:color w:val="0000FF"/>
      <w:u w:val="single"/>
    </w:rPr>
  </w:style>
  <w:style w:type="paragraph" w:styleId="BalloonText">
    <w:name w:val="Balloon Text"/>
    <w:basedOn w:val="Normal"/>
    <w:link w:val="BalloonTextChar"/>
    <w:rsid w:val="00E364EF"/>
    <w:pPr>
      <w:spacing w:before="0"/>
    </w:pPr>
    <w:rPr>
      <w:rFonts w:ascii="Tahoma" w:hAnsi="Tahoma" w:cs="Tahoma"/>
      <w:sz w:val="16"/>
      <w:szCs w:val="16"/>
    </w:rPr>
  </w:style>
  <w:style w:type="character" w:customStyle="1" w:styleId="BalloonTextChar">
    <w:name w:val="Balloon Text Char"/>
    <w:basedOn w:val="DefaultParagraphFont"/>
    <w:link w:val="BalloonText"/>
    <w:rsid w:val="00E364EF"/>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A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sid w:val="000A3349"/>
    <w:rPr>
      <w:sz w:val="24"/>
      <w:lang w:val="fr-FR" w:eastAsia="en-US"/>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link w:val="FootnoteText"/>
    <w:rsid w:val="000A3349"/>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E34A65"/>
    <w:rPr>
      <w:color w:val="0000FF"/>
      <w:u w:val="single"/>
    </w:rPr>
  </w:style>
  <w:style w:type="paragraph" w:styleId="BalloonText">
    <w:name w:val="Balloon Text"/>
    <w:basedOn w:val="Normal"/>
    <w:link w:val="BalloonTextChar"/>
    <w:rsid w:val="00E364EF"/>
    <w:pPr>
      <w:spacing w:before="0"/>
    </w:pPr>
    <w:rPr>
      <w:rFonts w:ascii="Tahoma" w:hAnsi="Tahoma" w:cs="Tahoma"/>
      <w:sz w:val="16"/>
      <w:szCs w:val="16"/>
    </w:rPr>
  </w:style>
  <w:style w:type="character" w:customStyle="1" w:styleId="BalloonTextChar">
    <w:name w:val="Balloon Text Char"/>
    <w:basedOn w:val="DefaultParagraphFont"/>
    <w:link w:val="BalloonText"/>
    <w:rsid w:val="00E364EF"/>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FD12F-C2E1-40DF-A866-6C50FD319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317</TotalTime>
  <Pages>10</Pages>
  <Words>3428</Words>
  <Characters>17387</Characters>
  <Application>Microsoft Office Word</Application>
  <DocSecurity>0</DocSecurity>
  <Lines>668</Lines>
  <Paragraphs>226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31</cp:revision>
  <cp:lastPrinted>2012-07-09T08:27:00Z</cp:lastPrinted>
  <dcterms:created xsi:type="dcterms:W3CDTF">2012-07-06T09:49:00Z</dcterms:created>
  <dcterms:modified xsi:type="dcterms:W3CDTF">2012-07-10T13:55:00Z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