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292" w:rsidRPr="001246F2" w:rsidRDefault="00042292" w:rsidP="00042292"/>
    <w:p w:rsidR="00042292" w:rsidRPr="001246F2" w:rsidRDefault="00042292" w:rsidP="00042292"/>
    <w:p w:rsidR="00042292" w:rsidRPr="001246F2" w:rsidRDefault="00042292" w:rsidP="00042292"/>
    <w:p w:rsidR="00042292" w:rsidRPr="001246F2" w:rsidRDefault="00042292" w:rsidP="00042292"/>
    <w:p w:rsidR="00042292" w:rsidRPr="001246F2" w:rsidRDefault="00042292" w:rsidP="00042292"/>
    <w:p w:rsidR="00042292" w:rsidRPr="001246F2" w:rsidRDefault="00042292" w:rsidP="00042292"/>
    <w:p w:rsidR="00042292" w:rsidRPr="001246F2" w:rsidRDefault="00042292" w:rsidP="00042292"/>
    <w:p w:rsidR="00042292" w:rsidRPr="001246F2" w:rsidRDefault="00042292" w:rsidP="00042292"/>
    <w:p w:rsidR="00042292" w:rsidRPr="001246F2" w:rsidRDefault="00042292" w:rsidP="00042292"/>
    <w:p w:rsidR="00042292" w:rsidRPr="001246F2" w:rsidRDefault="00042292" w:rsidP="00042292"/>
    <w:tbl>
      <w:tblPr>
        <w:tblW w:w="10089" w:type="dxa"/>
        <w:tblLook w:val="01E0" w:firstRow="1" w:lastRow="1" w:firstColumn="1" w:lastColumn="1" w:noHBand="0" w:noVBand="0"/>
      </w:tblPr>
      <w:tblGrid>
        <w:gridCol w:w="10089"/>
      </w:tblGrid>
      <w:tr w:rsidR="00042292" w:rsidRPr="001246F2" w:rsidTr="00A07AEB">
        <w:tc>
          <w:tcPr>
            <w:tcW w:w="10089" w:type="dxa"/>
          </w:tcPr>
          <w:p w:rsidR="00042292" w:rsidRPr="001246F2" w:rsidRDefault="00042292" w:rsidP="00A07AEB">
            <w:pPr>
              <w:spacing w:before="380" w:line="280" w:lineRule="exact"/>
              <w:jc w:val="right"/>
              <w:rPr>
                <w:rFonts w:ascii="Tahoma" w:hAnsi="Tahoma" w:cs="Tahoma"/>
                <w:b/>
                <w:bCs/>
                <w:iCs/>
                <w:color w:val="243285"/>
                <w:sz w:val="32"/>
                <w:szCs w:val="32"/>
              </w:rPr>
            </w:pPr>
          </w:p>
          <w:p w:rsidR="00042292" w:rsidRPr="001246F2" w:rsidRDefault="00042292" w:rsidP="00650BCD">
            <w:pPr>
              <w:spacing w:before="380" w:line="280" w:lineRule="exact"/>
              <w:jc w:val="right"/>
              <w:rPr>
                <w:rFonts w:ascii="Tahoma" w:hAnsi="Tahoma" w:cs="Tahoma"/>
                <w:b/>
                <w:bCs/>
                <w:iCs/>
                <w:color w:val="243285"/>
                <w:sz w:val="36"/>
                <w:szCs w:val="36"/>
              </w:rPr>
            </w:pPr>
            <w:r w:rsidRPr="001246F2">
              <w:rPr>
                <w:rFonts w:ascii="Tahoma" w:hAnsi="Tahoma" w:cs="Tahoma"/>
                <w:b/>
                <w:bCs/>
                <w:iCs/>
                <w:color w:val="243285"/>
                <w:sz w:val="36"/>
                <w:szCs w:val="36"/>
              </w:rPr>
              <w:t>Recomendación  UIT-R  M.</w:t>
            </w:r>
            <w:r w:rsidR="00650BCD" w:rsidRPr="001246F2">
              <w:rPr>
                <w:rFonts w:ascii="Tahoma" w:hAnsi="Tahoma" w:cs="Tahoma"/>
                <w:b/>
                <w:bCs/>
                <w:iCs/>
                <w:color w:val="243285"/>
                <w:sz w:val="36"/>
                <w:szCs w:val="36"/>
              </w:rPr>
              <w:t>1903</w:t>
            </w:r>
          </w:p>
          <w:p w:rsidR="00042292" w:rsidRPr="001246F2" w:rsidRDefault="00042292" w:rsidP="00650BCD">
            <w:pPr>
              <w:spacing w:before="80" w:line="280" w:lineRule="exact"/>
              <w:jc w:val="right"/>
              <w:rPr>
                <w:rFonts w:ascii="Tahoma" w:hAnsi="Tahoma" w:cs="Tahoma"/>
                <w:b/>
                <w:bCs/>
                <w:iCs/>
                <w:color w:val="243285"/>
                <w:szCs w:val="24"/>
              </w:rPr>
            </w:pPr>
            <w:r w:rsidRPr="001246F2">
              <w:rPr>
                <w:rFonts w:ascii="Tahoma" w:hAnsi="Tahoma" w:cs="Tahoma"/>
                <w:b/>
                <w:bCs/>
                <w:iCs/>
                <w:color w:val="243285"/>
                <w:szCs w:val="24"/>
              </w:rPr>
              <w:t>(</w:t>
            </w:r>
            <w:r w:rsidR="00650BCD" w:rsidRPr="001246F2">
              <w:rPr>
                <w:rFonts w:ascii="Tahoma" w:hAnsi="Tahoma" w:cs="Tahoma"/>
                <w:b/>
                <w:bCs/>
                <w:iCs/>
                <w:color w:val="243285"/>
                <w:szCs w:val="24"/>
              </w:rPr>
              <w:t>01</w:t>
            </w:r>
            <w:r w:rsidRPr="001246F2">
              <w:rPr>
                <w:rFonts w:ascii="Tahoma" w:hAnsi="Tahoma" w:cs="Tahoma"/>
                <w:b/>
                <w:bCs/>
                <w:iCs/>
                <w:color w:val="243285"/>
                <w:szCs w:val="24"/>
              </w:rPr>
              <w:t>/</w:t>
            </w:r>
            <w:r w:rsidR="00650BCD" w:rsidRPr="001246F2">
              <w:rPr>
                <w:rFonts w:ascii="Tahoma" w:hAnsi="Tahoma" w:cs="Tahoma"/>
                <w:b/>
                <w:bCs/>
                <w:iCs/>
                <w:color w:val="243285"/>
                <w:szCs w:val="24"/>
              </w:rPr>
              <w:t>2012</w:t>
            </w:r>
            <w:r w:rsidRPr="001246F2">
              <w:rPr>
                <w:rFonts w:ascii="Tahoma" w:hAnsi="Tahoma" w:cs="Tahoma"/>
                <w:b/>
                <w:bCs/>
                <w:iCs/>
                <w:color w:val="243285"/>
                <w:szCs w:val="24"/>
              </w:rPr>
              <w:t>)</w:t>
            </w:r>
          </w:p>
        </w:tc>
      </w:tr>
      <w:tr w:rsidR="00042292" w:rsidRPr="001246F2" w:rsidTr="00A07AEB">
        <w:tc>
          <w:tcPr>
            <w:tcW w:w="10089" w:type="dxa"/>
          </w:tcPr>
          <w:p w:rsidR="00042292" w:rsidRPr="001246F2" w:rsidRDefault="00042292" w:rsidP="00A07AEB">
            <w:pPr>
              <w:spacing w:before="80" w:line="500" w:lineRule="exact"/>
              <w:jc w:val="right"/>
              <w:rPr>
                <w:rFonts w:ascii="Tahoma" w:hAnsi="Tahoma" w:cs="Tahoma"/>
                <w:b/>
                <w:bCs/>
                <w:iCs/>
                <w:color w:val="243285"/>
                <w:sz w:val="44"/>
                <w:szCs w:val="44"/>
              </w:rPr>
            </w:pPr>
          </w:p>
          <w:p w:rsidR="00042292" w:rsidRPr="001246F2" w:rsidRDefault="00650BCD" w:rsidP="00E11457">
            <w:pPr>
              <w:spacing w:before="80" w:line="500" w:lineRule="exact"/>
              <w:jc w:val="right"/>
              <w:rPr>
                <w:rFonts w:ascii="Tahoma" w:hAnsi="Tahoma" w:cs="Tahoma"/>
                <w:b/>
                <w:bCs/>
                <w:iCs/>
                <w:color w:val="243285"/>
                <w:sz w:val="44"/>
                <w:szCs w:val="44"/>
              </w:rPr>
            </w:pPr>
            <w:r w:rsidRPr="001246F2">
              <w:rPr>
                <w:rFonts w:ascii="Tahoma" w:hAnsi="Tahoma" w:cs="Tahoma"/>
                <w:b/>
                <w:bCs/>
                <w:iCs/>
                <w:color w:val="243285"/>
                <w:sz w:val="44"/>
                <w:szCs w:val="44"/>
              </w:rPr>
              <w:t>Ca</w:t>
            </w:r>
            <w:r w:rsidRPr="001246F2">
              <w:rPr>
                <w:rFonts w:ascii="Tahoma" w:hAnsi="Tahoma" w:cs="Tahoma"/>
                <w:b/>
                <w:bCs/>
                <w:color w:val="243285"/>
                <w:sz w:val="44"/>
                <w:szCs w:val="44"/>
              </w:rPr>
              <w:t xml:space="preserve">racterísticas y criterios de protección </w:t>
            </w:r>
            <w:r w:rsidRPr="001246F2">
              <w:rPr>
                <w:rFonts w:ascii="Tahoma" w:hAnsi="Tahoma" w:cs="Tahoma"/>
                <w:b/>
                <w:bCs/>
                <w:color w:val="243285"/>
                <w:sz w:val="44"/>
                <w:szCs w:val="44"/>
              </w:rPr>
              <w:br/>
              <w:t>de las estaciones terrenas receptoras del</w:t>
            </w:r>
            <w:r w:rsidRPr="001246F2">
              <w:rPr>
                <w:rFonts w:ascii="Tahoma" w:hAnsi="Tahoma" w:cs="Tahoma"/>
                <w:b/>
                <w:bCs/>
                <w:color w:val="243285"/>
                <w:sz w:val="44"/>
                <w:szCs w:val="44"/>
              </w:rPr>
              <w:br/>
              <w:t>servicio de radionavegación por satélite (espacio-Tierra) y de los receptores</w:t>
            </w:r>
            <w:r w:rsidRPr="001246F2">
              <w:rPr>
                <w:rFonts w:ascii="Tahoma" w:hAnsi="Tahoma" w:cs="Tahoma"/>
                <w:b/>
                <w:bCs/>
                <w:color w:val="243285"/>
                <w:sz w:val="44"/>
                <w:szCs w:val="44"/>
              </w:rPr>
              <w:br/>
              <w:t>del servicio de radionavegación</w:t>
            </w:r>
            <w:r w:rsidRPr="001246F2">
              <w:rPr>
                <w:rFonts w:ascii="Tahoma" w:hAnsi="Tahoma" w:cs="Tahoma"/>
                <w:b/>
                <w:bCs/>
                <w:color w:val="243285"/>
                <w:sz w:val="44"/>
                <w:szCs w:val="44"/>
              </w:rPr>
              <w:br/>
              <w:t>aeronáutica que funcionan en</w:t>
            </w:r>
            <w:r w:rsidRPr="001246F2">
              <w:rPr>
                <w:rFonts w:ascii="Tahoma" w:hAnsi="Tahoma" w:cs="Tahoma"/>
                <w:b/>
                <w:bCs/>
                <w:color w:val="243285"/>
                <w:sz w:val="44"/>
                <w:szCs w:val="44"/>
              </w:rPr>
              <w:br/>
              <w:t>la banda 1 559-1 610 MHz</w:t>
            </w:r>
          </w:p>
        </w:tc>
      </w:tr>
      <w:tr w:rsidR="00042292" w:rsidRPr="001246F2" w:rsidTr="00A07AEB">
        <w:tc>
          <w:tcPr>
            <w:tcW w:w="10089" w:type="dxa"/>
          </w:tcPr>
          <w:p w:rsidR="00042292" w:rsidRPr="001246F2" w:rsidRDefault="00042292" w:rsidP="00A07AEB">
            <w:pPr>
              <w:spacing w:before="80" w:line="280" w:lineRule="exact"/>
              <w:ind w:right="640"/>
              <w:rPr>
                <w:rFonts w:ascii="Tahoma" w:hAnsi="Tahoma" w:cs="Tahoma"/>
                <w:b/>
                <w:bCs/>
                <w:iCs/>
                <w:color w:val="243285"/>
                <w:sz w:val="32"/>
                <w:szCs w:val="32"/>
              </w:rPr>
            </w:pPr>
          </w:p>
          <w:p w:rsidR="00042292" w:rsidRPr="001246F2" w:rsidRDefault="00042292" w:rsidP="00A07AEB">
            <w:pPr>
              <w:spacing w:before="80" w:after="180" w:line="360" w:lineRule="exact"/>
              <w:ind w:right="720"/>
              <w:rPr>
                <w:rFonts w:ascii="Tahoma" w:hAnsi="Tahoma" w:cs="Tahoma"/>
                <w:b/>
                <w:bCs/>
                <w:iCs/>
                <w:color w:val="243285"/>
                <w:sz w:val="36"/>
                <w:szCs w:val="36"/>
              </w:rPr>
            </w:pPr>
          </w:p>
          <w:p w:rsidR="00042292" w:rsidRPr="001246F2" w:rsidRDefault="00042292" w:rsidP="00A07AEB">
            <w:pPr>
              <w:spacing w:before="80" w:after="180" w:line="360" w:lineRule="exact"/>
              <w:jc w:val="right"/>
              <w:rPr>
                <w:rFonts w:ascii="Tahoma" w:hAnsi="Tahoma" w:cs="Tahoma"/>
                <w:b/>
                <w:bCs/>
                <w:iCs/>
                <w:color w:val="243285"/>
                <w:sz w:val="36"/>
                <w:szCs w:val="36"/>
              </w:rPr>
            </w:pPr>
            <w:r w:rsidRPr="001246F2">
              <w:rPr>
                <w:rFonts w:ascii="Tahoma" w:hAnsi="Tahoma" w:cs="Tahoma"/>
                <w:b/>
                <w:bCs/>
                <w:iCs/>
                <w:color w:val="243285"/>
                <w:sz w:val="36"/>
                <w:szCs w:val="36"/>
              </w:rPr>
              <w:t>Serie M</w:t>
            </w:r>
          </w:p>
          <w:p w:rsidR="00042292" w:rsidRPr="001246F2" w:rsidRDefault="00042292" w:rsidP="00A07AEB">
            <w:pPr>
              <w:spacing w:before="80" w:line="420" w:lineRule="exact"/>
              <w:jc w:val="right"/>
              <w:rPr>
                <w:rFonts w:ascii="Tahoma" w:hAnsi="Tahoma" w:cs="Tahoma"/>
                <w:b/>
                <w:bCs/>
                <w:iCs/>
                <w:color w:val="243285"/>
                <w:sz w:val="36"/>
                <w:szCs w:val="36"/>
              </w:rPr>
            </w:pPr>
            <w:r w:rsidRPr="001246F2">
              <w:rPr>
                <w:rFonts w:ascii="Tahoma" w:hAnsi="Tahoma" w:cs="Tahoma"/>
                <w:b/>
                <w:bCs/>
                <w:iCs/>
                <w:color w:val="243285"/>
                <w:sz w:val="36"/>
                <w:szCs w:val="36"/>
              </w:rPr>
              <w:t>Servicios móviles, de radiodeterminación,</w:t>
            </w:r>
            <w:r w:rsidR="00410F5B" w:rsidRPr="001246F2">
              <w:rPr>
                <w:rFonts w:ascii="Tahoma" w:hAnsi="Tahoma" w:cs="Tahoma"/>
                <w:b/>
                <w:bCs/>
                <w:iCs/>
                <w:color w:val="243285"/>
                <w:sz w:val="36"/>
                <w:szCs w:val="36"/>
              </w:rPr>
              <w:br/>
            </w:r>
            <w:r w:rsidRPr="001246F2">
              <w:rPr>
                <w:rFonts w:ascii="Tahoma" w:hAnsi="Tahoma" w:cs="Tahoma"/>
                <w:b/>
                <w:bCs/>
                <w:iCs/>
                <w:color w:val="243285"/>
                <w:sz w:val="36"/>
                <w:szCs w:val="36"/>
              </w:rPr>
              <w:t>de aficionados y otros servicios</w:t>
            </w:r>
            <w:r w:rsidRPr="001246F2">
              <w:rPr>
                <w:rFonts w:ascii="Tahoma" w:hAnsi="Tahoma" w:cs="Tahoma"/>
                <w:b/>
                <w:bCs/>
                <w:iCs/>
                <w:color w:val="243285"/>
                <w:sz w:val="36"/>
                <w:szCs w:val="36"/>
              </w:rPr>
              <w:br/>
              <w:t>por satélite conexos</w:t>
            </w:r>
          </w:p>
        </w:tc>
      </w:tr>
    </w:tbl>
    <w:p w:rsidR="00042292" w:rsidRPr="001246F2" w:rsidRDefault="00042292" w:rsidP="00042292">
      <w:pPr>
        <w:spacing w:before="80"/>
        <w:rPr>
          <w:i/>
          <w:sz w:val="22"/>
        </w:rPr>
      </w:pPr>
    </w:p>
    <w:p w:rsidR="00042292" w:rsidRPr="001246F2" w:rsidRDefault="00042292" w:rsidP="00042292">
      <w:pPr>
        <w:spacing w:before="80"/>
        <w:rPr>
          <w:i/>
          <w:sz w:val="22"/>
        </w:rPr>
      </w:pPr>
    </w:p>
    <w:p w:rsidR="00042292" w:rsidRPr="001246F2" w:rsidRDefault="00042292" w:rsidP="00042292">
      <w:pPr>
        <w:spacing w:before="80"/>
        <w:rPr>
          <w:i/>
          <w:sz w:val="22"/>
        </w:rPr>
      </w:pPr>
    </w:p>
    <w:p w:rsidR="00042292" w:rsidRPr="001246F2" w:rsidRDefault="00042292" w:rsidP="00042292">
      <w:pPr>
        <w:spacing w:before="80"/>
        <w:rPr>
          <w:i/>
          <w:sz w:val="22"/>
        </w:rPr>
      </w:pPr>
    </w:p>
    <w:p w:rsidR="00042292" w:rsidRPr="001246F2" w:rsidRDefault="00042292" w:rsidP="00042292">
      <w:pPr>
        <w:spacing w:before="80"/>
        <w:rPr>
          <w:i/>
          <w:sz w:val="22"/>
        </w:rPr>
      </w:pPr>
    </w:p>
    <w:p w:rsidR="00042292" w:rsidRPr="001246F2" w:rsidRDefault="00042292" w:rsidP="00042292">
      <w:pPr>
        <w:spacing w:before="80"/>
        <w:rPr>
          <w:i/>
          <w:sz w:val="22"/>
        </w:rPr>
      </w:pPr>
    </w:p>
    <w:p w:rsidR="00042292" w:rsidRPr="001246F2" w:rsidRDefault="00042292" w:rsidP="00042292">
      <w:pPr>
        <w:pStyle w:val="Equation"/>
        <w:tabs>
          <w:tab w:val="clear" w:pos="4820"/>
          <w:tab w:val="clear" w:pos="9639"/>
          <w:tab w:val="left" w:pos="1191"/>
          <w:tab w:val="left" w:pos="1588"/>
          <w:tab w:val="left" w:pos="1985"/>
        </w:tabs>
        <w:rPr>
          <w:rFonts w:ascii="Palatino Linotype" w:hAnsi="Palatino Linotype"/>
        </w:rPr>
        <w:sectPr w:rsidR="00042292" w:rsidRPr="001246F2">
          <w:headerReference w:type="even" r:id="rId9"/>
          <w:headerReference w:type="default" r:id="rId10"/>
          <w:pgSz w:w="11907" w:h="16840" w:code="9"/>
          <w:pgMar w:top="1089" w:right="1089" w:bottom="284" w:left="1089" w:header="567" w:footer="284" w:gutter="0"/>
          <w:pgNumType w:start="1"/>
          <w:cols w:space="720"/>
        </w:sectPr>
      </w:pPr>
    </w:p>
    <w:p w:rsidR="00042292" w:rsidRPr="001246F2"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rPr>
      </w:pPr>
      <w:bookmarkStart w:id="0" w:name="c2tope"/>
      <w:bookmarkEnd w:id="0"/>
      <w:r w:rsidRPr="001246F2">
        <w:rPr>
          <w:bCs/>
          <w:sz w:val="24"/>
          <w:szCs w:val="24"/>
        </w:rPr>
        <w:lastRenderedPageBreak/>
        <w:t>Prólogo</w:t>
      </w:r>
    </w:p>
    <w:p w:rsidR="00042292" w:rsidRPr="001246F2" w:rsidRDefault="00042292" w:rsidP="00042292">
      <w:pPr>
        <w:spacing w:before="180"/>
        <w:rPr>
          <w:sz w:val="20"/>
        </w:rPr>
      </w:pPr>
      <w:r w:rsidRPr="001246F2">
        <w:rPr>
          <w:sz w:val="20"/>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1246F2" w:rsidRDefault="00042292" w:rsidP="00042292">
      <w:pPr>
        <w:rPr>
          <w:sz w:val="20"/>
        </w:rPr>
      </w:pPr>
      <w:r w:rsidRPr="001246F2">
        <w:rPr>
          <w:sz w:val="20"/>
        </w:rPr>
        <w:t>Las Conferencias Mundiales y Regionales de Radiocomunicaciones y las Asambleas de Radiocomunicaciones, con la colaboración de las Comisiones de Estudio, cumplen las funciones reglamentarias y políticas del Sector de Radiocomunicaciones.</w:t>
      </w:r>
    </w:p>
    <w:p w:rsidR="00042292" w:rsidRPr="001246F2" w:rsidRDefault="00042292" w:rsidP="00042292">
      <w:pPr>
        <w:pStyle w:val="Heading1"/>
        <w:spacing w:before="340"/>
        <w:jc w:val="center"/>
        <w:rPr>
          <w:szCs w:val="24"/>
        </w:rPr>
      </w:pPr>
      <w:r w:rsidRPr="001246F2">
        <w:t>Política sobre Derechos de Propiedad Intelectual</w:t>
      </w:r>
      <w:r w:rsidRPr="001246F2">
        <w:rPr>
          <w:szCs w:val="24"/>
        </w:rPr>
        <w:t xml:space="preserve"> (IPR)</w:t>
      </w:r>
    </w:p>
    <w:p w:rsidR="00042292" w:rsidRPr="001246F2" w:rsidRDefault="00042292" w:rsidP="00042292">
      <w:pPr>
        <w:spacing w:before="180"/>
        <w:rPr>
          <w:sz w:val="20"/>
        </w:rPr>
      </w:pPr>
      <w:r w:rsidRPr="001246F2">
        <w:rPr>
          <w:sz w:val="20"/>
        </w:rPr>
        <w:t>La política del UIT</w:t>
      </w:r>
      <w:r w:rsidRPr="001246F2">
        <w:rPr>
          <w:sz w:val="20"/>
        </w:rPr>
        <w:noBreakHyphen/>
        <w:t>R sobre Derechos de Propiedad Intelectual se describe en la Política Común de Patentes UIT</w:t>
      </w:r>
      <w:r w:rsidRPr="001246F2">
        <w:rPr>
          <w:sz w:val="20"/>
        </w:rPr>
        <w:noBreakHyphen/>
        <w:t>T/UIT</w:t>
      </w:r>
      <w:r w:rsidRPr="001246F2">
        <w:rPr>
          <w:sz w:val="20"/>
        </w:rPr>
        <w:noBreakHyphen/>
        <w:t>R/ISO/CEI a la que se hace referencia en el Anexo 1 a la Resolución UIT</w:t>
      </w:r>
      <w:r w:rsidRPr="001246F2">
        <w:rPr>
          <w:sz w:val="20"/>
        </w:rPr>
        <w:noBreakHyphen/>
        <w:t xml:space="preserve">R 1. Los formularios que deben utilizarse en la declaración sobre patentes y utilización de patentes por los titulares de las mismas figuran en la dirección web </w:t>
      </w:r>
      <w:hyperlink r:id="rId11" w:history="1">
        <w:r w:rsidRPr="001246F2">
          <w:rPr>
            <w:rStyle w:val="Hyperlink"/>
            <w:sz w:val="20"/>
          </w:rPr>
          <w:t>http://www.itu.int/ITU-R/go/patents/es</w:t>
        </w:r>
      </w:hyperlink>
      <w:r w:rsidRPr="001246F2">
        <w:rPr>
          <w:sz w:val="20"/>
        </w:rPr>
        <w:t>, donde también aparecen las Directrices para la implementación de la Política Común de Patentes UIT</w:t>
      </w:r>
      <w:r w:rsidRPr="001246F2">
        <w:rPr>
          <w:sz w:val="20"/>
        </w:rPr>
        <w:noBreakHyphen/>
        <w:t>T/UIT</w:t>
      </w:r>
      <w:r w:rsidRPr="001246F2">
        <w:rPr>
          <w:sz w:val="20"/>
        </w:rPr>
        <w:noBreakHyphen/>
        <w:t>R/ISO/CEI y la base de datos sobre información de patentes del UIT</w:t>
      </w:r>
      <w:r w:rsidRPr="001246F2">
        <w:rPr>
          <w:sz w:val="20"/>
        </w:rPr>
        <w:noBreakHyphen/>
        <w:t>R sobre este asunto.</w:t>
      </w:r>
    </w:p>
    <w:p w:rsidR="00042292" w:rsidRPr="001246F2" w:rsidRDefault="00042292" w:rsidP="00042292">
      <w:pPr>
        <w:spacing w:before="0"/>
        <w:jc w:val="center"/>
        <w:rPr>
          <w:sz w:val="22"/>
        </w:rPr>
      </w:pPr>
    </w:p>
    <w:p w:rsidR="00042292" w:rsidRPr="001246F2" w:rsidRDefault="00042292" w:rsidP="00042292">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42292" w:rsidRPr="001246F2" w:rsidTr="00CB1354">
        <w:tc>
          <w:tcPr>
            <w:tcW w:w="9360" w:type="dxa"/>
            <w:gridSpan w:val="2"/>
          </w:tcPr>
          <w:p w:rsidR="00042292" w:rsidRPr="001246F2" w:rsidRDefault="00042292" w:rsidP="00CB1354">
            <w:pPr>
              <w:pStyle w:val="Chaptitle"/>
              <w:keepLines w:val="0"/>
              <w:tabs>
                <w:tab w:val="clear" w:pos="794"/>
                <w:tab w:val="clear" w:pos="1191"/>
                <w:tab w:val="clear" w:pos="1588"/>
                <w:tab w:val="clear" w:pos="1985"/>
              </w:tabs>
              <w:overflowPunct/>
              <w:spacing w:before="140"/>
              <w:textAlignment w:val="auto"/>
              <w:rPr>
                <w:sz w:val="22"/>
                <w:szCs w:val="22"/>
              </w:rPr>
            </w:pPr>
            <w:r w:rsidRPr="001246F2">
              <w:rPr>
                <w:sz w:val="22"/>
                <w:szCs w:val="22"/>
              </w:rPr>
              <w:t xml:space="preserve">Series de las Recomendaciones UIT-R </w:t>
            </w:r>
          </w:p>
          <w:p w:rsidR="00042292" w:rsidRPr="001246F2"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1246F2">
              <w:rPr>
                <w:b w:val="0"/>
                <w:sz w:val="18"/>
                <w:szCs w:val="18"/>
              </w:rPr>
              <w:t xml:space="preserve">(También disponible en línea en </w:t>
            </w:r>
            <w:hyperlink r:id="rId12" w:history="1">
              <w:r w:rsidRPr="001246F2">
                <w:rPr>
                  <w:rStyle w:val="Hyperlink"/>
                  <w:b w:val="0"/>
                  <w:bCs/>
                  <w:sz w:val="18"/>
                  <w:szCs w:val="18"/>
                </w:rPr>
                <w:t>http://www.itu.int/publ/R-REC/es</w:t>
              </w:r>
            </w:hyperlink>
            <w:r w:rsidRPr="001246F2">
              <w:rPr>
                <w:b w:val="0"/>
                <w:bCs/>
                <w:sz w:val="18"/>
                <w:szCs w:val="18"/>
              </w:rPr>
              <w:t>)</w:t>
            </w:r>
          </w:p>
        </w:tc>
      </w:tr>
      <w:tr w:rsidR="00042292" w:rsidRPr="001246F2" w:rsidTr="00CB1354">
        <w:tc>
          <w:tcPr>
            <w:tcW w:w="1140" w:type="dxa"/>
          </w:tcPr>
          <w:p w:rsidR="00042292" w:rsidRPr="001246F2" w:rsidRDefault="00042292" w:rsidP="00CB1354">
            <w:pPr>
              <w:spacing w:before="180" w:after="100"/>
              <w:ind w:left="57"/>
              <w:rPr>
                <w:b/>
                <w:bCs/>
                <w:sz w:val="20"/>
              </w:rPr>
            </w:pPr>
            <w:r w:rsidRPr="001246F2">
              <w:rPr>
                <w:b/>
                <w:bCs/>
                <w:sz w:val="20"/>
              </w:rPr>
              <w:t>Series</w:t>
            </w:r>
          </w:p>
        </w:tc>
        <w:tc>
          <w:tcPr>
            <w:tcW w:w="8220" w:type="dxa"/>
          </w:tcPr>
          <w:p w:rsidR="00042292" w:rsidRPr="001246F2"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rPr>
            </w:pPr>
            <w:r w:rsidRPr="001246F2">
              <w:rPr>
                <w:bCs/>
                <w:sz w:val="20"/>
              </w:rPr>
              <w:t>Título</w:t>
            </w:r>
          </w:p>
        </w:tc>
      </w:tr>
      <w:tr w:rsidR="00042292" w:rsidRPr="001246F2" w:rsidTr="00CB1354">
        <w:tc>
          <w:tcPr>
            <w:tcW w:w="1140" w:type="dxa"/>
          </w:tcPr>
          <w:p w:rsidR="00042292" w:rsidRPr="001246F2" w:rsidRDefault="00042292" w:rsidP="00CB1354">
            <w:pPr>
              <w:spacing w:before="30" w:after="30"/>
              <w:ind w:left="57"/>
              <w:jc w:val="left"/>
              <w:rPr>
                <w:b/>
                <w:bCs/>
                <w:sz w:val="20"/>
              </w:rPr>
            </w:pPr>
            <w:r w:rsidRPr="001246F2">
              <w:rPr>
                <w:b/>
                <w:bCs/>
                <w:sz w:val="20"/>
              </w:rPr>
              <w:t>BO</w:t>
            </w:r>
          </w:p>
        </w:tc>
        <w:tc>
          <w:tcPr>
            <w:tcW w:w="8220" w:type="dxa"/>
          </w:tcPr>
          <w:p w:rsidR="00042292" w:rsidRPr="001246F2"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246F2">
              <w:rPr>
                <w:b w:val="0"/>
                <w:bCs/>
                <w:sz w:val="20"/>
              </w:rPr>
              <w:t>Distribución por satélite</w:t>
            </w:r>
          </w:p>
        </w:tc>
      </w:tr>
      <w:tr w:rsidR="00042292" w:rsidRPr="001246F2" w:rsidTr="00CB1354">
        <w:tc>
          <w:tcPr>
            <w:tcW w:w="1140" w:type="dxa"/>
          </w:tcPr>
          <w:p w:rsidR="00042292" w:rsidRPr="001246F2" w:rsidRDefault="00042292" w:rsidP="00CB1354">
            <w:pPr>
              <w:spacing w:before="30" w:after="30"/>
              <w:ind w:left="57"/>
              <w:jc w:val="left"/>
              <w:rPr>
                <w:b/>
                <w:bCs/>
                <w:sz w:val="20"/>
              </w:rPr>
            </w:pPr>
            <w:r w:rsidRPr="001246F2">
              <w:rPr>
                <w:b/>
                <w:bCs/>
                <w:sz w:val="20"/>
              </w:rPr>
              <w:t>BR</w:t>
            </w:r>
          </w:p>
        </w:tc>
        <w:tc>
          <w:tcPr>
            <w:tcW w:w="8220" w:type="dxa"/>
          </w:tcPr>
          <w:p w:rsidR="00042292" w:rsidRPr="001246F2"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246F2">
              <w:rPr>
                <w:b w:val="0"/>
                <w:bCs/>
                <w:sz w:val="20"/>
              </w:rPr>
              <w:t>Registro para producción, archivo y reproducción; películas en televisión</w:t>
            </w:r>
          </w:p>
        </w:tc>
      </w:tr>
      <w:tr w:rsidR="00042292" w:rsidRPr="001246F2" w:rsidTr="00CB1354">
        <w:tc>
          <w:tcPr>
            <w:tcW w:w="1140" w:type="dxa"/>
          </w:tcPr>
          <w:p w:rsidR="00042292" w:rsidRPr="001246F2" w:rsidRDefault="00042292" w:rsidP="00CB1354">
            <w:pPr>
              <w:spacing w:before="30" w:after="30"/>
              <w:ind w:left="57"/>
              <w:jc w:val="left"/>
              <w:rPr>
                <w:b/>
                <w:bCs/>
                <w:sz w:val="20"/>
              </w:rPr>
            </w:pPr>
            <w:r w:rsidRPr="001246F2">
              <w:rPr>
                <w:b/>
                <w:bCs/>
                <w:sz w:val="20"/>
              </w:rPr>
              <w:t>BS</w:t>
            </w:r>
          </w:p>
        </w:tc>
        <w:tc>
          <w:tcPr>
            <w:tcW w:w="8220" w:type="dxa"/>
          </w:tcPr>
          <w:p w:rsidR="00042292" w:rsidRPr="001246F2"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246F2">
              <w:rPr>
                <w:b w:val="0"/>
                <w:bCs/>
                <w:sz w:val="20"/>
              </w:rPr>
              <w:t>Servicio de radiodifusión sonora</w:t>
            </w:r>
          </w:p>
        </w:tc>
      </w:tr>
      <w:tr w:rsidR="00042292" w:rsidRPr="001246F2" w:rsidTr="00CB1354">
        <w:tc>
          <w:tcPr>
            <w:tcW w:w="1140" w:type="dxa"/>
            <w:shd w:val="clear" w:color="auto" w:fill="auto"/>
          </w:tcPr>
          <w:p w:rsidR="00042292" w:rsidRPr="001246F2" w:rsidRDefault="00042292" w:rsidP="00CB1354">
            <w:pPr>
              <w:spacing w:before="30" w:after="30"/>
              <w:ind w:left="57"/>
              <w:jc w:val="left"/>
              <w:rPr>
                <w:b/>
                <w:bCs/>
                <w:sz w:val="20"/>
              </w:rPr>
            </w:pPr>
            <w:r w:rsidRPr="001246F2">
              <w:rPr>
                <w:b/>
                <w:bCs/>
                <w:sz w:val="20"/>
              </w:rPr>
              <w:t>BT</w:t>
            </w:r>
          </w:p>
        </w:tc>
        <w:tc>
          <w:tcPr>
            <w:tcW w:w="8220" w:type="dxa"/>
            <w:shd w:val="clear" w:color="auto" w:fill="auto"/>
          </w:tcPr>
          <w:p w:rsidR="00042292" w:rsidRPr="001246F2"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246F2">
              <w:rPr>
                <w:b w:val="0"/>
                <w:bCs/>
                <w:sz w:val="20"/>
              </w:rPr>
              <w:t>Servicio de radiodifusión (televisión)</w:t>
            </w:r>
          </w:p>
        </w:tc>
      </w:tr>
      <w:tr w:rsidR="00042292" w:rsidRPr="001246F2" w:rsidTr="00CB1354">
        <w:tc>
          <w:tcPr>
            <w:tcW w:w="1140" w:type="dxa"/>
            <w:shd w:val="clear" w:color="auto" w:fill="auto"/>
          </w:tcPr>
          <w:p w:rsidR="00042292" w:rsidRPr="001246F2" w:rsidRDefault="00042292" w:rsidP="00CB1354">
            <w:pPr>
              <w:spacing w:before="30" w:after="30"/>
              <w:ind w:left="57"/>
              <w:jc w:val="left"/>
              <w:rPr>
                <w:b/>
                <w:bCs/>
                <w:sz w:val="20"/>
              </w:rPr>
            </w:pPr>
            <w:r w:rsidRPr="001246F2">
              <w:rPr>
                <w:b/>
                <w:bCs/>
                <w:sz w:val="20"/>
              </w:rPr>
              <w:t>F</w:t>
            </w:r>
          </w:p>
        </w:tc>
        <w:tc>
          <w:tcPr>
            <w:tcW w:w="8220" w:type="dxa"/>
            <w:shd w:val="clear" w:color="auto" w:fill="auto"/>
          </w:tcPr>
          <w:p w:rsidR="00042292" w:rsidRPr="001246F2"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1246F2">
              <w:rPr>
                <w:bCs/>
                <w:sz w:val="20"/>
              </w:rPr>
              <w:t>Servicio fijo</w:t>
            </w:r>
          </w:p>
        </w:tc>
      </w:tr>
      <w:tr w:rsidR="00042292" w:rsidRPr="001246F2" w:rsidTr="00CB1354">
        <w:tc>
          <w:tcPr>
            <w:tcW w:w="1140" w:type="dxa"/>
            <w:shd w:val="clear" w:color="auto" w:fill="F3F3F3"/>
          </w:tcPr>
          <w:p w:rsidR="00042292" w:rsidRPr="001246F2" w:rsidRDefault="00042292" w:rsidP="00CB1354">
            <w:pPr>
              <w:spacing w:before="30" w:after="30"/>
              <w:ind w:left="57"/>
              <w:jc w:val="left"/>
              <w:rPr>
                <w:b/>
                <w:bCs/>
                <w:color w:val="000080"/>
                <w:sz w:val="20"/>
              </w:rPr>
            </w:pPr>
            <w:r w:rsidRPr="001246F2">
              <w:rPr>
                <w:b/>
                <w:bCs/>
                <w:color w:val="000080"/>
                <w:sz w:val="20"/>
              </w:rPr>
              <w:t>M</w:t>
            </w:r>
          </w:p>
        </w:tc>
        <w:tc>
          <w:tcPr>
            <w:tcW w:w="8220" w:type="dxa"/>
            <w:shd w:val="clear" w:color="auto" w:fill="F3F3F3"/>
          </w:tcPr>
          <w:p w:rsidR="00042292" w:rsidRPr="001246F2"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1246F2">
              <w:rPr>
                <w:bCs/>
                <w:color w:val="000080"/>
                <w:sz w:val="20"/>
              </w:rPr>
              <w:t>Servicios móviles, de radiodeterminación, de aficionados y otros servicios por satélite conexos</w:t>
            </w:r>
          </w:p>
        </w:tc>
      </w:tr>
      <w:tr w:rsidR="00042292" w:rsidRPr="001246F2" w:rsidTr="00CB1354">
        <w:tc>
          <w:tcPr>
            <w:tcW w:w="1140" w:type="dxa"/>
          </w:tcPr>
          <w:p w:rsidR="00042292" w:rsidRPr="001246F2" w:rsidRDefault="00042292" w:rsidP="00CB1354">
            <w:pPr>
              <w:spacing w:before="30" w:after="30"/>
              <w:ind w:left="57"/>
              <w:jc w:val="left"/>
              <w:rPr>
                <w:b/>
                <w:bCs/>
                <w:sz w:val="20"/>
              </w:rPr>
            </w:pPr>
            <w:r w:rsidRPr="001246F2">
              <w:rPr>
                <w:b/>
                <w:bCs/>
                <w:sz w:val="20"/>
              </w:rPr>
              <w:t>P</w:t>
            </w:r>
          </w:p>
        </w:tc>
        <w:tc>
          <w:tcPr>
            <w:tcW w:w="8220" w:type="dxa"/>
          </w:tcPr>
          <w:p w:rsidR="00042292" w:rsidRPr="001246F2" w:rsidRDefault="00042292" w:rsidP="00CB1354">
            <w:pPr>
              <w:spacing w:before="30" w:after="30"/>
              <w:jc w:val="left"/>
              <w:rPr>
                <w:bCs/>
                <w:sz w:val="20"/>
              </w:rPr>
            </w:pPr>
            <w:r w:rsidRPr="001246F2">
              <w:rPr>
                <w:bCs/>
                <w:sz w:val="20"/>
              </w:rPr>
              <w:t>Propagación de las ondas radioeléctricas</w:t>
            </w:r>
          </w:p>
        </w:tc>
      </w:tr>
      <w:tr w:rsidR="00042292" w:rsidRPr="001246F2" w:rsidTr="00CB1354">
        <w:tc>
          <w:tcPr>
            <w:tcW w:w="1140" w:type="dxa"/>
          </w:tcPr>
          <w:p w:rsidR="00042292" w:rsidRPr="001246F2" w:rsidRDefault="00042292" w:rsidP="00CB1354">
            <w:pPr>
              <w:spacing w:before="30" w:after="30"/>
              <w:ind w:left="57"/>
              <w:jc w:val="left"/>
              <w:rPr>
                <w:b/>
                <w:bCs/>
                <w:sz w:val="20"/>
              </w:rPr>
            </w:pPr>
            <w:r w:rsidRPr="001246F2">
              <w:rPr>
                <w:b/>
                <w:bCs/>
                <w:sz w:val="20"/>
              </w:rPr>
              <w:t>RA</w:t>
            </w:r>
          </w:p>
        </w:tc>
        <w:tc>
          <w:tcPr>
            <w:tcW w:w="8220" w:type="dxa"/>
          </w:tcPr>
          <w:p w:rsidR="00042292" w:rsidRPr="001246F2"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1246F2">
              <w:rPr>
                <w:bCs/>
                <w:sz w:val="20"/>
              </w:rPr>
              <w:t>Radio astronomía</w:t>
            </w:r>
          </w:p>
        </w:tc>
      </w:tr>
      <w:tr w:rsidR="00042292" w:rsidRPr="001246F2" w:rsidTr="00CB1354">
        <w:tc>
          <w:tcPr>
            <w:tcW w:w="1140" w:type="dxa"/>
          </w:tcPr>
          <w:p w:rsidR="00042292" w:rsidRPr="001246F2" w:rsidRDefault="00042292" w:rsidP="00CB1354">
            <w:pPr>
              <w:spacing w:before="30" w:after="30"/>
              <w:ind w:left="57"/>
              <w:jc w:val="left"/>
              <w:rPr>
                <w:b/>
                <w:bCs/>
                <w:sz w:val="20"/>
              </w:rPr>
            </w:pPr>
            <w:r w:rsidRPr="001246F2">
              <w:rPr>
                <w:b/>
                <w:bCs/>
                <w:sz w:val="20"/>
              </w:rPr>
              <w:t>RS</w:t>
            </w:r>
          </w:p>
        </w:tc>
        <w:tc>
          <w:tcPr>
            <w:tcW w:w="8220" w:type="dxa"/>
          </w:tcPr>
          <w:p w:rsidR="00042292" w:rsidRPr="001246F2"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1246F2">
              <w:rPr>
                <w:bCs/>
                <w:sz w:val="20"/>
              </w:rPr>
              <w:t>Sistemas de detección a distancia</w:t>
            </w:r>
          </w:p>
        </w:tc>
      </w:tr>
      <w:tr w:rsidR="00042292" w:rsidRPr="001246F2" w:rsidTr="00CB1354">
        <w:tc>
          <w:tcPr>
            <w:tcW w:w="1140" w:type="dxa"/>
          </w:tcPr>
          <w:p w:rsidR="00042292" w:rsidRPr="001246F2" w:rsidRDefault="00042292" w:rsidP="00CB1354">
            <w:pPr>
              <w:spacing w:before="30" w:after="30"/>
              <w:ind w:left="57"/>
              <w:jc w:val="left"/>
              <w:rPr>
                <w:b/>
                <w:bCs/>
                <w:sz w:val="20"/>
              </w:rPr>
            </w:pPr>
            <w:r w:rsidRPr="001246F2">
              <w:rPr>
                <w:b/>
                <w:bCs/>
                <w:sz w:val="20"/>
              </w:rPr>
              <w:t>S</w:t>
            </w:r>
          </w:p>
        </w:tc>
        <w:tc>
          <w:tcPr>
            <w:tcW w:w="8220" w:type="dxa"/>
          </w:tcPr>
          <w:p w:rsidR="00042292" w:rsidRPr="001246F2" w:rsidRDefault="00042292" w:rsidP="00CB1354">
            <w:pPr>
              <w:spacing w:before="30" w:after="30"/>
              <w:jc w:val="left"/>
              <w:rPr>
                <w:bCs/>
                <w:sz w:val="20"/>
              </w:rPr>
            </w:pPr>
            <w:r w:rsidRPr="001246F2">
              <w:rPr>
                <w:bCs/>
                <w:sz w:val="20"/>
              </w:rPr>
              <w:t>Servicio fijo por satélite</w:t>
            </w:r>
          </w:p>
        </w:tc>
      </w:tr>
      <w:tr w:rsidR="00042292" w:rsidRPr="001246F2" w:rsidTr="00CB1354">
        <w:tc>
          <w:tcPr>
            <w:tcW w:w="1140" w:type="dxa"/>
          </w:tcPr>
          <w:p w:rsidR="00042292" w:rsidRPr="001246F2" w:rsidRDefault="00042292" w:rsidP="00CB1354">
            <w:pPr>
              <w:spacing w:before="30" w:after="30"/>
              <w:ind w:left="57"/>
              <w:jc w:val="left"/>
              <w:rPr>
                <w:b/>
                <w:bCs/>
                <w:sz w:val="20"/>
              </w:rPr>
            </w:pPr>
            <w:r w:rsidRPr="001246F2">
              <w:rPr>
                <w:b/>
                <w:bCs/>
                <w:sz w:val="20"/>
              </w:rPr>
              <w:t>SA</w:t>
            </w:r>
          </w:p>
        </w:tc>
        <w:tc>
          <w:tcPr>
            <w:tcW w:w="8220" w:type="dxa"/>
          </w:tcPr>
          <w:p w:rsidR="00042292" w:rsidRPr="001246F2" w:rsidRDefault="00042292" w:rsidP="00CB1354">
            <w:pPr>
              <w:spacing w:before="30" w:after="30"/>
              <w:jc w:val="left"/>
              <w:rPr>
                <w:bCs/>
                <w:sz w:val="20"/>
              </w:rPr>
            </w:pPr>
            <w:r w:rsidRPr="001246F2">
              <w:rPr>
                <w:bCs/>
                <w:sz w:val="20"/>
              </w:rPr>
              <w:t>Aplicaciones espaciales y meteorología</w:t>
            </w:r>
          </w:p>
        </w:tc>
      </w:tr>
      <w:tr w:rsidR="00042292" w:rsidRPr="001246F2" w:rsidTr="00CB1354">
        <w:tc>
          <w:tcPr>
            <w:tcW w:w="1140" w:type="dxa"/>
          </w:tcPr>
          <w:p w:rsidR="00042292" w:rsidRPr="001246F2" w:rsidRDefault="00042292" w:rsidP="00CB1354">
            <w:pPr>
              <w:spacing w:before="30" w:after="30"/>
              <w:ind w:left="57"/>
              <w:jc w:val="left"/>
              <w:rPr>
                <w:b/>
                <w:bCs/>
                <w:sz w:val="20"/>
              </w:rPr>
            </w:pPr>
            <w:r w:rsidRPr="001246F2">
              <w:rPr>
                <w:b/>
                <w:bCs/>
                <w:sz w:val="20"/>
              </w:rPr>
              <w:t>SF</w:t>
            </w:r>
          </w:p>
        </w:tc>
        <w:tc>
          <w:tcPr>
            <w:tcW w:w="8220" w:type="dxa"/>
          </w:tcPr>
          <w:p w:rsidR="00042292" w:rsidRPr="001246F2" w:rsidRDefault="00042292" w:rsidP="00CB1354">
            <w:pPr>
              <w:spacing w:before="30" w:after="30"/>
              <w:jc w:val="left"/>
              <w:rPr>
                <w:bCs/>
                <w:sz w:val="20"/>
              </w:rPr>
            </w:pPr>
            <w:r w:rsidRPr="001246F2">
              <w:rPr>
                <w:bCs/>
                <w:sz w:val="20"/>
              </w:rPr>
              <w:t>Compartición de frecuencias y coordinación entre los sistemas del servicio fijo por satélite y del servicio fijo</w:t>
            </w:r>
          </w:p>
        </w:tc>
      </w:tr>
      <w:tr w:rsidR="00042292" w:rsidRPr="001246F2" w:rsidTr="00CB1354">
        <w:tc>
          <w:tcPr>
            <w:tcW w:w="1140" w:type="dxa"/>
            <w:shd w:val="clear" w:color="auto" w:fill="auto"/>
          </w:tcPr>
          <w:p w:rsidR="00042292" w:rsidRPr="001246F2" w:rsidRDefault="00042292" w:rsidP="00CB1354">
            <w:pPr>
              <w:spacing w:before="30" w:after="30"/>
              <w:ind w:left="57"/>
              <w:jc w:val="left"/>
              <w:rPr>
                <w:b/>
                <w:bCs/>
                <w:sz w:val="20"/>
              </w:rPr>
            </w:pPr>
            <w:r w:rsidRPr="001246F2">
              <w:rPr>
                <w:b/>
                <w:bCs/>
                <w:sz w:val="20"/>
              </w:rPr>
              <w:t>SM</w:t>
            </w:r>
          </w:p>
        </w:tc>
        <w:tc>
          <w:tcPr>
            <w:tcW w:w="8220" w:type="dxa"/>
            <w:shd w:val="clear" w:color="auto" w:fill="auto"/>
          </w:tcPr>
          <w:p w:rsidR="00042292" w:rsidRPr="001246F2" w:rsidRDefault="00042292" w:rsidP="00CB1354">
            <w:pPr>
              <w:spacing w:before="30" w:after="30"/>
              <w:jc w:val="left"/>
              <w:rPr>
                <w:sz w:val="20"/>
              </w:rPr>
            </w:pPr>
            <w:r w:rsidRPr="001246F2">
              <w:rPr>
                <w:sz w:val="20"/>
              </w:rPr>
              <w:t>Gestión del espectro</w:t>
            </w:r>
          </w:p>
        </w:tc>
      </w:tr>
      <w:tr w:rsidR="00042292" w:rsidRPr="001246F2" w:rsidTr="00CB1354">
        <w:tc>
          <w:tcPr>
            <w:tcW w:w="1140" w:type="dxa"/>
          </w:tcPr>
          <w:p w:rsidR="00042292" w:rsidRPr="001246F2" w:rsidRDefault="00042292" w:rsidP="00CB1354">
            <w:pPr>
              <w:spacing w:before="30" w:after="30"/>
              <w:ind w:left="57"/>
              <w:jc w:val="left"/>
              <w:rPr>
                <w:b/>
                <w:bCs/>
                <w:sz w:val="20"/>
              </w:rPr>
            </w:pPr>
            <w:r w:rsidRPr="001246F2">
              <w:rPr>
                <w:b/>
                <w:bCs/>
                <w:sz w:val="20"/>
              </w:rPr>
              <w:t>SNG</w:t>
            </w:r>
          </w:p>
        </w:tc>
        <w:tc>
          <w:tcPr>
            <w:tcW w:w="8220" w:type="dxa"/>
          </w:tcPr>
          <w:p w:rsidR="00042292" w:rsidRPr="001246F2" w:rsidRDefault="00042292" w:rsidP="00CB1354">
            <w:pPr>
              <w:spacing w:before="30" w:after="30"/>
              <w:jc w:val="left"/>
              <w:rPr>
                <w:bCs/>
                <w:sz w:val="20"/>
              </w:rPr>
            </w:pPr>
            <w:r w:rsidRPr="001246F2">
              <w:rPr>
                <w:bCs/>
                <w:sz w:val="20"/>
              </w:rPr>
              <w:t>Periodismo electrónico por satélite</w:t>
            </w:r>
          </w:p>
        </w:tc>
      </w:tr>
      <w:tr w:rsidR="00042292" w:rsidRPr="001246F2" w:rsidTr="00CB1354">
        <w:tc>
          <w:tcPr>
            <w:tcW w:w="1140" w:type="dxa"/>
          </w:tcPr>
          <w:p w:rsidR="00042292" w:rsidRPr="001246F2" w:rsidRDefault="00042292" w:rsidP="00CB1354">
            <w:pPr>
              <w:spacing w:before="30" w:after="30"/>
              <w:ind w:left="57"/>
              <w:jc w:val="left"/>
              <w:rPr>
                <w:b/>
                <w:bCs/>
                <w:sz w:val="20"/>
              </w:rPr>
            </w:pPr>
            <w:r w:rsidRPr="001246F2">
              <w:rPr>
                <w:b/>
                <w:bCs/>
                <w:sz w:val="20"/>
              </w:rPr>
              <w:t>TF</w:t>
            </w:r>
          </w:p>
        </w:tc>
        <w:tc>
          <w:tcPr>
            <w:tcW w:w="8220" w:type="dxa"/>
          </w:tcPr>
          <w:p w:rsidR="00042292" w:rsidRPr="001246F2" w:rsidRDefault="00042292" w:rsidP="00CB1354">
            <w:pPr>
              <w:spacing w:before="30" w:after="30"/>
              <w:jc w:val="left"/>
              <w:rPr>
                <w:bCs/>
                <w:sz w:val="20"/>
              </w:rPr>
            </w:pPr>
            <w:r w:rsidRPr="001246F2">
              <w:rPr>
                <w:bCs/>
                <w:sz w:val="20"/>
              </w:rPr>
              <w:t>Emisiones de frecuencias patrón y señales horarias</w:t>
            </w:r>
          </w:p>
        </w:tc>
      </w:tr>
      <w:tr w:rsidR="00042292" w:rsidRPr="001246F2" w:rsidTr="00CB1354">
        <w:tc>
          <w:tcPr>
            <w:tcW w:w="1140" w:type="dxa"/>
          </w:tcPr>
          <w:p w:rsidR="00042292" w:rsidRPr="001246F2" w:rsidRDefault="00042292" w:rsidP="00CB1354">
            <w:pPr>
              <w:spacing w:before="30" w:after="30"/>
              <w:ind w:left="57"/>
              <w:jc w:val="left"/>
              <w:rPr>
                <w:b/>
                <w:bCs/>
                <w:sz w:val="20"/>
              </w:rPr>
            </w:pPr>
            <w:r w:rsidRPr="001246F2">
              <w:rPr>
                <w:b/>
                <w:bCs/>
                <w:sz w:val="20"/>
              </w:rPr>
              <w:t>V</w:t>
            </w:r>
          </w:p>
        </w:tc>
        <w:tc>
          <w:tcPr>
            <w:tcW w:w="8220" w:type="dxa"/>
          </w:tcPr>
          <w:p w:rsidR="00042292" w:rsidRPr="001246F2" w:rsidRDefault="00042292" w:rsidP="00CB1354">
            <w:pPr>
              <w:spacing w:before="30" w:after="140"/>
              <w:jc w:val="left"/>
              <w:rPr>
                <w:bCs/>
                <w:sz w:val="20"/>
              </w:rPr>
            </w:pPr>
            <w:r w:rsidRPr="001246F2">
              <w:rPr>
                <w:bCs/>
                <w:sz w:val="20"/>
              </w:rPr>
              <w:t>Vocabulario y cuestiones afines</w:t>
            </w:r>
          </w:p>
        </w:tc>
      </w:tr>
    </w:tbl>
    <w:p w:rsidR="00042292" w:rsidRPr="001246F2" w:rsidRDefault="00042292" w:rsidP="00042292">
      <w:pPr>
        <w:spacing w:before="0" w:after="14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042292" w:rsidRPr="001246F2" w:rsidTr="00CB1354">
        <w:tc>
          <w:tcPr>
            <w:tcW w:w="720" w:type="dxa"/>
          </w:tcPr>
          <w:p w:rsidR="00042292" w:rsidRPr="001246F2" w:rsidRDefault="00042292" w:rsidP="00CB1354">
            <w:pPr>
              <w:spacing w:before="0"/>
              <w:jc w:val="center"/>
              <w:rPr>
                <w:sz w:val="22"/>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42292" w:rsidRPr="001246F2" w:rsidTr="00A07AEB">
        <w:tc>
          <w:tcPr>
            <w:tcW w:w="9360" w:type="dxa"/>
          </w:tcPr>
          <w:p w:rsidR="00042292" w:rsidRPr="001246F2" w:rsidRDefault="00042292" w:rsidP="00F90A3D">
            <w:pPr>
              <w:spacing w:before="92" w:after="92"/>
              <w:jc w:val="left"/>
              <w:rPr>
                <w:i/>
                <w:iCs/>
                <w:sz w:val="20"/>
              </w:rPr>
            </w:pPr>
            <w:r w:rsidRPr="001246F2">
              <w:rPr>
                <w:b/>
                <w:bCs/>
                <w:i/>
                <w:iCs/>
                <w:sz w:val="20"/>
              </w:rPr>
              <w:t>Nota</w:t>
            </w:r>
            <w:r w:rsidRPr="001246F2">
              <w:rPr>
                <w:i/>
                <w:iCs/>
                <w:sz w:val="20"/>
              </w:rPr>
              <w:t xml:space="preserve">: Esta Recomendación UIT-R fue aprobada en inglés conforme al procedimiento detallado en la </w:t>
            </w:r>
            <w:r w:rsidRPr="001246F2">
              <w:rPr>
                <w:i/>
                <w:iCs/>
                <w:sz w:val="20"/>
              </w:rPr>
              <w:br/>
              <w:t>Resolución UIT-R 1.</w:t>
            </w:r>
          </w:p>
        </w:tc>
      </w:tr>
    </w:tbl>
    <w:p w:rsidR="00042292" w:rsidRPr="001246F2" w:rsidRDefault="00042292" w:rsidP="00042292">
      <w:pPr>
        <w:spacing w:before="0"/>
        <w:jc w:val="center"/>
        <w:rPr>
          <w:sz w:val="22"/>
        </w:rPr>
      </w:pPr>
    </w:p>
    <w:p w:rsidR="00042292" w:rsidRPr="001246F2" w:rsidRDefault="00042292" w:rsidP="00042292">
      <w:pPr>
        <w:spacing w:before="60"/>
        <w:jc w:val="right"/>
        <w:rPr>
          <w:i/>
          <w:iCs/>
          <w:sz w:val="20"/>
        </w:rPr>
      </w:pPr>
      <w:r w:rsidRPr="001246F2">
        <w:rPr>
          <w:i/>
          <w:iCs/>
          <w:sz w:val="20"/>
        </w:rPr>
        <w:t>Publicación electrónica</w:t>
      </w:r>
    </w:p>
    <w:p w:rsidR="00042292" w:rsidRPr="001246F2" w:rsidRDefault="00042292" w:rsidP="00F91385">
      <w:pPr>
        <w:spacing w:before="0" w:after="40"/>
        <w:jc w:val="right"/>
        <w:rPr>
          <w:sz w:val="20"/>
        </w:rPr>
      </w:pPr>
      <w:r w:rsidRPr="001246F2">
        <w:rPr>
          <w:sz w:val="20"/>
        </w:rPr>
        <w:t>Ginebra, 20</w:t>
      </w:r>
      <w:r w:rsidR="001B26B3" w:rsidRPr="001246F2">
        <w:rPr>
          <w:sz w:val="20"/>
        </w:rPr>
        <w:t>1</w:t>
      </w:r>
      <w:r w:rsidR="00F91385" w:rsidRPr="001246F2">
        <w:rPr>
          <w:sz w:val="20"/>
        </w:rPr>
        <w:t>2</w:t>
      </w:r>
    </w:p>
    <w:p w:rsidR="00042292" w:rsidRPr="001246F2" w:rsidRDefault="00042292" w:rsidP="00042292">
      <w:pPr>
        <w:spacing w:before="0"/>
        <w:jc w:val="center"/>
        <w:rPr>
          <w:sz w:val="22"/>
        </w:rPr>
      </w:pPr>
    </w:p>
    <w:p w:rsidR="00042292" w:rsidRPr="001246F2" w:rsidRDefault="00042292" w:rsidP="00F91385">
      <w:pPr>
        <w:spacing w:before="0"/>
        <w:jc w:val="center"/>
        <w:rPr>
          <w:sz w:val="20"/>
        </w:rPr>
      </w:pPr>
      <w:r w:rsidRPr="001246F2">
        <w:rPr>
          <w:sz w:val="20"/>
        </w:rPr>
        <w:sym w:font="Symbol" w:char="F0E3"/>
      </w:r>
      <w:r w:rsidRPr="001246F2">
        <w:rPr>
          <w:sz w:val="20"/>
        </w:rPr>
        <w:t xml:space="preserve"> UIT </w:t>
      </w:r>
      <w:bookmarkStart w:id="1" w:name="iiannee"/>
      <w:bookmarkEnd w:id="1"/>
      <w:r w:rsidRPr="001246F2">
        <w:rPr>
          <w:sz w:val="20"/>
        </w:rPr>
        <w:t>20</w:t>
      </w:r>
      <w:r w:rsidR="001B26B3" w:rsidRPr="001246F2">
        <w:rPr>
          <w:sz w:val="20"/>
        </w:rPr>
        <w:t>1</w:t>
      </w:r>
      <w:r w:rsidR="00F91385" w:rsidRPr="001246F2">
        <w:rPr>
          <w:sz w:val="20"/>
        </w:rPr>
        <w:t>2</w:t>
      </w:r>
    </w:p>
    <w:p w:rsidR="00042292" w:rsidRPr="001246F2" w:rsidRDefault="00042292" w:rsidP="00042292">
      <w:pPr>
        <w:spacing w:before="80"/>
        <w:rPr>
          <w:sz w:val="18"/>
          <w:szCs w:val="18"/>
        </w:rPr>
      </w:pPr>
      <w:r w:rsidRPr="001246F2">
        <w:rPr>
          <w:sz w:val="18"/>
          <w:szCs w:val="18"/>
        </w:rPr>
        <w:t>Reservados todos los derechos. Ninguna parte de esta publicación puede reproducirse por ningún procedimiento sin previa autorización escrita por parte de la UIT.</w:t>
      </w:r>
    </w:p>
    <w:p w:rsidR="00042292" w:rsidRPr="001246F2" w:rsidRDefault="00042292" w:rsidP="00042292">
      <w:pPr>
        <w:spacing w:before="160"/>
        <w:rPr>
          <w:i/>
          <w:sz w:val="20"/>
          <w:highlight w:val="yellow"/>
        </w:rPr>
        <w:sectPr w:rsidR="00042292" w:rsidRPr="001246F2" w:rsidSect="00CB1354">
          <w:headerReference w:type="even" r:id="rId13"/>
          <w:headerReference w:type="default" r:id="rId14"/>
          <w:pgSz w:w="11907" w:h="16834" w:code="9"/>
          <w:pgMar w:top="1418" w:right="1134" w:bottom="1134" w:left="1134" w:header="720" w:footer="482" w:gutter="0"/>
          <w:pgNumType w:fmt="lowerRoman" w:start="2"/>
          <w:cols w:space="720"/>
        </w:sectPr>
      </w:pPr>
    </w:p>
    <w:p w:rsidR="00903761" w:rsidRPr="001246F2" w:rsidRDefault="00903761" w:rsidP="00C15683">
      <w:pPr>
        <w:pStyle w:val="RecNo"/>
        <w:spacing w:before="0"/>
      </w:pPr>
      <w:bookmarkStart w:id="2" w:name="irecnoe"/>
      <w:bookmarkEnd w:id="2"/>
      <w:r w:rsidRPr="001246F2">
        <w:lastRenderedPageBreak/>
        <w:t xml:space="preserve">RECOMENDACIÓN  </w:t>
      </w:r>
      <w:r w:rsidRPr="001246F2">
        <w:rPr>
          <w:rStyle w:val="href"/>
        </w:rPr>
        <w:t>UIT-R  M.1</w:t>
      </w:r>
      <w:r w:rsidR="00C15683">
        <w:rPr>
          <w:rStyle w:val="href"/>
        </w:rPr>
        <w:t>9</w:t>
      </w:r>
      <w:r w:rsidRPr="001246F2">
        <w:rPr>
          <w:rStyle w:val="href"/>
        </w:rPr>
        <w:t>03</w:t>
      </w:r>
    </w:p>
    <w:p w:rsidR="00903761" w:rsidRPr="001246F2" w:rsidRDefault="00903761" w:rsidP="00903761">
      <w:pPr>
        <w:pStyle w:val="Rectitle"/>
      </w:pPr>
      <w:r w:rsidRPr="001246F2">
        <w:t>Características y criterios de protección de las estaciones terrenas</w:t>
      </w:r>
      <w:r w:rsidRPr="001246F2">
        <w:br/>
        <w:t>receptoras del servicio de radionavegación por satélite (espacio-Tierra)</w:t>
      </w:r>
      <w:r w:rsidRPr="001246F2">
        <w:br/>
        <w:t>y de los receptores del servicio de radionavegación aeronáutica</w:t>
      </w:r>
      <w:r w:rsidRPr="001246F2">
        <w:rPr>
          <w:rStyle w:val="FootnoteReference"/>
        </w:rPr>
        <w:footnoteReference w:id="1"/>
      </w:r>
      <w:r w:rsidRPr="001246F2">
        <w:br/>
        <w:t>que funcionan en la banda 1 559-1 610 MHz</w:t>
      </w:r>
    </w:p>
    <w:p w:rsidR="004B7098" w:rsidRPr="001246F2" w:rsidRDefault="004B7098" w:rsidP="004B7098">
      <w:pPr>
        <w:pStyle w:val="Recref"/>
        <w:rPr>
          <w:rFonts w:eastAsia="MS Mincho"/>
          <w:lang w:eastAsia="en-AU"/>
        </w:rPr>
      </w:pPr>
      <w:r w:rsidRPr="001246F2">
        <w:rPr>
          <w:rFonts w:eastAsia="MS Mincho"/>
          <w:lang w:eastAsia="en-AU"/>
        </w:rPr>
        <w:t>(Cuestiones ITU</w:t>
      </w:r>
      <w:r w:rsidRPr="001246F2">
        <w:rPr>
          <w:rFonts w:eastAsia="MS Mincho"/>
          <w:lang w:eastAsia="en-AU"/>
        </w:rPr>
        <w:noBreakHyphen/>
        <w:t>R 217-2/4 y ITU</w:t>
      </w:r>
      <w:r w:rsidRPr="001246F2">
        <w:rPr>
          <w:rFonts w:eastAsia="MS Mincho"/>
          <w:lang w:eastAsia="en-AU"/>
        </w:rPr>
        <w:noBreakHyphen/>
        <w:t>R 288/4)</w:t>
      </w:r>
    </w:p>
    <w:p w:rsidR="00903761" w:rsidRPr="001246F2" w:rsidRDefault="00903761" w:rsidP="00903761">
      <w:pPr>
        <w:pStyle w:val="Recdate"/>
      </w:pPr>
      <w:r w:rsidRPr="001246F2">
        <w:t>(2012)</w:t>
      </w:r>
    </w:p>
    <w:p w:rsidR="00903761" w:rsidRPr="001246F2" w:rsidRDefault="00903761" w:rsidP="00903761">
      <w:pPr>
        <w:pStyle w:val="HeadingSum"/>
      </w:pPr>
      <w:r w:rsidRPr="001246F2">
        <w:t>Cometido</w:t>
      </w:r>
    </w:p>
    <w:p w:rsidR="00903761" w:rsidRPr="001246F2" w:rsidRDefault="00903761" w:rsidP="00742851">
      <w:pPr>
        <w:pStyle w:val="Summary"/>
      </w:pPr>
      <w:r w:rsidRPr="001246F2">
        <w:t xml:space="preserve">Características y criterios de protección de las estaciones terrenas receptoras del servicio de radionavegación por satélite (SRNS) </w:t>
      </w:r>
      <w:r w:rsidR="00241274">
        <w:t xml:space="preserve">y de las estaciones receptoras del servicio de radionavegación aeronáutica (SRNA) </w:t>
      </w:r>
      <w:r w:rsidRPr="001246F2">
        <w:t>que funcionan en la banda de 1 </w:t>
      </w:r>
      <w:r w:rsidR="00241274">
        <w:t>559</w:t>
      </w:r>
      <w:r w:rsidRPr="001246F2">
        <w:t>-1 </w:t>
      </w:r>
      <w:r w:rsidR="00241274">
        <w:t>610 </w:t>
      </w:r>
      <w:r w:rsidRPr="001246F2">
        <w:t xml:space="preserve">MHz. Dicha información está destinada a analizar los efectos de la interferencia de radiofrecuencia en los receptores del SRNS (espacio-Tierra) que funcionan en la banda de </w:t>
      </w:r>
      <w:r w:rsidR="00241274" w:rsidRPr="001246F2">
        <w:t>1 </w:t>
      </w:r>
      <w:r w:rsidR="00241274">
        <w:t>559</w:t>
      </w:r>
      <w:r w:rsidR="00241274" w:rsidRPr="001246F2">
        <w:t>-1 </w:t>
      </w:r>
      <w:r w:rsidR="00241274">
        <w:t>610</w:t>
      </w:r>
      <w:r w:rsidRPr="001246F2">
        <w:t xml:space="preserve"> MHz causada por otras fuentes radioeléctricas distintas del SRNS.</w:t>
      </w:r>
    </w:p>
    <w:p w:rsidR="00903761" w:rsidRPr="001246F2" w:rsidRDefault="00903761" w:rsidP="00903761">
      <w:pPr>
        <w:pStyle w:val="Normalaftertitle"/>
      </w:pPr>
      <w:r w:rsidRPr="001246F2">
        <w:t>La Asamblea de Radiocomunicaciones de la UIT,</w:t>
      </w:r>
    </w:p>
    <w:p w:rsidR="00903761" w:rsidRPr="001246F2" w:rsidRDefault="00903761" w:rsidP="00903761">
      <w:pPr>
        <w:pStyle w:val="Call"/>
      </w:pPr>
      <w:r w:rsidRPr="001246F2">
        <w:t>considerando</w:t>
      </w:r>
    </w:p>
    <w:p w:rsidR="004A5DD2" w:rsidRPr="001246F2" w:rsidRDefault="00903761" w:rsidP="004A5DD2">
      <w:r w:rsidRPr="001246F2">
        <w:t>a)</w:t>
      </w:r>
      <w:r w:rsidRPr="001246F2">
        <w:tab/>
      </w:r>
      <w:r w:rsidR="004A5DD2" w:rsidRPr="001246F2">
        <w:t>que los sistemas y las rede</w:t>
      </w:r>
      <w:r w:rsidR="005001DC" w:rsidRPr="001246F2">
        <w:t>s del servicio de radionavegació</w:t>
      </w:r>
      <w:r w:rsidR="004A5DD2" w:rsidRPr="001246F2">
        <w:t xml:space="preserve">n por </w:t>
      </w:r>
      <w:r w:rsidR="00732EF0" w:rsidRPr="001246F2">
        <w:t>satélite</w:t>
      </w:r>
      <w:r w:rsidR="004A5DD2" w:rsidRPr="001246F2">
        <w:t xml:space="preserve"> (SRNS) proporcionan una </w:t>
      </w:r>
      <w:r w:rsidR="00732EF0" w:rsidRPr="001246F2">
        <w:t>información</w:t>
      </w:r>
      <w:r w:rsidR="004A5DD2" w:rsidRPr="001246F2">
        <w:t xml:space="preserve"> precisa a escala mundial destinada a numerosas aplicaciones de posicionamiento, navegación y </w:t>
      </w:r>
      <w:r w:rsidR="00732EF0" w:rsidRPr="001246F2">
        <w:t>temporización</w:t>
      </w:r>
      <w:r w:rsidR="004A5DD2" w:rsidRPr="001246F2">
        <w:t xml:space="preserve">, incluidos los aspectos de seguridad para algunas bandas de frecuencia y bajo </w:t>
      </w:r>
      <w:r w:rsidR="00732EF0" w:rsidRPr="001246F2">
        <w:t>ciertas</w:t>
      </w:r>
      <w:r w:rsidR="004A5DD2" w:rsidRPr="001246F2">
        <w:t xml:space="preserve"> circunstancias y aplicaciones;</w:t>
      </w:r>
    </w:p>
    <w:p w:rsidR="004A5DD2" w:rsidRPr="001246F2" w:rsidRDefault="004A5DD2" w:rsidP="004A5DD2">
      <w:r w:rsidRPr="001246F2">
        <w:t>b)</w:t>
      </w:r>
      <w:r w:rsidRPr="001246F2">
        <w:tab/>
        <w:t xml:space="preserve">que cualquier </w:t>
      </w:r>
      <w:r w:rsidR="00732EF0" w:rsidRPr="001246F2">
        <w:t>estación</w:t>
      </w:r>
      <w:r w:rsidRPr="001246F2">
        <w:t xml:space="preserve"> terrena </w:t>
      </w:r>
      <w:r w:rsidR="00732EF0" w:rsidRPr="001246F2">
        <w:t>adecuadamente</w:t>
      </w:r>
      <w:r w:rsidRPr="001246F2">
        <w:t xml:space="preserve"> equipada puede recibir </w:t>
      </w:r>
      <w:r w:rsidR="00732EF0" w:rsidRPr="001246F2">
        <w:t>información</w:t>
      </w:r>
      <w:r w:rsidRPr="001246F2">
        <w:t xml:space="preserve"> de navegación </w:t>
      </w:r>
      <w:r w:rsidR="00732EF0" w:rsidRPr="001246F2">
        <w:t>procedente</w:t>
      </w:r>
      <w:r w:rsidRPr="001246F2">
        <w:t xml:space="preserve"> de </w:t>
      </w:r>
      <w:r w:rsidR="00732EF0" w:rsidRPr="001246F2">
        <w:t>sistema</w:t>
      </w:r>
      <w:r w:rsidRPr="001246F2">
        <w:t xml:space="preserve"> y redes del SRNS en todo el mundo;</w:t>
      </w:r>
    </w:p>
    <w:p w:rsidR="004A5DD2" w:rsidRPr="001246F2" w:rsidRDefault="004A5DD2" w:rsidP="004A5DD2">
      <w:r w:rsidRPr="001246F2">
        <w:t>c)</w:t>
      </w:r>
      <w:r w:rsidRPr="001246F2">
        <w:tab/>
        <w:t>que existen varios sistemas y redes del SRNS en funcionamiento y planificados;</w:t>
      </w:r>
    </w:p>
    <w:p w:rsidR="004A5DD2" w:rsidRPr="001246F2" w:rsidRDefault="004A5DD2" w:rsidP="00241274">
      <w:r w:rsidRPr="001246F2">
        <w:t>d)</w:t>
      </w:r>
      <w:r w:rsidRPr="001246F2">
        <w:tab/>
        <w:t xml:space="preserve">que es </w:t>
      </w:r>
      <w:r w:rsidR="00732EF0" w:rsidRPr="001246F2">
        <w:t>absolutamente</w:t>
      </w:r>
      <w:r w:rsidRPr="001246F2">
        <w:t xml:space="preserve"> necesario proteger las redes y </w:t>
      </w:r>
      <w:r w:rsidR="00985F8F" w:rsidRPr="001246F2">
        <w:t xml:space="preserve">los </w:t>
      </w:r>
      <w:r w:rsidRPr="001246F2">
        <w:t>sistemas que funcionan en el SRNS y el SRNA en la banda</w:t>
      </w:r>
      <w:r w:rsidR="00985F8F" w:rsidRPr="001246F2">
        <w:t xml:space="preserve"> 1</w:t>
      </w:r>
      <w:r w:rsidR="00241274">
        <w:t> </w:t>
      </w:r>
      <w:r w:rsidR="00985F8F" w:rsidRPr="001246F2">
        <w:t>559-1 610 MHz;</w:t>
      </w:r>
    </w:p>
    <w:p w:rsidR="004A5DD2" w:rsidRPr="001246F2" w:rsidRDefault="004A5DD2" w:rsidP="004A5DD2">
      <w:r w:rsidRPr="001246F2">
        <w:t>e)</w:t>
      </w:r>
      <w:r w:rsidRPr="001246F2">
        <w:tab/>
        <w:t xml:space="preserve">que existen servicios de seguridad del SRNS y que la utilización de estos servicios se </w:t>
      </w:r>
      <w:r w:rsidR="00732EF0" w:rsidRPr="001246F2">
        <w:t>extenderá</w:t>
      </w:r>
      <w:r w:rsidRPr="001246F2">
        <w:t xml:space="preserve"> en el futuro;</w:t>
      </w:r>
    </w:p>
    <w:p w:rsidR="004A5DD2" w:rsidRPr="001246F2" w:rsidRDefault="004A5DD2" w:rsidP="00985F8F">
      <w:r w:rsidRPr="001246F2">
        <w:t>f)</w:t>
      </w:r>
      <w:r w:rsidRPr="001246F2">
        <w:tab/>
        <w:t xml:space="preserve">que la </w:t>
      </w:r>
      <w:r w:rsidR="00985F8F" w:rsidRPr="001246F2">
        <w:t xml:space="preserve">Organización </w:t>
      </w:r>
      <w:r w:rsidRPr="001246F2">
        <w:t xml:space="preserve">de </w:t>
      </w:r>
      <w:r w:rsidR="00732EF0" w:rsidRPr="001246F2">
        <w:t>Aviación</w:t>
      </w:r>
      <w:r w:rsidRPr="001246F2">
        <w:t xml:space="preserve"> Civil Internacional (OACI) ha elaborado normas para el sistema </w:t>
      </w:r>
      <w:r w:rsidR="00985F8F" w:rsidRPr="001246F2">
        <w:t xml:space="preserve">mundial </w:t>
      </w:r>
      <w:r w:rsidRPr="001246F2">
        <w:t xml:space="preserve">de navegación por </w:t>
      </w:r>
      <w:r w:rsidR="00985F8F" w:rsidRPr="001246F2">
        <w:t xml:space="preserve">satélite </w:t>
      </w:r>
      <w:r w:rsidRPr="001246F2">
        <w:t>(GNSS), cuyos elementos incluyen redes y sistemas del SRNS;</w:t>
      </w:r>
    </w:p>
    <w:p w:rsidR="004A5DD2" w:rsidRPr="001246F2" w:rsidRDefault="004A5DD2" w:rsidP="00985F8F">
      <w:r w:rsidRPr="001246F2">
        <w:t>g)</w:t>
      </w:r>
      <w:r w:rsidRPr="001246F2">
        <w:tab/>
        <w:t xml:space="preserve">que la Organización </w:t>
      </w:r>
      <w:r w:rsidR="00985F8F" w:rsidRPr="001246F2">
        <w:t xml:space="preserve">Marítima Internacional </w:t>
      </w:r>
      <w:r w:rsidRPr="001246F2">
        <w:t>(OMI)</w:t>
      </w:r>
      <w:r w:rsidR="00985F8F" w:rsidRPr="001246F2">
        <w:t xml:space="preserve"> </w:t>
      </w:r>
      <w:r w:rsidRPr="001246F2">
        <w:t xml:space="preserve">exige a los barcos ir equipados con </w:t>
      </w:r>
      <w:r w:rsidR="00732EF0" w:rsidRPr="001246F2">
        <w:t>dispositivos</w:t>
      </w:r>
      <w:r w:rsidRPr="001246F2">
        <w:t xml:space="preserve"> del SRNS para la navegación </w:t>
      </w:r>
      <w:r w:rsidR="00985F8F" w:rsidRPr="001246F2">
        <w:t>por vías de agua estrecha</w:t>
      </w:r>
      <w:r w:rsidRPr="001246F2">
        <w:t xml:space="preserve"> y para el atraque</w:t>
      </w:r>
      <w:r w:rsidR="00985F8F" w:rsidRPr="001246F2">
        <w:t xml:space="preserve"> en los muelles</w:t>
      </w:r>
      <w:r w:rsidRPr="001246F2">
        <w:t>;</w:t>
      </w:r>
    </w:p>
    <w:p w:rsidR="004A5DD2" w:rsidRPr="001246F2" w:rsidRDefault="004A5DD2" w:rsidP="00985F8F">
      <w:r w:rsidRPr="001246F2">
        <w:t>h)</w:t>
      </w:r>
      <w:r w:rsidRPr="001246F2">
        <w:tab/>
        <w:t xml:space="preserve">que existe un </w:t>
      </w:r>
      <w:r w:rsidR="00732EF0" w:rsidRPr="001246F2">
        <w:t>gran</w:t>
      </w:r>
      <w:r w:rsidRPr="001246F2">
        <w:t xml:space="preserve"> </w:t>
      </w:r>
      <w:r w:rsidR="001B6C9A" w:rsidRPr="001246F2">
        <w:t>número</w:t>
      </w:r>
      <w:r w:rsidRPr="001246F2">
        <w:t xml:space="preserve"> de aplicaciones del SRN</w:t>
      </w:r>
      <w:r w:rsidR="00372205" w:rsidRPr="001246F2">
        <w:t>S</w:t>
      </w:r>
      <w:r w:rsidRPr="001246F2">
        <w:t xml:space="preserve"> </w:t>
      </w:r>
      <w:r w:rsidR="00732EF0" w:rsidRPr="001246F2">
        <w:t>aeronáuticas</w:t>
      </w:r>
      <w:r w:rsidRPr="001246F2">
        <w:t xml:space="preserve"> y no </w:t>
      </w:r>
      <w:r w:rsidR="00732EF0" w:rsidRPr="001246F2">
        <w:t>aeronáuticas</w:t>
      </w:r>
      <w:r w:rsidRPr="001246F2">
        <w:t xml:space="preserve"> que utilizan o tienen previsto utilizar la banda</w:t>
      </w:r>
      <w:r w:rsidR="00985F8F" w:rsidRPr="001246F2">
        <w:t xml:space="preserve"> 1 559-1 610 MHz;</w:t>
      </w:r>
    </w:p>
    <w:p w:rsidR="004A5DD2" w:rsidRPr="001246F2" w:rsidRDefault="004A5DD2" w:rsidP="0003784B">
      <w:r w:rsidRPr="001246F2">
        <w:lastRenderedPageBreak/>
        <w:t>j)</w:t>
      </w:r>
      <w:r w:rsidRPr="001246F2">
        <w:tab/>
        <w:t xml:space="preserve">que la </w:t>
      </w:r>
      <w:r w:rsidR="00732EF0" w:rsidRPr="001246F2">
        <w:t>Recomendación</w:t>
      </w:r>
      <w:r w:rsidR="00DC68B5">
        <w:t xml:space="preserve"> UIT-R M.</w:t>
      </w:r>
      <w:r w:rsidRPr="001246F2">
        <w:t xml:space="preserve">1787 proporciona las descripciones </w:t>
      </w:r>
      <w:r w:rsidR="00732EF0" w:rsidRPr="001246F2">
        <w:t>técnicas</w:t>
      </w:r>
      <w:r w:rsidRPr="001246F2">
        <w:t xml:space="preserve"> de las redes y </w:t>
      </w:r>
      <w:r w:rsidR="0003784B" w:rsidRPr="001246F2">
        <w:t xml:space="preserve">los </w:t>
      </w:r>
      <w:r w:rsidRPr="001246F2">
        <w:t xml:space="preserve">sistemas del SRNS y las </w:t>
      </w:r>
      <w:r w:rsidR="00732EF0" w:rsidRPr="001246F2">
        <w:t>características</w:t>
      </w:r>
      <w:r w:rsidRPr="001246F2">
        <w:t xml:space="preserve"> </w:t>
      </w:r>
      <w:r w:rsidR="00732EF0" w:rsidRPr="001246F2">
        <w:t>técnicas</w:t>
      </w:r>
      <w:r w:rsidRPr="001246F2">
        <w:t xml:space="preserve"> de las </w:t>
      </w:r>
      <w:r w:rsidR="00732EF0" w:rsidRPr="001246F2">
        <w:t>estaciones</w:t>
      </w:r>
      <w:r w:rsidRPr="001246F2">
        <w:t xml:space="preserve"> espaciales </w:t>
      </w:r>
      <w:r w:rsidR="00732EF0" w:rsidRPr="001246F2">
        <w:t>transmisoras</w:t>
      </w:r>
      <w:r w:rsidRPr="001246F2">
        <w:t xml:space="preserve"> que funcionan en las bandas</w:t>
      </w:r>
      <w:r w:rsidR="0003784B" w:rsidRPr="001246F2">
        <w:t xml:space="preserve"> 1 164-1 215 MHz, 1 215-1 300 MHz y 1 559-1 610 MHz</w:t>
      </w:r>
      <w:r w:rsidRPr="001246F2">
        <w:t>;</w:t>
      </w:r>
    </w:p>
    <w:p w:rsidR="004A5DD2" w:rsidRPr="001246F2" w:rsidRDefault="004A5DD2" w:rsidP="00A61882">
      <w:r w:rsidRPr="001246F2">
        <w:t>k)</w:t>
      </w:r>
      <w:r w:rsidRPr="001246F2">
        <w:tab/>
        <w:t xml:space="preserve">que la </w:t>
      </w:r>
      <w:r w:rsidR="00A61882" w:rsidRPr="001246F2">
        <w:t xml:space="preserve">Recomendación </w:t>
      </w:r>
      <w:r w:rsidR="00DC68B5">
        <w:t>UIT-R M.</w:t>
      </w:r>
      <w:r w:rsidRPr="001246F2">
        <w:t xml:space="preserve">1904 proporciona las </w:t>
      </w:r>
      <w:r w:rsidR="00732EF0" w:rsidRPr="001246F2">
        <w:t>características</w:t>
      </w:r>
      <w:r w:rsidRPr="001246F2">
        <w:t xml:space="preserve"> </w:t>
      </w:r>
      <w:r w:rsidR="00732EF0" w:rsidRPr="001246F2">
        <w:t>técnicas</w:t>
      </w:r>
      <w:r w:rsidRPr="001246F2">
        <w:t xml:space="preserve"> y los criterios de </w:t>
      </w:r>
      <w:r w:rsidR="00732EF0" w:rsidRPr="001246F2">
        <w:t>protección</w:t>
      </w:r>
      <w:r w:rsidRPr="001246F2">
        <w:t xml:space="preserve"> de las estaciones espaciales receptoras </w:t>
      </w:r>
      <w:r w:rsidR="00A61882" w:rsidRPr="001246F2">
        <w:t>d</w:t>
      </w:r>
      <w:r w:rsidRPr="001246F2">
        <w:t xml:space="preserve">el SRNS </w:t>
      </w:r>
      <w:r w:rsidR="00A61882" w:rsidRPr="001246F2">
        <w:t>(</w:t>
      </w:r>
      <w:r w:rsidRPr="001246F2">
        <w:t>espacio-espacio) en las bandas</w:t>
      </w:r>
      <w:r w:rsidR="00A61882" w:rsidRPr="001246F2">
        <w:t xml:space="preserve"> 1 164-1 215 MHz, 1 215-1 300 MHz y 1 559-1 610 MHz</w:t>
      </w:r>
      <w:r w:rsidRPr="001246F2">
        <w:t>;</w:t>
      </w:r>
    </w:p>
    <w:p w:rsidR="00903761" w:rsidRPr="001246F2" w:rsidRDefault="004A5DD2" w:rsidP="00610DDF">
      <w:pPr>
        <w:ind w:right="-57"/>
      </w:pPr>
      <w:r w:rsidRPr="001246F2">
        <w:t>l)</w:t>
      </w:r>
      <w:r w:rsidRPr="001246F2">
        <w:tab/>
        <w:t>que la Recomendación UIT-R</w:t>
      </w:r>
      <w:r w:rsidR="00610DDF">
        <w:t> </w:t>
      </w:r>
      <w:r w:rsidRPr="001246F2">
        <w:t xml:space="preserve">M.1901 </w:t>
      </w:r>
      <w:r w:rsidR="00610DDF">
        <w:t>señala</w:t>
      </w:r>
      <w:r w:rsidR="00A61882" w:rsidRPr="001246F2">
        <w:t xml:space="preserve"> directrices</w:t>
      </w:r>
      <w:r w:rsidRPr="001246F2">
        <w:t xml:space="preserve"> sobre esta y otras Recomendaciones del UIT-R relativas a redes y sistemas del </w:t>
      </w:r>
      <w:r w:rsidR="00A61882" w:rsidRPr="001246F2">
        <w:t xml:space="preserve">SRNS </w:t>
      </w:r>
      <w:r w:rsidRPr="001246F2">
        <w:t xml:space="preserve">que funcionan en las bandas de </w:t>
      </w:r>
      <w:r w:rsidR="00732EF0" w:rsidRPr="001246F2">
        <w:t>frecuencia</w:t>
      </w:r>
      <w:r w:rsidR="00A61882" w:rsidRPr="001246F2">
        <w:t xml:space="preserve"> 1 164-1 215 MHz, 1 215-1 300 MHz, 1 559-1 610 MHz, 5 000-5 010 MHz y 5 010-5 030 MHz</w:t>
      </w:r>
      <w:r w:rsidRPr="001246F2">
        <w:t>,</w:t>
      </w:r>
    </w:p>
    <w:p w:rsidR="004A5DD2" w:rsidRPr="001246F2" w:rsidRDefault="004A5DD2" w:rsidP="004A5DD2">
      <w:pPr>
        <w:pStyle w:val="Call"/>
      </w:pPr>
      <w:r w:rsidRPr="001246F2">
        <w:t>reconociendo</w:t>
      </w:r>
    </w:p>
    <w:p w:rsidR="004A5DD2" w:rsidRPr="001246F2" w:rsidRDefault="004A5DD2" w:rsidP="002B7997">
      <w:r w:rsidRPr="001246F2">
        <w:t>a)</w:t>
      </w:r>
      <w:r w:rsidRPr="001246F2">
        <w:tab/>
        <w:t>que la banda 1</w:t>
      </w:r>
      <w:r w:rsidR="00DC68B5">
        <w:t> </w:t>
      </w:r>
      <w:r w:rsidRPr="001246F2">
        <w:t>559-1</w:t>
      </w:r>
      <w:r w:rsidR="00DC68B5">
        <w:t> </w:t>
      </w:r>
      <w:r w:rsidRPr="001246F2">
        <w:t>610</w:t>
      </w:r>
      <w:r w:rsidR="002B7997" w:rsidRPr="001246F2">
        <w:t> </w:t>
      </w:r>
      <w:r w:rsidRPr="001246F2">
        <w:t>MHz esta atrib</w:t>
      </w:r>
      <w:r w:rsidR="002B7997" w:rsidRPr="001246F2">
        <w:t xml:space="preserve">uida a </w:t>
      </w:r>
      <w:r w:rsidR="001B6C9A" w:rsidRPr="001246F2">
        <w:t>título</w:t>
      </w:r>
      <w:r w:rsidR="002B7997" w:rsidRPr="001246F2">
        <w:t xml:space="preserve"> primario al SRNS (</w:t>
      </w:r>
      <w:r w:rsidRPr="001246F2">
        <w:t>e</w:t>
      </w:r>
      <w:r w:rsidR="002B7997" w:rsidRPr="001246F2">
        <w:t>s</w:t>
      </w:r>
      <w:r w:rsidRPr="001246F2">
        <w:t>pacio-Tierra) (espacio-espacio) y al SRNA en las tres Regiones;</w:t>
      </w:r>
    </w:p>
    <w:p w:rsidR="004A5DD2" w:rsidRPr="001246F2" w:rsidRDefault="004A5DD2" w:rsidP="004A5DD2">
      <w:r w:rsidRPr="001246F2">
        <w:t>b)</w:t>
      </w:r>
      <w:r w:rsidRPr="001246F2">
        <w:tab/>
        <w:t xml:space="preserve">que existe un cierto </w:t>
      </w:r>
      <w:r w:rsidR="001B6C9A" w:rsidRPr="001246F2">
        <w:t>número</w:t>
      </w:r>
      <w:r w:rsidRPr="001246F2">
        <w:t xml:space="preserve"> de receptores de señales del SRNS utilizados en aplicaciones de seguridad que procesan estas señales de formas distintas, como se describe en el Anexo 2;</w:t>
      </w:r>
    </w:p>
    <w:p w:rsidR="004A5DD2" w:rsidRPr="001246F2" w:rsidRDefault="004A5DD2" w:rsidP="00A877A0">
      <w:r w:rsidRPr="001246F2">
        <w:t>c)</w:t>
      </w:r>
      <w:r w:rsidRPr="001246F2">
        <w:tab/>
        <w:t xml:space="preserve">que existe un cierto </w:t>
      </w:r>
      <w:r w:rsidR="001B6C9A" w:rsidRPr="001246F2">
        <w:t>número</w:t>
      </w:r>
      <w:r w:rsidRPr="001246F2">
        <w:t xml:space="preserve"> de di</w:t>
      </w:r>
      <w:r w:rsidR="0052086D" w:rsidRPr="001246F2">
        <w:t>ferentes</w:t>
      </w:r>
      <w:r w:rsidRPr="001246F2">
        <w:t xml:space="preserve"> mejoras actuales y previstas de los sistemas y redes del SRNS que soportan servicios de seguridad;</w:t>
      </w:r>
    </w:p>
    <w:p w:rsidR="004A5DD2" w:rsidRPr="001246F2" w:rsidRDefault="004A5DD2" w:rsidP="00DC68B5">
      <w:r w:rsidRPr="001246F2">
        <w:t>d</w:t>
      </w:r>
      <w:r w:rsidR="005001DC" w:rsidRPr="001246F2">
        <w:t>)</w:t>
      </w:r>
      <w:r w:rsidR="005001DC" w:rsidRPr="001246F2">
        <w:tab/>
        <w:t>que la Recomendación UIT-R M.</w:t>
      </w:r>
      <w:r w:rsidRPr="001246F2">
        <w:t xml:space="preserve">1343 define los requisitos </w:t>
      </w:r>
      <w:r w:rsidR="00732EF0" w:rsidRPr="001246F2">
        <w:t>técnicos</w:t>
      </w:r>
      <w:r w:rsidRPr="001246F2">
        <w:t xml:space="preserve"> </w:t>
      </w:r>
      <w:r w:rsidR="00A877A0" w:rsidRPr="001246F2">
        <w:t>fundamenta</w:t>
      </w:r>
      <w:r w:rsidRPr="001246F2">
        <w:t xml:space="preserve">les de las estaciones </w:t>
      </w:r>
      <w:r w:rsidR="00732EF0" w:rsidRPr="001246F2">
        <w:t>terrenas</w:t>
      </w:r>
      <w:r w:rsidRPr="001246F2">
        <w:t xml:space="preserve"> </w:t>
      </w:r>
      <w:r w:rsidR="00732EF0" w:rsidRPr="001246F2">
        <w:t>móviles</w:t>
      </w:r>
      <w:r w:rsidRPr="001246F2">
        <w:t xml:space="preserve"> (ETM) </w:t>
      </w:r>
      <w:r w:rsidR="00A877A0" w:rsidRPr="001246F2">
        <w:t>que funcionan con sistemas mundiales d</w:t>
      </w:r>
      <w:r w:rsidRPr="001246F2">
        <w:t>el SMS no OSG en las bandas entre 1 y 3 GHz;</w:t>
      </w:r>
    </w:p>
    <w:p w:rsidR="004A5DD2" w:rsidRPr="001246F2" w:rsidRDefault="004A5DD2" w:rsidP="00D622AD">
      <w:r w:rsidRPr="001246F2">
        <w:t>e)</w:t>
      </w:r>
      <w:r w:rsidRPr="001246F2">
        <w:tab/>
        <w:t xml:space="preserve">que el </w:t>
      </w:r>
      <w:r w:rsidR="00A877A0" w:rsidRPr="001246F2">
        <w:t>número </w:t>
      </w:r>
      <w:r w:rsidRPr="001246F2">
        <w:t xml:space="preserve">5.362B </w:t>
      </w:r>
      <w:r w:rsidR="00D622AD">
        <w:t xml:space="preserve">del RR </w:t>
      </w:r>
      <w:r w:rsidR="00732EF0" w:rsidRPr="001246F2">
        <w:t>indica</w:t>
      </w:r>
      <w:r w:rsidRPr="001246F2">
        <w:t xml:space="preserve"> </w:t>
      </w:r>
      <w:r w:rsidR="00732EF0" w:rsidRPr="001246F2">
        <w:t>que</w:t>
      </w:r>
      <w:r w:rsidRPr="001246F2">
        <w:t xml:space="preserve"> la banda</w:t>
      </w:r>
      <w:r w:rsidR="00A877A0" w:rsidRPr="001246F2">
        <w:t xml:space="preserve"> 1 559-1 610 MHz </w:t>
      </w:r>
      <w:r w:rsidRPr="001246F2">
        <w:t>est</w:t>
      </w:r>
      <w:r w:rsidR="00D622AD">
        <w:t>á</w:t>
      </w:r>
      <w:r w:rsidRPr="001246F2">
        <w:t xml:space="preserve"> </w:t>
      </w:r>
      <w:r w:rsidR="00732EF0" w:rsidRPr="001246F2">
        <w:t>también</w:t>
      </w:r>
      <w:r w:rsidRPr="001246F2">
        <w:t xml:space="preserve"> atribuida al servicio fijo a </w:t>
      </w:r>
      <w:r w:rsidR="001B6C9A" w:rsidRPr="001246F2">
        <w:t>título</w:t>
      </w:r>
      <w:r w:rsidRPr="001246F2">
        <w:t xml:space="preserve"> primario hasta el 1 de enero de 2010 en </w:t>
      </w:r>
      <w:r w:rsidR="00A877A0" w:rsidRPr="001246F2">
        <w:t xml:space="preserve">un </w:t>
      </w:r>
      <w:r w:rsidRPr="001246F2">
        <w:t xml:space="preserve">incierto </w:t>
      </w:r>
      <w:r w:rsidR="001B6C9A" w:rsidRPr="001246F2">
        <w:t>número</w:t>
      </w:r>
      <w:r w:rsidRPr="001246F2">
        <w:t xml:space="preserve"> de </w:t>
      </w:r>
      <w:r w:rsidR="00732EF0" w:rsidRPr="001246F2">
        <w:t>países</w:t>
      </w:r>
      <w:r w:rsidRPr="001246F2">
        <w:t xml:space="preserve">; que el servicio fijo puede continuar funcionando a </w:t>
      </w:r>
      <w:r w:rsidR="001B6C9A" w:rsidRPr="001246F2">
        <w:t>título</w:t>
      </w:r>
      <w:r w:rsidRPr="001246F2">
        <w:t xml:space="preserve"> secundario en estos </w:t>
      </w:r>
      <w:r w:rsidR="00732EF0" w:rsidRPr="001246F2">
        <w:t>países</w:t>
      </w:r>
      <w:r w:rsidRPr="001246F2">
        <w:t xml:space="preserve"> del 1 de enero de 2010 al 1 de enero de 2015, fecha </w:t>
      </w:r>
      <w:r w:rsidR="00A877A0" w:rsidRPr="001246F2">
        <w:t>a partir de</w:t>
      </w:r>
      <w:r w:rsidRPr="001246F2">
        <w:t xml:space="preserve"> la cual la </w:t>
      </w:r>
      <w:r w:rsidR="00A877A0" w:rsidRPr="001246F2">
        <w:t>atribución</w:t>
      </w:r>
      <w:r w:rsidRPr="001246F2">
        <w:t xml:space="preserve"> </w:t>
      </w:r>
      <w:r w:rsidR="001246F2" w:rsidRPr="001246F2">
        <w:t>dejará</w:t>
      </w:r>
      <w:r w:rsidRPr="001246F2">
        <w:t xml:space="preserve"> de ser </w:t>
      </w:r>
      <w:r w:rsidR="00A877A0" w:rsidRPr="001246F2">
        <w:t>válida</w:t>
      </w:r>
      <w:r w:rsidRPr="001246F2">
        <w:t xml:space="preserve">; que en otros </w:t>
      </w:r>
      <w:r w:rsidR="00732EF0" w:rsidRPr="001246F2">
        <w:t>países</w:t>
      </w:r>
      <w:r w:rsidRPr="001246F2">
        <w:t xml:space="preserve"> la </w:t>
      </w:r>
      <w:r w:rsidR="00A877A0" w:rsidRPr="001246F2">
        <w:t xml:space="preserve">citada </w:t>
      </w:r>
      <w:r w:rsidRPr="001246F2">
        <w:t xml:space="preserve">banda </w:t>
      </w:r>
      <w:r w:rsidR="00A877A0" w:rsidRPr="001246F2">
        <w:t>1 559-1 610 MHz está</w:t>
      </w:r>
      <w:r w:rsidRPr="001246F2">
        <w:t xml:space="preserve"> atribuida al servicio fijo a </w:t>
      </w:r>
      <w:r w:rsidR="001B6C9A" w:rsidRPr="001246F2">
        <w:t>título</w:t>
      </w:r>
      <w:r w:rsidRPr="001246F2">
        <w:t xml:space="preserve"> secundario hasta el 1 de enero de 2015, fecha </w:t>
      </w:r>
      <w:r w:rsidR="00A877A0" w:rsidRPr="001246F2">
        <w:t>a partir de</w:t>
      </w:r>
      <w:r w:rsidRPr="001246F2">
        <w:t xml:space="preserve"> la cual la atribución deja</w:t>
      </w:r>
      <w:r w:rsidR="00A877A0" w:rsidRPr="001246F2">
        <w:t>rá</w:t>
      </w:r>
      <w:r w:rsidRPr="001246F2">
        <w:t xml:space="preserve"> de ser </w:t>
      </w:r>
      <w:r w:rsidR="00A877A0" w:rsidRPr="001246F2">
        <w:t>válida</w:t>
      </w:r>
      <w:r w:rsidRPr="001246F2">
        <w:t xml:space="preserve">; y que se insta a  las </w:t>
      </w:r>
      <w:r w:rsidR="00732EF0" w:rsidRPr="001246F2">
        <w:t>administraciones</w:t>
      </w:r>
      <w:r w:rsidRPr="001246F2">
        <w:t xml:space="preserve"> de todos los </w:t>
      </w:r>
      <w:r w:rsidR="00732EF0" w:rsidRPr="001246F2">
        <w:t>países</w:t>
      </w:r>
      <w:r w:rsidRPr="001246F2">
        <w:t xml:space="preserve"> </w:t>
      </w:r>
      <w:r w:rsidR="00A877A0" w:rsidRPr="001246F2">
        <w:t>que figuran</w:t>
      </w:r>
      <w:r w:rsidRPr="001246F2">
        <w:t xml:space="preserve"> en </w:t>
      </w:r>
      <w:r w:rsidR="00A877A0" w:rsidRPr="001246F2">
        <w:t>este</w:t>
      </w:r>
      <w:r w:rsidRPr="001246F2">
        <w:t xml:space="preserve"> </w:t>
      </w:r>
      <w:r w:rsidR="00A877A0" w:rsidRPr="001246F2">
        <w:t>número </w:t>
      </w:r>
      <w:r w:rsidRPr="001246F2">
        <w:t xml:space="preserve">5.362B a que tomen todas las medidas </w:t>
      </w:r>
      <w:r w:rsidR="00A877A0" w:rsidRPr="001246F2">
        <w:t>a su alcance</w:t>
      </w:r>
      <w:r w:rsidRPr="001246F2">
        <w:t xml:space="preserve"> para proteger el SRNS y no autoricen nuevas asignaciones de frecuencia a los sistemas del servicio fijo en </w:t>
      </w:r>
      <w:r w:rsidR="00A877A0" w:rsidRPr="001246F2">
        <w:t>est</w:t>
      </w:r>
      <w:r w:rsidRPr="001246F2">
        <w:t>a banda;</w:t>
      </w:r>
    </w:p>
    <w:p w:rsidR="004A5DD2" w:rsidRPr="001246F2" w:rsidRDefault="00732EF0" w:rsidP="00A877A0">
      <w:r w:rsidRPr="001246F2">
        <w:t>f)</w:t>
      </w:r>
      <w:r w:rsidRPr="001246F2">
        <w:tab/>
        <w:t xml:space="preserve">que el </w:t>
      </w:r>
      <w:r w:rsidR="00A877A0" w:rsidRPr="001246F2">
        <w:t>número </w:t>
      </w:r>
      <w:r w:rsidRPr="001246F2">
        <w:t xml:space="preserve">5.362C indica que la banda </w:t>
      </w:r>
      <w:r w:rsidR="00A877A0" w:rsidRPr="001246F2">
        <w:t>1 559-1 610 MHz</w:t>
      </w:r>
      <w:r w:rsidR="00D622AD">
        <w:t xml:space="preserve"> está</w:t>
      </w:r>
      <w:r w:rsidRPr="001246F2">
        <w:t xml:space="preserve"> también atribuida al servicio fijo a </w:t>
      </w:r>
      <w:r w:rsidR="001B6C9A" w:rsidRPr="001246F2">
        <w:t>título</w:t>
      </w:r>
      <w:r w:rsidRPr="001246F2">
        <w:t xml:space="preserve"> secundario </w:t>
      </w:r>
      <w:r w:rsidR="00A877A0" w:rsidRPr="001246F2">
        <w:t>e</w:t>
      </w:r>
      <w:r w:rsidRPr="001246F2">
        <w:t xml:space="preserve">n un cierto </w:t>
      </w:r>
      <w:r w:rsidR="001B6C9A" w:rsidRPr="001246F2">
        <w:t>número</w:t>
      </w:r>
      <w:r w:rsidRPr="001246F2">
        <w:t xml:space="preserve"> de países hasta el 1 de enero de 2015, fecha </w:t>
      </w:r>
      <w:r w:rsidR="00A877A0" w:rsidRPr="001246F2">
        <w:t>después de</w:t>
      </w:r>
      <w:r w:rsidRPr="001246F2">
        <w:t xml:space="preserve"> la cual la atribución </w:t>
      </w:r>
      <w:r w:rsidR="00A877A0" w:rsidRPr="001246F2">
        <w:t>dejará de ser</w:t>
      </w:r>
      <w:r w:rsidRPr="001246F2">
        <w:t xml:space="preserve"> </w:t>
      </w:r>
      <w:r w:rsidR="00A877A0" w:rsidRPr="001246F2">
        <w:t>válida</w:t>
      </w:r>
      <w:r w:rsidRPr="001246F2">
        <w:t>; y que se insta a las administraciones de todos los países que figuran en e</w:t>
      </w:r>
      <w:r w:rsidR="00A877A0" w:rsidRPr="001246F2">
        <w:t>ste</w:t>
      </w:r>
      <w:r w:rsidRPr="001246F2">
        <w:t xml:space="preserve"> </w:t>
      </w:r>
      <w:r w:rsidR="00A877A0" w:rsidRPr="001246F2">
        <w:t>número </w:t>
      </w:r>
      <w:r w:rsidRPr="001246F2">
        <w:t xml:space="preserve">5.362C a que tomen todas las medidas </w:t>
      </w:r>
      <w:r w:rsidR="00A877A0" w:rsidRPr="001246F2">
        <w:t>a su alcance</w:t>
      </w:r>
      <w:r w:rsidRPr="001246F2">
        <w:t xml:space="preserve"> para proteger el SRNS y no autoricen nuevas asignaciones de frecuencia a los sistemas del servicio fijo en </w:t>
      </w:r>
      <w:r w:rsidR="00A877A0" w:rsidRPr="001246F2">
        <w:t>est</w:t>
      </w:r>
      <w:r w:rsidRPr="001246F2">
        <w:t>a banda,</w:t>
      </w:r>
    </w:p>
    <w:p w:rsidR="004A5DD2" w:rsidRPr="001246F2" w:rsidRDefault="004A5DD2" w:rsidP="004A5DD2">
      <w:pPr>
        <w:pStyle w:val="Call"/>
      </w:pPr>
      <w:r w:rsidRPr="001246F2">
        <w:t>recomienda</w:t>
      </w:r>
    </w:p>
    <w:p w:rsidR="004A5DD2" w:rsidRPr="001246F2" w:rsidRDefault="004A5DD2" w:rsidP="00A877A0">
      <w:r w:rsidRPr="001246F2">
        <w:rPr>
          <w:b/>
          <w:bCs/>
        </w:rPr>
        <w:t>1</w:t>
      </w:r>
      <w:r w:rsidRPr="001246F2">
        <w:tab/>
        <w:t xml:space="preserve">que se utilicen las </w:t>
      </w:r>
      <w:r w:rsidR="00732EF0" w:rsidRPr="001246F2">
        <w:t>características</w:t>
      </w:r>
      <w:r w:rsidRPr="001246F2">
        <w:t xml:space="preserve"> y los criterios de </w:t>
      </w:r>
      <w:r w:rsidR="00732EF0" w:rsidRPr="001246F2">
        <w:t>protección</w:t>
      </w:r>
      <w:r w:rsidRPr="001246F2">
        <w:t xml:space="preserve"> de las estaciones terrenas receptoras indicados en el Anexo</w:t>
      </w:r>
      <w:r w:rsidR="00A877A0" w:rsidRPr="001246F2">
        <w:t> </w:t>
      </w:r>
      <w:r w:rsidRPr="001246F2">
        <w:t xml:space="preserve">2 para </w:t>
      </w:r>
      <w:r w:rsidR="00A877A0" w:rsidRPr="001246F2">
        <w:t>ana</w:t>
      </w:r>
      <w:r w:rsidRPr="001246F2">
        <w:t xml:space="preserve">lizar </w:t>
      </w:r>
      <w:r w:rsidR="00A877A0" w:rsidRPr="001246F2">
        <w:t>efectos</w:t>
      </w:r>
      <w:r w:rsidRPr="001246F2">
        <w:t xml:space="preserve"> de la interferencia en los receptores del SRN</w:t>
      </w:r>
      <w:r w:rsidR="00A877A0" w:rsidRPr="001246F2">
        <w:t>A</w:t>
      </w:r>
      <w:r w:rsidRPr="001246F2">
        <w:t xml:space="preserve"> y el SRNS (</w:t>
      </w:r>
      <w:r w:rsidR="00732EF0" w:rsidRPr="001246F2">
        <w:t>espacio-Tierra</w:t>
      </w:r>
      <w:r w:rsidRPr="001246F2">
        <w:t xml:space="preserve">) que funcionan en la banda </w:t>
      </w:r>
      <w:r w:rsidR="00A877A0" w:rsidRPr="001246F2">
        <w:t>1 559-1 610 MHz</w:t>
      </w:r>
      <w:r w:rsidRPr="001246F2">
        <w:t xml:space="preserve"> </w:t>
      </w:r>
      <w:r w:rsidR="00A877A0" w:rsidRPr="001246F2">
        <w:t xml:space="preserve">causada por otras </w:t>
      </w:r>
      <w:r w:rsidRPr="001246F2">
        <w:t xml:space="preserve">fuentes </w:t>
      </w:r>
      <w:r w:rsidR="00732EF0" w:rsidRPr="001246F2">
        <w:t>radioeléctricas</w:t>
      </w:r>
      <w:r w:rsidRPr="001246F2">
        <w:t xml:space="preserve"> distintas del SRNS;</w:t>
      </w:r>
    </w:p>
    <w:p w:rsidR="004A5DD2" w:rsidRPr="001246F2" w:rsidRDefault="004A5DD2" w:rsidP="00A877A0">
      <w:r w:rsidRPr="001246F2">
        <w:rPr>
          <w:b/>
          <w:bCs/>
        </w:rPr>
        <w:t>2</w:t>
      </w:r>
      <w:r w:rsidRPr="001246F2">
        <w:tab/>
        <w:t xml:space="preserve">que se aplique un margen de seguridad, como se indica en el Anexo 1, para proteger los aspectos y aplicaciones </w:t>
      </w:r>
      <w:r w:rsidR="00A877A0" w:rsidRPr="001246F2">
        <w:t xml:space="preserve">de seguridad </w:t>
      </w:r>
      <w:r w:rsidRPr="001246F2">
        <w:t xml:space="preserve">del SRNS y el SRNA cuando se lleven a cabo los </w:t>
      </w:r>
      <w:r w:rsidR="00732EF0" w:rsidRPr="001246F2">
        <w:t>análisis</w:t>
      </w:r>
      <w:r w:rsidRPr="001246F2">
        <w:t xml:space="preserve"> de interferencia;</w:t>
      </w:r>
    </w:p>
    <w:p w:rsidR="004A5DD2" w:rsidRPr="001246F2" w:rsidRDefault="004A5DD2" w:rsidP="004A5DD2">
      <w:r w:rsidRPr="001246F2">
        <w:rPr>
          <w:b/>
          <w:bCs/>
        </w:rPr>
        <w:t>3</w:t>
      </w:r>
      <w:r w:rsidRPr="001246F2">
        <w:tab/>
        <w:t xml:space="preserve">que las siguientes </w:t>
      </w:r>
      <w:r w:rsidR="00A877A0" w:rsidRPr="001246F2">
        <w:t xml:space="preserve">Notas </w:t>
      </w:r>
      <w:r w:rsidRPr="001246F2">
        <w:t>se consideren parte de esta Recomendación.</w:t>
      </w:r>
    </w:p>
    <w:p w:rsidR="004A5DD2" w:rsidRPr="001246F2" w:rsidRDefault="004A5DD2" w:rsidP="00EE075A">
      <w:r w:rsidRPr="001246F2">
        <w:lastRenderedPageBreak/>
        <w:t>NOTA</w:t>
      </w:r>
      <w:r w:rsidR="0014127D" w:rsidRPr="001246F2">
        <w:t> </w:t>
      </w:r>
      <w:r w:rsidRPr="001246F2">
        <w:t>1</w:t>
      </w:r>
      <w:r w:rsidR="0014127D" w:rsidRPr="001246F2">
        <w:t> </w:t>
      </w:r>
      <w:r w:rsidRPr="001246F2">
        <w:t>–</w:t>
      </w:r>
      <w:r w:rsidR="0014127D" w:rsidRPr="001246F2">
        <w:t> </w:t>
      </w:r>
      <w:r w:rsidRPr="001246F2">
        <w:t xml:space="preserve">La presente Recomendación no </w:t>
      </w:r>
      <w:r w:rsidR="00732EF0" w:rsidRPr="001246F2">
        <w:t>tiene</w:t>
      </w:r>
      <w:r w:rsidRPr="001246F2">
        <w:t xml:space="preserve"> por objeto su utilización para constituir las bases de las futuras modificaciones de los </w:t>
      </w:r>
      <w:r w:rsidR="00732EF0" w:rsidRPr="001246F2">
        <w:t>máximos</w:t>
      </w:r>
      <w:r w:rsidRPr="001246F2">
        <w:t xml:space="preserve"> niveles de emisiones no deseadas para la banda </w:t>
      </w:r>
      <w:r w:rsidR="00A877A0" w:rsidRPr="001246F2">
        <w:t>1 559-1 610 MHz</w:t>
      </w:r>
      <w:r w:rsidRPr="001246F2">
        <w:t xml:space="preserve"> que figuran en los Ane</w:t>
      </w:r>
      <w:r w:rsidR="00271707" w:rsidRPr="001246F2">
        <w:t>xos a las Recomendaciones UIT-R</w:t>
      </w:r>
      <w:r w:rsidR="00E9202E">
        <w:t xml:space="preserve"> </w:t>
      </w:r>
      <w:r w:rsidRPr="001246F2">
        <w:t>M.1343-1 y UIT</w:t>
      </w:r>
      <w:r w:rsidR="00271707" w:rsidRPr="001246F2">
        <w:noBreakHyphen/>
      </w:r>
      <w:r w:rsidRPr="001246F2">
        <w:t>R</w:t>
      </w:r>
      <w:r w:rsidR="00271707" w:rsidRPr="001246F2">
        <w:t> </w:t>
      </w:r>
      <w:r w:rsidRPr="001246F2">
        <w:t>M.1480</w:t>
      </w:r>
      <w:r w:rsidR="00271707" w:rsidRPr="001246F2">
        <w:t>,</w:t>
      </w:r>
      <w:r w:rsidRPr="001246F2">
        <w:t xml:space="preserve"> para las ET</w:t>
      </w:r>
      <w:r w:rsidR="00A877A0" w:rsidRPr="001246F2">
        <w:t>M</w:t>
      </w:r>
      <w:r w:rsidRPr="001246F2">
        <w:t xml:space="preserve"> del SMS</w:t>
      </w:r>
      <w:r w:rsidR="00A877A0" w:rsidRPr="001246F2">
        <w:t>,</w:t>
      </w:r>
      <w:r w:rsidRPr="001246F2">
        <w:t xml:space="preserve"> y UIT-R SM.1757 para la banda ultraancha (UWB). Los</w:t>
      </w:r>
      <w:r w:rsidR="00EE075A">
        <w:t> </w:t>
      </w:r>
      <w:r w:rsidRPr="001246F2">
        <w:t xml:space="preserve">citados niveles para la banda </w:t>
      </w:r>
      <w:r w:rsidR="00A877A0" w:rsidRPr="001246F2">
        <w:t>1 559-1 610 MHz</w:t>
      </w:r>
      <w:r w:rsidRPr="001246F2">
        <w:t xml:space="preserve"> indicados en las Recomendaciones UIT</w:t>
      </w:r>
      <w:r w:rsidR="00271707" w:rsidRPr="001246F2">
        <w:noBreakHyphen/>
      </w:r>
      <w:r w:rsidRPr="001246F2">
        <w:t>R</w:t>
      </w:r>
      <w:r w:rsidR="00271707" w:rsidRPr="001246F2">
        <w:t> </w:t>
      </w:r>
      <w:r w:rsidRPr="001246F2">
        <w:t>M.1343</w:t>
      </w:r>
      <w:r w:rsidR="00271707" w:rsidRPr="001246F2">
        <w:noBreakHyphen/>
      </w:r>
      <w:r w:rsidRPr="001246F2">
        <w:t xml:space="preserve">1 y UIT-R M. 1480 se han </w:t>
      </w:r>
      <w:r w:rsidR="00732EF0" w:rsidRPr="001246F2">
        <w:t>determinado</w:t>
      </w:r>
      <w:r w:rsidRPr="001246F2">
        <w:t xml:space="preserve"> con arreglo a una h</w:t>
      </w:r>
      <w:r w:rsidR="00271707" w:rsidRPr="001246F2">
        <w:t>ipótesis de interferencia especí</w:t>
      </w:r>
      <w:r w:rsidRPr="001246F2">
        <w:t xml:space="preserve">fica y no se </w:t>
      </w:r>
      <w:r w:rsidR="00732EF0" w:rsidRPr="001246F2">
        <w:t>tiene</w:t>
      </w:r>
      <w:r w:rsidRPr="001246F2">
        <w:t xml:space="preserve"> la </w:t>
      </w:r>
      <w:r w:rsidR="00732EF0" w:rsidRPr="001246F2">
        <w:t>intención</w:t>
      </w:r>
      <w:r w:rsidRPr="001246F2">
        <w:t xml:space="preserve"> de aplicarlos a ningún servicio distinto de las ETM del SMS en la gama 1-3</w:t>
      </w:r>
      <w:r w:rsidR="00271707" w:rsidRPr="001246F2">
        <w:t> </w:t>
      </w:r>
      <w:r w:rsidRPr="001246F2">
        <w:t>GHz sin realizar antes</w:t>
      </w:r>
      <w:r w:rsidR="00B26D11" w:rsidRPr="001246F2">
        <w:t xml:space="preserve"> más </w:t>
      </w:r>
      <w:r w:rsidRPr="001246F2">
        <w:t>estudios. Los niveles que figuran en la Recomendación UIT</w:t>
      </w:r>
      <w:r w:rsidR="00271707" w:rsidRPr="001246F2">
        <w:noBreakHyphen/>
      </w:r>
      <w:r w:rsidRPr="001246F2">
        <w:t xml:space="preserve">R SM.1757 son </w:t>
      </w:r>
      <w:r w:rsidR="00732EF0" w:rsidRPr="001246F2">
        <w:t>específicos</w:t>
      </w:r>
      <w:r w:rsidRPr="001246F2">
        <w:t xml:space="preserve"> a la </w:t>
      </w:r>
      <w:r w:rsidR="00732EF0" w:rsidRPr="001246F2">
        <w:t>tecnología</w:t>
      </w:r>
      <w:r w:rsidRPr="001246F2">
        <w:t xml:space="preserve"> de banda ultraa</w:t>
      </w:r>
      <w:r w:rsidR="00271707" w:rsidRPr="001246F2">
        <w:t>ncha</w:t>
      </w:r>
      <w:r w:rsidRPr="001246F2">
        <w:t>.</w:t>
      </w:r>
    </w:p>
    <w:p w:rsidR="004A5DD2" w:rsidRDefault="004A5DD2" w:rsidP="0014127D">
      <w:r w:rsidRPr="001246F2">
        <w:t>NOTA</w:t>
      </w:r>
      <w:r w:rsidR="0014127D" w:rsidRPr="001246F2">
        <w:t> </w:t>
      </w:r>
      <w:r w:rsidRPr="001246F2">
        <w:t>2</w:t>
      </w:r>
      <w:r w:rsidR="0014127D" w:rsidRPr="001246F2">
        <w:t> </w:t>
      </w:r>
      <w:r w:rsidRPr="001246F2">
        <w:t>–</w:t>
      </w:r>
      <w:r w:rsidR="0014127D" w:rsidRPr="001246F2">
        <w:t> </w:t>
      </w:r>
      <w:r w:rsidRPr="001246F2">
        <w:t xml:space="preserve">El margen de seguridad </w:t>
      </w:r>
      <w:r w:rsidR="00732EF0" w:rsidRPr="001246F2">
        <w:t>de</w:t>
      </w:r>
      <w:r w:rsidRPr="001246F2">
        <w:t xml:space="preserve"> la </w:t>
      </w:r>
      <w:r w:rsidR="00732EF0" w:rsidRPr="001246F2">
        <w:t>radionavegación</w:t>
      </w:r>
      <w:r w:rsidRPr="001246F2">
        <w:t xml:space="preserve"> </w:t>
      </w:r>
      <w:r w:rsidR="00732EF0" w:rsidRPr="001246F2">
        <w:t>aeronáutica</w:t>
      </w:r>
      <w:r w:rsidRPr="001246F2">
        <w:t xml:space="preserve"> de 6</w:t>
      </w:r>
      <w:r w:rsidR="00271707" w:rsidRPr="001246F2">
        <w:t> </w:t>
      </w:r>
      <w:r w:rsidRPr="001246F2">
        <w:t xml:space="preserve">dB, indicado en el </w:t>
      </w:r>
      <w:r w:rsidR="00271707" w:rsidRPr="001246F2">
        <w:t>§°</w:t>
      </w:r>
      <w:r w:rsidRPr="001246F2">
        <w:t xml:space="preserve">3 del </w:t>
      </w:r>
      <w:r w:rsidR="00271707" w:rsidRPr="001246F2">
        <w:t>Anexo</w:t>
      </w:r>
      <w:r w:rsidR="000F3509" w:rsidRPr="001246F2">
        <w:t> </w:t>
      </w:r>
      <w:r w:rsidRPr="001246F2">
        <w:t xml:space="preserve">1, se estableció para una aplicación de </w:t>
      </w:r>
      <w:r w:rsidR="00732EF0" w:rsidRPr="001246F2">
        <w:t>radionavegación</w:t>
      </w:r>
      <w:r w:rsidRPr="001246F2">
        <w:t xml:space="preserve"> </w:t>
      </w:r>
      <w:r w:rsidR="00732EF0" w:rsidRPr="001246F2">
        <w:t>aeronáutica</w:t>
      </w:r>
      <w:r w:rsidRPr="001246F2">
        <w:t xml:space="preserve"> espec</w:t>
      </w:r>
      <w:r w:rsidR="00271707" w:rsidRPr="001246F2">
        <w:t>í</w:t>
      </w:r>
      <w:r w:rsidRPr="001246F2">
        <w:t xml:space="preserve">fica del SRNS y el SRNA en la banda </w:t>
      </w:r>
      <w:r w:rsidR="00271707" w:rsidRPr="001246F2">
        <w:t>1 559-1 610 MHz</w:t>
      </w:r>
      <w:r w:rsidRPr="001246F2">
        <w:t xml:space="preserve"> y no se </w:t>
      </w:r>
      <w:r w:rsidR="00732EF0" w:rsidRPr="001246F2">
        <w:t>tiene</w:t>
      </w:r>
      <w:r w:rsidRPr="001246F2">
        <w:t xml:space="preserve"> la </w:t>
      </w:r>
      <w:r w:rsidR="00732EF0" w:rsidRPr="001246F2">
        <w:t>intención</w:t>
      </w:r>
      <w:r w:rsidRPr="001246F2">
        <w:t xml:space="preserve"> de utilizarlo en aplicaciones </w:t>
      </w:r>
      <w:r w:rsidR="00271707" w:rsidRPr="001246F2">
        <w:t>no</w:t>
      </w:r>
      <w:r w:rsidRPr="001246F2">
        <w:t xml:space="preserve"> </w:t>
      </w:r>
      <w:r w:rsidR="00732EF0" w:rsidRPr="001246F2">
        <w:t>aeronáutica</w:t>
      </w:r>
      <w:r w:rsidR="00271707" w:rsidRPr="001246F2">
        <w:t>s</w:t>
      </w:r>
      <w:r w:rsidRPr="001246F2">
        <w:t xml:space="preserve">. </w:t>
      </w:r>
      <w:r w:rsidR="00732EF0" w:rsidRPr="001246F2">
        <w:t>El nivel</w:t>
      </w:r>
      <w:r w:rsidRPr="001246F2">
        <w:t xml:space="preserve"> del margen de seguridad, caso de existir, que debe aplicarse a las aplicaciones de seguridad no </w:t>
      </w:r>
      <w:r w:rsidR="00732EF0" w:rsidRPr="001246F2">
        <w:t>aeronáuticas</w:t>
      </w:r>
      <w:r w:rsidRPr="001246F2">
        <w:t xml:space="preserve"> del SRNS debe establecerse </w:t>
      </w:r>
      <w:r w:rsidR="00732EF0" w:rsidRPr="001246F2">
        <w:t>basándose</w:t>
      </w:r>
      <w:r w:rsidRPr="001246F2">
        <w:t xml:space="preserve"> en los resultados de m</w:t>
      </w:r>
      <w:r w:rsidR="00271707" w:rsidRPr="001246F2">
        <w:t>á</w:t>
      </w:r>
      <w:r w:rsidRPr="001246F2">
        <w:t>s estudios.</w:t>
      </w:r>
    </w:p>
    <w:p w:rsidR="00FB17E7" w:rsidRDefault="00FB17E7" w:rsidP="0014127D"/>
    <w:p w:rsidR="00FB17E7" w:rsidRDefault="00FB17E7" w:rsidP="0014127D"/>
    <w:p w:rsidR="00FB17E7" w:rsidRDefault="00FB17E7" w:rsidP="00FB17E7">
      <w:pPr>
        <w:spacing w:before="0"/>
      </w:pPr>
    </w:p>
    <w:p w:rsidR="00271707" w:rsidRPr="001246F2" w:rsidRDefault="004B1768" w:rsidP="004B1768">
      <w:pPr>
        <w:pStyle w:val="AnnexNoTitle"/>
      </w:pPr>
      <w:r w:rsidRPr="001246F2">
        <w:t>Anexo 1</w:t>
      </w:r>
      <w:r w:rsidRPr="001246F2">
        <w:br/>
      </w:r>
      <w:r w:rsidRPr="001246F2">
        <w:br/>
        <w:t>Margen para aplicaciones de seguridad en el SRNS</w:t>
      </w:r>
    </w:p>
    <w:p w:rsidR="002F74C4" w:rsidRPr="001246F2" w:rsidRDefault="002F74C4" w:rsidP="002F74C4">
      <w:pPr>
        <w:pStyle w:val="Heading1"/>
      </w:pPr>
      <w:r w:rsidRPr="001246F2">
        <w:t>1</w:t>
      </w:r>
      <w:r w:rsidRPr="001246F2">
        <w:tab/>
      </w:r>
      <w:r w:rsidR="00732EF0" w:rsidRPr="001246F2">
        <w:t>Introducción</w:t>
      </w:r>
    </w:p>
    <w:p w:rsidR="002F74C4" w:rsidRPr="001246F2" w:rsidRDefault="00722AA6" w:rsidP="00722AA6">
      <w:r w:rsidRPr="001246F2">
        <w:t>Históricamente</w:t>
      </w:r>
      <w:r w:rsidR="002F74C4" w:rsidRPr="001246F2">
        <w:t xml:space="preserve">, la UIT y la OACI </w:t>
      </w:r>
      <w:r w:rsidR="00732EF0" w:rsidRPr="001246F2">
        <w:t>ha venido reservando</w:t>
      </w:r>
      <w:r w:rsidR="002F74C4" w:rsidRPr="001246F2">
        <w:t xml:space="preserve"> una parte del balance </w:t>
      </w:r>
      <w:r w:rsidRPr="001246F2">
        <w:t xml:space="preserve">de interferencia </w:t>
      </w:r>
      <w:r w:rsidR="002F74C4" w:rsidRPr="001246F2">
        <w:t xml:space="preserve">del </w:t>
      </w:r>
      <w:r w:rsidR="00732EF0" w:rsidRPr="001246F2">
        <w:t>enlace</w:t>
      </w:r>
      <w:r w:rsidR="002F74C4" w:rsidRPr="001246F2">
        <w:t xml:space="preserve"> a un margen de</w:t>
      </w:r>
      <w:r w:rsidRPr="001246F2">
        <w:t>stinado a</w:t>
      </w:r>
      <w:r w:rsidR="002F74C4" w:rsidRPr="001246F2">
        <w:t xml:space="preserve"> garantizar </w:t>
      </w:r>
      <w:r w:rsidRPr="001246F2">
        <w:t>la protección de</w:t>
      </w:r>
      <w:r w:rsidR="002F74C4" w:rsidRPr="001246F2">
        <w:t xml:space="preserve"> los aspectos de seguridad del servicio </w:t>
      </w:r>
      <w:r w:rsidR="00732EF0" w:rsidRPr="001246F2">
        <w:t>de</w:t>
      </w:r>
      <w:r w:rsidR="002F74C4" w:rsidRPr="001246F2">
        <w:t xml:space="preserve"> </w:t>
      </w:r>
      <w:r w:rsidR="00732EF0" w:rsidRPr="001246F2">
        <w:t>radionavegación</w:t>
      </w:r>
      <w:r w:rsidR="002F74C4" w:rsidRPr="001246F2">
        <w:t xml:space="preserve">. </w:t>
      </w:r>
      <w:r w:rsidRPr="001246F2">
        <w:t>L</w:t>
      </w:r>
      <w:r w:rsidR="002F74C4" w:rsidRPr="001246F2">
        <w:t>os valores de</w:t>
      </w:r>
      <w:r w:rsidRPr="001246F2">
        <w:t xml:space="preserve"> este</w:t>
      </w:r>
      <w:r w:rsidR="002F74C4" w:rsidRPr="001246F2">
        <w:t xml:space="preserve"> margen se encuentran </w:t>
      </w:r>
      <w:r w:rsidR="00732EF0" w:rsidRPr="001246F2">
        <w:t>normalmente</w:t>
      </w:r>
      <w:r w:rsidR="002F74C4" w:rsidRPr="001246F2">
        <w:t xml:space="preserve"> en</w:t>
      </w:r>
      <w:r w:rsidRPr="001246F2">
        <w:t>tre</w:t>
      </w:r>
      <w:r w:rsidR="002F74C4" w:rsidRPr="001246F2">
        <w:t xml:space="preserve"> 6 </w:t>
      </w:r>
      <w:r w:rsidRPr="001246F2">
        <w:t>y</w:t>
      </w:r>
      <w:r w:rsidR="002F74C4" w:rsidRPr="001246F2">
        <w:t xml:space="preserve"> 10</w:t>
      </w:r>
      <w:r w:rsidRPr="001246F2">
        <w:t> </w:t>
      </w:r>
      <w:r w:rsidR="002F74C4" w:rsidRPr="001246F2">
        <w:t>dB, o m</w:t>
      </w:r>
      <w:r w:rsidRPr="001246F2">
        <w:t>á</w:t>
      </w:r>
      <w:r w:rsidR="002F74C4" w:rsidRPr="001246F2">
        <w:t xml:space="preserve">s. </w:t>
      </w:r>
      <w:r w:rsidR="00732EF0" w:rsidRPr="001246F2">
        <w:t>Además</w:t>
      </w:r>
      <w:r w:rsidR="002F74C4" w:rsidRPr="001246F2">
        <w:t xml:space="preserve">, </w:t>
      </w:r>
      <w:r w:rsidRPr="001246F2">
        <w:t>en el UIT-R existe</w:t>
      </w:r>
      <w:r w:rsidR="002F74C4" w:rsidRPr="001246F2">
        <w:t xml:space="preserve"> un </w:t>
      </w:r>
      <w:r w:rsidR="00732EF0" w:rsidRPr="001246F2">
        <w:t>amplio</w:t>
      </w:r>
      <w:r w:rsidR="002F74C4" w:rsidRPr="001246F2">
        <w:t xml:space="preserve"> precedente de un </w:t>
      </w:r>
      <w:r w:rsidR="00732EF0" w:rsidRPr="001246F2">
        <w:t>margen</w:t>
      </w:r>
      <w:r w:rsidR="002F74C4" w:rsidRPr="001246F2">
        <w:t xml:space="preserve"> de seguridad para las aplicaciones de seguridad de la </w:t>
      </w:r>
      <w:r w:rsidR="00732EF0" w:rsidRPr="001246F2">
        <w:t>radionavegación</w:t>
      </w:r>
      <w:r w:rsidR="002F74C4" w:rsidRPr="001246F2">
        <w:t>, por ejemplo:</w:t>
      </w:r>
    </w:p>
    <w:p w:rsidR="002F74C4" w:rsidRPr="001246F2" w:rsidRDefault="000F3509" w:rsidP="000F3509">
      <w:r w:rsidRPr="001246F2">
        <w:t>«Con independencia de las intenciones originales de los planificadores del espectro radioeléctrico, no hay ninguna duda de que las presiones para efectuar atribuciones adicionales en el espectro radioeléctrico a varios servicios de  radiocomunicación pueden afectar a los criterios de protección aeronáutica considerados como criterios de compartición no aeronáuticos. En consecuencia, un servicio de seguridad debe adoptar precauciones considerables para asegurarse de que cualquier servicio radioeléctrico que comparta la misma banda, tenga una limitación suficiente para dejar un margen adecuado de forma que en todas las circunstancias probables la interferencia perjudicial total nunca rebase los criterios de protección requeridos.»</w:t>
      </w:r>
      <w:r w:rsidR="002F06F6" w:rsidRPr="001246F2">
        <w:rPr>
          <w:rStyle w:val="FootnoteReference"/>
        </w:rPr>
        <w:footnoteReference w:id="2"/>
      </w:r>
    </w:p>
    <w:p w:rsidR="002F74C4" w:rsidRPr="001246F2" w:rsidRDefault="00732EF0" w:rsidP="000F3509">
      <w:r w:rsidRPr="001246F2">
        <w:t>Además</w:t>
      </w:r>
      <w:r w:rsidR="002F74C4" w:rsidRPr="001246F2">
        <w:t xml:space="preserve">, la </w:t>
      </w:r>
      <w:r w:rsidR="000F3509" w:rsidRPr="001246F2">
        <w:t xml:space="preserve">Recomendación </w:t>
      </w:r>
      <w:r w:rsidR="00DC68B5">
        <w:t>UIT-R M.</w:t>
      </w:r>
      <w:r w:rsidR="002F74C4" w:rsidRPr="001246F2">
        <w:t xml:space="preserve">1318-1 contiene en su Anexo un modelo para evaluar la interferencia causada a los receptores del SRNS por las fuentes </w:t>
      </w:r>
      <w:r w:rsidRPr="001246F2">
        <w:t>radioeléctricas</w:t>
      </w:r>
      <w:r w:rsidR="002F74C4" w:rsidRPr="001246F2">
        <w:t xml:space="preserve"> distintas al SRNS. Dicho modelo incluye la utilización de un factor denominado </w:t>
      </w:r>
      <w:r w:rsidR="000F3509" w:rsidRPr="001246F2">
        <w:t>«</w:t>
      </w:r>
      <w:r w:rsidR="002F74C4" w:rsidRPr="001246F2">
        <w:t xml:space="preserve">margen de </w:t>
      </w:r>
      <w:r w:rsidRPr="001246F2">
        <w:t>protección</w:t>
      </w:r>
      <w:r w:rsidR="002F74C4" w:rsidRPr="001246F2">
        <w:t xml:space="preserve"> (dB)</w:t>
      </w:r>
      <w:r w:rsidR="000F3509" w:rsidRPr="001246F2">
        <w:t>»</w:t>
      </w:r>
      <w:r w:rsidR="002F74C4" w:rsidRPr="001246F2">
        <w:t xml:space="preserve">. Su descripción indica que se emplea </w:t>
      </w:r>
      <w:r w:rsidR="000F3509" w:rsidRPr="001246F2">
        <w:t>«</w:t>
      </w:r>
      <w:r w:rsidR="002F74C4" w:rsidRPr="001246F2">
        <w:t xml:space="preserve">para garantizar la </w:t>
      </w:r>
      <w:r w:rsidRPr="001246F2">
        <w:t>protección</w:t>
      </w:r>
      <w:r w:rsidR="002F74C4" w:rsidRPr="001246F2">
        <w:t xml:space="preserve"> </w:t>
      </w:r>
      <w:r w:rsidR="000F3509" w:rsidRPr="001246F2">
        <w:t>como se estipula en el</w:t>
      </w:r>
      <w:r w:rsidR="002F74C4" w:rsidRPr="001246F2">
        <w:t xml:space="preserve"> </w:t>
      </w:r>
      <w:r w:rsidR="000F3509" w:rsidRPr="001246F2">
        <w:t>número </w:t>
      </w:r>
      <w:r w:rsidR="002F74C4" w:rsidRPr="001246F2">
        <w:t>4.10</w:t>
      </w:r>
      <w:r w:rsidR="000F3509" w:rsidRPr="001246F2">
        <w:t xml:space="preserve"> del RR»</w:t>
      </w:r>
      <w:r w:rsidR="002F74C4" w:rsidRPr="001246F2">
        <w:t>.</w:t>
      </w:r>
    </w:p>
    <w:p w:rsidR="000F3509" w:rsidRPr="001246F2" w:rsidRDefault="000F3509" w:rsidP="002F06F6">
      <w:pPr>
        <w:pStyle w:val="Heading1"/>
      </w:pPr>
      <w:bookmarkStart w:id="3" w:name="_Toc115520438"/>
      <w:r w:rsidRPr="001246F2">
        <w:lastRenderedPageBreak/>
        <w:t>2</w:t>
      </w:r>
      <w:r w:rsidRPr="001246F2">
        <w:tab/>
        <w:t>Finalidad del margen de seguridad</w:t>
      </w:r>
      <w:bookmarkEnd w:id="3"/>
    </w:p>
    <w:p w:rsidR="000F3509" w:rsidRPr="001246F2" w:rsidRDefault="000F3509" w:rsidP="002F06F6">
      <w:r w:rsidRPr="001246F2">
        <w:t>En las aplicaciones de seguridad de la vida humana, es crucial disponer de un margen de seguridad (que puede también denominarse factor de seguridad pública) con el fin de eliminar el riesgo, real aunque no cuantificable, de pérdida de vidas humanas a causa de la existencia de interferencia de radiofrecuencia. Para soportar aplicaciones de seguridad de la vida humana, deben tenerse en cuenta todas las fuentes de interferencia.</w:t>
      </w:r>
    </w:p>
    <w:p w:rsidR="002F74C4" w:rsidRPr="001246F2" w:rsidRDefault="002F06F6" w:rsidP="002F06F6">
      <w:pPr>
        <w:pStyle w:val="Heading1"/>
      </w:pPr>
      <w:r w:rsidRPr="001246F2">
        <w:t>3</w:t>
      </w:r>
      <w:r w:rsidRPr="001246F2">
        <w:tab/>
      </w:r>
      <w:r w:rsidR="002F74C4" w:rsidRPr="001246F2">
        <w:t xml:space="preserve">Aplicaciones </w:t>
      </w:r>
      <w:r w:rsidRPr="001246F2">
        <w:t>en la</w:t>
      </w:r>
      <w:r w:rsidR="002F74C4" w:rsidRPr="001246F2">
        <w:t xml:space="preserve"> </w:t>
      </w:r>
      <w:r w:rsidR="00732EF0" w:rsidRPr="001246F2">
        <w:t>radionavegación</w:t>
      </w:r>
      <w:r w:rsidR="002F74C4" w:rsidRPr="001246F2">
        <w:t xml:space="preserve"> </w:t>
      </w:r>
      <w:r w:rsidR="00732EF0" w:rsidRPr="001246F2">
        <w:t>aeronáutica</w:t>
      </w:r>
      <w:r w:rsidR="002F74C4" w:rsidRPr="001246F2">
        <w:t xml:space="preserve"> del </w:t>
      </w:r>
      <w:r w:rsidR="00732EF0" w:rsidRPr="001246F2">
        <w:t>margen</w:t>
      </w:r>
      <w:r w:rsidR="002F74C4" w:rsidRPr="001246F2">
        <w:t xml:space="preserve"> de seguridad</w:t>
      </w:r>
    </w:p>
    <w:p w:rsidR="002F74C4" w:rsidRPr="001246F2" w:rsidRDefault="002F06F6" w:rsidP="002F06F6">
      <w:pPr>
        <w:pStyle w:val="Heading2"/>
      </w:pPr>
      <w:r w:rsidRPr="001246F2">
        <w:t>3.1</w:t>
      </w:r>
      <w:r w:rsidRPr="001246F2">
        <w:tab/>
        <w:t xml:space="preserve">Consideraciones </w:t>
      </w:r>
      <w:r w:rsidR="002F74C4" w:rsidRPr="001246F2">
        <w:t xml:space="preserve">generales sobre el margen de seguridad </w:t>
      </w:r>
      <w:r w:rsidRPr="001246F2">
        <w:t>en la radionavegación</w:t>
      </w:r>
      <w:r w:rsidR="002F74C4" w:rsidRPr="001246F2">
        <w:t xml:space="preserve"> </w:t>
      </w:r>
      <w:r w:rsidRPr="001246F2">
        <w:t>aeronáutica</w:t>
      </w:r>
    </w:p>
    <w:p w:rsidR="002F74C4" w:rsidRPr="001246F2" w:rsidRDefault="00690C7D" w:rsidP="002973EB">
      <w:r w:rsidRPr="001246F2">
        <w:t xml:space="preserve">La </w:t>
      </w:r>
      <w:r w:rsidR="002F74C4" w:rsidRPr="001246F2">
        <w:t>utiliza</w:t>
      </w:r>
      <w:r w:rsidR="002973EB" w:rsidRPr="001246F2">
        <w:t>ción</w:t>
      </w:r>
      <w:r w:rsidR="002F74C4" w:rsidRPr="001246F2">
        <w:t xml:space="preserve"> de </w:t>
      </w:r>
      <w:r w:rsidR="00732EF0" w:rsidRPr="001246F2">
        <w:t>márgenes</w:t>
      </w:r>
      <w:r w:rsidR="002F74C4" w:rsidRPr="001246F2">
        <w:t xml:space="preserve"> de seguridad en los sistemas de navegación esta </w:t>
      </w:r>
      <w:r w:rsidR="002973EB" w:rsidRPr="001246F2">
        <w:t>muy introducida</w:t>
      </w:r>
      <w:r w:rsidR="002F74C4" w:rsidRPr="001246F2">
        <w:t xml:space="preserve">. La OACI especifica un margen de seguridad para </w:t>
      </w:r>
      <w:r w:rsidR="002973EB" w:rsidRPr="001246F2">
        <w:t>los</w:t>
      </w:r>
      <w:r w:rsidR="002F74C4" w:rsidRPr="001246F2">
        <w:t xml:space="preserve"> sistema</w:t>
      </w:r>
      <w:r w:rsidR="002973EB" w:rsidRPr="001246F2">
        <w:t>s</w:t>
      </w:r>
      <w:r w:rsidR="002F74C4" w:rsidRPr="001246F2">
        <w:t xml:space="preserve"> de aterrizaje por microondas (MLS) de 6</w:t>
      </w:r>
      <w:r w:rsidR="002973EB" w:rsidRPr="001246F2">
        <w:t> </w:t>
      </w:r>
      <w:r w:rsidR="002F74C4" w:rsidRPr="001246F2">
        <w:t xml:space="preserve">dB (Anexo 10 al </w:t>
      </w:r>
      <w:r w:rsidR="002973EB" w:rsidRPr="001246F2">
        <w:t xml:space="preserve">Convenio </w:t>
      </w:r>
      <w:r w:rsidR="002F74C4" w:rsidRPr="001246F2">
        <w:t xml:space="preserve">de la OACI: Normas </w:t>
      </w:r>
      <w:r w:rsidR="00732EF0" w:rsidRPr="001246F2">
        <w:t>Internacionales</w:t>
      </w:r>
      <w:r w:rsidR="002F74C4" w:rsidRPr="001246F2">
        <w:t xml:space="preserve"> y </w:t>
      </w:r>
      <w:r w:rsidR="00732EF0" w:rsidRPr="001246F2">
        <w:t>prácticas</w:t>
      </w:r>
      <w:r w:rsidR="002F74C4" w:rsidRPr="001246F2">
        <w:t xml:space="preserve"> recomendadas en las telecomunicaciones </w:t>
      </w:r>
      <w:r w:rsidR="00732EF0" w:rsidRPr="001246F2">
        <w:t>aeronáuticas</w:t>
      </w:r>
      <w:r w:rsidR="002F74C4" w:rsidRPr="001246F2">
        <w:t>, Vol</w:t>
      </w:r>
      <w:r w:rsidR="002973EB" w:rsidRPr="001246F2">
        <w:t>. </w:t>
      </w:r>
      <w:r w:rsidR="002F74C4" w:rsidRPr="001246F2">
        <w:t xml:space="preserve">1 – Ayudas a la </w:t>
      </w:r>
      <w:r w:rsidR="00732EF0" w:rsidRPr="001246F2">
        <w:t>radionavegación</w:t>
      </w:r>
      <w:r w:rsidR="002F74C4" w:rsidRPr="001246F2">
        <w:t xml:space="preserve"> (</w:t>
      </w:r>
      <w:r w:rsidR="00732EF0" w:rsidRPr="001246F2">
        <w:t>A</w:t>
      </w:r>
      <w:r w:rsidR="002973EB" w:rsidRPr="001246F2">
        <w:t>djunto </w:t>
      </w:r>
      <w:r w:rsidR="002F74C4" w:rsidRPr="001246F2">
        <w:t xml:space="preserve">G, </w:t>
      </w:r>
      <w:r w:rsidR="002973EB" w:rsidRPr="001246F2">
        <w:t xml:space="preserve">Cuadro </w:t>
      </w:r>
      <w:r w:rsidR="002F74C4" w:rsidRPr="001246F2">
        <w:t xml:space="preserve">G-2)). </w:t>
      </w:r>
      <w:r w:rsidR="002973EB" w:rsidRPr="001246F2">
        <w:t>Los</w:t>
      </w:r>
      <w:r w:rsidR="002F74C4" w:rsidRPr="001246F2">
        <w:t xml:space="preserve"> sistema</w:t>
      </w:r>
      <w:r w:rsidR="002973EB" w:rsidRPr="001246F2">
        <w:t>s</w:t>
      </w:r>
      <w:r w:rsidR="002F74C4" w:rsidRPr="001246F2">
        <w:t xml:space="preserve"> de aterrizaje con instrumentos (ILS) aplica</w:t>
      </w:r>
      <w:r w:rsidR="002973EB" w:rsidRPr="001246F2">
        <w:t>n</w:t>
      </w:r>
      <w:r w:rsidR="002F74C4" w:rsidRPr="001246F2">
        <w:t xml:space="preserve"> un margen de seguridad de 8 dB (</w:t>
      </w:r>
      <w:r w:rsidR="00732EF0" w:rsidRPr="001246F2">
        <w:t>véase</w:t>
      </w:r>
      <w:r w:rsidR="002F74C4" w:rsidRPr="001246F2">
        <w:t xml:space="preserve"> la Recomendación UIT-R SM.1009-1, </w:t>
      </w:r>
      <w:r w:rsidR="002973EB" w:rsidRPr="001246F2">
        <w:t>Apéndice </w:t>
      </w:r>
      <w:r w:rsidR="002F74C4" w:rsidRPr="001246F2">
        <w:t xml:space="preserve">3 del Anexo 2). En </w:t>
      </w:r>
      <w:r w:rsidR="002973EB" w:rsidRPr="001246F2">
        <w:t>ambos casos</w:t>
      </w:r>
      <w:r w:rsidR="002F74C4" w:rsidRPr="001246F2">
        <w:t xml:space="preserve"> el margen se define con respecto a la potencia de portadora del sistema de navegación.</w:t>
      </w:r>
    </w:p>
    <w:p w:rsidR="002F74C4" w:rsidRPr="001246F2" w:rsidRDefault="00732EF0" w:rsidP="002973EB">
      <w:r w:rsidRPr="001246F2">
        <w:t xml:space="preserve">Es decir, para comprobar la calidad de funcionamiento de estos sistemas se reduce la potencia de la señal a partir de su valor nominal en el valor del margen de seguridad, y se realizan entonces pruebas para determinar si el sistema proporciona la calidad de funcionamiento requerida en presencia de interferencia. </w:t>
      </w:r>
      <w:r w:rsidR="002F74C4" w:rsidRPr="001246F2">
        <w:t>En otras palabras, el fabricante debe diseñar el equipo para que sea capaz de tratar el nivel de interferencia previsto m</w:t>
      </w:r>
      <w:r w:rsidR="002973EB" w:rsidRPr="001246F2">
        <w:t>á</w:t>
      </w:r>
      <w:r w:rsidR="002F74C4" w:rsidRPr="001246F2">
        <w:t xml:space="preserve">s elevado a la vez que recibe un nivel de señal deseada inferior (en el valor del margen de seguridad) al que de otro modo </w:t>
      </w:r>
      <w:r w:rsidRPr="001246F2">
        <w:t>recibiría</w:t>
      </w:r>
      <w:r w:rsidR="002F74C4" w:rsidRPr="001246F2">
        <w:t>.</w:t>
      </w:r>
    </w:p>
    <w:p w:rsidR="002F74C4" w:rsidRPr="001246F2" w:rsidRDefault="002F74C4" w:rsidP="005D6BB8">
      <w:r w:rsidRPr="001246F2">
        <w:t>En el caso del GNSS</w:t>
      </w:r>
      <w:r w:rsidR="00544D7B" w:rsidRPr="001246F2">
        <w:rPr>
          <w:rStyle w:val="FootnoteReference"/>
        </w:rPr>
        <w:footnoteReference w:id="3"/>
      </w:r>
      <w:r w:rsidRPr="001246F2">
        <w:t xml:space="preserve"> este </w:t>
      </w:r>
      <w:r w:rsidR="007B1A89" w:rsidRPr="001246F2">
        <w:t>planteamiento</w:t>
      </w:r>
      <w:r w:rsidRPr="001246F2">
        <w:t xml:space="preserve"> no es posible porque la </w:t>
      </w:r>
      <w:r w:rsidR="00732EF0" w:rsidRPr="001246F2">
        <w:t>reducción</w:t>
      </w:r>
      <w:r w:rsidRPr="001246F2">
        <w:t xml:space="preserve"> de la potencia de la </w:t>
      </w:r>
      <w:r w:rsidR="00732EF0" w:rsidRPr="001246F2">
        <w:t>portadora</w:t>
      </w:r>
      <w:r w:rsidRPr="001246F2">
        <w:t xml:space="preserve"> en 6</w:t>
      </w:r>
      <w:r w:rsidR="007B1A89" w:rsidRPr="001246F2">
        <w:t> </w:t>
      </w:r>
      <w:r w:rsidRPr="001246F2">
        <w:t>dB o m</w:t>
      </w:r>
      <w:r w:rsidR="007B1A89" w:rsidRPr="001246F2">
        <w:t>á</w:t>
      </w:r>
      <w:r w:rsidRPr="001246F2">
        <w:t xml:space="preserve">s por debajo del nivel de potencia nominal </w:t>
      </w:r>
      <w:r w:rsidR="00732EF0" w:rsidRPr="001246F2">
        <w:t>ocasionaría</w:t>
      </w:r>
      <w:r w:rsidRPr="001246F2">
        <w:t xml:space="preserve"> la p</w:t>
      </w:r>
      <w:r w:rsidR="007B1A89" w:rsidRPr="001246F2">
        <w:t>é</w:t>
      </w:r>
      <w:r w:rsidRPr="001246F2">
        <w:t xml:space="preserve">rdida del algoritmo de seguimiento del receptor en los </w:t>
      </w:r>
      <w:r w:rsidR="00732EF0" w:rsidRPr="001246F2">
        <w:t>satélites</w:t>
      </w:r>
      <w:r w:rsidRPr="001246F2">
        <w:t xml:space="preserve">. Esto es debido a que la potencia recibida en una </w:t>
      </w:r>
      <w:r w:rsidR="00732EF0" w:rsidRPr="001246F2">
        <w:t>satélite</w:t>
      </w:r>
      <w:r w:rsidRPr="001246F2">
        <w:t xml:space="preserve"> del GNSS es relativamente limitada</w:t>
      </w:r>
      <w:r w:rsidR="00073B0D" w:rsidRPr="001246F2">
        <w:t>,</w:t>
      </w:r>
      <w:r w:rsidRPr="001246F2">
        <w:t xml:space="preserve"> por lo que </w:t>
      </w:r>
      <w:r w:rsidR="00732EF0" w:rsidRPr="001246F2">
        <w:t>los</w:t>
      </w:r>
      <w:r w:rsidRPr="001246F2">
        <w:t xml:space="preserve"> receptores del GNSS funciona en una gama </w:t>
      </w:r>
      <w:r w:rsidR="00732EF0" w:rsidRPr="001246F2">
        <w:t>dinámica</w:t>
      </w:r>
      <w:r w:rsidRPr="001246F2">
        <w:t xml:space="preserve"> pequeña. Para lo receptores del GNSS la </w:t>
      </w:r>
      <w:r w:rsidR="00732EF0" w:rsidRPr="001246F2">
        <w:t>principal</w:t>
      </w:r>
      <w:r w:rsidRPr="001246F2">
        <w:t xml:space="preserve"> medida de la calidad de la señal recibida es la </w:t>
      </w:r>
      <w:r w:rsidR="00732EF0" w:rsidRPr="001246F2">
        <w:t>relación</w:t>
      </w:r>
      <w:r w:rsidRPr="001246F2">
        <w:t xml:space="preserve"> </w:t>
      </w:r>
      <w:r w:rsidR="00073B0D" w:rsidRPr="001246F2">
        <w:rPr>
          <w:i/>
        </w:rPr>
        <w:t>C</w:t>
      </w:r>
      <w:r w:rsidR="00073B0D" w:rsidRPr="001246F2">
        <w:t>/</w:t>
      </w:r>
      <w:r w:rsidR="00073B0D" w:rsidRPr="001246F2">
        <w:rPr>
          <w:i/>
        </w:rPr>
        <w:t>N</w:t>
      </w:r>
      <w:r w:rsidR="00073B0D" w:rsidRPr="001246F2">
        <w:rPr>
          <w:iCs/>
          <w:vertAlign w:val="subscript"/>
        </w:rPr>
        <w:t>0,</w:t>
      </w:r>
      <w:r w:rsidR="00073B0D" w:rsidRPr="001246F2">
        <w:rPr>
          <w:i/>
          <w:iCs/>
          <w:vertAlign w:val="subscript"/>
        </w:rPr>
        <w:t>EFF</w:t>
      </w:r>
      <w:r w:rsidRPr="001246F2">
        <w:t xml:space="preserve">, que la </w:t>
      </w:r>
      <w:r w:rsidR="00732EF0" w:rsidRPr="001246F2">
        <w:t>relación</w:t>
      </w:r>
      <w:r w:rsidRPr="001246F2">
        <w:t xml:space="preserve"> entre la potencia de la portadora recuperada, C, y el ruido efectivo + la densidad espectral de potencia de la interferencia, </w:t>
      </w:r>
      <w:r w:rsidR="00073B0D" w:rsidRPr="001246F2">
        <w:rPr>
          <w:i/>
        </w:rPr>
        <w:t>N</w:t>
      </w:r>
      <w:r w:rsidR="00073B0D" w:rsidRPr="001246F2">
        <w:rPr>
          <w:position w:val="-4"/>
          <w:sz w:val="16"/>
        </w:rPr>
        <w:t>0</w:t>
      </w:r>
      <w:r w:rsidR="00073B0D" w:rsidRPr="001246F2">
        <w:rPr>
          <w:i/>
          <w:position w:val="-4"/>
          <w:sz w:val="16"/>
        </w:rPr>
        <w:t>,EFF</w:t>
      </w:r>
      <w:r w:rsidR="00073B0D" w:rsidRPr="001246F2">
        <w:t> = </w:t>
      </w:r>
      <w:r w:rsidR="00073B0D" w:rsidRPr="001246F2">
        <w:rPr>
          <w:i/>
          <w:iCs/>
        </w:rPr>
        <w:t>N</w:t>
      </w:r>
      <w:r w:rsidR="00073B0D" w:rsidRPr="001246F2">
        <w:rPr>
          <w:vertAlign w:val="subscript"/>
        </w:rPr>
        <w:t>0</w:t>
      </w:r>
      <w:r w:rsidR="00073B0D" w:rsidRPr="001246F2">
        <w:t> + </w:t>
      </w:r>
      <w:r w:rsidR="00073B0D" w:rsidRPr="001246F2">
        <w:rPr>
          <w:i/>
          <w:iCs/>
        </w:rPr>
        <w:t>I</w:t>
      </w:r>
      <w:r w:rsidR="00073B0D" w:rsidRPr="001246F2">
        <w:rPr>
          <w:vertAlign w:val="subscript"/>
        </w:rPr>
        <w:t>0</w:t>
      </w:r>
      <w:r w:rsidRPr="001246F2">
        <w:t xml:space="preserve">. Los receptores del GNSS deben ser capaces de funcionar cerca del </w:t>
      </w:r>
      <w:r w:rsidR="00732EF0" w:rsidRPr="001246F2">
        <w:t>mínimo</w:t>
      </w:r>
      <w:r w:rsidRPr="001246F2">
        <w:t xml:space="preserve"> valor de </w:t>
      </w:r>
      <w:r w:rsidR="00910AF3" w:rsidRPr="001246F2">
        <w:rPr>
          <w:i/>
        </w:rPr>
        <w:t>C</w:t>
      </w:r>
      <w:r w:rsidR="00910AF3" w:rsidRPr="001246F2">
        <w:t>/</w:t>
      </w:r>
      <w:r w:rsidR="00910AF3" w:rsidRPr="001246F2">
        <w:rPr>
          <w:i/>
        </w:rPr>
        <w:t>N</w:t>
      </w:r>
      <w:r w:rsidR="00910AF3" w:rsidRPr="001246F2">
        <w:rPr>
          <w:iCs/>
          <w:vertAlign w:val="subscript"/>
        </w:rPr>
        <w:t>0,</w:t>
      </w:r>
      <w:r w:rsidR="00910AF3" w:rsidRPr="001246F2">
        <w:rPr>
          <w:i/>
          <w:iCs/>
          <w:vertAlign w:val="subscript"/>
        </w:rPr>
        <w:t>EFF</w:t>
      </w:r>
      <w:r w:rsidRPr="001246F2">
        <w:t xml:space="preserve">, que es una </w:t>
      </w:r>
      <w:r w:rsidR="00732EF0" w:rsidRPr="001246F2">
        <w:t>región</w:t>
      </w:r>
      <w:r w:rsidRPr="001246F2">
        <w:t xml:space="preserve"> en la que </w:t>
      </w:r>
      <w:r w:rsidR="00732EF0" w:rsidRPr="001246F2">
        <w:t>importantes</w:t>
      </w:r>
      <w:r w:rsidRPr="001246F2">
        <w:t xml:space="preserve"> parámetros de comportamiento, tales como la </w:t>
      </w:r>
      <w:r w:rsidR="00732EF0" w:rsidRPr="001246F2">
        <w:t>tasa</w:t>
      </w:r>
      <w:r w:rsidRPr="001246F2">
        <w:t xml:space="preserve"> de error de palabras o </w:t>
      </w:r>
      <w:r w:rsidR="00910AF3" w:rsidRPr="001246F2">
        <w:t>e</w:t>
      </w:r>
      <w:r w:rsidRPr="001246F2">
        <w:t xml:space="preserve">l </w:t>
      </w:r>
      <w:r w:rsidR="00732EF0" w:rsidRPr="001246F2">
        <w:t>error</w:t>
      </w:r>
      <w:r w:rsidRPr="001246F2">
        <w:t xml:space="preserve"> de fase </w:t>
      </w:r>
      <w:r w:rsidR="00910AF3" w:rsidRPr="001246F2">
        <w:t>de portadora detectado</w:t>
      </w:r>
      <w:r w:rsidRPr="001246F2">
        <w:t xml:space="preserve">s, aumentan </w:t>
      </w:r>
      <w:r w:rsidR="00732EF0" w:rsidRPr="001246F2">
        <w:t>rápidamente</w:t>
      </w:r>
      <w:r w:rsidRPr="001246F2">
        <w:t xml:space="preserve"> para pequeñas reducciones de </w:t>
      </w:r>
      <w:r w:rsidR="00910AF3" w:rsidRPr="001246F2">
        <w:rPr>
          <w:i/>
        </w:rPr>
        <w:t>C</w:t>
      </w:r>
      <w:r w:rsidR="00910AF3" w:rsidRPr="001246F2">
        <w:t>/</w:t>
      </w:r>
      <w:r w:rsidR="00910AF3" w:rsidRPr="001246F2">
        <w:rPr>
          <w:i/>
        </w:rPr>
        <w:t>N</w:t>
      </w:r>
      <w:r w:rsidR="00910AF3" w:rsidRPr="001246F2">
        <w:rPr>
          <w:iCs/>
          <w:vertAlign w:val="subscript"/>
        </w:rPr>
        <w:t>0,</w:t>
      </w:r>
      <w:r w:rsidR="00910AF3" w:rsidRPr="001246F2">
        <w:rPr>
          <w:i/>
          <w:iCs/>
          <w:vertAlign w:val="subscript"/>
        </w:rPr>
        <w:t>EFF</w:t>
      </w:r>
      <w:r w:rsidR="00910AF3" w:rsidRPr="001246F2">
        <w:t xml:space="preserve"> </w:t>
      </w:r>
      <w:r w:rsidR="00732EF0" w:rsidRPr="001246F2">
        <w:t>debido</w:t>
      </w:r>
      <w:r w:rsidRPr="001246F2">
        <w:t>, por ejemplo, a la interferencia.</w:t>
      </w:r>
    </w:p>
    <w:p w:rsidR="002F74C4" w:rsidRPr="001246F2" w:rsidRDefault="00910AF3" w:rsidP="00910AF3">
      <w:pPr>
        <w:pStyle w:val="Heading2"/>
      </w:pPr>
      <w:r w:rsidRPr="001246F2">
        <w:t>3.2</w:t>
      </w:r>
      <w:r w:rsidRPr="001246F2">
        <w:tab/>
        <w:t xml:space="preserve">Margen </w:t>
      </w:r>
      <w:r w:rsidR="002F74C4" w:rsidRPr="001246F2">
        <w:t>de seguridad para el GNSS en la banda 1</w:t>
      </w:r>
      <w:r w:rsidR="00DC68B5">
        <w:t> </w:t>
      </w:r>
      <w:r w:rsidR="002F74C4" w:rsidRPr="001246F2">
        <w:t>559-1</w:t>
      </w:r>
      <w:r w:rsidR="00DC68B5">
        <w:t> </w:t>
      </w:r>
      <w:r w:rsidR="002F74C4" w:rsidRPr="001246F2">
        <w:t>610 MHz</w:t>
      </w:r>
    </w:p>
    <w:p w:rsidR="002F74C4" w:rsidRPr="001246F2" w:rsidRDefault="002F74C4" w:rsidP="00FB17E7">
      <w:r w:rsidRPr="001246F2">
        <w:t xml:space="preserve">Como sucede con el MLS y el ILS, el </w:t>
      </w:r>
      <w:r w:rsidR="00732EF0" w:rsidRPr="001246F2">
        <w:t>método</w:t>
      </w:r>
      <w:r w:rsidRPr="001246F2">
        <w:t xml:space="preserve"> para el GNSS consiste en definir un nivel de interferencia de radiofrecuencia</w:t>
      </w:r>
      <w:r w:rsidR="00B74F2D" w:rsidRPr="001246F2">
        <w:rPr>
          <w:rStyle w:val="FootnoteReference"/>
        </w:rPr>
        <w:footnoteReference w:id="4"/>
      </w:r>
      <w:r w:rsidRPr="001246F2">
        <w:t xml:space="preserve"> (R</w:t>
      </w:r>
      <w:r w:rsidR="00B74F2D" w:rsidRPr="001246F2">
        <w:t>F</w:t>
      </w:r>
      <w:r w:rsidRPr="001246F2">
        <w:t xml:space="preserve">I) no </w:t>
      </w:r>
      <w:r w:rsidR="00732EF0" w:rsidRPr="001246F2">
        <w:t>aeronáutica</w:t>
      </w:r>
      <w:r w:rsidRPr="001246F2">
        <w:t xml:space="preserve"> que el receptor pueda aceptar sin dejar de cumplir las especificaciones de </w:t>
      </w:r>
      <w:r w:rsidR="001246F2" w:rsidRPr="001246F2">
        <w:t>calidad</w:t>
      </w:r>
      <w:r w:rsidRPr="001246F2">
        <w:t xml:space="preserve"> de funcionamiento. Para el GNSS, el </w:t>
      </w:r>
      <w:r w:rsidR="00EE215D" w:rsidRPr="001246F2">
        <w:t>límite</w:t>
      </w:r>
      <w:r w:rsidRPr="001246F2">
        <w:t xml:space="preserve"> de la prueba de RFI del receptor </w:t>
      </w:r>
      <w:r w:rsidR="00EE215D" w:rsidRPr="001246F2">
        <w:t>(</w:t>
      </w:r>
      <w:r w:rsidRPr="001246F2">
        <w:t xml:space="preserve">es decir, el </w:t>
      </w:r>
      <w:r w:rsidR="00732EF0" w:rsidRPr="001246F2">
        <w:t>umbral</w:t>
      </w:r>
      <w:r w:rsidRPr="001246F2">
        <w:t xml:space="preserve"> de diseño) rebasa el </w:t>
      </w:r>
      <w:r w:rsidR="00732EF0" w:rsidRPr="001246F2">
        <w:t>máximo</w:t>
      </w:r>
      <w:r w:rsidRPr="001246F2">
        <w:t xml:space="preserve"> </w:t>
      </w:r>
      <w:r w:rsidR="00732EF0" w:rsidRPr="001246F2">
        <w:t>nivel</w:t>
      </w:r>
      <w:r w:rsidRPr="001246F2">
        <w:t xml:space="preserve"> de interferencia combinada medioambiental </w:t>
      </w:r>
      <w:r w:rsidR="00732EF0" w:rsidRPr="001246F2">
        <w:t>admisible</w:t>
      </w:r>
      <w:r w:rsidRPr="001246F2">
        <w:t xml:space="preserve"> en el valor del margen de seguridad. Específicamente, si el </w:t>
      </w:r>
      <w:r w:rsidR="00EE215D" w:rsidRPr="001246F2">
        <w:t>límite</w:t>
      </w:r>
      <w:r w:rsidRPr="001246F2">
        <w:t xml:space="preserve"> de </w:t>
      </w:r>
      <w:r w:rsidR="00732EF0" w:rsidRPr="001246F2">
        <w:lastRenderedPageBreak/>
        <w:t>prueba</w:t>
      </w:r>
      <w:r w:rsidRPr="001246F2">
        <w:t xml:space="preserve"> de la interferencia continua combinada para el GNSS es </w:t>
      </w:r>
      <w:r w:rsidR="00EE215D" w:rsidRPr="001246F2">
        <w:rPr>
          <w:i/>
        </w:rPr>
        <w:t>J</w:t>
      </w:r>
      <w:r w:rsidR="00EE215D" w:rsidRPr="001246F2">
        <w:rPr>
          <w:i/>
          <w:iCs/>
          <w:vertAlign w:val="subscript"/>
        </w:rPr>
        <w:t>agg</w:t>
      </w:r>
      <w:r w:rsidR="00EE215D" w:rsidRPr="001246F2">
        <w:rPr>
          <w:vertAlign w:val="subscript"/>
        </w:rPr>
        <w:t>,máx</w:t>
      </w:r>
      <w:r w:rsidRPr="001246F2">
        <w:t xml:space="preserve"> (</w:t>
      </w:r>
      <w:r w:rsidR="00732EF0" w:rsidRPr="001246F2">
        <w:t>dB</w:t>
      </w:r>
      <w:r w:rsidRPr="001246F2">
        <w:t>) y se emplea un margen</w:t>
      </w:r>
      <w:r w:rsidR="00FB17E7">
        <w:t> </w:t>
      </w:r>
      <w:r w:rsidRPr="001246F2">
        <w:t>de seguridad M</w:t>
      </w:r>
      <w:r w:rsidR="00EE215D" w:rsidRPr="001246F2">
        <w:t> </w:t>
      </w:r>
      <w:r w:rsidRPr="001246F2">
        <w:t xml:space="preserve">(dB), la </w:t>
      </w:r>
      <w:r w:rsidR="00732EF0" w:rsidRPr="001246F2">
        <w:t>máxima</w:t>
      </w:r>
      <w:r w:rsidRPr="001246F2">
        <w:t xml:space="preserve"> RFI continua com</w:t>
      </w:r>
      <w:r w:rsidR="000F4E9D">
        <w:t>b</w:t>
      </w:r>
      <w:r w:rsidRPr="001246F2">
        <w:t>i</w:t>
      </w:r>
      <w:r w:rsidR="000F4E9D">
        <w:t>d</w:t>
      </w:r>
      <w:r w:rsidR="00EE215D" w:rsidRPr="001246F2">
        <w:t>ada medioambiental de seguridad</w:t>
      </w:r>
      <w:r w:rsidRPr="001246F2">
        <w:t xml:space="preserve">, </w:t>
      </w:r>
      <w:r w:rsidR="00EE215D" w:rsidRPr="001246F2">
        <w:rPr>
          <w:i/>
        </w:rPr>
        <w:t>J</w:t>
      </w:r>
      <w:r w:rsidR="00EE215D" w:rsidRPr="001246F2">
        <w:rPr>
          <w:i/>
          <w:vertAlign w:val="subscript"/>
        </w:rPr>
        <w:t>safe,</w:t>
      </w:r>
      <w:r w:rsidR="00EE215D" w:rsidRPr="001246F2">
        <w:rPr>
          <w:vertAlign w:val="subscript"/>
        </w:rPr>
        <w:t>máx</w:t>
      </w:r>
      <w:r w:rsidR="00FB17E7">
        <w:t> </w:t>
      </w:r>
      <w:r w:rsidRPr="001246F2">
        <w:t>(dBW) es:</w:t>
      </w:r>
    </w:p>
    <w:p w:rsidR="00EE215D" w:rsidRPr="001246F2" w:rsidRDefault="00EE215D" w:rsidP="00EE215D">
      <w:pPr>
        <w:pStyle w:val="Blanc"/>
        <w:rPr>
          <w:lang w:val="es-ES_tradnl"/>
        </w:rPr>
      </w:pPr>
    </w:p>
    <w:p w:rsidR="00EE215D" w:rsidRPr="001246F2" w:rsidRDefault="00EE215D" w:rsidP="00EE215D">
      <w:pPr>
        <w:pStyle w:val="Equation"/>
      </w:pPr>
      <w:r w:rsidRPr="001246F2">
        <w:tab/>
      </w:r>
      <w:r w:rsidRPr="001246F2">
        <w:tab/>
      </w:r>
      <w:r w:rsidRPr="001246F2">
        <w:rPr>
          <w:i/>
        </w:rPr>
        <w:t>J</w:t>
      </w:r>
      <w:r w:rsidRPr="001246F2">
        <w:rPr>
          <w:i/>
          <w:iCs/>
          <w:vertAlign w:val="subscript"/>
        </w:rPr>
        <w:t>safe</w:t>
      </w:r>
      <w:r w:rsidRPr="001246F2">
        <w:rPr>
          <w:iCs/>
          <w:vertAlign w:val="subscript"/>
        </w:rPr>
        <w:t>,</w:t>
      </w:r>
      <w:r w:rsidRPr="001246F2">
        <w:rPr>
          <w:vertAlign w:val="subscript"/>
        </w:rPr>
        <w:t>máx</w:t>
      </w:r>
      <w:r w:rsidRPr="001246F2">
        <w:t xml:space="preserve"> = </w:t>
      </w:r>
      <w:r w:rsidRPr="001246F2">
        <w:rPr>
          <w:i/>
        </w:rPr>
        <w:t>J</w:t>
      </w:r>
      <w:r w:rsidRPr="001246F2">
        <w:rPr>
          <w:i/>
          <w:iCs/>
          <w:vertAlign w:val="subscript"/>
        </w:rPr>
        <w:t>agg</w:t>
      </w:r>
      <w:r w:rsidRPr="001246F2">
        <w:rPr>
          <w:iCs/>
          <w:vertAlign w:val="subscript"/>
        </w:rPr>
        <w:t>,</w:t>
      </w:r>
      <w:r w:rsidRPr="001246F2">
        <w:rPr>
          <w:vertAlign w:val="subscript"/>
        </w:rPr>
        <w:t>máx</w:t>
      </w:r>
      <w:r w:rsidRPr="001246F2">
        <w:t xml:space="preserve"> – </w:t>
      </w:r>
      <w:r w:rsidRPr="001246F2">
        <w:rPr>
          <w:i/>
        </w:rPr>
        <w:t>M</w:t>
      </w:r>
    </w:p>
    <w:p w:rsidR="00EE215D" w:rsidRPr="001246F2" w:rsidRDefault="00EE215D" w:rsidP="00EE215D">
      <w:pPr>
        <w:pStyle w:val="Blanc"/>
        <w:rPr>
          <w:lang w:val="es-ES_tradnl"/>
        </w:rPr>
      </w:pPr>
    </w:p>
    <w:p w:rsidR="002F74C4" w:rsidRPr="001246F2" w:rsidRDefault="002F74C4" w:rsidP="009D2E04">
      <w:pPr>
        <w:keepNext/>
        <w:keepLines/>
      </w:pPr>
      <w:r w:rsidRPr="001246F2">
        <w:t xml:space="preserve">Para el GNSS en la banda </w:t>
      </w:r>
      <w:r w:rsidR="00EE215D" w:rsidRPr="001246F2">
        <w:t>1 559-1 610 MHz</w:t>
      </w:r>
      <w:r w:rsidRPr="001246F2">
        <w:t xml:space="preserve">, el margen de seguridad necesario, </w:t>
      </w:r>
      <w:r w:rsidRPr="001246F2">
        <w:rPr>
          <w:i/>
          <w:iCs/>
        </w:rPr>
        <w:t>M</w:t>
      </w:r>
      <w:r w:rsidR="00EE215D" w:rsidRPr="001246F2">
        <w:t> </w:t>
      </w:r>
      <w:r w:rsidRPr="001246F2">
        <w:t>(dB) es 6 dB.</w:t>
      </w:r>
    </w:p>
    <w:p w:rsidR="002F74C4" w:rsidRPr="001246F2" w:rsidRDefault="00732EF0" w:rsidP="009D2E04">
      <w:r w:rsidRPr="001246F2">
        <w:t xml:space="preserve">Al determinar el límite de emisión de </w:t>
      </w:r>
      <w:r w:rsidR="009D2E04" w:rsidRPr="001246F2">
        <w:t>−70 dB(W/MHz)</w:t>
      </w:r>
      <w:r w:rsidRPr="001246F2">
        <w:t xml:space="preserve"> adoptado en la Recomendación UIT</w:t>
      </w:r>
      <w:r w:rsidR="009D2E04" w:rsidRPr="001246F2">
        <w:noBreakHyphen/>
      </w:r>
      <w:r w:rsidRPr="001246F2">
        <w:t>R</w:t>
      </w:r>
      <w:r w:rsidR="009D2E04" w:rsidRPr="001246F2">
        <w:t> </w:t>
      </w:r>
      <w:r w:rsidR="00DC68B5">
        <w:t>M.</w:t>
      </w:r>
      <w:r w:rsidRPr="001246F2">
        <w:t xml:space="preserve">1343-1, se utilizó un margen de seguridad de 5,6 dB. Sin embargo, para las aplicaciones de tipo general se ha ajustado </w:t>
      </w:r>
      <w:r w:rsidR="009D2E04" w:rsidRPr="001246F2">
        <w:t xml:space="preserve">ligeramente </w:t>
      </w:r>
      <w:r w:rsidRPr="001246F2">
        <w:t xml:space="preserve">este margen a 6 dB, lo que le sitúa en la gama de márgenes de servicios de seguridad que han sido adoptados por el UIT-R para otras aplicaciones de seguridad, como se ha indicado en el </w:t>
      </w:r>
      <w:r w:rsidR="009D2E04" w:rsidRPr="001246F2">
        <w:t>§ </w:t>
      </w:r>
      <w:r w:rsidRPr="001246F2">
        <w:t>3.1.</w:t>
      </w:r>
    </w:p>
    <w:p w:rsidR="002F74C4" w:rsidRPr="001246F2" w:rsidRDefault="00732EF0" w:rsidP="00FB36A3">
      <w:r w:rsidRPr="001246F2">
        <w:t xml:space="preserve">Por ejemplo, para soportar un nivel umbral de interferencia combinada de banda amplia de </w:t>
      </w:r>
      <w:r w:rsidR="009D2E04" w:rsidRPr="001246F2">
        <w:t>−140,5 dB(W/MHz)</w:t>
      </w:r>
      <w:r w:rsidRPr="001246F2">
        <w:t xml:space="preserve"> en el modo de seguimiento de señal se ha diseñado y probado una aproximación de precisión de </w:t>
      </w:r>
      <w:r w:rsidR="00752C4D" w:rsidRPr="001246F2">
        <w:t>categoría</w:t>
      </w:r>
      <w:r w:rsidR="00FB36A3">
        <w:t> </w:t>
      </w:r>
      <w:r w:rsidRPr="001246F2">
        <w:t xml:space="preserve">I en los receptores de navegación aérea SBAS </w:t>
      </w:r>
      <w:r w:rsidR="009D2E04" w:rsidRPr="001246F2">
        <w:t>(</w:t>
      </w:r>
      <w:r w:rsidR="001246F2" w:rsidRPr="001246F2">
        <w:t>véase</w:t>
      </w:r>
      <w:r w:rsidRPr="001246F2">
        <w:t xml:space="preserve"> el </w:t>
      </w:r>
      <w:r w:rsidR="009D2E04" w:rsidRPr="001246F2">
        <w:t>Cuadro </w:t>
      </w:r>
      <w:r w:rsidRPr="001246F2">
        <w:t>2 del Anexo 2) que funcionan en la banda</w:t>
      </w:r>
      <w:r w:rsidR="003E1590">
        <w:t xml:space="preserve"> </w:t>
      </w:r>
      <w:r w:rsidR="009D2E04" w:rsidRPr="001246F2">
        <w:t xml:space="preserve">1 575,42 </w:t>
      </w:r>
      <w:r w:rsidR="009D2E04" w:rsidRPr="001246F2">
        <w:sym w:font="Symbol" w:char="00B1"/>
      </w:r>
      <w:r w:rsidR="009D2E04" w:rsidRPr="001246F2">
        <w:t xml:space="preserve"> 12 MHz</w:t>
      </w:r>
      <w:r w:rsidRPr="001246F2">
        <w:t xml:space="preserve">. </w:t>
      </w:r>
      <w:r w:rsidR="002F74C4" w:rsidRPr="001246F2">
        <w:t>Aplicando un margen de seguridad de 6 dB</w:t>
      </w:r>
      <w:r w:rsidR="009D2E04" w:rsidRPr="001246F2">
        <w:t xml:space="preserve"> al umbral combinado</w:t>
      </w:r>
      <w:r w:rsidR="002F74C4" w:rsidRPr="001246F2">
        <w:t xml:space="preserve">, como se indica en la anterior ecuación, se obtiene un </w:t>
      </w:r>
      <w:r w:rsidRPr="001246F2">
        <w:t>nivel</w:t>
      </w:r>
      <w:r w:rsidR="002F74C4" w:rsidRPr="001246F2">
        <w:t xml:space="preserve"> de seguridad de la interferencia recibida admisible de </w:t>
      </w:r>
      <w:r w:rsidR="009D2E04" w:rsidRPr="001246F2">
        <w:t>–</w:t>
      </w:r>
      <w:r w:rsidR="002F74C4" w:rsidRPr="001246F2">
        <w:t>146,5 dB(W/MHz).</w:t>
      </w:r>
    </w:p>
    <w:p w:rsidR="002F74C4" w:rsidRPr="001246F2" w:rsidRDefault="006C5973" w:rsidP="002F74C4">
      <w:r w:rsidRPr="001246F2">
        <w:t>Se precisa un margen de seguridad aeronáutica de 6 dB para proteger las aplicaciones de seguridad del GNSS. Se pueden necesitar márgenes adicionales dependiendo de:</w:t>
      </w:r>
    </w:p>
    <w:p w:rsidR="006C5973" w:rsidRPr="001246F2" w:rsidRDefault="006C5973" w:rsidP="006C5973">
      <w:pPr>
        <w:pStyle w:val="enumlev1"/>
      </w:pPr>
      <w:r w:rsidRPr="001246F2">
        <w:t>–</w:t>
      </w:r>
      <w:r w:rsidRPr="001246F2">
        <w:tab/>
        <w:t>las repercusiones de las distribuciones estadísticas sobre todos los parámetros utilizados en los análisis de interferencia, salvo que se supongan las condiciones del caso más desfavorable; y</w:t>
      </w:r>
    </w:p>
    <w:p w:rsidR="006C5973" w:rsidRPr="001246F2" w:rsidRDefault="006C5973" w:rsidP="006C5973">
      <w:pPr>
        <w:pStyle w:val="enumlev1"/>
      </w:pPr>
      <w:r w:rsidRPr="001246F2">
        <w:t>–</w:t>
      </w:r>
      <w:r w:rsidRPr="001246F2">
        <w:tab/>
        <w:t>las fuentes de la interferencia RF que no se han incluido específicamente en el análisis de interferencia pero que pueden constituir contribuciones potenciales a la interferencia del GNSS.</w:t>
      </w:r>
    </w:p>
    <w:p w:rsidR="002F74C4" w:rsidRPr="001246F2" w:rsidRDefault="006C5973" w:rsidP="006C5973">
      <w:pPr>
        <w:pStyle w:val="Heading2"/>
      </w:pPr>
      <w:r w:rsidRPr="001246F2">
        <w:t>3.3</w:t>
      </w:r>
      <w:r w:rsidRPr="001246F2">
        <w:tab/>
        <w:t>Cuantificación y cumplimiento de los riesgos de interferencia al servicio de radionavegación aeronáutica</w:t>
      </w:r>
    </w:p>
    <w:p w:rsidR="006C5973" w:rsidRPr="001246F2" w:rsidRDefault="006C5973" w:rsidP="006C5973">
      <w:pPr>
        <w:pStyle w:val="Heading3"/>
      </w:pPr>
      <w:bookmarkStart w:id="4" w:name="_Toc115520441"/>
      <w:r w:rsidRPr="001246F2">
        <w:t>3.3.1</w:t>
      </w:r>
      <w:r w:rsidRPr="001246F2">
        <w:tab/>
        <w:t>Cuantificación del riesgo de interferencia</w:t>
      </w:r>
    </w:p>
    <w:bookmarkEnd w:id="4"/>
    <w:p w:rsidR="006C5973" w:rsidRPr="001246F2" w:rsidRDefault="006C5973" w:rsidP="00781F58">
      <w:r w:rsidRPr="001246F2">
        <w:t>Los análisis de interferencia que se aplican en las redes de comunicaciones, y que están basados en la indisponibilidad del servicio, no son aplicables a los servicios de seguridad de la vida humana puesto que una interrupción de estos servicios es inaceptable cuando supera una tasa de 1 </w:t>
      </w:r>
      <w:r w:rsidRPr="001246F2">
        <w:rPr>
          <w:rFonts w:ascii="Symbol" w:hAnsi="Symbol"/>
        </w:rPr>
        <w:t></w:t>
      </w:r>
      <w:r w:rsidRPr="001246F2">
        <w:t> 10</w:t>
      </w:r>
      <w:r w:rsidRPr="001246F2">
        <w:rPr>
          <w:position w:val="6"/>
          <w:sz w:val="16"/>
        </w:rPr>
        <w:t>–6</w:t>
      </w:r>
      <w:r w:rsidRPr="001246F2">
        <w:t>/h (véase más adelante). Además, los análisis no toman en consideración los efectos sobre las emisiones no esenciales del envejecimiento o la disfuncionalidad del equipo, así como las variaciones de la calidad de funcionamiento de una unidad a otra. Existe también la tentación de descontar la repercusión de las fuentes de interferencia que no tienen una aparición periódica. Sin embargo, la comunidad aeronáutica intenta cuantificar los riesgos asociados con los sucesos que puedan causar interrupciones del servicio o pérdidas de información, incluso los muy improbables.</w:t>
      </w:r>
    </w:p>
    <w:p w:rsidR="006C5973" w:rsidRPr="001246F2" w:rsidRDefault="006C5973" w:rsidP="00317ED9">
      <w:pPr>
        <w:spacing w:before="60"/>
      </w:pPr>
      <w:r w:rsidRPr="001246F2">
        <w:t>El equipo aeronáutico debe diseñarse de modo que pueda tratar sucesos muy poco frecuentes, partiendo del supuesto de que tales sucesos de hecho se producirán. A la vista de los millones de horas de vuelo que hacen las aeronaves civiles cada año, es cierta la probabilidad de que en alguna parte del mundo se produzca durante el año un suceso muy infrecuente (1</w:t>
      </w:r>
      <w:r w:rsidR="00317ED9" w:rsidRPr="001246F2">
        <w:t> </w:t>
      </w:r>
      <w:r w:rsidRPr="001246F2">
        <w:rPr>
          <w:rFonts w:ascii="Symbol" w:hAnsi="Symbol"/>
        </w:rPr>
        <w:t></w:t>
      </w:r>
      <w:r w:rsidR="00317ED9" w:rsidRPr="001246F2">
        <w:t> </w:t>
      </w:r>
      <w:r w:rsidRPr="001246F2">
        <w:t>10</w:t>
      </w:r>
      <w:r w:rsidRPr="001246F2">
        <w:rPr>
          <w:position w:val="6"/>
          <w:sz w:val="16"/>
        </w:rPr>
        <w:t>–6</w:t>
      </w:r>
      <w:r w:rsidRPr="001246F2">
        <w:t>/h). Es importante reconocer que cuando se realizan los análisis de interferencia debe evaluarse el riesgo creado por la misma.</w:t>
      </w:r>
    </w:p>
    <w:p w:rsidR="006C5973" w:rsidRPr="001246F2" w:rsidRDefault="006C5973" w:rsidP="009E4B92">
      <w:r w:rsidRPr="001246F2">
        <w:t>La normas de la OACI para los receptores a bordo de aeronaves de los sistemas GBAS</w:t>
      </w:r>
      <w:r w:rsidR="00317ED9" w:rsidRPr="001246F2">
        <w:t xml:space="preserve"> (sistema de aumento basado en tierra)</w:t>
      </w:r>
      <w:r w:rsidRPr="001246F2">
        <w:t xml:space="preserve"> y SBAS </w:t>
      </w:r>
      <w:r w:rsidR="00317ED9" w:rsidRPr="001246F2">
        <w:t xml:space="preserve">(sistema de aumento basado en satélite) </w:t>
      </w:r>
      <w:r w:rsidRPr="001246F2">
        <w:t xml:space="preserve">GNNS estipulan que se </w:t>
      </w:r>
      <w:r w:rsidRPr="001246F2">
        <w:lastRenderedPageBreak/>
        <w:t>produzca un aviso de alerta en la navegación cuando se excede el nivel de susceptibilidad de interferencia RF del receptor. El análisis de riesgos del GNSS asigna un riesgo de 1</w:t>
      </w:r>
      <w:r w:rsidR="00317ED9" w:rsidRPr="001246F2">
        <w:t> </w:t>
      </w:r>
      <w:r w:rsidRPr="001246F2">
        <w:rPr>
          <w:rFonts w:ascii="Symbol" w:hAnsi="Symbol"/>
        </w:rPr>
        <w:t></w:t>
      </w:r>
      <w:r w:rsidR="00317ED9" w:rsidRPr="001246F2">
        <w:t> </w:t>
      </w:r>
      <w:r w:rsidRPr="001246F2">
        <w:t>10</w:t>
      </w:r>
      <w:r w:rsidRPr="001246F2">
        <w:rPr>
          <w:position w:val="6"/>
          <w:sz w:val="16"/>
        </w:rPr>
        <w:t>–5</w:t>
      </w:r>
      <w:r w:rsidRPr="001246F2">
        <w:rPr>
          <w:vertAlign w:val="superscript"/>
        </w:rPr>
        <w:t xml:space="preserve"> </w:t>
      </w:r>
      <w:r w:rsidRPr="001246F2">
        <w:t>por la pérdida de continuidad en la aproximación en el caso de interferencia no GNSS en aproximaciones de la categoría</w:t>
      </w:r>
      <w:r w:rsidR="009E4B92">
        <w:t> </w:t>
      </w:r>
      <w:r w:rsidRPr="001246F2">
        <w:t>I. El objetivo del requisito de continuidad es limitar los eventos de interferencia RF a una de cada 100</w:t>
      </w:r>
      <w:r w:rsidR="00317ED9" w:rsidRPr="001246F2">
        <w:t> </w:t>
      </w:r>
      <w:r w:rsidRPr="001246F2">
        <w:t>000 aproximaciones. Durante las aproximaciones de precisión, los 6</w:t>
      </w:r>
      <w:r w:rsidR="00317ED9" w:rsidRPr="001246F2">
        <w:t> </w:t>
      </w:r>
      <w:r w:rsidRPr="001246F2">
        <w:t xml:space="preserve">dB del margen de seguridad aeronáutica pueden ser consumidos por variaciones de la relación </w:t>
      </w:r>
      <w:r w:rsidR="00B11738" w:rsidRPr="001246F2">
        <w:rPr>
          <w:i/>
        </w:rPr>
        <w:t>C</w:t>
      </w:r>
      <w:r w:rsidR="00B11738" w:rsidRPr="001246F2">
        <w:t>/</w:t>
      </w:r>
      <w:r w:rsidR="00B11738" w:rsidRPr="001246F2">
        <w:rPr>
          <w:i/>
        </w:rPr>
        <w:t>N</w:t>
      </w:r>
      <w:r w:rsidR="00B11738" w:rsidRPr="001246F2">
        <w:rPr>
          <w:vertAlign w:val="subscript"/>
        </w:rPr>
        <w:t>0,</w:t>
      </w:r>
      <w:r w:rsidR="00B11738" w:rsidRPr="001246F2">
        <w:rPr>
          <w:i/>
          <w:vertAlign w:val="subscript"/>
        </w:rPr>
        <w:t>EFF</w:t>
      </w:r>
      <w:r w:rsidRPr="001246F2">
        <w:t xml:space="preserve"> de</w:t>
      </w:r>
      <w:r w:rsidR="00317ED9" w:rsidRPr="001246F2">
        <w:t>l GNSS, como se indica en el § 3.1</w:t>
      </w:r>
      <w:r w:rsidRPr="001246F2">
        <w:t xml:space="preserve">. Por consiguiente cualquier aumento en la interferencia no aeronáutica combinada por encima del límite de </w:t>
      </w:r>
      <w:r w:rsidR="009C6DEC">
        <w:t>–</w:t>
      </w:r>
      <w:r w:rsidRPr="001246F2">
        <w:t>146,5 dB(W/MHz) (dado en el ejemplo utilizado en el §</w:t>
      </w:r>
      <w:r w:rsidR="00317ED9" w:rsidRPr="001246F2">
        <w:t> 3.2</w:t>
      </w:r>
      <w:r w:rsidRPr="001246F2">
        <w:t>) ocasionaría un suceso de pérdida de continuidad en el receptor del GNSS.</w:t>
      </w:r>
      <w:r w:rsidR="00317ED9" w:rsidRPr="001246F2">
        <w:t xml:space="preserve"> </w:t>
      </w:r>
      <w:r w:rsidRPr="001246F2">
        <w:t xml:space="preserve">Un precedente de esta interpretación es la definición de margen dado por </w:t>
      </w:r>
      <w:r w:rsidR="007066B9">
        <w:t>e</w:t>
      </w:r>
      <w:r w:rsidRPr="001246F2">
        <w:t>l UIT</w:t>
      </w:r>
      <w:r w:rsidR="00317ED9" w:rsidRPr="001246F2">
        <w:t>-R</w:t>
      </w:r>
      <w:r w:rsidR="00B11738" w:rsidRPr="001246F2">
        <w:t xml:space="preserve"> para el ILS en el § 3.1</w:t>
      </w:r>
      <w:r w:rsidRPr="001246F2">
        <w:t xml:space="preserve">. Como allí se establece, la interferencia de RF se evalúa en condiciones de </w:t>
      </w:r>
      <w:r w:rsidR="00B11738" w:rsidRPr="001246F2">
        <w:rPr>
          <w:i/>
        </w:rPr>
        <w:t>C</w:t>
      </w:r>
      <w:r w:rsidR="00B11738" w:rsidRPr="001246F2">
        <w:t>/</w:t>
      </w:r>
      <w:r w:rsidR="00B11738" w:rsidRPr="001246F2">
        <w:rPr>
          <w:i/>
        </w:rPr>
        <w:t>N</w:t>
      </w:r>
      <w:r w:rsidR="00B11738" w:rsidRPr="001246F2">
        <w:rPr>
          <w:vertAlign w:val="subscript"/>
        </w:rPr>
        <w:t>0,</w:t>
      </w:r>
      <w:r w:rsidR="00B11738" w:rsidRPr="001246F2">
        <w:rPr>
          <w:i/>
          <w:vertAlign w:val="subscript"/>
        </w:rPr>
        <w:t>EFF</w:t>
      </w:r>
      <w:r w:rsidRPr="001246F2">
        <w:t xml:space="preserve"> mínima en puntos espaciales seleccionados dentro del volumen de cobertura del ILS. En otros términos, no se asigna ningún crédito a la señal interferente debido a la existencia del margen de seguridad.</w:t>
      </w:r>
    </w:p>
    <w:p w:rsidR="006C5973" w:rsidRPr="001246F2" w:rsidRDefault="00B11738" w:rsidP="00B11738">
      <w:pPr>
        <w:pStyle w:val="Heading3"/>
      </w:pPr>
      <w:bookmarkStart w:id="5" w:name="_Toc115520442"/>
      <w:r w:rsidRPr="001246F2">
        <w:t>3.3.2</w:t>
      </w:r>
      <w:r w:rsidR="006C5973" w:rsidRPr="001246F2">
        <w:tab/>
        <w:t>Consideraciones de conformidad</w:t>
      </w:r>
      <w:bookmarkEnd w:id="5"/>
    </w:p>
    <w:p w:rsidR="006C5973" w:rsidRPr="001246F2" w:rsidRDefault="006C5973" w:rsidP="006C5973">
      <w:r w:rsidRPr="001246F2">
        <w:t>Cualquier propuesta de compartición de una banda de los servicios SRNA/SRNS debe incluir una exposición de los tipos de fallo del servicio propuesto. La propuesta debe identificar todo fallo que pueda representar una amenaza para el servicio de seguridad original y describir la forma en que tales tipos de fallo deberían ser detectados. Deberá también examinar cómo serán avisados los usuarios del servicio de seguridad y analizar el tiempo que debe transcurrir hasta que se produzca el aviso de alarma. La propuesta describirá también el modo en que serán archivadas para posteriores análisis las características más destacadas de cualquier fallo pertinente. Estos fallos incluirán las excursiones dentro y fuera de banda de la potencia radiada. Debe incluir también las desviaciones del espectro radiado -por ejemplo, banda estrecha versus banda ancha.</w:t>
      </w:r>
    </w:p>
    <w:p w:rsidR="00B11738" w:rsidRPr="001246F2" w:rsidRDefault="00B11738" w:rsidP="00B11738">
      <w:r w:rsidRPr="001246F2">
        <w:t xml:space="preserve">Dicha </w:t>
      </w:r>
      <w:r w:rsidR="006C5973" w:rsidRPr="001246F2">
        <w:t xml:space="preserve">propuesta </w:t>
      </w:r>
      <w:r w:rsidRPr="001246F2">
        <w:t>debe</w:t>
      </w:r>
      <w:r w:rsidR="006C5973" w:rsidRPr="001246F2">
        <w:t xml:space="preserve"> detallar también el modo en que se mantendría el margen de seguridad propuesto en tod</w:t>
      </w:r>
      <w:r w:rsidRPr="001246F2">
        <w:t>as las hipótesis</w:t>
      </w:r>
      <w:r w:rsidR="006C5973" w:rsidRPr="001246F2">
        <w:t xml:space="preserve"> operacionales pertinentes. Estos análisis incluirán los cálculos de la pérdida de trayecto del servicio propuesto a todos los usuarios del servicio de seguridad. Los análisis han de considerar todos los casos probables de proximidad del servicio propuesto a usuarios de aeronaves, barcos o sistemas terrestres de emergencia del servicio de seguridad.</w:t>
      </w:r>
    </w:p>
    <w:p w:rsidR="006C5973" w:rsidRPr="001246F2" w:rsidRDefault="006C5973" w:rsidP="00B11738">
      <w:r w:rsidRPr="001246F2">
        <w:t xml:space="preserve">Habría de tener también en cuenta en un grado razonable la posible multiplicidad de fuentes de interferencia. La propuesta debe asimismo examinar la probabilidad de que el servicio propuesto se encuentre próximo a las infraestructuras radioeléctricas fijas utilizadas por el servicio de seguridad. </w:t>
      </w:r>
    </w:p>
    <w:p w:rsidR="006C5973" w:rsidRPr="001246F2" w:rsidRDefault="006C5973" w:rsidP="006C5973">
      <w:r w:rsidRPr="001246F2">
        <w:t xml:space="preserve">Por último, la propuesta ha de considerar la repercusión sobre las ampliaciones recientes o planificadas del servicio de seguridad. </w:t>
      </w:r>
    </w:p>
    <w:p w:rsidR="006C5973" w:rsidRPr="001246F2" w:rsidRDefault="00B11738" w:rsidP="00B11738">
      <w:pPr>
        <w:pStyle w:val="Heading2"/>
      </w:pPr>
      <w:bookmarkStart w:id="6" w:name="_Toc115520443"/>
      <w:r w:rsidRPr="001246F2">
        <w:t>3.4</w:t>
      </w:r>
      <w:r w:rsidR="006C5973" w:rsidRPr="001246F2">
        <w:tab/>
        <w:t>Conclusiones</w:t>
      </w:r>
      <w:bookmarkEnd w:id="6"/>
    </w:p>
    <w:p w:rsidR="006C5973" w:rsidRPr="001246F2" w:rsidRDefault="00965E93" w:rsidP="00167CC0">
      <w:r w:rsidRPr="001246F2">
        <w:rPr>
          <w:b/>
          <w:bCs/>
        </w:rPr>
        <w:t>3.4</w:t>
      </w:r>
      <w:r w:rsidR="006C5973" w:rsidRPr="001246F2">
        <w:rPr>
          <w:b/>
          <w:bCs/>
        </w:rPr>
        <w:t>.1</w:t>
      </w:r>
      <w:r w:rsidR="006C5973" w:rsidRPr="001246F2">
        <w:tab/>
        <w:t xml:space="preserve">El margen de seguridad de 6 dB del GNSS da como resultado un margen de la relación </w:t>
      </w:r>
      <w:r w:rsidR="00167CC0" w:rsidRPr="001246F2">
        <w:rPr>
          <w:i/>
        </w:rPr>
        <w:t>C</w:t>
      </w:r>
      <w:r w:rsidR="00167CC0" w:rsidRPr="001246F2">
        <w:t>/</w:t>
      </w:r>
      <w:r w:rsidR="00167CC0" w:rsidRPr="001246F2">
        <w:rPr>
          <w:i/>
        </w:rPr>
        <w:t>N</w:t>
      </w:r>
      <w:r w:rsidR="00167CC0" w:rsidRPr="001246F2">
        <w:rPr>
          <w:vertAlign w:val="subscript"/>
        </w:rPr>
        <w:t>0,</w:t>
      </w:r>
      <w:r w:rsidR="00167CC0" w:rsidRPr="001246F2">
        <w:rPr>
          <w:i/>
          <w:vertAlign w:val="subscript"/>
        </w:rPr>
        <w:t>EFF</w:t>
      </w:r>
      <w:r w:rsidR="006C5973" w:rsidRPr="001246F2">
        <w:t xml:space="preserve"> </w:t>
      </w:r>
      <w:r w:rsidR="00167CC0" w:rsidRPr="001246F2">
        <w:t>notablemente inferior a</w:t>
      </w:r>
      <w:r w:rsidR="006C5973" w:rsidRPr="001246F2">
        <w:t xml:space="preserve"> </w:t>
      </w:r>
      <w:r w:rsidR="00167CC0" w:rsidRPr="001246F2">
        <w:t>6 </w:t>
      </w:r>
      <w:r w:rsidR="006C5973" w:rsidRPr="001246F2">
        <w:t xml:space="preserve">dB. Este valor de la </w:t>
      </w:r>
      <w:r w:rsidR="00167CC0" w:rsidRPr="001246F2">
        <w:rPr>
          <w:i/>
        </w:rPr>
        <w:t>C</w:t>
      </w:r>
      <w:r w:rsidR="00167CC0" w:rsidRPr="001246F2">
        <w:t>/</w:t>
      </w:r>
      <w:r w:rsidR="00167CC0" w:rsidRPr="001246F2">
        <w:rPr>
          <w:i/>
        </w:rPr>
        <w:t>N</w:t>
      </w:r>
      <w:r w:rsidR="00167CC0" w:rsidRPr="001246F2">
        <w:rPr>
          <w:vertAlign w:val="subscript"/>
        </w:rPr>
        <w:t>0,</w:t>
      </w:r>
      <w:r w:rsidR="00167CC0" w:rsidRPr="001246F2">
        <w:rPr>
          <w:i/>
          <w:vertAlign w:val="subscript"/>
        </w:rPr>
        <w:t>EFF</w:t>
      </w:r>
      <w:r w:rsidR="006C5973" w:rsidRPr="001246F2">
        <w:t xml:space="preserve"> es menor que los márgenes de seguridad de otros sistemas de navegación definidos por la OACI, pero se encuentra dentro de la gama de márgenes de seguridad aceptada por el UIT-R para los servicios de seguridad. </w:t>
      </w:r>
    </w:p>
    <w:p w:rsidR="006C5973" w:rsidRPr="001246F2" w:rsidRDefault="00965E93" w:rsidP="009E4B92">
      <w:r w:rsidRPr="001246F2">
        <w:rPr>
          <w:b/>
          <w:bCs/>
        </w:rPr>
        <w:t>3.4.2</w:t>
      </w:r>
      <w:r w:rsidR="006C5973" w:rsidRPr="001246F2">
        <w:tab/>
        <w:t>La evaluación de la seguridad de los servicios de radionavegación requiere que la probabilidad de que una fuente de interferencia RF no aeronáutica rebase su límite de protección sea menor de 1 en 100</w:t>
      </w:r>
      <w:r w:rsidR="00692BE8" w:rsidRPr="001246F2">
        <w:rPr>
          <w:rFonts w:ascii="Tms Rmn" w:hAnsi="Tms Rmn"/>
          <w:sz w:val="12"/>
        </w:rPr>
        <w:t> </w:t>
      </w:r>
      <w:r w:rsidR="006C5973" w:rsidRPr="001246F2">
        <w:t>000 aproximaciones de la categoría</w:t>
      </w:r>
      <w:r w:rsidR="009E4B92">
        <w:t> </w:t>
      </w:r>
      <w:r w:rsidR="006C5973" w:rsidRPr="001246F2">
        <w:t>I. Este riesgo de pérdida de continuidad no se incluye en el margen de seguridad del GNSS.</w:t>
      </w:r>
    </w:p>
    <w:p w:rsidR="006C5973" w:rsidRPr="001246F2" w:rsidRDefault="00965E93" w:rsidP="00965E93">
      <w:r w:rsidRPr="001246F2">
        <w:rPr>
          <w:b/>
          <w:bCs/>
        </w:rPr>
        <w:t>3.4.3</w:t>
      </w:r>
      <w:r w:rsidR="006C5973" w:rsidRPr="001246F2">
        <w:tab/>
        <w:t>El nivel admisible de interferencia no aeronáutica es un número fijo, y representa la interferencia combinada procedente de todas las fuentes conocidas. Si se ponen en funcionamiento nuevos servicios, sus emisiones deben restringirse para que no excedan el nivel de interferencia combinada admisible.</w:t>
      </w:r>
    </w:p>
    <w:p w:rsidR="002F74C4" w:rsidRPr="001246F2" w:rsidRDefault="002F74C4" w:rsidP="00965E93">
      <w:pPr>
        <w:pStyle w:val="AnnexNoTitle"/>
      </w:pPr>
      <w:r w:rsidRPr="001246F2">
        <w:lastRenderedPageBreak/>
        <w:t>Anexo 2</w:t>
      </w:r>
      <w:r w:rsidR="00965E93" w:rsidRPr="001246F2">
        <w:br/>
      </w:r>
      <w:r w:rsidR="00965E93" w:rsidRPr="001246F2">
        <w:br/>
        <w:t>Características técnicas y criterios de protección paras las estaciones</w:t>
      </w:r>
      <w:r w:rsidR="00965E93" w:rsidRPr="001246F2">
        <w:br/>
        <w:t>terrenas receptoras del SRNS (espacio-Tierra) que funcionan</w:t>
      </w:r>
      <w:r w:rsidR="00965E93" w:rsidRPr="001246F2">
        <w:br/>
        <w:t>en la banda 1</w:t>
      </w:r>
      <w:r w:rsidR="00DC68B5">
        <w:t> </w:t>
      </w:r>
      <w:r w:rsidR="00965E93" w:rsidRPr="001246F2">
        <w:t>559-1</w:t>
      </w:r>
      <w:r w:rsidR="00DC68B5">
        <w:t> </w:t>
      </w:r>
      <w:r w:rsidR="00965E93" w:rsidRPr="001246F2">
        <w:t>610 MHz</w:t>
      </w:r>
    </w:p>
    <w:p w:rsidR="002F74C4" w:rsidRPr="001246F2" w:rsidRDefault="0097298E" w:rsidP="0097298E">
      <w:pPr>
        <w:pStyle w:val="Heading1"/>
      </w:pPr>
      <w:r w:rsidRPr="001246F2">
        <w:t>1</w:t>
      </w:r>
      <w:r w:rsidRPr="001246F2">
        <w:tab/>
      </w:r>
      <w:r w:rsidR="00015E0B" w:rsidRPr="001246F2">
        <w:t>Introducción</w:t>
      </w:r>
    </w:p>
    <w:p w:rsidR="002F74C4" w:rsidRPr="001246F2" w:rsidRDefault="002F74C4" w:rsidP="005D6BB8">
      <w:r w:rsidRPr="001246F2">
        <w:t xml:space="preserve">Este Anexo </w:t>
      </w:r>
      <w:r w:rsidR="00015E0B" w:rsidRPr="001246F2">
        <w:t>tiene</w:t>
      </w:r>
      <w:r w:rsidRPr="001246F2">
        <w:t xml:space="preserve"> por objeto ofrecer una descripción de algunas aplicaciones del receptor del SRNS, una breve descripción de las señales del SRNS en la banda </w:t>
      </w:r>
      <w:r w:rsidR="002C4BA5" w:rsidRPr="001246F2">
        <w:t>1</w:t>
      </w:r>
      <w:r w:rsidR="00DC68B5">
        <w:t> </w:t>
      </w:r>
      <w:r w:rsidR="002C4BA5" w:rsidRPr="001246F2">
        <w:t>559-1</w:t>
      </w:r>
      <w:r w:rsidR="00DC68B5">
        <w:t> </w:t>
      </w:r>
      <w:r w:rsidR="002C4BA5" w:rsidRPr="001246F2">
        <w:t>610</w:t>
      </w:r>
      <w:r w:rsidR="00DC68B5">
        <w:t> </w:t>
      </w:r>
      <w:r w:rsidR="002C4BA5" w:rsidRPr="001246F2">
        <w:t xml:space="preserve">MHz </w:t>
      </w:r>
      <w:r w:rsidRPr="001246F2">
        <w:t xml:space="preserve">y los niveles de </w:t>
      </w:r>
      <w:r w:rsidR="00015E0B" w:rsidRPr="001246F2">
        <w:t>protección</w:t>
      </w:r>
      <w:r w:rsidRPr="001246F2">
        <w:t xml:space="preserve"> del receptor del SRN</w:t>
      </w:r>
      <w:r w:rsidR="00DC68B5">
        <w:t xml:space="preserve">S. </w:t>
      </w:r>
      <w:r w:rsidR="005D6BB8">
        <w:t>L</w:t>
      </w:r>
      <w:r w:rsidR="00DC68B5">
        <w:t>a Recomendación UIT-R M.</w:t>
      </w:r>
      <w:r w:rsidRPr="001246F2">
        <w:t xml:space="preserve">1787 aparece </w:t>
      </w:r>
      <w:r w:rsidR="00015E0B" w:rsidRPr="001246F2">
        <w:t>información</w:t>
      </w:r>
      <w:r w:rsidR="00B26D11" w:rsidRPr="001246F2">
        <w:t xml:space="preserve"> más </w:t>
      </w:r>
      <w:r w:rsidRPr="001246F2">
        <w:t xml:space="preserve">detallada sobre las señales del SRNS utilizadas por estos receptores. El </w:t>
      </w:r>
      <w:r w:rsidR="00116BCC" w:rsidRPr="001246F2">
        <w:t>§ </w:t>
      </w:r>
      <w:r w:rsidRPr="001246F2">
        <w:t xml:space="preserve">2 presenta descripciones de las aplicaciones del SRNS. Los </w:t>
      </w:r>
      <w:r w:rsidR="00116BCC" w:rsidRPr="001246F2">
        <w:t>§ </w:t>
      </w:r>
      <w:r w:rsidRPr="001246F2">
        <w:t xml:space="preserve">3 y 4 describen la utilización de los </w:t>
      </w:r>
      <w:r w:rsidR="00015E0B" w:rsidRPr="001246F2">
        <w:t>máximos</w:t>
      </w:r>
      <w:r w:rsidRPr="001246F2">
        <w:t xml:space="preserve"> umbrales de potencia de interferencia combinada recibida para la </w:t>
      </w:r>
      <w:r w:rsidR="00015E0B" w:rsidRPr="001246F2">
        <w:t>protección</w:t>
      </w:r>
      <w:r w:rsidRPr="001246F2">
        <w:t xml:space="preserve"> del receptor del SRNS y </w:t>
      </w:r>
      <w:r w:rsidR="00116BCC" w:rsidRPr="001246F2">
        <w:t>aparece</w:t>
      </w:r>
      <w:r w:rsidRPr="001246F2">
        <w:t xml:space="preserve"> una lista de las </w:t>
      </w:r>
      <w:r w:rsidR="00015E0B" w:rsidRPr="001246F2">
        <w:t>características</w:t>
      </w:r>
      <w:r w:rsidRPr="001246F2">
        <w:t xml:space="preserve"> </w:t>
      </w:r>
      <w:r w:rsidR="00015E0B" w:rsidRPr="001246F2">
        <w:t>técnicas</w:t>
      </w:r>
      <w:r w:rsidRPr="001246F2">
        <w:t xml:space="preserve"> y los criterios de </w:t>
      </w:r>
      <w:r w:rsidR="00015E0B" w:rsidRPr="001246F2">
        <w:t>protección</w:t>
      </w:r>
      <w:r w:rsidRPr="001246F2">
        <w:t xml:space="preserve">. Los niveles de </w:t>
      </w:r>
      <w:r w:rsidR="00015E0B" w:rsidRPr="001246F2">
        <w:t>protección</w:t>
      </w:r>
      <w:r w:rsidRPr="001246F2">
        <w:t xml:space="preserve"> indicados tienen por objeto, en general, abordar las fuentes de interferencia continua no procedente del SRNS. Las señales </w:t>
      </w:r>
      <w:r w:rsidR="00015E0B" w:rsidRPr="001246F2">
        <w:t>impulsivas</w:t>
      </w:r>
      <w:r w:rsidRPr="001246F2">
        <w:t xml:space="preserve"> no se tratan en este Anexo y pueden </w:t>
      </w:r>
      <w:r w:rsidR="00015E0B" w:rsidRPr="001246F2">
        <w:t>considerarse</w:t>
      </w:r>
      <w:r w:rsidRPr="001246F2">
        <w:t xml:space="preserve"> caso por caso tras </w:t>
      </w:r>
      <w:r w:rsidR="002F5DA7">
        <w:t xml:space="preserve">realizar </w:t>
      </w:r>
      <w:r w:rsidRPr="001246F2">
        <w:t xml:space="preserve">nuevos estudios. Las Recomendaciones UIT-R M.1905 y </w:t>
      </w:r>
      <w:r w:rsidR="00DC68B5" w:rsidRPr="001246F2">
        <w:t>UIT-R M.</w:t>
      </w:r>
      <w:r w:rsidR="002F5DA7">
        <w:t>1902 discuten brev</w:t>
      </w:r>
      <w:r w:rsidRPr="001246F2">
        <w:t xml:space="preserve">emente las señales de interferencia </w:t>
      </w:r>
      <w:r w:rsidR="00116BCC" w:rsidRPr="001246F2">
        <w:t xml:space="preserve">impulsiva </w:t>
      </w:r>
      <w:r w:rsidRPr="001246F2">
        <w:t>en otras bandas del SRNS.</w:t>
      </w:r>
    </w:p>
    <w:p w:rsidR="002F74C4" w:rsidRPr="001246F2" w:rsidRDefault="002F74C4" w:rsidP="00116BCC">
      <w:r w:rsidRPr="001246F2">
        <w:t xml:space="preserve">En el </w:t>
      </w:r>
      <w:r w:rsidR="00116BCC" w:rsidRPr="001246F2">
        <w:t xml:space="preserve">Cuadro </w:t>
      </w:r>
      <w:r w:rsidRPr="001246F2">
        <w:t xml:space="preserve">2 </w:t>
      </w:r>
      <w:r w:rsidR="00015E0B" w:rsidRPr="001246F2">
        <w:t>aparecen</w:t>
      </w:r>
      <w:r w:rsidRPr="001246F2">
        <w:t xml:space="preserve"> los valores </w:t>
      </w:r>
      <w:r w:rsidR="00015E0B" w:rsidRPr="001246F2">
        <w:t>umbral</w:t>
      </w:r>
      <w:r w:rsidRPr="001246F2">
        <w:t xml:space="preserve"> </w:t>
      </w:r>
      <w:r w:rsidR="00116BCC" w:rsidRPr="001246F2">
        <w:t>de</w:t>
      </w:r>
      <w:r w:rsidRPr="001246F2">
        <w:t xml:space="preserve"> la </w:t>
      </w:r>
      <w:r w:rsidR="00015E0B" w:rsidRPr="001246F2">
        <w:t>máxima</w:t>
      </w:r>
      <w:r w:rsidRPr="001246F2">
        <w:t xml:space="preserve"> potencia de interferencia </w:t>
      </w:r>
      <w:r w:rsidR="00015E0B" w:rsidRPr="001246F2">
        <w:t>combinad</w:t>
      </w:r>
      <w:r w:rsidR="00116BCC" w:rsidRPr="001246F2">
        <w:t>a</w:t>
      </w:r>
      <w:r w:rsidRPr="001246F2">
        <w:t xml:space="preserve"> recibida de fuentes </w:t>
      </w:r>
      <w:r w:rsidR="00015E0B" w:rsidRPr="001246F2">
        <w:t>radioeléctricas</w:t>
      </w:r>
      <w:r w:rsidRPr="001246F2">
        <w:t xml:space="preserve"> distintas al SRNS. Para la interferencia de banda estrecha se utiliza un </w:t>
      </w:r>
      <w:r w:rsidR="00015E0B" w:rsidRPr="001246F2">
        <w:t>valor</w:t>
      </w:r>
      <w:r w:rsidRPr="001246F2">
        <w:t xml:space="preserve"> de potencia recibida junto con un </w:t>
      </w:r>
      <w:r w:rsidR="00EE215D" w:rsidRPr="001246F2">
        <w:t>límite</w:t>
      </w:r>
      <w:r w:rsidRPr="001246F2">
        <w:t xml:space="preserve"> superior en la anchura de banda de la interferencia. Para al interferencia de banda amplia, se emplea una densidad espectral de potencia </w:t>
      </w:r>
      <w:r w:rsidR="00015E0B" w:rsidRPr="001246F2">
        <w:t>recibida</w:t>
      </w:r>
      <w:r w:rsidRPr="001246F2">
        <w:t xml:space="preserve"> junto con un </w:t>
      </w:r>
      <w:r w:rsidR="00EE215D" w:rsidRPr="001246F2">
        <w:t>límite</w:t>
      </w:r>
      <w:r w:rsidRPr="001246F2">
        <w:t xml:space="preserve"> inferior de la anchura de banda de la interferencia. Los umbrales s</w:t>
      </w:r>
      <w:r w:rsidR="00116BCC" w:rsidRPr="001246F2">
        <w:t>e</w:t>
      </w:r>
      <w:r w:rsidRPr="001246F2">
        <w:t xml:space="preserve"> refieren a la interferencia combinada a la salida de la antena receptora.</w:t>
      </w:r>
    </w:p>
    <w:p w:rsidR="002F74C4" w:rsidRPr="001246F2" w:rsidRDefault="00116BCC" w:rsidP="00116BCC">
      <w:pPr>
        <w:pStyle w:val="Heading1"/>
      </w:pPr>
      <w:r w:rsidRPr="001246F2">
        <w:t>2</w:t>
      </w:r>
      <w:r w:rsidRPr="001246F2">
        <w:tab/>
      </w:r>
      <w:r w:rsidR="002F74C4" w:rsidRPr="001246F2">
        <w:t>Aplicaciones del SRNS</w:t>
      </w:r>
    </w:p>
    <w:p w:rsidR="002F74C4" w:rsidRPr="001246F2" w:rsidRDefault="002F74C4" w:rsidP="00752C4D">
      <w:r w:rsidRPr="001246F2">
        <w:t xml:space="preserve">En el presente Anexo se describen varios tipos de receptor del SRNS para aplicaciones particulares. Existen unos pocos tipos de </w:t>
      </w:r>
      <w:r w:rsidR="00015E0B" w:rsidRPr="001246F2">
        <w:t>receptor</w:t>
      </w:r>
      <w:r w:rsidRPr="001246F2">
        <w:t xml:space="preserve"> </w:t>
      </w:r>
      <w:r w:rsidR="00015E0B" w:rsidRPr="001246F2">
        <w:t>aeronáutico</w:t>
      </w:r>
      <w:r w:rsidRPr="001246F2">
        <w:t xml:space="preserve"> para </w:t>
      </w:r>
      <w:r w:rsidR="00376874" w:rsidRPr="001246F2">
        <w:t>l</w:t>
      </w:r>
      <w:r w:rsidRPr="001246F2">
        <w:t xml:space="preserve">os que los </w:t>
      </w:r>
      <w:r w:rsidR="00015E0B" w:rsidRPr="001246F2">
        <w:t>requisitos</w:t>
      </w:r>
      <w:r w:rsidRPr="001246F2">
        <w:t xml:space="preserve"> </w:t>
      </w:r>
      <w:r w:rsidR="00015E0B" w:rsidRPr="001246F2">
        <w:t>están</w:t>
      </w:r>
      <w:r w:rsidRPr="001246F2">
        <w:t xml:space="preserve"> </w:t>
      </w:r>
      <w:r w:rsidR="00376874" w:rsidRPr="001246F2">
        <w:t>bastante</w:t>
      </w:r>
      <w:r w:rsidRPr="001246F2">
        <w:t xml:space="preserve"> bien desarrollados. Actualmente se sabe que ciertas aplicaciones no </w:t>
      </w:r>
      <w:r w:rsidR="00015E0B" w:rsidRPr="001246F2">
        <w:t>aeronáuticas</w:t>
      </w:r>
      <w:r w:rsidRPr="001246F2">
        <w:t xml:space="preserve"> son relativamente m</w:t>
      </w:r>
      <w:r w:rsidR="00376874" w:rsidRPr="001246F2">
        <w:t>á</w:t>
      </w:r>
      <w:r w:rsidRPr="001246F2">
        <w:t xml:space="preserve">s susceptibles a la interferencia. </w:t>
      </w:r>
      <w:r w:rsidR="00015E0B" w:rsidRPr="001246F2">
        <w:t>Ello se debe fundamentalmente a unas p</w:t>
      </w:r>
      <w:r w:rsidR="00376874" w:rsidRPr="001246F2">
        <w:t>é</w:t>
      </w:r>
      <w:r w:rsidR="00015E0B" w:rsidRPr="001246F2">
        <w:t>rdidas de trayecto excesivas (es decir, una señal recibida débil) en algunos casos o a unas p</w:t>
      </w:r>
      <w:r w:rsidR="00376874" w:rsidRPr="001246F2">
        <w:t>é</w:t>
      </w:r>
      <w:r w:rsidR="00015E0B" w:rsidRPr="001246F2">
        <w:t xml:space="preserve">rdidas de procesamiento de la señal adicionales (por ejemplo, en procesamientos </w:t>
      </w:r>
      <w:r w:rsidR="00752C4D" w:rsidRPr="001246F2">
        <w:t>con codificación parcial</w:t>
      </w:r>
      <w:r w:rsidR="00015E0B" w:rsidRPr="001246F2">
        <w:t xml:space="preserve">) en otros casos. </w:t>
      </w:r>
      <w:r w:rsidRPr="001246F2">
        <w:t>Como el SRNS contin</w:t>
      </w:r>
      <w:r w:rsidR="00752C4D" w:rsidRPr="001246F2">
        <w:t>ú</w:t>
      </w:r>
      <w:r w:rsidRPr="001246F2">
        <w:t xml:space="preserve">a evolucionando, pueden que empiecen a utilizarse aplicaciones del SRNS que </w:t>
      </w:r>
      <w:r w:rsidR="00752C4D" w:rsidRPr="001246F2">
        <w:t>utilicen</w:t>
      </w:r>
      <w:r w:rsidRPr="001246F2">
        <w:t xml:space="preserve"> receptores m</w:t>
      </w:r>
      <w:r w:rsidR="00752C4D" w:rsidRPr="001246F2">
        <w:t>á</w:t>
      </w:r>
      <w:r w:rsidRPr="001246F2">
        <w:t>s susceptibl</w:t>
      </w:r>
      <w:r w:rsidR="00752C4D" w:rsidRPr="001246F2">
        <w:t>es</w:t>
      </w:r>
      <w:r w:rsidRPr="001246F2">
        <w:t xml:space="preserve"> a la </w:t>
      </w:r>
      <w:r w:rsidR="00752C4D" w:rsidRPr="001246F2">
        <w:t>interferencia de RF</w:t>
      </w:r>
      <w:r w:rsidRPr="001246F2">
        <w:t>, lo que exige que esta Recomendación</w:t>
      </w:r>
      <w:r w:rsidR="00752C4D" w:rsidRPr="001246F2">
        <w:t xml:space="preserve"> sea periódicamente actualizada</w:t>
      </w:r>
      <w:r w:rsidRPr="001246F2">
        <w:t xml:space="preserve"> para tener en </w:t>
      </w:r>
      <w:r w:rsidR="00015E0B" w:rsidRPr="001246F2">
        <w:t>cuenta</w:t>
      </w:r>
      <w:r w:rsidRPr="001246F2">
        <w:t xml:space="preserve"> esta circunstancia.</w:t>
      </w:r>
    </w:p>
    <w:p w:rsidR="002F74C4" w:rsidRPr="001246F2" w:rsidRDefault="00752C4D" w:rsidP="00752C4D">
      <w:pPr>
        <w:pStyle w:val="Heading2"/>
      </w:pPr>
      <w:r w:rsidRPr="001246F2">
        <w:t>2.1</w:t>
      </w:r>
      <w:r w:rsidRPr="001246F2">
        <w:tab/>
      </w:r>
      <w:r w:rsidR="002F74C4" w:rsidRPr="001246F2">
        <w:t xml:space="preserve">Receptores </w:t>
      </w:r>
      <w:r w:rsidR="00015E0B" w:rsidRPr="001246F2">
        <w:t>aeronáuticos</w:t>
      </w:r>
      <w:r w:rsidR="002F74C4" w:rsidRPr="001246F2">
        <w:t xml:space="preserve"> del SRNS</w:t>
      </w:r>
    </w:p>
    <w:p w:rsidR="002F74C4" w:rsidRPr="001246F2" w:rsidRDefault="00752C4D" w:rsidP="00752C4D">
      <w:pPr>
        <w:pStyle w:val="Heading3"/>
      </w:pPr>
      <w:r w:rsidRPr="001246F2">
        <w:t>2.1.1</w:t>
      </w:r>
      <w:r w:rsidRPr="001246F2">
        <w:tab/>
      </w:r>
      <w:r w:rsidR="002F74C4" w:rsidRPr="001246F2">
        <w:t xml:space="preserve">Receptores SBAS con aproximación de </w:t>
      </w:r>
      <w:r w:rsidR="00015E0B" w:rsidRPr="001246F2">
        <w:t>precisión</w:t>
      </w:r>
      <w:r w:rsidR="002F74C4" w:rsidRPr="001246F2">
        <w:t xml:space="preserve"> de </w:t>
      </w:r>
      <w:r w:rsidRPr="001246F2">
        <w:t xml:space="preserve">categoría </w:t>
      </w:r>
      <w:r w:rsidR="002F74C4" w:rsidRPr="001246F2">
        <w:t>I</w:t>
      </w:r>
    </w:p>
    <w:p w:rsidR="002F74C4" w:rsidRPr="001246F2" w:rsidRDefault="002F74C4" w:rsidP="00622BF0">
      <w:r w:rsidRPr="001246F2">
        <w:t xml:space="preserve">Un SBAS es un medio para proporcionar </w:t>
      </w:r>
      <w:r w:rsidR="00622BF0" w:rsidRPr="001246F2">
        <w:t xml:space="preserve">datos de integridad y </w:t>
      </w:r>
      <w:r w:rsidR="00015E0B" w:rsidRPr="001246F2">
        <w:t>corrección</w:t>
      </w:r>
      <w:r w:rsidRPr="001246F2">
        <w:t xml:space="preserve"> de errores en la</w:t>
      </w:r>
      <w:r w:rsidR="00622BF0" w:rsidRPr="001246F2">
        <w:t>s</w:t>
      </w:r>
      <w:r w:rsidRPr="001246F2">
        <w:t xml:space="preserve"> medici</w:t>
      </w:r>
      <w:r w:rsidR="00622BF0" w:rsidRPr="001246F2">
        <w:t>ones</w:t>
      </w:r>
      <w:r w:rsidRPr="001246F2">
        <w:t xml:space="preserve"> regional</w:t>
      </w:r>
      <w:r w:rsidR="00622BF0" w:rsidRPr="001246F2">
        <w:t>es</w:t>
      </w:r>
      <w:r w:rsidRPr="001246F2">
        <w:t xml:space="preserve"> del SRNS a </w:t>
      </w:r>
      <w:r w:rsidR="00015E0B" w:rsidRPr="001246F2">
        <w:t>través</w:t>
      </w:r>
      <w:r w:rsidRPr="001246F2">
        <w:t xml:space="preserve"> de una señal de </w:t>
      </w:r>
      <w:r w:rsidR="00015E0B" w:rsidRPr="001246F2">
        <w:t>satélite</w:t>
      </w:r>
      <w:r w:rsidRPr="001246F2">
        <w:t xml:space="preserve"> OSG.</w:t>
      </w:r>
    </w:p>
    <w:p w:rsidR="002F74C4" w:rsidRPr="001246F2" w:rsidRDefault="002F74C4" w:rsidP="00940E43">
      <w:pPr>
        <w:pStyle w:val="Headingb"/>
      </w:pPr>
      <w:r w:rsidRPr="001246F2">
        <w:lastRenderedPageBreak/>
        <w:t xml:space="preserve">Tipo </w:t>
      </w:r>
      <w:r w:rsidR="00940E43" w:rsidRPr="001246F2">
        <w:t>1</w:t>
      </w:r>
    </w:p>
    <w:p w:rsidR="002F74C4" w:rsidRPr="001246F2" w:rsidRDefault="002F74C4" w:rsidP="00065F16">
      <w:pPr>
        <w:keepNext/>
        <w:keepLines/>
      </w:pPr>
      <w:r w:rsidRPr="001246F2">
        <w:t xml:space="preserve">Este tipo de receptor </w:t>
      </w:r>
      <w:r w:rsidR="00015E0B" w:rsidRPr="001246F2">
        <w:t>aeronáutico</w:t>
      </w:r>
      <w:r w:rsidRPr="001246F2">
        <w:t xml:space="preserve"> es un receptor de navegación a bordo de aeronave diseñado para proporcionar una aproximación de </w:t>
      </w:r>
      <w:r w:rsidR="00015E0B" w:rsidRPr="001246F2">
        <w:t>precisión</w:t>
      </w:r>
      <w:r w:rsidRPr="001246F2">
        <w:t xml:space="preserve"> de </w:t>
      </w:r>
      <w:r w:rsidR="00752C4D" w:rsidRPr="001246F2">
        <w:t>categoría</w:t>
      </w:r>
      <w:r w:rsidR="00BB1968" w:rsidRPr="001246F2">
        <w:t> </w:t>
      </w:r>
      <w:r w:rsidRPr="001246F2">
        <w:t xml:space="preserve">I de la OACI. Debe satisfacer los </w:t>
      </w:r>
      <w:r w:rsidR="00015E0B" w:rsidRPr="001246F2">
        <w:t>requisitos</w:t>
      </w:r>
      <w:r w:rsidRPr="001246F2">
        <w:t xml:space="preserve"> de una especificación SBAS. Realiza un seguimiento de las señales</w:t>
      </w:r>
      <w:r w:rsidR="00BB1968" w:rsidRPr="001246F2">
        <w:rPr>
          <w:rStyle w:val="FootnoteReference"/>
        </w:rPr>
        <w:footnoteReference w:id="5"/>
      </w:r>
      <w:r w:rsidRPr="001246F2">
        <w:t xml:space="preserve"> L1 C/A del SRNS y</w:t>
      </w:r>
      <w:r w:rsidR="00065F16">
        <w:t> </w:t>
      </w:r>
      <w:r w:rsidRPr="001246F2">
        <w:t>AMDC L1 del SBAS. Las señales</w:t>
      </w:r>
      <w:r w:rsidR="00065F16">
        <w:t> </w:t>
      </w:r>
      <w:r w:rsidRPr="001246F2">
        <w:t xml:space="preserve">L1 del SBAS tiene </w:t>
      </w:r>
      <w:r w:rsidR="00015E0B" w:rsidRPr="001246F2">
        <w:t>códigos</w:t>
      </w:r>
      <w:r w:rsidRPr="001246F2">
        <w:t xml:space="preserve"> similares a la señal</w:t>
      </w:r>
      <w:r w:rsidR="00940E43" w:rsidRPr="001246F2">
        <w:t> </w:t>
      </w:r>
      <w:r w:rsidRPr="001246F2">
        <w:t>L1</w:t>
      </w:r>
      <w:r w:rsidR="00940E43" w:rsidRPr="001246F2">
        <w:t> </w:t>
      </w:r>
      <w:r w:rsidRPr="001246F2">
        <w:t xml:space="preserve">C/A </w:t>
      </w:r>
      <w:r w:rsidR="00015E0B" w:rsidRPr="001246F2">
        <w:t>transmitida</w:t>
      </w:r>
      <w:r w:rsidRPr="001246F2">
        <w:t xml:space="preserve"> a la misma frecuencia central (1</w:t>
      </w:r>
      <w:r w:rsidR="00DC68B5">
        <w:t> </w:t>
      </w:r>
      <w:r w:rsidRPr="001246F2">
        <w:t>575,42</w:t>
      </w:r>
      <w:r w:rsidR="00DC68B5">
        <w:t> </w:t>
      </w:r>
      <w:r w:rsidRPr="001246F2">
        <w:t xml:space="preserve">MHz). Las </w:t>
      </w:r>
      <w:r w:rsidR="00015E0B" w:rsidRPr="001246F2">
        <w:t>características</w:t>
      </w:r>
      <w:r w:rsidRPr="001246F2">
        <w:t xml:space="preserve"> de este tipo de receptor se especifican en el Cuadro 2, columna 1.</w:t>
      </w:r>
    </w:p>
    <w:p w:rsidR="002F74C4" w:rsidRPr="001246F2" w:rsidRDefault="002F74C4" w:rsidP="00940E43">
      <w:pPr>
        <w:pStyle w:val="Headingb"/>
      </w:pPr>
      <w:r w:rsidRPr="001246F2">
        <w:t>Tipo 2</w:t>
      </w:r>
    </w:p>
    <w:p w:rsidR="002F74C4" w:rsidRPr="001246F2" w:rsidRDefault="002F74C4" w:rsidP="009E4B92">
      <w:r w:rsidRPr="001246F2">
        <w:t xml:space="preserve">Este tipo de receptor </w:t>
      </w:r>
      <w:r w:rsidR="00015E0B" w:rsidRPr="001246F2">
        <w:t>aeronáutic</w:t>
      </w:r>
      <w:r w:rsidR="00940E43" w:rsidRPr="001246F2">
        <w:t>o</w:t>
      </w:r>
      <w:r w:rsidRPr="001246F2">
        <w:t xml:space="preserve"> </w:t>
      </w:r>
      <w:r w:rsidR="00015E0B" w:rsidRPr="001246F2">
        <w:t>también</w:t>
      </w:r>
      <w:r w:rsidRPr="001246F2">
        <w:t xml:space="preserve"> es un receptor de navegación a bordo de aeronave que proporciona una aproximación de </w:t>
      </w:r>
      <w:r w:rsidR="00015E0B" w:rsidRPr="001246F2">
        <w:t>precisión</w:t>
      </w:r>
      <w:r w:rsidRPr="001246F2">
        <w:t xml:space="preserve"> de </w:t>
      </w:r>
      <w:r w:rsidR="00752C4D" w:rsidRPr="001246F2">
        <w:t>categoría</w:t>
      </w:r>
      <w:r w:rsidR="009E4B92">
        <w:t> </w:t>
      </w:r>
      <w:r w:rsidRPr="001246F2">
        <w:t xml:space="preserve">I de la OACI. Sin embargo, este tipo de </w:t>
      </w:r>
      <w:r w:rsidR="00015E0B" w:rsidRPr="001246F2">
        <w:t>receptor</w:t>
      </w:r>
      <w:r w:rsidRPr="001246F2">
        <w:t xml:space="preserve"> funciona con señales</w:t>
      </w:r>
      <w:r w:rsidR="00940E43" w:rsidRPr="001246F2">
        <w:rPr>
          <w:rStyle w:val="FootnoteReference"/>
        </w:rPr>
        <w:footnoteReference w:id="6"/>
      </w:r>
      <w:r w:rsidRPr="001246F2">
        <w:t xml:space="preserve"> AMDF del SRNS en varias frecuencias portadoras </w:t>
      </w:r>
      <w:r w:rsidR="00015E0B" w:rsidRPr="001246F2">
        <w:t>simultáneamente</w:t>
      </w:r>
      <w:r w:rsidRPr="001246F2">
        <w:t>. Realiza un seguimiento de las señales del SRN</w:t>
      </w:r>
      <w:r w:rsidR="00940E43" w:rsidRPr="001246F2">
        <w:t>S</w:t>
      </w:r>
      <w:r w:rsidRPr="001246F2">
        <w:t xml:space="preserve"> y SBAS, </w:t>
      </w:r>
      <w:r w:rsidR="00015E0B" w:rsidRPr="001246F2">
        <w:t>que</w:t>
      </w:r>
      <w:r w:rsidRPr="001246F2">
        <w:t xml:space="preserve"> puede ser en distintas frecuencias portadoras. Las </w:t>
      </w:r>
      <w:r w:rsidR="00015E0B" w:rsidRPr="001246F2">
        <w:t>características</w:t>
      </w:r>
      <w:r w:rsidRPr="001246F2">
        <w:t xml:space="preserve"> de este tipo de receptor se especifican en el Cuadro 2, columna 2.</w:t>
      </w:r>
    </w:p>
    <w:p w:rsidR="002F74C4" w:rsidRPr="001246F2" w:rsidRDefault="008C559A" w:rsidP="008C559A">
      <w:pPr>
        <w:pStyle w:val="Heading3"/>
      </w:pPr>
      <w:r w:rsidRPr="001246F2">
        <w:t>2.1.2</w:t>
      </w:r>
      <w:r w:rsidRPr="001246F2">
        <w:tab/>
      </w:r>
      <w:r w:rsidR="002F74C4" w:rsidRPr="001246F2">
        <w:t xml:space="preserve">Receptores GBAS con aproximación de </w:t>
      </w:r>
      <w:r w:rsidR="00015E0B" w:rsidRPr="001246F2">
        <w:t>precisión</w:t>
      </w:r>
      <w:r w:rsidR="002F74C4" w:rsidRPr="001246F2">
        <w:t xml:space="preserve"> de </w:t>
      </w:r>
      <w:r w:rsidR="00752C4D" w:rsidRPr="001246F2">
        <w:t xml:space="preserve">categoría </w:t>
      </w:r>
      <w:r w:rsidR="002F74C4" w:rsidRPr="001246F2">
        <w:t>II/III</w:t>
      </w:r>
    </w:p>
    <w:p w:rsidR="002F74C4" w:rsidRPr="001246F2" w:rsidRDefault="002F74C4" w:rsidP="00212F13">
      <w:pPr>
        <w:pStyle w:val="Headingb"/>
      </w:pPr>
      <w:r w:rsidRPr="001246F2">
        <w:t>Tipo 1</w:t>
      </w:r>
    </w:p>
    <w:p w:rsidR="002F74C4" w:rsidRPr="001246F2" w:rsidRDefault="002F74C4" w:rsidP="009E4B92">
      <w:r w:rsidRPr="001246F2">
        <w:t xml:space="preserve">Este tipo de </w:t>
      </w:r>
      <w:r w:rsidR="00015E0B" w:rsidRPr="001246F2">
        <w:t>receptor</w:t>
      </w:r>
      <w:r w:rsidRPr="001246F2">
        <w:t xml:space="preserve"> </w:t>
      </w:r>
      <w:r w:rsidR="00015E0B" w:rsidRPr="001246F2">
        <w:t>aeronáutico</w:t>
      </w:r>
      <w:r w:rsidRPr="001246F2">
        <w:t xml:space="preserve"> es un receptor de navegación a bordo de aeronave diseñado para ofrecer una aproximación de </w:t>
      </w:r>
      <w:r w:rsidR="00015E0B" w:rsidRPr="001246F2">
        <w:t>precisión</w:t>
      </w:r>
      <w:r w:rsidRPr="001246F2">
        <w:t xml:space="preserve"> de </w:t>
      </w:r>
      <w:r w:rsidR="00752C4D" w:rsidRPr="001246F2">
        <w:t>categoría</w:t>
      </w:r>
      <w:r w:rsidR="009E4B92">
        <w:t> </w:t>
      </w:r>
      <w:r w:rsidRPr="001246F2">
        <w:t xml:space="preserve">II/III de la OACI. Debe satisfacer los </w:t>
      </w:r>
      <w:r w:rsidR="00015E0B" w:rsidRPr="001246F2">
        <w:t>requisitos</w:t>
      </w:r>
      <w:r w:rsidRPr="001246F2">
        <w:t xml:space="preserve"> de</w:t>
      </w:r>
      <w:r w:rsidR="00DB55F4" w:rsidRPr="001246F2">
        <w:t>l</w:t>
      </w:r>
      <w:r w:rsidRPr="001246F2">
        <w:t xml:space="preserve"> GBAS </w:t>
      </w:r>
      <w:r w:rsidR="00015E0B" w:rsidRPr="001246F2">
        <w:t>así</w:t>
      </w:r>
      <w:r w:rsidRPr="001246F2">
        <w:t xml:space="preserve"> como los de la </w:t>
      </w:r>
      <w:r w:rsidR="00752C4D" w:rsidRPr="001246F2">
        <w:t>categoría</w:t>
      </w:r>
      <w:r w:rsidR="009E4B92">
        <w:t> </w:t>
      </w:r>
      <w:r w:rsidRPr="001246F2">
        <w:t xml:space="preserve">I. Debe realizar un seguimiento de las señales de </w:t>
      </w:r>
      <w:r w:rsidR="00015E0B" w:rsidRPr="001246F2">
        <w:t>satélites</w:t>
      </w:r>
      <w:r w:rsidRPr="001246F2">
        <w:t xml:space="preserve"> (L1 C/A) del SRNS y </w:t>
      </w:r>
      <w:r w:rsidR="00DB55F4" w:rsidRPr="001246F2">
        <w:t xml:space="preserve">de </w:t>
      </w:r>
      <w:r w:rsidRPr="001246F2">
        <w:t xml:space="preserve">las señales de enlaces de datos </w:t>
      </w:r>
      <w:r w:rsidR="00DB55F4" w:rsidRPr="001246F2">
        <w:t xml:space="preserve">del </w:t>
      </w:r>
      <w:r w:rsidRPr="001246F2">
        <w:t xml:space="preserve">GBAS en la banda de ondas </w:t>
      </w:r>
      <w:r w:rsidR="00015E0B" w:rsidRPr="001246F2">
        <w:t>métricas</w:t>
      </w:r>
      <w:r w:rsidRPr="001246F2">
        <w:t xml:space="preserve">. El receptor recibe señales AMDC. Las </w:t>
      </w:r>
      <w:r w:rsidR="00015E0B" w:rsidRPr="001246F2">
        <w:t>características</w:t>
      </w:r>
      <w:r w:rsidRPr="001246F2">
        <w:t xml:space="preserve"> de este tipo de </w:t>
      </w:r>
      <w:r w:rsidR="00015E0B" w:rsidRPr="001246F2">
        <w:t>receptor</w:t>
      </w:r>
      <w:r w:rsidRPr="001246F2">
        <w:t xml:space="preserve"> se especifican en el </w:t>
      </w:r>
      <w:r w:rsidR="00DB55F4" w:rsidRPr="001246F2">
        <w:t xml:space="preserve">Cuadro </w:t>
      </w:r>
      <w:r w:rsidRPr="001246F2">
        <w:t>2, columna 3.</w:t>
      </w:r>
    </w:p>
    <w:p w:rsidR="002F74C4" w:rsidRPr="001246F2" w:rsidRDefault="002F74C4" w:rsidP="00DB55F4">
      <w:pPr>
        <w:pStyle w:val="Headingb"/>
      </w:pPr>
      <w:r w:rsidRPr="001246F2">
        <w:t>Tipo 2</w:t>
      </w:r>
    </w:p>
    <w:p w:rsidR="002F74C4" w:rsidRPr="001246F2" w:rsidRDefault="002F74C4" w:rsidP="009E4B92">
      <w:r w:rsidRPr="001246F2">
        <w:t xml:space="preserve">Este tipo de </w:t>
      </w:r>
      <w:r w:rsidR="00015E0B" w:rsidRPr="001246F2">
        <w:t>receptor</w:t>
      </w:r>
      <w:r w:rsidRPr="001246F2">
        <w:t xml:space="preserve"> </w:t>
      </w:r>
      <w:r w:rsidR="00015E0B" w:rsidRPr="001246F2">
        <w:t>aeronáutico</w:t>
      </w:r>
      <w:r w:rsidRPr="001246F2">
        <w:t xml:space="preserve"> </w:t>
      </w:r>
      <w:r w:rsidR="00015E0B" w:rsidRPr="001246F2">
        <w:t>también</w:t>
      </w:r>
      <w:r w:rsidRPr="001246F2">
        <w:t xml:space="preserve"> es u</w:t>
      </w:r>
      <w:r w:rsidR="00DB55F4" w:rsidRPr="001246F2">
        <w:t>n</w:t>
      </w:r>
      <w:r w:rsidRPr="001246F2">
        <w:t xml:space="preserve"> receptor de navegación a bordo de aeronave diseñado para proporcionar una aproximación de </w:t>
      </w:r>
      <w:r w:rsidR="00015E0B" w:rsidRPr="001246F2">
        <w:t>precisión</w:t>
      </w:r>
      <w:r w:rsidRPr="001246F2">
        <w:t xml:space="preserve"> de </w:t>
      </w:r>
      <w:r w:rsidR="00752C4D" w:rsidRPr="001246F2">
        <w:t>categoría</w:t>
      </w:r>
      <w:r w:rsidR="00DB55F4" w:rsidRPr="001246F2">
        <w:t> </w:t>
      </w:r>
      <w:r w:rsidRPr="001246F2">
        <w:t xml:space="preserve">II/III de la OACI. Este tipo de receptor funciona </w:t>
      </w:r>
      <w:r w:rsidR="00DB55F4" w:rsidRPr="001246F2">
        <w:t xml:space="preserve">con </w:t>
      </w:r>
      <w:r w:rsidRPr="001246F2">
        <w:t xml:space="preserve">señales AMDF en varias frecuencias </w:t>
      </w:r>
      <w:r w:rsidR="00015E0B" w:rsidRPr="001246F2">
        <w:t>portadoras</w:t>
      </w:r>
      <w:r w:rsidRPr="001246F2">
        <w:t xml:space="preserve"> </w:t>
      </w:r>
      <w:r w:rsidR="00015E0B" w:rsidRPr="001246F2">
        <w:t>simultáneamente</w:t>
      </w:r>
      <w:r w:rsidRPr="001246F2">
        <w:t>. Debe satisfacer los requisitos de</w:t>
      </w:r>
      <w:r w:rsidR="00DB55F4" w:rsidRPr="001246F2">
        <w:t>l</w:t>
      </w:r>
      <w:r w:rsidRPr="001246F2">
        <w:t xml:space="preserve"> GBAS </w:t>
      </w:r>
      <w:r w:rsidR="00015E0B" w:rsidRPr="001246F2">
        <w:t>así</w:t>
      </w:r>
      <w:r w:rsidRPr="001246F2">
        <w:t xml:space="preserve"> como </w:t>
      </w:r>
      <w:r w:rsidR="00015E0B" w:rsidRPr="001246F2">
        <w:t>los</w:t>
      </w:r>
      <w:r w:rsidRPr="001246F2">
        <w:t xml:space="preserve"> de la </w:t>
      </w:r>
      <w:r w:rsidR="00752C4D" w:rsidRPr="001246F2">
        <w:t>categoría</w:t>
      </w:r>
      <w:r w:rsidR="009E4B92">
        <w:t> </w:t>
      </w:r>
      <w:r w:rsidRPr="001246F2">
        <w:t xml:space="preserve">I. Debe realizar un seguimiento de </w:t>
      </w:r>
      <w:r w:rsidR="00DB55F4" w:rsidRPr="001246F2">
        <w:t xml:space="preserve">las señales </w:t>
      </w:r>
      <w:r w:rsidRPr="001246F2">
        <w:t xml:space="preserve">los </w:t>
      </w:r>
      <w:r w:rsidR="00015E0B" w:rsidRPr="001246F2">
        <w:t>satélites</w:t>
      </w:r>
      <w:r w:rsidRPr="001246F2">
        <w:t xml:space="preserve"> del SRNS y de las señales de </w:t>
      </w:r>
      <w:r w:rsidR="00015E0B" w:rsidRPr="001246F2">
        <w:t>enlaces</w:t>
      </w:r>
      <w:r w:rsidRPr="001246F2">
        <w:t xml:space="preserve"> de datos</w:t>
      </w:r>
      <w:r w:rsidR="00DB55F4" w:rsidRPr="001246F2">
        <w:t xml:space="preserve"> del</w:t>
      </w:r>
      <w:r w:rsidRPr="001246F2">
        <w:t xml:space="preserve"> GBAS en la banda de ondas </w:t>
      </w:r>
      <w:r w:rsidR="00015E0B" w:rsidRPr="001246F2">
        <w:t>métricas</w:t>
      </w:r>
      <w:r w:rsidR="00DB55F4" w:rsidRPr="001246F2">
        <w:t>.</w:t>
      </w:r>
      <w:r w:rsidRPr="001246F2">
        <w:t xml:space="preserve"> </w:t>
      </w:r>
      <w:r w:rsidR="00015E0B" w:rsidRPr="001246F2">
        <w:t>Además</w:t>
      </w:r>
      <w:r w:rsidRPr="001246F2">
        <w:t xml:space="preserve">, este </w:t>
      </w:r>
      <w:r w:rsidR="00015E0B" w:rsidRPr="001246F2">
        <w:t>receptor</w:t>
      </w:r>
      <w:r w:rsidRPr="001246F2">
        <w:t xml:space="preserve"> puede funcionar con </w:t>
      </w:r>
      <w:r w:rsidR="00015E0B" w:rsidRPr="001246F2">
        <w:t>información</w:t>
      </w:r>
      <w:r w:rsidR="00065F16">
        <w:t xml:space="preserve"> procedente de pseudolite</w:t>
      </w:r>
      <w:r w:rsidRPr="001246F2">
        <w:t>s</w:t>
      </w:r>
      <w:r w:rsidR="00DB55F4" w:rsidRPr="001246F2">
        <w:rPr>
          <w:rStyle w:val="FootnoteReference"/>
        </w:rPr>
        <w:footnoteReference w:id="7"/>
      </w:r>
      <w:r w:rsidRPr="001246F2">
        <w:t xml:space="preserve">. Las </w:t>
      </w:r>
      <w:r w:rsidR="00015E0B" w:rsidRPr="001246F2">
        <w:t>características</w:t>
      </w:r>
      <w:r w:rsidRPr="001246F2">
        <w:t xml:space="preserve"> de este tipo de receptor se especifican en el </w:t>
      </w:r>
      <w:r w:rsidR="00015E0B" w:rsidRPr="001246F2">
        <w:t>Cuadro</w:t>
      </w:r>
      <w:r w:rsidRPr="001246F2">
        <w:t xml:space="preserve"> 2, columna 4.</w:t>
      </w:r>
    </w:p>
    <w:p w:rsidR="00E32F34" w:rsidRPr="001246F2" w:rsidRDefault="00E32F34">
      <w:pPr>
        <w:tabs>
          <w:tab w:val="clear" w:pos="794"/>
          <w:tab w:val="clear" w:pos="1191"/>
          <w:tab w:val="clear" w:pos="1588"/>
          <w:tab w:val="clear" w:pos="1985"/>
        </w:tabs>
        <w:overflowPunct/>
        <w:autoSpaceDE/>
        <w:autoSpaceDN/>
        <w:adjustRightInd/>
        <w:spacing w:before="0"/>
        <w:jc w:val="left"/>
        <w:textAlignment w:val="auto"/>
        <w:rPr>
          <w:b/>
        </w:rPr>
      </w:pPr>
      <w:r w:rsidRPr="001246F2">
        <w:br w:type="page"/>
      </w:r>
    </w:p>
    <w:p w:rsidR="002F74C4" w:rsidRPr="001246F2" w:rsidRDefault="005C0BE8" w:rsidP="005C0BE8">
      <w:pPr>
        <w:pStyle w:val="Heading3"/>
      </w:pPr>
      <w:r w:rsidRPr="001246F2">
        <w:lastRenderedPageBreak/>
        <w:t>2.1.3</w:t>
      </w:r>
      <w:r w:rsidRPr="001246F2">
        <w:tab/>
      </w:r>
      <w:r w:rsidR="002F74C4" w:rsidRPr="001246F2">
        <w:t xml:space="preserve">Receptor de </w:t>
      </w:r>
      <w:r w:rsidR="00015E0B" w:rsidRPr="001246F2">
        <w:t>referencia</w:t>
      </w:r>
      <w:r w:rsidR="002F74C4" w:rsidRPr="001246F2">
        <w:t xml:space="preserve"> en </w:t>
      </w:r>
      <w:r w:rsidRPr="001246F2">
        <w:t>tierra del SBAS</w:t>
      </w:r>
    </w:p>
    <w:p w:rsidR="002F74C4" w:rsidRPr="001246F2" w:rsidRDefault="002F74C4" w:rsidP="0027756D">
      <w:r w:rsidRPr="001246F2">
        <w:t xml:space="preserve">Este tipo de receptor </w:t>
      </w:r>
      <w:r w:rsidR="00015E0B" w:rsidRPr="001246F2">
        <w:t>aeronáutico</w:t>
      </w:r>
      <w:r w:rsidRPr="001246F2">
        <w:t xml:space="preserve"> es un receptor de referencia situado en </w:t>
      </w:r>
      <w:r w:rsidR="005C0BE8" w:rsidRPr="001246F2">
        <w:t>tierra</w:t>
      </w:r>
      <w:r w:rsidRPr="001246F2">
        <w:t xml:space="preserve"> utilizado en el funcionamiento de la red terre</w:t>
      </w:r>
      <w:r w:rsidR="005C0BE8" w:rsidRPr="001246F2">
        <w:t>stre</w:t>
      </w:r>
      <w:r w:rsidRPr="001246F2">
        <w:t xml:space="preserve"> SBAS para determinar los retardos </w:t>
      </w:r>
      <w:r w:rsidR="00015E0B" w:rsidRPr="001246F2">
        <w:t>ionosféricos</w:t>
      </w:r>
      <w:r w:rsidRPr="001246F2">
        <w:t xml:space="preserve"> y la integridad de la señal del SRNS. Este receptor utiliza una </w:t>
      </w:r>
      <w:r w:rsidR="00015E0B" w:rsidRPr="001246F2">
        <w:t>técnica</w:t>
      </w:r>
      <w:r w:rsidRPr="001246F2">
        <w:t xml:space="preserve"> </w:t>
      </w:r>
      <w:r w:rsidR="005C0BE8" w:rsidRPr="001246F2">
        <w:t>de</w:t>
      </w:r>
      <w:r w:rsidRPr="001246F2">
        <w:t xml:space="preserve"> </w:t>
      </w:r>
      <w:r w:rsidR="00015E0B" w:rsidRPr="001246F2">
        <w:t>c</w:t>
      </w:r>
      <w:r w:rsidR="005C0BE8" w:rsidRPr="001246F2">
        <w:t>odificación parcial</w:t>
      </w:r>
      <w:r w:rsidRPr="001246F2">
        <w:t xml:space="preserve"> que explota </w:t>
      </w:r>
      <w:r w:rsidR="00015E0B" w:rsidRPr="001246F2">
        <w:t>una</w:t>
      </w:r>
      <w:r w:rsidRPr="001246F2">
        <w:t xml:space="preserve"> característica </w:t>
      </w:r>
      <w:r w:rsidR="005C0BE8" w:rsidRPr="001246F2">
        <w:t>singul</w:t>
      </w:r>
      <w:r w:rsidRPr="001246F2">
        <w:t xml:space="preserve">ar habilitada por la particular arquitectura de la señal del SRNS </w:t>
      </w:r>
      <w:r w:rsidR="005C0BE8" w:rsidRPr="001246F2">
        <w:t>por medio de la cual</w:t>
      </w:r>
      <w:r w:rsidRPr="001246F2">
        <w:t xml:space="preserve"> se realiza un seguimiento de las señales de </w:t>
      </w:r>
      <w:r w:rsidR="00015E0B" w:rsidRPr="001246F2">
        <w:t>código</w:t>
      </w:r>
      <w:r w:rsidRPr="001246F2">
        <w:t xml:space="preserve"> L1 y L2 P(Y), </w:t>
      </w:r>
      <w:r w:rsidR="005C0BE8" w:rsidRPr="001246F2">
        <w:t>gracias al</w:t>
      </w:r>
      <w:r w:rsidRPr="001246F2">
        <w:t xml:space="preserve"> </w:t>
      </w:r>
      <w:r w:rsidR="00015E0B" w:rsidRPr="001246F2">
        <w:t>conocimiento</w:t>
      </w:r>
      <w:r w:rsidRPr="001246F2">
        <w:t xml:space="preserve"> de una fase </w:t>
      </w:r>
      <w:r w:rsidR="005C0BE8" w:rsidRPr="001246F2">
        <w:t xml:space="preserve">de </w:t>
      </w:r>
      <w:r w:rsidRPr="001246F2">
        <w:t xml:space="preserve">portadora </w:t>
      </w:r>
      <w:r w:rsidR="00015E0B" w:rsidRPr="001246F2">
        <w:t>dinámica</w:t>
      </w:r>
      <w:r w:rsidR="005C0BE8" w:rsidRPr="001246F2">
        <w:t xml:space="preserve"> obtenido</w:t>
      </w:r>
      <w:r w:rsidRPr="001246F2">
        <w:t xml:space="preserve"> del </w:t>
      </w:r>
      <w:r w:rsidR="00015E0B" w:rsidRPr="001246F2">
        <w:t>código</w:t>
      </w:r>
      <w:r w:rsidRPr="001246F2">
        <w:t xml:space="preserve"> L1 C/A</w:t>
      </w:r>
      <w:r w:rsidR="005C0BE8" w:rsidRPr="001246F2">
        <w:rPr>
          <w:rStyle w:val="FootnoteReference"/>
        </w:rPr>
        <w:footnoteReference w:id="8"/>
      </w:r>
      <w:r w:rsidRPr="001246F2">
        <w:t xml:space="preserve"> y del seguimiento de portadora y el conocimiento de la velocidad media de reloj de encriptado. Esta </w:t>
      </w:r>
      <w:r w:rsidR="00015E0B" w:rsidRPr="001246F2">
        <w:t>técnica</w:t>
      </w:r>
      <w:r w:rsidRPr="001246F2">
        <w:t xml:space="preserve"> de </w:t>
      </w:r>
      <w:r w:rsidR="00015E0B" w:rsidRPr="001246F2">
        <w:t>correlación</w:t>
      </w:r>
      <w:r w:rsidRPr="001246F2">
        <w:t xml:space="preserve"> cruzada </w:t>
      </w:r>
      <w:r w:rsidR="005C7105" w:rsidRPr="001246F2">
        <w:t>proporciona la capacidad de med</w:t>
      </w:r>
      <w:r w:rsidRPr="001246F2">
        <w:t xml:space="preserve">ir el retardo de la señal en L2, haciendo posible la determinación de las variaciones del retardo de señal debidas a la ionosfera. El esquema de </w:t>
      </w:r>
      <w:r w:rsidR="00494AB8" w:rsidRPr="001246F2">
        <w:t>correlación</w:t>
      </w:r>
      <w:r w:rsidRPr="001246F2">
        <w:t xml:space="preserve"> cruzada </w:t>
      </w:r>
      <w:r w:rsidR="005C0BE8" w:rsidRPr="001246F2">
        <w:t>e</w:t>
      </w:r>
      <w:r w:rsidRPr="001246F2">
        <w:t>s posible en parte porque las señales L1 y L2 P(Y) tiene</w:t>
      </w:r>
      <w:r w:rsidR="005C0BE8" w:rsidRPr="001246F2">
        <w:t>n</w:t>
      </w:r>
      <w:r w:rsidRPr="001246F2">
        <w:t xml:space="preserve"> </w:t>
      </w:r>
      <w:r w:rsidR="00494AB8" w:rsidRPr="001246F2">
        <w:t>códigos</w:t>
      </w:r>
      <w:r w:rsidRPr="001246F2">
        <w:t xml:space="preserve"> </w:t>
      </w:r>
      <w:r w:rsidR="00494AB8" w:rsidRPr="001246F2">
        <w:t>idénticos</w:t>
      </w:r>
      <w:r w:rsidRPr="001246F2">
        <w:t xml:space="preserve">. Este receptor </w:t>
      </w:r>
      <w:r w:rsidR="00494AB8" w:rsidRPr="001246F2">
        <w:t>también</w:t>
      </w:r>
      <w:r w:rsidRPr="001246F2">
        <w:t xml:space="preserve"> debe </w:t>
      </w:r>
      <w:r w:rsidR="005C0BE8" w:rsidRPr="001246F2">
        <w:t xml:space="preserve">efectuar la adquisición y seguimiento de </w:t>
      </w:r>
      <w:r w:rsidRPr="001246F2">
        <w:t>las señales de</w:t>
      </w:r>
      <w:r w:rsidR="005C0BE8" w:rsidRPr="001246F2">
        <w:t>l</w:t>
      </w:r>
      <w:r w:rsidRPr="001246F2">
        <w:t xml:space="preserve"> </w:t>
      </w:r>
      <w:r w:rsidR="00494AB8" w:rsidRPr="001246F2">
        <w:t>satélite</w:t>
      </w:r>
      <w:r w:rsidRPr="001246F2">
        <w:t xml:space="preserve"> SBAS a la misma frecuencia que la portadora L1 C/A. </w:t>
      </w:r>
      <w:r w:rsidR="005C0BE8" w:rsidRPr="001246F2">
        <w:t xml:space="preserve">Los </w:t>
      </w:r>
      <w:r w:rsidR="00494AB8" w:rsidRPr="001246F2">
        <w:t>receptores</w:t>
      </w:r>
      <w:r w:rsidRPr="001246F2">
        <w:t xml:space="preserve"> </w:t>
      </w:r>
      <w:r w:rsidR="005C0BE8" w:rsidRPr="001246F2">
        <w:t>de</w:t>
      </w:r>
      <w:r w:rsidRPr="001246F2">
        <w:t xml:space="preserve"> </w:t>
      </w:r>
      <w:r w:rsidR="00494AB8" w:rsidRPr="001246F2">
        <w:t>c</w:t>
      </w:r>
      <w:r w:rsidR="005C0BE8" w:rsidRPr="001246F2">
        <w:t xml:space="preserve">odificación </w:t>
      </w:r>
      <w:r w:rsidR="0027756D" w:rsidRPr="001246F2">
        <w:t>parcial son má</w:t>
      </w:r>
      <w:r w:rsidRPr="001246F2">
        <w:t>s s</w:t>
      </w:r>
      <w:r w:rsidR="0027756D" w:rsidRPr="001246F2">
        <w:t>uscepti</w:t>
      </w:r>
      <w:r w:rsidRPr="001246F2">
        <w:t xml:space="preserve">bles a la interferencia porque funcionan sin la ventaja que supone </w:t>
      </w:r>
      <w:r w:rsidR="00494AB8" w:rsidRPr="001246F2">
        <w:t>conocer</w:t>
      </w:r>
      <w:r w:rsidRPr="001246F2">
        <w:t xml:space="preserve"> el </w:t>
      </w:r>
      <w:r w:rsidR="00494AB8" w:rsidRPr="001246F2">
        <w:t>código</w:t>
      </w:r>
      <w:r w:rsidRPr="001246F2">
        <w:t xml:space="preserve"> Y</w:t>
      </w:r>
      <w:r w:rsidR="0027756D" w:rsidRPr="001246F2">
        <w:rPr>
          <w:rStyle w:val="FootnoteReference"/>
        </w:rPr>
        <w:footnoteReference w:id="9"/>
      </w:r>
      <w:r w:rsidRPr="001246F2">
        <w:t xml:space="preserve">. Los receptores en tierra </w:t>
      </w:r>
      <w:r w:rsidR="0027756D" w:rsidRPr="001246F2">
        <w:t xml:space="preserve">SBAS </w:t>
      </w:r>
      <w:r w:rsidRPr="001246F2">
        <w:t xml:space="preserve">desempeñan </w:t>
      </w:r>
      <w:r w:rsidR="00494AB8" w:rsidRPr="001246F2">
        <w:t>cometidos</w:t>
      </w:r>
      <w:r w:rsidRPr="001246F2">
        <w:t xml:space="preserve"> </w:t>
      </w:r>
      <w:r w:rsidR="00494AB8" w:rsidRPr="001246F2">
        <w:t>críticos</w:t>
      </w:r>
      <w:r w:rsidRPr="001246F2">
        <w:t xml:space="preserve"> tales como la comprobación de la integridad de las señales del SRNS en las estaciones </w:t>
      </w:r>
      <w:r w:rsidR="0027756D" w:rsidRPr="001246F2">
        <w:t xml:space="preserve">en tierra </w:t>
      </w:r>
      <w:r w:rsidRPr="001246F2">
        <w:t xml:space="preserve">SBAS </w:t>
      </w:r>
      <w:r w:rsidR="0027756D" w:rsidRPr="001246F2">
        <w:t>situadas</w:t>
      </w:r>
      <w:r w:rsidRPr="001246F2">
        <w:t xml:space="preserve"> en emplazamientos fijos</w:t>
      </w:r>
      <w:r w:rsidR="0027756D" w:rsidRPr="001246F2">
        <w:t xml:space="preserve"> conocidos</w:t>
      </w:r>
      <w:r w:rsidRPr="001246F2">
        <w:t xml:space="preserve">. Por consiguiente, debe garantizarse a estos receptores la </w:t>
      </w:r>
      <w:r w:rsidR="00494AB8" w:rsidRPr="001246F2">
        <w:t>protección</w:t>
      </w:r>
      <w:r w:rsidRPr="001246F2">
        <w:t xml:space="preserve"> adecuada para asegurar el acceso ininterrumpido continuo a las señales del SRNS; tales como, entre otras, las zona</w:t>
      </w:r>
      <w:r w:rsidR="0027756D" w:rsidRPr="001246F2">
        <w:t>s</w:t>
      </w:r>
      <w:r w:rsidRPr="001246F2">
        <w:t xml:space="preserve"> </w:t>
      </w:r>
      <w:r w:rsidR="00494AB8" w:rsidRPr="001246F2">
        <w:t>físicas</w:t>
      </w:r>
      <w:r w:rsidR="0027756D" w:rsidRPr="001246F2">
        <w:t xml:space="preserve"> de amortiguación</w:t>
      </w:r>
      <w:r w:rsidRPr="001246F2">
        <w:t xml:space="preserve">. Las </w:t>
      </w:r>
      <w:r w:rsidR="00494AB8" w:rsidRPr="001246F2">
        <w:t>características</w:t>
      </w:r>
      <w:r w:rsidRPr="001246F2">
        <w:t xml:space="preserve"> de este tipo de </w:t>
      </w:r>
      <w:r w:rsidR="00494AB8" w:rsidRPr="001246F2">
        <w:t>receptor</w:t>
      </w:r>
      <w:r w:rsidRPr="001246F2">
        <w:t xml:space="preserve"> se especifican en</w:t>
      </w:r>
      <w:r w:rsidR="00814EED">
        <w:t xml:space="preserve"> </w:t>
      </w:r>
      <w:r w:rsidRPr="001246F2">
        <w:t>e</w:t>
      </w:r>
      <w:r w:rsidR="00814EED">
        <w:t>l</w:t>
      </w:r>
      <w:r w:rsidRPr="001246F2">
        <w:t xml:space="preserve"> Cuadro 2, columna 5.</w:t>
      </w:r>
    </w:p>
    <w:p w:rsidR="002F74C4" w:rsidRPr="001246F2" w:rsidRDefault="002F74C4" w:rsidP="0027756D">
      <w:r w:rsidRPr="001246F2">
        <w:t xml:space="preserve">Los receptores de </w:t>
      </w:r>
      <w:r w:rsidR="00494AB8" w:rsidRPr="001246F2">
        <w:t>referencia</w:t>
      </w:r>
      <w:r w:rsidRPr="001246F2">
        <w:t xml:space="preserve"> en tierra SBAS </w:t>
      </w:r>
      <w:r w:rsidR="00494AB8" w:rsidRPr="001246F2">
        <w:t>desempeñan</w:t>
      </w:r>
      <w:r w:rsidRPr="001246F2">
        <w:t xml:space="preserve"> tareas criticas tales como comprobación de la integridad de los </w:t>
      </w:r>
      <w:r w:rsidR="00494AB8" w:rsidRPr="001246F2">
        <w:t>sistemas</w:t>
      </w:r>
      <w:r w:rsidRPr="001246F2">
        <w:t xml:space="preserve"> del SRNS en las estaciones en </w:t>
      </w:r>
      <w:r w:rsidR="00494AB8" w:rsidRPr="001246F2">
        <w:t>tierra</w:t>
      </w:r>
      <w:r w:rsidRPr="001246F2">
        <w:t xml:space="preserve"> </w:t>
      </w:r>
      <w:r w:rsidR="0027756D" w:rsidRPr="001246F2">
        <w:t>SBAS situa</w:t>
      </w:r>
      <w:r w:rsidRPr="001246F2">
        <w:t>d</w:t>
      </w:r>
      <w:r w:rsidR="0027756D" w:rsidRPr="001246F2">
        <w:t>a</w:t>
      </w:r>
      <w:r w:rsidRPr="001246F2">
        <w:t>s en emplazamientos fijo</w:t>
      </w:r>
      <w:r w:rsidR="0027756D" w:rsidRPr="001246F2">
        <w:t>s conocidos</w:t>
      </w:r>
      <w:r w:rsidRPr="001246F2">
        <w:t xml:space="preserve">. Por consiguiente, a estos receptores debe </w:t>
      </w:r>
      <w:r w:rsidR="00494AB8" w:rsidRPr="001246F2">
        <w:t>garantizárseles</w:t>
      </w:r>
      <w:r w:rsidRPr="001246F2">
        <w:t xml:space="preserve"> la </w:t>
      </w:r>
      <w:r w:rsidR="00494AB8" w:rsidRPr="001246F2">
        <w:t>protección</w:t>
      </w:r>
      <w:r w:rsidRPr="001246F2">
        <w:t xml:space="preserve"> adecuada para </w:t>
      </w:r>
      <w:r w:rsidR="00494AB8" w:rsidRPr="001246F2">
        <w:t>asegurar</w:t>
      </w:r>
      <w:r w:rsidRPr="001246F2">
        <w:t xml:space="preserve"> el acceso </w:t>
      </w:r>
      <w:r w:rsidR="00494AB8" w:rsidRPr="001246F2">
        <w:t>ininterrumpido</w:t>
      </w:r>
      <w:r w:rsidR="0027756D" w:rsidRPr="001246F2">
        <w:t xml:space="preserve"> conti</w:t>
      </w:r>
      <w:r w:rsidRPr="001246F2">
        <w:t xml:space="preserve">nuo a las señales del SRNS; tales como, </w:t>
      </w:r>
      <w:r w:rsidR="00494AB8" w:rsidRPr="001246F2">
        <w:t>entre</w:t>
      </w:r>
      <w:r w:rsidRPr="001246F2">
        <w:t xml:space="preserve"> otras, las zonas </w:t>
      </w:r>
      <w:r w:rsidR="00494AB8" w:rsidRPr="001246F2">
        <w:t>física</w:t>
      </w:r>
      <w:r w:rsidR="0027756D" w:rsidRPr="001246F2">
        <w:t>s de amortiguación</w:t>
      </w:r>
      <w:r w:rsidRPr="001246F2">
        <w:t>.</w:t>
      </w:r>
    </w:p>
    <w:p w:rsidR="002F74C4" w:rsidRPr="001246F2" w:rsidRDefault="005175A8" w:rsidP="005175A8">
      <w:pPr>
        <w:pStyle w:val="Heading3"/>
      </w:pPr>
      <w:r w:rsidRPr="001246F2">
        <w:t>2.1.4</w:t>
      </w:r>
      <w:r w:rsidRPr="001246F2">
        <w:tab/>
      </w:r>
      <w:r w:rsidR="002F74C4" w:rsidRPr="001246F2">
        <w:t xml:space="preserve">Receptor </w:t>
      </w:r>
      <w:r w:rsidRPr="001246F2">
        <w:t>con</w:t>
      </w:r>
      <w:r w:rsidR="002F74C4" w:rsidRPr="001246F2">
        <w:t xml:space="preserve"> aproximación de </w:t>
      </w:r>
      <w:r w:rsidR="00494AB8" w:rsidRPr="001246F2">
        <w:t>precisión</w:t>
      </w:r>
      <w:r w:rsidR="002F74C4" w:rsidRPr="001246F2">
        <w:t xml:space="preserve"> de navegación </w:t>
      </w:r>
      <w:r w:rsidR="00494AB8" w:rsidRPr="001246F2">
        <w:t>aérea</w:t>
      </w:r>
    </w:p>
    <w:p w:rsidR="002F74C4" w:rsidRPr="001246F2" w:rsidRDefault="002F74C4" w:rsidP="005175A8">
      <w:r w:rsidRPr="001246F2">
        <w:t xml:space="preserve">Este tipo de </w:t>
      </w:r>
      <w:r w:rsidR="00494AB8" w:rsidRPr="001246F2">
        <w:t>receptor</w:t>
      </w:r>
      <w:r w:rsidRPr="001246F2">
        <w:t xml:space="preserve"> es un receptor de navegación </w:t>
      </w:r>
      <w:r w:rsidR="00494AB8" w:rsidRPr="001246F2">
        <w:t>aérea</w:t>
      </w:r>
      <w:r w:rsidRPr="001246F2">
        <w:t xml:space="preserve"> diseñado para proporcionar una aproximación de </w:t>
      </w:r>
      <w:r w:rsidR="00494AB8" w:rsidRPr="001246F2">
        <w:t>precisión</w:t>
      </w:r>
      <w:r w:rsidRPr="001246F2">
        <w:t xml:space="preserve">. Funciona con señales AMDF del SRNS en varias frecuencias portadoras </w:t>
      </w:r>
      <w:r w:rsidR="00494AB8" w:rsidRPr="001246F2">
        <w:t>simultáneamente</w:t>
      </w:r>
      <w:r w:rsidRPr="001246F2">
        <w:t xml:space="preserve">. Las </w:t>
      </w:r>
      <w:r w:rsidR="00494AB8" w:rsidRPr="001246F2">
        <w:t>características</w:t>
      </w:r>
      <w:r w:rsidRPr="001246F2">
        <w:t xml:space="preserve"> de este tipo de receptor se especifican en el Cuadro 2, columna</w:t>
      </w:r>
      <w:r w:rsidR="005175A8" w:rsidRPr="001246F2">
        <w:t> </w:t>
      </w:r>
      <w:r w:rsidRPr="001246F2">
        <w:t>6.</w:t>
      </w:r>
    </w:p>
    <w:p w:rsidR="002F74C4" w:rsidRPr="001246F2" w:rsidRDefault="002F74C4" w:rsidP="002F74C4">
      <w:r w:rsidRPr="001246F2">
        <w:t xml:space="preserve">Las </w:t>
      </w:r>
      <w:r w:rsidR="00494AB8" w:rsidRPr="001246F2">
        <w:t>características</w:t>
      </w:r>
      <w:r w:rsidRPr="001246F2">
        <w:t xml:space="preserve"> de los receptores de navegación </w:t>
      </w:r>
      <w:r w:rsidR="00494AB8" w:rsidRPr="001246F2">
        <w:t>aérea</w:t>
      </w:r>
      <w:r w:rsidRPr="001246F2">
        <w:t xml:space="preserve"> AMDF </w:t>
      </w:r>
      <w:r w:rsidR="00494AB8" w:rsidRPr="001246F2">
        <w:t>también</w:t>
      </w:r>
      <w:r w:rsidRPr="001246F2">
        <w:t xml:space="preserve"> pueden </w:t>
      </w:r>
      <w:r w:rsidR="00494AB8" w:rsidRPr="001246F2">
        <w:t>aplicarse</w:t>
      </w:r>
      <w:r w:rsidRPr="001246F2">
        <w:t xml:space="preserve"> a los receptores </w:t>
      </w:r>
      <w:r w:rsidR="00494AB8" w:rsidRPr="001246F2">
        <w:t>desarrollados</w:t>
      </w:r>
      <w:r w:rsidRPr="001246F2">
        <w:t xml:space="preserve"> para aplicaciones </w:t>
      </w:r>
      <w:r w:rsidR="00494AB8" w:rsidRPr="001246F2">
        <w:t>terrestres</w:t>
      </w:r>
      <w:r w:rsidRPr="001246F2">
        <w:t xml:space="preserve"> y </w:t>
      </w:r>
      <w:r w:rsidR="00494AB8" w:rsidRPr="001246F2">
        <w:t>marítimas</w:t>
      </w:r>
      <w:r w:rsidRPr="001246F2">
        <w:t xml:space="preserve"> no descritas en el presente Anexo.</w:t>
      </w:r>
    </w:p>
    <w:p w:rsidR="002F74C4" w:rsidRPr="001246F2" w:rsidRDefault="005175A8" w:rsidP="005175A8">
      <w:pPr>
        <w:pStyle w:val="Heading3"/>
      </w:pPr>
      <w:r w:rsidRPr="001246F2">
        <w:t>2.2</w:t>
      </w:r>
      <w:r w:rsidRPr="001246F2">
        <w:tab/>
      </w:r>
      <w:r w:rsidR="002F74C4" w:rsidRPr="001246F2">
        <w:t xml:space="preserve">Receptores de alta </w:t>
      </w:r>
      <w:r w:rsidR="00494AB8" w:rsidRPr="001246F2">
        <w:t>precisión</w:t>
      </w:r>
    </w:p>
    <w:p w:rsidR="002F74C4" w:rsidRPr="001246F2" w:rsidRDefault="002F74C4" w:rsidP="005175A8">
      <w:r w:rsidRPr="001246F2">
        <w:t xml:space="preserve">La </w:t>
      </w:r>
      <w:r w:rsidR="00494AB8" w:rsidRPr="001246F2">
        <w:t>categoría</w:t>
      </w:r>
      <w:r w:rsidRPr="001246F2">
        <w:t xml:space="preserve"> de alta </w:t>
      </w:r>
      <w:r w:rsidR="00494AB8" w:rsidRPr="001246F2">
        <w:t>precisión</w:t>
      </w:r>
      <w:r w:rsidRPr="001246F2">
        <w:t xml:space="preserve"> representa receptores diseñados para proporcionar una </w:t>
      </w:r>
      <w:r w:rsidR="00BC71CC" w:rsidRPr="001246F2">
        <w:t>precisión</w:t>
      </w:r>
      <w:r w:rsidRPr="001246F2">
        <w:t xml:space="preserve"> en el </w:t>
      </w:r>
      <w:r w:rsidR="00BC71CC" w:rsidRPr="001246F2">
        <w:t>posicionamiento</w:t>
      </w:r>
      <w:r w:rsidRPr="001246F2">
        <w:t xml:space="preserve"> de uno o dos centímetros en tiempo </w:t>
      </w:r>
      <w:r w:rsidR="00BC71CC" w:rsidRPr="001246F2">
        <w:t>real</w:t>
      </w:r>
      <w:r w:rsidRPr="001246F2">
        <w:t xml:space="preserve"> y en modo </w:t>
      </w:r>
      <w:r w:rsidR="00BC71CC" w:rsidRPr="001246F2">
        <w:t>dinámico</w:t>
      </w:r>
      <w:r w:rsidRPr="001246F2">
        <w:t xml:space="preserve">, utilizando una </w:t>
      </w:r>
      <w:r w:rsidR="00BC71CC" w:rsidRPr="001246F2">
        <w:t>técnica</w:t>
      </w:r>
      <w:r w:rsidRPr="001246F2">
        <w:t xml:space="preserve"> de frecuencia doble o señales de frecuencia triple y </w:t>
      </w:r>
      <w:r w:rsidR="00BC71CC" w:rsidRPr="001246F2">
        <w:t>también</w:t>
      </w:r>
      <w:r w:rsidRPr="001246F2">
        <w:t xml:space="preserve"> redes SBAS. Sus </w:t>
      </w:r>
      <w:r w:rsidR="00BC71CC" w:rsidRPr="001246F2">
        <w:t>características</w:t>
      </w:r>
      <w:r w:rsidRPr="001246F2">
        <w:t xml:space="preserve"> son similares a las de los </w:t>
      </w:r>
      <w:r w:rsidR="00BC71CC" w:rsidRPr="001246F2">
        <w:t>receptores</w:t>
      </w:r>
      <w:r w:rsidRPr="001246F2">
        <w:t xml:space="preserve"> </w:t>
      </w:r>
      <w:r w:rsidR="00BC71CC" w:rsidRPr="001246F2">
        <w:t>aeronáuticos</w:t>
      </w:r>
      <w:r w:rsidRPr="001246F2">
        <w:t xml:space="preserve"> de referencia en tierra </w:t>
      </w:r>
      <w:r w:rsidR="005175A8" w:rsidRPr="001246F2">
        <w:t>SBAS de codificación parcial</w:t>
      </w:r>
      <w:r w:rsidRPr="001246F2">
        <w:t xml:space="preserve"> descritos anteriormente, pero en algunas aplicaciones puede</w:t>
      </w:r>
      <w:r w:rsidR="005175A8" w:rsidRPr="001246F2">
        <w:t>n</w:t>
      </w:r>
      <w:r w:rsidRPr="001246F2">
        <w:t xml:space="preserve"> ser m</w:t>
      </w:r>
      <w:r w:rsidR="005175A8" w:rsidRPr="001246F2">
        <w:t>á</w:t>
      </w:r>
      <w:r w:rsidRPr="001246F2">
        <w:t>s sensible</w:t>
      </w:r>
      <w:r w:rsidR="005175A8" w:rsidRPr="001246F2">
        <w:t>s</w:t>
      </w:r>
      <w:r w:rsidRPr="001246F2">
        <w:t xml:space="preserve"> que </w:t>
      </w:r>
      <w:r w:rsidR="005175A8" w:rsidRPr="001246F2">
        <w:t xml:space="preserve">en </w:t>
      </w:r>
      <w:r w:rsidRPr="001246F2">
        <w:t xml:space="preserve">estas aplicaciones </w:t>
      </w:r>
      <w:r w:rsidR="00BC71CC" w:rsidRPr="001246F2">
        <w:t>aeronáuticas</w:t>
      </w:r>
      <w:r w:rsidRPr="001246F2">
        <w:t xml:space="preserve"> ya que estos receptores de alta </w:t>
      </w:r>
      <w:r w:rsidR="00BC71CC" w:rsidRPr="001246F2">
        <w:t>precisión</w:t>
      </w:r>
      <w:r w:rsidRPr="001246F2">
        <w:t xml:space="preserve"> funcionan en entornos difíciles, tales </w:t>
      </w:r>
      <w:r w:rsidR="00BC71CC" w:rsidRPr="001246F2">
        <w:t>como</w:t>
      </w:r>
      <w:r w:rsidRPr="001246F2">
        <w:t xml:space="preserve"> bajo </w:t>
      </w:r>
      <w:r w:rsidR="005175A8" w:rsidRPr="001246F2">
        <w:t xml:space="preserve">un </w:t>
      </w:r>
      <w:r w:rsidRPr="001246F2">
        <w:t xml:space="preserve">manto </w:t>
      </w:r>
      <w:r w:rsidR="005175A8" w:rsidRPr="001246F2">
        <w:t xml:space="preserve">de </w:t>
      </w:r>
      <w:r w:rsidRPr="001246F2">
        <w:t>vege</w:t>
      </w:r>
      <w:r w:rsidR="005175A8" w:rsidRPr="001246F2">
        <w:t>tación</w:t>
      </w:r>
      <w:r w:rsidRPr="001246F2">
        <w:t xml:space="preserve">. Los sistemas y receptores de alta </w:t>
      </w:r>
      <w:r w:rsidR="00BC71CC" w:rsidRPr="001246F2">
        <w:t>precisión</w:t>
      </w:r>
      <w:r w:rsidRPr="001246F2">
        <w:t xml:space="preserve"> se emplean en aplicaciones </w:t>
      </w:r>
      <w:r w:rsidR="00BC71CC" w:rsidRPr="001246F2">
        <w:t>que</w:t>
      </w:r>
      <w:r w:rsidRPr="001246F2">
        <w:t xml:space="preserve"> requieren elevada </w:t>
      </w:r>
      <w:r w:rsidR="00BC71CC" w:rsidRPr="001246F2">
        <w:t>precisión</w:t>
      </w:r>
      <w:r w:rsidRPr="001246F2">
        <w:t xml:space="preserve"> de posicionamiento, tales como la agricultura, la </w:t>
      </w:r>
      <w:r w:rsidR="00BC71CC" w:rsidRPr="001246F2">
        <w:lastRenderedPageBreak/>
        <w:t>construcción</w:t>
      </w:r>
      <w:r w:rsidRPr="001246F2">
        <w:t xml:space="preserve">, la </w:t>
      </w:r>
      <w:r w:rsidR="00BC71CC" w:rsidRPr="001246F2">
        <w:t>minería</w:t>
      </w:r>
      <w:r w:rsidRPr="001246F2">
        <w:t xml:space="preserve">, la </w:t>
      </w:r>
      <w:r w:rsidR="00BC71CC" w:rsidRPr="001246F2">
        <w:t>gestión</w:t>
      </w:r>
      <w:r w:rsidRPr="001246F2">
        <w:t xml:space="preserve"> de los recursos</w:t>
      </w:r>
      <w:r w:rsidR="005175A8" w:rsidRPr="001246F2">
        <w:t xml:space="preserve"> naturales</w:t>
      </w:r>
      <w:r w:rsidRPr="001246F2">
        <w:t>, la ciencia y el levantamiento de planos.</w:t>
      </w:r>
    </w:p>
    <w:p w:rsidR="002F74C4" w:rsidRPr="001246F2" w:rsidRDefault="002F74C4" w:rsidP="00D304D4">
      <w:r w:rsidRPr="001246F2">
        <w:t xml:space="preserve">Los </w:t>
      </w:r>
      <w:r w:rsidR="00BC71CC" w:rsidRPr="001246F2">
        <w:t>receptores</w:t>
      </w:r>
      <w:r w:rsidRPr="001246F2">
        <w:t xml:space="preserve"> del SRNS de alta </w:t>
      </w:r>
      <w:r w:rsidR="00BC71CC" w:rsidRPr="001246F2">
        <w:t>precisión</w:t>
      </w:r>
      <w:r w:rsidRPr="001246F2">
        <w:t xml:space="preserve"> utilizan una </w:t>
      </w:r>
      <w:r w:rsidR="00BC71CC" w:rsidRPr="001246F2">
        <w:t>técnica</w:t>
      </w:r>
      <w:r w:rsidRPr="001246F2">
        <w:t xml:space="preserve"> </w:t>
      </w:r>
      <w:r w:rsidR="005175A8" w:rsidRPr="001246F2">
        <w:t>de codificación parcial por medio de la cual se realiza la adquisición y el seguimiento de</w:t>
      </w:r>
      <w:r w:rsidRPr="001246F2">
        <w:t xml:space="preserve"> dos o tres señales del SRNS con diferentes portadoras (por </w:t>
      </w:r>
      <w:r w:rsidR="00BC71CC" w:rsidRPr="001246F2">
        <w:t>ejemplo</w:t>
      </w:r>
      <w:r w:rsidR="005175A8" w:rsidRPr="001246F2">
        <w:t>, señales</w:t>
      </w:r>
      <w:r w:rsidRPr="001246F2">
        <w:t xml:space="preserve"> L1 y L2 P(Y)), co</w:t>
      </w:r>
      <w:r w:rsidR="005175A8" w:rsidRPr="001246F2">
        <w:t>n la ayuda del conocimiento de un</w:t>
      </w:r>
      <w:r w:rsidRPr="001246F2">
        <w:t>a fase</w:t>
      </w:r>
      <w:r w:rsidR="002A0F3A">
        <w:t xml:space="preserve"> de</w:t>
      </w:r>
      <w:r w:rsidRPr="001246F2">
        <w:t xml:space="preserve"> portadora </w:t>
      </w:r>
      <w:r w:rsidR="00BC71CC" w:rsidRPr="001246F2">
        <w:t>dinámica</w:t>
      </w:r>
      <w:r w:rsidRPr="001246F2">
        <w:t xml:space="preserve"> obtenido del </w:t>
      </w:r>
      <w:r w:rsidR="00BC71CC" w:rsidRPr="001246F2">
        <w:t>código</w:t>
      </w:r>
      <w:r w:rsidRPr="001246F2">
        <w:t xml:space="preserve"> </w:t>
      </w:r>
      <w:r w:rsidR="005175A8" w:rsidRPr="001246F2">
        <w:t xml:space="preserve">de seguimiento </w:t>
      </w:r>
      <w:r w:rsidRPr="001246F2">
        <w:t>de una de las señales (por ejemplo</w:t>
      </w:r>
      <w:r w:rsidR="005175A8" w:rsidRPr="001246F2">
        <w:t>,</w:t>
      </w:r>
      <w:r w:rsidRPr="001246F2">
        <w:t xml:space="preserve"> L1</w:t>
      </w:r>
      <w:r w:rsidR="005175A8" w:rsidRPr="001246F2">
        <w:t> </w:t>
      </w:r>
      <w:r w:rsidRPr="001246F2">
        <w:t xml:space="preserve">C/A). </w:t>
      </w:r>
      <w:r w:rsidR="005175A8" w:rsidRPr="001246F2">
        <w:t xml:space="preserve">Estos </w:t>
      </w:r>
      <w:r w:rsidRPr="001246F2">
        <w:t xml:space="preserve">receptores requieren </w:t>
      </w:r>
      <w:r w:rsidR="00BC71CC" w:rsidRPr="001246F2">
        <w:t>protección</w:t>
      </w:r>
      <w:r w:rsidRPr="001246F2">
        <w:t xml:space="preserve"> en todas las bandas del SRNS utilizadas. Se utilizan dos</w:t>
      </w:r>
      <w:r w:rsidR="005175A8" w:rsidRPr="001246F2">
        <w:t> </w:t>
      </w:r>
      <w:r w:rsidR="00BC71CC" w:rsidRPr="001246F2">
        <w:t>modos</w:t>
      </w:r>
      <w:r w:rsidRPr="001246F2">
        <w:t xml:space="preserve"> </w:t>
      </w:r>
      <w:r w:rsidR="00BC71CC" w:rsidRPr="001246F2">
        <w:t>básicos</w:t>
      </w:r>
      <w:r w:rsidRPr="001246F2">
        <w:t>: 1)</w:t>
      </w:r>
      <w:r w:rsidR="005175A8" w:rsidRPr="001246F2">
        <w:t> </w:t>
      </w:r>
      <w:r w:rsidRPr="001246F2">
        <w:t>las señales del SRNS en las distintas bandas presenta</w:t>
      </w:r>
      <w:r w:rsidR="005175A8" w:rsidRPr="001246F2">
        <w:t>n</w:t>
      </w:r>
      <w:r w:rsidRPr="001246F2">
        <w:t xml:space="preserve"> una </w:t>
      </w:r>
      <w:r w:rsidR="00BC71CC" w:rsidRPr="001246F2">
        <w:t>correlación</w:t>
      </w:r>
      <w:r w:rsidR="002A0F3A">
        <w:t xml:space="preserve"> cruzada;</w:t>
      </w:r>
      <w:r w:rsidRPr="001246F2">
        <w:t xml:space="preserve"> o 2)</w:t>
      </w:r>
      <w:r w:rsidR="005175A8" w:rsidRPr="001246F2">
        <w:t xml:space="preserve"> se </w:t>
      </w:r>
      <w:r w:rsidR="001246F2" w:rsidRPr="001246F2">
        <w:t>realiz</w:t>
      </w:r>
      <w:r w:rsidR="00D304D4">
        <w:t>a</w:t>
      </w:r>
      <w:r w:rsidR="005175A8" w:rsidRPr="001246F2">
        <w:t xml:space="preserve"> un seguimiento independiente de </w:t>
      </w:r>
      <w:r w:rsidRPr="001246F2">
        <w:t xml:space="preserve">las señales del SRNS. </w:t>
      </w:r>
      <w:r w:rsidR="00BC71CC" w:rsidRPr="001246F2">
        <w:t>También</w:t>
      </w:r>
      <w:r w:rsidRPr="001246F2">
        <w:t xml:space="preserve"> hay variaciones a estos </w:t>
      </w:r>
      <w:r w:rsidR="00BC71CC" w:rsidRPr="001246F2">
        <w:t>métodos</w:t>
      </w:r>
      <w:r w:rsidRPr="001246F2">
        <w:t xml:space="preserve">, o combinaciones de los dos </w:t>
      </w:r>
      <w:r w:rsidR="00BC71CC" w:rsidRPr="001246F2">
        <w:t>métodos</w:t>
      </w:r>
      <w:r w:rsidRPr="001246F2">
        <w:t xml:space="preserve">. En cualquier caso, el objetivo es proporcionar una </w:t>
      </w:r>
      <w:r w:rsidR="00BC71CC" w:rsidRPr="001246F2">
        <w:t>estimación</w:t>
      </w:r>
      <w:r w:rsidRPr="001246F2">
        <w:t xml:space="preserve"> del retardo </w:t>
      </w:r>
      <w:r w:rsidR="00BC71CC" w:rsidRPr="001246F2">
        <w:t>ionosférico</w:t>
      </w:r>
      <w:r w:rsidRPr="001246F2">
        <w:t xml:space="preserve"> o un conjunto independiente de mediciones de la fase </w:t>
      </w:r>
      <w:r w:rsidR="005175A8" w:rsidRPr="001246F2">
        <w:t xml:space="preserve">de </w:t>
      </w:r>
      <w:r w:rsidRPr="001246F2">
        <w:t xml:space="preserve">portadora que ayude a eliminar </w:t>
      </w:r>
      <w:r w:rsidR="00BC71CC" w:rsidRPr="001246F2">
        <w:t>rápidamente</w:t>
      </w:r>
      <w:r w:rsidRPr="001246F2">
        <w:t xml:space="preserve"> las ambigüedades de la </w:t>
      </w:r>
      <w:r w:rsidR="00BC71CC" w:rsidRPr="001246F2">
        <w:t>longitud</w:t>
      </w:r>
      <w:r w:rsidRPr="001246F2">
        <w:t xml:space="preserve"> de onda. Este proceso ofrece </w:t>
      </w:r>
      <w:r w:rsidR="00BC71CC" w:rsidRPr="001246F2">
        <w:t>una</w:t>
      </w:r>
      <w:r w:rsidRPr="001246F2">
        <w:t xml:space="preserve"> </w:t>
      </w:r>
      <w:r w:rsidR="00BC71CC" w:rsidRPr="001246F2">
        <w:t>precisión</w:t>
      </w:r>
      <w:r w:rsidRPr="001246F2">
        <w:t xml:space="preserve"> de la posición mejorada, </w:t>
      </w:r>
      <w:r w:rsidR="001246F2" w:rsidRPr="001246F2">
        <w:t>aun</w:t>
      </w:r>
      <w:r w:rsidRPr="001246F2">
        <w:t xml:space="preserve"> cuando el receptor se </w:t>
      </w:r>
      <w:r w:rsidR="00BC71CC" w:rsidRPr="001246F2">
        <w:t>encuentre</w:t>
      </w:r>
      <w:r w:rsidRPr="001246F2">
        <w:t xml:space="preserve"> en movimiento. El esquema de </w:t>
      </w:r>
      <w:r w:rsidR="00BC71CC" w:rsidRPr="001246F2">
        <w:t>correlación</w:t>
      </w:r>
      <w:r w:rsidRPr="001246F2">
        <w:t xml:space="preserve"> cruzada es posible si las señales tienen </w:t>
      </w:r>
      <w:r w:rsidR="00BC71CC" w:rsidRPr="001246F2">
        <w:t>códigos</w:t>
      </w:r>
      <w:r w:rsidRPr="001246F2">
        <w:t xml:space="preserve"> </w:t>
      </w:r>
      <w:r w:rsidR="00BC71CC" w:rsidRPr="001246F2">
        <w:t>idénticos</w:t>
      </w:r>
      <w:r w:rsidRPr="001246F2">
        <w:t xml:space="preserve"> y casi sincronizados. Las señales en una frecuencia </w:t>
      </w:r>
      <w:r w:rsidR="00BC71CC" w:rsidRPr="001246F2">
        <w:t>portadora</w:t>
      </w:r>
      <w:r w:rsidRPr="001246F2">
        <w:t xml:space="preserve"> son desplazadas en fase y retardadas por la ionosfera con respecto a las señales en otra frecuencia portadora del mismo </w:t>
      </w:r>
      <w:r w:rsidR="00BC71CC" w:rsidRPr="001246F2">
        <w:t>satélite</w:t>
      </w:r>
      <w:r w:rsidRPr="001246F2">
        <w:t xml:space="preserve">. No obstante, cuando las señales tienen </w:t>
      </w:r>
      <w:r w:rsidR="00BC71CC" w:rsidRPr="001246F2">
        <w:t>idéntico</w:t>
      </w:r>
      <w:r w:rsidRPr="001246F2">
        <w:t xml:space="preserve"> </w:t>
      </w:r>
      <w:r w:rsidR="00BC71CC" w:rsidRPr="001246F2">
        <w:t>código</w:t>
      </w:r>
      <w:r w:rsidRPr="001246F2">
        <w:t xml:space="preserve"> y </w:t>
      </w:r>
      <w:r w:rsidR="00BC71CC" w:rsidRPr="001246F2">
        <w:t>portadora</w:t>
      </w:r>
      <w:r w:rsidRPr="001246F2">
        <w:t xml:space="preserve"> Doppler, puede existir la capacidad de ayudar al seguimiento </w:t>
      </w:r>
      <w:r w:rsidR="005175A8" w:rsidRPr="001246F2">
        <w:t>con codificación parcial</w:t>
      </w:r>
      <w:r w:rsidRPr="001246F2">
        <w:t xml:space="preserve"> utilizando bucles de </w:t>
      </w:r>
      <w:r w:rsidR="00BC71CC" w:rsidRPr="001246F2">
        <w:t>seguimiento</w:t>
      </w:r>
      <w:r w:rsidRPr="001246F2">
        <w:t xml:space="preserve"> de banda muy estrecha.</w:t>
      </w:r>
    </w:p>
    <w:p w:rsidR="002F74C4" w:rsidRPr="001246F2" w:rsidRDefault="002F74C4" w:rsidP="00A90465">
      <w:r w:rsidRPr="001246F2">
        <w:t>Las versiones m</w:t>
      </w:r>
      <w:r w:rsidR="005175A8" w:rsidRPr="001246F2">
        <w:t>á</w:t>
      </w:r>
      <w:r w:rsidRPr="001246F2">
        <w:t xml:space="preserve">s modernas de estos receptores </w:t>
      </w:r>
      <w:r w:rsidR="00BC71CC" w:rsidRPr="001246F2">
        <w:t>tambié</w:t>
      </w:r>
      <w:r w:rsidR="005175A8" w:rsidRPr="001246F2">
        <w:t>n</w:t>
      </w:r>
      <w:r w:rsidR="00BC71CC" w:rsidRPr="001246F2">
        <w:t xml:space="preserve"> pueden</w:t>
      </w:r>
      <w:r w:rsidRPr="001246F2">
        <w:t xml:space="preserve"> </w:t>
      </w:r>
      <w:r w:rsidR="00BC71CC" w:rsidRPr="001246F2">
        <w:t>realizar</w:t>
      </w:r>
      <w:r w:rsidRPr="001246F2">
        <w:t xml:space="preserve"> un seguimiento de la señal</w:t>
      </w:r>
      <w:r w:rsidR="005175A8" w:rsidRPr="001246F2">
        <w:t> </w:t>
      </w:r>
      <w:r w:rsidRPr="001246F2">
        <w:t>L2C</w:t>
      </w:r>
      <w:r w:rsidR="005175A8" w:rsidRPr="001246F2">
        <w:rPr>
          <w:rStyle w:val="FootnoteReference"/>
        </w:rPr>
        <w:footnoteReference w:id="10"/>
      </w:r>
      <w:r w:rsidRPr="001246F2">
        <w:t xml:space="preserve"> si est</w:t>
      </w:r>
      <w:r w:rsidR="00A90465">
        <w:t>á</w:t>
      </w:r>
      <w:r w:rsidRPr="001246F2">
        <w:t xml:space="preserve"> disponible en un </w:t>
      </w:r>
      <w:r w:rsidR="00BC71CC" w:rsidRPr="001246F2">
        <w:t>satélite</w:t>
      </w:r>
      <w:r w:rsidRPr="001246F2">
        <w:t xml:space="preserve"> en particular, en cuyo caso puede que no funcionen en modo </w:t>
      </w:r>
      <w:r w:rsidR="005175A8" w:rsidRPr="001246F2">
        <w:t>codificación parcial</w:t>
      </w:r>
      <w:r w:rsidRPr="001246F2">
        <w:t xml:space="preserve"> para ese </w:t>
      </w:r>
      <w:r w:rsidR="00BC71CC" w:rsidRPr="001246F2">
        <w:t>satélite</w:t>
      </w:r>
      <w:r w:rsidRPr="001246F2">
        <w:t xml:space="preserve">. Sin embargo, como estos receptores </w:t>
      </w:r>
      <w:r w:rsidR="00BC71CC" w:rsidRPr="001246F2">
        <w:t>estarían</w:t>
      </w:r>
      <w:r w:rsidRPr="001246F2">
        <w:t xml:space="preserve"> funcionando en una red </w:t>
      </w:r>
      <w:r w:rsidR="005175A8" w:rsidRPr="001246F2">
        <w:t>terrestre</w:t>
      </w:r>
      <w:r w:rsidRPr="001246F2">
        <w:t xml:space="preserve"> junto con receptores </w:t>
      </w:r>
      <w:r w:rsidR="005175A8" w:rsidRPr="001246F2">
        <w:t>de codificación parcial</w:t>
      </w:r>
      <w:r w:rsidRPr="001246F2">
        <w:t xml:space="preserve">, y junto con seguimiento </w:t>
      </w:r>
      <w:r w:rsidR="005175A8" w:rsidRPr="001246F2">
        <w:t>con codificación parcial</w:t>
      </w:r>
      <w:r w:rsidRPr="001246F2">
        <w:t xml:space="preserve"> de señales de </w:t>
      </w:r>
      <w:r w:rsidR="00BC71CC" w:rsidRPr="001246F2">
        <w:t>satélite</w:t>
      </w:r>
      <w:r w:rsidRPr="001246F2">
        <w:t xml:space="preserve"> sin L2C, su sensibilidad a la interferencia es la misma que la sensibilidad </w:t>
      </w:r>
      <w:r w:rsidR="005175A8" w:rsidRPr="001246F2">
        <w:t>con codificación parcial</w:t>
      </w:r>
      <w:r w:rsidRPr="001246F2">
        <w:t xml:space="preserve"> a la interferencia.</w:t>
      </w:r>
    </w:p>
    <w:p w:rsidR="002F74C4" w:rsidRPr="001246F2" w:rsidRDefault="00BC71CC" w:rsidP="005175A8">
      <w:r w:rsidRPr="001246F2">
        <w:t>También</w:t>
      </w:r>
      <w:r w:rsidR="002F74C4" w:rsidRPr="001246F2">
        <w:t xml:space="preserve"> pueden utilizarse receptores multibanda en las redes de calidad comercial. En tales aplicaciones, las señales del SRNS pueden procesarse por </w:t>
      </w:r>
      <w:r w:rsidRPr="001246F2">
        <w:t>métodos</w:t>
      </w:r>
      <w:r w:rsidR="002F74C4" w:rsidRPr="001246F2">
        <w:t xml:space="preserve"> </w:t>
      </w:r>
      <w:r w:rsidR="005175A8" w:rsidRPr="001246F2">
        <w:t>de</w:t>
      </w:r>
      <w:r w:rsidR="002F74C4" w:rsidRPr="001246F2">
        <w:t xml:space="preserve"> </w:t>
      </w:r>
      <w:r w:rsidR="005175A8" w:rsidRPr="001246F2">
        <w:t>codificación parcial</w:t>
      </w:r>
      <w:r w:rsidR="002F74C4" w:rsidRPr="001246F2">
        <w:t xml:space="preserve"> para determinar el retardo </w:t>
      </w:r>
      <w:r w:rsidRPr="001246F2">
        <w:t>ionosférico</w:t>
      </w:r>
      <w:r w:rsidR="002F74C4" w:rsidRPr="001246F2">
        <w:t xml:space="preserve"> en las señales. Esta información es empleada por la red para mejorar la </w:t>
      </w:r>
      <w:r w:rsidRPr="001246F2">
        <w:t>precisión</w:t>
      </w:r>
      <w:r w:rsidR="002F74C4" w:rsidRPr="001246F2">
        <w:t xml:space="preserve"> a lo largo de una </w:t>
      </w:r>
      <w:r w:rsidRPr="001246F2">
        <w:t>región</w:t>
      </w:r>
      <w:r w:rsidR="002F74C4" w:rsidRPr="001246F2">
        <w:t xml:space="preserve"> amplia.</w:t>
      </w:r>
    </w:p>
    <w:p w:rsidR="002F74C4" w:rsidRPr="001246F2" w:rsidRDefault="002F74C4" w:rsidP="00D362FF">
      <w:r w:rsidRPr="001246F2">
        <w:t xml:space="preserve">Los receptores de la red </w:t>
      </w:r>
      <w:r w:rsidR="005175A8" w:rsidRPr="001246F2">
        <w:t>terrestre</w:t>
      </w:r>
      <w:r w:rsidRPr="001246F2">
        <w:t xml:space="preserve"> </w:t>
      </w:r>
      <w:r w:rsidR="00BC71CC" w:rsidRPr="001246F2">
        <w:t>comerciales</w:t>
      </w:r>
      <w:r w:rsidRPr="001246F2">
        <w:t xml:space="preserve"> mu</w:t>
      </w:r>
      <w:r w:rsidR="005175A8" w:rsidRPr="001246F2">
        <w:t>l</w:t>
      </w:r>
      <w:r w:rsidRPr="001246F2">
        <w:t>tibanda son generalmente</w:t>
      </w:r>
      <w:r w:rsidR="00B26D11" w:rsidRPr="001246F2">
        <w:t xml:space="preserve"> más </w:t>
      </w:r>
      <w:r w:rsidRPr="001246F2">
        <w:t xml:space="preserve">sensibles a la interferencia que los receptores </w:t>
      </w:r>
      <w:r w:rsidR="00D362FF" w:rsidRPr="001246F2">
        <w:t>aeronáuticos de codificación parcial</w:t>
      </w:r>
      <w:r w:rsidRPr="001246F2">
        <w:t xml:space="preserve"> descritos en el </w:t>
      </w:r>
      <w:r w:rsidR="00D362FF" w:rsidRPr="001246F2">
        <w:t>§ </w:t>
      </w:r>
      <w:r w:rsidRPr="001246F2">
        <w:t xml:space="preserve">2.1, aunque </w:t>
      </w:r>
      <w:r w:rsidR="00BC71CC" w:rsidRPr="001246F2">
        <w:t>también</w:t>
      </w:r>
      <w:r w:rsidRPr="001246F2">
        <w:t xml:space="preserve"> pueden </w:t>
      </w:r>
      <w:r w:rsidR="00BC71CC" w:rsidRPr="001246F2">
        <w:t>realizar</w:t>
      </w:r>
      <w:r w:rsidRPr="001246F2">
        <w:t xml:space="preserve"> un seguimiento de la señal L2C </w:t>
      </w:r>
      <w:r w:rsidR="00D362FF" w:rsidRPr="001246F2">
        <w:t xml:space="preserve">procedente </w:t>
      </w:r>
      <w:r w:rsidRPr="001246F2">
        <w:t xml:space="preserve">de </w:t>
      </w:r>
      <w:r w:rsidR="00BC71CC" w:rsidRPr="001246F2">
        <w:t>satélites</w:t>
      </w:r>
      <w:r w:rsidRPr="001246F2">
        <w:t xml:space="preserve"> individuales. </w:t>
      </w:r>
      <w:r w:rsidR="00BC71CC" w:rsidRPr="001246F2">
        <w:t>Generalme</w:t>
      </w:r>
      <w:r w:rsidR="00D362FF" w:rsidRPr="001246F2">
        <w:t>n</w:t>
      </w:r>
      <w:r w:rsidR="00BC71CC" w:rsidRPr="001246F2">
        <w:t>te</w:t>
      </w:r>
      <w:r w:rsidRPr="001246F2">
        <w:t xml:space="preserve"> </w:t>
      </w:r>
      <w:r w:rsidR="00BC71CC" w:rsidRPr="001246F2">
        <w:t>están</w:t>
      </w:r>
      <w:r w:rsidRPr="001246F2">
        <w:t xml:space="preserve"> diseñados para funcionar en un entorno </w:t>
      </w:r>
      <w:r w:rsidR="00BC71CC" w:rsidRPr="001246F2">
        <w:t>dinámico</w:t>
      </w:r>
      <w:r w:rsidRPr="001246F2">
        <w:t xml:space="preserve"> y no utilizan normalmente una referencia de frecuencia precisa. Los umbrales de </w:t>
      </w:r>
      <w:r w:rsidR="00BC71CC" w:rsidRPr="001246F2">
        <w:t>interferencia</w:t>
      </w:r>
      <w:r w:rsidRPr="001246F2">
        <w:t xml:space="preserve"> indicados</w:t>
      </w:r>
      <w:r w:rsidR="00B26D11" w:rsidRPr="001246F2">
        <w:t xml:space="preserve"> más </w:t>
      </w:r>
      <w:r w:rsidRPr="001246F2">
        <w:t>adelante en el Cuadro</w:t>
      </w:r>
      <w:r w:rsidR="00D362FF" w:rsidRPr="001246F2">
        <w:t> </w:t>
      </w:r>
      <w:r w:rsidRPr="001246F2">
        <w:t xml:space="preserve">2 para los receptores del SRNS de alta </w:t>
      </w:r>
      <w:r w:rsidR="00BC71CC" w:rsidRPr="001246F2">
        <w:t>precisión</w:t>
      </w:r>
      <w:r w:rsidRPr="001246F2">
        <w:t xml:space="preserve"> </w:t>
      </w:r>
      <w:r w:rsidR="00BC71CC" w:rsidRPr="001246F2">
        <w:t>también</w:t>
      </w:r>
      <w:r w:rsidRPr="001246F2">
        <w:t xml:space="preserve"> son aplicables a </w:t>
      </w:r>
      <w:r w:rsidR="00D362FF" w:rsidRPr="001246F2">
        <w:t>l</w:t>
      </w:r>
      <w:r w:rsidRPr="001246F2">
        <w:t xml:space="preserve">os receptores </w:t>
      </w:r>
      <w:r w:rsidR="00D362FF" w:rsidRPr="001246F2">
        <w:t>de codificación parcial</w:t>
      </w:r>
      <w:r w:rsidRPr="001246F2">
        <w:t xml:space="preserve"> de calidad comercial.</w:t>
      </w:r>
    </w:p>
    <w:p w:rsidR="002F74C4" w:rsidRPr="001246F2" w:rsidRDefault="00BC71CC" w:rsidP="00D362FF">
      <w:r w:rsidRPr="001246F2">
        <w:t>Obsérvese</w:t>
      </w:r>
      <w:r w:rsidR="002F74C4" w:rsidRPr="001246F2">
        <w:t xml:space="preserve"> que los </w:t>
      </w:r>
      <w:r w:rsidRPr="001246F2">
        <w:t>umbrales</w:t>
      </w:r>
      <w:r w:rsidR="002F74C4" w:rsidRPr="001246F2">
        <w:t xml:space="preserve"> de seguimiento pertinentes para estos receptores </w:t>
      </w:r>
      <w:r w:rsidR="00D362FF" w:rsidRPr="001246F2">
        <w:t>de codificación parcial</w:t>
      </w:r>
      <w:r w:rsidR="002F74C4" w:rsidRPr="001246F2">
        <w:t xml:space="preserve"> (</w:t>
      </w:r>
      <w:r w:rsidRPr="001246F2">
        <w:t>véase</w:t>
      </w:r>
      <w:r w:rsidR="002F74C4" w:rsidRPr="001246F2">
        <w:t xml:space="preserve"> la co</w:t>
      </w:r>
      <w:r w:rsidR="00D362FF" w:rsidRPr="001246F2">
        <w:t>lumna</w:t>
      </w:r>
      <w:r w:rsidR="002F74C4" w:rsidRPr="001246F2">
        <w:t xml:space="preserve"> </w:t>
      </w:r>
      <w:r w:rsidR="00D362FF" w:rsidRPr="001246F2">
        <w:t>«</w:t>
      </w:r>
      <w:r w:rsidR="002F74C4" w:rsidRPr="001246F2">
        <w:t xml:space="preserve">alta </w:t>
      </w:r>
      <w:r w:rsidRPr="001246F2">
        <w:t>precisión</w:t>
      </w:r>
      <w:r w:rsidR="00D362FF" w:rsidRPr="001246F2">
        <w:t>»</w:t>
      </w:r>
      <w:r w:rsidR="002F74C4" w:rsidRPr="001246F2">
        <w:t xml:space="preserve"> en el </w:t>
      </w:r>
      <w:r w:rsidR="005175A8" w:rsidRPr="001246F2">
        <w:t>Cuadro</w:t>
      </w:r>
      <w:r w:rsidR="00D362FF" w:rsidRPr="001246F2">
        <w:t> </w:t>
      </w:r>
      <w:r w:rsidR="002F74C4" w:rsidRPr="001246F2">
        <w:t>2) se basan en la</w:t>
      </w:r>
      <w:r w:rsidR="00B26D11" w:rsidRPr="001246F2">
        <w:t xml:space="preserve"> más </w:t>
      </w:r>
      <w:r w:rsidR="002F74C4" w:rsidRPr="001246F2">
        <w:t xml:space="preserve">sensible de las señales </w:t>
      </w:r>
      <w:r w:rsidR="00D362FF" w:rsidRPr="001246F2">
        <w:t>sometidas a seguimiento</w:t>
      </w:r>
      <w:r w:rsidR="002F74C4" w:rsidRPr="001246F2">
        <w:t>. Por ejemplo, en algunas aplicaciones multibanda en que intervienen receptores que funcionan en la banda 1</w:t>
      </w:r>
      <w:r w:rsidR="00D362FF" w:rsidRPr="001246F2">
        <w:t> </w:t>
      </w:r>
      <w:r w:rsidR="002F74C4" w:rsidRPr="001246F2">
        <w:t>559-1</w:t>
      </w:r>
      <w:r w:rsidR="00D362FF" w:rsidRPr="001246F2">
        <w:t> </w:t>
      </w:r>
      <w:r w:rsidR="002F74C4" w:rsidRPr="001246F2">
        <w:t>610</w:t>
      </w:r>
      <w:r w:rsidR="00D362FF" w:rsidRPr="001246F2">
        <w:t> </w:t>
      </w:r>
      <w:r w:rsidR="002F74C4" w:rsidRPr="001246F2">
        <w:t>MHz, la señal</w:t>
      </w:r>
      <w:r w:rsidR="00B26D11" w:rsidRPr="001246F2">
        <w:t xml:space="preserve"> más </w:t>
      </w:r>
      <w:r w:rsidR="002F74C4" w:rsidRPr="001246F2">
        <w:t>sensible puede encontrarse en la banda 1</w:t>
      </w:r>
      <w:r w:rsidR="00D362FF" w:rsidRPr="001246F2">
        <w:t> </w:t>
      </w:r>
      <w:r w:rsidR="002F74C4" w:rsidRPr="001246F2">
        <w:t>215-1</w:t>
      </w:r>
      <w:r w:rsidR="00D362FF" w:rsidRPr="001246F2">
        <w:t> </w:t>
      </w:r>
      <w:r w:rsidR="002F74C4" w:rsidRPr="001246F2">
        <w:t xml:space="preserve">300 MHz, en cuyo caso los </w:t>
      </w:r>
      <w:r w:rsidRPr="001246F2">
        <w:t>criterios</w:t>
      </w:r>
      <w:r w:rsidR="002F74C4" w:rsidRPr="001246F2">
        <w:t xml:space="preserve"> de </w:t>
      </w:r>
      <w:r w:rsidRPr="001246F2">
        <w:t>protección</w:t>
      </w:r>
      <w:r w:rsidR="002F74C4" w:rsidRPr="001246F2">
        <w:t xml:space="preserve"> correspondientes aparecen </w:t>
      </w:r>
      <w:r w:rsidRPr="001246F2">
        <w:t>en</w:t>
      </w:r>
      <w:r w:rsidR="002F74C4" w:rsidRPr="001246F2">
        <w:t xml:space="preserve"> la </w:t>
      </w:r>
      <w:r w:rsidR="00D362FF" w:rsidRPr="001246F2">
        <w:t xml:space="preserve">Recomendación </w:t>
      </w:r>
      <w:r w:rsidR="002F74C4" w:rsidRPr="001246F2">
        <w:t>UIT-R</w:t>
      </w:r>
      <w:r w:rsidR="00DC68B5">
        <w:t xml:space="preserve"> M.</w:t>
      </w:r>
      <w:r w:rsidR="002F74C4" w:rsidRPr="001246F2">
        <w:t>1902.</w:t>
      </w:r>
    </w:p>
    <w:p w:rsidR="002F74C4" w:rsidRPr="001246F2" w:rsidRDefault="002F74C4" w:rsidP="00D362FF">
      <w:r w:rsidRPr="001246F2">
        <w:t>En el Cuadro</w:t>
      </w:r>
      <w:r w:rsidR="00D362FF" w:rsidRPr="001246F2">
        <w:t> </w:t>
      </w:r>
      <w:r w:rsidRPr="001246F2">
        <w:t xml:space="preserve">2, </w:t>
      </w:r>
      <w:r w:rsidR="00BC71CC" w:rsidRPr="001246F2">
        <w:t>columna</w:t>
      </w:r>
      <w:r w:rsidRPr="001246F2">
        <w:t xml:space="preserve"> 11, figuran dos tipos de receptores cada uno de los cuales utiliza un tipo </w:t>
      </w:r>
      <w:r w:rsidR="00D362FF" w:rsidRPr="001246F2">
        <w:t xml:space="preserve">diferente </w:t>
      </w:r>
      <w:r w:rsidRPr="001246F2">
        <w:t xml:space="preserve">de señal de </w:t>
      </w:r>
      <w:r w:rsidR="00BC71CC" w:rsidRPr="001246F2">
        <w:t>satélite</w:t>
      </w:r>
      <w:r w:rsidRPr="001246F2">
        <w:t xml:space="preserve"> del SRNS (AMDC para las señales L1 P(Y) y C/A o AMDF), </w:t>
      </w:r>
      <w:r w:rsidR="00D362FF" w:rsidRPr="001246F2">
        <w:t xml:space="preserve">diversas </w:t>
      </w:r>
      <w:r w:rsidRPr="001246F2">
        <w:t>gama</w:t>
      </w:r>
      <w:r w:rsidR="00D362FF" w:rsidRPr="001246F2">
        <w:t>s</w:t>
      </w:r>
      <w:r w:rsidRPr="001246F2">
        <w:t xml:space="preserve"> de frecuencias y </w:t>
      </w:r>
      <w:r w:rsidR="00D362FF" w:rsidRPr="001246F2">
        <w:t xml:space="preserve">distintas </w:t>
      </w:r>
      <w:r w:rsidRPr="001246F2">
        <w:t xml:space="preserve">anchuras de banda del filtro. Los criterios de </w:t>
      </w:r>
      <w:r w:rsidR="00BC71CC" w:rsidRPr="001246F2">
        <w:t>protección</w:t>
      </w:r>
      <w:r w:rsidRPr="001246F2">
        <w:t xml:space="preserve"> y las restantes </w:t>
      </w:r>
      <w:r w:rsidR="00BC71CC" w:rsidRPr="001246F2">
        <w:t>características</w:t>
      </w:r>
      <w:r w:rsidRPr="001246F2">
        <w:t xml:space="preserve"> son </w:t>
      </w:r>
      <w:r w:rsidR="00D362FF" w:rsidRPr="001246F2">
        <w:t>iguales</w:t>
      </w:r>
      <w:r w:rsidRPr="001246F2">
        <w:t>.</w:t>
      </w:r>
    </w:p>
    <w:p w:rsidR="002F74C4" w:rsidRPr="001246F2" w:rsidRDefault="00D362FF" w:rsidP="00D362FF">
      <w:pPr>
        <w:pStyle w:val="Heading2"/>
      </w:pPr>
      <w:r w:rsidRPr="001246F2">
        <w:lastRenderedPageBreak/>
        <w:t>2.3</w:t>
      </w:r>
      <w:r w:rsidRPr="001246F2">
        <w:tab/>
      </w:r>
      <w:r w:rsidR="002F74C4" w:rsidRPr="001246F2">
        <w:t>Receptores del SRNS asistidos (SRNS-A)</w:t>
      </w:r>
    </w:p>
    <w:p w:rsidR="002F74C4" w:rsidRPr="001246F2" w:rsidRDefault="002F74C4" w:rsidP="00E32F34">
      <w:r w:rsidRPr="001246F2">
        <w:t xml:space="preserve">SRNS-A se refiere a receptores del SRNS </w:t>
      </w:r>
      <w:r w:rsidR="00BC71CC" w:rsidRPr="001246F2">
        <w:t>manuales</w:t>
      </w:r>
      <w:r w:rsidR="00044A02" w:rsidRPr="001246F2">
        <w:t xml:space="preserve"> de calidad comercial</w:t>
      </w:r>
      <w:r w:rsidRPr="001246F2">
        <w:t xml:space="preserve"> y asistidos. Esta clase de receptores funcionan en entornos difíciles tales como </w:t>
      </w:r>
      <w:r w:rsidR="00044A02" w:rsidRPr="001246F2">
        <w:t xml:space="preserve">bajo </w:t>
      </w:r>
      <w:r w:rsidRPr="001246F2">
        <w:t xml:space="preserve">espesas </w:t>
      </w:r>
      <w:r w:rsidR="00BC71CC" w:rsidRPr="001246F2">
        <w:t>capas</w:t>
      </w:r>
      <w:r w:rsidRPr="001246F2">
        <w:t xml:space="preserve"> de vegetación, en interiores o en cañones urbanos. A veces son </w:t>
      </w:r>
      <w:r w:rsidR="00044A02" w:rsidRPr="001246F2">
        <w:t>«</w:t>
      </w:r>
      <w:r w:rsidR="00BC71CC" w:rsidRPr="001246F2">
        <w:t>teléfonos</w:t>
      </w:r>
      <w:r w:rsidRPr="001246F2">
        <w:t xml:space="preserve"> </w:t>
      </w:r>
      <w:r w:rsidR="00BC71CC" w:rsidRPr="001246F2">
        <w:t>móviles</w:t>
      </w:r>
      <w:r w:rsidRPr="001246F2">
        <w:t xml:space="preserve"> asistidos</w:t>
      </w:r>
      <w:r w:rsidR="00044A02" w:rsidRPr="001246F2">
        <w:t>»</w:t>
      </w:r>
      <w:r w:rsidRPr="001246F2">
        <w:t xml:space="preserve"> ya que se proporciona </w:t>
      </w:r>
      <w:r w:rsidR="00BC71CC" w:rsidRPr="001246F2">
        <w:t>información</w:t>
      </w:r>
      <w:r w:rsidRPr="001246F2">
        <w:t xml:space="preserve"> de ayuda en </w:t>
      </w:r>
      <w:r w:rsidR="00BC71CC" w:rsidRPr="001246F2">
        <w:t>tiempo</w:t>
      </w:r>
      <w:r w:rsidRPr="001246F2">
        <w:t xml:space="preserve"> real (Doppler, </w:t>
      </w:r>
      <w:r w:rsidR="00BC71CC" w:rsidRPr="001246F2">
        <w:t>temporización</w:t>
      </w:r>
      <w:r w:rsidRPr="001246F2">
        <w:t>, datos de nav</w:t>
      </w:r>
      <w:r w:rsidR="00044A02" w:rsidRPr="001246F2">
        <w:t xml:space="preserve">egación) para poder adquirir </w:t>
      </w:r>
      <w:r w:rsidRPr="001246F2">
        <w:t xml:space="preserve">y realizar un seguimiento de la </w:t>
      </w:r>
      <w:r w:rsidR="00044A02" w:rsidRPr="001246F2">
        <w:t>señal del SRNS</w:t>
      </w:r>
      <w:r w:rsidRPr="001246F2">
        <w:t xml:space="preserve"> a pesar de </w:t>
      </w:r>
      <w:r w:rsidR="00BC71CC" w:rsidRPr="001246F2">
        <w:t>una</w:t>
      </w:r>
      <w:r w:rsidRPr="001246F2">
        <w:t xml:space="preserve"> elevada atenuación (tal como la que </w:t>
      </w:r>
      <w:r w:rsidR="00BC71CC" w:rsidRPr="001246F2">
        <w:t>provocan</w:t>
      </w:r>
      <w:r w:rsidRPr="001246F2">
        <w:t xml:space="preserve"> las paredes de los edificios). Debido al espeso manto de vegetación o a la atenuación por las paredes no es adecuado definir niveles de la señal recibida del </w:t>
      </w:r>
      <w:r w:rsidR="00044A02" w:rsidRPr="001246F2">
        <w:t xml:space="preserve">SRNS </w:t>
      </w:r>
      <w:r w:rsidRPr="001246F2">
        <w:t xml:space="preserve">normalizada. Por consiguiente, los </w:t>
      </w:r>
      <w:r w:rsidR="00BC71CC" w:rsidRPr="001246F2">
        <w:t>umbrales</w:t>
      </w:r>
      <w:r w:rsidRPr="001246F2">
        <w:t xml:space="preserve"> de potencia de la interferencia no pueden definirse con </w:t>
      </w:r>
      <w:r w:rsidR="00BC71CC" w:rsidRPr="001246F2">
        <w:t>respecto</w:t>
      </w:r>
      <w:r w:rsidRPr="001246F2">
        <w:t xml:space="preserve"> a los niveles de la señal recibida.</w:t>
      </w:r>
    </w:p>
    <w:p w:rsidR="002F74C4" w:rsidRPr="001246F2" w:rsidRDefault="002F74C4" w:rsidP="00B23219">
      <w:r w:rsidRPr="001246F2">
        <w:t xml:space="preserve">Por tanto, el </w:t>
      </w:r>
      <w:r w:rsidR="00BC71CC" w:rsidRPr="001246F2">
        <w:t>método</w:t>
      </w:r>
      <w:r w:rsidRPr="001246F2">
        <w:t xml:space="preserve"> aceptado consiste en </w:t>
      </w:r>
      <w:r w:rsidR="00BC71CC" w:rsidRPr="001246F2">
        <w:t>definir</w:t>
      </w:r>
      <w:r w:rsidRPr="001246F2">
        <w:t xml:space="preserve"> el </w:t>
      </w:r>
      <w:r w:rsidR="00BC71CC" w:rsidRPr="001246F2">
        <w:t>umbral</w:t>
      </w:r>
      <w:r w:rsidRPr="001246F2">
        <w:t xml:space="preserve"> de densidad de potencia de </w:t>
      </w:r>
      <w:r w:rsidR="00044A02" w:rsidRPr="001246F2">
        <w:t xml:space="preserve">la </w:t>
      </w:r>
      <w:r w:rsidRPr="001246F2">
        <w:t xml:space="preserve">interferencia combinada </w:t>
      </w:r>
      <w:r w:rsidR="00044A02" w:rsidRPr="001246F2">
        <w:t xml:space="preserve">fijándolo </w:t>
      </w:r>
      <w:r w:rsidRPr="001246F2">
        <w:t>en un nivel que no incremente el ruido de fondo total</w:t>
      </w:r>
      <w:r w:rsidR="00B26D11" w:rsidRPr="001246F2">
        <w:t xml:space="preserve"> más </w:t>
      </w:r>
      <w:r w:rsidRPr="001246F2">
        <w:t>de</w:t>
      </w:r>
      <w:r w:rsidR="00B23219">
        <w:t> </w:t>
      </w:r>
      <w:r w:rsidRPr="001246F2">
        <w:t>1</w:t>
      </w:r>
      <w:r w:rsidR="00044A02" w:rsidRPr="001246F2">
        <w:t> </w:t>
      </w:r>
      <w:r w:rsidRPr="001246F2">
        <w:t xml:space="preserve">dB por encima de ruido de fondo ambiental. En este caso, este ruido </w:t>
      </w:r>
      <w:r w:rsidR="00044A02" w:rsidRPr="001246F2">
        <w:t xml:space="preserve">de fondo ambiental </w:t>
      </w:r>
      <w:r w:rsidRPr="001246F2">
        <w:t>es el de un ento</w:t>
      </w:r>
      <w:r w:rsidR="00B23219" w:rsidRPr="001246F2">
        <w:t>r</w:t>
      </w:r>
      <w:r w:rsidRPr="001246F2">
        <w:t>no en interiores (</w:t>
      </w:r>
      <w:r w:rsidR="00044A02" w:rsidRPr="001246F2">
        <w:t>–</w:t>
      </w:r>
      <w:r w:rsidRPr="001246F2">
        <w:t xml:space="preserve">144 dBW/MHz), que se traduce en una densidad de potencia de ruido del receptor de </w:t>
      </w:r>
      <w:r w:rsidR="00044A02" w:rsidRPr="001246F2">
        <w:t>–</w:t>
      </w:r>
      <w:r w:rsidRPr="001246F2">
        <w:t>141</w:t>
      </w:r>
      <w:r w:rsidR="00E32F34" w:rsidRPr="001246F2">
        <w:t> </w:t>
      </w:r>
      <w:r w:rsidRPr="001246F2">
        <w:t>dBW/MHz en un receptor con un factor de ruido de 3</w:t>
      </w:r>
      <w:r w:rsidR="00044A02" w:rsidRPr="001246F2">
        <w:t> </w:t>
      </w:r>
      <w:r w:rsidRPr="001246F2">
        <w:t>dB, lo que da lugar a un</w:t>
      </w:r>
      <w:r w:rsidR="00B23219">
        <w:t> </w:t>
      </w:r>
      <w:r w:rsidR="00BC71CC" w:rsidRPr="001246F2">
        <w:t>umbral</w:t>
      </w:r>
      <w:r w:rsidRPr="001246F2">
        <w:t xml:space="preserve"> de densidad de potencia de </w:t>
      </w:r>
      <w:r w:rsidR="00044A02" w:rsidRPr="001246F2">
        <w:t xml:space="preserve">la </w:t>
      </w:r>
      <w:r w:rsidRPr="001246F2">
        <w:t xml:space="preserve">interferencia de banda amplia combinada de </w:t>
      </w:r>
      <w:r w:rsidR="00B23219">
        <w:fldChar w:fldCharType="begin"/>
      </w:r>
      <w:r w:rsidR="00B23219">
        <w:instrText xml:space="preserve"> EQ  –</w:instrText>
      </w:r>
      <w:r w:rsidR="00B23219" w:rsidRPr="001246F2">
        <w:instrText>146,9</w:instrText>
      </w:r>
      <w:r w:rsidR="00B23219">
        <w:instrText> </w:instrText>
      </w:r>
      <w:r w:rsidR="00B23219" w:rsidRPr="001246F2">
        <w:instrText>dBW/MHz</w:instrText>
      </w:r>
      <w:r w:rsidR="00B23219">
        <w:instrText xml:space="preserve"> </w:instrText>
      </w:r>
      <w:r w:rsidR="00B23219">
        <w:fldChar w:fldCharType="end"/>
      </w:r>
      <w:r w:rsidRPr="001246F2">
        <w:t xml:space="preserve">a la salida de una antena pasiva con </w:t>
      </w:r>
      <w:r w:rsidR="00BC71CC" w:rsidRPr="001246F2">
        <w:t>polarización</w:t>
      </w:r>
      <w:r w:rsidRPr="001246F2">
        <w:t xml:space="preserve"> circular</w:t>
      </w:r>
      <w:r w:rsidR="00044A02" w:rsidRPr="001246F2">
        <w:t xml:space="preserve"> de 0 dBi</w:t>
      </w:r>
      <w:r w:rsidRPr="001246F2">
        <w:t xml:space="preserve">. En el caso de interferencia de banda </w:t>
      </w:r>
      <w:r w:rsidR="00BC71CC" w:rsidRPr="001246F2">
        <w:t>estrecha</w:t>
      </w:r>
      <w:r w:rsidRPr="001246F2">
        <w:t xml:space="preserve"> combinada (</w:t>
      </w:r>
      <w:r w:rsidR="00BC71CC" w:rsidRPr="001246F2">
        <w:t>véase</w:t>
      </w:r>
      <w:r w:rsidRPr="001246F2">
        <w:t xml:space="preserve"> la Fig</w:t>
      </w:r>
      <w:r w:rsidR="00B23219">
        <w:t>.</w:t>
      </w:r>
      <w:r w:rsidR="00044A02" w:rsidRPr="001246F2">
        <w:t> 1</w:t>
      </w:r>
      <w:r w:rsidRPr="001246F2">
        <w:t xml:space="preserve">), </w:t>
      </w:r>
      <w:r w:rsidR="00044A02" w:rsidRPr="001246F2">
        <w:t>el umbral de interferencia es, entonces</w:t>
      </w:r>
      <w:r w:rsidRPr="001246F2">
        <w:t xml:space="preserve">, </w:t>
      </w:r>
      <w:r w:rsidR="00044A02" w:rsidRPr="001246F2">
        <w:t>–</w:t>
      </w:r>
      <w:r w:rsidRPr="001246F2">
        <w:t>156,9</w:t>
      </w:r>
      <w:r w:rsidR="00B23219">
        <w:t> </w:t>
      </w:r>
      <w:r w:rsidR="00044A02" w:rsidRPr="001246F2">
        <w:t>dBW</w:t>
      </w:r>
      <w:r w:rsidRPr="001246F2">
        <w:t xml:space="preserve">. Como estos receptores </w:t>
      </w:r>
      <w:r w:rsidR="00BC71CC" w:rsidRPr="001246F2">
        <w:t>están</w:t>
      </w:r>
      <w:r w:rsidRPr="001246F2">
        <w:t xml:space="preserve"> generalmente </w:t>
      </w:r>
      <w:r w:rsidR="00BC71CC" w:rsidRPr="001246F2">
        <w:t>asistidos</w:t>
      </w:r>
      <w:r w:rsidRPr="001246F2">
        <w:t xml:space="preserve">, los umbrales para la adquisición y el seguimiento son </w:t>
      </w:r>
      <w:r w:rsidR="00BC71CC" w:rsidRPr="001246F2">
        <w:t>idénticos</w:t>
      </w:r>
      <w:r w:rsidRPr="001246F2">
        <w:t xml:space="preserve">. Las </w:t>
      </w:r>
      <w:r w:rsidR="00BC71CC" w:rsidRPr="001246F2">
        <w:t>características</w:t>
      </w:r>
      <w:r w:rsidRPr="001246F2">
        <w:t xml:space="preserve"> de este tipo de receptor se especifican en el Cuadro</w:t>
      </w:r>
      <w:r w:rsidR="00B23219">
        <w:t> </w:t>
      </w:r>
      <w:r w:rsidRPr="001246F2">
        <w:t>2, columna 7.</w:t>
      </w:r>
    </w:p>
    <w:p w:rsidR="002F74C4" w:rsidRPr="001246F2" w:rsidRDefault="00044A02" w:rsidP="00044A02">
      <w:pPr>
        <w:pStyle w:val="Heading2"/>
      </w:pPr>
      <w:r w:rsidRPr="001246F2">
        <w:t>2.4</w:t>
      </w:r>
      <w:r w:rsidRPr="001246F2">
        <w:tab/>
        <w:t xml:space="preserve">Receptores </w:t>
      </w:r>
      <w:r w:rsidR="002F74C4" w:rsidRPr="001246F2">
        <w:t>polivalentes</w:t>
      </w:r>
    </w:p>
    <w:p w:rsidR="002F74C4" w:rsidRPr="001246F2" w:rsidRDefault="00044A02" w:rsidP="00FB36A3">
      <w:r w:rsidRPr="001246F2">
        <w:t xml:space="preserve">La </w:t>
      </w:r>
      <w:r w:rsidR="00BC71CC" w:rsidRPr="001246F2">
        <w:t>categoría</w:t>
      </w:r>
      <w:r w:rsidR="002F74C4" w:rsidRPr="001246F2">
        <w:t xml:space="preserve"> polivalente </w:t>
      </w:r>
      <w:r w:rsidR="00D50CCF" w:rsidRPr="001246F2">
        <w:t xml:space="preserve">(de uso general) </w:t>
      </w:r>
      <w:r w:rsidR="002F74C4" w:rsidRPr="001246F2">
        <w:t>representa varios tipos de receptores del SRNS</w:t>
      </w:r>
      <w:r w:rsidR="00D50CCF" w:rsidRPr="001246F2">
        <w:t xml:space="preserve"> </w:t>
      </w:r>
      <w:r w:rsidR="002F74C4" w:rsidRPr="001246F2">
        <w:t xml:space="preserve">diseñados para la navegación con </w:t>
      </w:r>
      <w:r w:rsidR="00BC71CC" w:rsidRPr="001246F2">
        <w:t>vehículos</w:t>
      </w:r>
      <w:r w:rsidR="002F74C4" w:rsidRPr="001246F2">
        <w:t xml:space="preserve">, </w:t>
      </w:r>
      <w:r w:rsidR="00D50CCF" w:rsidRPr="001246F2">
        <w:t xml:space="preserve">la </w:t>
      </w:r>
      <w:r w:rsidR="002F74C4" w:rsidRPr="001246F2">
        <w:t xml:space="preserve">navegación peatonal, </w:t>
      </w:r>
      <w:r w:rsidR="00D50CCF" w:rsidRPr="001246F2">
        <w:t xml:space="preserve">el </w:t>
      </w:r>
      <w:r w:rsidR="00BC71CC" w:rsidRPr="001246F2">
        <w:t>posicionamiento</w:t>
      </w:r>
      <w:r w:rsidR="002F74C4" w:rsidRPr="001246F2">
        <w:t xml:space="preserve"> general, etc. En el </w:t>
      </w:r>
      <w:r w:rsidR="00D50CCF" w:rsidRPr="001246F2">
        <w:t>Cuadro</w:t>
      </w:r>
      <w:r w:rsidR="00FB36A3">
        <w:t> </w:t>
      </w:r>
      <w:r w:rsidR="002F74C4" w:rsidRPr="001246F2">
        <w:t>2, columnas 8 y 9, aparecen tres tipos de receptores. Los dos tipos N</w:t>
      </w:r>
      <w:r w:rsidR="00D50CCF" w:rsidRPr="001246F2">
        <w:t>° </w:t>
      </w:r>
      <w:r w:rsidR="002F74C4" w:rsidRPr="001246F2">
        <w:t>1</w:t>
      </w:r>
      <w:r w:rsidR="00D50CCF" w:rsidRPr="001246F2">
        <w:t xml:space="preserve"> </w:t>
      </w:r>
      <w:r w:rsidR="002F74C4" w:rsidRPr="001246F2">
        <w:t>polivalentes en la columna</w:t>
      </w:r>
      <w:r w:rsidR="00D50CCF" w:rsidRPr="001246F2">
        <w:t> </w:t>
      </w:r>
      <w:r w:rsidR="002F74C4" w:rsidRPr="001246F2">
        <w:t xml:space="preserve">8 emplean diferentes tipos de señal (AMDC para la señal L1 C/A o AMDF), </w:t>
      </w:r>
      <w:r w:rsidR="00D50CCF" w:rsidRPr="001246F2">
        <w:t xml:space="preserve">diversas </w:t>
      </w:r>
      <w:r w:rsidR="002F74C4" w:rsidRPr="001246F2">
        <w:t>gama</w:t>
      </w:r>
      <w:r w:rsidR="00D50CCF" w:rsidRPr="001246F2">
        <w:t>s</w:t>
      </w:r>
      <w:r w:rsidR="002F74C4" w:rsidRPr="001246F2">
        <w:t xml:space="preserve"> de frecuencias y </w:t>
      </w:r>
      <w:r w:rsidR="00D50CCF" w:rsidRPr="001246F2">
        <w:t xml:space="preserve">distintas </w:t>
      </w:r>
      <w:r w:rsidR="002F74C4" w:rsidRPr="001246F2">
        <w:t>anchura</w:t>
      </w:r>
      <w:r w:rsidR="00D50CCF" w:rsidRPr="001246F2">
        <w:t>s</w:t>
      </w:r>
      <w:r w:rsidR="002F74C4" w:rsidRPr="001246F2">
        <w:t xml:space="preserve"> de banda del </w:t>
      </w:r>
      <w:r w:rsidR="00D50CCF" w:rsidRPr="001246F2">
        <w:t xml:space="preserve">filtro </w:t>
      </w:r>
      <w:r w:rsidR="002F74C4" w:rsidRPr="001246F2">
        <w:t xml:space="preserve">precorrelador. Los criterios de </w:t>
      </w:r>
      <w:r w:rsidR="00BC71CC" w:rsidRPr="001246F2">
        <w:t>protección</w:t>
      </w:r>
      <w:r w:rsidR="002F74C4" w:rsidRPr="001246F2">
        <w:t xml:space="preserve"> y las restantes </w:t>
      </w:r>
      <w:r w:rsidR="00BC71CC" w:rsidRPr="001246F2">
        <w:t>características</w:t>
      </w:r>
      <w:r w:rsidR="002F74C4" w:rsidRPr="001246F2">
        <w:t xml:space="preserve"> son </w:t>
      </w:r>
      <w:r w:rsidR="00D50CCF" w:rsidRPr="001246F2">
        <w:t>iguales</w:t>
      </w:r>
      <w:r w:rsidR="002F74C4" w:rsidRPr="001246F2">
        <w:t xml:space="preserve">. El receptor </w:t>
      </w:r>
      <w:r w:rsidR="00127EE4">
        <w:t>N</w:t>
      </w:r>
      <w:r w:rsidR="00D50CCF" w:rsidRPr="001246F2">
        <w:t>° </w:t>
      </w:r>
      <w:r w:rsidR="002F74C4" w:rsidRPr="001246F2">
        <w:t>2 polivalente (columna</w:t>
      </w:r>
      <w:r w:rsidR="00D50CCF" w:rsidRPr="001246F2">
        <w:t> </w:t>
      </w:r>
      <w:r w:rsidR="002F74C4" w:rsidRPr="001246F2">
        <w:t>9) utiliza señales AMDC (B1-C)</w:t>
      </w:r>
      <w:r w:rsidR="00D50CCF" w:rsidRPr="001246F2">
        <w:rPr>
          <w:rStyle w:val="FootnoteReference"/>
        </w:rPr>
        <w:footnoteReference w:id="11"/>
      </w:r>
      <w:r w:rsidR="002F74C4" w:rsidRPr="001246F2">
        <w:t xml:space="preserve"> y tiene diferentes </w:t>
      </w:r>
      <w:r w:rsidR="00BC71CC" w:rsidRPr="001246F2">
        <w:t>características</w:t>
      </w:r>
      <w:r w:rsidR="002F74C4" w:rsidRPr="001246F2">
        <w:t xml:space="preserve"> y criterios de </w:t>
      </w:r>
      <w:r w:rsidR="00BC71CC" w:rsidRPr="001246F2">
        <w:t>protección</w:t>
      </w:r>
      <w:r w:rsidR="002F74C4" w:rsidRPr="001246F2">
        <w:t xml:space="preserve"> que el </w:t>
      </w:r>
      <w:r w:rsidR="00127EE4">
        <w:t>N</w:t>
      </w:r>
      <w:r w:rsidR="00D50CCF" w:rsidRPr="001246F2">
        <w:t>° </w:t>
      </w:r>
      <w:r w:rsidR="002F74C4" w:rsidRPr="001246F2">
        <w:t>1 polivalente.</w:t>
      </w:r>
    </w:p>
    <w:p w:rsidR="002F74C4" w:rsidRPr="001246F2" w:rsidRDefault="002E790F" w:rsidP="002E790F">
      <w:pPr>
        <w:pStyle w:val="Heading2"/>
      </w:pPr>
      <w:r w:rsidRPr="001246F2">
        <w:t>2.5</w:t>
      </w:r>
      <w:r w:rsidRPr="001246F2">
        <w:tab/>
      </w:r>
      <w:r w:rsidR="002F74C4" w:rsidRPr="001246F2">
        <w:t>Posicionamiento en interiores</w:t>
      </w:r>
    </w:p>
    <w:p w:rsidR="002F74C4" w:rsidRPr="001246F2" w:rsidRDefault="002F74C4" w:rsidP="005623EE">
      <w:r w:rsidRPr="001246F2">
        <w:t xml:space="preserve">La </w:t>
      </w:r>
      <w:r w:rsidR="00BC71CC" w:rsidRPr="001246F2">
        <w:t>categoría</w:t>
      </w:r>
      <w:r w:rsidRPr="001246F2">
        <w:t xml:space="preserve"> de posicionamiento en interiores representa a los receptores del SRNS destinados a su uso en interiores y que normalmente tiene una baja capacidad </w:t>
      </w:r>
      <w:r w:rsidRPr="001246F2">
        <w:rPr>
          <w:i/>
          <w:iCs/>
        </w:rPr>
        <w:t>C/N</w:t>
      </w:r>
      <w:r w:rsidR="005705A4" w:rsidRPr="001246F2">
        <w:rPr>
          <w:vertAlign w:val="subscript"/>
        </w:rPr>
        <w:t>0</w:t>
      </w:r>
      <w:r w:rsidRPr="001246F2">
        <w:t xml:space="preserve"> (es decir, son receptores muy sensibles). Como no puede </w:t>
      </w:r>
      <w:r w:rsidR="00BC71CC" w:rsidRPr="001246F2">
        <w:t>utilizarse</w:t>
      </w:r>
      <w:r w:rsidRPr="001246F2">
        <w:t xml:space="preserve"> seguimiento de portadora con las señales de baja potencia presentes en los entornos de interiores, en este tipo de receptor </w:t>
      </w:r>
      <w:r w:rsidR="00BC71CC" w:rsidRPr="001246F2">
        <w:t>únicamente</w:t>
      </w:r>
      <w:r w:rsidRPr="001246F2">
        <w:t xml:space="preserve"> se </w:t>
      </w:r>
      <w:r w:rsidR="0080112A" w:rsidRPr="001246F2">
        <w:t>emplea</w:t>
      </w:r>
      <w:r w:rsidRPr="001246F2">
        <w:t xml:space="preserve"> seguimiento de </w:t>
      </w:r>
      <w:r w:rsidR="00BC71CC" w:rsidRPr="001246F2">
        <w:t>código</w:t>
      </w:r>
      <w:r w:rsidRPr="001246F2">
        <w:t xml:space="preserve">. En el Cuadro 2, columna 10, se indican dos tipos de receptores cada uno de los cuales utiliza un tipo distinto de señal del </w:t>
      </w:r>
      <w:r w:rsidR="00BC71CC" w:rsidRPr="001246F2">
        <w:t>satélite</w:t>
      </w:r>
      <w:r w:rsidRPr="001246F2">
        <w:t xml:space="preserve"> del SRNS (AMDC para la señal L1</w:t>
      </w:r>
      <w:r w:rsidR="005623EE">
        <w:t> </w:t>
      </w:r>
      <w:r w:rsidRPr="001246F2">
        <w:t xml:space="preserve">C/A o AMDF), </w:t>
      </w:r>
      <w:r w:rsidR="0080112A" w:rsidRPr="001246F2">
        <w:t xml:space="preserve">diversas </w:t>
      </w:r>
      <w:r w:rsidRPr="001246F2">
        <w:t>gama</w:t>
      </w:r>
      <w:r w:rsidR="0080112A" w:rsidRPr="001246F2">
        <w:t>s</w:t>
      </w:r>
      <w:r w:rsidRPr="001246F2">
        <w:t xml:space="preserve"> de frecuencias y </w:t>
      </w:r>
      <w:r w:rsidR="0080112A" w:rsidRPr="001246F2">
        <w:t xml:space="preserve">distintas </w:t>
      </w:r>
      <w:r w:rsidRPr="001246F2">
        <w:t>anchura</w:t>
      </w:r>
      <w:r w:rsidR="0080112A" w:rsidRPr="001246F2">
        <w:t>s</w:t>
      </w:r>
      <w:r w:rsidRPr="001246F2">
        <w:t xml:space="preserve"> de banda de </w:t>
      </w:r>
      <w:r w:rsidR="00BC71CC" w:rsidRPr="001246F2">
        <w:t>filtro</w:t>
      </w:r>
      <w:r w:rsidRPr="001246F2">
        <w:t xml:space="preserve"> precorrelador. Las </w:t>
      </w:r>
      <w:r w:rsidR="00BC71CC" w:rsidRPr="001246F2">
        <w:t>características</w:t>
      </w:r>
      <w:r w:rsidRPr="001246F2">
        <w:t xml:space="preserve"> restantes y los criterios de </w:t>
      </w:r>
      <w:r w:rsidR="00BC71CC" w:rsidRPr="001246F2">
        <w:t>protección</w:t>
      </w:r>
      <w:r w:rsidRPr="001246F2">
        <w:t xml:space="preserve"> son </w:t>
      </w:r>
      <w:r w:rsidR="0080112A" w:rsidRPr="001246F2">
        <w:t>iguales</w:t>
      </w:r>
      <w:r w:rsidRPr="001246F2">
        <w:t>.</w:t>
      </w:r>
    </w:p>
    <w:p w:rsidR="002F74C4" w:rsidRPr="001246F2" w:rsidRDefault="002F74C4" w:rsidP="002F74C4"/>
    <w:p w:rsidR="002F74C4" w:rsidRPr="001246F2" w:rsidRDefault="0080112A" w:rsidP="0080112A">
      <w:pPr>
        <w:pStyle w:val="Heading1"/>
      </w:pPr>
      <w:r w:rsidRPr="001246F2">
        <w:lastRenderedPageBreak/>
        <w:t>3</w:t>
      </w:r>
      <w:r w:rsidRPr="001246F2">
        <w:tab/>
      </w:r>
      <w:r w:rsidR="001246F2" w:rsidRPr="001246F2">
        <w:t>Umbrales</w:t>
      </w:r>
      <w:r w:rsidRPr="001246F2">
        <w:t xml:space="preserve"> de interferencia continua del SRNS para fuentes </w:t>
      </w:r>
      <w:r w:rsidR="001246F2" w:rsidRPr="001246F2">
        <w:t>radioeléctricas</w:t>
      </w:r>
      <w:r w:rsidRPr="001246F2">
        <w:t xml:space="preserve"> distintas al SRNS</w:t>
      </w:r>
    </w:p>
    <w:p w:rsidR="002F74C4" w:rsidRPr="001246F2" w:rsidRDefault="002F74C4" w:rsidP="005623EE">
      <w:r w:rsidRPr="001246F2">
        <w:t>En las siguientes descripciones</w:t>
      </w:r>
      <w:r w:rsidR="00B23219">
        <w:t>,</w:t>
      </w:r>
      <w:r w:rsidRPr="001246F2">
        <w:t xml:space="preserve"> los niveles de potencia recibida a la salida de antena se refieren a los niveles de potencia para la </w:t>
      </w:r>
      <w:r w:rsidR="00BC71CC" w:rsidRPr="001246F2">
        <w:t>máxima</w:t>
      </w:r>
      <w:r w:rsidRPr="001246F2">
        <w:t xml:space="preserve"> ganancia de antena en la </w:t>
      </w:r>
      <w:r w:rsidR="00BC71CC" w:rsidRPr="001246F2">
        <w:t>dirección</w:t>
      </w:r>
      <w:r w:rsidRPr="001246F2">
        <w:t xml:space="preserve"> de las fuentes de interferencia. En la </w:t>
      </w:r>
      <w:r w:rsidR="0080112A" w:rsidRPr="001246F2">
        <w:t>Fig. </w:t>
      </w:r>
      <w:r w:rsidRPr="001246F2">
        <w:t xml:space="preserve">1 aparece un ejemplo de la especificación para el SRNS de los niveles de interferencia combinada relativos en </w:t>
      </w:r>
      <w:r w:rsidR="00BC71CC" w:rsidRPr="001246F2">
        <w:t>función</w:t>
      </w:r>
      <w:r w:rsidRPr="001246F2">
        <w:t xml:space="preserve"> de la anchura de banda de la fuente de interferencia para receptores que utilizan la señal L1</w:t>
      </w:r>
      <w:r w:rsidR="00D51ED5" w:rsidRPr="001246F2">
        <w:t> </w:t>
      </w:r>
      <w:r w:rsidRPr="001246F2">
        <w:t xml:space="preserve">C/A. Los niveles de interferencia de la </w:t>
      </w:r>
      <w:r w:rsidR="00D51ED5" w:rsidRPr="001246F2">
        <w:t>Fig. </w:t>
      </w:r>
      <w:r w:rsidRPr="001246F2">
        <w:t xml:space="preserve">1 </w:t>
      </w:r>
      <w:r w:rsidR="00BC71CC" w:rsidRPr="001246F2">
        <w:t>están</w:t>
      </w:r>
      <w:r w:rsidRPr="001246F2">
        <w:t xml:space="preserve"> normalizados con respecto al nivel de potencia </w:t>
      </w:r>
      <w:r w:rsidR="00BC71CC" w:rsidRPr="001246F2">
        <w:t>umbral</w:t>
      </w:r>
      <w:r w:rsidRPr="001246F2">
        <w:t xml:space="preserve"> del modo de </w:t>
      </w:r>
      <w:r w:rsidR="00BC71CC" w:rsidRPr="001246F2">
        <w:t>seguimiento</w:t>
      </w:r>
      <w:r w:rsidRPr="001246F2">
        <w:t xml:space="preserve"> de la anchura de banda de interferencia de 1,0</w:t>
      </w:r>
      <w:r w:rsidR="00D51ED5" w:rsidRPr="001246F2">
        <w:t> </w:t>
      </w:r>
      <w:r w:rsidRPr="001246F2">
        <w:t>MHz especificado para ciertos tipos de receptor L1</w:t>
      </w:r>
      <w:r w:rsidR="005623EE">
        <w:t> </w:t>
      </w:r>
      <w:r w:rsidRPr="001246F2">
        <w:t xml:space="preserve">C/A en el </w:t>
      </w:r>
      <w:r w:rsidR="00D51ED5" w:rsidRPr="001246F2">
        <w:t>Cuadro </w:t>
      </w:r>
      <w:r w:rsidRPr="001246F2">
        <w:t>2 (como indica la Nota 1).</w:t>
      </w:r>
    </w:p>
    <w:p w:rsidR="002F74C4" w:rsidRDefault="002F74C4" w:rsidP="00F7406C">
      <w:r w:rsidRPr="001246F2">
        <w:t xml:space="preserve">La curva del modo de adquisición de la </w:t>
      </w:r>
      <w:r w:rsidR="00B57D05" w:rsidRPr="001246F2">
        <w:t>Fig. </w:t>
      </w:r>
      <w:r w:rsidRPr="001246F2">
        <w:t>1 se aplica a los receptores de tipo</w:t>
      </w:r>
      <w:r w:rsidR="008773FB">
        <w:t> </w:t>
      </w:r>
      <w:r w:rsidRPr="001246F2">
        <w:t xml:space="preserve">1 SBAS y GBAS. La curva de adquisición para los </w:t>
      </w:r>
      <w:r w:rsidR="00BC71CC" w:rsidRPr="001246F2">
        <w:t>receptores</w:t>
      </w:r>
      <w:r w:rsidRPr="001246F2">
        <w:t xml:space="preserve"> SRNS-A y de alta </w:t>
      </w:r>
      <w:r w:rsidR="00BC71CC" w:rsidRPr="001246F2">
        <w:t>precisión</w:t>
      </w:r>
      <w:r w:rsidRPr="001246F2">
        <w:t xml:space="preserve"> es </w:t>
      </w:r>
      <w:r w:rsidR="00BC71CC" w:rsidRPr="001246F2">
        <w:t>idéntica</w:t>
      </w:r>
      <w:r w:rsidRPr="001246F2">
        <w:t xml:space="preserve"> a la curva del modo de seguimiento de la Fig</w:t>
      </w:r>
      <w:r w:rsidR="00B57D05" w:rsidRPr="001246F2">
        <w:t>. </w:t>
      </w:r>
      <w:r w:rsidRPr="001246F2">
        <w:t xml:space="preserve">1. en el </w:t>
      </w:r>
      <w:r w:rsidR="00B57D05" w:rsidRPr="001246F2">
        <w:t xml:space="preserve">Cuadro </w:t>
      </w:r>
      <w:r w:rsidRPr="001246F2">
        <w:t xml:space="preserve">1 aparecen los puntos de </w:t>
      </w:r>
      <w:r w:rsidR="00B57D05" w:rsidRPr="001246F2">
        <w:t xml:space="preserve">cambio de pendiente según la </w:t>
      </w:r>
      <w:r w:rsidRPr="001246F2">
        <w:t xml:space="preserve">anchura de banda y los valores del nivel relativo </w:t>
      </w:r>
      <w:r w:rsidR="00BC71CC" w:rsidRPr="001246F2">
        <w:t>para</w:t>
      </w:r>
      <w:r w:rsidRPr="001246F2">
        <w:t xml:space="preserve"> las curvas de la Fig</w:t>
      </w:r>
      <w:r w:rsidR="008773FB">
        <w:t>.</w:t>
      </w:r>
      <w:r w:rsidRPr="001246F2">
        <w:t xml:space="preserve"> 1.</w:t>
      </w:r>
    </w:p>
    <w:p w:rsidR="00377F09" w:rsidRPr="001246F2" w:rsidRDefault="00377F09" w:rsidP="008773FB"/>
    <w:p w:rsidR="00C2118B" w:rsidRPr="001246F2" w:rsidRDefault="00C2118B" w:rsidP="00C2118B">
      <w:pPr>
        <w:pStyle w:val="FigureNo"/>
      </w:pPr>
      <w:r w:rsidRPr="001246F2">
        <w:t>FigurA 1</w:t>
      </w:r>
    </w:p>
    <w:p w:rsidR="00C2118B" w:rsidRPr="001246F2" w:rsidRDefault="00C2118B" w:rsidP="00C2118B">
      <w:pPr>
        <w:pStyle w:val="Figuretitle"/>
      </w:pPr>
      <w:r w:rsidRPr="001246F2">
        <w:t>Umbrales de potencia de la interferencia continua relativos para receptores</w:t>
      </w:r>
      <w:r w:rsidRPr="001246F2">
        <w:br/>
        <w:t xml:space="preserve">que </w:t>
      </w:r>
      <w:r w:rsidR="001246F2" w:rsidRPr="001246F2">
        <w:t>utilizan</w:t>
      </w:r>
      <w:r w:rsidRPr="001246F2">
        <w:t xml:space="preserve"> la señal L1 C/A</w:t>
      </w:r>
    </w:p>
    <w:p w:rsidR="00C2118B" w:rsidRPr="001246F2" w:rsidRDefault="00F7406C" w:rsidP="00C2118B">
      <w:pPr>
        <w:pStyle w:val="Figure"/>
      </w:pPr>
      <w:r w:rsidRPr="001246F2">
        <w:rPr>
          <w:noProof/>
          <w:lang w:eastAsia="zh-CN"/>
        </w:rPr>
        <w:object w:dxaOrig="6453" w:dyaOrig="4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2pt;height:255pt;mso-position-horizontal:absolute" o:ole="">
            <v:imagedata r:id="rId15" o:title=""/>
          </v:shape>
          <o:OLEObject Type="Embed" ProgID="CorelDRAW.Graphic.14" ShapeID="_x0000_i1025" DrawAspect="Content" ObjectID="_1399464854" r:id="rId16"/>
        </w:object>
      </w:r>
    </w:p>
    <w:p w:rsidR="00C2118B" w:rsidRPr="001246F2" w:rsidRDefault="00E32F34" w:rsidP="00C2118B">
      <w:pPr>
        <w:pStyle w:val="TableNo"/>
      </w:pPr>
      <w:r w:rsidRPr="001246F2">
        <w:lastRenderedPageBreak/>
        <w:t>CUADRO</w:t>
      </w:r>
      <w:r w:rsidR="00C2118B" w:rsidRPr="001246F2">
        <w:t xml:space="preserve"> 1</w:t>
      </w:r>
    </w:p>
    <w:p w:rsidR="00C2118B" w:rsidRPr="001246F2" w:rsidRDefault="00E32F34" w:rsidP="00C2118B">
      <w:pPr>
        <w:pStyle w:val="Tabletitle"/>
      </w:pPr>
      <w:r w:rsidRPr="001246F2">
        <w:t>Umbrales de potencia de la interferencia continua relativos para receptores</w:t>
      </w:r>
      <w:r w:rsidRPr="001246F2">
        <w:br/>
        <w:t xml:space="preserve">que </w:t>
      </w:r>
      <w:r w:rsidR="001246F2" w:rsidRPr="001246F2">
        <w:t>utilizan</w:t>
      </w:r>
      <w:r w:rsidRPr="001246F2">
        <w:t xml:space="preserve"> la señal L1 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103"/>
      </w:tblGrid>
      <w:tr w:rsidR="00C2118B" w:rsidRPr="001246F2" w:rsidTr="00E11457">
        <w:trPr>
          <w:jc w:val="center"/>
        </w:trPr>
        <w:tc>
          <w:tcPr>
            <w:tcW w:w="3402" w:type="dxa"/>
            <w:tcBorders>
              <w:top w:val="single" w:sz="4" w:space="0" w:color="auto"/>
              <w:left w:val="single" w:sz="4" w:space="0" w:color="auto"/>
              <w:bottom w:val="single" w:sz="4" w:space="0" w:color="auto"/>
              <w:right w:val="single" w:sz="4" w:space="0" w:color="auto"/>
            </w:tcBorders>
          </w:tcPr>
          <w:p w:rsidR="00C2118B" w:rsidRPr="001246F2" w:rsidRDefault="00E32F34" w:rsidP="00E11457">
            <w:pPr>
              <w:pStyle w:val="Tablehead"/>
            </w:pPr>
            <w:r w:rsidRPr="001246F2">
              <w:t>Anchura de banda</w:t>
            </w:r>
          </w:p>
        </w:tc>
        <w:tc>
          <w:tcPr>
            <w:tcW w:w="5103" w:type="dxa"/>
            <w:tcBorders>
              <w:top w:val="single" w:sz="4" w:space="0" w:color="auto"/>
              <w:left w:val="single" w:sz="4" w:space="0" w:color="auto"/>
              <w:bottom w:val="single" w:sz="4" w:space="0" w:color="auto"/>
              <w:right w:val="single" w:sz="4" w:space="0" w:color="auto"/>
            </w:tcBorders>
          </w:tcPr>
          <w:p w:rsidR="00C2118B" w:rsidRPr="001246F2" w:rsidRDefault="00E32F34" w:rsidP="00E11457">
            <w:pPr>
              <w:pStyle w:val="Tablehead"/>
            </w:pPr>
            <w:r w:rsidRPr="001246F2">
              <w:t>Nivel de interferencia relativo</w:t>
            </w:r>
          </w:p>
        </w:tc>
      </w:tr>
      <w:tr w:rsidR="00C2118B" w:rsidRPr="001246F2" w:rsidTr="00E11457">
        <w:trPr>
          <w:jc w:val="center"/>
        </w:trPr>
        <w:tc>
          <w:tcPr>
            <w:tcW w:w="3402" w:type="dxa"/>
            <w:tcBorders>
              <w:top w:val="single" w:sz="4" w:space="0" w:color="auto"/>
              <w:left w:val="single" w:sz="4" w:space="0" w:color="auto"/>
              <w:bottom w:val="single" w:sz="4" w:space="0" w:color="auto"/>
              <w:right w:val="single" w:sz="4" w:space="0" w:color="auto"/>
            </w:tcBorders>
          </w:tcPr>
          <w:p w:rsidR="00C2118B" w:rsidRPr="001246F2" w:rsidRDefault="00C2118B" w:rsidP="00F7406C">
            <w:pPr>
              <w:pStyle w:val="Tabletext"/>
              <w:keepNext/>
              <w:keepLines/>
            </w:pPr>
            <w:r w:rsidRPr="001246F2">
              <w:t xml:space="preserve">0 ≤ </w:t>
            </w:r>
            <w:r w:rsidRPr="001246F2">
              <w:rPr>
                <w:i/>
              </w:rPr>
              <w:t>BW</w:t>
            </w:r>
            <w:r w:rsidRPr="001246F2">
              <w:rPr>
                <w:i/>
                <w:vertAlign w:val="subscript"/>
              </w:rPr>
              <w:t>I</w:t>
            </w:r>
            <w:r w:rsidRPr="001246F2">
              <w:t xml:space="preserve"> ≤ 700 Hz</w:t>
            </w:r>
          </w:p>
        </w:tc>
        <w:tc>
          <w:tcPr>
            <w:tcW w:w="5103" w:type="dxa"/>
            <w:tcBorders>
              <w:top w:val="single" w:sz="4" w:space="0" w:color="auto"/>
              <w:left w:val="single" w:sz="4" w:space="0" w:color="auto"/>
              <w:bottom w:val="single" w:sz="4" w:space="0" w:color="auto"/>
              <w:right w:val="single" w:sz="4" w:space="0" w:color="auto"/>
            </w:tcBorders>
          </w:tcPr>
          <w:p w:rsidR="00C2118B" w:rsidRPr="001246F2" w:rsidRDefault="00C2118B" w:rsidP="00F7406C">
            <w:pPr>
              <w:pStyle w:val="Tabletext"/>
              <w:keepNext/>
              <w:keepLines/>
            </w:pPr>
            <w:r w:rsidRPr="001246F2">
              <w:t>–10 dB</w:t>
            </w:r>
          </w:p>
        </w:tc>
      </w:tr>
      <w:tr w:rsidR="00C2118B" w:rsidRPr="001246F2" w:rsidTr="00E11457">
        <w:trPr>
          <w:jc w:val="center"/>
        </w:trPr>
        <w:tc>
          <w:tcPr>
            <w:tcW w:w="3402" w:type="dxa"/>
            <w:tcBorders>
              <w:top w:val="single" w:sz="4" w:space="0" w:color="auto"/>
              <w:left w:val="single" w:sz="4" w:space="0" w:color="auto"/>
              <w:bottom w:val="single" w:sz="4" w:space="0" w:color="auto"/>
              <w:right w:val="single" w:sz="4" w:space="0" w:color="auto"/>
            </w:tcBorders>
          </w:tcPr>
          <w:p w:rsidR="00C2118B" w:rsidRPr="001246F2" w:rsidRDefault="00C2118B" w:rsidP="00F7406C">
            <w:pPr>
              <w:pStyle w:val="Tabletext"/>
              <w:keepNext/>
              <w:keepLines/>
            </w:pPr>
            <w:r w:rsidRPr="001246F2">
              <w:t xml:space="preserve">700 Hz &lt; </w:t>
            </w:r>
            <w:r w:rsidRPr="001246F2">
              <w:rPr>
                <w:i/>
              </w:rPr>
              <w:t>BW</w:t>
            </w:r>
            <w:r w:rsidRPr="001246F2">
              <w:rPr>
                <w:i/>
                <w:vertAlign w:val="subscript"/>
              </w:rPr>
              <w:t>I</w:t>
            </w:r>
            <w:r w:rsidRPr="001246F2">
              <w:t xml:space="preserve"> ≤ 10 kHz</w:t>
            </w:r>
          </w:p>
        </w:tc>
        <w:tc>
          <w:tcPr>
            <w:tcW w:w="5103" w:type="dxa"/>
            <w:tcBorders>
              <w:top w:val="single" w:sz="4" w:space="0" w:color="auto"/>
              <w:left w:val="single" w:sz="4" w:space="0" w:color="auto"/>
              <w:bottom w:val="single" w:sz="4" w:space="0" w:color="auto"/>
              <w:right w:val="single" w:sz="4" w:space="0" w:color="auto"/>
            </w:tcBorders>
          </w:tcPr>
          <w:p w:rsidR="00C2118B" w:rsidRPr="001246F2" w:rsidRDefault="00E32F34" w:rsidP="00F7406C">
            <w:pPr>
              <w:pStyle w:val="Tabletext"/>
              <w:keepNext/>
              <w:keepLines/>
            </w:pPr>
            <w:r w:rsidRPr="001246F2">
              <w:t xml:space="preserve">Incremento lineal de </w:t>
            </w:r>
            <w:r w:rsidR="00C2118B" w:rsidRPr="001246F2">
              <w:t xml:space="preserve">–10 dB </w:t>
            </w:r>
            <w:r w:rsidRPr="001246F2">
              <w:t>a</w:t>
            </w:r>
            <w:r w:rsidR="00C2118B" w:rsidRPr="001246F2">
              <w:t xml:space="preserve"> –3 dB</w:t>
            </w:r>
          </w:p>
        </w:tc>
      </w:tr>
      <w:tr w:rsidR="00C2118B" w:rsidRPr="001246F2" w:rsidTr="00E11457">
        <w:trPr>
          <w:jc w:val="center"/>
        </w:trPr>
        <w:tc>
          <w:tcPr>
            <w:tcW w:w="3402" w:type="dxa"/>
            <w:tcBorders>
              <w:top w:val="single" w:sz="4" w:space="0" w:color="auto"/>
              <w:left w:val="single" w:sz="4" w:space="0" w:color="auto"/>
              <w:bottom w:val="single" w:sz="4" w:space="0" w:color="auto"/>
              <w:right w:val="single" w:sz="4" w:space="0" w:color="auto"/>
            </w:tcBorders>
          </w:tcPr>
          <w:p w:rsidR="00C2118B" w:rsidRPr="001246F2" w:rsidRDefault="00C2118B" w:rsidP="00F7406C">
            <w:pPr>
              <w:pStyle w:val="Tabletext"/>
              <w:keepNext/>
              <w:keepLines/>
            </w:pPr>
            <w:r w:rsidRPr="001246F2">
              <w:t xml:space="preserve">10 kHz &lt; </w:t>
            </w:r>
            <w:r w:rsidRPr="001246F2">
              <w:rPr>
                <w:i/>
              </w:rPr>
              <w:t>BW</w:t>
            </w:r>
            <w:r w:rsidRPr="001246F2">
              <w:rPr>
                <w:i/>
                <w:vertAlign w:val="subscript"/>
              </w:rPr>
              <w:t>I</w:t>
            </w:r>
            <w:r w:rsidRPr="001246F2">
              <w:rPr>
                <w:vertAlign w:val="subscript"/>
              </w:rPr>
              <w:t xml:space="preserve"> </w:t>
            </w:r>
            <w:r w:rsidRPr="001246F2">
              <w:t>≤ 100 kHz</w:t>
            </w:r>
          </w:p>
        </w:tc>
        <w:tc>
          <w:tcPr>
            <w:tcW w:w="5103" w:type="dxa"/>
            <w:tcBorders>
              <w:top w:val="single" w:sz="4" w:space="0" w:color="auto"/>
              <w:left w:val="single" w:sz="4" w:space="0" w:color="auto"/>
              <w:bottom w:val="single" w:sz="4" w:space="0" w:color="auto"/>
              <w:right w:val="single" w:sz="4" w:space="0" w:color="auto"/>
            </w:tcBorders>
          </w:tcPr>
          <w:p w:rsidR="00C2118B" w:rsidRPr="001246F2" w:rsidRDefault="00E32F34" w:rsidP="00F7406C">
            <w:pPr>
              <w:pStyle w:val="Tabletext"/>
              <w:keepNext/>
              <w:keepLines/>
            </w:pPr>
            <w:r w:rsidRPr="001246F2">
              <w:t>Incremento lineal de</w:t>
            </w:r>
            <w:r w:rsidR="00C2118B" w:rsidRPr="001246F2">
              <w:t xml:space="preserve"> –3 dB </w:t>
            </w:r>
            <w:r w:rsidRPr="001246F2">
              <w:t>a</w:t>
            </w:r>
            <w:r w:rsidR="00C2118B" w:rsidRPr="001246F2">
              <w:t xml:space="preserve"> 0 dB</w:t>
            </w:r>
          </w:p>
        </w:tc>
      </w:tr>
      <w:tr w:rsidR="00C2118B" w:rsidRPr="001246F2" w:rsidTr="00E11457">
        <w:trPr>
          <w:jc w:val="center"/>
        </w:trPr>
        <w:tc>
          <w:tcPr>
            <w:tcW w:w="3402" w:type="dxa"/>
            <w:tcBorders>
              <w:top w:val="single" w:sz="4" w:space="0" w:color="auto"/>
              <w:left w:val="single" w:sz="4" w:space="0" w:color="auto"/>
              <w:bottom w:val="single" w:sz="4" w:space="0" w:color="auto"/>
              <w:right w:val="single" w:sz="4" w:space="0" w:color="auto"/>
            </w:tcBorders>
          </w:tcPr>
          <w:p w:rsidR="00C2118B" w:rsidRPr="001246F2" w:rsidRDefault="00C2118B" w:rsidP="00F7406C">
            <w:pPr>
              <w:pStyle w:val="Tabletext"/>
              <w:keepNext/>
              <w:keepLines/>
            </w:pPr>
            <w:r w:rsidRPr="001246F2">
              <w:t xml:space="preserve">100 kHz &lt; </w:t>
            </w:r>
            <w:r w:rsidRPr="001246F2">
              <w:rPr>
                <w:i/>
              </w:rPr>
              <w:t>BW</w:t>
            </w:r>
            <w:r w:rsidRPr="001246F2">
              <w:rPr>
                <w:i/>
                <w:vertAlign w:val="subscript"/>
              </w:rPr>
              <w:t>I</w:t>
            </w:r>
            <w:r w:rsidRPr="001246F2">
              <w:rPr>
                <w:position w:val="-6"/>
              </w:rPr>
              <w:t xml:space="preserve"> </w:t>
            </w:r>
            <w:r w:rsidRPr="001246F2">
              <w:t>≤ 1 MHz</w:t>
            </w:r>
          </w:p>
        </w:tc>
        <w:tc>
          <w:tcPr>
            <w:tcW w:w="5103" w:type="dxa"/>
            <w:tcBorders>
              <w:top w:val="single" w:sz="4" w:space="0" w:color="auto"/>
              <w:left w:val="single" w:sz="4" w:space="0" w:color="auto"/>
              <w:bottom w:val="single" w:sz="4" w:space="0" w:color="auto"/>
              <w:right w:val="single" w:sz="4" w:space="0" w:color="auto"/>
            </w:tcBorders>
          </w:tcPr>
          <w:p w:rsidR="00C2118B" w:rsidRPr="001246F2" w:rsidRDefault="00C2118B" w:rsidP="00F7406C">
            <w:pPr>
              <w:pStyle w:val="Tabletext"/>
              <w:keepNext/>
              <w:keepLines/>
            </w:pPr>
            <w:r w:rsidRPr="001246F2">
              <w:t>0 dB</w:t>
            </w:r>
          </w:p>
        </w:tc>
      </w:tr>
      <w:tr w:rsidR="00C2118B" w:rsidRPr="001246F2" w:rsidTr="00E11457">
        <w:trPr>
          <w:jc w:val="center"/>
        </w:trPr>
        <w:tc>
          <w:tcPr>
            <w:tcW w:w="3402" w:type="dxa"/>
            <w:tcBorders>
              <w:top w:val="single" w:sz="4" w:space="0" w:color="auto"/>
              <w:left w:val="single" w:sz="4" w:space="0" w:color="auto"/>
              <w:bottom w:val="single" w:sz="4" w:space="0" w:color="auto"/>
              <w:right w:val="single" w:sz="4" w:space="0" w:color="auto"/>
            </w:tcBorders>
          </w:tcPr>
          <w:p w:rsidR="00C2118B" w:rsidRPr="001246F2" w:rsidRDefault="00C2118B" w:rsidP="00E11457">
            <w:pPr>
              <w:pStyle w:val="Tabletext"/>
            </w:pPr>
            <w:r w:rsidRPr="001246F2">
              <w:t xml:space="preserve">1 MHz &lt; </w:t>
            </w:r>
            <w:r w:rsidRPr="001246F2">
              <w:rPr>
                <w:i/>
              </w:rPr>
              <w:t>BW</w:t>
            </w:r>
            <w:r w:rsidRPr="001246F2">
              <w:rPr>
                <w:i/>
                <w:vertAlign w:val="subscript"/>
              </w:rPr>
              <w:t>I</w:t>
            </w:r>
            <w:r w:rsidRPr="001246F2">
              <w:t xml:space="preserve"> ≤ 20 MHz</w:t>
            </w:r>
          </w:p>
        </w:tc>
        <w:tc>
          <w:tcPr>
            <w:tcW w:w="5103" w:type="dxa"/>
            <w:tcBorders>
              <w:top w:val="single" w:sz="4" w:space="0" w:color="auto"/>
              <w:left w:val="single" w:sz="4" w:space="0" w:color="auto"/>
              <w:bottom w:val="single" w:sz="4" w:space="0" w:color="auto"/>
              <w:right w:val="single" w:sz="4" w:space="0" w:color="auto"/>
            </w:tcBorders>
          </w:tcPr>
          <w:p w:rsidR="00C2118B" w:rsidRPr="001246F2" w:rsidRDefault="00E32F34" w:rsidP="00E32F34">
            <w:pPr>
              <w:pStyle w:val="Tabletext"/>
            </w:pPr>
            <w:r w:rsidRPr="001246F2">
              <w:t>Incremento lineal de</w:t>
            </w:r>
            <w:r w:rsidR="00C2118B" w:rsidRPr="001246F2">
              <w:t xml:space="preserve"> 0 </w:t>
            </w:r>
            <w:r w:rsidRPr="001246F2">
              <w:t>a</w:t>
            </w:r>
            <w:r w:rsidR="00C2118B" w:rsidRPr="001246F2">
              <w:t xml:space="preserve"> 13 dB*</w:t>
            </w:r>
          </w:p>
        </w:tc>
      </w:tr>
      <w:tr w:rsidR="00C2118B" w:rsidRPr="001246F2" w:rsidTr="00E11457">
        <w:trPr>
          <w:jc w:val="center"/>
        </w:trPr>
        <w:tc>
          <w:tcPr>
            <w:tcW w:w="3402" w:type="dxa"/>
            <w:tcBorders>
              <w:top w:val="single" w:sz="4" w:space="0" w:color="auto"/>
              <w:left w:val="single" w:sz="4" w:space="0" w:color="auto"/>
              <w:bottom w:val="single" w:sz="4" w:space="0" w:color="auto"/>
              <w:right w:val="single" w:sz="4" w:space="0" w:color="auto"/>
            </w:tcBorders>
          </w:tcPr>
          <w:p w:rsidR="00C2118B" w:rsidRPr="001246F2" w:rsidRDefault="00C2118B" w:rsidP="00E11457">
            <w:pPr>
              <w:pStyle w:val="Tabletext"/>
            </w:pPr>
            <w:r w:rsidRPr="001246F2">
              <w:t xml:space="preserve">20 MHz &lt; </w:t>
            </w:r>
            <w:r w:rsidRPr="001246F2">
              <w:rPr>
                <w:i/>
              </w:rPr>
              <w:t>BW</w:t>
            </w:r>
            <w:r w:rsidRPr="001246F2">
              <w:rPr>
                <w:i/>
                <w:vertAlign w:val="subscript"/>
              </w:rPr>
              <w:t>I</w:t>
            </w:r>
            <w:r w:rsidRPr="001246F2">
              <w:t xml:space="preserve"> ≤ 30 MHz</w:t>
            </w:r>
          </w:p>
        </w:tc>
        <w:tc>
          <w:tcPr>
            <w:tcW w:w="5103" w:type="dxa"/>
            <w:tcBorders>
              <w:top w:val="single" w:sz="4" w:space="0" w:color="auto"/>
              <w:left w:val="single" w:sz="4" w:space="0" w:color="auto"/>
              <w:bottom w:val="single" w:sz="4" w:space="0" w:color="auto"/>
              <w:right w:val="single" w:sz="4" w:space="0" w:color="auto"/>
            </w:tcBorders>
          </w:tcPr>
          <w:p w:rsidR="00C2118B" w:rsidRPr="001246F2" w:rsidRDefault="00E32F34" w:rsidP="00E32F34">
            <w:pPr>
              <w:pStyle w:val="Tabletext"/>
            </w:pPr>
            <w:r w:rsidRPr="001246F2">
              <w:t>Incremento lineal de</w:t>
            </w:r>
            <w:r w:rsidR="00C2118B" w:rsidRPr="001246F2">
              <w:t xml:space="preserve"> 13 </w:t>
            </w:r>
            <w:r w:rsidRPr="001246F2">
              <w:t>a</w:t>
            </w:r>
            <w:r w:rsidR="009234E6">
              <w:t xml:space="preserve"> 19,</w:t>
            </w:r>
            <w:r w:rsidR="00C2118B" w:rsidRPr="001246F2">
              <w:t>4* dB</w:t>
            </w:r>
          </w:p>
        </w:tc>
      </w:tr>
      <w:tr w:rsidR="00C2118B" w:rsidRPr="001246F2" w:rsidTr="00E11457">
        <w:trPr>
          <w:jc w:val="center"/>
        </w:trPr>
        <w:tc>
          <w:tcPr>
            <w:tcW w:w="3402" w:type="dxa"/>
            <w:tcBorders>
              <w:top w:val="single" w:sz="4" w:space="0" w:color="auto"/>
              <w:left w:val="single" w:sz="4" w:space="0" w:color="auto"/>
              <w:bottom w:val="single" w:sz="4" w:space="0" w:color="auto"/>
              <w:right w:val="single" w:sz="4" w:space="0" w:color="auto"/>
            </w:tcBorders>
          </w:tcPr>
          <w:p w:rsidR="00C2118B" w:rsidRPr="001246F2" w:rsidRDefault="00C2118B" w:rsidP="00E11457">
            <w:pPr>
              <w:pStyle w:val="Tabletext"/>
            </w:pPr>
            <w:r w:rsidRPr="001246F2">
              <w:t xml:space="preserve">30 MHz &lt; </w:t>
            </w:r>
            <w:r w:rsidRPr="001246F2">
              <w:rPr>
                <w:i/>
              </w:rPr>
              <w:t>BW</w:t>
            </w:r>
            <w:r w:rsidRPr="001246F2">
              <w:rPr>
                <w:i/>
                <w:vertAlign w:val="subscript"/>
              </w:rPr>
              <w:t>I</w:t>
            </w:r>
            <w:r w:rsidRPr="001246F2">
              <w:t xml:space="preserve"> ≤ 40 MHz</w:t>
            </w:r>
          </w:p>
        </w:tc>
        <w:tc>
          <w:tcPr>
            <w:tcW w:w="5103" w:type="dxa"/>
            <w:tcBorders>
              <w:top w:val="single" w:sz="4" w:space="0" w:color="auto"/>
              <w:left w:val="single" w:sz="4" w:space="0" w:color="auto"/>
              <w:bottom w:val="single" w:sz="4" w:space="0" w:color="auto"/>
              <w:right w:val="single" w:sz="4" w:space="0" w:color="auto"/>
            </w:tcBorders>
          </w:tcPr>
          <w:p w:rsidR="00C2118B" w:rsidRPr="001246F2" w:rsidRDefault="00E32F34" w:rsidP="00E32F34">
            <w:pPr>
              <w:pStyle w:val="Tabletext"/>
            </w:pPr>
            <w:r w:rsidRPr="001246F2">
              <w:t>Incremento lineal de 19,</w:t>
            </w:r>
            <w:r w:rsidR="00C2118B" w:rsidRPr="001246F2">
              <w:t xml:space="preserve">4 </w:t>
            </w:r>
            <w:r w:rsidRPr="001246F2">
              <w:t>a</w:t>
            </w:r>
            <w:r w:rsidR="00C2118B" w:rsidRPr="001246F2">
              <w:t xml:space="preserve"> 21* dB</w:t>
            </w:r>
          </w:p>
        </w:tc>
      </w:tr>
      <w:tr w:rsidR="00C2118B" w:rsidRPr="001246F2" w:rsidTr="00E11457">
        <w:trPr>
          <w:jc w:val="center"/>
        </w:trPr>
        <w:tc>
          <w:tcPr>
            <w:tcW w:w="3402" w:type="dxa"/>
            <w:tcBorders>
              <w:top w:val="single" w:sz="4" w:space="0" w:color="auto"/>
              <w:left w:val="single" w:sz="4" w:space="0" w:color="auto"/>
              <w:bottom w:val="single" w:sz="4" w:space="0" w:color="auto"/>
              <w:right w:val="single" w:sz="4" w:space="0" w:color="auto"/>
            </w:tcBorders>
          </w:tcPr>
          <w:p w:rsidR="00C2118B" w:rsidRPr="001246F2" w:rsidRDefault="00C2118B" w:rsidP="00E11457">
            <w:pPr>
              <w:pStyle w:val="Tabletext"/>
            </w:pPr>
            <w:r w:rsidRPr="001246F2">
              <w:t xml:space="preserve">40 MHz &lt; </w:t>
            </w:r>
            <w:r w:rsidRPr="001246F2">
              <w:rPr>
                <w:i/>
              </w:rPr>
              <w:t>BW</w:t>
            </w:r>
            <w:r w:rsidRPr="001246F2">
              <w:rPr>
                <w:i/>
                <w:vertAlign w:val="subscript"/>
              </w:rPr>
              <w:t>I</w:t>
            </w:r>
            <w:r w:rsidRPr="001246F2">
              <w:t xml:space="preserve"> </w:t>
            </w:r>
          </w:p>
        </w:tc>
        <w:tc>
          <w:tcPr>
            <w:tcW w:w="5103" w:type="dxa"/>
            <w:tcBorders>
              <w:top w:val="single" w:sz="4" w:space="0" w:color="auto"/>
              <w:left w:val="single" w:sz="4" w:space="0" w:color="auto"/>
              <w:bottom w:val="single" w:sz="4" w:space="0" w:color="auto"/>
              <w:right w:val="single" w:sz="4" w:space="0" w:color="auto"/>
            </w:tcBorders>
          </w:tcPr>
          <w:p w:rsidR="00C2118B" w:rsidRPr="001246F2" w:rsidRDefault="00C2118B" w:rsidP="00E11457">
            <w:pPr>
              <w:pStyle w:val="Tabletext"/>
            </w:pPr>
            <w:r w:rsidRPr="001246F2">
              <w:t>21 dB*</w:t>
            </w:r>
          </w:p>
        </w:tc>
      </w:tr>
      <w:tr w:rsidR="00C2118B" w:rsidRPr="001246F2" w:rsidTr="00E11457">
        <w:trPr>
          <w:jc w:val="center"/>
        </w:trPr>
        <w:tc>
          <w:tcPr>
            <w:tcW w:w="3402" w:type="dxa"/>
            <w:gridSpan w:val="2"/>
            <w:tcBorders>
              <w:top w:val="single" w:sz="4" w:space="0" w:color="auto"/>
              <w:left w:val="nil"/>
              <w:bottom w:val="nil"/>
              <w:right w:val="nil"/>
            </w:tcBorders>
          </w:tcPr>
          <w:p w:rsidR="00C2118B" w:rsidRPr="001246F2" w:rsidRDefault="00C2118B" w:rsidP="00C2118B">
            <w:pPr>
              <w:pStyle w:val="Tablelegend"/>
              <w:ind w:left="288" w:hanging="288"/>
            </w:pPr>
            <w:r w:rsidRPr="001246F2">
              <w:t>*</w:t>
            </w:r>
            <w:r w:rsidRPr="001246F2">
              <w:tab/>
              <w:t>Para anchuras de banda de la interferencia mayores de 1 MHz, la densidad espectral de potencia de la interferencia no deberá rebasar el umbral de banda amplia pertinente indicado en el Cuadro 2 en la gama de frecuencias 1</w:t>
            </w:r>
            <w:r w:rsidR="00DC68B5">
              <w:t> </w:t>
            </w:r>
            <w:r w:rsidRPr="001246F2">
              <w:t>575,42 ± 10 MHz.</w:t>
            </w:r>
          </w:p>
        </w:tc>
      </w:tr>
    </w:tbl>
    <w:p w:rsidR="00C2118B" w:rsidRPr="001246F2" w:rsidRDefault="00C2118B" w:rsidP="00C2118B">
      <w:pPr>
        <w:pStyle w:val="Tablefin"/>
        <w:rPr>
          <w:lang w:val="es-ES_tradnl"/>
        </w:rPr>
      </w:pPr>
    </w:p>
    <w:p w:rsidR="002F74C4" w:rsidRDefault="002F74C4" w:rsidP="00E11457">
      <w:r w:rsidRPr="001246F2">
        <w:t>La Fig</w:t>
      </w:r>
      <w:r w:rsidR="00E11457" w:rsidRPr="001246F2">
        <w:t>. </w:t>
      </w:r>
      <w:r w:rsidRPr="001246F2">
        <w:t xml:space="preserve">2 ilustra el caso de receptores de navegación </w:t>
      </w:r>
      <w:r w:rsidR="00BC71CC" w:rsidRPr="001246F2">
        <w:t>aérea</w:t>
      </w:r>
      <w:r w:rsidRPr="001246F2">
        <w:t xml:space="preserve"> que realizan el seguimiento de señales del SRNS con AMDF y proporciona los niveles </w:t>
      </w:r>
      <w:r w:rsidR="00BC71CC" w:rsidRPr="001246F2">
        <w:t>umbral</w:t>
      </w:r>
      <w:r w:rsidRPr="001246F2">
        <w:t xml:space="preserve"> de interferencia </w:t>
      </w:r>
      <w:r w:rsidR="00BC71CC" w:rsidRPr="001246F2">
        <w:t>asociados</w:t>
      </w:r>
      <w:r w:rsidRPr="001246F2">
        <w:t xml:space="preserve"> en </w:t>
      </w:r>
      <w:r w:rsidR="00BC71CC" w:rsidRPr="001246F2">
        <w:t>función</w:t>
      </w:r>
      <w:r w:rsidRPr="001246F2">
        <w:t xml:space="preserve"> de la anchura de banda de la fuente de interferencia. Cabe señalar que los valores </w:t>
      </w:r>
      <w:r w:rsidR="00BC71CC" w:rsidRPr="001246F2">
        <w:t>umbral</w:t>
      </w:r>
      <w:r w:rsidRPr="001246F2">
        <w:t xml:space="preserve"> de la Fig</w:t>
      </w:r>
      <w:r w:rsidR="00E11457" w:rsidRPr="001246F2">
        <w:t>. </w:t>
      </w:r>
      <w:r w:rsidRPr="001246F2">
        <w:t>2 no tienen en cu</w:t>
      </w:r>
      <w:r w:rsidR="00E11457" w:rsidRPr="001246F2">
        <w:t>e</w:t>
      </w:r>
      <w:r w:rsidRPr="001246F2">
        <w:t xml:space="preserve">nta un margen de seguridad </w:t>
      </w:r>
      <w:r w:rsidR="00E11457" w:rsidRPr="001246F2">
        <w:t>(</w:t>
      </w:r>
      <w:r w:rsidRPr="001246F2">
        <w:t>unos 6</w:t>
      </w:r>
      <w:r w:rsidR="00E11457" w:rsidRPr="001246F2">
        <w:t> </w:t>
      </w:r>
      <w:r w:rsidRPr="001246F2">
        <w:t xml:space="preserve">dB) que </w:t>
      </w:r>
      <w:r w:rsidR="00BC71CC" w:rsidRPr="001246F2">
        <w:t>normalmente</w:t>
      </w:r>
      <w:r w:rsidRPr="001246F2">
        <w:t xml:space="preserve"> aplica la OACI en las normas pertinentes.</w:t>
      </w:r>
    </w:p>
    <w:p w:rsidR="009234E6" w:rsidRPr="001246F2" w:rsidRDefault="009234E6" w:rsidP="00F7406C">
      <w:pPr>
        <w:spacing w:before="0"/>
      </w:pPr>
    </w:p>
    <w:p w:rsidR="00E11457" w:rsidRDefault="00CB232E" w:rsidP="00E11457">
      <w:pPr>
        <w:pStyle w:val="FigureNo"/>
      </w:pPr>
      <w:r w:rsidRPr="001246F2">
        <w:t>FIGURA 2</w:t>
      </w:r>
    </w:p>
    <w:p w:rsidR="00BF71F8" w:rsidRPr="00BF71F8" w:rsidRDefault="00BF71F8" w:rsidP="00BF71F8">
      <w:pPr>
        <w:pStyle w:val="Figuretitle"/>
      </w:pPr>
      <w:r w:rsidRPr="001246F2">
        <w:t>Valores umbral de la interferencia para receptores con AMDF</w:t>
      </w:r>
    </w:p>
    <w:p w:rsidR="00E11457" w:rsidRPr="001246F2" w:rsidRDefault="00BF71F8" w:rsidP="00E11457">
      <w:pPr>
        <w:pStyle w:val="Figure"/>
      </w:pPr>
      <w:r w:rsidRPr="001246F2">
        <w:rPr>
          <w:noProof/>
          <w:lang w:eastAsia="zh-CN"/>
        </w:rPr>
        <w:object w:dxaOrig="4807" w:dyaOrig="4562">
          <v:shape id="_x0000_i1026" type="#_x0000_t75" style="width:286.2pt;height:271.2pt" o:ole="">
            <v:imagedata r:id="rId17" o:title=""/>
          </v:shape>
          <o:OLEObject Type="Embed" ProgID="CorelDRAW.Graphic.14" ShapeID="_x0000_i1026" DrawAspect="Content" ObjectID="_1399464855" r:id="rId18"/>
        </w:object>
      </w:r>
    </w:p>
    <w:p w:rsidR="002F74C4" w:rsidRPr="001246F2" w:rsidRDefault="00E11457" w:rsidP="00E11457">
      <w:pPr>
        <w:pStyle w:val="Heading1"/>
      </w:pPr>
      <w:r w:rsidRPr="001246F2">
        <w:lastRenderedPageBreak/>
        <w:t>4</w:t>
      </w:r>
      <w:r w:rsidRPr="001246F2">
        <w:tab/>
      </w:r>
      <w:r w:rsidR="00BC71CC" w:rsidRPr="001246F2">
        <w:t>Características</w:t>
      </w:r>
      <w:r w:rsidR="002F74C4" w:rsidRPr="001246F2">
        <w:t xml:space="preserve"> </w:t>
      </w:r>
      <w:r w:rsidR="00BC71CC" w:rsidRPr="001246F2">
        <w:t>técnicas</w:t>
      </w:r>
      <w:r w:rsidR="002F74C4" w:rsidRPr="001246F2">
        <w:t xml:space="preserve"> y criterios de </w:t>
      </w:r>
      <w:r w:rsidR="00BC71CC" w:rsidRPr="001246F2">
        <w:t>protección</w:t>
      </w:r>
      <w:r w:rsidR="002F74C4" w:rsidRPr="001246F2">
        <w:t xml:space="preserve"> del receptor del SRNS</w:t>
      </w:r>
    </w:p>
    <w:p w:rsidR="002F74C4" w:rsidRPr="001246F2" w:rsidRDefault="002F74C4" w:rsidP="009234E6">
      <w:r w:rsidRPr="001246F2">
        <w:t xml:space="preserve">El </w:t>
      </w:r>
      <w:r w:rsidR="00CB232E" w:rsidRPr="001246F2">
        <w:t>Cuadro</w:t>
      </w:r>
      <w:r w:rsidR="009234E6">
        <w:t> </w:t>
      </w:r>
      <w:r w:rsidRPr="001246F2">
        <w:t xml:space="preserve">2 presenta las </w:t>
      </w:r>
      <w:r w:rsidR="00BC71CC" w:rsidRPr="001246F2">
        <w:t>características</w:t>
      </w:r>
      <w:r w:rsidRPr="001246F2">
        <w:t xml:space="preserve"> </w:t>
      </w:r>
      <w:r w:rsidR="00BC71CC" w:rsidRPr="001246F2">
        <w:t>técnicas</w:t>
      </w:r>
      <w:r w:rsidRPr="001246F2">
        <w:t xml:space="preserve"> y los criterios de </w:t>
      </w:r>
      <w:r w:rsidR="00BC71CC" w:rsidRPr="001246F2">
        <w:t>protección</w:t>
      </w:r>
      <w:r w:rsidRPr="001246F2">
        <w:t xml:space="preserve"> (</w:t>
      </w:r>
      <w:r w:rsidR="00BC71CC" w:rsidRPr="001246F2">
        <w:t>máximos</w:t>
      </w:r>
      <w:r w:rsidRPr="001246F2">
        <w:t xml:space="preserve"> umbrales de interferencia combinada) para varias aplicaciones del SRNS representativas en la banda </w:t>
      </w:r>
      <w:r w:rsidR="00CB232E" w:rsidRPr="001246F2">
        <w:t>1 559-1 610 MHz</w:t>
      </w:r>
      <w:r w:rsidR="00DC68B5">
        <w:t>. En la Recomendación UIT-R M.</w:t>
      </w:r>
      <w:r w:rsidRPr="001246F2">
        <w:t>1787 aparece</w:t>
      </w:r>
      <w:r w:rsidR="00B26D11" w:rsidRPr="001246F2">
        <w:t xml:space="preserve"> más </w:t>
      </w:r>
      <w:r w:rsidR="00BC71CC" w:rsidRPr="001246F2">
        <w:t>información</w:t>
      </w:r>
      <w:r w:rsidRPr="001246F2">
        <w:t xml:space="preserve"> sobre la señal del SRNS. La aplicabilidad y la aplicación de los </w:t>
      </w:r>
      <w:r w:rsidR="00BC71CC" w:rsidRPr="001246F2">
        <w:t>márgenes</w:t>
      </w:r>
      <w:r w:rsidRPr="001246F2">
        <w:t xml:space="preserve"> de seguridad para proteger el receptor del SRNS figuran en el Anexo 1.</w:t>
      </w:r>
    </w:p>
    <w:p w:rsidR="002F74C4" w:rsidRPr="001246F2" w:rsidRDefault="002F74C4" w:rsidP="009234E6">
      <w:r w:rsidRPr="001246F2">
        <w:t xml:space="preserve">El </w:t>
      </w:r>
      <w:r w:rsidR="00CB232E" w:rsidRPr="001246F2">
        <w:t>Cuadro</w:t>
      </w:r>
      <w:r w:rsidR="009234E6">
        <w:t> </w:t>
      </w:r>
      <w:r w:rsidRPr="001246F2">
        <w:t xml:space="preserve">2 propone diferentes niveles de </w:t>
      </w:r>
      <w:r w:rsidR="00BC71CC" w:rsidRPr="001246F2">
        <w:t>protección</w:t>
      </w:r>
      <w:r w:rsidRPr="001246F2">
        <w:t xml:space="preserve"> dependiendo del tipo de receptor del SRNS o de la aplicación. En el cuadro se han incluido los siguientes receptores y aplicaciones:</w:t>
      </w:r>
    </w:p>
    <w:p w:rsidR="002F74C4" w:rsidRPr="001246F2" w:rsidRDefault="00CB232E" w:rsidP="00FB36A3">
      <w:pPr>
        <w:pStyle w:val="enumlev1"/>
      </w:pPr>
      <w:r w:rsidRPr="001246F2">
        <w:t>–</w:t>
      </w:r>
      <w:r w:rsidRPr="001246F2">
        <w:tab/>
      </w:r>
      <w:r w:rsidR="002F74C4" w:rsidRPr="001246F2">
        <w:t xml:space="preserve">Receptor del SBAS de </w:t>
      </w:r>
      <w:r w:rsidR="009234E6" w:rsidRPr="001246F2">
        <w:t>categoría</w:t>
      </w:r>
      <w:r w:rsidR="009234E6">
        <w:t> </w:t>
      </w:r>
      <w:r w:rsidR="00FB36A3">
        <w:t>I</w:t>
      </w:r>
      <w:r w:rsidR="002F74C4" w:rsidRPr="001246F2">
        <w:t xml:space="preserve"> (2 tipos) y receptor del GBA</w:t>
      </w:r>
      <w:r w:rsidRPr="001246F2">
        <w:t>S</w:t>
      </w:r>
      <w:r w:rsidR="002F74C4" w:rsidRPr="001246F2">
        <w:t xml:space="preserve"> de </w:t>
      </w:r>
      <w:r w:rsidR="009234E6" w:rsidRPr="001246F2">
        <w:t>categoría</w:t>
      </w:r>
      <w:r w:rsidR="009234E6">
        <w:t> </w:t>
      </w:r>
      <w:r w:rsidR="002F74C4" w:rsidRPr="001246F2">
        <w:t>II/III (2</w:t>
      </w:r>
      <w:r w:rsidRPr="001246F2">
        <w:t> </w:t>
      </w:r>
      <w:r w:rsidR="002F74C4" w:rsidRPr="001246F2">
        <w:t>tipos) (</w:t>
      </w:r>
      <w:r w:rsidR="00BC71CC" w:rsidRPr="001246F2">
        <w:t>véanse</w:t>
      </w:r>
      <w:r w:rsidR="002F74C4" w:rsidRPr="001246F2">
        <w:t xml:space="preserve"> los </w:t>
      </w:r>
      <w:r w:rsidRPr="001246F2">
        <w:t>§ </w:t>
      </w:r>
      <w:r w:rsidR="002F74C4" w:rsidRPr="001246F2">
        <w:t>2.1.1 y 2.1.2 y el Cuadro 2, columnas 1 a 4)</w:t>
      </w:r>
      <w:r w:rsidRPr="001246F2">
        <w:t>.</w:t>
      </w:r>
    </w:p>
    <w:p w:rsidR="002F74C4" w:rsidRPr="001246F2" w:rsidRDefault="00CB232E" w:rsidP="00CB232E">
      <w:pPr>
        <w:pStyle w:val="enumlev1"/>
      </w:pPr>
      <w:r w:rsidRPr="001246F2">
        <w:t>–</w:t>
      </w:r>
      <w:r w:rsidRPr="001246F2">
        <w:tab/>
      </w:r>
      <w:r w:rsidR="00BC71CC" w:rsidRPr="001246F2">
        <w:t xml:space="preserve">Receptor de referencia en tierra del SBAS (véase el </w:t>
      </w:r>
      <w:r w:rsidRPr="001246F2">
        <w:t>§ </w:t>
      </w:r>
      <w:r w:rsidR="00BC71CC" w:rsidRPr="001246F2">
        <w:t>2.1.3 y el Cuadro 2, columna 5)</w:t>
      </w:r>
      <w:r w:rsidR="00FE6D1D" w:rsidRPr="001246F2">
        <w:t>.</w:t>
      </w:r>
    </w:p>
    <w:p w:rsidR="002F74C4" w:rsidRPr="001246F2" w:rsidRDefault="00CB232E" w:rsidP="00CB232E">
      <w:pPr>
        <w:pStyle w:val="enumlev1"/>
      </w:pPr>
      <w:r w:rsidRPr="001246F2">
        <w:t>–</w:t>
      </w:r>
      <w:r w:rsidRPr="001246F2">
        <w:tab/>
      </w:r>
      <w:r w:rsidR="002F74C4" w:rsidRPr="001246F2">
        <w:t xml:space="preserve">Receptor de aproximación de </w:t>
      </w:r>
      <w:r w:rsidR="00BC71CC" w:rsidRPr="001246F2">
        <w:t>precisión</w:t>
      </w:r>
      <w:r w:rsidR="002F74C4" w:rsidRPr="001246F2">
        <w:t xml:space="preserve"> de navegación </w:t>
      </w:r>
      <w:r w:rsidR="00BC71CC" w:rsidRPr="001246F2">
        <w:t>aérea</w:t>
      </w:r>
      <w:r w:rsidR="002F74C4" w:rsidRPr="001246F2">
        <w:t xml:space="preserve"> </w:t>
      </w:r>
      <w:r w:rsidRPr="001246F2">
        <w:t>(</w:t>
      </w:r>
      <w:r w:rsidR="001246F2" w:rsidRPr="001246F2">
        <w:t>véase</w:t>
      </w:r>
      <w:r w:rsidR="002F74C4" w:rsidRPr="001246F2">
        <w:t xml:space="preserve"> el </w:t>
      </w:r>
      <w:r w:rsidRPr="001246F2">
        <w:t>§ </w:t>
      </w:r>
      <w:r w:rsidR="002F74C4" w:rsidRPr="001246F2">
        <w:t xml:space="preserve">2.1.4 y el </w:t>
      </w:r>
      <w:r w:rsidR="00BC71CC" w:rsidRPr="001246F2">
        <w:t>Cuadro</w:t>
      </w:r>
      <w:r w:rsidR="002F74C4" w:rsidRPr="001246F2">
        <w:t xml:space="preserve"> 2, columna 6)</w:t>
      </w:r>
      <w:r w:rsidRPr="001246F2">
        <w:t>.</w:t>
      </w:r>
    </w:p>
    <w:p w:rsidR="002F74C4" w:rsidRPr="001246F2" w:rsidRDefault="00CB232E" w:rsidP="00CB232E">
      <w:pPr>
        <w:pStyle w:val="enumlev1"/>
      </w:pPr>
      <w:r w:rsidRPr="001246F2">
        <w:t>–</w:t>
      </w:r>
      <w:r w:rsidRPr="001246F2">
        <w:tab/>
        <w:t xml:space="preserve">Alta </w:t>
      </w:r>
      <w:r w:rsidR="00BC71CC" w:rsidRPr="001246F2">
        <w:t>precisión</w:t>
      </w:r>
      <w:r w:rsidR="002F74C4" w:rsidRPr="001246F2">
        <w:t xml:space="preserve"> </w:t>
      </w:r>
      <w:r w:rsidRPr="001246F2">
        <w:t>(</w:t>
      </w:r>
      <w:r w:rsidR="002F74C4" w:rsidRPr="001246F2">
        <w:t>2 tipos) (</w:t>
      </w:r>
      <w:r w:rsidR="00BC71CC" w:rsidRPr="001246F2">
        <w:t>véase</w:t>
      </w:r>
      <w:r w:rsidR="002F74C4" w:rsidRPr="001246F2">
        <w:t xml:space="preserve"> el </w:t>
      </w:r>
      <w:r w:rsidRPr="001246F2">
        <w:t>§ </w:t>
      </w:r>
      <w:r w:rsidR="002F74C4" w:rsidRPr="001246F2">
        <w:t xml:space="preserve">2.2 y </w:t>
      </w:r>
      <w:r w:rsidRPr="001246F2">
        <w:t>e</w:t>
      </w:r>
      <w:r w:rsidR="002F74C4" w:rsidRPr="001246F2">
        <w:t xml:space="preserve">l </w:t>
      </w:r>
      <w:r w:rsidRPr="001246F2">
        <w:t xml:space="preserve">Cuadro </w:t>
      </w:r>
      <w:r w:rsidR="002F74C4" w:rsidRPr="001246F2">
        <w:t>2, columna 11)</w:t>
      </w:r>
      <w:r w:rsidR="00FE6D1D" w:rsidRPr="001246F2">
        <w:t>.</w:t>
      </w:r>
    </w:p>
    <w:p w:rsidR="002F74C4" w:rsidRPr="001246F2" w:rsidRDefault="00CB232E" w:rsidP="00CB232E">
      <w:pPr>
        <w:pStyle w:val="enumlev1"/>
      </w:pPr>
      <w:r w:rsidRPr="001246F2">
        <w:t>–</w:t>
      </w:r>
      <w:r w:rsidRPr="001246F2">
        <w:tab/>
      </w:r>
      <w:r w:rsidR="002F74C4" w:rsidRPr="001246F2">
        <w:t>SRNS-A (</w:t>
      </w:r>
      <w:r w:rsidR="00BC71CC" w:rsidRPr="001246F2">
        <w:t>véase</w:t>
      </w:r>
      <w:r w:rsidR="002F74C4" w:rsidRPr="001246F2">
        <w:t xml:space="preserve"> el </w:t>
      </w:r>
      <w:r w:rsidRPr="001246F2">
        <w:t>§ </w:t>
      </w:r>
      <w:r w:rsidR="002F74C4" w:rsidRPr="001246F2">
        <w:t xml:space="preserve">2.3 y el </w:t>
      </w:r>
      <w:r w:rsidRPr="001246F2">
        <w:t xml:space="preserve">Cuadro </w:t>
      </w:r>
      <w:r w:rsidR="002F74C4" w:rsidRPr="001246F2">
        <w:t>2, columna 7)</w:t>
      </w:r>
      <w:r w:rsidR="00FE6D1D" w:rsidRPr="001246F2">
        <w:t>.</w:t>
      </w:r>
    </w:p>
    <w:p w:rsidR="002F74C4" w:rsidRPr="001246F2" w:rsidRDefault="00CB232E" w:rsidP="00CB232E">
      <w:pPr>
        <w:pStyle w:val="enumlev1"/>
      </w:pPr>
      <w:r w:rsidRPr="001246F2">
        <w:t>–</w:t>
      </w:r>
      <w:r w:rsidRPr="001246F2">
        <w:tab/>
      </w:r>
      <w:r w:rsidR="002F74C4" w:rsidRPr="001246F2">
        <w:t>Polivalente N</w:t>
      </w:r>
      <w:r w:rsidRPr="001246F2">
        <w:t>°</w:t>
      </w:r>
      <w:r w:rsidR="002F74C4" w:rsidRPr="001246F2">
        <w:t xml:space="preserve"> 1 (2 tipos) (</w:t>
      </w:r>
      <w:r w:rsidR="00BC71CC" w:rsidRPr="001246F2">
        <w:t>véase</w:t>
      </w:r>
      <w:r w:rsidR="002F74C4" w:rsidRPr="001246F2">
        <w:t xml:space="preserve"> el </w:t>
      </w:r>
      <w:r w:rsidRPr="001246F2">
        <w:t>§ </w:t>
      </w:r>
      <w:r w:rsidR="002F74C4" w:rsidRPr="001246F2">
        <w:t xml:space="preserve">2.4 y el </w:t>
      </w:r>
      <w:r w:rsidR="00903375" w:rsidRPr="001246F2">
        <w:t xml:space="preserve">Cuadro </w:t>
      </w:r>
      <w:r w:rsidR="002F74C4" w:rsidRPr="001246F2">
        <w:t>2, columna 8)</w:t>
      </w:r>
      <w:r w:rsidR="00FE6D1D" w:rsidRPr="001246F2">
        <w:t>.</w:t>
      </w:r>
    </w:p>
    <w:p w:rsidR="002F74C4" w:rsidRPr="001246F2" w:rsidRDefault="00CB232E" w:rsidP="00CB232E">
      <w:pPr>
        <w:pStyle w:val="enumlev1"/>
      </w:pPr>
      <w:r w:rsidRPr="001246F2">
        <w:t>–</w:t>
      </w:r>
      <w:r w:rsidRPr="001246F2">
        <w:tab/>
      </w:r>
      <w:r w:rsidR="002F74C4" w:rsidRPr="001246F2">
        <w:t>Polivalente N</w:t>
      </w:r>
      <w:r w:rsidRPr="001246F2">
        <w:t>°</w:t>
      </w:r>
      <w:r w:rsidR="002F74C4" w:rsidRPr="001246F2">
        <w:t xml:space="preserve"> 2 (</w:t>
      </w:r>
      <w:r w:rsidR="00BC71CC" w:rsidRPr="001246F2">
        <w:t>véase</w:t>
      </w:r>
      <w:r w:rsidR="002F74C4" w:rsidRPr="001246F2">
        <w:t xml:space="preserve"> el </w:t>
      </w:r>
      <w:r w:rsidRPr="001246F2">
        <w:t>§ </w:t>
      </w:r>
      <w:r w:rsidR="002F74C4" w:rsidRPr="001246F2">
        <w:t xml:space="preserve">2.4 y el </w:t>
      </w:r>
      <w:r w:rsidRPr="001246F2">
        <w:t xml:space="preserve">Cuadro </w:t>
      </w:r>
      <w:r w:rsidR="002F74C4" w:rsidRPr="001246F2">
        <w:t>2, columna 9)</w:t>
      </w:r>
      <w:r w:rsidR="00FE6D1D" w:rsidRPr="001246F2">
        <w:t>.</w:t>
      </w:r>
    </w:p>
    <w:p w:rsidR="002F74C4" w:rsidRPr="001246F2" w:rsidRDefault="00CB232E" w:rsidP="00CB232E">
      <w:pPr>
        <w:pStyle w:val="enumlev1"/>
      </w:pPr>
      <w:r w:rsidRPr="001246F2">
        <w:t>–</w:t>
      </w:r>
      <w:r w:rsidRPr="001246F2">
        <w:tab/>
      </w:r>
      <w:r w:rsidR="00BC71CC" w:rsidRPr="001246F2">
        <w:t>Posicionamiento</w:t>
      </w:r>
      <w:r w:rsidR="002F74C4" w:rsidRPr="001246F2">
        <w:t xml:space="preserve"> en interiores </w:t>
      </w:r>
      <w:r w:rsidRPr="001246F2">
        <w:t>(</w:t>
      </w:r>
      <w:r w:rsidR="002F74C4" w:rsidRPr="001246F2">
        <w:t>2 tipos) (</w:t>
      </w:r>
      <w:r w:rsidR="00BC71CC" w:rsidRPr="001246F2">
        <w:t>véase</w:t>
      </w:r>
      <w:r w:rsidR="002F74C4" w:rsidRPr="001246F2">
        <w:t xml:space="preserve"> el </w:t>
      </w:r>
      <w:r w:rsidRPr="001246F2">
        <w:t>§ </w:t>
      </w:r>
      <w:r w:rsidR="002F74C4" w:rsidRPr="001246F2">
        <w:t>2.5 y el Cuadro 2, columna 10)</w:t>
      </w:r>
      <w:r w:rsidR="00FE6D1D" w:rsidRPr="001246F2">
        <w:t>.</w:t>
      </w:r>
    </w:p>
    <w:p w:rsidR="00FE6D1D" w:rsidRPr="001246F2" w:rsidRDefault="00FE6D1D" w:rsidP="00FE6D1D">
      <w:pPr>
        <w:pStyle w:val="enumlev1"/>
        <w:rPr>
          <w:bCs/>
        </w:rPr>
      </w:pPr>
    </w:p>
    <w:p w:rsidR="00FE6D1D" w:rsidRPr="001246F2" w:rsidRDefault="00FE6D1D" w:rsidP="00FE6D1D"/>
    <w:p w:rsidR="00FE6D1D" w:rsidRPr="001246F2" w:rsidRDefault="00FE6D1D" w:rsidP="00FE6D1D">
      <w:pPr>
        <w:sectPr w:rsidR="00FE6D1D" w:rsidRPr="001246F2" w:rsidSect="00FE6D1D">
          <w:headerReference w:type="default" r:id="rId19"/>
          <w:pgSz w:w="11907" w:h="16834" w:code="9"/>
          <w:pgMar w:top="1418" w:right="1134" w:bottom="1134" w:left="1134" w:header="720" w:footer="482" w:gutter="0"/>
          <w:pgNumType w:start="1"/>
          <w:cols w:space="720"/>
        </w:sectPr>
      </w:pPr>
    </w:p>
    <w:p w:rsidR="00FE6D1D" w:rsidRPr="001246F2" w:rsidRDefault="00113B80" w:rsidP="00FE6D1D">
      <w:pPr>
        <w:pStyle w:val="TableNo"/>
        <w:spacing w:before="0"/>
      </w:pPr>
      <w:r w:rsidRPr="001246F2">
        <w:lastRenderedPageBreak/>
        <w:t xml:space="preserve">CUADRO </w:t>
      </w:r>
      <w:r w:rsidR="00FE6D1D" w:rsidRPr="001246F2">
        <w:t>2</w:t>
      </w:r>
    </w:p>
    <w:p w:rsidR="00FE6D1D" w:rsidRPr="001246F2" w:rsidRDefault="00FE6D1D" w:rsidP="009F4959">
      <w:pPr>
        <w:pStyle w:val="Tabletitle"/>
      </w:pPr>
      <w:r w:rsidRPr="001246F2">
        <w:t>Características técnicas y criterios de protección para los receptores del SRNS (espacio-Tierra)</w:t>
      </w:r>
      <w:r w:rsidR="009F4959" w:rsidRPr="001246F2">
        <w:br/>
      </w:r>
      <w:r w:rsidRPr="001246F2">
        <w:t>que funcionan en la banda 1 559-1 610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446"/>
        <w:gridCol w:w="1077"/>
        <w:gridCol w:w="1360"/>
        <w:gridCol w:w="1361"/>
        <w:gridCol w:w="1389"/>
        <w:gridCol w:w="994"/>
        <w:gridCol w:w="1304"/>
        <w:gridCol w:w="868"/>
        <w:gridCol w:w="435"/>
        <w:gridCol w:w="143"/>
        <w:gridCol w:w="578"/>
        <w:gridCol w:w="1020"/>
        <w:gridCol w:w="443"/>
        <w:gridCol w:w="160"/>
        <w:gridCol w:w="593"/>
        <w:gridCol w:w="624"/>
        <w:gridCol w:w="680"/>
      </w:tblGrid>
      <w:tr w:rsidR="00FE6D1D" w:rsidRPr="001246F2" w:rsidTr="002C0CF2">
        <w:trPr>
          <w:cantSplit/>
          <w:tblHeader/>
          <w:jc w:val="center"/>
        </w:trPr>
        <w:tc>
          <w:tcPr>
            <w:tcW w:w="1446" w:type="dxa"/>
            <w:vAlign w:val="center"/>
          </w:tcPr>
          <w:p w:rsidR="00FE6D1D" w:rsidRPr="001246F2" w:rsidRDefault="00FE6D1D" w:rsidP="00FE6D1D">
            <w:pPr>
              <w:pStyle w:val="Tablehead"/>
              <w:rPr>
                <w:rFonts w:eastAsia="MS PGothic"/>
                <w:sz w:val="18"/>
              </w:rPr>
            </w:pPr>
          </w:p>
        </w:tc>
        <w:tc>
          <w:tcPr>
            <w:tcW w:w="1077" w:type="dxa"/>
            <w:vAlign w:val="center"/>
          </w:tcPr>
          <w:p w:rsidR="00FE6D1D" w:rsidRPr="001246F2" w:rsidRDefault="00FE6D1D" w:rsidP="00FE6D1D">
            <w:pPr>
              <w:pStyle w:val="Tablehead"/>
              <w:rPr>
                <w:rFonts w:eastAsia="MS PGothic"/>
                <w:sz w:val="18"/>
              </w:rPr>
            </w:pPr>
            <w:r w:rsidRPr="001246F2">
              <w:rPr>
                <w:rFonts w:eastAsia="MS PGothic"/>
                <w:sz w:val="18"/>
              </w:rPr>
              <w:t>1</w:t>
            </w:r>
          </w:p>
        </w:tc>
        <w:tc>
          <w:tcPr>
            <w:tcW w:w="1360" w:type="dxa"/>
            <w:vAlign w:val="center"/>
          </w:tcPr>
          <w:p w:rsidR="00FE6D1D" w:rsidRPr="001246F2" w:rsidRDefault="00FE6D1D" w:rsidP="00FE6D1D">
            <w:pPr>
              <w:pStyle w:val="Tablehead"/>
              <w:rPr>
                <w:rFonts w:eastAsia="MS PGothic"/>
                <w:sz w:val="18"/>
              </w:rPr>
            </w:pPr>
            <w:r w:rsidRPr="001246F2">
              <w:rPr>
                <w:rFonts w:eastAsia="MS PGothic"/>
                <w:sz w:val="18"/>
              </w:rPr>
              <w:t>2</w:t>
            </w:r>
          </w:p>
        </w:tc>
        <w:tc>
          <w:tcPr>
            <w:tcW w:w="1361" w:type="dxa"/>
            <w:vAlign w:val="center"/>
          </w:tcPr>
          <w:p w:rsidR="00FE6D1D" w:rsidRPr="001246F2" w:rsidRDefault="00FE6D1D" w:rsidP="00FE6D1D">
            <w:pPr>
              <w:pStyle w:val="Tablehead"/>
              <w:rPr>
                <w:rFonts w:eastAsia="MS PGothic"/>
                <w:sz w:val="18"/>
              </w:rPr>
            </w:pPr>
            <w:r w:rsidRPr="001246F2">
              <w:rPr>
                <w:rFonts w:eastAsia="MS PGothic"/>
                <w:sz w:val="18"/>
              </w:rPr>
              <w:t>3</w:t>
            </w:r>
          </w:p>
        </w:tc>
        <w:tc>
          <w:tcPr>
            <w:tcW w:w="1389" w:type="dxa"/>
            <w:vAlign w:val="center"/>
          </w:tcPr>
          <w:p w:rsidR="00FE6D1D" w:rsidRPr="001246F2" w:rsidRDefault="00FE6D1D" w:rsidP="00FE6D1D">
            <w:pPr>
              <w:pStyle w:val="Tablehead"/>
              <w:rPr>
                <w:rFonts w:eastAsia="MS PGothic"/>
                <w:sz w:val="18"/>
              </w:rPr>
            </w:pPr>
            <w:r w:rsidRPr="001246F2">
              <w:rPr>
                <w:rFonts w:eastAsia="MS PGothic"/>
                <w:sz w:val="18"/>
              </w:rPr>
              <w:t>4</w:t>
            </w:r>
          </w:p>
        </w:tc>
        <w:tc>
          <w:tcPr>
            <w:tcW w:w="994" w:type="dxa"/>
            <w:vAlign w:val="center"/>
          </w:tcPr>
          <w:p w:rsidR="00FE6D1D" w:rsidRPr="001246F2" w:rsidRDefault="00FE6D1D" w:rsidP="00FE6D1D">
            <w:pPr>
              <w:pStyle w:val="Tablehead"/>
              <w:rPr>
                <w:rFonts w:eastAsia="MS PGothic"/>
                <w:sz w:val="18"/>
              </w:rPr>
            </w:pPr>
            <w:r w:rsidRPr="001246F2">
              <w:rPr>
                <w:rFonts w:eastAsia="MS PGothic"/>
                <w:sz w:val="18"/>
              </w:rPr>
              <w:t>5</w:t>
            </w:r>
          </w:p>
        </w:tc>
        <w:tc>
          <w:tcPr>
            <w:tcW w:w="1304" w:type="dxa"/>
            <w:vAlign w:val="center"/>
          </w:tcPr>
          <w:p w:rsidR="00FE6D1D" w:rsidRPr="001246F2" w:rsidRDefault="00FE6D1D" w:rsidP="00FE6D1D">
            <w:pPr>
              <w:pStyle w:val="Tablehead"/>
              <w:rPr>
                <w:sz w:val="18"/>
              </w:rPr>
            </w:pPr>
            <w:r w:rsidRPr="001246F2">
              <w:rPr>
                <w:sz w:val="18"/>
              </w:rPr>
              <w:t>6</w:t>
            </w:r>
          </w:p>
        </w:tc>
        <w:tc>
          <w:tcPr>
            <w:tcW w:w="868" w:type="dxa"/>
            <w:vAlign w:val="center"/>
          </w:tcPr>
          <w:p w:rsidR="00FE6D1D" w:rsidRPr="001246F2" w:rsidRDefault="00FE6D1D" w:rsidP="00FE6D1D">
            <w:pPr>
              <w:pStyle w:val="Tablehead"/>
              <w:rPr>
                <w:rFonts w:eastAsia="MS PGothic"/>
                <w:sz w:val="18"/>
              </w:rPr>
            </w:pPr>
            <w:r w:rsidRPr="001246F2">
              <w:rPr>
                <w:rFonts w:eastAsia="MS PGothic"/>
                <w:sz w:val="18"/>
              </w:rPr>
              <w:t>7</w:t>
            </w:r>
          </w:p>
        </w:tc>
        <w:tc>
          <w:tcPr>
            <w:tcW w:w="1156" w:type="dxa"/>
            <w:gridSpan w:val="3"/>
            <w:vAlign w:val="center"/>
          </w:tcPr>
          <w:p w:rsidR="00FE6D1D" w:rsidRPr="001246F2" w:rsidRDefault="00FE6D1D" w:rsidP="00FE6D1D">
            <w:pPr>
              <w:pStyle w:val="Tablehead"/>
              <w:rPr>
                <w:rFonts w:eastAsia="MS PGothic"/>
                <w:sz w:val="18"/>
              </w:rPr>
            </w:pPr>
            <w:r w:rsidRPr="001246F2">
              <w:rPr>
                <w:rFonts w:eastAsia="MS PGothic"/>
                <w:sz w:val="18"/>
              </w:rPr>
              <w:t>8</w:t>
            </w:r>
          </w:p>
        </w:tc>
        <w:tc>
          <w:tcPr>
            <w:tcW w:w="1020" w:type="dxa"/>
            <w:tcMar>
              <w:top w:w="0" w:type="dxa"/>
              <w:left w:w="28" w:type="dxa"/>
              <w:bottom w:w="0" w:type="dxa"/>
              <w:right w:w="28" w:type="dxa"/>
            </w:tcMar>
            <w:vAlign w:val="center"/>
          </w:tcPr>
          <w:p w:rsidR="00FE6D1D" w:rsidRPr="001246F2" w:rsidRDefault="00FE6D1D" w:rsidP="00FE6D1D">
            <w:pPr>
              <w:pStyle w:val="Tablehead"/>
              <w:rPr>
                <w:rFonts w:eastAsia="MS PGothic"/>
                <w:sz w:val="18"/>
              </w:rPr>
            </w:pPr>
            <w:r w:rsidRPr="001246F2">
              <w:rPr>
                <w:rFonts w:eastAsia="MS PGothic"/>
                <w:sz w:val="18"/>
              </w:rPr>
              <w:t>9</w:t>
            </w:r>
          </w:p>
        </w:tc>
        <w:tc>
          <w:tcPr>
            <w:tcW w:w="1196" w:type="dxa"/>
            <w:gridSpan w:val="3"/>
            <w:tcMar>
              <w:top w:w="0" w:type="dxa"/>
              <w:left w:w="28" w:type="dxa"/>
              <w:bottom w:w="0" w:type="dxa"/>
              <w:right w:w="28" w:type="dxa"/>
            </w:tcMar>
            <w:vAlign w:val="center"/>
          </w:tcPr>
          <w:p w:rsidR="00FE6D1D" w:rsidRPr="001246F2" w:rsidRDefault="00FE6D1D" w:rsidP="00FE6D1D">
            <w:pPr>
              <w:pStyle w:val="Tablehead"/>
              <w:rPr>
                <w:rFonts w:eastAsia="MS PGothic"/>
                <w:sz w:val="18"/>
              </w:rPr>
            </w:pPr>
            <w:r w:rsidRPr="001246F2">
              <w:rPr>
                <w:rFonts w:eastAsia="MS PGothic"/>
                <w:sz w:val="18"/>
              </w:rPr>
              <w:t>10</w:t>
            </w:r>
          </w:p>
        </w:tc>
        <w:tc>
          <w:tcPr>
            <w:tcW w:w="1304" w:type="dxa"/>
            <w:gridSpan w:val="2"/>
            <w:tcMar>
              <w:top w:w="0" w:type="dxa"/>
              <w:left w:w="28" w:type="dxa"/>
              <w:bottom w:w="0" w:type="dxa"/>
              <w:right w:w="28" w:type="dxa"/>
            </w:tcMar>
            <w:vAlign w:val="center"/>
          </w:tcPr>
          <w:p w:rsidR="00FE6D1D" w:rsidRPr="001246F2" w:rsidRDefault="00FE6D1D" w:rsidP="00FE6D1D">
            <w:pPr>
              <w:pStyle w:val="Tablehead"/>
              <w:rPr>
                <w:rFonts w:eastAsia="MS PGothic"/>
                <w:sz w:val="18"/>
              </w:rPr>
            </w:pPr>
            <w:r w:rsidRPr="001246F2">
              <w:rPr>
                <w:rFonts w:eastAsia="MS PGothic"/>
                <w:sz w:val="18"/>
              </w:rPr>
              <w:t>11</w:t>
            </w:r>
          </w:p>
        </w:tc>
      </w:tr>
      <w:tr w:rsidR="00FE6D1D" w:rsidRPr="001246F2" w:rsidTr="002C0CF2">
        <w:trPr>
          <w:cantSplit/>
          <w:tblHeader/>
          <w:jc w:val="center"/>
        </w:trPr>
        <w:tc>
          <w:tcPr>
            <w:tcW w:w="1446" w:type="dxa"/>
            <w:vAlign w:val="center"/>
          </w:tcPr>
          <w:p w:rsidR="00FE6D1D" w:rsidRPr="001246F2" w:rsidRDefault="00FE6D1D" w:rsidP="00113B80">
            <w:pPr>
              <w:pStyle w:val="Tablehead"/>
              <w:ind w:left="-57" w:right="-57"/>
              <w:rPr>
                <w:rFonts w:eastAsia="MS PGothic"/>
                <w:sz w:val="18"/>
              </w:rPr>
            </w:pPr>
            <w:r w:rsidRPr="001246F2">
              <w:rPr>
                <w:rFonts w:eastAsia="MS PGothic"/>
                <w:sz w:val="18"/>
              </w:rPr>
              <w:t>Aplica</w:t>
            </w:r>
            <w:r w:rsidR="00113B80" w:rsidRPr="001246F2">
              <w:rPr>
                <w:rFonts w:eastAsia="MS PGothic"/>
                <w:sz w:val="18"/>
              </w:rPr>
              <w:t>ción</w:t>
            </w:r>
            <w:r w:rsidRPr="001246F2">
              <w:rPr>
                <w:rFonts w:eastAsia="MS PGothic"/>
                <w:sz w:val="18"/>
              </w:rPr>
              <w:br/>
              <w:t>(</w:t>
            </w:r>
            <w:r w:rsidR="00113B80" w:rsidRPr="001246F2">
              <w:rPr>
                <w:rFonts w:eastAsia="MS PGothic"/>
                <w:sz w:val="18"/>
              </w:rPr>
              <w:t>véase</w:t>
            </w:r>
            <w:r w:rsidRPr="001246F2">
              <w:rPr>
                <w:rFonts w:eastAsia="MS PGothic"/>
                <w:sz w:val="18"/>
              </w:rPr>
              <w:t xml:space="preserve"> </w:t>
            </w:r>
            <w:r w:rsidRPr="001246F2">
              <w:rPr>
                <w:sz w:val="18"/>
              </w:rPr>
              <w:t>§ 4</w:t>
            </w:r>
            <w:r w:rsidRPr="001246F2">
              <w:rPr>
                <w:rFonts w:eastAsia="MS PGothic"/>
                <w:sz w:val="18"/>
              </w:rPr>
              <w:t>)</w:t>
            </w:r>
            <w:r w:rsidRPr="001246F2">
              <w:rPr>
                <w:rFonts w:eastAsia="MS PGothic"/>
                <w:sz w:val="18"/>
              </w:rPr>
              <w:br/>
            </w:r>
            <w:r w:rsidR="00113B80" w:rsidRPr="001246F2">
              <w:rPr>
                <w:rFonts w:eastAsia="MS PGothic"/>
                <w:sz w:val="18"/>
              </w:rPr>
              <w:t>Parámetro</w:t>
            </w:r>
          </w:p>
        </w:tc>
        <w:tc>
          <w:tcPr>
            <w:tcW w:w="1077" w:type="dxa"/>
            <w:vAlign w:val="center"/>
          </w:tcPr>
          <w:p w:rsidR="00FE6D1D" w:rsidRPr="001246F2" w:rsidRDefault="00FE6D1D" w:rsidP="00113B80">
            <w:pPr>
              <w:pStyle w:val="Tablehead"/>
              <w:ind w:left="-57" w:right="-57"/>
              <w:rPr>
                <w:sz w:val="18"/>
              </w:rPr>
            </w:pPr>
            <w:r w:rsidRPr="001246F2">
              <w:rPr>
                <w:rFonts w:eastAsia="MS PGothic"/>
                <w:sz w:val="18"/>
              </w:rPr>
              <w:t xml:space="preserve">SBAS </w:t>
            </w:r>
            <w:r w:rsidRPr="001246F2">
              <w:rPr>
                <w:rFonts w:eastAsia="MS PGothic"/>
                <w:sz w:val="18"/>
              </w:rPr>
              <w:br/>
              <w:t>Categor</w:t>
            </w:r>
            <w:r w:rsidR="00113B80" w:rsidRPr="001246F2">
              <w:rPr>
                <w:rFonts w:eastAsia="MS PGothic"/>
                <w:sz w:val="18"/>
              </w:rPr>
              <w:t>ía</w:t>
            </w:r>
            <w:r w:rsidRPr="001246F2">
              <w:rPr>
                <w:rFonts w:eastAsia="MS PGothic"/>
                <w:sz w:val="18"/>
              </w:rPr>
              <w:t> I</w:t>
            </w:r>
            <w:r w:rsidRPr="001246F2">
              <w:rPr>
                <w:rFonts w:eastAsia="MS PGothic"/>
                <w:sz w:val="18"/>
              </w:rPr>
              <w:br/>
            </w:r>
            <w:r w:rsidRPr="001246F2">
              <w:rPr>
                <w:sz w:val="18"/>
              </w:rPr>
              <w:t>T</w:t>
            </w:r>
            <w:r w:rsidR="00113B80" w:rsidRPr="001246F2">
              <w:rPr>
                <w:sz w:val="18"/>
              </w:rPr>
              <w:t>i</w:t>
            </w:r>
            <w:r w:rsidRPr="001246F2">
              <w:rPr>
                <w:sz w:val="18"/>
              </w:rPr>
              <w:t>p</w:t>
            </w:r>
            <w:r w:rsidR="00113B80" w:rsidRPr="001246F2">
              <w:rPr>
                <w:sz w:val="18"/>
              </w:rPr>
              <w:t>o</w:t>
            </w:r>
            <w:r w:rsidRPr="001246F2">
              <w:rPr>
                <w:sz w:val="18"/>
              </w:rPr>
              <w:t xml:space="preserve"> 1</w:t>
            </w:r>
          </w:p>
        </w:tc>
        <w:tc>
          <w:tcPr>
            <w:tcW w:w="1360" w:type="dxa"/>
            <w:vAlign w:val="center"/>
          </w:tcPr>
          <w:p w:rsidR="00FE6D1D" w:rsidRPr="001246F2" w:rsidRDefault="00FE6D1D" w:rsidP="00FE6D1D">
            <w:pPr>
              <w:pStyle w:val="Tablehead"/>
              <w:ind w:left="-57" w:right="-57"/>
              <w:rPr>
                <w:rFonts w:eastAsia="MS PGothic"/>
                <w:sz w:val="18"/>
              </w:rPr>
            </w:pPr>
            <w:r w:rsidRPr="001246F2">
              <w:rPr>
                <w:rFonts w:eastAsia="MS PGothic"/>
                <w:sz w:val="18"/>
              </w:rPr>
              <w:t xml:space="preserve">SBAS </w:t>
            </w:r>
            <w:r w:rsidRPr="001246F2">
              <w:rPr>
                <w:rFonts w:eastAsia="MS PGothic"/>
                <w:sz w:val="18"/>
              </w:rPr>
              <w:br/>
            </w:r>
            <w:r w:rsidR="00113B80" w:rsidRPr="001246F2">
              <w:rPr>
                <w:rFonts w:eastAsia="MS PGothic"/>
                <w:sz w:val="18"/>
              </w:rPr>
              <w:t>Categoría</w:t>
            </w:r>
            <w:r w:rsidRPr="001246F2">
              <w:rPr>
                <w:rFonts w:eastAsia="MS PGothic"/>
                <w:sz w:val="18"/>
              </w:rPr>
              <w:t> I</w:t>
            </w:r>
            <w:r w:rsidRPr="001246F2">
              <w:rPr>
                <w:rFonts w:eastAsia="MS PGothic"/>
                <w:sz w:val="18"/>
              </w:rPr>
              <w:br/>
            </w:r>
            <w:r w:rsidR="00113B80" w:rsidRPr="001246F2">
              <w:rPr>
                <w:sz w:val="18"/>
              </w:rPr>
              <w:t>Tipo</w:t>
            </w:r>
            <w:r w:rsidRPr="001246F2">
              <w:rPr>
                <w:sz w:val="18"/>
              </w:rPr>
              <w:t xml:space="preserve"> 2</w:t>
            </w:r>
          </w:p>
        </w:tc>
        <w:tc>
          <w:tcPr>
            <w:tcW w:w="1361" w:type="dxa"/>
            <w:vAlign w:val="center"/>
          </w:tcPr>
          <w:p w:rsidR="00FE6D1D" w:rsidRPr="001246F2" w:rsidRDefault="00FE6D1D" w:rsidP="00FE6D1D">
            <w:pPr>
              <w:pStyle w:val="Tablehead"/>
              <w:ind w:left="-57" w:right="-57"/>
              <w:rPr>
                <w:sz w:val="18"/>
              </w:rPr>
            </w:pPr>
            <w:r w:rsidRPr="001246F2">
              <w:rPr>
                <w:rFonts w:eastAsia="MS PGothic"/>
                <w:sz w:val="18"/>
              </w:rPr>
              <w:t xml:space="preserve">GBAS </w:t>
            </w:r>
            <w:r w:rsidRPr="001246F2">
              <w:rPr>
                <w:rFonts w:eastAsia="MS PGothic"/>
                <w:sz w:val="18"/>
              </w:rPr>
              <w:br/>
            </w:r>
            <w:r w:rsidR="00113B80" w:rsidRPr="001246F2">
              <w:rPr>
                <w:rFonts w:eastAsia="MS PGothic"/>
                <w:sz w:val="18"/>
              </w:rPr>
              <w:t>Categoría</w:t>
            </w:r>
            <w:r w:rsidR="004F6A4B" w:rsidRPr="001246F2">
              <w:rPr>
                <w:rFonts w:eastAsia="MS PGothic"/>
                <w:sz w:val="18"/>
              </w:rPr>
              <w:t> II/</w:t>
            </w:r>
            <w:r w:rsidRPr="001246F2">
              <w:rPr>
                <w:rFonts w:eastAsia="MS PGothic"/>
                <w:sz w:val="18"/>
              </w:rPr>
              <w:t>III</w:t>
            </w:r>
            <w:r w:rsidRPr="001246F2">
              <w:rPr>
                <w:rFonts w:eastAsia="MS PGothic"/>
                <w:sz w:val="18"/>
              </w:rPr>
              <w:br/>
            </w:r>
            <w:r w:rsidR="00113B80" w:rsidRPr="001246F2">
              <w:rPr>
                <w:sz w:val="18"/>
              </w:rPr>
              <w:t>Tipo</w:t>
            </w:r>
            <w:r w:rsidRPr="001246F2">
              <w:rPr>
                <w:sz w:val="18"/>
              </w:rPr>
              <w:t xml:space="preserve"> 1</w:t>
            </w:r>
          </w:p>
        </w:tc>
        <w:tc>
          <w:tcPr>
            <w:tcW w:w="1389" w:type="dxa"/>
            <w:vAlign w:val="center"/>
          </w:tcPr>
          <w:p w:rsidR="00FE6D1D" w:rsidRPr="001246F2" w:rsidRDefault="00FE6D1D" w:rsidP="00FE6D1D">
            <w:pPr>
              <w:pStyle w:val="Tablehead"/>
              <w:ind w:left="-57" w:right="-57"/>
              <w:rPr>
                <w:rFonts w:eastAsia="MS PGothic"/>
                <w:sz w:val="18"/>
              </w:rPr>
            </w:pPr>
            <w:r w:rsidRPr="001246F2">
              <w:rPr>
                <w:rFonts w:eastAsia="MS PGothic"/>
                <w:sz w:val="18"/>
              </w:rPr>
              <w:t xml:space="preserve">GBAS </w:t>
            </w:r>
            <w:r w:rsidRPr="001246F2">
              <w:rPr>
                <w:rFonts w:eastAsia="MS PGothic"/>
                <w:sz w:val="18"/>
              </w:rPr>
              <w:br/>
            </w:r>
            <w:r w:rsidR="00113B80" w:rsidRPr="001246F2">
              <w:rPr>
                <w:rFonts w:eastAsia="MS PGothic"/>
                <w:sz w:val="18"/>
              </w:rPr>
              <w:t>Categoría</w:t>
            </w:r>
            <w:r w:rsidRPr="001246F2">
              <w:rPr>
                <w:rFonts w:eastAsia="MS PGothic"/>
                <w:sz w:val="18"/>
              </w:rPr>
              <w:t> II/III</w:t>
            </w:r>
            <w:r w:rsidRPr="001246F2">
              <w:rPr>
                <w:rFonts w:eastAsia="MS PGothic"/>
                <w:sz w:val="18"/>
              </w:rPr>
              <w:br/>
            </w:r>
            <w:r w:rsidR="00113B80" w:rsidRPr="001246F2">
              <w:rPr>
                <w:sz w:val="18"/>
              </w:rPr>
              <w:t>Tipo</w:t>
            </w:r>
            <w:r w:rsidRPr="001246F2">
              <w:rPr>
                <w:sz w:val="18"/>
              </w:rPr>
              <w:t xml:space="preserve"> 2</w:t>
            </w:r>
          </w:p>
        </w:tc>
        <w:tc>
          <w:tcPr>
            <w:tcW w:w="994" w:type="dxa"/>
            <w:vAlign w:val="center"/>
          </w:tcPr>
          <w:p w:rsidR="00FE6D1D" w:rsidRPr="001246F2" w:rsidRDefault="00113B80" w:rsidP="00113B80">
            <w:pPr>
              <w:pStyle w:val="Tablehead"/>
              <w:ind w:left="-57" w:right="-57"/>
              <w:rPr>
                <w:rFonts w:eastAsia="MS PGothic"/>
                <w:sz w:val="18"/>
              </w:rPr>
            </w:pPr>
            <w:r w:rsidRPr="001246F2">
              <w:rPr>
                <w:rFonts w:eastAsia="MS PGothic"/>
                <w:sz w:val="18"/>
              </w:rPr>
              <w:t>Receptor de referencia en tierra</w:t>
            </w:r>
            <w:r w:rsidRPr="001246F2">
              <w:rPr>
                <w:rFonts w:eastAsia="MS PGothic"/>
                <w:sz w:val="18"/>
              </w:rPr>
              <w:br/>
              <w:t>SBAS</w:t>
            </w:r>
            <w:r w:rsidR="00FE6D1D" w:rsidRPr="001246F2">
              <w:rPr>
                <w:rFonts w:eastAsia="MS PGothic"/>
                <w:sz w:val="18"/>
              </w:rPr>
              <w:t>*</w:t>
            </w:r>
          </w:p>
        </w:tc>
        <w:tc>
          <w:tcPr>
            <w:tcW w:w="1304" w:type="dxa"/>
            <w:vAlign w:val="center"/>
          </w:tcPr>
          <w:p w:rsidR="00FE6D1D" w:rsidRPr="001246F2" w:rsidRDefault="00113B80" w:rsidP="00537965">
            <w:pPr>
              <w:pStyle w:val="Tablehead"/>
              <w:ind w:left="-57" w:right="-57"/>
              <w:rPr>
                <w:rFonts w:eastAsia="MS PGothic"/>
                <w:sz w:val="18"/>
              </w:rPr>
            </w:pPr>
            <w:r w:rsidRPr="001246F2">
              <w:rPr>
                <w:sz w:val="18"/>
              </w:rPr>
              <w:t>Receptor con aproximación de</w:t>
            </w:r>
            <w:r w:rsidR="003776D1" w:rsidRPr="001246F2">
              <w:rPr>
                <w:sz w:val="18"/>
              </w:rPr>
              <w:t> </w:t>
            </w:r>
            <w:r w:rsidRPr="001246F2">
              <w:rPr>
                <w:sz w:val="18"/>
              </w:rPr>
              <w:t>precisión de</w:t>
            </w:r>
            <w:r w:rsidR="00537965" w:rsidRPr="001246F2">
              <w:rPr>
                <w:sz w:val="18"/>
              </w:rPr>
              <w:t xml:space="preserve"> </w:t>
            </w:r>
            <w:r w:rsidRPr="001246F2">
              <w:rPr>
                <w:sz w:val="18"/>
              </w:rPr>
              <w:t>navegación aérea</w:t>
            </w:r>
          </w:p>
        </w:tc>
        <w:tc>
          <w:tcPr>
            <w:tcW w:w="868" w:type="dxa"/>
            <w:vAlign w:val="center"/>
          </w:tcPr>
          <w:p w:rsidR="00FE6D1D" w:rsidRPr="001246F2" w:rsidRDefault="00113B80" w:rsidP="00113B80">
            <w:pPr>
              <w:pStyle w:val="Tablehead"/>
              <w:ind w:left="-57" w:right="-57"/>
              <w:rPr>
                <w:rFonts w:eastAsia="MS PGothic"/>
                <w:sz w:val="18"/>
              </w:rPr>
            </w:pPr>
            <w:r w:rsidRPr="001246F2">
              <w:rPr>
                <w:rFonts w:eastAsia="MS PGothic"/>
                <w:sz w:val="18"/>
              </w:rPr>
              <w:t>SRNS-</w:t>
            </w:r>
            <w:r w:rsidR="00FE6D1D" w:rsidRPr="001246F2">
              <w:rPr>
                <w:rFonts w:eastAsia="MS PGothic"/>
                <w:sz w:val="18"/>
              </w:rPr>
              <w:t>A</w:t>
            </w:r>
          </w:p>
        </w:tc>
        <w:tc>
          <w:tcPr>
            <w:tcW w:w="1156" w:type="dxa"/>
            <w:gridSpan w:val="3"/>
            <w:vAlign w:val="center"/>
          </w:tcPr>
          <w:p w:rsidR="00FE6D1D" w:rsidRPr="001246F2" w:rsidRDefault="00113B80" w:rsidP="00113B80">
            <w:pPr>
              <w:pStyle w:val="Tablehead"/>
              <w:ind w:left="-57" w:right="-57"/>
              <w:rPr>
                <w:rFonts w:eastAsia="MS PGothic"/>
                <w:sz w:val="18"/>
              </w:rPr>
            </w:pPr>
            <w:r w:rsidRPr="001246F2">
              <w:rPr>
                <w:rFonts w:eastAsia="MS PGothic"/>
                <w:sz w:val="18"/>
              </w:rPr>
              <w:t>Polivalente</w:t>
            </w:r>
            <w:r w:rsidR="00FE6D1D" w:rsidRPr="001246F2">
              <w:rPr>
                <w:rFonts w:eastAsia="MS PGothic"/>
                <w:sz w:val="18"/>
              </w:rPr>
              <w:t xml:space="preserve"> N</w:t>
            </w:r>
            <w:r w:rsidRPr="001246F2">
              <w:rPr>
                <w:rFonts w:eastAsia="MS PGothic"/>
                <w:sz w:val="18"/>
              </w:rPr>
              <w:t>°</w:t>
            </w:r>
            <w:r w:rsidR="00FE6D1D" w:rsidRPr="001246F2">
              <w:rPr>
                <w:rFonts w:eastAsia="MS PGothic"/>
                <w:sz w:val="18"/>
              </w:rPr>
              <w:t> 1</w:t>
            </w:r>
          </w:p>
        </w:tc>
        <w:tc>
          <w:tcPr>
            <w:tcW w:w="1020" w:type="dxa"/>
            <w:tcMar>
              <w:top w:w="0" w:type="dxa"/>
              <w:left w:w="28" w:type="dxa"/>
              <w:bottom w:w="0" w:type="dxa"/>
              <w:right w:w="28" w:type="dxa"/>
            </w:tcMar>
            <w:vAlign w:val="center"/>
          </w:tcPr>
          <w:p w:rsidR="00FE6D1D" w:rsidRPr="001246F2" w:rsidRDefault="00113B80" w:rsidP="00FE6D1D">
            <w:pPr>
              <w:pStyle w:val="Tablehead"/>
              <w:ind w:left="-57" w:right="-57"/>
              <w:rPr>
                <w:rFonts w:eastAsia="MS PGothic"/>
                <w:sz w:val="18"/>
              </w:rPr>
            </w:pPr>
            <w:r w:rsidRPr="001246F2">
              <w:rPr>
                <w:rFonts w:eastAsia="MS PGothic"/>
                <w:sz w:val="18"/>
              </w:rPr>
              <w:t>Polivalente N°</w:t>
            </w:r>
            <w:r w:rsidR="00FE6D1D" w:rsidRPr="001246F2">
              <w:rPr>
                <w:rFonts w:eastAsia="MS PGothic"/>
                <w:sz w:val="18"/>
              </w:rPr>
              <w:t> 2</w:t>
            </w:r>
          </w:p>
        </w:tc>
        <w:tc>
          <w:tcPr>
            <w:tcW w:w="1196" w:type="dxa"/>
            <w:gridSpan w:val="3"/>
            <w:tcMar>
              <w:top w:w="0" w:type="dxa"/>
              <w:left w:w="28" w:type="dxa"/>
              <w:bottom w:w="0" w:type="dxa"/>
              <w:right w:w="28" w:type="dxa"/>
            </w:tcMar>
            <w:vAlign w:val="center"/>
          </w:tcPr>
          <w:p w:rsidR="00FE6D1D" w:rsidRPr="001246F2" w:rsidRDefault="00113B80" w:rsidP="00FE6D1D">
            <w:pPr>
              <w:pStyle w:val="Tablehead"/>
              <w:ind w:left="-57" w:right="-57"/>
              <w:rPr>
                <w:sz w:val="18"/>
              </w:rPr>
            </w:pPr>
            <w:r w:rsidRPr="001246F2">
              <w:rPr>
                <w:rFonts w:eastAsia="MS PGothic"/>
                <w:sz w:val="18"/>
              </w:rPr>
              <w:t>Posiciona-</w:t>
            </w:r>
            <w:r w:rsidRPr="001246F2">
              <w:rPr>
                <w:rFonts w:eastAsia="MS PGothic"/>
                <w:sz w:val="18"/>
              </w:rPr>
              <w:br/>
              <w:t>miento en interiores</w:t>
            </w:r>
          </w:p>
        </w:tc>
        <w:tc>
          <w:tcPr>
            <w:tcW w:w="1304" w:type="dxa"/>
            <w:gridSpan w:val="2"/>
            <w:tcMar>
              <w:top w:w="0" w:type="dxa"/>
              <w:left w:w="28" w:type="dxa"/>
              <w:bottom w:w="0" w:type="dxa"/>
              <w:right w:w="28" w:type="dxa"/>
            </w:tcMar>
            <w:vAlign w:val="center"/>
          </w:tcPr>
          <w:p w:rsidR="00FE6D1D" w:rsidRPr="001246F2" w:rsidRDefault="00113B80" w:rsidP="00FE6D1D">
            <w:pPr>
              <w:pStyle w:val="Tablehead"/>
              <w:ind w:left="-57" w:right="-57"/>
              <w:rPr>
                <w:rFonts w:eastAsia="MS PGothic"/>
                <w:sz w:val="18"/>
              </w:rPr>
            </w:pPr>
            <w:r w:rsidRPr="001246F2">
              <w:rPr>
                <w:rFonts w:eastAsia="MS PGothic"/>
                <w:sz w:val="18"/>
              </w:rPr>
              <w:t>Alta precisión* (Nota</w:t>
            </w:r>
            <w:r w:rsidR="00FE6D1D" w:rsidRPr="001246F2">
              <w:rPr>
                <w:rFonts w:eastAsia="MS PGothic"/>
                <w:sz w:val="18"/>
              </w:rPr>
              <w:t xml:space="preserve"> </w:t>
            </w:r>
            <w:r w:rsidR="00FE6D1D" w:rsidRPr="001246F2">
              <w:rPr>
                <w:sz w:val="18"/>
              </w:rPr>
              <w:t>11</w:t>
            </w:r>
            <w:r w:rsidR="00FE6D1D" w:rsidRPr="001246F2">
              <w:rPr>
                <w:rFonts w:eastAsia="MS PGothic"/>
                <w:sz w:val="18"/>
              </w:rPr>
              <w:t>)</w:t>
            </w:r>
          </w:p>
        </w:tc>
      </w:tr>
      <w:tr w:rsidR="00FE6D1D" w:rsidRPr="001246F2" w:rsidTr="002C0CF2">
        <w:trPr>
          <w:cantSplit/>
          <w:jc w:val="center"/>
        </w:trPr>
        <w:tc>
          <w:tcPr>
            <w:tcW w:w="1446" w:type="dxa"/>
          </w:tcPr>
          <w:p w:rsidR="00FE6D1D" w:rsidRPr="001246F2" w:rsidRDefault="00113B80" w:rsidP="00113B80">
            <w:pPr>
              <w:pStyle w:val="Tabletext"/>
              <w:jc w:val="left"/>
              <w:rPr>
                <w:rFonts w:eastAsia="MS PGothic"/>
                <w:sz w:val="18"/>
                <w:highlight w:val="green"/>
              </w:rPr>
            </w:pPr>
            <w:r w:rsidRPr="001246F2">
              <w:rPr>
                <w:rFonts w:eastAsia="MS PGothic"/>
                <w:sz w:val="18"/>
              </w:rPr>
              <w:t xml:space="preserve">Gama de </w:t>
            </w:r>
            <w:r w:rsidR="001246F2" w:rsidRPr="001246F2">
              <w:rPr>
                <w:rFonts w:eastAsia="MS PGothic"/>
                <w:sz w:val="18"/>
              </w:rPr>
              <w:t>frecuencias</w:t>
            </w:r>
            <w:r w:rsidRPr="001246F2">
              <w:rPr>
                <w:rFonts w:eastAsia="MS PGothic"/>
                <w:sz w:val="18"/>
              </w:rPr>
              <w:t xml:space="preserve"> de la señal</w:t>
            </w:r>
            <w:r w:rsidR="00FE6D1D" w:rsidRPr="001246F2">
              <w:rPr>
                <w:rFonts w:eastAsia="MS PGothic"/>
                <w:sz w:val="18"/>
              </w:rPr>
              <w:t xml:space="preserve"> (MHz)</w:t>
            </w:r>
          </w:p>
        </w:tc>
        <w:tc>
          <w:tcPr>
            <w:tcW w:w="1077" w:type="dxa"/>
          </w:tcPr>
          <w:p w:rsidR="00FE6D1D" w:rsidRPr="001246F2" w:rsidRDefault="00FE6D1D" w:rsidP="00113B80">
            <w:pPr>
              <w:pStyle w:val="Tabletext"/>
              <w:ind w:left="-57" w:right="-57"/>
              <w:jc w:val="center"/>
              <w:rPr>
                <w:rFonts w:eastAsia="MS PGothic"/>
                <w:sz w:val="18"/>
                <w:highlight w:val="green"/>
              </w:rPr>
            </w:pPr>
            <w:r w:rsidRPr="001246F2">
              <w:rPr>
                <w:rFonts w:eastAsia="MS PGothic"/>
                <w:sz w:val="18"/>
              </w:rPr>
              <w:t>1 575</w:t>
            </w:r>
            <w:r w:rsidR="002C787A" w:rsidRPr="001246F2">
              <w:rPr>
                <w:rFonts w:eastAsia="MS PGothic"/>
                <w:sz w:val="18"/>
              </w:rPr>
              <w:t>,</w:t>
            </w:r>
            <w:r w:rsidRPr="001246F2">
              <w:rPr>
                <w:rFonts w:eastAsia="MS PGothic"/>
                <w:sz w:val="18"/>
              </w:rPr>
              <w:t xml:space="preserve">42 </w:t>
            </w:r>
            <w:r w:rsidRPr="001246F2">
              <w:rPr>
                <w:rFonts w:eastAsia="MS PGothic"/>
                <w:sz w:val="18"/>
              </w:rPr>
              <w:sym w:font="Symbol" w:char="00B1"/>
            </w:r>
            <w:r w:rsidRPr="001246F2">
              <w:rPr>
                <w:rFonts w:eastAsia="MS PGothic"/>
                <w:sz w:val="18"/>
              </w:rPr>
              <w:t xml:space="preserve"> 15</w:t>
            </w:r>
            <w:r w:rsidR="002C787A" w:rsidRPr="001246F2">
              <w:rPr>
                <w:rFonts w:eastAsia="MS PGothic"/>
                <w:sz w:val="18"/>
              </w:rPr>
              <w:t>,</w:t>
            </w:r>
            <w:r w:rsidRPr="001246F2">
              <w:rPr>
                <w:rFonts w:eastAsia="MS PGothic"/>
                <w:sz w:val="18"/>
              </w:rPr>
              <w:t>345</w:t>
            </w:r>
          </w:p>
        </w:tc>
        <w:tc>
          <w:tcPr>
            <w:tcW w:w="1360" w:type="dxa"/>
          </w:tcPr>
          <w:p w:rsidR="00FE6D1D" w:rsidRPr="001246F2" w:rsidRDefault="00FE6D1D" w:rsidP="00CA4BF1">
            <w:pPr>
              <w:pStyle w:val="Tabletext"/>
              <w:ind w:left="-57" w:right="-57"/>
              <w:jc w:val="center"/>
              <w:rPr>
                <w:rFonts w:eastAsia="MS PGothic"/>
                <w:sz w:val="18"/>
                <w:lang w:eastAsia="ja-JP"/>
              </w:rPr>
            </w:pPr>
            <w:r w:rsidRPr="001246F2">
              <w:rPr>
                <w:sz w:val="18"/>
              </w:rPr>
              <w:t>1 602 + 0</w:t>
            </w:r>
            <w:r w:rsidR="002C787A" w:rsidRPr="001246F2">
              <w:rPr>
                <w:sz w:val="18"/>
              </w:rPr>
              <w:t>,</w:t>
            </w:r>
            <w:r w:rsidRPr="001246F2">
              <w:rPr>
                <w:sz w:val="18"/>
              </w:rPr>
              <w:t>5625</w:t>
            </w:r>
            <w:r w:rsidRPr="001246F2">
              <w:rPr>
                <w:i/>
                <w:iCs/>
                <w:sz w:val="18"/>
              </w:rPr>
              <w:t>K</w:t>
            </w:r>
            <w:r w:rsidRPr="001246F2">
              <w:rPr>
                <w:sz w:val="18"/>
              </w:rPr>
              <w:t xml:space="preserve"> ±</w:t>
            </w:r>
            <w:r w:rsidR="00CA4BF1">
              <w:rPr>
                <w:sz w:val="18"/>
              </w:rPr>
              <w:t> </w:t>
            </w:r>
            <w:r w:rsidRPr="001246F2">
              <w:rPr>
                <w:sz w:val="18"/>
              </w:rPr>
              <w:t>5</w:t>
            </w:r>
            <w:r w:rsidR="002C787A" w:rsidRPr="001246F2">
              <w:rPr>
                <w:sz w:val="18"/>
              </w:rPr>
              <w:t>,</w:t>
            </w:r>
            <w:r w:rsidRPr="001246F2">
              <w:rPr>
                <w:sz w:val="18"/>
              </w:rPr>
              <w:t xml:space="preserve">11, </w:t>
            </w:r>
            <w:r w:rsidR="0092207C" w:rsidRPr="001246F2">
              <w:rPr>
                <w:sz w:val="18"/>
              </w:rPr>
              <w:t>donde</w:t>
            </w:r>
            <w:r w:rsidRPr="001246F2">
              <w:rPr>
                <w:sz w:val="18"/>
              </w:rPr>
              <w:t xml:space="preserve"> </w:t>
            </w:r>
            <w:r w:rsidRPr="001246F2">
              <w:rPr>
                <w:sz w:val="18"/>
              </w:rPr>
              <w:br/>
            </w:r>
            <w:r w:rsidRPr="001246F2">
              <w:rPr>
                <w:i/>
                <w:iCs/>
                <w:sz w:val="18"/>
              </w:rPr>
              <w:t>K</w:t>
            </w:r>
            <w:r w:rsidRPr="001246F2">
              <w:rPr>
                <w:sz w:val="18"/>
              </w:rPr>
              <w:t xml:space="preserve"> = −7, …, +6 </w:t>
            </w:r>
            <w:r w:rsidRPr="001246F2">
              <w:rPr>
                <w:sz w:val="18"/>
              </w:rPr>
              <w:br/>
            </w:r>
            <w:r w:rsidR="002C787A" w:rsidRPr="001246F2">
              <w:rPr>
                <w:sz w:val="18"/>
              </w:rPr>
              <w:t>y</w:t>
            </w:r>
            <w:r w:rsidRPr="001246F2">
              <w:rPr>
                <w:sz w:val="18"/>
              </w:rPr>
              <w:t> </w:t>
            </w:r>
            <w:r w:rsidRPr="001246F2">
              <w:rPr>
                <w:sz w:val="18"/>
              </w:rPr>
              <w:br/>
              <w:t>1 602 + 0</w:t>
            </w:r>
            <w:r w:rsidR="002C787A" w:rsidRPr="001246F2">
              <w:rPr>
                <w:sz w:val="18"/>
              </w:rPr>
              <w:t>,</w:t>
            </w:r>
            <w:r w:rsidRPr="001246F2">
              <w:rPr>
                <w:sz w:val="18"/>
              </w:rPr>
              <w:t>5625</w:t>
            </w:r>
            <w:r w:rsidRPr="001246F2">
              <w:rPr>
                <w:i/>
                <w:iCs/>
                <w:sz w:val="18"/>
              </w:rPr>
              <w:t>N</w:t>
            </w:r>
            <w:r w:rsidRPr="001246F2">
              <w:rPr>
                <w:sz w:val="18"/>
              </w:rPr>
              <w:t xml:space="preserve"> ±</w:t>
            </w:r>
            <w:r w:rsidR="00CA4BF1">
              <w:rPr>
                <w:sz w:val="18"/>
              </w:rPr>
              <w:t> </w:t>
            </w:r>
            <w:r w:rsidRPr="001246F2">
              <w:rPr>
                <w:sz w:val="18"/>
              </w:rPr>
              <w:t>0</w:t>
            </w:r>
            <w:r w:rsidR="002C787A" w:rsidRPr="001246F2">
              <w:rPr>
                <w:sz w:val="18"/>
              </w:rPr>
              <w:t>,</w:t>
            </w:r>
            <w:r w:rsidRPr="001246F2">
              <w:rPr>
                <w:sz w:val="18"/>
              </w:rPr>
              <w:t xml:space="preserve">511, </w:t>
            </w:r>
            <w:r w:rsidR="0092207C" w:rsidRPr="001246F2">
              <w:rPr>
                <w:sz w:val="18"/>
              </w:rPr>
              <w:t>donde</w:t>
            </w:r>
            <w:r w:rsidRPr="001246F2">
              <w:rPr>
                <w:sz w:val="18"/>
              </w:rPr>
              <w:t xml:space="preserve"> </w:t>
            </w:r>
            <w:r w:rsidRPr="001246F2">
              <w:rPr>
                <w:sz w:val="18"/>
              </w:rPr>
              <w:br/>
            </w:r>
            <w:r w:rsidRPr="001246F2">
              <w:rPr>
                <w:i/>
                <w:iCs/>
                <w:sz w:val="18"/>
              </w:rPr>
              <w:t>N</w:t>
            </w:r>
            <w:r w:rsidRPr="001246F2">
              <w:rPr>
                <w:sz w:val="18"/>
              </w:rPr>
              <w:t xml:space="preserve"> = +7, …, +12</w:t>
            </w:r>
            <w:r w:rsidR="00CA4BF1">
              <w:rPr>
                <w:sz w:val="18"/>
                <w:vertAlign w:val="superscript"/>
                <w:lang w:eastAsia="ja-JP"/>
              </w:rPr>
              <w:br/>
            </w:r>
            <w:r w:rsidRPr="001246F2">
              <w:rPr>
                <w:sz w:val="18"/>
                <w:lang w:eastAsia="ja-JP"/>
              </w:rPr>
              <w:t>(</w:t>
            </w:r>
            <w:r w:rsidR="002C787A" w:rsidRPr="001246F2">
              <w:rPr>
                <w:sz w:val="18"/>
                <w:lang w:eastAsia="ja-JP"/>
              </w:rPr>
              <w:t>Nota</w:t>
            </w:r>
            <w:r w:rsidRPr="001246F2">
              <w:rPr>
                <w:sz w:val="18"/>
                <w:lang w:eastAsia="ja-JP"/>
              </w:rPr>
              <w:t xml:space="preserve"> </w:t>
            </w:r>
            <w:r w:rsidRPr="001246F2">
              <w:rPr>
                <w:rFonts w:eastAsia="MS PGothic"/>
                <w:sz w:val="18"/>
                <w:lang w:eastAsia="ja-JP"/>
              </w:rPr>
              <w:t>12</w:t>
            </w:r>
            <w:r w:rsidRPr="001246F2">
              <w:rPr>
                <w:sz w:val="18"/>
                <w:lang w:eastAsia="ja-JP"/>
              </w:rPr>
              <w:t>)</w:t>
            </w:r>
          </w:p>
        </w:tc>
        <w:tc>
          <w:tcPr>
            <w:tcW w:w="1361" w:type="dxa"/>
          </w:tcPr>
          <w:p w:rsidR="00FE6D1D" w:rsidRPr="001246F2" w:rsidRDefault="00FE6D1D" w:rsidP="00113B80">
            <w:pPr>
              <w:pStyle w:val="Tabletext"/>
              <w:ind w:left="-57" w:right="-57"/>
              <w:jc w:val="center"/>
              <w:rPr>
                <w:rFonts w:eastAsia="MS PGothic"/>
                <w:sz w:val="18"/>
                <w:highlight w:val="green"/>
              </w:rPr>
            </w:pPr>
            <w:r w:rsidRPr="001246F2">
              <w:rPr>
                <w:rFonts w:eastAsia="MS PGothic"/>
                <w:sz w:val="18"/>
              </w:rPr>
              <w:t>1 575</w:t>
            </w:r>
            <w:r w:rsidR="002C787A" w:rsidRPr="001246F2">
              <w:rPr>
                <w:rFonts w:eastAsia="MS PGothic"/>
                <w:sz w:val="18"/>
              </w:rPr>
              <w:t>,</w:t>
            </w:r>
            <w:r w:rsidRPr="001246F2">
              <w:rPr>
                <w:rFonts w:eastAsia="MS PGothic"/>
                <w:sz w:val="18"/>
              </w:rPr>
              <w:t xml:space="preserve">42 </w:t>
            </w:r>
            <w:r w:rsidRPr="001246F2">
              <w:rPr>
                <w:rFonts w:eastAsia="MS PGothic"/>
                <w:sz w:val="18"/>
              </w:rPr>
              <w:sym w:font="Symbol" w:char="00B1"/>
            </w:r>
            <w:r w:rsidRPr="001246F2">
              <w:rPr>
                <w:rFonts w:eastAsia="MS PGothic"/>
                <w:sz w:val="18"/>
              </w:rPr>
              <w:t xml:space="preserve"> 15</w:t>
            </w:r>
            <w:r w:rsidR="002C787A" w:rsidRPr="001246F2">
              <w:rPr>
                <w:rFonts w:eastAsia="MS PGothic"/>
                <w:sz w:val="18"/>
              </w:rPr>
              <w:t>,</w:t>
            </w:r>
            <w:r w:rsidRPr="001246F2">
              <w:rPr>
                <w:rFonts w:eastAsia="MS PGothic"/>
                <w:sz w:val="18"/>
              </w:rPr>
              <w:t>345</w:t>
            </w:r>
          </w:p>
        </w:tc>
        <w:tc>
          <w:tcPr>
            <w:tcW w:w="1389" w:type="dxa"/>
          </w:tcPr>
          <w:p w:rsidR="00FE6D1D" w:rsidRPr="001246F2" w:rsidRDefault="00FE6D1D" w:rsidP="00CA4BF1">
            <w:pPr>
              <w:pStyle w:val="Tabletext"/>
              <w:ind w:left="-57" w:right="-57"/>
              <w:jc w:val="center"/>
              <w:rPr>
                <w:rFonts w:eastAsia="MS PGothic"/>
                <w:sz w:val="18"/>
                <w:lang w:eastAsia="ja-JP"/>
              </w:rPr>
            </w:pPr>
            <w:r w:rsidRPr="001246F2">
              <w:rPr>
                <w:sz w:val="18"/>
              </w:rPr>
              <w:t>1 602 + 0</w:t>
            </w:r>
            <w:r w:rsidR="002C787A" w:rsidRPr="001246F2">
              <w:rPr>
                <w:sz w:val="18"/>
              </w:rPr>
              <w:t>,</w:t>
            </w:r>
            <w:r w:rsidRPr="001246F2">
              <w:rPr>
                <w:sz w:val="18"/>
              </w:rPr>
              <w:t>5625</w:t>
            </w:r>
            <w:r w:rsidRPr="001246F2">
              <w:rPr>
                <w:i/>
                <w:iCs/>
                <w:sz w:val="18"/>
              </w:rPr>
              <w:t>K</w:t>
            </w:r>
            <w:r w:rsidRPr="001246F2">
              <w:rPr>
                <w:sz w:val="18"/>
              </w:rPr>
              <w:t xml:space="preserve"> ±</w:t>
            </w:r>
            <w:r w:rsidR="00CA4BF1">
              <w:rPr>
                <w:sz w:val="18"/>
              </w:rPr>
              <w:t> </w:t>
            </w:r>
            <w:r w:rsidRPr="001246F2">
              <w:rPr>
                <w:sz w:val="18"/>
              </w:rPr>
              <w:t>5</w:t>
            </w:r>
            <w:r w:rsidR="002C787A" w:rsidRPr="001246F2">
              <w:rPr>
                <w:sz w:val="18"/>
              </w:rPr>
              <w:t>,</w:t>
            </w:r>
            <w:r w:rsidRPr="001246F2">
              <w:rPr>
                <w:sz w:val="18"/>
              </w:rPr>
              <w:t xml:space="preserve">11, </w:t>
            </w:r>
            <w:r w:rsidR="0092207C" w:rsidRPr="001246F2">
              <w:rPr>
                <w:sz w:val="18"/>
              </w:rPr>
              <w:t>donde</w:t>
            </w:r>
            <w:r w:rsidRPr="001246F2">
              <w:rPr>
                <w:sz w:val="18"/>
              </w:rPr>
              <w:t xml:space="preserve"> </w:t>
            </w:r>
            <w:r w:rsidRPr="001246F2">
              <w:rPr>
                <w:sz w:val="18"/>
              </w:rPr>
              <w:br/>
            </w:r>
            <w:r w:rsidRPr="001246F2">
              <w:rPr>
                <w:i/>
                <w:iCs/>
                <w:sz w:val="18"/>
              </w:rPr>
              <w:t>K</w:t>
            </w:r>
            <w:r w:rsidRPr="001246F2">
              <w:rPr>
                <w:sz w:val="18"/>
              </w:rPr>
              <w:t xml:space="preserve"> = −7, …, +6 </w:t>
            </w:r>
            <w:r w:rsidRPr="001246F2">
              <w:rPr>
                <w:sz w:val="18"/>
              </w:rPr>
              <w:br/>
            </w:r>
            <w:r w:rsidR="002C787A" w:rsidRPr="001246F2">
              <w:rPr>
                <w:sz w:val="18"/>
              </w:rPr>
              <w:t>y</w:t>
            </w:r>
            <w:r w:rsidRPr="001246F2">
              <w:rPr>
                <w:sz w:val="18"/>
              </w:rPr>
              <w:br/>
              <w:t>1 602 + 0</w:t>
            </w:r>
            <w:r w:rsidR="002C787A" w:rsidRPr="001246F2">
              <w:rPr>
                <w:sz w:val="18"/>
              </w:rPr>
              <w:t>,</w:t>
            </w:r>
            <w:r w:rsidRPr="001246F2">
              <w:rPr>
                <w:sz w:val="18"/>
              </w:rPr>
              <w:t>5625</w:t>
            </w:r>
            <w:r w:rsidRPr="001246F2">
              <w:rPr>
                <w:i/>
                <w:iCs/>
                <w:sz w:val="18"/>
              </w:rPr>
              <w:t>N</w:t>
            </w:r>
            <w:r w:rsidRPr="001246F2">
              <w:rPr>
                <w:sz w:val="18"/>
              </w:rPr>
              <w:t xml:space="preserve"> ±</w:t>
            </w:r>
            <w:r w:rsidR="00CA4BF1">
              <w:rPr>
                <w:sz w:val="18"/>
              </w:rPr>
              <w:t> </w:t>
            </w:r>
            <w:r w:rsidRPr="001246F2">
              <w:rPr>
                <w:sz w:val="18"/>
              </w:rPr>
              <w:t>0</w:t>
            </w:r>
            <w:r w:rsidR="002C787A" w:rsidRPr="001246F2">
              <w:rPr>
                <w:sz w:val="18"/>
              </w:rPr>
              <w:t>,</w:t>
            </w:r>
            <w:r w:rsidRPr="001246F2">
              <w:rPr>
                <w:sz w:val="18"/>
              </w:rPr>
              <w:t xml:space="preserve">511, </w:t>
            </w:r>
            <w:r w:rsidR="0092207C" w:rsidRPr="001246F2">
              <w:rPr>
                <w:sz w:val="18"/>
              </w:rPr>
              <w:t>donde</w:t>
            </w:r>
            <w:r w:rsidRPr="001246F2">
              <w:rPr>
                <w:sz w:val="18"/>
              </w:rPr>
              <w:t xml:space="preserve"> </w:t>
            </w:r>
            <w:r w:rsidRPr="001246F2">
              <w:rPr>
                <w:sz w:val="18"/>
              </w:rPr>
              <w:br/>
            </w:r>
            <w:r w:rsidRPr="001246F2">
              <w:rPr>
                <w:i/>
                <w:iCs/>
                <w:sz w:val="18"/>
              </w:rPr>
              <w:t>N</w:t>
            </w:r>
            <w:r w:rsidRPr="001246F2">
              <w:rPr>
                <w:sz w:val="18"/>
              </w:rPr>
              <w:t> = −12, …, −8</w:t>
            </w:r>
            <w:r w:rsidR="00CA4BF1">
              <w:rPr>
                <w:sz w:val="18"/>
                <w:vertAlign w:val="superscript"/>
                <w:lang w:eastAsia="ja-JP"/>
              </w:rPr>
              <w:br/>
            </w:r>
            <w:r w:rsidRPr="001246F2">
              <w:rPr>
                <w:sz w:val="18"/>
                <w:lang w:eastAsia="ja-JP"/>
              </w:rPr>
              <w:t>(</w:t>
            </w:r>
            <w:r w:rsidR="002C787A" w:rsidRPr="001246F2">
              <w:rPr>
                <w:sz w:val="18"/>
                <w:lang w:eastAsia="ja-JP"/>
              </w:rPr>
              <w:t>Nota</w:t>
            </w:r>
            <w:r w:rsidRPr="001246F2">
              <w:rPr>
                <w:sz w:val="18"/>
                <w:lang w:eastAsia="ja-JP"/>
              </w:rPr>
              <w:t xml:space="preserve"> 1</w:t>
            </w:r>
            <w:r w:rsidRPr="001246F2">
              <w:rPr>
                <w:rFonts w:eastAsia="MS PGothic"/>
                <w:sz w:val="18"/>
                <w:lang w:eastAsia="ja-JP"/>
              </w:rPr>
              <w:t>5</w:t>
            </w:r>
            <w:r w:rsidRPr="001246F2">
              <w:rPr>
                <w:sz w:val="18"/>
                <w:lang w:eastAsia="ja-JP"/>
              </w:rPr>
              <w:t>)</w:t>
            </w:r>
          </w:p>
        </w:tc>
        <w:tc>
          <w:tcPr>
            <w:tcW w:w="994" w:type="dxa"/>
          </w:tcPr>
          <w:p w:rsidR="00FE6D1D" w:rsidRPr="001246F2" w:rsidRDefault="00FE6D1D" w:rsidP="00113B80">
            <w:pPr>
              <w:pStyle w:val="Tabletext"/>
              <w:ind w:left="-57" w:right="-57"/>
              <w:jc w:val="center"/>
              <w:rPr>
                <w:rFonts w:eastAsia="MS PGothic"/>
                <w:sz w:val="18"/>
              </w:rPr>
            </w:pPr>
            <w:r w:rsidRPr="001246F2">
              <w:rPr>
                <w:rFonts w:eastAsia="MS PGothic"/>
                <w:sz w:val="18"/>
              </w:rPr>
              <w:t>1 575</w:t>
            </w:r>
            <w:r w:rsidR="002C787A" w:rsidRPr="001246F2">
              <w:rPr>
                <w:rFonts w:eastAsia="MS PGothic"/>
                <w:sz w:val="18"/>
              </w:rPr>
              <w:t>,</w:t>
            </w:r>
            <w:r w:rsidRPr="001246F2">
              <w:rPr>
                <w:rFonts w:eastAsia="MS PGothic"/>
                <w:sz w:val="18"/>
              </w:rPr>
              <w:t xml:space="preserve">42 </w:t>
            </w:r>
            <w:r w:rsidRPr="001246F2">
              <w:rPr>
                <w:rFonts w:eastAsia="MS PGothic"/>
                <w:sz w:val="18"/>
              </w:rPr>
              <w:sym w:font="Symbol" w:char="00B1"/>
            </w:r>
            <w:r w:rsidRPr="001246F2">
              <w:rPr>
                <w:rFonts w:eastAsia="MS PGothic"/>
                <w:sz w:val="18"/>
              </w:rPr>
              <w:t xml:space="preserve"> 15</w:t>
            </w:r>
            <w:r w:rsidR="002C787A" w:rsidRPr="001246F2">
              <w:rPr>
                <w:rFonts w:eastAsia="MS PGothic"/>
                <w:sz w:val="18"/>
              </w:rPr>
              <w:t>,</w:t>
            </w:r>
            <w:r w:rsidRPr="001246F2">
              <w:rPr>
                <w:rFonts w:eastAsia="MS PGothic"/>
                <w:sz w:val="18"/>
              </w:rPr>
              <w:t>345</w:t>
            </w:r>
          </w:p>
        </w:tc>
        <w:tc>
          <w:tcPr>
            <w:tcW w:w="1304" w:type="dxa"/>
          </w:tcPr>
          <w:p w:rsidR="00FE6D1D" w:rsidRPr="001246F2" w:rsidRDefault="00FE6D1D" w:rsidP="00CA4BF1">
            <w:pPr>
              <w:pStyle w:val="Tabletext"/>
              <w:ind w:left="-57" w:right="-57"/>
              <w:jc w:val="center"/>
              <w:rPr>
                <w:rFonts w:eastAsia="MS PGothic"/>
                <w:sz w:val="18"/>
                <w:lang w:eastAsia="ja-JP"/>
              </w:rPr>
            </w:pPr>
            <w:r w:rsidRPr="001246F2">
              <w:rPr>
                <w:sz w:val="18"/>
              </w:rPr>
              <w:t>1 602 + 0</w:t>
            </w:r>
            <w:r w:rsidR="002C787A" w:rsidRPr="001246F2">
              <w:rPr>
                <w:sz w:val="18"/>
              </w:rPr>
              <w:t>,</w:t>
            </w:r>
            <w:r w:rsidRPr="001246F2">
              <w:rPr>
                <w:sz w:val="18"/>
              </w:rPr>
              <w:t>5625</w:t>
            </w:r>
            <w:r w:rsidRPr="001246F2">
              <w:rPr>
                <w:i/>
                <w:iCs/>
                <w:sz w:val="18"/>
              </w:rPr>
              <w:t>K</w:t>
            </w:r>
            <w:r w:rsidRPr="001246F2">
              <w:rPr>
                <w:sz w:val="18"/>
              </w:rPr>
              <w:t xml:space="preserve"> ± 5</w:t>
            </w:r>
            <w:r w:rsidR="002C787A" w:rsidRPr="001246F2">
              <w:rPr>
                <w:sz w:val="18"/>
              </w:rPr>
              <w:t>,</w:t>
            </w:r>
            <w:r w:rsidRPr="001246F2">
              <w:rPr>
                <w:sz w:val="18"/>
              </w:rPr>
              <w:t xml:space="preserve">11, </w:t>
            </w:r>
            <w:r w:rsidR="0092207C" w:rsidRPr="001246F2">
              <w:rPr>
                <w:sz w:val="18"/>
              </w:rPr>
              <w:t>donde</w:t>
            </w:r>
            <w:r w:rsidRPr="001246F2">
              <w:rPr>
                <w:sz w:val="18"/>
              </w:rPr>
              <w:t xml:space="preserve"> </w:t>
            </w:r>
            <w:r w:rsidRPr="001246F2">
              <w:rPr>
                <w:sz w:val="18"/>
              </w:rPr>
              <w:br/>
            </w:r>
            <w:r w:rsidRPr="001246F2">
              <w:rPr>
                <w:i/>
                <w:iCs/>
                <w:sz w:val="18"/>
              </w:rPr>
              <w:t>K</w:t>
            </w:r>
            <w:r w:rsidRPr="001246F2">
              <w:rPr>
                <w:sz w:val="18"/>
              </w:rPr>
              <w:t> = −7, …, +6</w:t>
            </w:r>
            <w:r w:rsidR="00CA4BF1">
              <w:rPr>
                <w:sz w:val="18"/>
                <w:vertAlign w:val="superscript"/>
                <w:lang w:eastAsia="ja-JP"/>
              </w:rPr>
              <w:br/>
            </w:r>
            <w:r w:rsidRPr="001246F2">
              <w:rPr>
                <w:sz w:val="18"/>
                <w:lang w:eastAsia="ja-JP"/>
              </w:rPr>
              <w:t>(</w:t>
            </w:r>
            <w:r w:rsidR="002C787A" w:rsidRPr="001246F2">
              <w:rPr>
                <w:sz w:val="18"/>
                <w:lang w:eastAsia="ja-JP"/>
              </w:rPr>
              <w:t>Nota</w:t>
            </w:r>
            <w:r w:rsidRPr="001246F2">
              <w:rPr>
                <w:sz w:val="18"/>
                <w:lang w:eastAsia="ja-JP"/>
              </w:rPr>
              <w:t xml:space="preserve"> 1</w:t>
            </w:r>
            <w:r w:rsidRPr="001246F2">
              <w:rPr>
                <w:rFonts w:eastAsia="MS PGothic"/>
                <w:sz w:val="18"/>
                <w:lang w:eastAsia="ja-JP"/>
              </w:rPr>
              <w:t>7</w:t>
            </w:r>
            <w:r w:rsidRPr="001246F2">
              <w:rPr>
                <w:sz w:val="18"/>
                <w:lang w:eastAsia="ja-JP"/>
              </w:rPr>
              <w:t>)</w:t>
            </w:r>
          </w:p>
        </w:tc>
        <w:tc>
          <w:tcPr>
            <w:tcW w:w="868" w:type="dxa"/>
          </w:tcPr>
          <w:p w:rsidR="00FE6D1D" w:rsidRPr="001246F2" w:rsidRDefault="00FE6D1D" w:rsidP="00113B80">
            <w:pPr>
              <w:pStyle w:val="Tabletext"/>
              <w:ind w:left="-57" w:right="-57"/>
              <w:jc w:val="center"/>
              <w:rPr>
                <w:rFonts w:eastAsia="MS PGothic"/>
                <w:sz w:val="18"/>
              </w:rPr>
            </w:pPr>
            <w:r w:rsidRPr="001246F2">
              <w:rPr>
                <w:rFonts w:eastAsia="MS PGothic"/>
                <w:sz w:val="18"/>
              </w:rPr>
              <w:t>1 575</w:t>
            </w:r>
            <w:r w:rsidR="002C787A" w:rsidRPr="001246F2">
              <w:rPr>
                <w:rFonts w:eastAsia="MS PGothic"/>
                <w:sz w:val="18"/>
              </w:rPr>
              <w:t>,</w:t>
            </w:r>
            <w:r w:rsidRPr="001246F2">
              <w:rPr>
                <w:rFonts w:eastAsia="MS PGothic"/>
                <w:sz w:val="18"/>
              </w:rPr>
              <w:t xml:space="preserve">42 </w:t>
            </w:r>
            <w:r w:rsidRPr="001246F2">
              <w:rPr>
                <w:rFonts w:eastAsia="MS PGothic"/>
                <w:sz w:val="18"/>
              </w:rPr>
              <w:sym w:font="Symbol" w:char="00B1"/>
            </w:r>
            <w:r w:rsidRPr="001246F2">
              <w:rPr>
                <w:rFonts w:eastAsia="MS PGothic"/>
                <w:sz w:val="18"/>
              </w:rPr>
              <w:t xml:space="preserve"> 15</w:t>
            </w:r>
            <w:r w:rsidR="002C787A" w:rsidRPr="001246F2">
              <w:rPr>
                <w:rFonts w:eastAsia="MS PGothic"/>
                <w:sz w:val="18"/>
              </w:rPr>
              <w:t>,</w:t>
            </w:r>
            <w:r w:rsidRPr="001246F2">
              <w:rPr>
                <w:rFonts w:eastAsia="MS PGothic"/>
                <w:sz w:val="18"/>
              </w:rPr>
              <w:t>345</w:t>
            </w:r>
          </w:p>
        </w:tc>
        <w:tc>
          <w:tcPr>
            <w:tcW w:w="435" w:type="dxa"/>
            <w:textDirection w:val="btLr"/>
            <w:vAlign w:val="center"/>
          </w:tcPr>
          <w:p w:rsidR="00FE6D1D" w:rsidRPr="001246F2" w:rsidRDefault="00FE6D1D" w:rsidP="00FE6D1D">
            <w:pPr>
              <w:pStyle w:val="Tabletext"/>
              <w:jc w:val="center"/>
              <w:rPr>
                <w:sz w:val="18"/>
                <w:lang w:eastAsia="ja-JP"/>
              </w:rPr>
            </w:pPr>
            <w:r w:rsidRPr="001246F2">
              <w:rPr>
                <w:sz w:val="18"/>
                <w:lang w:eastAsia="ja-JP"/>
              </w:rPr>
              <w:t>1 575</w:t>
            </w:r>
            <w:r w:rsidR="002C787A" w:rsidRPr="001246F2">
              <w:rPr>
                <w:sz w:val="18"/>
                <w:lang w:eastAsia="ja-JP"/>
              </w:rPr>
              <w:t>,</w:t>
            </w:r>
            <w:r w:rsidRPr="001246F2">
              <w:rPr>
                <w:sz w:val="18"/>
                <w:lang w:eastAsia="ja-JP"/>
              </w:rPr>
              <w:t>42 ± 12</w:t>
            </w:r>
          </w:p>
        </w:tc>
        <w:tc>
          <w:tcPr>
            <w:tcW w:w="721" w:type="dxa"/>
            <w:gridSpan w:val="2"/>
            <w:textDirection w:val="btLr"/>
            <w:vAlign w:val="center"/>
          </w:tcPr>
          <w:p w:rsidR="00FE6D1D" w:rsidRPr="001246F2" w:rsidRDefault="00FE6D1D" w:rsidP="00FE6D1D">
            <w:pPr>
              <w:pStyle w:val="Tabletext"/>
              <w:jc w:val="center"/>
              <w:rPr>
                <w:sz w:val="18"/>
                <w:lang w:eastAsia="ja-JP"/>
              </w:rPr>
            </w:pPr>
            <w:r w:rsidRPr="001246F2">
              <w:rPr>
                <w:sz w:val="18"/>
              </w:rPr>
              <w:t>1 602 + 0</w:t>
            </w:r>
            <w:r w:rsidR="002C787A" w:rsidRPr="001246F2">
              <w:rPr>
                <w:sz w:val="18"/>
              </w:rPr>
              <w:t>,</w:t>
            </w:r>
            <w:r w:rsidRPr="001246F2">
              <w:rPr>
                <w:sz w:val="18"/>
              </w:rPr>
              <w:t>5625</w:t>
            </w:r>
            <w:r w:rsidRPr="001246F2">
              <w:rPr>
                <w:i/>
                <w:iCs/>
                <w:sz w:val="18"/>
              </w:rPr>
              <w:t>K</w:t>
            </w:r>
            <w:r w:rsidRPr="001246F2">
              <w:rPr>
                <w:sz w:val="18"/>
              </w:rPr>
              <w:t xml:space="preserve"> </w:t>
            </w:r>
            <w:r w:rsidRPr="001246F2">
              <w:rPr>
                <w:sz w:val="18"/>
              </w:rPr>
              <w:br/>
              <w:t>± 5</w:t>
            </w:r>
            <w:r w:rsidR="002C787A" w:rsidRPr="001246F2">
              <w:rPr>
                <w:sz w:val="18"/>
              </w:rPr>
              <w:t>,</w:t>
            </w:r>
            <w:r w:rsidRPr="001246F2">
              <w:rPr>
                <w:sz w:val="18"/>
              </w:rPr>
              <w:t xml:space="preserve">11, </w:t>
            </w:r>
            <w:r w:rsidR="0092207C" w:rsidRPr="001246F2">
              <w:rPr>
                <w:sz w:val="18"/>
              </w:rPr>
              <w:t>donde</w:t>
            </w:r>
            <w:r w:rsidRPr="001246F2">
              <w:rPr>
                <w:sz w:val="18"/>
              </w:rPr>
              <w:t xml:space="preserve"> </w:t>
            </w:r>
            <w:r w:rsidRPr="001246F2">
              <w:rPr>
                <w:sz w:val="18"/>
              </w:rPr>
              <w:br/>
            </w:r>
            <w:r w:rsidRPr="001246F2">
              <w:rPr>
                <w:i/>
                <w:iCs/>
                <w:sz w:val="18"/>
              </w:rPr>
              <w:t>K</w:t>
            </w:r>
            <w:r w:rsidRPr="001246F2">
              <w:rPr>
                <w:sz w:val="18"/>
              </w:rPr>
              <w:t> = −7, …, +6</w:t>
            </w:r>
          </w:p>
        </w:tc>
        <w:tc>
          <w:tcPr>
            <w:tcW w:w="1020" w:type="dxa"/>
          </w:tcPr>
          <w:p w:rsidR="00FE6D1D" w:rsidRPr="001246F2" w:rsidRDefault="00FE6D1D" w:rsidP="00113B80">
            <w:pPr>
              <w:pStyle w:val="Tabletext"/>
              <w:ind w:left="-57" w:right="-57"/>
              <w:jc w:val="center"/>
              <w:rPr>
                <w:sz w:val="18"/>
                <w:lang w:eastAsia="ja-JP"/>
              </w:rPr>
            </w:pPr>
            <w:r w:rsidRPr="001246F2">
              <w:rPr>
                <w:sz w:val="18"/>
                <w:lang w:eastAsia="ja-JP"/>
              </w:rPr>
              <w:t>1 561</w:t>
            </w:r>
            <w:r w:rsidR="002C787A" w:rsidRPr="001246F2">
              <w:rPr>
                <w:sz w:val="18"/>
                <w:lang w:eastAsia="ja-JP"/>
              </w:rPr>
              <w:t>,</w:t>
            </w:r>
            <w:r w:rsidRPr="001246F2">
              <w:rPr>
                <w:sz w:val="18"/>
                <w:lang w:eastAsia="ja-JP"/>
              </w:rPr>
              <w:t>098</w:t>
            </w:r>
            <w:r w:rsidRPr="001246F2">
              <w:rPr>
                <w:sz w:val="18"/>
                <w:lang w:eastAsia="ja-JP"/>
              </w:rPr>
              <w:br/>
              <w:t>± 2</w:t>
            </w:r>
            <w:r w:rsidR="002C787A" w:rsidRPr="001246F2">
              <w:rPr>
                <w:sz w:val="18"/>
                <w:lang w:eastAsia="ja-JP"/>
              </w:rPr>
              <w:t>,</w:t>
            </w:r>
            <w:r w:rsidRPr="001246F2">
              <w:rPr>
                <w:sz w:val="18"/>
                <w:lang w:eastAsia="ja-JP"/>
              </w:rPr>
              <w:t>046</w:t>
            </w:r>
            <w:r w:rsidRPr="001246F2">
              <w:rPr>
                <w:sz w:val="18"/>
                <w:lang w:eastAsia="ja-JP"/>
              </w:rPr>
              <w:br/>
              <w:t>1 589</w:t>
            </w:r>
            <w:r w:rsidR="002C787A" w:rsidRPr="001246F2">
              <w:rPr>
                <w:sz w:val="18"/>
                <w:lang w:eastAsia="ja-JP"/>
              </w:rPr>
              <w:t>,</w:t>
            </w:r>
            <w:r w:rsidRPr="001246F2">
              <w:rPr>
                <w:sz w:val="18"/>
                <w:lang w:eastAsia="ja-JP"/>
              </w:rPr>
              <w:t>742</w:t>
            </w:r>
            <w:r w:rsidRPr="001246F2">
              <w:rPr>
                <w:sz w:val="18"/>
                <w:lang w:eastAsia="ja-JP"/>
              </w:rPr>
              <w:br/>
              <w:t>± 2</w:t>
            </w:r>
            <w:r w:rsidR="002C787A" w:rsidRPr="001246F2">
              <w:rPr>
                <w:sz w:val="18"/>
                <w:lang w:eastAsia="ja-JP"/>
              </w:rPr>
              <w:t>,</w:t>
            </w:r>
            <w:r w:rsidRPr="001246F2">
              <w:rPr>
                <w:sz w:val="18"/>
                <w:lang w:eastAsia="ja-JP"/>
              </w:rPr>
              <w:t>046</w:t>
            </w:r>
          </w:p>
        </w:tc>
        <w:tc>
          <w:tcPr>
            <w:tcW w:w="443" w:type="dxa"/>
            <w:textDirection w:val="btLr"/>
            <w:vAlign w:val="center"/>
          </w:tcPr>
          <w:p w:rsidR="00FE6D1D" w:rsidRPr="001246F2" w:rsidRDefault="00FE6D1D" w:rsidP="00FE6D1D">
            <w:pPr>
              <w:pStyle w:val="Tabletext"/>
              <w:jc w:val="center"/>
              <w:rPr>
                <w:sz w:val="18"/>
                <w:lang w:eastAsia="ja-JP"/>
              </w:rPr>
            </w:pPr>
            <w:r w:rsidRPr="001246F2">
              <w:rPr>
                <w:sz w:val="18"/>
                <w:lang w:eastAsia="ja-JP"/>
              </w:rPr>
              <w:t>1 575</w:t>
            </w:r>
            <w:r w:rsidR="002C787A" w:rsidRPr="001246F2">
              <w:rPr>
                <w:sz w:val="18"/>
                <w:lang w:eastAsia="ja-JP"/>
              </w:rPr>
              <w:t>,</w:t>
            </w:r>
            <w:r w:rsidRPr="001246F2">
              <w:rPr>
                <w:sz w:val="18"/>
                <w:lang w:eastAsia="ja-JP"/>
              </w:rPr>
              <w:t>42 ± 12</w:t>
            </w:r>
          </w:p>
        </w:tc>
        <w:tc>
          <w:tcPr>
            <w:tcW w:w="753" w:type="dxa"/>
            <w:gridSpan w:val="2"/>
            <w:textDirection w:val="btLr"/>
            <w:vAlign w:val="center"/>
          </w:tcPr>
          <w:p w:rsidR="00FE6D1D" w:rsidRPr="001246F2" w:rsidRDefault="00FE6D1D" w:rsidP="00FE6D1D">
            <w:pPr>
              <w:pStyle w:val="Tabletext"/>
              <w:jc w:val="center"/>
              <w:rPr>
                <w:sz w:val="18"/>
                <w:lang w:eastAsia="ja-JP"/>
              </w:rPr>
            </w:pPr>
            <w:r w:rsidRPr="001246F2">
              <w:rPr>
                <w:sz w:val="18"/>
              </w:rPr>
              <w:t>1 602 + 0.5625</w:t>
            </w:r>
            <w:r w:rsidRPr="001246F2">
              <w:rPr>
                <w:i/>
                <w:iCs/>
                <w:sz w:val="18"/>
              </w:rPr>
              <w:t>K</w:t>
            </w:r>
            <w:r w:rsidRPr="001246F2">
              <w:rPr>
                <w:sz w:val="18"/>
              </w:rPr>
              <w:t xml:space="preserve"> </w:t>
            </w:r>
            <w:r w:rsidRPr="001246F2">
              <w:rPr>
                <w:sz w:val="18"/>
              </w:rPr>
              <w:br/>
              <w:t xml:space="preserve">± 5.11, </w:t>
            </w:r>
            <w:r w:rsidR="0092207C" w:rsidRPr="001246F2">
              <w:rPr>
                <w:sz w:val="18"/>
              </w:rPr>
              <w:t>donde</w:t>
            </w:r>
            <w:r w:rsidRPr="001246F2">
              <w:rPr>
                <w:sz w:val="18"/>
              </w:rPr>
              <w:t xml:space="preserve"> </w:t>
            </w:r>
            <w:r w:rsidRPr="001246F2">
              <w:rPr>
                <w:sz w:val="18"/>
              </w:rPr>
              <w:br/>
            </w:r>
            <w:r w:rsidRPr="001246F2">
              <w:rPr>
                <w:i/>
                <w:iCs/>
                <w:sz w:val="18"/>
              </w:rPr>
              <w:t>K</w:t>
            </w:r>
            <w:r w:rsidRPr="001246F2">
              <w:rPr>
                <w:sz w:val="18"/>
              </w:rPr>
              <w:t> = –7, …, +6</w:t>
            </w:r>
          </w:p>
        </w:tc>
        <w:tc>
          <w:tcPr>
            <w:tcW w:w="624" w:type="dxa"/>
            <w:tcMar>
              <w:top w:w="0" w:type="dxa"/>
              <w:left w:w="28" w:type="dxa"/>
              <w:bottom w:w="0" w:type="dxa"/>
              <w:right w:w="28" w:type="dxa"/>
            </w:tcMar>
            <w:textDirection w:val="btLr"/>
            <w:vAlign w:val="center"/>
          </w:tcPr>
          <w:p w:rsidR="00FE6D1D" w:rsidRPr="001246F2" w:rsidRDefault="00FE6D1D" w:rsidP="00FE6D1D">
            <w:pPr>
              <w:pStyle w:val="Tabletext"/>
              <w:jc w:val="center"/>
              <w:rPr>
                <w:rFonts w:eastAsia="MS PGothic"/>
                <w:sz w:val="18"/>
              </w:rPr>
            </w:pPr>
            <w:r w:rsidRPr="001246F2">
              <w:rPr>
                <w:sz w:val="18"/>
                <w:lang w:eastAsia="ja-JP"/>
              </w:rPr>
              <w:t xml:space="preserve">1 575.42 ± </w:t>
            </w:r>
            <w:r w:rsidRPr="001246F2">
              <w:rPr>
                <w:rFonts w:eastAsia="MS PGothic"/>
                <w:sz w:val="18"/>
              </w:rPr>
              <w:t>15.345</w:t>
            </w:r>
          </w:p>
        </w:tc>
        <w:tc>
          <w:tcPr>
            <w:tcW w:w="680" w:type="dxa"/>
            <w:tcMar>
              <w:top w:w="0" w:type="dxa"/>
              <w:left w:w="28" w:type="dxa"/>
              <w:bottom w:w="0" w:type="dxa"/>
              <w:right w:w="28" w:type="dxa"/>
            </w:tcMar>
            <w:textDirection w:val="btLr"/>
            <w:vAlign w:val="center"/>
          </w:tcPr>
          <w:p w:rsidR="00FE6D1D" w:rsidRPr="001246F2" w:rsidRDefault="00FE6D1D" w:rsidP="00FE6D1D">
            <w:pPr>
              <w:pStyle w:val="Tabletext"/>
              <w:jc w:val="center"/>
              <w:rPr>
                <w:rFonts w:eastAsia="MS PGothic"/>
                <w:sz w:val="18"/>
              </w:rPr>
            </w:pPr>
            <w:r w:rsidRPr="001246F2">
              <w:rPr>
                <w:sz w:val="18"/>
              </w:rPr>
              <w:t>1 602 +0.5625</w:t>
            </w:r>
            <w:r w:rsidRPr="001246F2">
              <w:rPr>
                <w:i/>
                <w:iCs/>
                <w:sz w:val="18"/>
              </w:rPr>
              <w:t>K</w:t>
            </w:r>
            <w:r w:rsidRPr="001246F2">
              <w:rPr>
                <w:sz w:val="18"/>
              </w:rPr>
              <w:br/>
              <w:t xml:space="preserve">± 5.11, </w:t>
            </w:r>
            <w:r w:rsidR="0092207C" w:rsidRPr="001246F2">
              <w:rPr>
                <w:sz w:val="18"/>
              </w:rPr>
              <w:t>donde</w:t>
            </w:r>
            <w:r w:rsidRPr="001246F2">
              <w:rPr>
                <w:sz w:val="18"/>
              </w:rPr>
              <w:t xml:space="preserve"> </w:t>
            </w:r>
            <w:r w:rsidRPr="001246F2">
              <w:rPr>
                <w:sz w:val="18"/>
              </w:rPr>
              <w:br/>
            </w:r>
            <w:r w:rsidRPr="001246F2">
              <w:rPr>
                <w:i/>
                <w:iCs/>
                <w:sz w:val="18"/>
              </w:rPr>
              <w:t>K</w:t>
            </w:r>
            <w:r w:rsidRPr="001246F2">
              <w:rPr>
                <w:sz w:val="18"/>
              </w:rPr>
              <w:t> = –7, …, +6</w:t>
            </w:r>
          </w:p>
        </w:tc>
      </w:tr>
      <w:tr w:rsidR="00FE6D1D" w:rsidRPr="001246F2" w:rsidTr="002C0CF2">
        <w:trPr>
          <w:cantSplit/>
          <w:jc w:val="center"/>
        </w:trPr>
        <w:tc>
          <w:tcPr>
            <w:tcW w:w="1446" w:type="dxa"/>
          </w:tcPr>
          <w:p w:rsidR="00FE6D1D" w:rsidRPr="001246F2" w:rsidRDefault="00113B80" w:rsidP="00113B80">
            <w:pPr>
              <w:pStyle w:val="Tabletext"/>
              <w:jc w:val="left"/>
              <w:rPr>
                <w:rFonts w:eastAsia="MS PGothic"/>
                <w:sz w:val="18"/>
              </w:rPr>
            </w:pPr>
            <w:r w:rsidRPr="001246F2">
              <w:rPr>
                <w:rFonts w:eastAsia="MS PGothic"/>
                <w:sz w:val="18"/>
              </w:rPr>
              <w:t>Máxima ganancia de la antena del receptor en el hemisferio superior</w:t>
            </w:r>
            <w:r w:rsidR="00FE6D1D" w:rsidRPr="001246F2">
              <w:rPr>
                <w:rFonts w:eastAsia="MS PGothic"/>
                <w:sz w:val="18"/>
              </w:rPr>
              <w:t xml:space="preserve"> (dBi)</w:t>
            </w:r>
          </w:p>
        </w:tc>
        <w:tc>
          <w:tcPr>
            <w:tcW w:w="1077" w:type="dxa"/>
          </w:tcPr>
          <w:p w:rsidR="00FE6D1D" w:rsidRPr="001246F2" w:rsidRDefault="00FE6D1D" w:rsidP="00743B86">
            <w:pPr>
              <w:pStyle w:val="Tabletext"/>
              <w:ind w:left="-57" w:right="-57"/>
              <w:jc w:val="center"/>
              <w:rPr>
                <w:rFonts w:eastAsia="MS PGothic"/>
                <w:sz w:val="18"/>
                <w:highlight w:val="green"/>
                <w:lang w:eastAsia="ja-JP"/>
              </w:rPr>
            </w:pPr>
            <w:r w:rsidRPr="001246F2">
              <w:rPr>
                <w:rFonts w:eastAsia="MS PGothic"/>
                <w:sz w:val="18"/>
              </w:rPr>
              <w:t>+3</w:t>
            </w:r>
            <w:r w:rsidR="002C787A" w:rsidRPr="001246F2">
              <w:rPr>
                <w:rFonts w:eastAsia="MS PGothic"/>
                <w:sz w:val="18"/>
              </w:rPr>
              <w:t>,</w:t>
            </w:r>
            <w:r w:rsidRPr="001246F2">
              <w:rPr>
                <w:rFonts w:eastAsia="MS PGothic"/>
                <w:sz w:val="18"/>
              </w:rPr>
              <w:t>0</w:t>
            </w:r>
            <w:r w:rsidR="00743B86" w:rsidRPr="00743B86">
              <w:rPr>
                <w:sz w:val="18"/>
              </w:rPr>
              <w:br/>
            </w:r>
            <w:r w:rsidRPr="001246F2">
              <w:rPr>
                <w:rFonts w:eastAsia="MS PGothic"/>
                <w:sz w:val="18"/>
              </w:rPr>
              <w:t>(circular)</w:t>
            </w:r>
            <w:r w:rsidRPr="001246F2">
              <w:rPr>
                <w:rFonts w:eastAsia="MS PGothic"/>
                <w:sz w:val="18"/>
              </w:rPr>
              <w:br/>
            </w:r>
            <w:r w:rsidRPr="001246F2">
              <w:rPr>
                <w:rFonts w:eastAsia="MS PGothic"/>
                <w:sz w:val="18"/>
                <w:lang w:eastAsia="ja-JP"/>
              </w:rPr>
              <w:t>(</w:t>
            </w:r>
            <w:r w:rsidR="002C787A" w:rsidRPr="001246F2">
              <w:rPr>
                <w:rFonts w:eastAsia="MS PGothic"/>
                <w:sz w:val="18"/>
              </w:rPr>
              <w:t>Nota</w:t>
            </w:r>
            <w:r w:rsidRPr="001246F2">
              <w:rPr>
                <w:rFonts w:eastAsia="MS PGothic"/>
                <w:sz w:val="18"/>
              </w:rPr>
              <w:t xml:space="preserve"> </w:t>
            </w:r>
            <w:r w:rsidRPr="001246F2">
              <w:rPr>
                <w:sz w:val="18"/>
              </w:rPr>
              <w:t>5</w:t>
            </w:r>
            <w:r w:rsidRPr="001246F2">
              <w:rPr>
                <w:rFonts w:eastAsia="MS PGothic"/>
                <w:sz w:val="18"/>
                <w:lang w:eastAsia="ja-JP"/>
              </w:rPr>
              <w:t>)</w:t>
            </w:r>
          </w:p>
        </w:tc>
        <w:tc>
          <w:tcPr>
            <w:tcW w:w="1360" w:type="dxa"/>
          </w:tcPr>
          <w:p w:rsidR="00FE6D1D" w:rsidRPr="001246F2" w:rsidRDefault="00FE6D1D" w:rsidP="00743B86">
            <w:pPr>
              <w:pStyle w:val="Tabletext"/>
              <w:ind w:left="-57" w:right="-57"/>
              <w:jc w:val="center"/>
              <w:rPr>
                <w:rFonts w:eastAsia="MS PGothic"/>
                <w:sz w:val="18"/>
                <w:lang w:eastAsia="ja-JP"/>
              </w:rPr>
            </w:pPr>
            <w:r w:rsidRPr="001246F2">
              <w:rPr>
                <w:sz w:val="18"/>
              </w:rPr>
              <w:t>+7</w:t>
            </w:r>
            <w:r w:rsidR="00743B86" w:rsidRPr="00743B86">
              <w:rPr>
                <w:sz w:val="18"/>
              </w:rPr>
              <w:br/>
            </w:r>
            <w:r w:rsidRPr="001246F2">
              <w:rPr>
                <w:sz w:val="18"/>
                <w:lang w:eastAsia="ja-JP"/>
              </w:rPr>
              <w:t>(</w:t>
            </w:r>
            <w:r w:rsidR="002C787A" w:rsidRPr="001246F2">
              <w:rPr>
                <w:sz w:val="18"/>
                <w:lang w:eastAsia="ja-JP"/>
              </w:rPr>
              <w:t>Nota</w:t>
            </w:r>
            <w:r w:rsidRPr="001246F2">
              <w:rPr>
                <w:sz w:val="18"/>
                <w:lang w:eastAsia="ja-JP"/>
              </w:rPr>
              <w:t xml:space="preserve"> 1</w:t>
            </w:r>
            <w:r w:rsidRPr="001246F2">
              <w:rPr>
                <w:rFonts w:eastAsia="MS PGothic"/>
                <w:sz w:val="18"/>
                <w:lang w:eastAsia="ja-JP"/>
              </w:rPr>
              <w:t>3</w:t>
            </w:r>
            <w:r w:rsidRPr="001246F2">
              <w:rPr>
                <w:sz w:val="18"/>
                <w:lang w:eastAsia="ja-JP"/>
              </w:rPr>
              <w:t>)</w:t>
            </w:r>
          </w:p>
        </w:tc>
        <w:tc>
          <w:tcPr>
            <w:tcW w:w="1361" w:type="dxa"/>
          </w:tcPr>
          <w:p w:rsidR="00FE6D1D" w:rsidRPr="001246F2" w:rsidRDefault="00FE6D1D" w:rsidP="00743B86">
            <w:pPr>
              <w:pStyle w:val="Tabletext"/>
              <w:ind w:left="-57" w:right="-57"/>
              <w:jc w:val="center"/>
              <w:rPr>
                <w:rFonts w:eastAsia="MS PGothic"/>
                <w:sz w:val="18"/>
                <w:highlight w:val="green"/>
                <w:lang w:eastAsia="ja-JP"/>
              </w:rPr>
            </w:pPr>
            <w:r w:rsidRPr="001246F2">
              <w:rPr>
                <w:rFonts w:eastAsia="MS PGothic"/>
                <w:sz w:val="18"/>
              </w:rPr>
              <w:t>+3</w:t>
            </w:r>
            <w:r w:rsidR="002C787A" w:rsidRPr="001246F2">
              <w:rPr>
                <w:rFonts w:eastAsia="MS PGothic"/>
                <w:sz w:val="18"/>
              </w:rPr>
              <w:t>,</w:t>
            </w:r>
            <w:r w:rsidRPr="001246F2">
              <w:rPr>
                <w:rFonts w:eastAsia="MS PGothic"/>
                <w:sz w:val="18"/>
              </w:rPr>
              <w:t>0</w:t>
            </w:r>
            <w:r w:rsidR="00743B86" w:rsidRPr="00743B86">
              <w:rPr>
                <w:sz w:val="18"/>
              </w:rPr>
              <w:br/>
            </w:r>
            <w:r w:rsidRPr="001246F2">
              <w:rPr>
                <w:rFonts w:eastAsia="MS PGothic"/>
                <w:sz w:val="18"/>
              </w:rPr>
              <w:t>(circular)</w:t>
            </w:r>
            <w:r w:rsidRPr="001246F2">
              <w:rPr>
                <w:rFonts w:eastAsia="MS PGothic"/>
                <w:sz w:val="18"/>
              </w:rPr>
              <w:br/>
            </w:r>
            <w:r w:rsidRPr="001246F2">
              <w:rPr>
                <w:rFonts w:eastAsia="MS PGothic"/>
                <w:sz w:val="18"/>
                <w:lang w:eastAsia="ja-JP"/>
              </w:rPr>
              <w:t>(</w:t>
            </w:r>
            <w:r w:rsidR="002C787A" w:rsidRPr="001246F2">
              <w:rPr>
                <w:rFonts w:eastAsia="MS PGothic"/>
                <w:sz w:val="18"/>
              </w:rPr>
              <w:t>Nota</w:t>
            </w:r>
            <w:r w:rsidRPr="001246F2">
              <w:rPr>
                <w:rFonts w:eastAsia="MS PGothic"/>
                <w:sz w:val="18"/>
              </w:rPr>
              <w:t xml:space="preserve"> </w:t>
            </w:r>
            <w:r w:rsidRPr="001246F2">
              <w:rPr>
                <w:sz w:val="18"/>
              </w:rPr>
              <w:t>5</w:t>
            </w:r>
            <w:r w:rsidRPr="001246F2">
              <w:rPr>
                <w:rFonts w:eastAsia="MS PGothic"/>
                <w:sz w:val="18"/>
                <w:lang w:eastAsia="ja-JP"/>
              </w:rPr>
              <w:t>)</w:t>
            </w:r>
          </w:p>
        </w:tc>
        <w:tc>
          <w:tcPr>
            <w:tcW w:w="1389" w:type="dxa"/>
          </w:tcPr>
          <w:p w:rsidR="00FE6D1D" w:rsidRPr="001246F2" w:rsidRDefault="00FE6D1D" w:rsidP="00743B86">
            <w:pPr>
              <w:pStyle w:val="Tabletext"/>
              <w:ind w:left="-57" w:right="-57"/>
              <w:jc w:val="center"/>
              <w:rPr>
                <w:bCs/>
                <w:sz w:val="18"/>
                <w:lang w:eastAsia="ja-JP"/>
              </w:rPr>
            </w:pPr>
            <w:r w:rsidRPr="001246F2">
              <w:rPr>
                <w:sz w:val="18"/>
              </w:rPr>
              <w:t>+7</w:t>
            </w:r>
            <w:r w:rsidRPr="001246F2">
              <w:rPr>
                <w:sz w:val="18"/>
                <w:vertAlign w:val="superscript"/>
              </w:rPr>
              <w:t xml:space="preserve"> </w:t>
            </w:r>
            <w:r w:rsidR="00743B86" w:rsidRPr="00743B86">
              <w:rPr>
                <w:sz w:val="18"/>
              </w:rPr>
              <w:br/>
            </w:r>
            <w:r w:rsidRPr="001246F2">
              <w:rPr>
                <w:bCs/>
                <w:sz w:val="18"/>
                <w:lang w:eastAsia="ja-JP"/>
              </w:rPr>
              <w:t>(</w:t>
            </w:r>
            <w:r w:rsidR="002C787A" w:rsidRPr="001246F2">
              <w:rPr>
                <w:bCs/>
                <w:sz w:val="18"/>
                <w:lang w:eastAsia="ja-JP"/>
              </w:rPr>
              <w:t>Nota</w:t>
            </w:r>
            <w:r w:rsidRPr="001246F2">
              <w:rPr>
                <w:bCs/>
                <w:sz w:val="18"/>
                <w:lang w:eastAsia="ja-JP"/>
              </w:rPr>
              <w:t>s 1</w:t>
            </w:r>
            <w:r w:rsidRPr="001246F2">
              <w:rPr>
                <w:rFonts w:eastAsia="MS PGothic"/>
                <w:sz w:val="18"/>
                <w:lang w:eastAsia="ja-JP"/>
              </w:rPr>
              <w:t>3</w:t>
            </w:r>
            <w:r w:rsidRPr="001246F2">
              <w:rPr>
                <w:bCs/>
                <w:sz w:val="18"/>
                <w:lang w:eastAsia="ja-JP"/>
              </w:rPr>
              <w:t xml:space="preserve"> </w:t>
            </w:r>
            <w:r w:rsidR="002C787A" w:rsidRPr="001246F2">
              <w:rPr>
                <w:bCs/>
                <w:sz w:val="18"/>
                <w:lang w:eastAsia="ja-JP"/>
              </w:rPr>
              <w:t>y</w:t>
            </w:r>
            <w:r w:rsidRPr="001246F2">
              <w:rPr>
                <w:bCs/>
                <w:sz w:val="18"/>
                <w:lang w:eastAsia="ja-JP"/>
              </w:rPr>
              <w:t> 1</w:t>
            </w:r>
            <w:r w:rsidRPr="001246F2">
              <w:rPr>
                <w:rFonts w:eastAsia="MS PGothic"/>
                <w:sz w:val="18"/>
                <w:lang w:eastAsia="ja-JP"/>
              </w:rPr>
              <w:t>6</w:t>
            </w:r>
            <w:r w:rsidRPr="001246F2">
              <w:rPr>
                <w:bCs/>
                <w:sz w:val="18"/>
                <w:lang w:eastAsia="ja-JP"/>
              </w:rPr>
              <w:t>)</w:t>
            </w:r>
          </w:p>
        </w:tc>
        <w:tc>
          <w:tcPr>
            <w:tcW w:w="994" w:type="dxa"/>
          </w:tcPr>
          <w:p w:rsidR="00FE6D1D" w:rsidRPr="001246F2" w:rsidRDefault="00FE6D1D" w:rsidP="00113B80">
            <w:pPr>
              <w:pStyle w:val="Tabletext"/>
              <w:ind w:left="-57" w:right="-57"/>
              <w:jc w:val="center"/>
              <w:rPr>
                <w:rFonts w:eastAsia="MS PGothic"/>
                <w:sz w:val="18"/>
                <w:lang w:eastAsia="ja-JP"/>
              </w:rPr>
            </w:pPr>
            <w:r w:rsidRPr="001246F2">
              <w:rPr>
                <w:rFonts w:eastAsia="MS PGothic"/>
                <w:sz w:val="18"/>
              </w:rPr>
              <w:t>−2</w:t>
            </w:r>
            <w:r w:rsidR="002C787A" w:rsidRPr="001246F2">
              <w:rPr>
                <w:rFonts w:eastAsia="MS PGothic"/>
                <w:sz w:val="18"/>
              </w:rPr>
              <w:t>,</w:t>
            </w:r>
            <w:r w:rsidRPr="001246F2">
              <w:rPr>
                <w:rFonts w:eastAsia="MS PGothic"/>
                <w:sz w:val="18"/>
              </w:rPr>
              <w:t>0</w:t>
            </w:r>
            <w:r w:rsidRPr="001246F2">
              <w:rPr>
                <w:rFonts w:eastAsia="MS PGothic"/>
                <w:sz w:val="18"/>
                <w:vertAlign w:val="superscript"/>
              </w:rPr>
              <w:br/>
            </w:r>
            <w:r w:rsidRPr="001246F2">
              <w:rPr>
                <w:rFonts w:eastAsia="MS PGothic"/>
                <w:sz w:val="18"/>
              </w:rPr>
              <w:t>(circular)</w:t>
            </w:r>
            <w:r w:rsidRPr="001246F2">
              <w:rPr>
                <w:rFonts w:eastAsia="MS PGothic"/>
                <w:sz w:val="18"/>
              </w:rPr>
              <w:br/>
            </w:r>
            <w:r w:rsidRPr="001246F2">
              <w:rPr>
                <w:rFonts w:eastAsia="MS PGothic"/>
                <w:sz w:val="18"/>
                <w:lang w:eastAsia="ja-JP"/>
              </w:rPr>
              <w:t>(</w:t>
            </w:r>
            <w:r w:rsidR="002C787A" w:rsidRPr="001246F2">
              <w:rPr>
                <w:rFonts w:eastAsia="MS PGothic"/>
                <w:sz w:val="18"/>
              </w:rPr>
              <w:t>Nota</w:t>
            </w:r>
            <w:r w:rsidRPr="001246F2">
              <w:rPr>
                <w:rFonts w:eastAsia="MS PGothic"/>
                <w:sz w:val="18"/>
              </w:rPr>
              <w:t xml:space="preserve"> </w:t>
            </w:r>
            <w:r w:rsidRPr="001246F2">
              <w:rPr>
                <w:sz w:val="18"/>
              </w:rPr>
              <w:t>6</w:t>
            </w:r>
            <w:r w:rsidRPr="001246F2">
              <w:rPr>
                <w:rFonts w:eastAsia="MS PGothic"/>
                <w:sz w:val="18"/>
                <w:lang w:eastAsia="ja-JP"/>
              </w:rPr>
              <w:t>)</w:t>
            </w:r>
          </w:p>
        </w:tc>
        <w:tc>
          <w:tcPr>
            <w:tcW w:w="1304" w:type="dxa"/>
          </w:tcPr>
          <w:p w:rsidR="00FE6D1D" w:rsidRPr="001246F2" w:rsidRDefault="00FE6D1D" w:rsidP="00113B80">
            <w:pPr>
              <w:pStyle w:val="Tabletext"/>
              <w:ind w:left="-57" w:right="-57"/>
              <w:jc w:val="center"/>
              <w:rPr>
                <w:rFonts w:eastAsia="MS PGothic"/>
                <w:bCs/>
                <w:sz w:val="18"/>
                <w:lang w:eastAsia="ja-JP"/>
              </w:rPr>
            </w:pPr>
            <w:r w:rsidRPr="001246F2">
              <w:rPr>
                <w:sz w:val="18"/>
              </w:rPr>
              <w:t>+7</w:t>
            </w:r>
            <w:r w:rsidRPr="001246F2">
              <w:rPr>
                <w:sz w:val="18"/>
                <w:vertAlign w:val="superscript"/>
              </w:rPr>
              <w:t xml:space="preserve"> </w:t>
            </w:r>
            <w:r w:rsidRPr="00743B86">
              <w:rPr>
                <w:sz w:val="18"/>
              </w:rPr>
              <w:br/>
            </w:r>
            <w:r w:rsidRPr="001246F2">
              <w:rPr>
                <w:bCs/>
                <w:sz w:val="18"/>
                <w:lang w:eastAsia="ja-JP"/>
              </w:rPr>
              <w:t>(</w:t>
            </w:r>
            <w:r w:rsidR="002C787A" w:rsidRPr="001246F2">
              <w:rPr>
                <w:bCs/>
                <w:sz w:val="18"/>
                <w:lang w:eastAsia="ja-JP"/>
              </w:rPr>
              <w:t>Nota</w:t>
            </w:r>
            <w:r w:rsidRPr="001246F2">
              <w:rPr>
                <w:bCs/>
                <w:sz w:val="18"/>
                <w:lang w:eastAsia="ja-JP"/>
              </w:rPr>
              <w:t xml:space="preserve"> 1</w:t>
            </w:r>
            <w:r w:rsidRPr="001246F2">
              <w:rPr>
                <w:rFonts w:eastAsia="MS PGothic"/>
                <w:sz w:val="18"/>
                <w:lang w:eastAsia="ja-JP"/>
              </w:rPr>
              <w:t>3</w:t>
            </w:r>
            <w:r w:rsidRPr="001246F2">
              <w:rPr>
                <w:bCs/>
                <w:sz w:val="18"/>
                <w:lang w:eastAsia="ja-JP"/>
              </w:rPr>
              <w:t>)</w:t>
            </w:r>
          </w:p>
        </w:tc>
        <w:tc>
          <w:tcPr>
            <w:tcW w:w="868" w:type="dxa"/>
          </w:tcPr>
          <w:p w:rsidR="00FE6D1D" w:rsidRPr="001246F2" w:rsidRDefault="00FE6D1D" w:rsidP="00113B80">
            <w:pPr>
              <w:pStyle w:val="Tabletext"/>
              <w:ind w:left="-57" w:right="-57"/>
              <w:jc w:val="center"/>
              <w:rPr>
                <w:rFonts w:eastAsia="MS PGothic"/>
                <w:sz w:val="18"/>
                <w:highlight w:val="green"/>
              </w:rPr>
            </w:pPr>
            <w:r w:rsidRPr="001246F2">
              <w:rPr>
                <w:rFonts w:eastAsia="MS PGothic"/>
                <w:sz w:val="18"/>
              </w:rPr>
              <w:t>0</w:t>
            </w:r>
            <w:r w:rsidR="002C787A" w:rsidRPr="001246F2">
              <w:rPr>
                <w:rFonts w:eastAsia="MS PGothic"/>
                <w:sz w:val="18"/>
              </w:rPr>
              <w:t>,</w:t>
            </w:r>
            <w:r w:rsidRPr="001246F2">
              <w:rPr>
                <w:rFonts w:eastAsia="MS PGothic"/>
                <w:sz w:val="18"/>
              </w:rPr>
              <w:t>0</w:t>
            </w:r>
          </w:p>
        </w:tc>
        <w:tc>
          <w:tcPr>
            <w:tcW w:w="1156" w:type="dxa"/>
            <w:gridSpan w:val="3"/>
          </w:tcPr>
          <w:p w:rsidR="00FE6D1D" w:rsidRPr="001246F2" w:rsidRDefault="00FE6D1D" w:rsidP="00113B80">
            <w:pPr>
              <w:pStyle w:val="Tabletext"/>
              <w:ind w:left="-57" w:right="-57"/>
              <w:jc w:val="center"/>
              <w:rPr>
                <w:sz w:val="18"/>
                <w:lang w:eastAsia="ja-JP"/>
              </w:rPr>
            </w:pPr>
            <w:r w:rsidRPr="001246F2">
              <w:rPr>
                <w:sz w:val="18"/>
                <w:lang w:eastAsia="ja-JP"/>
              </w:rPr>
              <w:t>6</w:t>
            </w:r>
          </w:p>
        </w:tc>
        <w:tc>
          <w:tcPr>
            <w:tcW w:w="1020" w:type="dxa"/>
            <w:tcMar>
              <w:top w:w="0" w:type="dxa"/>
              <w:left w:w="28" w:type="dxa"/>
              <w:bottom w:w="0" w:type="dxa"/>
              <w:right w:w="28" w:type="dxa"/>
            </w:tcMar>
          </w:tcPr>
          <w:p w:rsidR="00FE6D1D" w:rsidRPr="001246F2" w:rsidRDefault="00FE6D1D" w:rsidP="00113B80">
            <w:pPr>
              <w:pStyle w:val="Tabletext"/>
              <w:ind w:left="-57" w:right="-57"/>
              <w:jc w:val="center"/>
              <w:rPr>
                <w:snapToGrid w:val="0"/>
                <w:sz w:val="18"/>
              </w:rPr>
            </w:pPr>
            <w:r w:rsidRPr="001246F2">
              <w:rPr>
                <w:snapToGrid w:val="0"/>
                <w:sz w:val="18"/>
                <w:lang w:eastAsia="zh-CN"/>
              </w:rPr>
              <w:t>3</w:t>
            </w:r>
          </w:p>
        </w:tc>
        <w:tc>
          <w:tcPr>
            <w:tcW w:w="1196" w:type="dxa"/>
            <w:gridSpan w:val="3"/>
            <w:tcMar>
              <w:top w:w="0" w:type="dxa"/>
              <w:left w:w="28" w:type="dxa"/>
              <w:bottom w:w="0" w:type="dxa"/>
              <w:right w:w="28" w:type="dxa"/>
            </w:tcMar>
          </w:tcPr>
          <w:p w:rsidR="00FE6D1D" w:rsidRPr="001246F2" w:rsidRDefault="00FE6D1D" w:rsidP="00113B80">
            <w:pPr>
              <w:pStyle w:val="Tabletext"/>
              <w:ind w:left="-57" w:right="-57"/>
              <w:jc w:val="center"/>
              <w:rPr>
                <w:sz w:val="18"/>
                <w:lang w:eastAsia="ja-JP"/>
              </w:rPr>
            </w:pPr>
            <w:r w:rsidRPr="001246F2">
              <w:rPr>
                <w:sz w:val="18"/>
                <w:lang w:eastAsia="ja-JP"/>
              </w:rPr>
              <w:t>6</w:t>
            </w:r>
          </w:p>
        </w:tc>
        <w:tc>
          <w:tcPr>
            <w:tcW w:w="1304" w:type="dxa"/>
            <w:gridSpan w:val="2"/>
            <w:tcMar>
              <w:top w:w="0" w:type="dxa"/>
              <w:left w:w="28" w:type="dxa"/>
              <w:bottom w:w="0" w:type="dxa"/>
              <w:right w:w="28" w:type="dxa"/>
            </w:tcMar>
          </w:tcPr>
          <w:p w:rsidR="00FE6D1D" w:rsidRPr="001246F2" w:rsidRDefault="00FE6D1D" w:rsidP="00113B80">
            <w:pPr>
              <w:pStyle w:val="Tabletext"/>
              <w:ind w:left="-57" w:right="-57"/>
              <w:jc w:val="center"/>
              <w:rPr>
                <w:rFonts w:eastAsia="MS PGothic"/>
                <w:sz w:val="18"/>
                <w:lang w:eastAsia="ja-JP"/>
              </w:rPr>
            </w:pPr>
            <w:r w:rsidRPr="001246F2">
              <w:rPr>
                <w:rFonts w:eastAsia="MS PGothic"/>
                <w:sz w:val="18"/>
              </w:rPr>
              <w:t>+3</w:t>
            </w:r>
            <w:r w:rsidR="002C787A" w:rsidRPr="001246F2">
              <w:rPr>
                <w:rFonts w:eastAsia="MS PGothic"/>
                <w:sz w:val="18"/>
              </w:rPr>
              <w:t>,</w:t>
            </w:r>
            <w:r w:rsidRPr="001246F2">
              <w:rPr>
                <w:rFonts w:eastAsia="MS PGothic"/>
                <w:sz w:val="18"/>
              </w:rPr>
              <w:t>0</w:t>
            </w:r>
          </w:p>
        </w:tc>
      </w:tr>
      <w:tr w:rsidR="00FE6D1D" w:rsidRPr="001246F2" w:rsidTr="002C0CF2">
        <w:trPr>
          <w:cantSplit/>
          <w:jc w:val="center"/>
        </w:trPr>
        <w:tc>
          <w:tcPr>
            <w:tcW w:w="1446" w:type="dxa"/>
          </w:tcPr>
          <w:p w:rsidR="00FE6D1D" w:rsidRPr="001246F2" w:rsidRDefault="00113B80" w:rsidP="00113B80">
            <w:pPr>
              <w:pStyle w:val="Tabletext"/>
              <w:jc w:val="left"/>
              <w:rPr>
                <w:rFonts w:eastAsia="MS PGothic"/>
                <w:sz w:val="18"/>
              </w:rPr>
            </w:pPr>
            <w:r w:rsidRPr="001246F2">
              <w:rPr>
                <w:rFonts w:eastAsia="MS PGothic"/>
                <w:sz w:val="18"/>
              </w:rPr>
              <w:t>Máxima ganancia de la antena del receptor en el hemisferio inferior</w:t>
            </w:r>
            <w:r w:rsidR="00FE6D1D" w:rsidRPr="001246F2">
              <w:rPr>
                <w:rFonts w:eastAsia="MS PGothic"/>
                <w:sz w:val="18"/>
              </w:rPr>
              <w:t xml:space="preserve"> (dBi)</w:t>
            </w:r>
          </w:p>
        </w:tc>
        <w:tc>
          <w:tcPr>
            <w:tcW w:w="1077" w:type="dxa"/>
          </w:tcPr>
          <w:p w:rsidR="00FE6D1D" w:rsidRPr="001246F2" w:rsidRDefault="00FE6D1D" w:rsidP="00113B80">
            <w:pPr>
              <w:pStyle w:val="Tabletext"/>
              <w:ind w:left="-57" w:right="-57"/>
              <w:jc w:val="center"/>
              <w:rPr>
                <w:rFonts w:eastAsia="MS PGothic"/>
                <w:sz w:val="18"/>
                <w:highlight w:val="green"/>
                <w:lang w:eastAsia="ja-JP"/>
              </w:rPr>
            </w:pPr>
            <w:r w:rsidRPr="001246F2">
              <w:rPr>
                <w:rFonts w:eastAsia="MS PGothic"/>
                <w:sz w:val="18"/>
              </w:rPr>
              <w:t>−5</w:t>
            </w:r>
            <w:r w:rsidR="002C787A" w:rsidRPr="001246F2">
              <w:rPr>
                <w:rFonts w:eastAsia="MS PGothic"/>
                <w:sz w:val="18"/>
              </w:rPr>
              <w:t>,</w:t>
            </w:r>
            <w:r w:rsidRPr="001246F2">
              <w:rPr>
                <w:rFonts w:eastAsia="MS PGothic"/>
                <w:sz w:val="18"/>
              </w:rPr>
              <w:t>0</w:t>
            </w:r>
            <w:r w:rsidRPr="001246F2">
              <w:rPr>
                <w:rFonts w:eastAsia="MS PGothic"/>
                <w:sz w:val="18"/>
                <w:vertAlign w:val="superscript"/>
              </w:rPr>
              <w:br/>
            </w:r>
            <w:r w:rsidRPr="001246F2">
              <w:rPr>
                <w:rFonts w:eastAsia="MS PGothic"/>
                <w:sz w:val="18"/>
              </w:rPr>
              <w:t>(</w:t>
            </w:r>
            <w:r w:rsidR="002C787A" w:rsidRPr="001246F2">
              <w:rPr>
                <w:rFonts w:eastAsia="MS PGothic"/>
                <w:sz w:val="18"/>
              </w:rPr>
              <w:t>lineal</w:t>
            </w:r>
            <w:r w:rsidRPr="001246F2">
              <w:rPr>
                <w:rFonts w:eastAsia="MS PGothic"/>
                <w:sz w:val="18"/>
              </w:rPr>
              <w:t>)</w:t>
            </w:r>
            <w:r w:rsidRPr="001246F2">
              <w:rPr>
                <w:rFonts w:eastAsia="MS PGothic"/>
                <w:sz w:val="18"/>
              </w:rPr>
              <w:br/>
            </w:r>
            <w:r w:rsidRPr="001246F2">
              <w:rPr>
                <w:rFonts w:eastAsia="MS PGothic"/>
                <w:sz w:val="18"/>
                <w:lang w:eastAsia="ja-JP"/>
              </w:rPr>
              <w:t>(</w:t>
            </w:r>
            <w:r w:rsidR="002C787A" w:rsidRPr="001246F2">
              <w:rPr>
                <w:rFonts w:eastAsia="MS PGothic"/>
                <w:sz w:val="18"/>
              </w:rPr>
              <w:t>Nota</w:t>
            </w:r>
            <w:r w:rsidRPr="001246F2">
              <w:rPr>
                <w:rFonts w:eastAsia="MS PGothic"/>
                <w:sz w:val="18"/>
              </w:rPr>
              <w:t xml:space="preserve"> 7</w:t>
            </w:r>
            <w:r w:rsidRPr="001246F2">
              <w:rPr>
                <w:rFonts w:eastAsia="MS PGothic"/>
                <w:sz w:val="18"/>
                <w:lang w:eastAsia="ja-JP"/>
              </w:rPr>
              <w:t>)</w:t>
            </w:r>
          </w:p>
        </w:tc>
        <w:tc>
          <w:tcPr>
            <w:tcW w:w="1360" w:type="dxa"/>
          </w:tcPr>
          <w:p w:rsidR="00FE6D1D" w:rsidRPr="001246F2" w:rsidRDefault="00FE6D1D" w:rsidP="00113B80">
            <w:pPr>
              <w:pStyle w:val="Tabletext"/>
              <w:ind w:left="-57" w:right="-57"/>
              <w:jc w:val="center"/>
              <w:rPr>
                <w:rFonts w:eastAsia="MS PGothic"/>
                <w:sz w:val="18"/>
                <w:lang w:eastAsia="ja-JP"/>
              </w:rPr>
            </w:pPr>
            <w:r w:rsidRPr="001246F2">
              <w:rPr>
                <w:rFonts w:eastAsia="MS PGothic"/>
                <w:sz w:val="18"/>
                <w:lang w:eastAsia="ja-JP"/>
              </w:rPr>
              <w:t>−</w:t>
            </w:r>
            <w:r w:rsidR="002C787A" w:rsidRPr="001246F2">
              <w:rPr>
                <w:rFonts w:eastAsia="MS PGothic"/>
                <w:sz w:val="18"/>
                <w:lang w:eastAsia="ja-JP"/>
              </w:rPr>
              <w:t>10</w:t>
            </w:r>
          </w:p>
        </w:tc>
        <w:tc>
          <w:tcPr>
            <w:tcW w:w="1361" w:type="dxa"/>
          </w:tcPr>
          <w:p w:rsidR="00FE6D1D" w:rsidRPr="001246F2" w:rsidRDefault="00FE6D1D" w:rsidP="00113B80">
            <w:pPr>
              <w:pStyle w:val="Tabletext"/>
              <w:ind w:left="-57" w:right="-57"/>
              <w:jc w:val="center"/>
              <w:rPr>
                <w:rFonts w:eastAsia="MS PGothic"/>
                <w:sz w:val="18"/>
                <w:highlight w:val="green"/>
                <w:lang w:eastAsia="ja-JP"/>
              </w:rPr>
            </w:pPr>
            <w:r w:rsidRPr="001246F2">
              <w:rPr>
                <w:rFonts w:eastAsia="MS PGothic"/>
                <w:sz w:val="18"/>
              </w:rPr>
              <w:t>−5</w:t>
            </w:r>
            <w:r w:rsidR="002C787A" w:rsidRPr="001246F2">
              <w:rPr>
                <w:rFonts w:eastAsia="MS PGothic"/>
                <w:sz w:val="18"/>
              </w:rPr>
              <w:t>,</w:t>
            </w:r>
            <w:r w:rsidRPr="001246F2">
              <w:rPr>
                <w:rFonts w:eastAsia="MS PGothic"/>
                <w:sz w:val="18"/>
              </w:rPr>
              <w:t>0</w:t>
            </w:r>
            <w:r w:rsidRPr="001246F2">
              <w:rPr>
                <w:rFonts w:eastAsia="MS PGothic"/>
                <w:sz w:val="18"/>
                <w:vertAlign w:val="superscript"/>
              </w:rPr>
              <w:br/>
            </w:r>
            <w:r w:rsidRPr="001246F2">
              <w:rPr>
                <w:rFonts w:eastAsia="MS PGothic"/>
                <w:sz w:val="18"/>
              </w:rPr>
              <w:t>(</w:t>
            </w:r>
            <w:r w:rsidR="002C787A" w:rsidRPr="001246F2">
              <w:rPr>
                <w:rFonts w:eastAsia="MS PGothic"/>
                <w:sz w:val="18"/>
              </w:rPr>
              <w:t>lineal</w:t>
            </w:r>
            <w:r w:rsidRPr="001246F2">
              <w:rPr>
                <w:rFonts w:eastAsia="MS PGothic"/>
                <w:sz w:val="18"/>
              </w:rPr>
              <w:t>)</w:t>
            </w:r>
            <w:r w:rsidRPr="001246F2">
              <w:rPr>
                <w:rFonts w:eastAsia="MS PGothic"/>
                <w:sz w:val="18"/>
              </w:rPr>
              <w:br/>
            </w:r>
            <w:r w:rsidRPr="001246F2">
              <w:rPr>
                <w:rFonts w:eastAsia="MS PGothic"/>
                <w:sz w:val="18"/>
                <w:lang w:eastAsia="ja-JP"/>
              </w:rPr>
              <w:t>(</w:t>
            </w:r>
            <w:r w:rsidR="002C787A" w:rsidRPr="001246F2">
              <w:rPr>
                <w:rFonts w:eastAsia="MS PGothic"/>
                <w:sz w:val="18"/>
              </w:rPr>
              <w:t>Nota</w:t>
            </w:r>
            <w:r w:rsidRPr="001246F2">
              <w:rPr>
                <w:rFonts w:eastAsia="MS PGothic"/>
                <w:sz w:val="18"/>
              </w:rPr>
              <w:t xml:space="preserve"> </w:t>
            </w:r>
            <w:r w:rsidRPr="001246F2">
              <w:rPr>
                <w:sz w:val="18"/>
              </w:rPr>
              <w:t>8</w:t>
            </w:r>
            <w:r w:rsidRPr="001246F2">
              <w:rPr>
                <w:rFonts w:eastAsia="MS PGothic"/>
                <w:sz w:val="18"/>
                <w:lang w:eastAsia="ja-JP"/>
              </w:rPr>
              <w:t>)</w:t>
            </w:r>
          </w:p>
        </w:tc>
        <w:tc>
          <w:tcPr>
            <w:tcW w:w="1389" w:type="dxa"/>
          </w:tcPr>
          <w:p w:rsidR="00FE6D1D" w:rsidRPr="001246F2" w:rsidRDefault="00FE6D1D" w:rsidP="00113B80">
            <w:pPr>
              <w:pStyle w:val="Tabletext"/>
              <w:ind w:left="-57" w:right="-57"/>
              <w:jc w:val="center"/>
              <w:rPr>
                <w:rFonts w:eastAsia="MS PGothic"/>
                <w:sz w:val="18"/>
                <w:lang w:eastAsia="ja-JP"/>
              </w:rPr>
            </w:pPr>
            <w:r w:rsidRPr="001246F2">
              <w:rPr>
                <w:rFonts w:eastAsia="MS PGothic"/>
                <w:sz w:val="18"/>
                <w:lang w:eastAsia="ja-JP"/>
              </w:rPr>
              <w:t>−</w:t>
            </w:r>
            <w:r w:rsidR="002C787A" w:rsidRPr="001246F2">
              <w:rPr>
                <w:rFonts w:eastAsia="MS PGothic"/>
                <w:sz w:val="18"/>
                <w:lang w:eastAsia="ja-JP"/>
              </w:rPr>
              <w:t>10</w:t>
            </w:r>
          </w:p>
        </w:tc>
        <w:tc>
          <w:tcPr>
            <w:tcW w:w="994" w:type="dxa"/>
          </w:tcPr>
          <w:p w:rsidR="00FE6D1D" w:rsidRPr="001246F2" w:rsidRDefault="00FE6D1D" w:rsidP="00113B80">
            <w:pPr>
              <w:pStyle w:val="Tabletext"/>
              <w:ind w:left="-57" w:right="-57"/>
              <w:jc w:val="center"/>
              <w:rPr>
                <w:rFonts w:eastAsia="MS PGothic"/>
                <w:sz w:val="18"/>
              </w:rPr>
            </w:pPr>
            <w:r w:rsidRPr="001246F2">
              <w:rPr>
                <w:rFonts w:eastAsia="MS PGothic"/>
                <w:sz w:val="18"/>
              </w:rPr>
              <w:t>−9</w:t>
            </w:r>
            <w:r w:rsidR="002C787A" w:rsidRPr="001246F2">
              <w:rPr>
                <w:rFonts w:eastAsia="MS PGothic"/>
                <w:sz w:val="18"/>
              </w:rPr>
              <w:t>,</w:t>
            </w:r>
            <w:r w:rsidRPr="001246F2">
              <w:rPr>
                <w:rFonts w:eastAsia="MS PGothic"/>
                <w:sz w:val="18"/>
              </w:rPr>
              <w:t>0</w:t>
            </w:r>
            <w:r w:rsidRPr="001246F2">
              <w:rPr>
                <w:rFonts w:eastAsia="MS PGothic"/>
                <w:sz w:val="18"/>
                <w:vertAlign w:val="superscript"/>
              </w:rPr>
              <w:t xml:space="preserve"> </w:t>
            </w:r>
            <w:r w:rsidRPr="001246F2">
              <w:rPr>
                <w:rFonts w:eastAsia="MS PGothic"/>
                <w:sz w:val="18"/>
                <w:vertAlign w:val="superscript"/>
              </w:rPr>
              <w:br/>
            </w:r>
            <w:r w:rsidRPr="001246F2">
              <w:rPr>
                <w:rFonts w:eastAsia="MS PGothic"/>
                <w:sz w:val="18"/>
                <w:lang w:eastAsia="ja-JP"/>
              </w:rPr>
              <w:t>(</w:t>
            </w:r>
            <w:r w:rsidR="002C787A" w:rsidRPr="001246F2">
              <w:rPr>
                <w:rFonts w:eastAsia="MS PGothic"/>
                <w:sz w:val="18"/>
              </w:rPr>
              <w:t>Nota</w:t>
            </w:r>
            <w:r w:rsidRPr="001246F2">
              <w:rPr>
                <w:rFonts w:eastAsia="MS PGothic"/>
                <w:sz w:val="18"/>
              </w:rPr>
              <w:t xml:space="preserve"> </w:t>
            </w:r>
            <w:r w:rsidRPr="001246F2">
              <w:rPr>
                <w:sz w:val="18"/>
              </w:rPr>
              <w:t>6</w:t>
            </w:r>
            <w:r w:rsidR="002C787A" w:rsidRPr="001246F2">
              <w:rPr>
                <w:rFonts w:eastAsia="MS PGothic"/>
                <w:sz w:val="18"/>
                <w:lang w:eastAsia="ja-JP"/>
              </w:rPr>
              <w:t>)</w:t>
            </w:r>
          </w:p>
        </w:tc>
        <w:tc>
          <w:tcPr>
            <w:tcW w:w="1304" w:type="dxa"/>
          </w:tcPr>
          <w:p w:rsidR="00FE6D1D" w:rsidRPr="001246F2" w:rsidRDefault="00FE6D1D" w:rsidP="00113B80">
            <w:pPr>
              <w:pStyle w:val="Tabletext"/>
              <w:ind w:left="-57" w:right="-57"/>
              <w:jc w:val="center"/>
              <w:rPr>
                <w:rFonts w:eastAsia="MS PGothic"/>
                <w:sz w:val="18"/>
              </w:rPr>
            </w:pPr>
            <w:r w:rsidRPr="001246F2">
              <w:rPr>
                <w:rFonts w:eastAsia="MS PGothic"/>
                <w:sz w:val="18"/>
                <w:lang w:eastAsia="ja-JP"/>
              </w:rPr>
              <w:t>−10</w:t>
            </w:r>
          </w:p>
        </w:tc>
        <w:tc>
          <w:tcPr>
            <w:tcW w:w="868" w:type="dxa"/>
          </w:tcPr>
          <w:p w:rsidR="00FE6D1D" w:rsidRPr="001246F2" w:rsidRDefault="00FE6D1D" w:rsidP="00113B80">
            <w:pPr>
              <w:pStyle w:val="Tabletext"/>
              <w:ind w:left="-57" w:right="-57"/>
              <w:jc w:val="center"/>
              <w:rPr>
                <w:rFonts w:eastAsia="MS PGothic"/>
                <w:sz w:val="18"/>
                <w:highlight w:val="green"/>
              </w:rPr>
            </w:pPr>
            <w:r w:rsidRPr="001246F2">
              <w:rPr>
                <w:rFonts w:eastAsia="MS PGothic"/>
                <w:sz w:val="18"/>
              </w:rPr>
              <w:t>0</w:t>
            </w:r>
            <w:r w:rsidR="002C787A" w:rsidRPr="001246F2">
              <w:rPr>
                <w:rFonts w:eastAsia="MS PGothic"/>
                <w:sz w:val="18"/>
              </w:rPr>
              <w:t>,</w:t>
            </w:r>
            <w:r w:rsidRPr="001246F2">
              <w:rPr>
                <w:rFonts w:eastAsia="MS PGothic"/>
                <w:sz w:val="18"/>
              </w:rPr>
              <w:t>0</w:t>
            </w:r>
          </w:p>
        </w:tc>
        <w:tc>
          <w:tcPr>
            <w:tcW w:w="1156" w:type="dxa"/>
            <w:gridSpan w:val="3"/>
          </w:tcPr>
          <w:p w:rsidR="00FE6D1D" w:rsidRPr="001246F2" w:rsidRDefault="00FE6D1D" w:rsidP="00113B80">
            <w:pPr>
              <w:pStyle w:val="Tabletext"/>
              <w:ind w:left="-57" w:right="-57"/>
              <w:jc w:val="center"/>
              <w:rPr>
                <w:sz w:val="18"/>
                <w:lang w:eastAsia="ja-JP"/>
              </w:rPr>
            </w:pPr>
            <w:r w:rsidRPr="001246F2">
              <w:rPr>
                <w:sz w:val="18"/>
                <w:lang w:eastAsia="ja-JP"/>
              </w:rPr>
              <w:t>6</w:t>
            </w:r>
            <w:r w:rsidRPr="001246F2">
              <w:rPr>
                <w:sz w:val="18"/>
                <w:lang w:eastAsia="ja-JP"/>
              </w:rPr>
              <w:br/>
              <w:t>(</w:t>
            </w:r>
            <w:r w:rsidR="002C787A" w:rsidRPr="001246F2">
              <w:rPr>
                <w:sz w:val="18"/>
                <w:lang w:eastAsia="ja-JP"/>
              </w:rPr>
              <w:t>Nota</w:t>
            </w:r>
            <w:r w:rsidRPr="001246F2">
              <w:rPr>
                <w:sz w:val="18"/>
                <w:lang w:eastAsia="ja-JP"/>
              </w:rPr>
              <w:t xml:space="preserve"> 18)</w:t>
            </w:r>
          </w:p>
        </w:tc>
        <w:tc>
          <w:tcPr>
            <w:tcW w:w="1020" w:type="dxa"/>
            <w:tcMar>
              <w:top w:w="0" w:type="dxa"/>
              <w:left w:w="28" w:type="dxa"/>
              <w:bottom w:w="0" w:type="dxa"/>
              <w:right w:w="28" w:type="dxa"/>
            </w:tcMar>
          </w:tcPr>
          <w:p w:rsidR="00FE6D1D" w:rsidRPr="001246F2" w:rsidRDefault="00FE6D1D" w:rsidP="00113B80">
            <w:pPr>
              <w:pStyle w:val="Tabletext"/>
              <w:ind w:left="-57" w:right="-57"/>
              <w:jc w:val="center"/>
              <w:rPr>
                <w:snapToGrid w:val="0"/>
                <w:sz w:val="18"/>
              </w:rPr>
            </w:pPr>
            <w:r w:rsidRPr="001246F2">
              <w:rPr>
                <w:rFonts w:eastAsia="MS PGothic"/>
                <w:sz w:val="18"/>
              </w:rPr>
              <w:t>−</w:t>
            </w:r>
            <w:r w:rsidRPr="001246F2">
              <w:rPr>
                <w:snapToGrid w:val="0"/>
                <w:sz w:val="18"/>
                <w:lang w:eastAsia="zh-CN"/>
              </w:rPr>
              <w:t>10</w:t>
            </w:r>
          </w:p>
        </w:tc>
        <w:tc>
          <w:tcPr>
            <w:tcW w:w="1196" w:type="dxa"/>
            <w:gridSpan w:val="3"/>
            <w:tcMar>
              <w:top w:w="0" w:type="dxa"/>
              <w:left w:w="28" w:type="dxa"/>
              <w:bottom w:w="0" w:type="dxa"/>
              <w:right w:w="28" w:type="dxa"/>
            </w:tcMar>
          </w:tcPr>
          <w:p w:rsidR="00FE6D1D" w:rsidRPr="001246F2" w:rsidRDefault="00FE6D1D" w:rsidP="00113B80">
            <w:pPr>
              <w:pStyle w:val="Tabletext"/>
              <w:ind w:left="-57" w:right="-57"/>
              <w:jc w:val="center"/>
              <w:rPr>
                <w:sz w:val="18"/>
                <w:lang w:eastAsia="ja-JP"/>
              </w:rPr>
            </w:pPr>
            <w:r w:rsidRPr="001246F2">
              <w:rPr>
                <w:sz w:val="18"/>
                <w:lang w:eastAsia="ja-JP"/>
              </w:rPr>
              <w:t>6</w:t>
            </w:r>
            <w:r w:rsidRPr="001246F2">
              <w:rPr>
                <w:sz w:val="18"/>
                <w:lang w:eastAsia="ja-JP"/>
              </w:rPr>
              <w:br/>
              <w:t>(</w:t>
            </w:r>
            <w:r w:rsidR="002C787A" w:rsidRPr="001246F2">
              <w:rPr>
                <w:sz w:val="18"/>
                <w:lang w:eastAsia="ja-JP"/>
              </w:rPr>
              <w:t>Nota</w:t>
            </w:r>
            <w:r w:rsidRPr="001246F2">
              <w:rPr>
                <w:sz w:val="18"/>
                <w:lang w:eastAsia="ja-JP"/>
              </w:rPr>
              <w:t xml:space="preserve"> 18)</w:t>
            </w:r>
          </w:p>
        </w:tc>
        <w:tc>
          <w:tcPr>
            <w:tcW w:w="1304" w:type="dxa"/>
            <w:gridSpan w:val="2"/>
            <w:tcMar>
              <w:top w:w="0" w:type="dxa"/>
              <w:left w:w="28" w:type="dxa"/>
              <w:bottom w:w="0" w:type="dxa"/>
              <w:right w:w="28" w:type="dxa"/>
            </w:tcMar>
          </w:tcPr>
          <w:p w:rsidR="00FE6D1D" w:rsidRPr="001246F2" w:rsidRDefault="00FE6D1D" w:rsidP="00113B80">
            <w:pPr>
              <w:pStyle w:val="Tabletext"/>
              <w:ind w:left="-57" w:right="-57"/>
              <w:jc w:val="center"/>
              <w:rPr>
                <w:rFonts w:eastAsia="MS PGothic"/>
                <w:sz w:val="18"/>
              </w:rPr>
            </w:pPr>
            <w:r w:rsidRPr="001246F2">
              <w:rPr>
                <w:rFonts w:eastAsia="MS PGothic"/>
                <w:sz w:val="18"/>
              </w:rPr>
              <w:t>−5</w:t>
            </w:r>
            <w:r w:rsidR="002C787A" w:rsidRPr="001246F2">
              <w:rPr>
                <w:rFonts w:eastAsia="MS PGothic"/>
                <w:sz w:val="18"/>
              </w:rPr>
              <w:t>,</w:t>
            </w:r>
            <w:r w:rsidRPr="001246F2">
              <w:rPr>
                <w:rFonts w:eastAsia="MS PGothic"/>
                <w:sz w:val="18"/>
              </w:rPr>
              <w:t>0</w:t>
            </w:r>
            <w:r w:rsidRPr="001246F2">
              <w:rPr>
                <w:rFonts w:eastAsia="MS PGothic"/>
                <w:sz w:val="18"/>
                <w:vertAlign w:val="superscript"/>
              </w:rPr>
              <w:br/>
            </w:r>
            <w:r w:rsidRPr="001246F2">
              <w:rPr>
                <w:rFonts w:eastAsia="MS PGothic"/>
                <w:sz w:val="18"/>
                <w:lang w:eastAsia="ja-JP"/>
              </w:rPr>
              <w:t>(</w:t>
            </w:r>
            <w:r w:rsidR="002C787A" w:rsidRPr="001246F2">
              <w:rPr>
                <w:rFonts w:eastAsia="MS PGothic"/>
                <w:sz w:val="18"/>
              </w:rPr>
              <w:t>Nota</w:t>
            </w:r>
            <w:r w:rsidRPr="001246F2">
              <w:rPr>
                <w:rFonts w:eastAsia="MS PGothic"/>
                <w:sz w:val="18"/>
              </w:rPr>
              <w:t xml:space="preserve"> </w:t>
            </w:r>
            <w:r w:rsidRPr="001246F2">
              <w:rPr>
                <w:sz w:val="18"/>
              </w:rPr>
              <w:t>10</w:t>
            </w:r>
            <w:r w:rsidRPr="001246F2">
              <w:rPr>
                <w:rFonts w:eastAsia="MS PGothic"/>
                <w:sz w:val="18"/>
                <w:lang w:eastAsia="ja-JP"/>
              </w:rPr>
              <w:t>)</w:t>
            </w:r>
          </w:p>
        </w:tc>
      </w:tr>
      <w:tr w:rsidR="00FE6D1D" w:rsidRPr="001246F2" w:rsidTr="002C0CF2">
        <w:trPr>
          <w:cantSplit/>
          <w:jc w:val="center"/>
        </w:trPr>
        <w:tc>
          <w:tcPr>
            <w:tcW w:w="1446" w:type="dxa"/>
          </w:tcPr>
          <w:p w:rsidR="00FE6D1D" w:rsidRPr="001246F2" w:rsidRDefault="00113B80" w:rsidP="00B948E3">
            <w:pPr>
              <w:pStyle w:val="Tabletext"/>
              <w:jc w:val="left"/>
              <w:rPr>
                <w:rFonts w:eastAsia="MS PGothic"/>
                <w:sz w:val="18"/>
              </w:rPr>
            </w:pPr>
            <w:r w:rsidRPr="001246F2">
              <w:rPr>
                <w:rFonts w:eastAsia="MS PGothic"/>
                <w:sz w:val="18"/>
              </w:rPr>
              <w:t>Anchura de banda a</w:t>
            </w:r>
            <w:r w:rsidR="00FE6D1D" w:rsidRPr="001246F2">
              <w:rPr>
                <w:rFonts w:eastAsia="MS PGothic"/>
                <w:sz w:val="18"/>
              </w:rPr>
              <w:t xml:space="preserve"> 3 dB </w:t>
            </w:r>
            <w:r w:rsidR="00B948E3" w:rsidRPr="001246F2">
              <w:rPr>
                <w:rFonts w:eastAsia="MS PGothic"/>
                <w:sz w:val="18"/>
              </w:rPr>
              <w:t>del filtro</w:t>
            </w:r>
            <w:r w:rsidR="00FE6D1D" w:rsidRPr="001246F2">
              <w:rPr>
                <w:rFonts w:eastAsia="MS PGothic"/>
                <w:sz w:val="18"/>
              </w:rPr>
              <w:t xml:space="preserve"> </w:t>
            </w:r>
            <w:r w:rsidR="00D35EE7">
              <w:rPr>
                <w:rFonts w:eastAsia="MS PGothic"/>
                <w:sz w:val="18"/>
              </w:rPr>
              <w:t>de </w:t>
            </w:r>
            <w:r w:rsidRPr="001246F2">
              <w:rPr>
                <w:rFonts w:eastAsia="MS PGothic"/>
                <w:sz w:val="18"/>
              </w:rPr>
              <w:t xml:space="preserve">RF </w:t>
            </w:r>
            <w:r w:rsidR="00FE6D1D" w:rsidRPr="001246F2">
              <w:rPr>
                <w:rFonts w:eastAsia="MS PGothic"/>
                <w:sz w:val="18"/>
              </w:rPr>
              <w:t>(MHz)</w:t>
            </w:r>
          </w:p>
        </w:tc>
        <w:tc>
          <w:tcPr>
            <w:tcW w:w="1077" w:type="dxa"/>
          </w:tcPr>
          <w:p w:rsidR="00FE6D1D" w:rsidRPr="001246F2" w:rsidRDefault="00FE6D1D" w:rsidP="00113B80">
            <w:pPr>
              <w:pStyle w:val="Tabletext"/>
              <w:ind w:left="-57" w:right="-57"/>
              <w:jc w:val="center"/>
              <w:rPr>
                <w:rFonts w:eastAsia="MS PGothic"/>
                <w:sz w:val="18"/>
              </w:rPr>
            </w:pPr>
            <w:r w:rsidRPr="001246F2">
              <w:rPr>
                <w:rFonts w:eastAsia="MS PGothic"/>
                <w:sz w:val="18"/>
              </w:rPr>
              <w:t>24</w:t>
            </w:r>
            <w:r w:rsidR="002C787A" w:rsidRPr="001246F2">
              <w:rPr>
                <w:rFonts w:eastAsia="MS PGothic"/>
                <w:sz w:val="18"/>
              </w:rPr>
              <w:t>,</w:t>
            </w:r>
            <w:r w:rsidRPr="001246F2">
              <w:rPr>
                <w:rFonts w:eastAsia="MS PGothic"/>
                <w:sz w:val="18"/>
              </w:rPr>
              <w:t>0</w:t>
            </w:r>
          </w:p>
        </w:tc>
        <w:tc>
          <w:tcPr>
            <w:tcW w:w="1360" w:type="dxa"/>
          </w:tcPr>
          <w:p w:rsidR="00FE6D1D" w:rsidRPr="001246F2" w:rsidRDefault="00FE6D1D" w:rsidP="00113B80">
            <w:pPr>
              <w:pStyle w:val="Tabletext"/>
              <w:ind w:left="-57" w:right="-57"/>
              <w:jc w:val="center"/>
              <w:rPr>
                <w:rFonts w:eastAsia="MS PGothic"/>
                <w:sz w:val="18"/>
                <w:lang w:eastAsia="ja-JP"/>
              </w:rPr>
            </w:pPr>
            <w:r w:rsidRPr="001246F2">
              <w:rPr>
                <w:rFonts w:eastAsia="MS PGothic"/>
                <w:sz w:val="18"/>
                <w:lang w:eastAsia="ja-JP"/>
              </w:rPr>
              <w:t>30</w:t>
            </w:r>
          </w:p>
        </w:tc>
        <w:tc>
          <w:tcPr>
            <w:tcW w:w="1361" w:type="dxa"/>
          </w:tcPr>
          <w:p w:rsidR="00FE6D1D" w:rsidRPr="001246F2" w:rsidRDefault="00FE6D1D" w:rsidP="00113B80">
            <w:pPr>
              <w:pStyle w:val="Tabletext"/>
              <w:ind w:left="-57" w:right="-57"/>
              <w:jc w:val="center"/>
              <w:rPr>
                <w:rFonts w:eastAsia="MS PGothic"/>
                <w:sz w:val="18"/>
              </w:rPr>
            </w:pPr>
            <w:r w:rsidRPr="001246F2">
              <w:rPr>
                <w:rFonts w:eastAsia="MS PGothic"/>
                <w:sz w:val="18"/>
              </w:rPr>
              <w:t>24</w:t>
            </w:r>
            <w:r w:rsidR="002C787A" w:rsidRPr="001246F2">
              <w:rPr>
                <w:rFonts w:eastAsia="MS PGothic"/>
                <w:sz w:val="18"/>
              </w:rPr>
              <w:t>,</w:t>
            </w:r>
            <w:r w:rsidRPr="001246F2">
              <w:rPr>
                <w:rFonts w:eastAsia="MS PGothic"/>
                <w:sz w:val="18"/>
              </w:rPr>
              <w:t>0</w:t>
            </w:r>
          </w:p>
        </w:tc>
        <w:tc>
          <w:tcPr>
            <w:tcW w:w="1389" w:type="dxa"/>
          </w:tcPr>
          <w:p w:rsidR="00FE6D1D" w:rsidRPr="001246F2" w:rsidRDefault="00FE6D1D" w:rsidP="00113B80">
            <w:pPr>
              <w:pStyle w:val="Tabletext"/>
              <w:ind w:left="-57" w:right="-57"/>
              <w:jc w:val="center"/>
              <w:rPr>
                <w:rFonts w:eastAsia="MS PGothic"/>
                <w:sz w:val="18"/>
                <w:lang w:eastAsia="ja-JP"/>
              </w:rPr>
            </w:pPr>
            <w:r w:rsidRPr="001246F2">
              <w:rPr>
                <w:rFonts w:eastAsia="MS PGothic"/>
                <w:sz w:val="18"/>
                <w:lang w:eastAsia="ja-JP"/>
              </w:rPr>
              <w:t>30</w:t>
            </w:r>
          </w:p>
        </w:tc>
        <w:tc>
          <w:tcPr>
            <w:tcW w:w="994" w:type="dxa"/>
          </w:tcPr>
          <w:p w:rsidR="00FE6D1D" w:rsidRPr="001246F2" w:rsidRDefault="00FE6D1D" w:rsidP="00113B80">
            <w:pPr>
              <w:pStyle w:val="Tabletext"/>
              <w:ind w:left="-57" w:right="-57"/>
              <w:jc w:val="center"/>
              <w:rPr>
                <w:rFonts w:eastAsia="MS PGothic"/>
                <w:sz w:val="18"/>
              </w:rPr>
            </w:pPr>
            <w:r w:rsidRPr="001246F2">
              <w:rPr>
                <w:rFonts w:eastAsia="MS PGothic"/>
                <w:sz w:val="18"/>
              </w:rPr>
              <w:t>24</w:t>
            </w:r>
            <w:r w:rsidR="002C787A" w:rsidRPr="001246F2">
              <w:rPr>
                <w:rFonts w:eastAsia="MS PGothic"/>
                <w:sz w:val="18"/>
              </w:rPr>
              <w:t>,</w:t>
            </w:r>
            <w:r w:rsidRPr="001246F2">
              <w:rPr>
                <w:rFonts w:eastAsia="MS PGothic"/>
                <w:sz w:val="18"/>
              </w:rPr>
              <w:t>0</w:t>
            </w:r>
          </w:p>
        </w:tc>
        <w:tc>
          <w:tcPr>
            <w:tcW w:w="1304" w:type="dxa"/>
          </w:tcPr>
          <w:p w:rsidR="00FE6D1D" w:rsidRPr="001246F2" w:rsidRDefault="00FE6D1D" w:rsidP="00113B80">
            <w:pPr>
              <w:pStyle w:val="Tabletext"/>
              <w:ind w:left="-57" w:right="-57"/>
              <w:jc w:val="center"/>
              <w:rPr>
                <w:rFonts w:eastAsia="MS PGothic"/>
                <w:sz w:val="18"/>
              </w:rPr>
            </w:pPr>
            <w:r w:rsidRPr="001246F2">
              <w:rPr>
                <w:rFonts w:eastAsia="MS PGothic"/>
                <w:sz w:val="18"/>
                <w:lang w:eastAsia="ja-JP"/>
              </w:rPr>
              <w:t>30</w:t>
            </w:r>
          </w:p>
        </w:tc>
        <w:tc>
          <w:tcPr>
            <w:tcW w:w="868" w:type="dxa"/>
          </w:tcPr>
          <w:p w:rsidR="00FE6D1D" w:rsidRPr="001246F2" w:rsidRDefault="00FE6D1D" w:rsidP="00113B80">
            <w:pPr>
              <w:pStyle w:val="Tabletext"/>
              <w:ind w:left="-57" w:right="-57"/>
              <w:jc w:val="center"/>
              <w:rPr>
                <w:rFonts w:eastAsia="MS PGothic"/>
                <w:sz w:val="18"/>
              </w:rPr>
            </w:pPr>
            <w:r w:rsidRPr="001246F2">
              <w:rPr>
                <w:rFonts w:eastAsia="MS PGothic"/>
                <w:sz w:val="18"/>
              </w:rPr>
              <w:t>30</w:t>
            </w:r>
            <w:r w:rsidR="002C787A" w:rsidRPr="001246F2">
              <w:rPr>
                <w:rFonts w:eastAsia="MS PGothic"/>
                <w:sz w:val="18"/>
              </w:rPr>
              <w:t>,</w:t>
            </w:r>
            <w:r w:rsidRPr="001246F2">
              <w:rPr>
                <w:rFonts w:eastAsia="MS PGothic"/>
                <w:sz w:val="18"/>
              </w:rPr>
              <w:t>69</w:t>
            </w:r>
          </w:p>
        </w:tc>
        <w:tc>
          <w:tcPr>
            <w:tcW w:w="1156" w:type="dxa"/>
            <w:gridSpan w:val="3"/>
          </w:tcPr>
          <w:p w:rsidR="00FE6D1D" w:rsidRPr="001246F2" w:rsidRDefault="00FE6D1D" w:rsidP="00113B80">
            <w:pPr>
              <w:pStyle w:val="Tabletext"/>
              <w:ind w:left="-57" w:right="-57"/>
              <w:jc w:val="center"/>
              <w:rPr>
                <w:sz w:val="18"/>
                <w:highlight w:val="yellow"/>
                <w:lang w:eastAsia="ja-JP"/>
              </w:rPr>
            </w:pPr>
            <w:r w:rsidRPr="001246F2">
              <w:rPr>
                <w:sz w:val="18"/>
                <w:lang w:eastAsia="ja-JP"/>
              </w:rPr>
              <w:t>32</w:t>
            </w:r>
          </w:p>
        </w:tc>
        <w:tc>
          <w:tcPr>
            <w:tcW w:w="1020" w:type="dxa"/>
            <w:tcMar>
              <w:top w:w="0" w:type="dxa"/>
              <w:left w:w="28" w:type="dxa"/>
              <w:bottom w:w="0" w:type="dxa"/>
              <w:right w:w="28" w:type="dxa"/>
            </w:tcMar>
          </w:tcPr>
          <w:p w:rsidR="00FE6D1D" w:rsidRPr="001246F2" w:rsidRDefault="00FE6D1D" w:rsidP="00113B80">
            <w:pPr>
              <w:pStyle w:val="Tabletext"/>
              <w:ind w:left="-57" w:right="-57"/>
              <w:jc w:val="center"/>
              <w:rPr>
                <w:snapToGrid w:val="0"/>
                <w:sz w:val="18"/>
              </w:rPr>
            </w:pPr>
            <w:r w:rsidRPr="001246F2">
              <w:rPr>
                <w:snapToGrid w:val="0"/>
                <w:sz w:val="18"/>
                <w:lang w:eastAsia="zh-CN"/>
              </w:rPr>
              <w:t>4</w:t>
            </w:r>
            <w:r w:rsidR="002C787A" w:rsidRPr="001246F2">
              <w:rPr>
                <w:snapToGrid w:val="0"/>
                <w:sz w:val="18"/>
                <w:lang w:eastAsia="zh-CN"/>
              </w:rPr>
              <w:t>,</w:t>
            </w:r>
            <w:r w:rsidRPr="001246F2">
              <w:rPr>
                <w:snapToGrid w:val="0"/>
                <w:sz w:val="18"/>
                <w:lang w:eastAsia="zh-CN"/>
              </w:rPr>
              <w:t>196</w:t>
            </w:r>
          </w:p>
        </w:tc>
        <w:tc>
          <w:tcPr>
            <w:tcW w:w="1196" w:type="dxa"/>
            <w:gridSpan w:val="3"/>
            <w:tcMar>
              <w:top w:w="0" w:type="dxa"/>
              <w:left w:w="28" w:type="dxa"/>
              <w:bottom w:w="0" w:type="dxa"/>
              <w:right w:w="28" w:type="dxa"/>
            </w:tcMar>
          </w:tcPr>
          <w:p w:rsidR="00FE6D1D" w:rsidRPr="001246F2" w:rsidRDefault="00FE6D1D" w:rsidP="00113B80">
            <w:pPr>
              <w:pStyle w:val="Tabletext"/>
              <w:ind w:left="-57" w:right="-57"/>
              <w:jc w:val="center"/>
              <w:rPr>
                <w:rFonts w:eastAsia="MS PGothic"/>
                <w:sz w:val="18"/>
                <w:lang w:eastAsia="ja-JP"/>
              </w:rPr>
            </w:pPr>
            <w:r w:rsidRPr="001246F2">
              <w:rPr>
                <w:sz w:val="18"/>
                <w:lang w:eastAsia="ja-JP"/>
              </w:rPr>
              <w:t>32</w:t>
            </w:r>
          </w:p>
        </w:tc>
        <w:tc>
          <w:tcPr>
            <w:tcW w:w="1304" w:type="dxa"/>
            <w:gridSpan w:val="2"/>
            <w:tcMar>
              <w:top w:w="0" w:type="dxa"/>
              <w:left w:w="28" w:type="dxa"/>
              <w:bottom w:w="0" w:type="dxa"/>
              <w:right w:w="28" w:type="dxa"/>
            </w:tcMar>
          </w:tcPr>
          <w:p w:rsidR="00FE6D1D" w:rsidRPr="001246F2" w:rsidRDefault="00FE6D1D" w:rsidP="00113B80">
            <w:pPr>
              <w:pStyle w:val="Tabletext"/>
              <w:ind w:left="-57" w:right="-57"/>
              <w:jc w:val="center"/>
              <w:rPr>
                <w:rFonts w:eastAsia="MS PGothic"/>
                <w:sz w:val="18"/>
                <w:highlight w:val="yellow"/>
                <w:lang w:eastAsia="ja-JP"/>
              </w:rPr>
            </w:pPr>
            <w:r w:rsidRPr="001246F2">
              <w:rPr>
                <w:rFonts w:eastAsia="MS PGothic"/>
                <w:sz w:val="18"/>
              </w:rPr>
              <w:t>30</w:t>
            </w:r>
            <w:r w:rsidR="002C787A" w:rsidRPr="001246F2">
              <w:rPr>
                <w:rFonts w:eastAsia="MS PGothic"/>
                <w:sz w:val="18"/>
              </w:rPr>
              <w:t>,</w:t>
            </w:r>
            <w:r w:rsidRPr="001246F2">
              <w:rPr>
                <w:rFonts w:eastAsia="MS PGothic"/>
                <w:sz w:val="18"/>
              </w:rPr>
              <w:t xml:space="preserve">69 </w:t>
            </w:r>
            <w:r w:rsidR="00492876" w:rsidRPr="001246F2">
              <w:rPr>
                <w:rFonts w:eastAsia="MS PGothic"/>
                <w:sz w:val="18"/>
              </w:rPr>
              <w:t>ó</w:t>
            </w:r>
            <w:r w:rsidRPr="001246F2">
              <w:rPr>
                <w:rFonts w:eastAsia="MS PGothic"/>
                <w:sz w:val="18"/>
              </w:rPr>
              <w:t xml:space="preserve"> 32</w:t>
            </w:r>
          </w:p>
        </w:tc>
      </w:tr>
      <w:tr w:rsidR="00FE6D1D" w:rsidRPr="001246F2" w:rsidTr="002C0CF2">
        <w:trPr>
          <w:cantSplit/>
          <w:jc w:val="center"/>
        </w:trPr>
        <w:tc>
          <w:tcPr>
            <w:tcW w:w="1446" w:type="dxa"/>
          </w:tcPr>
          <w:p w:rsidR="00FE6D1D" w:rsidRPr="001246F2" w:rsidRDefault="00B948E3" w:rsidP="00B948E3">
            <w:pPr>
              <w:pStyle w:val="Tabletext"/>
              <w:jc w:val="left"/>
              <w:rPr>
                <w:rFonts w:eastAsia="MS PGothic"/>
                <w:sz w:val="18"/>
              </w:rPr>
            </w:pPr>
            <w:r w:rsidRPr="001246F2">
              <w:rPr>
                <w:rFonts w:eastAsia="MS PGothic"/>
                <w:sz w:val="18"/>
              </w:rPr>
              <w:t>Anchura de banda a 3 dB del filtro de precorrelación</w:t>
            </w:r>
            <w:r w:rsidR="00FE6D1D" w:rsidRPr="001246F2">
              <w:rPr>
                <w:rFonts w:eastAsia="MS PGothic"/>
                <w:sz w:val="18"/>
              </w:rPr>
              <w:t xml:space="preserve"> (MHz)</w:t>
            </w:r>
          </w:p>
        </w:tc>
        <w:tc>
          <w:tcPr>
            <w:tcW w:w="1077" w:type="dxa"/>
          </w:tcPr>
          <w:p w:rsidR="00FE6D1D" w:rsidRPr="001246F2" w:rsidRDefault="00FE6D1D" w:rsidP="00113B80">
            <w:pPr>
              <w:pStyle w:val="Tabletext"/>
              <w:ind w:left="-57" w:right="-57"/>
              <w:jc w:val="center"/>
              <w:rPr>
                <w:rFonts w:eastAsia="MS PGothic"/>
                <w:sz w:val="18"/>
              </w:rPr>
            </w:pPr>
            <w:r w:rsidRPr="001246F2">
              <w:rPr>
                <w:rFonts w:eastAsia="MS PGothic"/>
                <w:sz w:val="18"/>
              </w:rPr>
              <w:t>20</w:t>
            </w:r>
            <w:r w:rsidR="002C787A" w:rsidRPr="001246F2">
              <w:rPr>
                <w:rFonts w:eastAsia="MS PGothic"/>
                <w:sz w:val="18"/>
              </w:rPr>
              <w:t>,</w:t>
            </w:r>
            <w:r w:rsidRPr="001246F2">
              <w:rPr>
                <w:rFonts w:eastAsia="MS PGothic"/>
                <w:sz w:val="18"/>
              </w:rPr>
              <w:t>46</w:t>
            </w:r>
          </w:p>
        </w:tc>
        <w:tc>
          <w:tcPr>
            <w:tcW w:w="1360" w:type="dxa"/>
          </w:tcPr>
          <w:p w:rsidR="00FE6D1D" w:rsidRPr="001246F2" w:rsidRDefault="00FE6D1D" w:rsidP="00113B80">
            <w:pPr>
              <w:pStyle w:val="Tabletext"/>
              <w:ind w:left="-57" w:right="-57"/>
              <w:jc w:val="center"/>
              <w:rPr>
                <w:rFonts w:eastAsia="MS PGothic"/>
                <w:sz w:val="18"/>
                <w:lang w:eastAsia="ja-JP"/>
              </w:rPr>
            </w:pPr>
            <w:r w:rsidRPr="001246F2">
              <w:rPr>
                <w:rFonts w:eastAsia="MS PGothic"/>
                <w:sz w:val="18"/>
                <w:lang w:eastAsia="ja-JP"/>
              </w:rPr>
              <w:t>22</w:t>
            </w:r>
          </w:p>
        </w:tc>
        <w:tc>
          <w:tcPr>
            <w:tcW w:w="1361" w:type="dxa"/>
          </w:tcPr>
          <w:p w:rsidR="00FE6D1D" w:rsidRPr="001246F2" w:rsidRDefault="00FE6D1D" w:rsidP="00113B80">
            <w:pPr>
              <w:pStyle w:val="Tabletext"/>
              <w:ind w:left="-57" w:right="-57"/>
              <w:jc w:val="center"/>
              <w:rPr>
                <w:rFonts w:eastAsia="MS PGothic"/>
                <w:sz w:val="18"/>
              </w:rPr>
            </w:pPr>
            <w:r w:rsidRPr="001246F2">
              <w:rPr>
                <w:rFonts w:eastAsia="MS PGothic"/>
                <w:sz w:val="18"/>
              </w:rPr>
              <w:t>20</w:t>
            </w:r>
            <w:r w:rsidR="002C787A" w:rsidRPr="001246F2">
              <w:rPr>
                <w:rFonts w:eastAsia="MS PGothic"/>
                <w:sz w:val="18"/>
              </w:rPr>
              <w:t>,</w:t>
            </w:r>
            <w:r w:rsidRPr="001246F2">
              <w:rPr>
                <w:rFonts w:eastAsia="MS PGothic"/>
                <w:sz w:val="18"/>
              </w:rPr>
              <w:t>46</w:t>
            </w:r>
          </w:p>
        </w:tc>
        <w:tc>
          <w:tcPr>
            <w:tcW w:w="1389" w:type="dxa"/>
          </w:tcPr>
          <w:p w:rsidR="00FE6D1D" w:rsidRPr="001246F2" w:rsidRDefault="00FE6D1D" w:rsidP="00113B80">
            <w:pPr>
              <w:pStyle w:val="Tabletext"/>
              <w:ind w:left="-57" w:right="-57"/>
              <w:jc w:val="center"/>
              <w:rPr>
                <w:rFonts w:eastAsia="MS PGothic"/>
                <w:sz w:val="18"/>
                <w:lang w:eastAsia="ja-JP"/>
              </w:rPr>
            </w:pPr>
            <w:r w:rsidRPr="001246F2">
              <w:rPr>
                <w:rFonts w:eastAsia="MS PGothic"/>
                <w:sz w:val="18"/>
                <w:lang w:eastAsia="ja-JP"/>
              </w:rPr>
              <w:t>22</w:t>
            </w:r>
          </w:p>
        </w:tc>
        <w:tc>
          <w:tcPr>
            <w:tcW w:w="994" w:type="dxa"/>
          </w:tcPr>
          <w:p w:rsidR="00FE6D1D" w:rsidRPr="001246F2" w:rsidRDefault="00FE6D1D" w:rsidP="00113B80">
            <w:pPr>
              <w:pStyle w:val="Tabletext"/>
              <w:ind w:left="-57" w:right="-57"/>
              <w:jc w:val="center"/>
              <w:rPr>
                <w:rFonts w:eastAsia="MS PGothic"/>
                <w:sz w:val="18"/>
              </w:rPr>
            </w:pPr>
            <w:r w:rsidRPr="001246F2">
              <w:rPr>
                <w:rFonts w:eastAsia="MS PGothic"/>
                <w:sz w:val="18"/>
              </w:rPr>
              <w:t>20</w:t>
            </w:r>
            <w:r w:rsidR="002C787A" w:rsidRPr="001246F2">
              <w:rPr>
                <w:rFonts w:eastAsia="MS PGothic"/>
                <w:sz w:val="18"/>
              </w:rPr>
              <w:t>,</w:t>
            </w:r>
            <w:r w:rsidRPr="001246F2">
              <w:rPr>
                <w:rFonts w:eastAsia="MS PGothic"/>
                <w:sz w:val="18"/>
              </w:rPr>
              <w:t>46</w:t>
            </w:r>
          </w:p>
        </w:tc>
        <w:tc>
          <w:tcPr>
            <w:tcW w:w="1304" w:type="dxa"/>
          </w:tcPr>
          <w:p w:rsidR="00FE6D1D" w:rsidRPr="001246F2" w:rsidRDefault="00FE6D1D" w:rsidP="00113B80">
            <w:pPr>
              <w:pStyle w:val="Tabletext"/>
              <w:ind w:left="-57" w:right="-57"/>
              <w:jc w:val="center"/>
              <w:rPr>
                <w:rFonts w:eastAsia="MS PGothic"/>
                <w:sz w:val="18"/>
              </w:rPr>
            </w:pPr>
            <w:r w:rsidRPr="001246F2">
              <w:rPr>
                <w:rFonts w:eastAsia="MS PGothic"/>
                <w:sz w:val="18"/>
                <w:lang w:eastAsia="ja-JP"/>
              </w:rPr>
              <w:t>22</w:t>
            </w:r>
          </w:p>
        </w:tc>
        <w:tc>
          <w:tcPr>
            <w:tcW w:w="868" w:type="dxa"/>
          </w:tcPr>
          <w:p w:rsidR="00FE6D1D" w:rsidRPr="001246F2" w:rsidRDefault="00FE6D1D" w:rsidP="00113B80">
            <w:pPr>
              <w:pStyle w:val="Tabletext"/>
              <w:ind w:left="-57" w:right="-57"/>
              <w:jc w:val="center"/>
              <w:rPr>
                <w:rFonts w:eastAsia="MS PGothic"/>
                <w:sz w:val="18"/>
                <w:highlight w:val="lightGray"/>
              </w:rPr>
            </w:pPr>
            <w:r w:rsidRPr="001246F2">
              <w:rPr>
                <w:rFonts w:eastAsia="MS PGothic"/>
                <w:sz w:val="18"/>
              </w:rPr>
              <w:t>20</w:t>
            </w:r>
            <w:r w:rsidR="002C787A" w:rsidRPr="001246F2">
              <w:rPr>
                <w:rFonts w:eastAsia="MS PGothic"/>
                <w:sz w:val="18"/>
              </w:rPr>
              <w:t>,</w:t>
            </w:r>
            <w:r w:rsidRPr="001246F2">
              <w:rPr>
                <w:rFonts w:eastAsia="MS PGothic"/>
                <w:sz w:val="18"/>
              </w:rPr>
              <w:t>46</w:t>
            </w:r>
          </w:p>
        </w:tc>
        <w:tc>
          <w:tcPr>
            <w:tcW w:w="578" w:type="dxa"/>
            <w:gridSpan w:val="2"/>
          </w:tcPr>
          <w:p w:rsidR="00FE6D1D" w:rsidRPr="001246F2" w:rsidRDefault="00FE6D1D" w:rsidP="00113B80">
            <w:pPr>
              <w:pStyle w:val="Tabletext"/>
              <w:ind w:left="-57" w:right="-57"/>
              <w:jc w:val="center"/>
              <w:rPr>
                <w:rFonts w:eastAsia="MS PGothic"/>
                <w:sz w:val="18"/>
              </w:rPr>
            </w:pPr>
            <w:r w:rsidRPr="001246F2">
              <w:rPr>
                <w:rFonts w:eastAsia="MS PGothic"/>
                <w:sz w:val="18"/>
              </w:rPr>
              <w:t>2</w:t>
            </w:r>
          </w:p>
        </w:tc>
        <w:tc>
          <w:tcPr>
            <w:tcW w:w="578" w:type="dxa"/>
          </w:tcPr>
          <w:p w:rsidR="00FE6D1D" w:rsidRPr="001246F2" w:rsidRDefault="00FE6D1D" w:rsidP="00113B80">
            <w:pPr>
              <w:pStyle w:val="Tabletext"/>
              <w:ind w:left="-57" w:right="-57"/>
              <w:jc w:val="center"/>
              <w:rPr>
                <w:rFonts w:eastAsia="MS PGothic"/>
                <w:sz w:val="18"/>
              </w:rPr>
            </w:pPr>
            <w:r w:rsidRPr="001246F2">
              <w:rPr>
                <w:rFonts w:eastAsia="MS PGothic"/>
                <w:sz w:val="18"/>
              </w:rPr>
              <w:t>22</w:t>
            </w:r>
          </w:p>
        </w:tc>
        <w:tc>
          <w:tcPr>
            <w:tcW w:w="1020" w:type="dxa"/>
          </w:tcPr>
          <w:p w:rsidR="00FE6D1D" w:rsidRPr="001246F2" w:rsidRDefault="00FE6D1D" w:rsidP="00113B80">
            <w:pPr>
              <w:pStyle w:val="Tabletext"/>
              <w:ind w:left="-57" w:right="-57"/>
              <w:jc w:val="center"/>
              <w:rPr>
                <w:rFonts w:eastAsia="MS PGothic"/>
                <w:sz w:val="18"/>
              </w:rPr>
            </w:pPr>
            <w:r w:rsidRPr="001246F2">
              <w:rPr>
                <w:rFonts w:eastAsia="MS PGothic"/>
                <w:sz w:val="18"/>
              </w:rPr>
              <w:t>4</w:t>
            </w:r>
            <w:r w:rsidR="002C787A" w:rsidRPr="001246F2">
              <w:rPr>
                <w:rFonts w:eastAsia="MS PGothic"/>
                <w:sz w:val="18"/>
              </w:rPr>
              <w:t>,</w:t>
            </w:r>
            <w:r w:rsidRPr="001246F2">
              <w:rPr>
                <w:rFonts w:eastAsia="MS PGothic"/>
                <w:sz w:val="18"/>
              </w:rPr>
              <w:t>096</w:t>
            </w:r>
          </w:p>
        </w:tc>
        <w:tc>
          <w:tcPr>
            <w:tcW w:w="603" w:type="dxa"/>
            <w:gridSpan w:val="2"/>
          </w:tcPr>
          <w:p w:rsidR="00FE6D1D" w:rsidRPr="001246F2" w:rsidRDefault="00FE6D1D" w:rsidP="00113B80">
            <w:pPr>
              <w:pStyle w:val="Tabletext"/>
              <w:ind w:left="-57" w:right="-57"/>
              <w:jc w:val="center"/>
              <w:rPr>
                <w:rFonts w:eastAsia="MS PGothic"/>
                <w:sz w:val="18"/>
              </w:rPr>
            </w:pPr>
            <w:r w:rsidRPr="001246F2">
              <w:rPr>
                <w:rFonts w:eastAsia="MS PGothic"/>
                <w:sz w:val="18"/>
              </w:rPr>
              <w:t>2</w:t>
            </w:r>
          </w:p>
        </w:tc>
        <w:tc>
          <w:tcPr>
            <w:tcW w:w="593" w:type="dxa"/>
            <w:tcMar>
              <w:top w:w="0" w:type="dxa"/>
              <w:left w:w="28" w:type="dxa"/>
              <w:bottom w:w="0" w:type="dxa"/>
              <w:right w:w="28" w:type="dxa"/>
            </w:tcMar>
          </w:tcPr>
          <w:p w:rsidR="00FE6D1D" w:rsidRPr="001246F2" w:rsidRDefault="00FE6D1D" w:rsidP="00113B80">
            <w:pPr>
              <w:pStyle w:val="Tabletext"/>
              <w:ind w:left="-57" w:right="-57"/>
              <w:jc w:val="center"/>
              <w:rPr>
                <w:rFonts w:eastAsia="MS PGothic"/>
                <w:sz w:val="18"/>
              </w:rPr>
            </w:pPr>
            <w:r w:rsidRPr="001246F2">
              <w:rPr>
                <w:rFonts w:eastAsia="MS PGothic"/>
                <w:sz w:val="18"/>
              </w:rPr>
              <w:t>22</w:t>
            </w:r>
          </w:p>
        </w:tc>
        <w:tc>
          <w:tcPr>
            <w:tcW w:w="624" w:type="dxa"/>
            <w:tcMar>
              <w:top w:w="0" w:type="dxa"/>
              <w:left w:w="28" w:type="dxa"/>
              <w:bottom w:w="0" w:type="dxa"/>
              <w:right w:w="28" w:type="dxa"/>
            </w:tcMar>
          </w:tcPr>
          <w:p w:rsidR="00FE6D1D" w:rsidRPr="001246F2" w:rsidRDefault="00FE6D1D" w:rsidP="00113B80">
            <w:pPr>
              <w:pStyle w:val="Tabletext"/>
              <w:ind w:left="-57" w:right="-57"/>
              <w:jc w:val="center"/>
              <w:rPr>
                <w:rFonts w:eastAsia="MS PGothic"/>
                <w:sz w:val="18"/>
                <w:highlight w:val="yellow"/>
              </w:rPr>
            </w:pPr>
            <w:r w:rsidRPr="001246F2">
              <w:rPr>
                <w:rFonts w:eastAsia="MS PGothic"/>
                <w:sz w:val="18"/>
              </w:rPr>
              <w:t>20.46</w:t>
            </w:r>
          </w:p>
        </w:tc>
        <w:tc>
          <w:tcPr>
            <w:tcW w:w="680" w:type="dxa"/>
            <w:tcMar>
              <w:top w:w="0" w:type="dxa"/>
              <w:left w:w="28" w:type="dxa"/>
              <w:bottom w:w="0" w:type="dxa"/>
              <w:right w:w="28" w:type="dxa"/>
            </w:tcMar>
          </w:tcPr>
          <w:p w:rsidR="00FE6D1D" w:rsidRPr="001246F2" w:rsidRDefault="00FE6D1D" w:rsidP="00113B80">
            <w:pPr>
              <w:pStyle w:val="Tabletext"/>
              <w:ind w:left="-57" w:right="-57"/>
              <w:jc w:val="center"/>
              <w:rPr>
                <w:rFonts w:eastAsia="MS PGothic"/>
                <w:sz w:val="18"/>
                <w:highlight w:val="yellow"/>
              </w:rPr>
            </w:pPr>
            <w:r w:rsidRPr="001246F2">
              <w:rPr>
                <w:rFonts w:eastAsia="MS PGothic"/>
                <w:sz w:val="18"/>
              </w:rPr>
              <w:t>22</w:t>
            </w:r>
          </w:p>
        </w:tc>
      </w:tr>
      <w:tr w:rsidR="00FE6D1D" w:rsidRPr="001246F2" w:rsidTr="002C0CF2">
        <w:trPr>
          <w:cantSplit/>
          <w:jc w:val="center"/>
        </w:trPr>
        <w:tc>
          <w:tcPr>
            <w:tcW w:w="1446" w:type="dxa"/>
          </w:tcPr>
          <w:p w:rsidR="00FE6D1D" w:rsidRPr="001246F2" w:rsidRDefault="00B948E3" w:rsidP="00B948E3">
            <w:pPr>
              <w:pStyle w:val="Tabletext"/>
              <w:jc w:val="left"/>
              <w:rPr>
                <w:rFonts w:eastAsia="MS PGothic"/>
                <w:sz w:val="18"/>
              </w:rPr>
            </w:pPr>
            <w:r w:rsidRPr="001246F2">
              <w:rPr>
                <w:rFonts w:eastAsia="MS PGothic"/>
                <w:sz w:val="18"/>
              </w:rPr>
              <w:t>Temperatura de ruido del sistema receptor</w:t>
            </w:r>
            <w:r w:rsidR="00D35EE7">
              <w:rPr>
                <w:rFonts w:eastAsia="MS PGothic"/>
                <w:sz w:val="18"/>
              </w:rPr>
              <w:t xml:space="preserve"> (K)</w:t>
            </w:r>
          </w:p>
        </w:tc>
        <w:tc>
          <w:tcPr>
            <w:tcW w:w="1077" w:type="dxa"/>
          </w:tcPr>
          <w:p w:rsidR="00FE6D1D" w:rsidRPr="001246F2" w:rsidRDefault="00FE6D1D" w:rsidP="00113B80">
            <w:pPr>
              <w:pStyle w:val="Tabletext"/>
              <w:ind w:left="-57" w:right="-57"/>
              <w:jc w:val="center"/>
              <w:rPr>
                <w:rFonts w:eastAsia="MS PGothic"/>
                <w:sz w:val="18"/>
              </w:rPr>
            </w:pPr>
            <w:r w:rsidRPr="001246F2">
              <w:rPr>
                <w:rFonts w:eastAsia="MS PGothic"/>
                <w:sz w:val="18"/>
              </w:rPr>
              <w:t>513</w:t>
            </w:r>
          </w:p>
        </w:tc>
        <w:tc>
          <w:tcPr>
            <w:tcW w:w="1360" w:type="dxa"/>
          </w:tcPr>
          <w:p w:rsidR="00FE6D1D" w:rsidRPr="001246F2" w:rsidRDefault="00FE6D1D" w:rsidP="00113B80">
            <w:pPr>
              <w:pStyle w:val="Tabletext"/>
              <w:ind w:left="-57" w:right="-57"/>
              <w:jc w:val="center"/>
              <w:rPr>
                <w:rFonts w:eastAsia="MS PGothic"/>
                <w:sz w:val="18"/>
                <w:lang w:eastAsia="ja-JP"/>
              </w:rPr>
            </w:pPr>
            <w:r w:rsidRPr="001246F2">
              <w:rPr>
                <w:rFonts w:eastAsia="MS PGothic"/>
                <w:sz w:val="18"/>
                <w:lang w:eastAsia="ja-JP"/>
              </w:rPr>
              <w:t>400</w:t>
            </w:r>
          </w:p>
        </w:tc>
        <w:tc>
          <w:tcPr>
            <w:tcW w:w="1361" w:type="dxa"/>
          </w:tcPr>
          <w:p w:rsidR="00FE6D1D" w:rsidRPr="001246F2" w:rsidRDefault="00FE6D1D" w:rsidP="00113B80">
            <w:pPr>
              <w:pStyle w:val="Tabletext"/>
              <w:ind w:left="-57" w:right="-57"/>
              <w:jc w:val="center"/>
              <w:rPr>
                <w:rFonts w:eastAsia="MS PGothic"/>
                <w:sz w:val="18"/>
              </w:rPr>
            </w:pPr>
            <w:r w:rsidRPr="001246F2">
              <w:rPr>
                <w:rFonts w:eastAsia="MS PGothic"/>
                <w:sz w:val="18"/>
              </w:rPr>
              <w:t>513</w:t>
            </w:r>
          </w:p>
        </w:tc>
        <w:tc>
          <w:tcPr>
            <w:tcW w:w="1389" w:type="dxa"/>
          </w:tcPr>
          <w:p w:rsidR="00FE6D1D" w:rsidRPr="001246F2" w:rsidRDefault="00FE6D1D" w:rsidP="00113B80">
            <w:pPr>
              <w:pStyle w:val="Tabletext"/>
              <w:ind w:left="-57" w:right="-57"/>
              <w:jc w:val="center"/>
              <w:rPr>
                <w:rFonts w:eastAsia="MS PGothic"/>
                <w:sz w:val="18"/>
                <w:lang w:eastAsia="ja-JP"/>
              </w:rPr>
            </w:pPr>
            <w:r w:rsidRPr="001246F2">
              <w:rPr>
                <w:rFonts w:eastAsia="MS PGothic"/>
                <w:sz w:val="18"/>
                <w:lang w:eastAsia="ja-JP"/>
              </w:rPr>
              <w:t>400</w:t>
            </w:r>
          </w:p>
        </w:tc>
        <w:tc>
          <w:tcPr>
            <w:tcW w:w="994" w:type="dxa"/>
          </w:tcPr>
          <w:p w:rsidR="00FE6D1D" w:rsidRPr="001246F2" w:rsidRDefault="00FE6D1D" w:rsidP="00113B80">
            <w:pPr>
              <w:pStyle w:val="Tabletext"/>
              <w:ind w:left="-57" w:right="-57"/>
              <w:jc w:val="center"/>
              <w:rPr>
                <w:rFonts w:eastAsia="MS PGothic"/>
                <w:sz w:val="18"/>
              </w:rPr>
            </w:pPr>
            <w:r w:rsidRPr="001246F2">
              <w:rPr>
                <w:rFonts w:eastAsia="MS PGothic"/>
                <w:sz w:val="18"/>
              </w:rPr>
              <w:t>513</w:t>
            </w:r>
          </w:p>
        </w:tc>
        <w:tc>
          <w:tcPr>
            <w:tcW w:w="1304" w:type="dxa"/>
          </w:tcPr>
          <w:p w:rsidR="00FE6D1D" w:rsidRPr="001246F2" w:rsidRDefault="00FE6D1D" w:rsidP="00113B80">
            <w:pPr>
              <w:pStyle w:val="Tabletext"/>
              <w:ind w:left="-57" w:right="-57"/>
              <w:jc w:val="center"/>
              <w:rPr>
                <w:rFonts w:eastAsia="MS PGothic"/>
                <w:sz w:val="18"/>
              </w:rPr>
            </w:pPr>
            <w:r w:rsidRPr="001246F2">
              <w:rPr>
                <w:rFonts w:eastAsia="MS PGothic"/>
                <w:sz w:val="18"/>
                <w:lang w:eastAsia="ja-JP"/>
              </w:rPr>
              <w:t>400</w:t>
            </w:r>
          </w:p>
        </w:tc>
        <w:tc>
          <w:tcPr>
            <w:tcW w:w="868" w:type="dxa"/>
          </w:tcPr>
          <w:p w:rsidR="00FE6D1D" w:rsidRPr="001246F2" w:rsidRDefault="00FE6D1D" w:rsidP="00113B80">
            <w:pPr>
              <w:pStyle w:val="Tabletext"/>
              <w:ind w:left="-57" w:right="-57"/>
              <w:jc w:val="center"/>
              <w:rPr>
                <w:rFonts w:eastAsia="MS PGothic"/>
                <w:sz w:val="18"/>
                <w:highlight w:val="lightGray"/>
              </w:rPr>
            </w:pPr>
            <w:r w:rsidRPr="001246F2">
              <w:rPr>
                <w:rFonts w:eastAsia="MS PGothic"/>
                <w:sz w:val="18"/>
              </w:rPr>
              <w:t>513</w:t>
            </w:r>
          </w:p>
        </w:tc>
        <w:tc>
          <w:tcPr>
            <w:tcW w:w="1156" w:type="dxa"/>
            <w:gridSpan w:val="3"/>
          </w:tcPr>
          <w:p w:rsidR="00FE6D1D" w:rsidRPr="001246F2" w:rsidRDefault="00FE6D1D" w:rsidP="00113B80">
            <w:pPr>
              <w:pStyle w:val="Tabletext"/>
              <w:ind w:left="-57" w:right="-57"/>
              <w:jc w:val="center"/>
              <w:rPr>
                <w:rFonts w:eastAsia="MS PGothic"/>
                <w:sz w:val="18"/>
                <w:highlight w:val="lightGray"/>
              </w:rPr>
            </w:pPr>
            <w:r w:rsidRPr="001246F2">
              <w:rPr>
                <w:sz w:val="18"/>
              </w:rPr>
              <w:t>645</w:t>
            </w:r>
          </w:p>
        </w:tc>
        <w:tc>
          <w:tcPr>
            <w:tcW w:w="1020" w:type="dxa"/>
            <w:tcMar>
              <w:top w:w="0" w:type="dxa"/>
              <w:left w:w="28" w:type="dxa"/>
              <w:bottom w:w="0" w:type="dxa"/>
              <w:right w:w="28" w:type="dxa"/>
            </w:tcMar>
          </w:tcPr>
          <w:p w:rsidR="00FE6D1D" w:rsidRPr="001246F2" w:rsidRDefault="00FE6D1D" w:rsidP="00113B80">
            <w:pPr>
              <w:pStyle w:val="Tabletext"/>
              <w:ind w:left="-57" w:right="-57"/>
              <w:jc w:val="center"/>
              <w:rPr>
                <w:snapToGrid w:val="0"/>
                <w:sz w:val="18"/>
              </w:rPr>
            </w:pPr>
            <w:r w:rsidRPr="001246F2">
              <w:rPr>
                <w:snapToGrid w:val="0"/>
                <w:sz w:val="18"/>
                <w:lang w:eastAsia="zh-CN"/>
              </w:rPr>
              <w:t>330</w:t>
            </w:r>
          </w:p>
        </w:tc>
        <w:tc>
          <w:tcPr>
            <w:tcW w:w="1196" w:type="dxa"/>
            <w:gridSpan w:val="3"/>
            <w:tcMar>
              <w:top w:w="0" w:type="dxa"/>
              <w:left w:w="28" w:type="dxa"/>
              <w:bottom w:w="0" w:type="dxa"/>
              <w:right w:w="28" w:type="dxa"/>
            </w:tcMar>
          </w:tcPr>
          <w:p w:rsidR="00FE6D1D" w:rsidRPr="001246F2" w:rsidRDefault="00FE6D1D" w:rsidP="00113B80">
            <w:pPr>
              <w:pStyle w:val="Tabletext"/>
              <w:ind w:left="-57" w:right="-57"/>
              <w:jc w:val="center"/>
              <w:rPr>
                <w:sz w:val="18"/>
                <w:highlight w:val="lightGray"/>
                <w:lang w:eastAsia="ja-JP"/>
              </w:rPr>
            </w:pPr>
            <w:r w:rsidRPr="001246F2">
              <w:rPr>
                <w:sz w:val="18"/>
              </w:rPr>
              <w:t>645</w:t>
            </w:r>
          </w:p>
        </w:tc>
        <w:tc>
          <w:tcPr>
            <w:tcW w:w="1304" w:type="dxa"/>
            <w:gridSpan w:val="2"/>
            <w:tcMar>
              <w:top w:w="0" w:type="dxa"/>
              <w:left w:w="28" w:type="dxa"/>
              <w:bottom w:w="0" w:type="dxa"/>
              <w:right w:w="28" w:type="dxa"/>
            </w:tcMar>
          </w:tcPr>
          <w:p w:rsidR="00FE6D1D" w:rsidRPr="001246F2" w:rsidRDefault="00FE6D1D" w:rsidP="00113B80">
            <w:pPr>
              <w:pStyle w:val="Tabletext"/>
              <w:ind w:left="-57" w:right="-57"/>
              <w:jc w:val="center"/>
              <w:rPr>
                <w:rFonts w:eastAsia="MS PGothic"/>
                <w:sz w:val="18"/>
                <w:highlight w:val="yellow"/>
              </w:rPr>
            </w:pPr>
            <w:r w:rsidRPr="001246F2">
              <w:rPr>
                <w:rFonts w:eastAsia="MS PGothic"/>
                <w:sz w:val="18"/>
              </w:rPr>
              <w:t>513</w:t>
            </w:r>
          </w:p>
        </w:tc>
      </w:tr>
    </w:tbl>
    <w:p w:rsidR="00FE6D1D" w:rsidRPr="001246F2" w:rsidRDefault="00FE6D1D" w:rsidP="00FE6D1D">
      <w:pPr>
        <w:pStyle w:val="Tablefin"/>
        <w:rPr>
          <w:lang w:val="es-ES_tradnl"/>
        </w:rPr>
      </w:pPr>
    </w:p>
    <w:p w:rsidR="00FE6D1D" w:rsidRPr="001246F2" w:rsidRDefault="002728A1" w:rsidP="002728A1">
      <w:pPr>
        <w:pStyle w:val="TableNo"/>
        <w:spacing w:before="0"/>
      </w:pPr>
      <w:r w:rsidRPr="001246F2">
        <w:lastRenderedPageBreak/>
        <w:t>CUADRO</w:t>
      </w:r>
      <w:r w:rsidR="00FE6D1D" w:rsidRPr="001246F2">
        <w:t xml:space="preserve"> 2 (</w:t>
      </w:r>
      <w:r w:rsidR="00FE6D1D" w:rsidRPr="001246F2">
        <w:rPr>
          <w:i/>
          <w:iCs/>
        </w:rPr>
        <w:t>continu</w:t>
      </w:r>
      <w:r w:rsidRPr="001246F2">
        <w:rPr>
          <w:i/>
          <w:iCs/>
        </w:rPr>
        <w:t>ación</w:t>
      </w:r>
      <w:r w:rsidR="00FE6D1D" w:rsidRPr="001246F2">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474"/>
        <w:gridCol w:w="1191"/>
        <w:gridCol w:w="1304"/>
        <w:gridCol w:w="1361"/>
        <w:gridCol w:w="1361"/>
        <w:gridCol w:w="1020"/>
        <w:gridCol w:w="1361"/>
        <w:gridCol w:w="850"/>
        <w:gridCol w:w="1077"/>
        <w:gridCol w:w="1077"/>
        <w:gridCol w:w="964"/>
        <w:gridCol w:w="767"/>
        <w:gridCol w:w="677"/>
      </w:tblGrid>
      <w:tr w:rsidR="00FE6D1D" w:rsidRPr="001246F2" w:rsidTr="00537965">
        <w:trPr>
          <w:cantSplit/>
          <w:tblHeader/>
          <w:jc w:val="center"/>
        </w:trPr>
        <w:tc>
          <w:tcPr>
            <w:tcW w:w="1474" w:type="dxa"/>
            <w:vAlign w:val="center"/>
          </w:tcPr>
          <w:p w:rsidR="00FE6D1D" w:rsidRPr="001246F2" w:rsidRDefault="00FE6D1D" w:rsidP="00FE6D1D">
            <w:pPr>
              <w:pStyle w:val="Tablehead"/>
              <w:rPr>
                <w:rFonts w:eastAsia="MS PGothic"/>
                <w:sz w:val="18"/>
              </w:rPr>
            </w:pPr>
          </w:p>
        </w:tc>
        <w:tc>
          <w:tcPr>
            <w:tcW w:w="1191" w:type="dxa"/>
            <w:vAlign w:val="center"/>
          </w:tcPr>
          <w:p w:rsidR="00FE6D1D" w:rsidRPr="001246F2" w:rsidRDefault="00FE6D1D" w:rsidP="00FE6D1D">
            <w:pPr>
              <w:pStyle w:val="Tablehead"/>
              <w:rPr>
                <w:rFonts w:eastAsia="MS PGothic"/>
                <w:sz w:val="18"/>
              </w:rPr>
            </w:pPr>
            <w:r w:rsidRPr="001246F2">
              <w:rPr>
                <w:rFonts w:eastAsia="MS PGothic"/>
                <w:sz w:val="18"/>
              </w:rPr>
              <w:t>1</w:t>
            </w:r>
          </w:p>
        </w:tc>
        <w:tc>
          <w:tcPr>
            <w:tcW w:w="1304" w:type="dxa"/>
            <w:vAlign w:val="center"/>
          </w:tcPr>
          <w:p w:rsidR="00FE6D1D" w:rsidRPr="001246F2" w:rsidRDefault="00FE6D1D" w:rsidP="00FE6D1D">
            <w:pPr>
              <w:pStyle w:val="Tablehead"/>
              <w:rPr>
                <w:rFonts w:eastAsia="MS PGothic"/>
                <w:sz w:val="18"/>
              </w:rPr>
            </w:pPr>
            <w:r w:rsidRPr="001246F2">
              <w:rPr>
                <w:rFonts w:eastAsia="MS PGothic"/>
                <w:sz w:val="18"/>
              </w:rPr>
              <w:t>2</w:t>
            </w:r>
          </w:p>
        </w:tc>
        <w:tc>
          <w:tcPr>
            <w:tcW w:w="1361" w:type="dxa"/>
            <w:vAlign w:val="center"/>
          </w:tcPr>
          <w:p w:rsidR="00FE6D1D" w:rsidRPr="001246F2" w:rsidRDefault="00FE6D1D" w:rsidP="00FE6D1D">
            <w:pPr>
              <w:pStyle w:val="Tablehead"/>
              <w:rPr>
                <w:rFonts w:eastAsia="MS PGothic"/>
                <w:sz w:val="18"/>
              </w:rPr>
            </w:pPr>
            <w:r w:rsidRPr="001246F2">
              <w:rPr>
                <w:rFonts w:eastAsia="MS PGothic"/>
                <w:sz w:val="18"/>
              </w:rPr>
              <w:t>3</w:t>
            </w:r>
          </w:p>
        </w:tc>
        <w:tc>
          <w:tcPr>
            <w:tcW w:w="1361" w:type="dxa"/>
            <w:vAlign w:val="center"/>
          </w:tcPr>
          <w:p w:rsidR="00FE6D1D" w:rsidRPr="001246F2" w:rsidRDefault="00FE6D1D" w:rsidP="00FE6D1D">
            <w:pPr>
              <w:pStyle w:val="Tablehead"/>
              <w:rPr>
                <w:rFonts w:eastAsia="MS PGothic"/>
                <w:sz w:val="18"/>
              </w:rPr>
            </w:pPr>
            <w:r w:rsidRPr="001246F2">
              <w:rPr>
                <w:rFonts w:eastAsia="MS PGothic"/>
                <w:sz w:val="18"/>
              </w:rPr>
              <w:t>4</w:t>
            </w:r>
          </w:p>
        </w:tc>
        <w:tc>
          <w:tcPr>
            <w:tcW w:w="1020" w:type="dxa"/>
            <w:vAlign w:val="center"/>
          </w:tcPr>
          <w:p w:rsidR="00FE6D1D" w:rsidRPr="001246F2" w:rsidRDefault="00FE6D1D" w:rsidP="00FE6D1D">
            <w:pPr>
              <w:pStyle w:val="Tablehead"/>
              <w:rPr>
                <w:rFonts w:eastAsia="MS PGothic"/>
                <w:sz w:val="18"/>
              </w:rPr>
            </w:pPr>
            <w:r w:rsidRPr="001246F2">
              <w:rPr>
                <w:rFonts w:eastAsia="MS PGothic"/>
                <w:sz w:val="18"/>
              </w:rPr>
              <w:t>5</w:t>
            </w:r>
          </w:p>
        </w:tc>
        <w:tc>
          <w:tcPr>
            <w:tcW w:w="1361" w:type="dxa"/>
            <w:vAlign w:val="center"/>
          </w:tcPr>
          <w:p w:rsidR="00FE6D1D" w:rsidRPr="001246F2" w:rsidRDefault="00FE6D1D" w:rsidP="00FE6D1D">
            <w:pPr>
              <w:pStyle w:val="Tablehead"/>
              <w:rPr>
                <w:sz w:val="18"/>
              </w:rPr>
            </w:pPr>
            <w:r w:rsidRPr="001246F2">
              <w:rPr>
                <w:sz w:val="18"/>
              </w:rPr>
              <w:t>6</w:t>
            </w:r>
          </w:p>
        </w:tc>
        <w:tc>
          <w:tcPr>
            <w:tcW w:w="850" w:type="dxa"/>
            <w:vAlign w:val="center"/>
          </w:tcPr>
          <w:p w:rsidR="00FE6D1D" w:rsidRPr="001246F2" w:rsidRDefault="00FE6D1D" w:rsidP="00FE6D1D">
            <w:pPr>
              <w:pStyle w:val="Tablehead"/>
              <w:rPr>
                <w:rFonts w:eastAsia="MS PGothic"/>
                <w:sz w:val="18"/>
              </w:rPr>
            </w:pPr>
            <w:r w:rsidRPr="001246F2">
              <w:rPr>
                <w:rFonts w:eastAsia="MS PGothic"/>
                <w:sz w:val="18"/>
              </w:rPr>
              <w:t>7</w:t>
            </w:r>
          </w:p>
        </w:tc>
        <w:tc>
          <w:tcPr>
            <w:tcW w:w="1077" w:type="dxa"/>
            <w:vAlign w:val="center"/>
          </w:tcPr>
          <w:p w:rsidR="00FE6D1D" w:rsidRPr="001246F2" w:rsidRDefault="00FE6D1D" w:rsidP="00FE6D1D">
            <w:pPr>
              <w:pStyle w:val="Tablehead"/>
              <w:rPr>
                <w:rFonts w:eastAsia="MS PGothic"/>
                <w:sz w:val="18"/>
              </w:rPr>
            </w:pPr>
            <w:r w:rsidRPr="001246F2">
              <w:rPr>
                <w:rFonts w:eastAsia="MS PGothic"/>
                <w:sz w:val="18"/>
              </w:rPr>
              <w:t>8</w:t>
            </w:r>
          </w:p>
        </w:tc>
        <w:tc>
          <w:tcPr>
            <w:tcW w:w="1077" w:type="dxa"/>
            <w:tcMar>
              <w:top w:w="0" w:type="dxa"/>
              <w:left w:w="28" w:type="dxa"/>
              <w:bottom w:w="0" w:type="dxa"/>
              <w:right w:w="28" w:type="dxa"/>
            </w:tcMar>
            <w:vAlign w:val="center"/>
          </w:tcPr>
          <w:p w:rsidR="00FE6D1D" w:rsidRPr="001246F2" w:rsidRDefault="00FE6D1D" w:rsidP="00FE6D1D">
            <w:pPr>
              <w:pStyle w:val="Tablehead"/>
              <w:rPr>
                <w:rFonts w:eastAsia="MS PGothic"/>
                <w:sz w:val="18"/>
              </w:rPr>
            </w:pPr>
            <w:r w:rsidRPr="001246F2">
              <w:rPr>
                <w:rFonts w:eastAsia="MS PGothic"/>
                <w:sz w:val="18"/>
              </w:rPr>
              <w:t>9</w:t>
            </w:r>
          </w:p>
        </w:tc>
        <w:tc>
          <w:tcPr>
            <w:tcW w:w="964" w:type="dxa"/>
            <w:tcMar>
              <w:top w:w="0" w:type="dxa"/>
              <w:left w:w="28" w:type="dxa"/>
              <w:bottom w:w="0" w:type="dxa"/>
              <w:right w:w="28" w:type="dxa"/>
            </w:tcMar>
            <w:vAlign w:val="center"/>
          </w:tcPr>
          <w:p w:rsidR="00FE6D1D" w:rsidRPr="001246F2" w:rsidRDefault="00FE6D1D" w:rsidP="00FE6D1D">
            <w:pPr>
              <w:pStyle w:val="Tablehead"/>
              <w:rPr>
                <w:rFonts w:eastAsia="MS PGothic"/>
                <w:sz w:val="18"/>
              </w:rPr>
            </w:pPr>
            <w:r w:rsidRPr="001246F2">
              <w:rPr>
                <w:rFonts w:eastAsia="MS PGothic"/>
                <w:sz w:val="18"/>
              </w:rPr>
              <w:t>10</w:t>
            </w:r>
          </w:p>
        </w:tc>
        <w:tc>
          <w:tcPr>
            <w:tcW w:w="1444" w:type="dxa"/>
            <w:gridSpan w:val="2"/>
            <w:tcMar>
              <w:top w:w="0" w:type="dxa"/>
              <w:left w:w="28" w:type="dxa"/>
              <w:bottom w:w="0" w:type="dxa"/>
              <w:right w:w="28" w:type="dxa"/>
            </w:tcMar>
            <w:vAlign w:val="center"/>
          </w:tcPr>
          <w:p w:rsidR="00FE6D1D" w:rsidRPr="001246F2" w:rsidRDefault="00FE6D1D" w:rsidP="00FE6D1D">
            <w:pPr>
              <w:pStyle w:val="Tablehead"/>
              <w:rPr>
                <w:rFonts w:eastAsia="MS PGothic"/>
                <w:sz w:val="18"/>
              </w:rPr>
            </w:pPr>
            <w:r w:rsidRPr="001246F2">
              <w:rPr>
                <w:rFonts w:eastAsia="MS PGothic"/>
                <w:sz w:val="18"/>
              </w:rPr>
              <w:t>11</w:t>
            </w:r>
          </w:p>
        </w:tc>
      </w:tr>
      <w:tr w:rsidR="0050744A" w:rsidRPr="001246F2" w:rsidTr="00537965">
        <w:trPr>
          <w:cantSplit/>
          <w:tblHeader/>
          <w:jc w:val="center"/>
        </w:trPr>
        <w:tc>
          <w:tcPr>
            <w:tcW w:w="1474" w:type="dxa"/>
            <w:vAlign w:val="center"/>
          </w:tcPr>
          <w:p w:rsidR="0050744A" w:rsidRPr="001246F2" w:rsidRDefault="0050744A" w:rsidP="00343413">
            <w:pPr>
              <w:pStyle w:val="Tablehead"/>
              <w:rPr>
                <w:rFonts w:eastAsia="MS PGothic"/>
                <w:sz w:val="18"/>
              </w:rPr>
            </w:pPr>
            <w:r w:rsidRPr="001246F2">
              <w:rPr>
                <w:rFonts w:eastAsia="MS PGothic"/>
                <w:sz w:val="18"/>
              </w:rPr>
              <w:t>Aplicación</w:t>
            </w:r>
            <w:r w:rsidRPr="001246F2">
              <w:rPr>
                <w:rFonts w:eastAsia="MS PGothic"/>
                <w:sz w:val="18"/>
              </w:rPr>
              <w:br/>
              <w:t xml:space="preserve">(véase </w:t>
            </w:r>
            <w:r w:rsidRPr="001246F2">
              <w:rPr>
                <w:sz w:val="18"/>
              </w:rPr>
              <w:t>§ 4</w:t>
            </w:r>
            <w:r w:rsidRPr="001246F2">
              <w:rPr>
                <w:rFonts w:eastAsia="MS PGothic"/>
                <w:sz w:val="18"/>
              </w:rPr>
              <w:t>)</w:t>
            </w:r>
            <w:r w:rsidRPr="001246F2">
              <w:rPr>
                <w:rFonts w:eastAsia="MS PGothic"/>
                <w:sz w:val="18"/>
              </w:rPr>
              <w:br/>
              <w:t>Parámetro</w:t>
            </w:r>
          </w:p>
        </w:tc>
        <w:tc>
          <w:tcPr>
            <w:tcW w:w="1191" w:type="dxa"/>
            <w:vAlign w:val="center"/>
          </w:tcPr>
          <w:p w:rsidR="0050744A" w:rsidRPr="001246F2" w:rsidRDefault="0050744A" w:rsidP="00343413">
            <w:pPr>
              <w:pStyle w:val="Tablehead"/>
              <w:rPr>
                <w:sz w:val="18"/>
              </w:rPr>
            </w:pPr>
            <w:r w:rsidRPr="001246F2">
              <w:rPr>
                <w:rFonts w:eastAsia="MS PGothic"/>
                <w:sz w:val="18"/>
              </w:rPr>
              <w:t xml:space="preserve">SBAS </w:t>
            </w:r>
            <w:r w:rsidRPr="001246F2">
              <w:rPr>
                <w:rFonts w:eastAsia="MS PGothic"/>
                <w:sz w:val="18"/>
              </w:rPr>
              <w:br/>
              <w:t>Categoría I</w:t>
            </w:r>
            <w:r w:rsidRPr="001246F2">
              <w:rPr>
                <w:rFonts w:eastAsia="MS PGothic"/>
                <w:sz w:val="18"/>
              </w:rPr>
              <w:br/>
            </w:r>
            <w:r w:rsidRPr="001246F2">
              <w:rPr>
                <w:sz w:val="18"/>
              </w:rPr>
              <w:t>Tipo 1</w:t>
            </w:r>
          </w:p>
        </w:tc>
        <w:tc>
          <w:tcPr>
            <w:tcW w:w="1304" w:type="dxa"/>
            <w:vAlign w:val="center"/>
          </w:tcPr>
          <w:p w:rsidR="0050744A" w:rsidRPr="001246F2" w:rsidRDefault="0050744A" w:rsidP="00343413">
            <w:pPr>
              <w:pStyle w:val="Tablehead"/>
              <w:rPr>
                <w:rFonts w:eastAsia="MS PGothic"/>
                <w:sz w:val="18"/>
              </w:rPr>
            </w:pPr>
            <w:r w:rsidRPr="001246F2">
              <w:rPr>
                <w:rFonts w:eastAsia="MS PGothic"/>
                <w:sz w:val="18"/>
              </w:rPr>
              <w:t xml:space="preserve">SBAS </w:t>
            </w:r>
            <w:r w:rsidRPr="001246F2">
              <w:rPr>
                <w:rFonts w:eastAsia="MS PGothic"/>
                <w:sz w:val="18"/>
              </w:rPr>
              <w:br/>
              <w:t>Categoría I</w:t>
            </w:r>
            <w:r w:rsidRPr="001246F2">
              <w:rPr>
                <w:rFonts w:eastAsia="MS PGothic"/>
                <w:sz w:val="18"/>
              </w:rPr>
              <w:br/>
            </w:r>
            <w:r w:rsidRPr="001246F2">
              <w:rPr>
                <w:sz w:val="18"/>
              </w:rPr>
              <w:t>Tipo 2</w:t>
            </w:r>
          </w:p>
        </w:tc>
        <w:tc>
          <w:tcPr>
            <w:tcW w:w="1361" w:type="dxa"/>
            <w:vAlign w:val="center"/>
          </w:tcPr>
          <w:p w:rsidR="0050744A" w:rsidRPr="001246F2" w:rsidRDefault="0050744A" w:rsidP="00343413">
            <w:pPr>
              <w:pStyle w:val="Tablehead"/>
              <w:rPr>
                <w:sz w:val="18"/>
              </w:rPr>
            </w:pPr>
            <w:r w:rsidRPr="001246F2">
              <w:rPr>
                <w:rFonts w:eastAsia="MS PGothic"/>
                <w:sz w:val="18"/>
              </w:rPr>
              <w:t xml:space="preserve">GBAS </w:t>
            </w:r>
            <w:r w:rsidRPr="001246F2">
              <w:rPr>
                <w:rFonts w:eastAsia="MS PGothic"/>
                <w:sz w:val="18"/>
              </w:rPr>
              <w:br/>
              <w:t>Categoría II/III</w:t>
            </w:r>
            <w:r w:rsidRPr="001246F2">
              <w:rPr>
                <w:rFonts w:eastAsia="MS PGothic"/>
                <w:sz w:val="18"/>
              </w:rPr>
              <w:br/>
            </w:r>
            <w:r w:rsidRPr="001246F2">
              <w:rPr>
                <w:sz w:val="18"/>
              </w:rPr>
              <w:t>Tipo 1</w:t>
            </w:r>
          </w:p>
        </w:tc>
        <w:tc>
          <w:tcPr>
            <w:tcW w:w="1361" w:type="dxa"/>
            <w:vAlign w:val="center"/>
          </w:tcPr>
          <w:p w:rsidR="0050744A" w:rsidRPr="001246F2" w:rsidRDefault="0050744A" w:rsidP="00343413">
            <w:pPr>
              <w:pStyle w:val="Tablehead"/>
              <w:rPr>
                <w:rFonts w:eastAsia="MS PGothic"/>
                <w:sz w:val="18"/>
              </w:rPr>
            </w:pPr>
            <w:r w:rsidRPr="001246F2">
              <w:rPr>
                <w:rFonts w:eastAsia="MS PGothic"/>
                <w:sz w:val="18"/>
              </w:rPr>
              <w:t xml:space="preserve">GBAS </w:t>
            </w:r>
            <w:r w:rsidRPr="001246F2">
              <w:rPr>
                <w:rFonts w:eastAsia="MS PGothic"/>
                <w:sz w:val="18"/>
              </w:rPr>
              <w:br/>
              <w:t>Categoría II/III</w:t>
            </w:r>
            <w:r w:rsidRPr="001246F2">
              <w:rPr>
                <w:rFonts w:eastAsia="MS PGothic"/>
                <w:sz w:val="18"/>
              </w:rPr>
              <w:br/>
            </w:r>
            <w:r w:rsidRPr="001246F2">
              <w:rPr>
                <w:sz w:val="18"/>
              </w:rPr>
              <w:t>Tipo 2</w:t>
            </w:r>
          </w:p>
        </w:tc>
        <w:tc>
          <w:tcPr>
            <w:tcW w:w="1020" w:type="dxa"/>
            <w:vAlign w:val="center"/>
          </w:tcPr>
          <w:p w:rsidR="0050744A" w:rsidRPr="001246F2" w:rsidRDefault="0050744A" w:rsidP="00343413">
            <w:pPr>
              <w:pStyle w:val="Tablehead"/>
              <w:rPr>
                <w:rFonts w:eastAsia="MS PGothic"/>
                <w:sz w:val="18"/>
              </w:rPr>
            </w:pPr>
            <w:r w:rsidRPr="001246F2">
              <w:rPr>
                <w:rFonts w:eastAsia="MS PGothic"/>
                <w:sz w:val="18"/>
              </w:rPr>
              <w:t>Receptor de</w:t>
            </w:r>
            <w:r w:rsidR="00206C9E" w:rsidRPr="001246F2">
              <w:rPr>
                <w:rFonts w:eastAsia="MS PGothic"/>
                <w:sz w:val="18"/>
              </w:rPr>
              <w:t xml:space="preserve"> </w:t>
            </w:r>
            <w:r w:rsidRPr="001246F2">
              <w:rPr>
                <w:rFonts w:eastAsia="MS PGothic"/>
                <w:sz w:val="18"/>
              </w:rPr>
              <w:t>referencia en tierra</w:t>
            </w:r>
            <w:r w:rsidRPr="001246F2">
              <w:rPr>
                <w:rFonts w:eastAsia="MS PGothic"/>
                <w:sz w:val="18"/>
              </w:rPr>
              <w:br/>
              <w:t>SBAS*</w:t>
            </w:r>
          </w:p>
        </w:tc>
        <w:tc>
          <w:tcPr>
            <w:tcW w:w="1361" w:type="dxa"/>
            <w:vAlign w:val="center"/>
          </w:tcPr>
          <w:p w:rsidR="0050744A" w:rsidRPr="001246F2" w:rsidRDefault="0050744A" w:rsidP="00537965">
            <w:pPr>
              <w:pStyle w:val="Tablehead"/>
              <w:rPr>
                <w:rFonts w:eastAsia="MS PGothic"/>
                <w:sz w:val="18"/>
              </w:rPr>
            </w:pPr>
            <w:r w:rsidRPr="001246F2">
              <w:rPr>
                <w:sz w:val="18"/>
              </w:rPr>
              <w:t>Receptor con aproximación de precisión de</w:t>
            </w:r>
            <w:r w:rsidR="00537965" w:rsidRPr="001246F2">
              <w:rPr>
                <w:sz w:val="18"/>
              </w:rPr>
              <w:t xml:space="preserve"> </w:t>
            </w:r>
            <w:r w:rsidRPr="001246F2">
              <w:rPr>
                <w:sz w:val="18"/>
              </w:rPr>
              <w:t>navegación aérea</w:t>
            </w:r>
          </w:p>
        </w:tc>
        <w:tc>
          <w:tcPr>
            <w:tcW w:w="850" w:type="dxa"/>
            <w:vAlign w:val="center"/>
          </w:tcPr>
          <w:p w:rsidR="0050744A" w:rsidRPr="001246F2" w:rsidRDefault="0050744A" w:rsidP="00343413">
            <w:pPr>
              <w:pStyle w:val="Tablehead"/>
              <w:rPr>
                <w:rFonts w:eastAsia="MS PGothic"/>
                <w:sz w:val="18"/>
              </w:rPr>
            </w:pPr>
            <w:r w:rsidRPr="001246F2">
              <w:rPr>
                <w:rFonts w:eastAsia="MS PGothic"/>
                <w:sz w:val="18"/>
              </w:rPr>
              <w:t>SRNS-A</w:t>
            </w:r>
          </w:p>
        </w:tc>
        <w:tc>
          <w:tcPr>
            <w:tcW w:w="1077" w:type="dxa"/>
            <w:vAlign w:val="center"/>
          </w:tcPr>
          <w:p w:rsidR="0050744A" w:rsidRPr="001246F2" w:rsidRDefault="0050744A" w:rsidP="00343413">
            <w:pPr>
              <w:pStyle w:val="Tablehead"/>
              <w:rPr>
                <w:rFonts w:eastAsia="MS PGothic"/>
                <w:sz w:val="18"/>
              </w:rPr>
            </w:pPr>
            <w:r w:rsidRPr="001246F2">
              <w:rPr>
                <w:rFonts w:eastAsia="MS PGothic"/>
                <w:sz w:val="18"/>
              </w:rPr>
              <w:t>Polivalente N° 1</w:t>
            </w:r>
          </w:p>
        </w:tc>
        <w:tc>
          <w:tcPr>
            <w:tcW w:w="1077" w:type="dxa"/>
            <w:tcMar>
              <w:top w:w="0" w:type="dxa"/>
              <w:left w:w="28" w:type="dxa"/>
              <w:bottom w:w="0" w:type="dxa"/>
              <w:right w:w="28" w:type="dxa"/>
            </w:tcMar>
            <w:vAlign w:val="center"/>
          </w:tcPr>
          <w:p w:rsidR="0050744A" w:rsidRPr="001246F2" w:rsidRDefault="0050744A" w:rsidP="00343413">
            <w:pPr>
              <w:pStyle w:val="Tablehead"/>
              <w:rPr>
                <w:rFonts w:eastAsia="MS PGothic"/>
                <w:sz w:val="18"/>
              </w:rPr>
            </w:pPr>
            <w:r w:rsidRPr="001246F2">
              <w:rPr>
                <w:rFonts w:eastAsia="MS PGothic"/>
                <w:sz w:val="18"/>
              </w:rPr>
              <w:t>Polivalente N° 2</w:t>
            </w:r>
          </w:p>
        </w:tc>
        <w:tc>
          <w:tcPr>
            <w:tcW w:w="964" w:type="dxa"/>
            <w:tcMar>
              <w:top w:w="0" w:type="dxa"/>
              <w:left w:w="28" w:type="dxa"/>
              <w:bottom w:w="0" w:type="dxa"/>
              <w:right w:w="28" w:type="dxa"/>
            </w:tcMar>
            <w:vAlign w:val="center"/>
          </w:tcPr>
          <w:p w:rsidR="0050744A" w:rsidRPr="001246F2" w:rsidRDefault="0050744A" w:rsidP="00343413">
            <w:pPr>
              <w:pStyle w:val="Tablehead"/>
              <w:rPr>
                <w:sz w:val="18"/>
              </w:rPr>
            </w:pPr>
            <w:r w:rsidRPr="001246F2">
              <w:rPr>
                <w:rFonts w:eastAsia="MS PGothic"/>
                <w:sz w:val="18"/>
              </w:rPr>
              <w:t>Posiciona-</w:t>
            </w:r>
            <w:r w:rsidRPr="001246F2">
              <w:rPr>
                <w:rFonts w:eastAsia="MS PGothic"/>
                <w:sz w:val="18"/>
              </w:rPr>
              <w:br/>
              <w:t>miento en interiores</w:t>
            </w:r>
          </w:p>
        </w:tc>
        <w:tc>
          <w:tcPr>
            <w:tcW w:w="1444" w:type="dxa"/>
            <w:gridSpan w:val="2"/>
            <w:tcMar>
              <w:top w:w="0" w:type="dxa"/>
              <w:left w:w="28" w:type="dxa"/>
              <w:bottom w:w="0" w:type="dxa"/>
              <w:right w:w="28" w:type="dxa"/>
            </w:tcMar>
            <w:vAlign w:val="center"/>
          </w:tcPr>
          <w:p w:rsidR="0050744A" w:rsidRPr="001246F2" w:rsidRDefault="0050744A" w:rsidP="00343413">
            <w:pPr>
              <w:pStyle w:val="Tablehead"/>
              <w:rPr>
                <w:rFonts w:eastAsia="MS PGothic"/>
                <w:sz w:val="18"/>
              </w:rPr>
            </w:pPr>
            <w:r w:rsidRPr="001246F2">
              <w:rPr>
                <w:rFonts w:eastAsia="MS PGothic"/>
                <w:sz w:val="18"/>
              </w:rPr>
              <w:t xml:space="preserve">Alta precisión* (Nota </w:t>
            </w:r>
            <w:r w:rsidRPr="001246F2">
              <w:rPr>
                <w:sz w:val="18"/>
              </w:rPr>
              <w:t>11</w:t>
            </w:r>
            <w:r w:rsidRPr="001246F2">
              <w:rPr>
                <w:rFonts w:eastAsia="MS PGothic"/>
                <w:sz w:val="18"/>
              </w:rPr>
              <w:t>)</w:t>
            </w:r>
          </w:p>
        </w:tc>
      </w:tr>
      <w:tr w:rsidR="0050744A" w:rsidRPr="001246F2" w:rsidTr="00537965">
        <w:trPr>
          <w:cantSplit/>
          <w:jc w:val="center"/>
        </w:trPr>
        <w:tc>
          <w:tcPr>
            <w:tcW w:w="1474" w:type="dxa"/>
            <w:vAlign w:val="center"/>
          </w:tcPr>
          <w:p w:rsidR="0050744A" w:rsidRPr="001246F2" w:rsidRDefault="00343413" w:rsidP="00797219">
            <w:pPr>
              <w:pStyle w:val="Tabletext"/>
              <w:jc w:val="left"/>
              <w:rPr>
                <w:rFonts w:eastAsia="MS PGothic"/>
                <w:sz w:val="18"/>
              </w:rPr>
            </w:pPr>
            <w:r w:rsidRPr="001246F2">
              <w:rPr>
                <w:rFonts w:eastAsia="MS PGothic"/>
                <w:sz w:val="18"/>
              </w:rPr>
              <w:t xml:space="preserve">Nivel de potencia umbral en modo seguimiento de la interferencia </w:t>
            </w:r>
            <w:r w:rsidR="001246F2" w:rsidRPr="001246F2">
              <w:rPr>
                <w:rFonts w:eastAsia="MS PGothic"/>
                <w:sz w:val="18"/>
              </w:rPr>
              <w:t>combinada</w:t>
            </w:r>
            <w:r w:rsidRPr="001246F2">
              <w:rPr>
                <w:rFonts w:eastAsia="MS PGothic"/>
                <w:sz w:val="18"/>
              </w:rPr>
              <w:t xml:space="preserve"> de banda estrecha a la salida de</w:t>
            </w:r>
            <w:r w:rsidR="00797219" w:rsidRPr="001246F2">
              <w:rPr>
                <w:rFonts w:eastAsia="MS PGothic"/>
                <w:sz w:val="18"/>
              </w:rPr>
              <w:t xml:space="preserve"> </w:t>
            </w:r>
            <w:r w:rsidRPr="001246F2">
              <w:rPr>
                <w:rFonts w:eastAsia="MS PGothic"/>
                <w:sz w:val="18"/>
              </w:rPr>
              <w:t>la antena pasiva</w:t>
            </w:r>
            <w:r w:rsidR="0050744A" w:rsidRPr="001246F2">
              <w:rPr>
                <w:rFonts w:eastAsia="MS PGothic"/>
                <w:sz w:val="18"/>
              </w:rPr>
              <w:t xml:space="preserve"> (dBW)</w:t>
            </w:r>
          </w:p>
        </w:tc>
        <w:tc>
          <w:tcPr>
            <w:tcW w:w="1191" w:type="dxa"/>
          </w:tcPr>
          <w:p w:rsidR="0050744A" w:rsidRPr="001246F2" w:rsidRDefault="0050744A" w:rsidP="002C0CF2">
            <w:pPr>
              <w:pStyle w:val="Tabletext"/>
              <w:ind w:left="-57" w:right="-57"/>
              <w:jc w:val="center"/>
              <w:rPr>
                <w:rFonts w:eastAsia="MS PGothic"/>
                <w:sz w:val="18"/>
                <w:lang w:eastAsia="ja-JP"/>
              </w:rPr>
            </w:pPr>
            <w:r w:rsidRPr="001246F2">
              <w:rPr>
                <w:rFonts w:eastAsia="MS PGothic"/>
                <w:sz w:val="18"/>
              </w:rPr>
              <w:t>−150</w:t>
            </w:r>
            <w:r w:rsidR="00537E26" w:rsidRPr="001246F2">
              <w:rPr>
                <w:rFonts w:eastAsia="MS PGothic"/>
                <w:sz w:val="18"/>
              </w:rPr>
              <w:t>,</w:t>
            </w:r>
            <w:r w:rsidRPr="001246F2">
              <w:rPr>
                <w:rFonts w:eastAsia="MS PGothic"/>
                <w:sz w:val="18"/>
              </w:rPr>
              <w:t>5</w:t>
            </w:r>
            <w:r w:rsidRPr="001246F2">
              <w:rPr>
                <w:rFonts w:eastAsia="MS PGothic"/>
                <w:sz w:val="18"/>
                <w:vertAlign w:val="superscript"/>
              </w:rPr>
              <w:br/>
            </w:r>
            <w:r w:rsidR="00206C9E" w:rsidRPr="001246F2">
              <w:rPr>
                <w:rFonts w:eastAsia="MS PGothic"/>
                <w:sz w:val="18"/>
                <w:lang w:eastAsia="ja-JP"/>
              </w:rPr>
              <w:t>(Notas</w:t>
            </w:r>
            <w:r w:rsidRPr="001246F2">
              <w:rPr>
                <w:rFonts w:eastAsia="MS PGothic"/>
                <w:sz w:val="18"/>
              </w:rPr>
              <w:t xml:space="preserve"> 0 </w:t>
            </w:r>
            <w:r w:rsidR="00206C9E" w:rsidRPr="001246F2">
              <w:rPr>
                <w:rFonts w:eastAsia="MS PGothic"/>
                <w:sz w:val="18"/>
              </w:rPr>
              <w:t>y</w:t>
            </w:r>
            <w:r w:rsidRPr="001246F2">
              <w:rPr>
                <w:rFonts w:eastAsia="MS PGothic"/>
                <w:sz w:val="18"/>
              </w:rPr>
              <w:t> 1</w:t>
            </w:r>
            <w:r w:rsidRPr="001246F2">
              <w:rPr>
                <w:rFonts w:eastAsia="MS PGothic"/>
                <w:sz w:val="18"/>
                <w:lang w:eastAsia="ja-JP"/>
              </w:rPr>
              <w:t>)</w:t>
            </w:r>
          </w:p>
        </w:tc>
        <w:tc>
          <w:tcPr>
            <w:tcW w:w="1304" w:type="dxa"/>
          </w:tcPr>
          <w:p w:rsidR="0050744A" w:rsidRPr="001246F2" w:rsidRDefault="0050744A" w:rsidP="002C0CF2">
            <w:pPr>
              <w:pStyle w:val="Tabletext"/>
              <w:ind w:left="-57" w:right="-57"/>
              <w:jc w:val="center"/>
              <w:rPr>
                <w:rFonts w:eastAsia="MS PGothic"/>
                <w:sz w:val="18"/>
                <w:lang w:eastAsia="ja-JP"/>
              </w:rPr>
            </w:pPr>
            <w:r w:rsidRPr="001246F2">
              <w:rPr>
                <w:rFonts w:eastAsia="MS PGothic"/>
                <w:sz w:val="18"/>
              </w:rPr>
              <w:t>−149</w:t>
            </w:r>
            <w:r w:rsidRPr="001246F2">
              <w:rPr>
                <w:rFonts w:eastAsia="MS PGothic"/>
                <w:sz w:val="18"/>
                <w:vertAlign w:val="superscript"/>
                <w:lang w:eastAsia="ja-JP"/>
              </w:rPr>
              <w:br/>
            </w:r>
            <w:r w:rsidR="00206C9E" w:rsidRPr="001246F2">
              <w:rPr>
                <w:rFonts w:eastAsia="MS PGothic"/>
                <w:sz w:val="18"/>
                <w:lang w:eastAsia="ja-JP"/>
              </w:rPr>
              <w:t>(Notas</w:t>
            </w:r>
            <w:r w:rsidRPr="001246F2">
              <w:rPr>
                <w:rFonts w:eastAsia="MS PGothic"/>
                <w:sz w:val="18"/>
                <w:lang w:eastAsia="ja-JP"/>
              </w:rPr>
              <w:t xml:space="preserve"> 3 </w:t>
            </w:r>
            <w:r w:rsidR="00206C9E" w:rsidRPr="001246F2">
              <w:rPr>
                <w:rFonts w:eastAsia="MS PGothic"/>
                <w:sz w:val="18"/>
                <w:lang w:eastAsia="ja-JP"/>
              </w:rPr>
              <w:t>y</w:t>
            </w:r>
            <w:r w:rsidRPr="001246F2">
              <w:rPr>
                <w:rFonts w:eastAsia="MS PGothic"/>
                <w:sz w:val="18"/>
                <w:lang w:eastAsia="ja-JP"/>
              </w:rPr>
              <w:t> 14)</w:t>
            </w:r>
          </w:p>
        </w:tc>
        <w:tc>
          <w:tcPr>
            <w:tcW w:w="1361" w:type="dxa"/>
          </w:tcPr>
          <w:p w:rsidR="0050744A" w:rsidRPr="001246F2" w:rsidRDefault="0050744A" w:rsidP="002C0CF2">
            <w:pPr>
              <w:pStyle w:val="Tabletext"/>
              <w:ind w:left="-57" w:right="-57"/>
              <w:jc w:val="center"/>
              <w:rPr>
                <w:rFonts w:eastAsia="MS PGothic"/>
                <w:sz w:val="18"/>
                <w:lang w:eastAsia="ja-JP"/>
              </w:rPr>
            </w:pPr>
            <w:r w:rsidRPr="001246F2">
              <w:rPr>
                <w:rFonts w:eastAsia="MS PGothic"/>
                <w:sz w:val="18"/>
              </w:rPr>
              <w:t>−150</w:t>
            </w:r>
            <w:r w:rsidR="00537E26" w:rsidRPr="001246F2">
              <w:rPr>
                <w:rFonts w:eastAsia="MS PGothic"/>
                <w:sz w:val="18"/>
              </w:rPr>
              <w:t>,</w:t>
            </w:r>
            <w:r w:rsidRPr="001246F2">
              <w:rPr>
                <w:rFonts w:eastAsia="MS PGothic"/>
                <w:sz w:val="18"/>
              </w:rPr>
              <w:t>5</w:t>
            </w:r>
            <w:r w:rsidRPr="001246F2">
              <w:rPr>
                <w:rFonts w:eastAsia="MS PGothic"/>
                <w:sz w:val="18"/>
                <w:vertAlign w:val="superscript"/>
              </w:rPr>
              <w:br/>
            </w:r>
            <w:r w:rsidR="00206C9E" w:rsidRPr="001246F2">
              <w:rPr>
                <w:rFonts w:eastAsia="MS PGothic"/>
                <w:sz w:val="18"/>
                <w:lang w:eastAsia="ja-JP"/>
              </w:rPr>
              <w:t>(Notas</w:t>
            </w:r>
            <w:r w:rsidRPr="001246F2">
              <w:rPr>
                <w:rFonts w:eastAsia="MS PGothic"/>
                <w:sz w:val="18"/>
              </w:rPr>
              <w:t xml:space="preserve"> 0 </w:t>
            </w:r>
            <w:r w:rsidR="00206C9E" w:rsidRPr="001246F2">
              <w:rPr>
                <w:rFonts w:eastAsia="MS PGothic"/>
                <w:sz w:val="18"/>
              </w:rPr>
              <w:t>y</w:t>
            </w:r>
            <w:r w:rsidRPr="001246F2">
              <w:rPr>
                <w:rFonts w:eastAsia="MS PGothic"/>
                <w:sz w:val="18"/>
              </w:rPr>
              <w:t> 1</w:t>
            </w:r>
            <w:r w:rsidRPr="001246F2">
              <w:rPr>
                <w:rFonts w:eastAsia="MS PGothic"/>
                <w:sz w:val="18"/>
                <w:lang w:eastAsia="ja-JP"/>
              </w:rPr>
              <w:t>)</w:t>
            </w:r>
          </w:p>
        </w:tc>
        <w:tc>
          <w:tcPr>
            <w:tcW w:w="1361" w:type="dxa"/>
          </w:tcPr>
          <w:p w:rsidR="0050744A" w:rsidRPr="001246F2" w:rsidRDefault="0050744A" w:rsidP="002C0CF2">
            <w:pPr>
              <w:pStyle w:val="Tabletext"/>
              <w:ind w:left="-57" w:right="-57"/>
              <w:jc w:val="center"/>
              <w:rPr>
                <w:rFonts w:eastAsia="MS PGothic"/>
                <w:sz w:val="18"/>
                <w:lang w:eastAsia="ja-JP"/>
              </w:rPr>
            </w:pPr>
            <w:r w:rsidRPr="001246F2">
              <w:rPr>
                <w:rFonts w:eastAsia="MS PGothic"/>
                <w:sz w:val="18"/>
              </w:rPr>
              <w:t>−149</w:t>
            </w:r>
            <w:r w:rsidRPr="001246F2">
              <w:rPr>
                <w:rFonts w:eastAsia="MS PGothic"/>
                <w:sz w:val="18"/>
                <w:vertAlign w:val="superscript"/>
                <w:lang w:eastAsia="ja-JP"/>
              </w:rPr>
              <w:br/>
            </w:r>
            <w:r w:rsidR="00206C9E" w:rsidRPr="001246F2">
              <w:rPr>
                <w:rFonts w:eastAsia="MS PGothic"/>
                <w:sz w:val="18"/>
                <w:lang w:eastAsia="ja-JP"/>
              </w:rPr>
              <w:t>(Notas</w:t>
            </w:r>
            <w:r w:rsidRPr="001246F2">
              <w:rPr>
                <w:rFonts w:eastAsia="MS PGothic"/>
                <w:sz w:val="18"/>
                <w:lang w:eastAsia="ja-JP"/>
              </w:rPr>
              <w:t xml:space="preserve"> 3 </w:t>
            </w:r>
            <w:r w:rsidR="00206C9E" w:rsidRPr="001246F2">
              <w:rPr>
                <w:rFonts w:eastAsia="MS PGothic"/>
                <w:sz w:val="18"/>
                <w:lang w:eastAsia="ja-JP"/>
              </w:rPr>
              <w:t>y</w:t>
            </w:r>
            <w:r w:rsidRPr="001246F2">
              <w:rPr>
                <w:rFonts w:eastAsia="MS PGothic"/>
                <w:sz w:val="18"/>
                <w:lang w:eastAsia="ja-JP"/>
              </w:rPr>
              <w:t> 14)</w:t>
            </w:r>
          </w:p>
        </w:tc>
        <w:tc>
          <w:tcPr>
            <w:tcW w:w="1020" w:type="dxa"/>
          </w:tcPr>
          <w:p w:rsidR="0050744A" w:rsidRPr="001246F2" w:rsidRDefault="0050744A" w:rsidP="002C0CF2">
            <w:pPr>
              <w:pStyle w:val="Tabletext"/>
              <w:ind w:left="-57" w:right="-57"/>
              <w:jc w:val="center"/>
              <w:rPr>
                <w:rFonts w:eastAsia="MS PGothic"/>
                <w:sz w:val="18"/>
              </w:rPr>
            </w:pPr>
            <w:r w:rsidRPr="001246F2">
              <w:rPr>
                <w:rFonts w:eastAsia="MS PGothic"/>
                <w:sz w:val="18"/>
              </w:rPr>
              <w:t>−160</w:t>
            </w:r>
            <w:r w:rsidR="00537E26" w:rsidRPr="001246F2">
              <w:rPr>
                <w:rFonts w:eastAsia="MS PGothic"/>
                <w:sz w:val="18"/>
              </w:rPr>
              <w:t>,</w:t>
            </w:r>
            <w:r w:rsidRPr="001246F2">
              <w:rPr>
                <w:rFonts w:eastAsia="MS PGothic"/>
                <w:sz w:val="18"/>
              </w:rPr>
              <w:t>0</w:t>
            </w:r>
            <w:r w:rsidRPr="001246F2">
              <w:rPr>
                <w:rFonts w:eastAsia="MS PGothic"/>
                <w:sz w:val="18"/>
                <w:vertAlign w:val="superscript"/>
              </w:rPr>
              <w:br/>
            </w:r>
            <w:r w:rsidR="00206C9E" w:rsidRPr="001246F2">
              <w:rPr>
                <w:rFonts w:eastAsia="MS PGothic"/>
                <w:sz w:val="18"/>
                <w:lang w:eastAsia="ja-JP"/>
              </w:rPr>
              <w:t>(Nota</w:t>
            </w:r>
            <w:r w:rsidRPr="001246F2">
              <w:rPr>
                <w:rFonts w:eastAsia="MS PGothic"/>
                <w:sz w:val="18"/>
              </w:rPr>
              <w:t xml:space="preserve"> </w:t>
            </w:r>
            <w:r w:rsidRPr="001246F2">
              <w:rPr>
                <w:sz w:val="18"/>
              </w:rPr>
              <w:t>9</w:t>
            </w:r>
            <w:r w:rsidRPr="001246F2">
              <w:rPr>
                <w:rFonts w:eastAsia="MS PGothic"/>
                <w:sz w:val="18"/>
                <w:lang w:eastAsia="ja-JP"/>
              </w:rPr>
              <w:t>)</w:t>
            </w:r>
          </w:p>
        </w:tc>
        <w:tc>
          <w:tcPr>
            <w:tcW w:w="1361" w:type="dxa"/>
          </w:tcPr>
          <w:p w:rsidR="0050744A" w:rsidRPr="001246F2" w:rsidRDefault="0050744A" w:rsidP="002C0CF2">
            <w:pPr>
              <w:pStyle w:val="Tabletext"/>
              <w:ind w:left="-57" w:right="-57"/>
              <w:jc w:val="center"/>
              <w:rPr>
                <w:rFonts w:eastAsia="MS PGothic"/>
                <w:sz w:val="18"/>
                <w:vertAlign w:val="superscript"/>
                <w:lang w:eastAsia="ja-JP"/>
              </w:rPr>
            </w:pPr>
            <w:r w:rsidRPr="001246F2">
              <w:rPr>
                <w:rFonts w:eastAsia="MS PGothic"/>
                <w:sz w:val="18"/>
              </w:rPr>
              <w:t>−149</w:t>
            </w:r>
          </w:p>
          <w:p w:rsidR="0050744A" w:rsidRPr="001246F2" w:rsidRDefault="00206C9E" w:rsidP="002C0CF2">
            <w:pPr>
              <w:pStyle w:val="Tabletext"/>
              <w:ind w:left="-57" w:right="-57"/>
              <w:jc w:val="center"/>
              <w:rPr>
                <w:rFonts w:eastAsia="MS PGothic"/>
                <w:sz w:val="18"/>
                <w:lang w:eastAsia="ja-JP"/>
              </w:rPr>
            </w:pPr>
            <w:r w:rsidRPr="001246F2">
              <w:rPr>
                <w:rFonts w:eastAsia="MS PGothic"/>
                <w:sz w:val="18"/>
                <w:lang w:eastAsia="ja-JP"/>
              </w:rPr>
              <w:t>(Notas</w:t>
            </w:r>
            <w:r w:rsidR="0050744A" w:rsidRPr="001246F2">
              <w:rPr>
                <w:rFonts w:eastAsia="MS PGothic"/>
                <w:sz w:val="18"/>
                <w:lang w:eastAsia="ja-JP"/>
              </w:rPr>
              <w:t xml:space="preserve"> 3 </w:t>
            </w:r>
            <w:r w:rsidRPr="001246F2">
              <w:rPr>
                <w:rFonts w:eastAsia="MS PGothic"/>
                <w:sz w:val="18"/>
                <w:lang w:eastAsia="ja-JP"/>
              </w:rPr>
              <w:t>y</w:t>
            </w:r>
            <w:r w:rsidR="0050744A" w:rsidRPr="001246F2">
              <w:rPr>
                <w:rFonts w:eastAsia="MS PGothic"/>
                <w:sz w:val="18"/>
                <w:lang w:eastAsia="ja-JP"/>
              </w:rPr>
              <w:t xml:space="preserve"> 14)</w:t>
            </w:r>
          </w:p>
        </w:tc>
        <w:tc>
          <w:tcPr>
            <w:tcW w:w="850" w:type="dxa"/>
          </w:tcPr>
          <w:p w:rsidR="0050744A" w:rsidRPr="001246F2" w:rsidRDefault="0050744A" w:rsidP="002C0CF2">
            <w:pPr>
              <w:pStyle w:val="Tabletext"/>
              <w:ind w:left="-57" w:right="-57"/>
              <w:jc w:val="center"/>
              <w:rPr>
                <w:rFonts w:eastAsia="MS PGothic"/>
                <w:sz w:val="18"/>
                <w:lang w:eastAsia="ja-JP"/>
              </w:rPr>
            </w:pPr>
            <w:r w:rsidRPr="001246F2">
              <w:rPr>
                <w:rFonts w:eastAsia="MS PGothic"/>
                <w:sz w:val="18"/>
              </w:rPr>
              <w:t>−156</w:t>
            </w:r>
            <w:r w:rsidR="00537E26" w:rsidRPr="001246F2">
              <w:rPr>
                <w:rFonts w:eastAsia="MS PGothic"/>
                <w:sz w:val="18"/>
              </w:rPr>
              <w:t>,</w:t>
            </w:r>
            <w:r w:rsidRPr="001246F2">
              <w:rPr>
                <w:rFonts w:eastAsia="MS PGothic"/>
                <w:sz w:val="18"/>
              </w:rPr>
              <w:t>9</w:t>
            </w:r>
            <w:r w:rsidRPr="001246F2">
              <w:rPr>
                <w:rFonts w:eastAsia="MS PGothic"/>
                <w:sz w:val="18"/>
                <w:vertAlign w:val="superscript"/>
              </w:rPr>
              <w:br/>
            </w:r>
            <w:r w:rsidR="00206C9E" w:rsidRPr="001246F2">
              <w:rPr>
                <w:rFonts w:eastAsia="MS PGothic"/>
                <w:sz w:val="18"/>
                <w:lang w:eastAsia="ja-JP"/>
              </w:rPr>
              <w:t>(Nota</w:t>
            </w:r>
            <w:r w:rsidRPr="001246F2">
              <w:rPr>
                <w:rFonts w:eastAsia="MS PGothic"/>
                <w:sz w:val="18"/>
              </w:rPr>
              <w:t xml:space="preserve"> 1</w:t>
            </w:r>
            <w:r w:rsidRPr="001246F2">
              <w:rPr>
                <w:rFonts w:eastAsia="MS PGothic"/>
                <w:sz w:val="18"/>
                <w:lang w:eastAsia="ja-JP"/>
              </w:rPr>
              <w:t>)</w:t>
            </w:r>
          </w:p>
        </w:tc>
        <w:tc>
          <w:tcPr>
            <w:tcW w:w="1077" w:type="dxa"/>
          </w:tcPr>
          <w:p w:rsidR="0050744A" w:rsidRPr="001246F2" w:rsidRDefault="0050744A" w:rsidP="002C0CF2">
            <w:pPr>
              <w:pStyle w:val="Tabletext"/>
              <w:ind w:left="-57" w:right="-57"/>
              <w:jc w:val="center"/>
              <w:rPr>
                <w:sz w:val="18"/>
                <w:lang w:eastAsia="ja-JP"/>
              </w:rPr>
            </w:pPr>
            <w:r w:rsidRPr="001246F2">
              <w:rPr>
                <w:sz w:val="18"/>
                <w:lang w:eastAsia="ja-JP"/>
              </w:rPr>
              <w:t>−152</w:t>
            </w:r>
            <w:r w:rsidRPr="001246F2">
              <w:rPr>
                <w:sz w:val="18"/>
                <w:lang w:eastAsia="ja-JP"/>
              </w:rPr>
              <w:br/>
            </w:r>
            <w:r w:rsidR="00206C9E" w:rsidRPr="001246F2">
              <w:rPr>
                <w:sz w:val="18"/>
                <w:lang w:eastAsia="ja-JP"/>
              </w:rPr>
              <w:t>(Nota</w:t>
            </w:r>
            <w:r w:rsidRPr="001246F2">
              <w:rPr>
                <w:sz w:val="18"/>
                <w:lang w:eastAsia="ja-JP"/>
              </w:rPr>
              <w:t xml:space="preserve"> 2, </w:t>
            </w:r>
            <w:r w:rsidR="00206C9E" w:rsidRPr="001246F2">
              <w:rPr>
                <w:sz w:val="18"/>
                <w:lang w:eastAsia="ja-JP"/>
              </w:rPr>
              <w:t>AMDC</w:t>
            </w:r>
            <w:r w:rsidRPr="001246F2">
              <w:rPr>
                <w:sz w:val="18"/>
                <w:lang w:eastAsia="ja-JP"/>
              </w:rPr>
              <w:t>)</w:t>
            </w:r>
            <w:r w:rsidRPr="001246F2">
              <w:rPr>
                <w:sz w:val="18"/>
                <w:lang w:eastAsia="ja-JP"/>
              </w:rPr>
              <w:br/>
            </w:r>
            <w:r w:rsidR="00206C9E" w:rsidRPr="001246F2">
              <w:rPr>
                <w:sz w:val="18"/>
                <w:lang w:eastAsia="ja-JP"/>
              </w:rPr>
              <w:t>(Nota</w:t>
            </w:r>
            <w:r w:rsidRPr="001246F2">
              <w:rPr>
                <w:sz w:val="18"/>
                <w:lang w:eastAsia="ja-JP"/>
              </w:rPr>
              <w:t xml:space="preserve"> 3, </w:t>
            </w:r>
            <w:r w:rsidR="00206C9E" w:rsidRPr="001246F2">
              <w:rPr>
                <w:sz w:val="18"/>
                <w:lang w:eastAsia="ja-JP"/>
              </w:rPr>
              <w:t>AMDF</w:t>
            </w:r>
            <w:r w:rsidRPr="001246F2">
              <w:rPr>
                <w:sz w:val="18"/>
                <w:lang w:eastAsia="ja-JP"/>
              </w:rPr>
              <w:t>)</w:t>
            </w:r>
          </w:p>
        </w:tc>
        <w:tc>
          <w:tcPr>
            <w:tcW w:w="1077" w:type="dxa"/>
          </w:tcPr>
          <w:p w:rsidR="0050744A" w:rsidRPr="001246F2" w:rsidRDefault="0050744A" w:rsidP="002C0CF2">
            <w:pPr>
              <w:pStyle w:val="Tabletext"/>
              <w:ind w:left="-57" w:right="-57"/>
              <w:jc w:val="center"/>
              <w:rPr>
                <w:snapToGrid w:val="0"/>
                <w:sz w:val="18"/>
              </w:rPr>
            </w:pPr>
            <w:r w:rsidRPr="001246F2">
              <w:rPr>
                <w:rFonts w:eastAsia="MS PGothic"/>
                <w:sz w:val="18"/>
              </w:rPr>
              <w:t>−</w:t>
            </w:r>
            <w:r w:rsidRPr="001246F2">
              <w:rPr>
                <w:snapToGrid w:val="0"/>
                <w:sz w:val="18"/>
                <w:lang w:eastAsia="zh-CN"/>
              </w:rPr>
              <w:t>150</w:t>
            </w:r>
            <w:r w:rsidRPr="001246F2">
              <w:rPr>
                <w:snapToGrid w:val="0"/>
                <w:sz w:val="18"/>
                <w:lang w:eastAsia="zh-CN"/>
              </w:rPr>
              <w:br/>
            </w:r>
            <w:r w:rsidR="00206C9E" w:rsidRPr="001246F2">
              <w:rPr>
                <w:snapToGrid w:val="0"/>
                <w:sz w:val="18"/>
                <w:lang w:eastAsia="zh-CN"/>
              </w:rPr>
              <w:t>(Nota</w:t>
            </w:r>
            <w:r w:rsidRPr="001246F2">
              <w:rPr>
                <w:snapToGrid w:val="0"/>
                <w:sz w:val="18"/>
                <w:lang w:eastAsia="zh-CN"/>
              </w:rPr>
              <w:t xml:space="preserve"> 4)</w:t>
            </w:r>
          </w:p>
        </w:tc>
        <w:tc>
          <w:tcPr>
            <w:tcW w:w="964" w:type="dxa"/>
          </w:tcPr>
          <w:p w:rsidR="0050744A" w:rsidRPr="001246F2" w:rsidRDefault="0050744A" w:rsidP="002C0CF2">
            <w:pPr>
              <w:pStyle w:val="Tabletext"/>
              <w:ind w:left="-57" w:right="-57"/>
              <w:jc w:val="center"/>
              <w:rPr>
                <w:sz w:val="18"/>
                <w:lang w:eastAsia="ja-JP"/>
              </w:rPr>
            </w:pPr>
            <w:r w:rsidRPr="001246F2">
              <w:rPr>
                <w:sz w:val="18"/>
                <w:lang w:eastAsia="ja-JP"/>
              </w:rPr>
              <w:t>−184</w:t>
            </w:r>
            <w:r w:rsidRPr="001246F2">
              <w:rPr>
                <w:sz w:val="18"/>
                <w:lang w:eastAsia="ja-JP"/>
              </w:rPr>
              <w:br/>
            </w:r>
            <w:r w:rsidR="00206C9E" w:rsidRPr="001246F2">
              <w:rPr>
                <w:sz w:val="18"/>
                <w:lang w:eastAsia="ja-JP"/>
              </w:rPr>
              <w:t>(Nota</w:t>
            </w:r>
            <w:r w:rsidRPr="001246F2">
              <w:rPr>
                <w:sz w:val="18"/>
                <w:lang w:eastAsia="ja-JP"/>
              </w:rPr>
              <w:t xml:space="preserve"> 2, </w:t>
            </w:r>
            <w:r w:rsidR="00206C9E" w:rsidRPr="001246F2">
              <w:rPr>
                <w:sz w:val="18"/>
                <w:lang w:eastAsia="ja-JP"/>
              </w:rPr>
              <w:t>AMDC</w:t>
            </w:r>
            <w:r w:rsidRPr="001246F2">
              <w:rPr>
                <w:sz w:val="18"/>
                <w:lang w:eastAsia="ja-JP"/>
              </w:rPr>
              <w:t>)</w:t>
            </w:r>
            <w:r w:rsidRPr="001246F2">
              <w:rPr>
                <w:sz w:val="18"/>
                <w:lang w:eastAsia="ja-JP"/>
              </w:rPr>
              <w:br/>
            </w:r>
            <w:r w:rsidR="00206C9E" w:rsidRPr="001246F2">
              <w:rPr>
                <w:sz w:val="18"/>
                <w:lang w:eastAsia="ja-JP"/>
              </w:rPr>
              <w:t>(Nota</w:t>
            </w:r>
            <w:r w:rsidRPr="001246F2">
              <w:rPr>
                <w:sz w:val="18"/>
                <w:lang w:eastAsia="ja-JP"/>
              </w:rPr>
              <w:t xml:space="preserve"> 3, </w:t>
            </w:r>
            <w:r w:rsidR="00206C9E" w:rsidRPr="001246F2">
              <w:rPr>
                <w:sz w:val="18"/>
                <w:lang w:eastAsia="ja-JP"/>
              </w:rPr>
              <w:t>AMDF</w:t>
            </w:r>
            <w:r w:rsidRPr="001246F2">
              <w:rPr>
                <w:sz w:val="18"/>
                <w:lang w:eastAsia="ja-JP"/>
              </w:rPr>
              <w:t>)</w:t>
            </w:r>
          </w:p>
        </w:tc>
        <w:tc>
          <w:tcPr>
            <w:tcW w:w="767" w:type="dxa"/>
            <w:tcMar>
              <w:top w:w="0" w:type="dxa"/>
              <w:left w:w="28" w:type="dxa"/>
              <w:bottom w:w="0" w:type="dxa"/>
              <w:right w:w="28" w:type="dxa"/>
            </w:tcMar>
          </w:tcPr>
          <w:p w:rsidR="0050744A" w:rsidRPr="001246F2" w:rsidRDefault="0050744A" w:rsidP="002C0CF2">
            <w:pPr>
              <w:pStyle w:val="Tabletext"/>
              <w:ind w:left="-57" w:right="-57"/>
              <w:jc w:val="center"/>
              <w:rPr>
                <w:rFonts w:eastAsia="MS PGothic"/>
                <w:sz w:val="18"/>
                <w:vertAlign w:val="superscript"/>
              </w:rPr>
            </w:pPr>
            <w:r w:rsidRPr="001246F2">
              <w:rPr>
                <w:rFonts w:eastAsia="MS PGothic"/>
                <w:sz w:val="18"/>
              </w:rPr>
              <w:t>−157</w:t>
            </w:r>
            <w:r w:rsidR="00537E26" w:rsidRPr="001246F2">
              <w:rPr>
                <w:rFonts w:eastAsia="MS PGothic"/>
                <w:sz w:val="18"/>
              </w:rPr>
              <w:t>,</w:t>
            </w:r>
            <w:r w:rsidRPr="001246F2">
              <w:rPr>
                <w:rFonts w:eastAsia="MS PGothic"/>
                <w:sz w:val="18"/>
              </w:rPr>
              <w:t>4</w:t>
            </w:r>
            <w:r w:rsidRPr="001246F2">
              <w:rPr>
                <w:rFonts w:eastAsia="MS PGothic"/>
                <w:sz w:val="18"/>
              </w:rPr>
              <w:br/>
            </w:r>
            <w:r w:rsidR="00206C9E" w:rsidRPr="001246F2">
              <w:rPr>
                <w:rFonts w:eastAsia="MS PGothic"/>
                <w:sz w:val="18"/>
                <w:lang w:eastAsia="ja-JP"/>
              </w:rPr>
              <w:t>(Nota</w:t>
            </w:r>
            <w:r w:rsidRPr="001246F2">
              <w:rPr>
                <w:rFonts w:eastAsia="MS PGothic"/>
                <w:sz w:val="18"/>
              </w:rPr>
              <w:t xml:space="preserve"> 1</w:t>
            </w:r>
            <w:r w:rsidRPr="001246F2">
              <w:rPr>
                <w:rFonts w:eastAsia="MS PGothic"/>
                <w:sz w:val="18"/>
                <w:lang w:eastAsia="ja-JP"/>
              </w:rPr>
              <w:t>)</w:t>
            </w:r>
          </w:p>
        </w:tc>
        <w:tc>
          <w:tcPr>
            <w:tcW w:w="677" w:type="dxa"/>
            <w:tcMar>
              <w:top w:w="0" w:type="dxa"/>
              <w:left w:w="28" w:type="dxa"/>
              <w:bottom w:w="0" w:type="dxa"/>
              <w:right w:w="28" w:type="dxa"/>
            </w:tcMar>
          </w:tcPr>
          <w:p w:rsidR="0050744A" w:rsidRPr="001246F2" w:rsidRDefault="0050744A" w:rsidP="002C0CF2">
            <w:pPr>
              <w:pStyle w:val="Tabletext"/>
              <w:ind w:left="-57" w:right="-57"/>
              <w:jc w:val="center"/>
              <w:rPr>
                <w:rFonts w:eastAsia="MS PGothic"/>
                <w:sz w:val="18"/>
                <w:lang w:eastAsia="ja-JP"/>
              </w:rPr>
            </w:pPr>
            <w:r w:rsidRPr="001246F2">
              <w:rPr>
                <w:rFonts w:eastAsia="MS PGothic"/>
                <w:sz w:val="18"/>
              </w:rPr>
              <w:t>–157</w:t>
            </w:r>
            <w:r w:rsidR="00537E26" w:rsidRPr="001246F2">
              <w:rPr>
                <w:rFonts w:eastAsia="MS PGothic"/>
                <w:sz w:val="18"/>
              </w:rPr>
              <w:t>,</w:t>
            </w:r>
            <w:r w:rsidRPr="001246F2">
              <w:rPr>
                <w:rFonts w:eastAsia="MS PGothic"/>
                <w:sz w:val="18"/>
              </w:rPr>
              <w:t>4</w:t>
            </w:r>
            <w:r w:rsidRPr="001246F2">
              <w:rPr>
                <w:rFonts w:eastAsia="MS PGothic"/>
                <w:sz w:val="18"/>
              </w:rPr>
              <w:br/>
            </w:r>
            <w:r w:rsidR="00206C9E" w:rsidRPr="001246F2">
              <w:rPr>
                <w:rFonts w:eastAsia="MS PGothic"/>
                <w:sz w:val="18"/>
              </w:rPr>
              <w:t>(Nota</w:t>
            </w:r>
            <w:r w:rsidRPr="001246F2">
              <w:rPr>
                <w:rFonts w:eastAsia="MS PGothic"/>
                <w:sz w:val="18"/>
              </w:rPr>
              <w:t xml:space="preserve"> 3)</w:t>
            </w:r>
          </w:p>
        </w:tc>
      </w:tr>
      <w:tr w:rsidR="0050744A" w:rsidRPr="001246F2" w:rsidTr="00537965">
        <w:trPr>
          <w:cantSplit/>
          <w:jc w:val="center"/>
        </w:trPr>
        <w:tc>
          <w:tcPr>
            <w:tcW w:w="1474" w:type="dxa"/>
            <w:vAlign w:val="center"/>
          </w:tcPr>
          <w:p w:rsidR="0050744A" w:rsidRPr="001246F2" w:rsidRDefault="00343413" w:rsidP="00797219">
            <w:pPr>
              <w:pStyle w:val="Tabletext"/>
              <w:jc w:val="left"/>
              <w:rPr>
                <w:rFonts w:eastAsia="MS PGothic"/>
                <w:sz w:val="18"/>
              </w:rPr>
            </w:pPr>
            <w:r w:rsidRPr="001246F2">
              <w:rPr>
                <w:rFonts w:eastAsia="MS PGothic"/>
                <w:sz w:val="18"/>
              </w:rPr>
              <w:t xml:space="preserve">Nivel de potencia umbral en modo </w:t>
            </w:r>
            <w:r w:rsidR="00797219" w:rsidRPr="001246F2">
              <w:rPr>
                <w:rFonts w:eastAsia="MS PGothic"/>
                <w:sz w:val="18"/>
              </w:rPr>
              <w:t>adquisición de la </w:t>
            </w:r>
            <w:r w:rsidRPr="001246F2">
              <w:rPr>
                <w:rFonts w:eastAsia="MS PGothic"/>
                <w:sz w:val="18"/>
              </w:rPr>
              <w:t xml:space="preserve">interferencia </w:t>
            </w:r>
            <w:r w:rsidR="001246F2" w:rsidRPr="001246F2">
              <w:rPr>
                <w:rFonts w:eastAsia="MS PGothic"/>
                <w:sz w:val="18"/>
              </w:rPr>
              <w:t>combinada</w:t>
            </w:r>
            <w:r w:rsidRPr="001246F2">
              <w:rPr>
                <w:rFonts w:eastAsia="MS PGothic"/>
                <w:sz w:val="18"/>
              </w:rPr>
              <w:t xml:space="preserve"> </w:t>
            </w:r>
            <w:r w:rsidR="00797219" w:rsidRPr="001246F2">
              <w:rPr>
                <w:rFonts w:eastAsia="MS PGothic"/>
                <w:sz w:val="18"/>
              </w:rPr>
              <w:t>de banda estrecha a la salida d</w:t>
            </w:r>
            <w:r w:rsidRPr="001246F2">
              <w:rPr>
                <w:rFonts w:eastAsia="MS PGothic"/>
                <w:sz w:val="18"/>
              </w:rPr>
              <w:t>e</w:t>
            </w:r>
            <w:r w:rsidR="00797219" w:rsidRPr="001246F2">
              <w:rPr>
                <w:rFonts w:eastAsia="MS PGothic"/>
                <w:sz w:val="18"/>
              </w:rPr>
              <w:t xml:space="preserve"> </w:t>
            </w:r>
            <w:r w:rsidRPr="001246F2">
              <w:rPr>
                <w:rFonts w:eastAsia="MS PGothic"/>
                <w:sz w:val="18"/>
              </w:rPr>
              <w:t>la antena pasiva (dBW)</w:t>
            </w:r>
          </w:p>
        </w:tc>
        <w:tc>
          <w:tcPr>
            <w:tcW w:w="1191" w:type="dxa"/>
          </w:tcPr>
          <w:p w:rsidR="0050744A" w:rsidRPr="001246F2" w:rsidRDefault="0050744A" w:rsidP="002C0CF2">
            <w:pPr>
              <w:pStyle w:val="Tabletext"/>
              <w:ind w:left="-57" w:right="-57"/>
              <w:jc w:val="center"/>
              <w:rPr>
                <w:rFonts w:eastAsia="MS PGothic"/>
                <w:sz w:val="18"/>
                <w:lang w:eastAsia="ja-JP"/>
              </w:rPr>
            </w:pPr>
            <w:r w:rsidRPr="001246F2">
              <w:rPr>
                <w:rFonts w:eastAsia="MS PGothic"/>
                <w:sz w:val="18"/>
              </w:rPr>
              <w:t>−156</w:t>
            </w:r>
            <w:r w:rsidR="00537E26" w:rsidRPr="001246F2">
              <w:rPr>
                <w:rFonts w:eastAsia="MS PGothic"/>
                <w:sz w:val="18"/>
              </w:rPr>
              <w:t>,</w:t>
            </w:r>
            <w:r w:rsidRPr="001246F2">
              <w:rPr>
                <w:rFonts w:eastAsia="MS PGothic"/>
                <w:sz w:val="18"/>
              </w:rPr>
              <w:t>5</w:t>
            </w:r>
            <w:r w:rsidRPr="001246F2">
              <w:rPr>
                <w:rFonts w:eastAsia="MS PGothic"/>
                <w:sz w:val="18"/>
                <w:vertAlign w:val="superscript"/>
              </w:rPr>
              <w:br/>
            </w:r>
            <w:r w:rsidR="00206C9E" w:rsidRPr="001246F2">
              <w:rPr>
                <w:rFonts w:eastAsia="MS PGothic"/>
                <w:sz w:val="18"/>
                <w:lang w:eastAsia="ja-JP"/>
              </w:rPr>
              <w:t>(Notas</w:t>
            </w:r>
            <w:r w:rsidRPr="001246F2">
              <w:rPr>
                <w:rFonts w:eastAsia="MS PGothic"/>
                <w:sz w:val="18"/>
              </w:rPr>
              <w:t xml:space="preserve"> 0 </w:t>
            </w:r>
            <w:r w:rsidR="00206C9E" w:rsidRPr="001246F2">
              <w:rPr>
                <w:rFonts w:eastAsia="MS PGothic"/>
                <w:sz w:val="18"/>
              </w:rPr>
              <w:t>y</w:t>
            </w:r>
            <w:r w:rsidRPr="001246F2">
              <w:rPr>
                <w:rFonts w:eastAsia="MS PGothic"/>
                <w:sz w:val="18"/>
              </w:rPr>
              <w:t> 1</w:t>
            </w:r>
            <w:r w:rsidRPr="001246F2">
              <w:rPr>
                <w:rFonts w:eastAsia="MS PGothic"/>
                <w:sz w:val="18"/>
                <w:lang w:eastAsia="ja-JP"/>
              </w:rPr>
              <w:t>)</w:t>
            </w:r>
          </w:p>
        </w:tc>
        <w:tc>
          <w:tcPr>
            <w:tcW w:w="1304" w:type="dxa"/>
          </w:tcPr>
          <w:p w:rsidR="0050744A" w:rsidRPr="001246F2" w:rsidRDefault="0050744A" w:rsidP="002C0CF2">
            <w:pPr>
              <w:pStyle w:val="Tabletext"/>
              <w:ind w:left="-57" w:right="-57"/>
              <w:jc w:val="center"/>
              <w:rPr>
                <w:sz w:val="18"/>
                <w:lang w:eastAsia="ja-JP"/>
              </w:rPr>
            </w:pPr>
            <w:r w:rsidRPr="001246F2">
              <w:rPr>
                <w:rFonts w:eastAsia="MS PGothic"/>
                <w:sz w:val="18"/>
              </w:rPr>
              <w:t>−155</w:t>
            </w:r>
            <w:r w:rsidRPr="001246F2">
              <w:rPr>
                <w:rFonts w:eastAsia="MS PGothic"/>
                <w:sz w:val="18"/>
                <w:vertAlign w:val="superscript"/>
                <w:lang w:eastAsia="ja-JP"/>
              </w:rPr>
              <w:br/>
            </w:r>
            <w:r w:rsidR="00206C9E" w:rsidRPr="001246F2">
              <w:rPr>
                <w:rFonts w:eastAsia="MS PGothic"/>
                <w:sz w:val="18"/>
                <w:lang w:eastAsia="ja-JP"/>
              </w:rPr>
              <w:t>(Notas</w:t>
            </w:r>
            <w:r w:rsidRPr="001246F2">
              <w:rPr>
                <w:rFonts w:eastAsia="MS PGothic"/>
                <w:sz w:val="18"/>
                <w:lang w:eastAsia="ja-JP"/>
              </w:rPr>
              <w:t xml:space="preserve"> 3 </w:t>
            </w:r>
            <w:r w:rsidR="00206C9E" w:rsidRPr="001246F2">
              <w:rPr>
                <w:rFonts w:eastAsia="MS PGothic"/>
                <w:sz w:val="18"/>
                <w:lang w:eastAsia="ja-JP"/>
              </w:rPr>
              <w:t>y</w:t>
            </w:r>
            <w:r w:rsidRPr="001246F2">
              <w:rPr>
                <w:rFonts w:eastAsia="MS PGothic"/>
                <w:sz w:val="18"/>
                <w:lang w:eastAsia="ja-JP"/>
              </w:rPr>
              <w:t> 14)</w:t>
            </w:r>
          </w:p>
        </w:tc>
        <w:tc>
          <w:tcPr>
            <w:tcW w:w="1361" w:type="dxa"/>
          </w:tcPr>
          <w:p w:rsidR="0050744A" w:rsidRPr="001246F2" w:rsidRDefault="0050744A" w:rsidP="002C0CF2">
            <w:pPr>
              <w:pStyle w:val="Tabletext"/>
              <w:ind w:left="-57" w:right="-57"/>
              <w:jc w:val="center"/>
              <w:rPr>
                <w:rFonts w:eastAsia="MS PGothic"/>
                <w:sz w:val="18"/>
              </w:rPr>
            </w:pPr>
            <w:r w:rsidRPr="001246F2">
              <w:rPr>
                <w:rFonts w:eastAsia="MS PGothic"/>
                <w:sz w:val="18"/>
              </w:rPr>
              <w:t>−156</w:t>
            </w:r>
            <w:r w:rsidR="00537E26" w:rsidRPr="001246F2">
              <w:rPr>
                <w:rFonts w:eastAsia="MS PGothic"/>
                <w:sz w:val="18"/>
              </w:rPr>
              <w:t>,</w:t>
            </w:r>
            <w:r w:rsidRPr="001246F2">
              <w:rPr>
                <w:rFonts w:eastAsia="MS PGothic"/>
                <w:sz w:val="18"/>
              </w:rPr>
              <w:t>5</w:t>
            </w:r>
            <w:r w:rsidRPr="001246F2">
              <w:rPr>
                <w:rFonts w:eastAsia="MS PGothic"/>
                <w:sz w:val="18"/>
                <w:vertAlign w:val="superscript"/>
              </w:rPr>
              <w:br/>
            </w:r>
            <w:r w:rsidR="00206C9E" w:rsidRPr="001246F2">
              <w:rPr>
                <w:rFonts w:eastAsia="MS PGothic"/>
                <w:sz w:val="18"/>
                <w:lang w:eastAsia="ja-JP"/>
              </w:rPr>
              <w:t>(Notas</w:t>
            </w:r>
            <w:r w:rsidRPr="001246F2">
              <w:rPr>
                <w:rFonts w:eastAsia="MS PGothic"/>
                <w:sz w:val="18"/>
              </w:rPr>
              <w:t xml:space="preserve"> 0 </w:t>
            </w:r>
            <w:r w:rsidR="00206C9E" w:rsidRPr="001246F2">
              <w:rPr>
                <w:rFonts w:eastAsia="MS PGothic"/>
                <w:sz w:val="18"/>
              </w:rPr>
              <w:t>y</w:t>
            </w:r>
            <w:r w:rsidRPr="001246F2">
              <w:rPr>
                <w:rFonts w:eastAsia="MS PGothic"/>
                <w:sz w:val="18"/>
              </w:rPr>
              <w:t> 1</w:t>
            </w:r>
            <w:r w:rsidRPr="001246F2">
              <w:rPr>
                <w:rFonts w:eastAsia="MS PGothic"/>
                <w:sz w:val="18"/>
                <w:lang w:eastAsia="ja-JP"/>
              </w:rPr>
              <w:t>)</w:t>
            </w:r>
          </w:p>
        </w:tc>
        <w:tc>
          <w:tcPr>
            <w:tcW w:w="1361" w:type="dxa"/>
          </w:tcPr>
          <w:p w:rsidR="0050744A" w:rsidRPr="001246F2" w:rsidRDefault="0050744A" w:rsidP="002C0CF2">
            <w:pPr>
              <w:pStyle w:val="Tabletext"/>
              <w:ind w:left="-57" w:right="-57"/>
              <w:jc w:val="center"/>
              <w:rPr>
                <w:sz w:val="18"/>
                <w:lang w:eastAsia="ja-JP"/>
              </w:rPr>
            </w:pPr>
            <w:r w:rsidRPr="001246F2">
              <w:rPr>
                <w:rFonts w:eastAsia="MS PGothic"/>
                <w:sz w:val="18"/>
              </w:rPr>
              <w:t>−155</w:t>
            </w:r>
            <w:r w:rsidRPr="001246F2">
              <w:rPr>
                <w:rFonts w:eastAsia="MS PGothic"/>
                <w:sz w:val="18"/>
                <w:vertAlign w:val="superscript"/>
                <w:lang w:eastAsia="ja-JP"/>
              </w:rPr>
              <w:br/>
            </w:r>
            <w:r w:rsidR="00206C9E" w:rsidRPr="001246F2">
              <w:rPr>
                <w:rFonts w:eastAsia="MS PGothic"/>
                <w:sz w:val="18"/>
                <w:lang w:eastAsia="ja-JP"/>
              </w:rPr>
              <w:t>(Notas</w:t>
            </w:r>
            <w:r w:rsidRPr="001246F2">
              <w:rPr>
                <w:rFonts w:eastAsia="MS PGothic"/>
                <w:sz w:val="18"/>
                <w:lang w:eastAsia="ja-JP"/>
              </w:rPr>
              <w:t xml:space="preserve"> 3 </w:t>
            </w:r>
            <w:r w:rsidR="00206C9E" w:rsidRPr="001246F2">
              <w:rPr>
                <w:rFonts w:eastAsia="MS PGothic"/>
                <w:sz w:val="18"/>
                <w:lang w:eastAsia="ja-JP"/>
              </w:rPr>
              <w:t>y</w:t>
            </w:r>
            <w:r w:rsidRPr="001246F2">
              <w:rPr>
                <w:rFonts w:eastAsia="MS PGothic"/>
                <w:sz w:val="18"/>
                <w:lang w:eastAsia="ja-JP"/>
              </w:rPr>
              <w:t> 14)</w:t>
            </w:r>
          </w:p>
        </w:tc>
        <w:tc>
          <w:tcPr>
            <w:tcW w:w="1020" w:type="dxa"/>
          </w:tcPr>
          <w:p w:rsidR="0050744A" w:rsidRPr="001246F2" w:rsidRDefault="0050744A" w:rsidP="002C0CF2">
            <w:pPr>
              <w:pStyle w:val="Tabletext"/>
              <w:ind w:left="-57" w:right="-57"/>
              <w:jc w:val="center"/>
              <w:rPr>
                <w:rFonts w:eastAsia="MS PGothic"/>
                <w:sz w:val="18"/>
              </w:rPr>
            </w:pPr>
            <w:r w:rsidRPr="001246F2">
              <w:rPr>
                <w:rFonts w:eastAsia="MS PGothic"/>
                <w:sz w:val="18"/>
              </w:rPr>
              <w:t>−157</w:t>
            </w:r>
            <w:r w:rsidR="00537E26" w:rsidRPr="001246F2">
              <w:rPr>
                <w:rFonts w:eastAsia="MS PGothic"/>
                <w:sz w:val="18"/>
              </w:rPr>
              <w:t>,</w:t>
            </w:r>
            <w:r w:rsidRPr="001246F2">
              <w:rPr>
                <w:rFonts w:eastAsia="MS PGothic"/>
                <w:sz w:val="18"/>
              </w:rPr>
              <w:t>4</w:t>
            </w:r>
            <w:r w:rsidRPr="001246F2">
              <w:rPr>
                <w:rFonts w:eastAsia="MS PGothic"/>
                <w:sz w:val="18"/>
                <w:vertAlign w:val="superscript"/>
              </w:rPr>
              <w:br/>
            </w:r>
            <w:r w:rsidR="00206C9E" w:rsidRPr="001246F2">
              <w:rPr>
                <w:rFonts w:eastAsia="MS PGothic"/>
                <w:sz w:val="18"/>
                <w:lang w:eastAsia="ja-JP"/>
              </w:rPr>
              <w:t>(Nota</w:t>
            </w:r>
            <w:r w:rsidRPr="001246F2">
              <w:rPr>
                <w:rFonts w:eastAsia="MS PGothic"/>
                <w:sz w:val="18"/>
              </w:rPr>
              <w:t xml:space="preserve"> </w:t>
            </w:r>
            <w:r w:rsidRPr="001246F2">
              <w:rPr>
                <w:sz w:val="18"/>
              </w:rPr>
              <w:t>9</w:t>
            </w:r>
            <w:r w:rsidRPr="001246F2">
              <w:rPr>
                <w:rFonts w:eastAsia="MS PGothic"/>
                <w:sz w:val="18"/>
                <w:lang w:eastAsia="ja-JP"/>
              </w:rPr>
              <w:t>)</w:t>
            </w:r>
          </w:p>
        </w:tc>
        <w:tc>
          <w:tcPr>
            <w:tcW w:w="1361" w:type="dxa"/>
          </w:tcPr>
          <w:p w:rsidR="0050744A" w:rsidRPr="001246F2" w:rsidRDefault="0050744A" w:rsidP="002C0CF2">
            <w:pPr>
              <w:pStyle w:val="Tabletext"/>
              <w:ind w:left="-57" w:right="-57"/>
              <w:jc w:val="center"/>
              <w:rPr>
                <w:rFonts w:eastAsia="MS PGothic"/>
                <w:sz w:val="18"/>
                <w:lang w:eastAsia="ja-JP"/>
              </w:rPr>
            </w:pPr>
            <w:r w:rsidRPr="001246F2">
              <w:rPr>
                <w:rFonts w:eastAsia="MS PGothic"/>
                <w:sz w:val="18"/>
              </w:rPr>
              <w:t>−155</w:t>
            </w:r>
            <w:r w:rsidRPr="001246F2">
              <w:rPr>
                <w:rFonts w:eastAsia="MS PGothic"/>
                <w:sz w:val="18"/>
                <w:vertAlign w:val="superscript"/>
                <w:lang w:eastAsia="ja-JP"/>
              </w:rPr>
              <w:br/>
            </w:r>
            <w:r w:rsidR="00206C9E" w:rsidRPr="001246F2">
              <w:rPr>
                <w:rFonts w:eastAsia="MS PGothic"/>
                <w:sz w:val="18"/>
                <w:lang w:eastAsia="ja-JP"/>
              </w:rPr>
              <w:t>(Notas</w:t>
            </w:r>
            <w:r w:rsidRPr="001246F2">
              <w:rPr>
                <w:rFonts w:eastAsia="MS PGothic"/>
                <w:sz w:val="18"/>
                <w:lang w:eastAsia="ja-JP"/>
              </w:rPr>
              <w:t xml:space="preserve"> 3 </w:t>
            </w:r>
            <w:r w:rsidR="00206C9E" w:rsidRPr="001246F2">
              <w:rPr>
                <w:rFonts w:eastAsia="MS PGothic"/>
                <w:sz w:val="18"/>
                <w:lang w:eastAsia="ja-JP"/>
              </w:rPr>
              <w:t>y</w:t>
            </w:r>
            <w:r w:rsidRPr="001246F2">
              <w:rPr>
                <w:rFonts w:eastAsia="MS PGothic"/>
                <w:sz w:val="18"/>
                <w:lang w:eastAsia="ja-JP"/>
              </w:rPr>
              <w:t xml:space="preserve"> 14)</w:t>
            </w:r>
          </w:p>
        </w:tc>
        <w:tc>
          <w:tcPr>
            <w:tcW w:w="850" w:type="dxa"/>
          </w:tcPr>
          <w:p w:rsidR="0050744A" w:rsidRPr="001246F2" w:rsidRDefault="0050744A" w:rsidP="002C0CF2">
            <w:pPr>
              <w:pStyle w:val="Tabletext"/>
              <w:ind w:left="-57" w:right="-57"/>
              <w:jc w:val="center"/>
              <w:rPr>
                <w:rFonts w:eastAsia="MS PGothic"/>
                <w:sz w:val="18"/>
                <w:lang w:eastAsia="ja-JP"/>
              </w:rPr>
            </w:pPr>
            <w:r w:rsidRPr="001246F2">
              <w:rPr>
                <w:rFonts w:eastAsia="MS PGothic"/>
                <w:sz w:val="18"/>
              </w:rPr>
              <w:t>−156</w:t>
            </w:r>
            <w:r w:rsidR="00537E26" w:rsidRPr="001246F2">
              <w:rPr>
                <w:rFonts w:eastAsia="MS PGothic"/>
                <w:sz w:val="18"/>
              </w:rPr>
              <w:t>,</w:t>
            </w:r>
            <w:r w:rsidRPr="001246F2">
              <w:rPr>
                <w:rFonts w:eastAsia="MS PGothic"/>
                <w:sz w:val="18"/>
              </w:rPr>
              <w:t>9</w:t>
            </w:r>
            <w:r w:rsidRPr="001246F2">
              <w:rPr>
                <w:rFonts w:eastAsia="MS PGothic"/>
                <w:sz w:val="18"/>
                <w:vertAlign w:val="superscript"/>
              </w:rPr>
              <w:br/>
            </w:r>
            <w:r w:rsidR="00206C9E" w:rsidRPr="001246F2">
              <w:rPr>
                <w:rFonts w:eastAsia="MS PGothic"/>
                <w:sz w:val="18"/>
                <w:lang w:eastAsia="ja-JP"/>
              </w:rPr>
              <w:t>(Nota</w:t>
            </w:r>
            <w:r w:rsidRPr="001246F2">
              <w:rPr>
                <w:rFonts w:eastAsia="MS PGothic"/>
                <w:sz w:val="18"/>
              </w:rPr>
              <w:t xml:space="preserve"> 1</w:t>
            </w:r>
            <w:r w:rsidRPr="001246F2">
              <w:rPr>
                <w:rFonts w:eastAsia="MS PGothic"/>
                <w:sz w:val="18"/>
                <w:lang w:eastAsia="ja-JP"/>
              </w:rPr>
              <w:t>)</w:t>
            </w:r>
          </w:p>
        </w:tc>
        <w:tc>
          <w:tcPr>
            <w:tcW w:w="1077" w:type="dxa"/>
          </w:tcPr>
          <w:p w:rsidR="0050744A" w:rsidRPr="001246F2" w:rsidRDefault="0050744A" w:rsidP="002C0CF2">
            <w:pPr>
              <w:pStyle w:val="Tabletext"/>
              <w:ind w:left="-57" w:right="-57"/>
              <w:jc w:val="center"/>
              <w:rPr>
                <w:sz w:val="18"/>
                <w:lang w:eastAsia="ja-JP"/>
              </w:rPr>
            </w:pPr>
            <w:r w:rsidRPr="001246F2">
              <w:rPr>
                <w:sz w:val="18"/>
                <w:lang w:eastAsia="ja-JP"/>
              </w:rPr>
              <w:t>−158</w:t>
            </w:r>
            <w:r w:rsidRPr="001246F2">
              <w:rPr>
                <w:sz w:val="18"/>
                <w:lang w:eastAsia="ja-JP"/>
              </w:rPr>
              <w:br/>
            </w:r>
            <w:r w:rsidR="00206C9E" w:rsidRPr="001246F2">
              <w:rPr>
                <w:sz w:val="18"/>
                <w:lang w:eastAsia="ja-JP"/>
              </w:rPr>
              <w:t>(Nota</w:t>
            </w:r>
            <w:r w:rsidRPr="001246F2">
              <w:rPr>
                <w:sz w:val="18"/>
                <w:lang w:eastAsia="ja-JP"/>
              </w:rPr>
              <w:t xml:space="preserve"> 2, </w:t>
            </w:r>
            <w:r w:rsidR="00206C9E" w:rsidRPr="001246F2">
              <w:rPr>
                <w:sz w:val="18"/>
                <w:lang w:eastAsia="ja-JP"/>
              </w:rPr>
              <w:t>AMDC</w:t>
            </w:r>
            <w:r w:rsidRPr="001246F2">
              <w:rPr>
                <w:sz w:val="18"/>
                <w:lang w:eastAsia="ja-JP"/>
              </w:rPr>
              <w:t>)</w:t>
            </w:r>
            <w:r w:rsidRPr="001246F2">
              <w:rPr>
                <w:sz w:val="18"/>
                <w:lang w:eastAsia="ja-JP"/>
              </w:rPr>
              <w:br/>
            </w:r>
            <w:r w:rsidR="00206C9E" w:rsidRPr="001246F2">
              <w:rPr>
                <w:sz w:val="18"/>
                <w:lang w:eastAsia="ja-JP"/>
              </w:rPr>
              <w:t>(Nota</w:t>
            </w:r>
            <w:r w:rsidRPr="001246F2">
              <w:rPr>
                <w:sz w:val="18"/>
                <w:lang w:eastAsia="ja-JP"/>
              </w:rPr>
              <w:t xml:space="preserve"> 3, </w:t>
            </w:r>
            <w:r w:rsidR="00206C9E" w:rsidRPr="001246F2">
              <w:rPr>
                <w:sz w:val="18"/>
                <w:lang w:eastAsia="ja-JP"/>
              </w:rPr>
              <w:t>AMDF</w:t>
            </w:r>
            <w:r w:rsidRPr="001246F2">
              <w:rPr>
                <w:sz w:val="18"/>
                <w:lang w:eastAsia="ja-JP"/>
              </w:rPr>
              <w:t>)</w:t>
            </w:r>
          </w:p>
        </w:tc>
        <w:tc>
          <w:tcPr>
            <w:tcW w:w="1077" w:type="dxa"/>
          </w:tcPr>
          <w:p w:rsidR="0050744A" w:rsidRPr="001246F2" w:rsidRDefault="0050744A" w:rsidP="002C0CF2">
            <w:pPr>
              <w:pStyle w:val="Tabletext"/>
              <w:ind w:left="-57" w:right="-57"/>
              <w:jc w:val="center"/>
              <w:rPr>
                <w:caps/>
                <w:snapToGrid w:val="0"/>
                <w:sz w:val="18"/>
              </w:rPr>
            </w:pPr>
            <w:r w:rsidRPr="001246F2">
              <w:rPr>
                <w:rFonts w:eastAsia="MS PGothic"/>
                <w:sz w:val="18"/>
              </w:rPr>
              <w:t>−</w:t>
            </w:r>
            <w:r w:rsidRPr="001246F2">
              <w:rPr>
                <w:caps/>
                <w:snapToGrid w:val="0"/>
                <w:sz w:val="18"/>
                <w:lang w:eastAsia="zh-CN"/>
              </w:rPr>
              <w:t>156</w:t>
            </w:r>
            <w:r w:rsidRPr="001246F2">
              <w:rPr>
                <w:caps/>
                <w:snapToGrid w:val="0"/>
                <w:sz w:val="18"/>
                <w:lang w:eastAsia="zh-CN"/>
              </w:rPr>
              <w:br/>
            </w:r>
            <w:r w:rsidR="00206C9E" w:rsidRPr="001246F2">
              <w:rPr>
                <w:snapToGrid w:val="0"/>
                <w:sz w:val="18"/>
                <w:lang w:eastAsia="zh-CN"/>
              </w:rPr>
              <w:t>(Nota</w:t>
            </w:r>
            <w:r w:rsidRPr="001246F2">
              <w:rPr>
                <w:snapToGrid w:val="0"/>
                <w:sz w:val="18"/>
                <w:lang w:eastAsia="zh-CN"/>
              </w:rPr>
              <w:t xml:space="preserve"> 4)</w:t>
            </w:r>
          </w:p>
        </w:tc>
        <w:tc>
          <w:tcPr>
            <w:tcW w:w="964" w:type="dxa"/>
          </w:tcPr>
          <w:p w:rsidR="0050744A" w:rsidRPr="001246F2" w:rsidRDefault="0050744A" w:rsidP="002C0CF2">
            <w:pPr>
              <w:pStyle w:val="Tabletext"/>
              <w:ind w:left="-57" w:right="-57"/>
              <w:jc w:val="center"/>
              <w:rPr>
                <w:sz w:val="18"/>
                <w:lang w:eastAsia="ja-JP"/>
              </w:rPr>
            </w:pPr>
            <w:r w:rsidRPr="001246F2">
              <w:rPr>
                <w:sz w:val="18"/>
                <w:lang w:eastAsia="ja-JP"/>
              </w:rPr>
              <w:t>−190</w:t>
            </w:r>
            <w:r w:rsidRPr="001246F2">
              <w:rPr>
                <w:sz w:val="18"/>
                <w:lang w:eastAsia="ja-JP"/>
              </w:rPr>
              <w:br/>
            </w:r>
            <w:r w:rsidR="00206C9E" w:rsidRPr="001246F2">
              <w:rPr>
                <w:sz w:val="18"/>
                <w:lang w:eastAsia="ja-JP"/>
              </w:rPr>
              <w:t>(Nota</w:t>
            </w:r>
            <w:r w:rsidRPr="001246F2">
              <w:rPr>
                <w:sz w:val="18"/>
                <w:lang w:eastAsia="ja-JP"/>
              </w:rPr>
              <w:t xml:space="preserve"> 2, </w:t>
            </w:r>
            <w:r w:rsidR="00206C9E" w:rsidRPr="001246F2">
              <w:rPr>
                <w:sz w:val="18"/>
                <w:lang w:eastAsia="ja-JP"/>
              </w:rPr>
              <w:t>AMDC</w:t>
            </w:r>
            <w:r w:rsidRPr="001246F2">
              <w:rPr>
                <w:sz w:val="18"/>
                <w:lang w:eastAsia="ja-JP"/>
              </w:rPr>
              <w:t>)</w:t>
            </w:r>
            <w:r w:rsidRPr="001246F2">
              <w:rPr>
                <w:sz w:val="18"/>
                <w:lang w:eastAsia="ja-JP"/>
              </w:rPr>
              <w:br/>
            </w:r>
            <w:r w:rsidR="00206C9E" w:rsidRPr="001246F2">
              <w:rPr>
                <w:sz w:val="18"/>
                <w:lang w:eastAsia="ja-JP"/>
              </w:rPr>
              <w:t>(Nota</w:t>
            </w:r>
            <w:r w:rsidRPr="001246F2">
              <w:rPr>
                <w:sz w:val="18"/>
                <w:lang w:eastAsia="ja-JP"/>
              </w:rPr>
              <w:t xml:space="preserve"> 3, </w:t>
            </w:r>
            <w:r w:rsidR="00206C9E" w:rsidRPr="001246F2">
              <w:rPr>
                <w:sz w:val="18"/>
                <w:lang w:eastAsia="ja-JP"/>
              </w:rPr>
              <w:t>AMDF</w:t>
            </w:r>
            <w:r w:rsidRPr="001246F2">
              <w:rPr>
                <w:sz w:val="18"/>
                <w:lang w:eastAsia="ja-JP"/>
              </w:rPr>
              <w:t>)</w:t>
            </w:r>
          </w:p>
        </w:tc>
        <w:tc>
          <w:tcPr>
            <w:tcW w:w="767" w:type="dxa"/>
            <w:tcMar>
              <w:top w:w="0" w:type="dxa"/>
              <w:left w:w="28" w:type="dxa"/>
              <w:bottom w:w="0" w:type="dxa"/>
              <w:right w:w="28" w:type="dxa"/>
            </w:tcMar>
          </w:tcPr>
          <w:p w:rsidR="0050744A" w:rsidRPr="001246F2" w:rsidRDefault="0050744A" w:rsidP="002C0CF2">
            <w:pPr>
              <w:pStyle w:val="Tabletext"/>
              <w:ind w:left="-57" w:right="-57"/>
              <w:jc w:val="center"/>
              <w:rPr>
                <w:rFonts w:eastAsia="MS PGothic"/>
                <w:sz w:val="18"/>
                <w:lang w:eastAsia="ja-JP"/>
              </w:rPr>
            </w:pPr>
            <w:r w:rsidRPr="001246F2">
              <w:rPr>
                <w:rFonts w:eastAsia="MS PGothic"/>
                <w:sz w:val="18"/>
              </w:rPr>
              <w:t>−157</w:t>
            </w:r>
            <w:r w:rsidR="00537E26" w:rsidRPr="001246F2">
              <w:rPr>
                <w:rFonts w:eastAsia="MS PGothic"/>
                <w:sz w:val="18"/>
              </w:rPr>
              <w:t>,</w:t>
            </w:r>
            <w:r w:rsidRPr="001246F2">
              <w:rPr>
                <w:rFonts w:eastAsia="MS PGothic"/>
                <w:sz w:val="18"/>
              </w:rPr>
              <w:t>4</w:t>
            </w:r>
            <w:r w:rsidRPr="001246F2">
              <w:rPr>
                <w:rFonts w:eastAsia="MS PGothic"/>
                <w:sz w:val="18"/>
                <w:vertAlign w:val="superscript"/>
              </w:rPr>
              <w:br/>
            </w:r>
            <w:r w:rsidR="00206C9E" w:rsidRPr="001246F2">
              <w:rPr>
                <w:rFonts w:eastAsia="MS PGothic"/>
                <w:sz w:val="18"/>
                <w:lang w:eastAsia="ja-JP"/>
              </w:rPr>
              <w:t>(Nota</w:t>
            </w:r>
            <w:r w:rsidRPr="001246F2">
              <w:rPr>
                <w:rFonts w:eastAsia="MS PGothic"/>
                <w:sz w:val="18"/>
              </w:rPr>
              <w:t xml:space="preserve"> 1</w:t>
            </w:r>
            <w:r w:rsidRPr="001246F2">
              <w:rPr>
                <w:rFonts w:eastAsia="MS PGothic"/>
                <w:sz w:val="18"/>
                <w:lang w:eastAsia="ja-JP"/>
              </w:rPr>
              <w:t>)</w:t>
            </w:r>
          </w:p>
        </w:tc>
        <w:tc>
          <w:tcPr>
            <w:tcW w:w="677" w:type="dxa"/>
            <w:tcMar>
              <w:top w:w="0" w:type="dxa"/>
              <w:left w:w="28" w:type="dxa"/>
              <w:bottom w:w="0" w:type="dxa"/>
              <w:right w:w="28" w:type="dxa"/>
            </w:tcMar>
          </w:tcPr>
          <w:p w:rsidR="0050744A" w:rsidRPr="001246F2" w:rsidRDefault="0050744A" w:rsidP="002C0CF2">
            <w:pPr>
              <w:pStyle w:val="Tabletext"/>
              <w:ind w:left="-57" w:right="-57"/>
              <w:jc w:val="center"/>
              <w:rPr>
                <w:rFonts w:eastAsia="MS PGothic"/>
                <w:sz w:val="18"/>
                <w:lang w:eastAsia="ja-JP"/>
              </w:rPr>
            </w:pPr>
            <w:r w:rsidRPr="001246F2">
              <w:rPr>
                <w:rFonts w:eastAsia="MS PGothic"/>
                <w:sz w:val="18"/>
                <w:lang w:eastAsia="ja-JP"/>
              </w:rPr>
              <w:t>–157</w:t>
            </w:r>
            <w:r w:rsidR="00537E26" w:rsidRPr="001246F2">
              <w:rPr>
                <w:rFonts w:eastAsia="MS PGothic"/>
                <w:sz w:val="18"/>
                <w:lang w:eastAsia="ja-JP"/>
              </w:rPr>
              <w:t>,</w:t>
            </w:r>
            <w:r w:rsidRPr="001246F2">
              <w:rPr>
                <w:rFonts w:eastAsia="MS PGothic"/>
                <w:sz w:val="18"/>
                <w:lang w:eastAsia="ja-JP"/>
              </w:rPr>
              <w:t>4</w:t>
            </w:r>
            <w:r w:rsidRPr="001246F2">
              <w:rPr>
                <w:rFonts w:eastAsia="MS PGothic"/>
                <w:sz w:val="18"/>
                <w:lang w:eastAsia="ja-JP"/>
              </w:rPr>
              <w:br/>
            </w:r>
            <w:r w:rsidR="00206C9E" w:rsidRPr="001246F2">
              <w:rPr>
                <w:rFonts w:eastAsia="MS PGothic"/>
                <w:sz w:val="18"/>
              </w:rPr>
              <w:t>(Nota</w:t>
            </w:r>
            <w:r w:rsidRPr="001246F2">
              <w:rPr>
                <w:rFonts w:eastAsia="MS PGothic"/>
                <w:sz w:val="18"/>
              </w:rPr>
              <w:t xml:space="preserve"> 3)</w:t>
            </w:r>
          </w:p>
        </w:tc>
      </w:tr>
      <w:tr w:rsidR="0050744A" w:rsidRPr="001246F2" w:rsidTr="00537965">
        <w:trPr>
          <w:cantSplit/>
          <w:jc w:val="center"/>
        </w:trPr>
        <w:tc>
          <w:tcPr>
            <w:tcW w:w="1474" w:type="dxa"/>
            <w:vAlign w:val="center"/>
          </w:tcPr>
          <w:p w:rsidR="0050744A" w:rsidRPr="001246F2" w:rsidRDefault="00537965" w:rsidP="00537965">
            <w:pPr>
              <w:pStyle w:val="Tabletext"/>
              <w:jc w:val="left"/>
              <w:rPr>
                <w:rFonts w:eastAsia="MS PGothic"/>
                <w:sz w:val="18"/>
              </w:rPr>
            </w:pPr>
            <w:r w:rsidRPr="001246F2">
              <w:rPr>
                <w:rFonts w:eastAsia="MS PGothic"/>
                <w:sz w:val="18"/>
              </w:rPr>
              <w:t xml:space="preserve">Nivel de densidad de potencia umbral en modo seguimiento de la interferencia </w:t>
            </w:r>
            <w:r w:rsidR="001246F2" w:rsidRPr="001246F2">
              <w:rPr>
                <w:rFonts w:eastAsia="MS PGothic"/>
                <w:sz w:val="18"/>
              </w:rPr>
              <w:t>combinada</w:t>
            </w:r>
            <w:r w:rsidRPr="001246F2">
              <w:rPr>
                <w:rFonts w:eastAsia="MS PGothic"/>
                <w:sz w:val="18"/>
              </w:rPr>
              <w:t xml:space="preserve"> de banda amplia a la salida de la antena pasiva</w:t>
            </w:r>
            <w:r w:rsidR="0050744A" w:rsidRPr="001246F2">
              <w:rPr>
                <w:rFonts w:eastAsia="MS PGothic"/>
                <w:sz w:val="18"/>
              </w:rPr>
              <w:t xml:space="preserve"> (dB(W/MHz))</w:t>
            </w:r>
          </w:p>
        </w:tc>
        <w:tc>
          <w:tcPr>
            <w:tcW w:w="1191" w:type="dxa"/>
          </w:tcPr>
          <w:p w:rsidR="0050744A" w:rsidRPr="001246F2" w:rsidRDefault="0050744A" w:rsidP="002C0CF2">
            <w:pPr>
              <w:pStyle w:val="Tabletext"/>
              <w:ind w:left="-57" w:right="-57"/>
              <w:jc w:val="center"/>
              <w:rPr>
                <w:rFonts w:eastAsia="MS PGothic"/>
                <w:sz w:val="18"/>
              </w:rPr>
            </w:pPr>
            <w:r w:rsidRPr="001246F2">
              <w:rPr>
                <w:rFonts w:eastAsia="MS PGothic"/>
                <w:sz w:val="18"/>
              </w:rPr>
              <w:t>−140</w:t>
            </w:r>
            <w:r w:rsidR="00537E26" w:rsidRPr="001246F2">
              <w:rPr>
                <w:rFonts w:eastAsia="MS PGothic"/>
                <w:sz w:val="18"/>
              </w:rPr>
              <w:t>,</w:t>
            </w:r>
            <w:r w:rsidRPr="001246F2">
              <w:rPr>
                <w:rFonts w:eastAsia="MS PGothic"/>
                <w:sz w:val="18"/>
              </w:rPr>
              <w:t>5</w:t>
            </w:r>
            <w:r w:rsidRPr="001246F2">
              <w:rPr>
                <w:rFonts w:eastAsia="MS PGothic"/>
                <w:sz w:val="18"/>
                <w:vertAlign w:val="superscript"/>
              </w:rPr>
              <w:br/>
            </w:r>
            <w:r w:rsidR="00206C9E" w:rsidRPr="001246F2">
              <w:rPr>
                <w:rFonts w:eastAsia="MS PGothic"/>
                <w:sz w:val="18"/>
                <w:lang w:eastAsia="ja-JP"/>
              </w:rPr>
              <w:t>(Notas</w:t>
            </w:r>
            <w:r w:rsidRPr="001246F2">
              <w:rPr>
                <w:rFonts w:eastAsia="MS PGothic"/>
                <w:sz w:val="18"/>
              </w:rPr>
              <w:t xml:space="preserve"> 0 </w:t>
            </w:r>
            <w:r w:rsidR="00206C9E" w:rsidRPr="001246F2">
              <w:rPr>
                <w:rFonts w:eastAsia="MS PGothic"/>
                <w:sz w:val="18"/>
              </w:rPr>
              <w:t>y</w:t>
            </w:r>
            <w:r w:rsidRPr="001246F2">
              <w:rPr>
                <w:rFonts w:eastAsia="MS PGothic"/>
                <w:sz w:val="18"/>
              </w:rPr>
              <w:t> 1</w:t>
            </w:r>
            <w:r w:rsidRPr="001246F2">
              <w:rPr>
                <w:rFonts w:eastAsia="MS PGothic"/>
                <w:sz w:val="18"/>
                <w:lang w:eastAsia="ja-JP"/>
              </w:rPr>
              <w:t>)</w:t>
            </w:r>
          </w:p>
        </w:tc>
        <w:tc>
          <w:tcPr>
            <w:tcW w:w="1304" w:type="dxa"/>
          </w:tcPr>
          <w:p w:rsidR="0050744A" w:rsidRPr="001246F2" w:rsidRDefault="0050744A" w:rsidP="002C0CF2">
            <w:pPr>
              <w:pStyle w:val="Tabletext"/>
              <w:ind w:left="-57" w:right="-57"/>
              <w:jc w:val="center"/>
              <w:rPr>
                <w:rFonts w:eastAsia="MS PGothic"/>
                <w:sz w:val="18"/>
                <w:lang w:eastAsia="ja-JP"/>
              </w:rPr>
            </w:pPr>
            <w:r w:rsidRPr="001246F2">
              <w:rPr>
                <w:rFonts w:eastAsia="MS PGothic"/>
                <w:sz w:val="18"/>
              </w:rPr>
              <w:t>−140</w:t>
            </w:r>
            <w:r w:rsidRPr="001246F2">
              <w:rPr>
                <w:rFonts w:eastAsia="MS PGothic"/>
                <w:sz w:val="18"/>
                <w:vertAlign w:val="superscript"/>
                <w:lang w:eastAsia="ja-JP"/>
              </w:rPr>
              <w:br/>
            </w:r>
            <w:r w:rsidR="00206C9E" w:rsidRPr="001246F2">
              <w:rPr>
                <w:rFonts w:eastAsia="MS PGothic"/>
                <w:sz w:val="18"/>
                <w:lang w:eastAsia="ja-JP"/>
              </w:rPr>
              <w:t>(Notas</w:t>
            </w:r>
            <w:r w:rsidRPr="001246F2">
              <w:rPr>
                <w:rFonts w:eastAsia="MS PGothic"/>
                <w:sz w:val="18"/>
                <w:lang w:eastAsia="ja-JP"/>
              </w:rPr>
              <w:t xml:space="preserve"> 3 </w:t>
            </w:r>
            <w:r w:rsidR="00206C9E" w:rsidRPr="001246F2">
              <w:rPr>
                <w:rFonts w:eastAsia="MS PGothic"/>
                <w:sz w:val="18"/>
                <w:lang w:eastAsia="ja-JP"/>
              </w:rPr>
              <w:t>y</w:t>
            </w:r>
            <w:r w:rsidRPr="001246F2">
              <w:rPr>
                <w:rFonts w:eastAsia="MS PGothic"/>
                <w:sz w:val="18"/>
                <w:lang w:eastAsia="ja-JP"/>
              </w:rPr>
              <w:t> 14)</w:t>
            </w:r>
          </w:p>
        </w:tc>
        <w:tc>
          <w:tcPr>
            <w:tcW w:w="1361" w:type="dxa"/>
          </w:tcPr>
          <w:p w:rsidR="0050744A" w:rsidRPr="001246F2" w:rsidRDefault="0050744A" w:rsidP="002C0CF2">
            <w:pPr>
              <w:pStyle w:val="Tabletext"/>
              <w:ind w:left="-57" w:right="-57"/>
              <w:jc w:val="center"/>
              <w:rPr>
                <w:rFonts w:eastAsia="MS PGothic"/>
                <w:sz w:val="18"/>
              </w:rPr>
            </w:pPr>
            <w:r w:rsidRPr="001246F2">
              <w:rPr>
                <w:rFonts w:eastAsia="MS PGothic"/>
                <w:sz w:val="18"/>
              </w:rPr>
              <w:t>−140</w:t>
            </w:r>
            <w:r w:rsidR="00537E26" w:rsidRPr="001246F2">
              <w:rPr>
                <w:rFonts w:eastAsia="MS PGothic"/>
                <w:sz w:val="18"/>
              </w:rPr>
              <w:t>,</w:t>
            </w:r>
            <w:r w:rsidRPr="001246F2">
              <w:rPr>
                <w:rFonts w:eastAsia="MS PGothic"/>
                <w:sz w:val="18"/>
              </w:rPr>
              <w:t>5</w:t>
            </w:r>
            <w:r w:rsidRPr="001246F2">
              <w:rPr>
                <w:rFonts w:eastAsia="MS PGothic"/>
                <w:sz w:val="18"/>
                <w:vertAlign w:val="superscript"/>
              </w:rPr>
              <w:br/>
            </w:r>
            <w:r w:rsidR="00206C9E" w:rsidRPr="001246F2">
              <w:rPr>
                <w:rFonts w:eastAsia="MS PGothic"/>
                <w:sz w:val="18"/>
                <w:lang w:eastAsia="ja-JP"/>
              </w:rPr>
              <w:t>(Notas</w:t>
            </w:r>
            <w:r w:rsidRPr="001246F2">
              <w:rPr>
                <w:rFonts w:eastAsia="MS PGothic"/>
                <w:sz w:val="18"/>
              </w:rPr>
              <w:t xml:space="preserve"> 0 </w:t>
            </w:r>
            <w:r w:rsidR="00206C9E" w:rsidRPr="001246F2">
              <w:rPr>
                <w:rFonts w:eastAsia="MS PGothic"/>
                <w:sz w:val="18"/>
              </w:rPr>
              <w:t>y</w:t>
            </w:r>
            <w:r w:rsidRPr="001246F2">
              <w:rPr>
                <w:rFonts w:eastAsia="MS PGothic"/>
                <w:sz w:val="18"/>
              </w:rPr>
              <w:t> 1</w:t>
            </w:r>
            <w:r w:rsidRPr="001246F2">
              <w:rPr>
                <w:rFonts w:eastAsia="MS PGothic"/>
                <w:sz w:val="18"/>
                <w:lang w:eastAsia="ja-JP"/>
              </w:rPr>
              <w:t>)</w:t>
            </w:r>
          </w:p>
        </w:tc>
        <w:tc>
          <w:tcPr>
            <w:tcW w:w="1361" w:type="dxa"/>
          </w:tcPr>
          <w:p w:rsidR="0050744A" w:rsidRPr="001246F2" w:rsidRDefault="0050744A" w:rsidP="002C0CF2">
            <w:pPr>
              <w:pStyle w:val="Tabletext"/>
              <w:ind w:left="-57" w:right="-57"/>
              <w:jc w:val="center"/>
              <w:rPr>
                <w:rFonts w:eastAsia="MS PGothic"/>
                <w:sz w:val="18"/>
                <w:lang w:eastAsia="ja-JP"/>
              </w:rPr>
            </w:pPr>
            <w:r w:rsidRPr="001246F2">
              <w:rPr>
                <w:rFonts w:eastAsia="MS PGothic"/>
                <w:sz w:val="18"/>
              </w:rPr>
              <w:t>−140</w:t>
            </w:r>
            <w:r w:rsidRPr="001246F2">
              <w:rPr>
                <w:rFonts w:eastAsia="MS PGothic"/>
                <w:sz w:val="18"/>
                <w:vertAlign w:val="superscript"/>
                <w:lang w:eastAsia="ja-JP"/>
              </w:rPr>
              <w:br/>
            </w:r>
            <w:r w:rsidR="00206C9E" w:rsidRPr="001246F2">
              <w:rPr>
                <w:rFonts w:eastAsia="MS PGothic"/>
                <w:sz w:val="18"/>
                <w:lang w:eastAsia="ja-JP"/>
              </w:rPr>
              <w:t>(Notas</w:t>
            </w:r>
            <w:r w:rsidRPr="001246F2">
              <w:rPr>
                <w:rFonts w:eastAsia="MS PGothic"/>
                <w:sz w:val="18"/>
                <w:lang w:eastAsia="ja-JP"/>
              </w:rPr>
              <w:t xml:space="preserve"> 3 </w:t>
            </w:r>
            <w:r w:rsidR="00206C9E" w:rsidRPr="001246F2">
              <w:rPr>
                <w:rFonts w:eastAsia="MS PGothic"/>
                <w:sz w:val="18"/>
                <w:lang w:eastAsia="ja-JP"/>
              </w:rPr>
              <w:t>y</w:t>
            </w:r>
            <w:r w:rsidRPr="001246F2">
              <w:rPr>
                <w:rFonts w:eastAsia="MS PGothic"/>
                <w:sz w:val="18"/>
                <w:lang w:eastAsia="ja-JP"/>
              </w:rPr>
              <w:t> 14)</w:t>
            </w:r>
          </w:p>
        </w:tc>
        <w:tc>
          <w:tcPr>
            <w:tcW w:w="1020" w:type="dxa"/>
          </w:tcPr>
          <w:p w:rsidR="0050744A" w:rsidRPr="001246F2" w:rsidRDefault="0050744A" w:rsidP="002C0CF2">
            <w:pPr>
              <w:pStyle w:val="Tabletext"/>
              <w:ind w:left="-57" w:right="-57"/>
              <w:jc w:val="center"/>
              <w:rPr>
                <w:rFonts w:eastAsia="MS PGothic"/>
                <w:sz w:val="18"/>
                <w:lang w:eastAsia="ja-JP"/>
              </w:rPr>
            </w:pPr>
            <w:r w:rsidRPr="001246F2">
              <w:rPr>
                <w:rFonts w:eastAsia="MS PGothic"/>
                <w:sz w:val="18"/>
              </w:rPr>
              <w:t>−146</w:t>
            </w:r>
            <w:r w:rsidR="00537E26" w:rsidRPr="001246F2">
              <w:rPr>
                <w:rFonts w:eastAsia="MS PGothic"/>
                <w:sz w:val="18"/>
              </w:rPr>
              <w:t>,</w:t>
            </w:r>
            <w:r w:rsidRPr="001246F2">
              <w:rPr>
                <w:rFonts w:eastAsia="MS PGothic"/>
                <w:sz w:val="18"/>
              </w:rPr>
              <w:t>0</w:t>
            </w:r>
            <w:r w:rsidRPr="001246F2">
              <w:rPr>
                <w:rFonts w:eastAsia="MS PGothic"/>
                <w:sz w:val="18"/>
                <w:vertAlign w:val="superscript"/>
              </w:rPr>
              <w:br/>
            </w:r>
            <w:r w:rsidR="00206C9E" w:rsidRPr="001246F2">
              <w:rPr>
                <w:rFonts w:eastAsia="MS PGothic"/>
                <w:sz w:val="18"/>
                <w:lang w:eastAsia="ja-JP"/>
              </w:rPr>
              <w:t>(Nota</w:t>
            </w:r>
            <w:r w:rsidRPr="001246F2">
              <w:rPr>
                <w:rFonts w:eastAsia="MS PGothic"/>
                <w:sz w:val="18"/>
              </w:rPr>
              <w:t xml:space="preserve"> </w:t>
            </w:r>
            <w:r w:rsidRPr="001246F2">
              <w:rPr>
                <w:sz w:val="18"/>
              </w:rPr>
              <w:t>9</w:t>
            </w:r>
            <w:r w:rsidRPr="001246F2">
              <w:rPr>
                <w:rFonts w:eastAsia="MS PGothic"/>
                <w:sz w:val="18"/>
                <w:lang w:eastAsia="ja-JP"/>
              </w:rPr>
              <w:t>)</w:t>
            </w:r>
          </w:p>
        </w:tc>
        <w:tc>
          <w:tcPr>
            <w:tcW w:w="1361" w:type="dxa"/>
          </w:tcPr>
          <w:p w:rsidR="0050744A" w:rsidRPr="001246F2" w:rsidRDefault="0050744A" w:rsidP="002C0CF2">
            <w:pPr>
              <w:pStyle w:val="Tabletext"/>
              <w:ind w:left="-57" w:right="-57"/>
              <w:jc w:val="center"/>
              <w:rPr>
                <w:rFonts w:eastAsia="MS PGothic"/>
                <w:sz w:val="18"/>
                <w:lang w:eastAsia="ja-JP"/>
              </w:rPr>
            </w:pPr>
            <w:r w:rsidRPr="001246F2">
              <w:rPr>
                <w:rFonts w:eastAsia="MS PGothic"/>
                <w:sz w:val="18"/>
              </w:rPr>
              <w:t>−140</w:t>
            </w:r>
            <w:r w:rsidRPr="001246F2">
              <w:rPr>
                <w:rFonts w:eastAsia="MS PGothic"/>
                <w:sz w:val="18"/>
                <w:vertAlign w:val="superscript"/>
                <w:lang w:eastAsia="ja-JP"/>
              </w:rPr>
              <w:br/>
            </w:r>
            <w:r w:rsidR="00206C9E" w:rsidRPr="001246F2">
              <w:rPr>
                <w:rFonts w:eastAsia="MS PGothic"/>
                <w:sz w:val="18"/>
                <w:lang w:eastAsia="ja-JP"/>
              </w:rPr>
              <w:t>(Notas</w:t>
            </w:r>
            <w:r w:rsidRPr="001246F2">
              <w:rPr>
                <w:rFonts w:eastAsia="MS PGothic"/>
                <w:sz w:val="18"/>
                <w:lang w:eastAsia="ja-JP"/>
              </w:rPr>
              <w:t xml:space="preserve"> 3 </w:t>
            </w:r>
            <w:r w:rsidR="00206C9E" w:rsidRPr="001246F2">
              <w:rPr>
                <w:rFonts w:eastAsia="MS PGothic"/>
                <w:sz w:val="18"/>
                <w:lang w:eastAsia="ja-JP"/>
              </w:rPr>
              <w:t>y</w:t>
            </w:r>
            <w:r w:rsidRPr="001246F2">
              <w:rPr>
                <w:rFonts w:eastAsia="MS PGothic"/>
                <w:sz w:val="18"/>
                <w:lang w:eastAsia="ja-JP"/>
              </w:rPr>
              <w:t xml:space="preserve"> 14)</w:t>
            </w:r>
          </w:p>
        </w:tc>
        <w:tc>
          <w:tcPr>
            <w:tcW w:w="850" w:type="dxa"/>
          </w:tcPr>
          <w:p w:rsidR="0050744A" w:rsidRPr="001246F2" w:rsidRDefault="0050744A" w:rsidP="002C0CF2">
            <w:pPr>
              <w:pStyle w:val="Tabletext"/>
              <w:ind w:left="-57" w:right="-57"/>
              <w:jc w:val="center"/>
              <w:rPr>
                <w:rFonts w:eastAsia="MS PGothic"/>
                <w:sz w:val="18"/>
              </w:rPr>
            </w:pPr>
            <w:r w:rsidRPr="001246F2">
              <w:rPr>
                <w:rFonts w:eastAsia="MS PGothic"/>
                <w:sz w:val="18"/>
              </w:rPr>
              <w:t>−146</w:t>
            </w:r>
            <w:r w:rsidR="00537E26" w:rsidRPr="001246F2">
              <w:rPr>
                <w:rFonts w:eastAsia="MS PGothic"/>
                <w:sz w:val="18"/>
              </w:rPr>
              <w:t>,</w:t>
            </w:r>
            <w:r w:rsidRPr="001246F2">
              <w:rPr>
                <w:rFonts w:eastAsia="MS PGothic"/>
                <w:sz w:val="18"/>
              </w:rPr>
              <w:t>9</w:t>
            </w:r>
            <w:r w:rsidRPr="001246F2">
              <w:rPr>
                <w:rFonts w:eastAsia="MS PGothic"/>
                <w:sz w:val="18"/>
                <w:vertAlign w:val="superscript"/>
              </w:rPr>
              <w:br/>
            </w:r>
            <w:r w:rsidR="00206C9E" w:rsidRPr="001246F2">
              <w:rPr>
                <w:rFonts w:eastAsia="MS PGothic"/>
                <w:sz w:val="18"/>
                <w:lang w:eastAsia="ja-JP"/>
              </w:rPr>
              <w:t>(Nota</w:t>
            </w:r>
            <w:r w:rsidRPr="001246F2">
              <w:rPr>
                <w:rFonts w:eastAsia="MS PGothic"/>
                <w:sz w:val="18"/>
              </w:rPr>
              <w:t xml:space="preserve"> 1</w:t>
            </w:r>
            <w:r w:rsidRPr="001246F2">
              <w:rPr>
                <w:rFonts w:eastAsia="MS PGothic"/>
                <w:sz w:val="18"/>
                <w:lang w:eastAsia="ja-JP"/>
              </w:rPr>
              <w:t>)</w:t>
            </w:r>
          </w:p>
        </w:tc>
        <w:tc>
          <w:tcPr>
            <w:tcW w:w="1077" w:type="dxa"/>
          </w:tcPr>
          <w:p w:rsidR="0050744A" w:rsidRPr="001246F2" w:rsidRDefault="0050744A" w:rsidP="002C0CF2">
            <w:pPr>
              <w:pStyle w:val="Tabletext"/>
              <w:ind w:left="-57" w:right="-57"/>
              <w:jc w:val="center"/>
              <w:rPr>
                <w:sz w:val="18"/>
                <w:lang w:eastAsia="ja-JP"/>
              </w:rPr>
            </w:pPr>
            <w:r w:rsidRPr="001246F2">
              <w:rPr>
                <w:sz w:val="18"/>
                <w:lang w:eastAsia="ja-JP"/>
              </w:rPr>
              <w:t>−136</w:t>
            </w:r>
            <w:r w:rsidRPr="001246F2">
              <w:rPr>
                <w:sz w:val="18"/>
                <w:lang w:eastAsia="ja-JP"/>
              </w:rPr>
              <w:br/>
            </w:r>
            <w:r w:rsidR="00206C9E" w:rsidRPr="001246F2">
              <w:rPr>
                <w:sz w:val="18"/>
                <w:lang w:eastAsia="ja-JP"/>
              </w:rPr>
              <w:t>(Nota</w:t>
            </w:r>
            <w:r w:rsidRPr="001246F2">
              <w:rPr>
                <w:sz w:val="18"/>
                <w:lang w:eastAsia="ja-JP"/>
              </w:rPr>
              <w:t xml:space="preserve"> 2, </w:t>
            </w:r>
            <w:r w:rsidR="00206C9E" w:rsidRPr="001246F2">
              <w:rPr>
                <w:sz w:val="18"/>
                <w:lang w:eastAsia="ja-JP"/>
              </w:rPr>
              <w:t>AMDC</w:t>
            </w:r>
            <w:r w:rsidRPr="001246F2">
              <w:rPr>
                <w:sz w:val="18"/>
                <w:lang w:eastAsia="ja-JP"/>
              </w:rPr>
              <w:t>)</w:t>
            </w:r>
            <w:r w:rsidRPr="001246F2">
              <w:rPr>
                <w:sz w:val="18"/>
                <w:lang w:eastAsia="ja-JP"/>
              </w:rPr>
              <w:br/>
            </w:r>
            <w:r w:rsidR="00206C9E" w:rsidRPr="001246F2">
              <w:rPr>
                <w:sz w:val="18"/>
                <w:lang w:eastAsia="ja-JP"/>
              </w:rPr>
              <w:t>(Nota</w:t>
            </w:r>
            <w:r w:rsidRPr="001246F2">
              <w:rPr>
                <w:sz w:val="18"/>
                <w:lang w:eastAsia="ja-JP"/>
              </w:rPr>
              <w:t xml:space="preserve"> 3, </w:t>
            </w:r>
            <w:r w:rsidR="00206C9E" w:rsidRPr="001246F2">
              <w:rPr>
                <w:sz w:val="18"/>
                <w:lang w:eastAsia="ja-JP"/>
              </w:rPr>
              <w:t>AMDF</w:t>
            </w:r>
            <w:r w:rsidRPr="001246F2">
              <w:rPr>
                <w:sz w:val="18"/>
                <w:lang w:eastAsia="ja-JP"/>
              </w:rPr>
              <w:t>)</w:t>
            </w:r>
          </w:p>
        </w:tc>
        <w:tc>
          <w:tcPr>
            <w:tcW w:w="1077" w:type="dxa"/>
          </w:tcPr>
          <w:p w:rsidR="0050744A" w:rsidRPr="001246F2" w:rsidRDefault="0050744A" w:rsidP="002C0CF2">
            <w:pPr>
              <w:pStyle w:val="Tabletext"/>
              <w:ind w:left="-57" w:right="-57"/>
              <w:jc w:val="center"/>
              <w:rPr>
                <w:snapToGrid w:val="0"/>
                <w:sz w:val="18"/>
              </w:rPr>
            </w:pPr>
            <w:r w:rsidRPr="001246F2">
              <w:rPr>
                <w:rFonts w:eastAsia="MS PGothic"/>
                <w:sz w:val="18"/>
              </w:rPr>
              <w:t>−</w:t>
            </w:r>
            <w:r w:rsidRPr="001246F2">
              <w:rPr>
                <w:snapToGrid w:val="0"/>
                <w:sz w:val="18"/>
                <w:lang w:eastAsia="zh-CN"/>
              </w:rPr>
              <w:t>140</w:t>
            </w:r>
            <w:r w:rsidRPr="001246F2">
              <w:rPr>
                <w:snapToGrid w:val="0"/>
                <w:sz w:val="18"/>
                <w:lang w:eastAsia="zh-CN"/>
              </w:rPr>
              <w:br/>
            </w:r>
            <w:r w:rsidR="00206C9E" w:rsidRPr="001246F2">
              <w:rPr>
                <w:snapToGrid w:val="0"/>
                <w:sz w:val="18"/>
                <w:lang w:eastAsia="zh-CN"/>
              </w:rPr>
              <w:t>(Nota</w:t>
            </w:r>
            <w:r w:rsidRPr="001246F2">
              <w:rPr>
                <w:snapToGrid w:val="0"/>
                <w:sz w:val="18"/>
                <w:lang w:eastAsia="zh-CN"/>
              </w:rPr>
              <w:t xml:space="preserve"> 4)</w:t>
            </w:r>
          </w:p>
        </w:tc>
        <w:tc>
          <w:tcPr>
            <w:tcW w:w="964" w:type="dxa"/>
          </w:tcPr>
          <w:p w:rsidR="0050744A" w:rsidRPr="001246F2" w:rsidRDefault="0050744A" w:rsidP="002C0CF2">
            <w:pPr>
              <w:pStyle w:val="Tabletext"/>
              <w:ind w:left="-57" w:right="-57"/>
              <w:jc w:val="center"/>
              <w:rPr>
                <w:sz w:val="18"/>
                <w:lang w:eastAsia="ja-JP"/>
              </w:rPr>
            </w:pPr>
            <w:r w:rsidRPr="001246F2">
              <w:rPr>
                <w:sz w:val="18"/>
                <w:lang w:eastAsia="ja-JP"/>
              </w:rPr>
              <w:t>−142</w:t>
            </w:r>
            <w:r w:rsidRPr="001246F2">
              <w:rPr>
                <w:sz w:val="18"/>
                <w:lang w:eastAsia="ja-JP"/>
              </w:rPr>
              <w:br/>
            </w:r>
            <w:r w:rsidR="00206C9E" w:rsidRPr="001246F2">
              <w:rPr>
                <w:sz w:val="18"/>
                <w:lang w:eastAsia="ja-JP"/>
              </w:rPr>
              <w:t>(Nota</w:t>
            </w:r>
            <w:r w:rsidRPr="001246F2">
              <w:rPr>
                <w:sz w:val="18"/>
                <w:lang w:eastAsia="ja-JP"/>
              </w:rPr>
              <w:t xml:space="preserve"> 2, </w:t>
            </w:r>
            <w:r w:rsidR="00206C9E" w:rsidRPr="001246F2">
              <w:rPr>
                <w:sz w:val="18"/>
                <w:lang w:eastAsia="ja-JP"/>
              </w:rPr>
              <w:t>AMDC</w:t>
            </w:r>
            <w:r w:rsidRPr="001246F2">
              <w:rPr>
                <w:sz w:val="18"/>
                <w:lang w:eastAsia="ja-JP"/>
              </w:rPr>
              <w:t>)</w:t>
            </w:r>
            <w:r w:rsidRPr="001246F2">
              <w:rPr>
                <w:sz w:val="18"/>
                <w:lang w:eastAsia="ja-JP"/>
              </w:rPr>
              <w:br/>
            </w:r>
            <w:r w:rsidR="00206C9E" w:rsidRPr="001246F2">
              <w:rPr>
                <w:sz w:val="18"/>
                <w:lang w:eastAsia="ja-JP"/>
              </w:rPr>
              <w:t>(Nota</w:t>
            </w:r>
            <w:r w:rsidRPr="001246F2">
              <w:rPr>
                <w:sz w:val="18"/>
                <w:lang w:eastAsia="ja-JP"/>
              </w:rPr>
              <w:t xml:space="preserve"> 3, </w:t>
            </w:r>
            <w:r w:rsidR="00206C9E" w:rsidRPr="001246F2">
              <w:rPr>
                <w:sz w:val="18"/>
                <w:lang w:eastAsia="ja-JP"/>
              </w:rPr>
              <w:t>AMDF</w:t>
            </w:r>
            <w:r w:rsidRPr="001246F2">
              <w:rPr>
                <w:sz w:val="18"/>
                <w:lang w:eastAsia="ja-JP"/>
              </w:rPr>
              <w:t>)</w:t>
            </w:r>
          </w:p>
        </w:tc>
        <w:tc>
          <w:tcPr>
            <w:tcW w:w="767" w:type="dxa"/>
            <w:tcMar>
              <w:top w:w="0" w:type="dxa"/>
              <w:left w:w="28" w:type="dxa"/>
              <w:bottom w:w="0" w:type="dxa"/>
              <w:right w:w="28" w:type="dxa"/>
            </w:tcMar>
          </w:tcPr>
          <w:p w:rsidR="0050744A" w:rsidRPr="001246F2" w:rsidRDefault="0050744A" w:rsidP="002C0CF2">
            <w:pPr>
              <w:pStyle w:val="Tabletext"/>
              <w:ind w:left="-57" w:right="-57"/>
              <w:jc w:val="center"/>
              <w:rPr>
                <w:rFonts w:eastAsia="MS PGothic"/>
                <w:sz w:val="18"/>
                <w:vertAlign w:val="superscript"/>
              </w:rPr>
            </w:pPr>
            <w:r w:rsidRPr="001246F2">
              <w:rPr>
                <w:rFonts w:eastAsia="MS PGothic"/>
                <w:sz w:val="18"/>
              </w:rPr>
              <w:t>−147</w:t>
            </w:r>
            <w:r w:rsidR="00537E26" w:rsidRPr="001246F2">
              <w:rPr>
                <w:rFonts w:eastAsia="MS PGothic"/>
                <w:sz w:val="18"/>
              </w:rPr>
              <w:t>,</w:t>
            </w:r>
            <w:r w:rsidRPr="001246F2">
              <w:rPr>
                <w:rFonts w:eastAsia="MS PGothic"/>
                <w:sz w:val="18"/>
              </w:rPr>
              <w:t>4</w:t>
            </w:r>
            <w:r w:rsidRPr="001246F2">
              <w:rPr>
                <w:rFonts w:eastAsia="MS PGothic"/>
                <w:sz w:val="18"/>
              </w:rPr>
              <w:br/>
            </w:r>
            <w:r w:rsidR="00206C9E" w:rsidRPr="001246F2">
              <w:rPr>
                <w:rFonts w:eastAsia="MS PGothic"/>
                <w:sz w:val="18"/>
              </w:rPr>
              <w:t>(Nota</w:t>
            </w:r>
            <w:r w:rsidRPr="001246F2">
              <w:rPr>
                <w:rFonts w:eastAsia="MS PGothic"/>
                <w:sz w:val="18"/>
              </w:rPr>
              <w:t xml:space="preserve"> 1)</w:t>
            </w:r>
          </w:p>
        </w:tc>
        <w:tc>
          <w:tcPr>
            <w:tcW w:w="677" w:type="dxa"/>
            <w:tcMar>
              <w:top w:w="0" w:type="dxa"/>
              <w:left w:w="28" w:type="dxa"/>
              <w:bottom w:w="0" w:type="dxa"/>
              <w:right w:w="28" w:type="dxa"/>
            </w:tcMar>
          </w:tcPr>
          <w:p w:rsidR="0050744A" w:rsidRPr="001246F2" w:rsidRDefault="0050744A" w:rsidP="002C0CF2">
            <w:pPr>
              <w:pStyle w:val="Tabletext"/>
              <w:ind w:left="-57" w:right="-57"/>
              <w:jc w:val="center"/>
              <w:rPr>
                <w:rFonts w:eastAsia="MS PGothic"/>
                <w:sz w:val="18"/>
                <w:lang w:eastAsia="ja-JP"/>
              </w:rPr>
            </w:pPr>
            <w:r w:rsidRPr="001246F2">
              <w:rPr>
                <w:rFonts w:eastAsia="MS PGothic"/>
                <w:sz w:val="18"/>
              </w:rPr>
              <w:t>–147</w:t>
            </w:r>
            <w:r w:rsidR="00537E26" w:rsidRPr="001246F2">
              <w:rPr>
                <w:rFonts w:eastAsia="MS PGothic"/>
                <w:sz w:val="18"/>
              </w:rPr>
              <w:t>,</w:t>
            </w:r>
            <w:r w:rsidRPr="001246F2">
              <w:rPr>
                <w:rFonts w:eastAsia="MS PGothic"/>
                <w:sz w:val="18"/>
              </w:rPr>
              <w:t>4</w:t>
            </w:r>
            <w:r w:rsidRPr="001246F2">
              <w:rPr>
                <w:rFonts w:eastAsia="MS PGothic"/>
                <w:sz w:val="18"/>
              </w:rPr>
              <w:br/>
            </w:r>
            <w:r w:rsidR="00206C9E" w:rsidRPr="001246F2">
              <w:rPr>
                <w:rFonts w:eastAsia="MS PGothic"/>
                <w:sz w:val="18"/>
              </w:rPr>
              <w:t>(Nota</w:t>
            </w:r>
            <w:r w:rsidRPr="001246F2">
              <w:rPr>
                <w:rFonts w:eastAsia="MS PGothic"/>
                <w:sz w:val="18"/>
              </w:rPr>
              <w:t xml:space="preserve"> 3)</w:t>
            </w:r>
          </w:p>
        </w:tc>
      </w:tr>
    </w:tbl>
    <w:p w:rsidR="00FE6D1D" w:rsidRPr="001246F2" w:rsidRDefault="00FE6D1D" w:rsidP="00FE6D1D">
      <w:pPr>
        <w:pStyle w:val="Tablefin"/>
        <w:rPr>
          <w:lang w:val="es-ES_tradnl"/>
        </w:rPr>
      </w:pPr>
    </w:p>
    <w:p w:rsidR="004B5A7A" w:rsidRPr="001246F2" w:rsidRDefault="004B5A7A" w:rsidP="004B5A7A">
      <w:pPr>
        <w:pStyle w:val="TableNo"/>
        <w:spacing w:before="0"/>
      </w:pPr>
      <w:r w:rsidRPr="001246F2">
        <w:lastRenderedPageBreak/>
        <w:t>CUADRO 2 (</w:t>
      </w:r>
      <w:r w:rsidRPr="001246F2">
        <w:rPr>
          <w:i/>
          <w:iCs/>
        </w:rPr>
        <w:t>fin</w:t>
      </w:r>
      <w:r w:rsidRPr="001246F2">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477"/>
        <w:gridCol w:w="1191"/>
        <w:gridCol w:w="1304"/>
        <w:gridCol w:w="1361"/>
        <w:gridCol w:w="1361"/>
        <w:gridCol w:w="1020"/>
        <w:gridCol w:w="1361"/>
        <w:gridCol w:w="850"/>
        <w:gridCol w:w="1077"/>
        <w:gridCol w:w="1077"/>
        <w:gridCol w:w="964"/>
        <w:gridCol w:w="767"/>
        <w:gridCol w:w="656"/>
        <w:gridCol w:w="25"/>
      </w:tblGrid>
      <w:tr w:rsidR="004B5A7A" w:rsidRPr="001246F2" w:rsidTr="00634092">
        <w:trPr>
          <w:cantSplit/>
          <w:jc w:val="center"/>
        </w:trPr>
        <w:tc>
          <w:tcPr>
            <w:tcW w:w="1477" w:type="dxa"/>
            <w:vAlign w:val="center"/>
          </w:tcPr>
          <w:p w:rsidR="004B5A7A" w:rsidRPr="001246F2" w:rsidRDefault="004B5A7A" w:rsidP="004B5A7A">
            <w:pPr>
              <w:pStyle w:val="Tablehead"/>
              <w:rPr>
                <w:rFonts w:eastAsia="MS PGothic"/>
                <w:sz w:val="18"/>
              </w:rPr>
            </w:pPr>
          </w:p>
        </w:tc>
        <w:tc>
          <w:tcPr>
            <w:tcW w:w="1191" w:type="dxa"/>
            <w:vAlign w:val="center"/>
          </w:tcPr>
          <w:p w:rsidR="004B5A7A" w:rsidRPr="001246F2" w:rsidRDefault="004B5A7A" w:rsidP="004B5A7A">
            <w:pPr>
              <w:pStyle w:val="Tablehead"/>
              <w:rPr>
                <w:rFonts w:eastAsia="MS PGothic"/>
                <w:sz w:val="18"/>
              </w:rPr>
            </w:pPr>
            <w:r w:rsidRPr="001246F2">
              <w:rPr>
                <w:rFonts w:eastAsia="MS PGothic"/>
                <w:sz w:val="18"/>
              </w:rPr>
              <w:t>1</w:t>
            </w:r>
          </w:p>
        </w:tc>
        <w:tc>
          <w:tcPr>
            <w:tcW w:w="1304" w:type="dxa"/>
            <w:vAlign w:val="center"/>
          </w:tcPr>
          <w:p w:rsidR="004B5A7A" w:rsidRPr="001246F2" w:rsidRDefault="004B5A7A" w:rsidP="004B5A7A">
            <w:pPr>
              <w:pStyle w:val="Tablehead"/>
              <w:rPr>
                <w:rFonts w:eastAsia="MS PGothic"/>
                <w:sz w:val="18"/>
              </w:rPr>
            </w:pPr>
            <w:r w:rsidRPr="001246F2">
              <w:rPr>
                <w:rFonts w:eastAsia="MS PGothic"/>
                <w:sz w:val="18"/>
              </w:rPr>
              <w:t>2</w:t>
            </w:r>
          </w:p>
        </w:tc>
        <w:tc>
          <w:tcPr>
            <w:tcW w:w="1361" w:type="dxa"/>
            <w:vAlign w:val="center"/>
          </w:tcPr>
          <w:p w:rsidR="004B5A7A" w:rsidRPr="001246F2" w:rsidRDefault="004B5A7A" w:rsidP="004B5A7A">
            <w:pPr>
              <w:pStyle w:val="Tablehead"/>
              <w:rPr>
                <w:rFonts w:eastAsia="MS PGothic"/>
                <w:sz w:val="18"/>
              </w:rPr>
            </w:pPr>
            <w:r w:rsidRPr="001246F2">
              <w:rPr>
                <w:rFonts w:eastAsia="MS PGothic"/>
                <w:sz w:val="18"/>
              </w:rPr>
              <w:t>3</w:t>
            </w:r>
          </w:p>
        </w:tc>
        <w:tc>
          <w:tcPr>
            <w:tcW w:w="1361" w:type="dxa"/>
            <w:vAlign w:val="center"/>
          </w:tcPr>
          <w:p w:rsidR="004B5A7A" w:rsidRPr="001246F2" w:rsidRDefault="004B5A7A" w:rsidP="004B5A7A">
            <w:pPr>
              <w:pStyle w:val="Tablehead"/>
              <w:rPr>
                <w:rFonts w:eastAsia="MS PGothic"/>
                <w:sz w:val="18"/>
              </w:rPr>
            </w:pPr>
            <w:r w:rsidRPr="001246F2">
              <w:rPr>
                <w:rFonts w:eastAsia="MS PGothic"/>
                <w:sz w:val="18"/>
              </w:rPr>
              <w:t>4</w:t>
            </w:r>
          </w:p>
        </w:tc>
        <w:tc>
          <w:tcPr>
            <w:tcW w:w="1020" w:type="dxa"/>
            <w:vAlign w:val="center"/>
          </w:tcPr>
          <w:p w:rsidR="004B5A7A" w:rsidRPr="001246F2" w:rsidRDefault="004B5A7A" w:rsidP="004B5A7A">
            <w:pPr>
              <w:pStyle w:val="Tablehead"/>
              <w:rPr>
                <w:rFonts w:eastAsia="MS PGothic"/>
                <w:sz w:val="18"/>
              </w:rPr>
            </w:pPr>
            <w:r w:rsidRPr="001246F2">
              <w:rPr>
                <w:rFonts w:eastAsia="MS PGothic"/>
                <w:sz w:val="18"/>
              </w:rPr>
              <w:t>5</w:t>
            </w:r>
          </w:p>
        </w:tc>
        <w:tc>
          <w:tcPr>
            <w:tcW w:w="1361" w:type="dxa"/>
            <w:vAlign w:val="center"/>
          </w:tcPr>
          <w:p w:rsidR="004B5A7A" w:rsidRPr="001246F2" w:rsidRDefault="004B5A7A" w:rsidP="004B5A7A">
            <w:pPr>
              <w:pStyle w:val="Tablehead"/>
              <w:rPr>
                <w:sz w:val="18"/>
              </w:rPr>
            </w:pPr>
            <w:r w:rsidRPr="001246F2">
              <w:rPr>
                <w:sz w:val="18"/>
              </w:rPr>
              <w:t>6</w:t>
            </w:r>
          </w:p>
        </w:tc>
        <w:tc>
          <w:tcPr>
            <w:tcW w:w="850" w:type="dxa"/>
            <w:vAlign w:val="center"/>
          </w:tcPr>
          <w:p w:rsidR="004B5A7A" w:rsidRPr="001246F2" w:rsidRDefault="004B5A7A" w:rsidP="004B5A7A">
            <w:pPr>
              <w:pStyle w:val="Tablehead"/>
              <w:rPr>
                <w:rFonts w:eastAsia="MS PGothic"/>
                <w:sz w:val="18"/>
              </w:rPr>
            </w:pPr>
            <w:r w:rsidRPr="001246F2">
              <w:rPr>
                <w:rFonts w:eastAsia="MS PGothic"/>
                <w:sz w:val="18"/>
              </w:rPr>
              <w:t>7</w:t>
            </w:r>
          </w:p>
        </w:tc>
        <w:tc>
          <w:tcPr>
            <w:tcW w:w="1077" w:type="dxa"/>
            <w:vAlign w:val="center"/>
          </w:tcPr>
          <w:p w:rsidR="004B5A7A" w:rsidRPr="001246F2" w:rsidRDefault="004B5A7A" w:rsidP="004B5A7A">
            <w:pPr>
              <w:pStyle w:val="Tablehead"/>
              <w:rPr>
                <w:rFonts w:eastAsia="MS PGothic"/>
                <w:sz w:val="18"/>
              </w:rPr>
            </w:pPr>
            <w:r w:rsidRPr="001246F2">
              <w:rPr>
                <w:rFonts w:eastAsia="MS PGothic"/>
                <w:sz w:val="18"/>
              </w:rPr>
              <w:t>8</w:t>
            </w:r>
          </w:p>
        </w:tc>
        <w:tc>
          <w:tcPr>
            <w:tcW w:w="1077" w:type="dxa"/>
            <w:tcMar>
              <w:top w:w="0" w:type="dxa"/>
              <w:left w:w="28" w:type="dxa"/>
              <w:bottom w:w="0" w:type="dxa"/>
              <w:right w:w="28" w:type="dxa"/>
            </w:tcMar>
            <w:vAlign w:val="center"/>
          </w:tcPr>
          <w:p w:rsidR="004B5A7A" w:rsidRPr="001246F2" w:rsidRDefault="004B5A7A" w:rsidP="004B5A7A">
            <w:pPr>
              <w:pStyle w:val="Tablehead"/>
              <w:rPr>
                <w:rFonts w:eastAsia="MS PGothic"/>
                <w:sz w:val="18"/>
              </w:rPr>
            </w:pPr>
            <w:r w:rsidRPr="001246F2">
              <w:rPr>
                <w:rFonts w:eastAsia="MS PGothic"/>
                <w:sz w:val="18"/>
              </w:rPr>
              <w:t>9</w:t>
            </w:r>
          </w:p>
        </w:tc>
        <w:tc>
          <w:tcPr>
            <w:tcW w:w="964" w:type="dxa"/>
            <w:tcMar>
              <w:top w:w="0" w:type="dxa"/>
              <w:left w:w="28" w:type="dxa"/>
              <w:bottom w:w="0" w:type="dxa"/>
              <w:right w:w="28" w:type="dxa"/>
            </w:tcMar>
            <w:vAlign w:val="center"/>
          </w:tcPr>
          <w:p w:rsidR="004B5A7A" w:rsidRPr="001246F2" w:rsidRDefault="004B5A7A" w:rsidP="004B5A7A">
            <w:pPr>
              <w:pStyle w:val="Tablehead"/>
              <w:rPr>
                <w:rFonts w:eastAsia="MS PGothic"/>
                <w:sz w:val="18"/>
              </w:rPr>
            </w:pPr>
            <w:r w:rsidRPr="001246F2">
              <w:rPr>
                <w:rFonts w:eastAsia="MS PGothic"/>
                <w:sz w:val="18"/>
              </w:rPr>
              <w:t>10</w:t>
            </w:r>
          </w:p>
        </w:tc>
        <w:tc>
          <w:tcPr>
            <w:tcW w:w="1448" w:type="dxa"/>
            <w:gridSpan w:val="3"/>
            <w:tcMar>
              <w:top w:w="0" w:type="dxa"/>
              <w:left w:w="28" w:type="dxa"/>
              <w:bottom w:w="0" w:type="dxa"/>
              <w:right w:w="28" w:type="dxa"/>
            </w:tcMar>
            <w:vAlign w:val="center"/>
          </w:tcPr>
          <w:p w:rsidR="004B5A7A" w:rsidRPr="001246F2" w:rsidRDefault="004B5A7A" w:rsidP="004B5A7A">
            <w:pPr>
              <w:pStyle w:val="Tablehead"/>
              <w:rPr>
                <w:rFonts w:eastAsia="MS PGothic"/>
                <w:sz w:val="18"/>
              </w:rPr>
            </w:pPr>
            <w:r w:rsidRPr="001246F2">
              <w:rPr>
                <w:rFonts w:eastAsia="MS PGothic"/>
                <w:sz w:val="18"/>
              </w:rPr>
              <w:t>11</w:t>
            </w:r>
          </w:p>
        </w:tc>
      </w:tr>
      <w:tr w:rsidR="004B5A7A" w:rsidRPr="001246F2" w:rsidTr="00634092">
        <w:trPr>
          <w:cantSplit/>
          <w:jc w:val="center"/>
        </w:trPr>
        <w:tc>
          <w:tcPr>
            <w:tcW w:w="1477" w:type="dxa"/>
            <w:vAlign w:val="center"/>
          </w:tcPr>
          <w:p w:rsidR="004B5A7A" w:rsidRPr="001246F2" w:rsidRDefault="004B5A7A" w:rsidP="004B5A7A">
            <w:pPr>
              <w:pStyle w:val="Tablehead"/>
              <w:rPr>
                <w:rFonts w:eastAsia="MS PGothic"/>
                <w:sz w:val="18"/>
              </w:rPr>
            </w:pPr>
            <w:r w:rsidRPr="001246F2">
              <w:rPr>
                <w:rFonts w:eastAsia="MS PGothic"/>
                <w:sz w:val="18"/>
              </w:rPr>
              <w:t>Aplicación</w:t>
            </w:r>
            <w:r w:rsidRPr="001246F2">
              <w:rPr>
                <w:rFonts w:eastAsia="MS PGothic"/>
                <w:sz w:val="18"/>
              </w:rPr>
              <w:br/>
              <w:t xml:space="preserve">(véase </w:t>
            </w:r>
            <w:r w:rsidRPr="001246F2">
              <w:rPr>
                <w:sz w:val="18"/>
              </w:rPr>
              <w:t>§ 4</w:t>
            </w:r>
            <w:r w:rsidRPr="001246F2">
              <w:rPr>
                <w:rFonts w:eastAsia="MS PGothic"/>
                <w:sz w:val="18"/>
              </w:rPr>
              <w:t>)</w:t>
            </w:r>
            <w:r w:rsidRPr="001246F2">
              <w:rPr>
                <w:rFonts w:eastAsia="MS PGothic"/>
                <w:sz w:val="18"/>
              </w:rPr>
              <w:br/>
              <w:t>Parámetro</w:t>
            </w:r>
          </w:p>
        </w:tc>
        <w:tc>
          <w:tcPr>
            <w:tcW w:w="1191" w:type="dxa"/>
            <w:vAlign w:val="center"/>
          </w:tcPr>
          <w:p w:rsidR="004B5A7A" w:rsidRPr="001246F2" w:rsidRDefault="004B5A7A" w:rsidP="004B5A7A">
            <w:pPr>
              <w:pStyle w:val="Tablehead"/>
              <w:rPr>
                <w:sz w:val="18"/>
              </w:rPr>
            </w:pPr>
            <w:r w:rsidRPr="001246F2">
              <w:rPr>
                <w:rFonts w:eastAsia="MS PGothic"/>
                <w:sz w:val="18"/>
              </w:rPr>
              <w:t xml:space="preserve">SBAS </w:t>
            </w:r>
            <w:r w:rsidRPr="001246F2">
              <w:rPr>
                <w:rFonts w:eastAsia="MS PGothic"/>
                <w:sz w:val="18"/>
              </w:rPr>
              <w:br/>
              <w:t>Categoría I</w:t>
            </w:r>
            <w:r w:rsidRPr="001246F2">
              <w:rPr>
                <w:rFonts w:eastAsia="MS PGothic"/>
                <w:sz w:val="18"/>
              </w:rPr>
              <w:br/>
            </w:r>
            <w:r w:rsidRPr="001246F2">
              <w:rPr>
                <w:sz w:val="18"/>
              </w:rPr>
              <w:t>Tipo 1</w:t>
            </w:r>
          </w:p>
        </w:tc>
        <w:tc>
          <w:tcPr>
            <w:tcW w:w="1304" w:type="dxa"/>
            <w:vAlign w:val="center"/>
          </w:tcPr>
          <w:p w:rsidR="004B5A7A" w:rsidRPr="001246F2" w:rsidRDefault="004B5A7A" w:rsidP="004B5A7A">
            <w:pPr>
              <w:pStyle w:val="Tablehead"/>
              <w:rPr>
                <w:rFonts w:eastAsia="MS PGothic"/>
                <w:sz w:val="18"/>
              </w:rPr>
            </w:pPr>
            <w:r w:rsidRPr="001246F2">
              <w:rPr>
                <w:rFonts w:eastAsia="MS PGothic"/>
                <w:sz w:val="18"/>
              </w:rPr>
              <w:t xml:space="preserve">SBAS </w:t>
            </w:r>
            <w:r w:rsidRPr="001246F2">
              <w:rPr>
                <w:rFonts w:eastAsia="MS PGothic"/>
                <w:sz w:val="18"/>
              </w:rPr>
              <w:br/>
              <w:t>Categoría I</w:t>
            </w:r>
            <w:r w:rsidRPr="001246F2">
              <w:rPr>
                <w:rFonts w:eastAsia="MS PGothic"/>
                <w:sz w:val="18"/>
              </w:rPr>
              <w:br/>
            </w:r>
            <w:r w:rsidRPr="001246F2">
              <w:rPr>
                <w:sz w:val="18"/>
              </w:rPr>
              <w:t>Tipo 2</w:t>
            </w:r>
          </w:p>
        </w:tc>
        <w:tc>
          <w:tcPr>
            <w:tcW w:w="1361" w:type="dxa"/>
            <w:vAlign w:val="center"/>
          </w:tcPr>
          <w:p w:rsidR="004B5A7A" w:rsidRPr="001246F2" w:rsidRDefault="004B5A7A" w:rsidP="004B5A7A">
            <w:pPr>
              <w:pStyle w:val="Tablehead"/>
              <w:rPr>
                <w:sz w:val="18"/>
              </w:rPr>
            </w:pPr>
            <w:r w:rsidRPr="001246F2">
              <w:rPr>
                <w:rFonts w:eastAsia="MS PGothic"/>
                <w:sz w:val="18"/>
              </w:rPr>
              <w:t xml:space="preserve">GBAS </w:t>
            </w:r>
            <w:r w:rsidRPr="001246F2">
              <w:rPr>
                <w:rFonts w:eastAsia="MS PGothic"/>
                <w:sz w:val="18"/>
              </w:rPr>
              <w:br/>
              <w:t>Categoría II/III</w:t>
            </w:r>
            <w:r w:rsidRPr="001246F2">
              <w:rPr>
                <w:rFonts w:eastAsia="MS PGothic"/>
                <w:sz w:val="18"/>
              </w:rPr>
              <w:br/>
            </w:r>
            <w:r w:rsidRPr="001246F2">
              <w:rPr>
                <w:sz w:val="18"/>
              </w:rPr>
              <w:t>Tipo 1</w:t>
            </w:r>
          </w:p>
        </w:tc>
        <w:tc>
          <w:tcPr>
            <w:tcW w:w="1361" w:type="dxa"/>
            <w:vAlign w:val="center"/>
          </w:tcPr>
          <w:p w:rsidR="004B5A7A" w:rsidRPr="001246F2" w:rsidRDefault="004B5A7A" w:rsidP="004B5A7A">
            <w:pPr>
              <w:pStyle w:val="Tablehead"/>
              <w:rPr>
                <w:rFonts w:eastAsia="MS PGothic"/>
                <w:sz w:val="18"/>
              </w:rPr>
            </w:pPr>
            <w:r w:rsidRPr="001246F2">
              <w:rPr>
                <w:rFonts w:eastAsia="MS PGothic"/>
                <w:sz w:val="18"/>
              </w:rPr>
              <w:t xml:space="preserve">GBAS </w:t>
            </w:r>
            <w:r w:rsidRPr="001246F2">
              <w:rPr>
                <w:rFonts w:eastAsia="MS PGothic"/>
                <w:sz w:val="18"/>
              </w:rPr>
              <w:br/>
              <w:t>Categoría II/III</w:t>
            </w:r>
            <w:r w:rsidRPr="001246F2">
              <w:rPr>
                <w:rFonts w:eastAsia="MS PGothic"/>
                <w:sz w:val="18"/>
              </w:rPr>
              <w:br/>
            </w:r>
            <w:r w:rsidRPr="001246F2">
              <w:rPr>
                <w:sz w:val="18"/>
              </w:rPr>
              <w:t>Tipo 2</w:t>
            </w:r>
          </w:p>
        </w:tc>
        <w:tc>
          <w:tcPr>
            <w:tcW w:w="1020" w:type="dxa"/>
            <w:vAlign w:val="center"/>
          </w:tcPr>
          <w:p w:rsidR="004B5A7A" w:rsidRPr="001246F2" w:rsidRDefault="004B5A7A" w:rsidP="004B5A7A">
            <w:pPr>
              <w:pStyle w:val="Tablehead"/>
              <w:rPr>
                <w:rFonts w:eastAsia="MS PGothic"/>
                <w:sz w:val="18"/>
              </w:rPr>
            </w:pPr>
            <w:r w:rsidRPr="001246F2">
              <w:rPr>
                <w:rFonts w:eastAsia="MS PGothic"/>
                <w:sz w:val="18"/>
              </w:rPr>
              <w:t>Receptor de referencia en tierra</w:t>
            </w:r>
            <w:r w:rsidRPr="001246F2">
              <w:rPr>
                <w:rFonts w:eastAsia="MS PGothic"/>
                <w:sz w:val="18"/>
              </w:rPr>
              <w:br/>
              <w:t>SBAS*</w:t>
            </w:r>
          </w:p>
        </w:tc>
        <w:tc>
          <w:tcPr>
            <w:tcW w:w="1361" w:type="dxa"/>
            <w:vAlign w:val="center"/>
          </w:tcPr>
          <w:p w:rsidR="004B5A7A" w:rsidRPr="001246F2" w:rsidRDefault="004B5A7A" w:rsidP="004B5A7A">
            <w:pPr>
              <w:pStyle w:val="Tablehead"/>
              <w:rPr>
                <w:rFonts w:eastAsia="MS PGothic"/>
                <w:sz w:val="18"/>
              </w:rPr>
            </w:pPr>
            <w:r w:rsidRPr="001246F2">
              <w:rPr>
                <w:sz w:val="18"/>
              </w:rPr>
              <w:t>Receptor con aproximación de precisión de navegación aérea</w:t>
            </w:r>
          </w:p>
        </w:tc>
        <w:tc>
          <w:tcPr>
            <w:tcW w:w="850" w:type="dxa"/>
            <w:vAlign w:val="center"/>
          </w:tcPr>
          <w:p w:rsidR="004B5A7A" w:rsidRPr="001246F2" w:rsidRDefault="004B5A7A" w:rsidP="004B5A7A">
            <w:pPr>
              <w:pStyle w:val="Tablehead"/>
              <w:rPr>
                <w:rFonts w:eastAsia="MS PGothic"/>
                <w:sz w:val="18"/>
              </w:rPr>
            </w:pPr>
            <w:r w:rsidRPr="001246F2">
              <w:rPr>
                <w:rFonts w:eastAsia="MS PGothic"/>
                <w:sz w:val="18"/>
              </w:rPr>
              <w:t>SRNS-A</w:t>
            </w:r>
          </w:p>
        </w:tc>
        <w:tc>
          <w:tcPr>
            <w:tcW w:w="1077" w:type="dxa"/>
            <w:vAlign w:val="center"/>
          </w:tcPr>
          <w:p w:rsidR="004B5A7A" w:rsidRPr="001246F2" w:rsidRDefault="004B5A7A" w:rsidP="004B5A7A">
            <w:pPr>
              <w:pStyle w:val="Tablehead"/>
              <w:rPr>
                <w:rFonts w:eastAsia="MS PGothic"/>
                <w:sz w:val="18"/>
              </w:rPr>
            </w:pPr>
            <w:r w:rsidRPr="001246F2">
              <w:rPr>
                <w:rFonts w:eastAsia="MS PGothic"/>
                <w:sz w:val="18"/>
              </w:rPr>
              <w:t>Polivalente N° 1</w:t>
            </w:r>
          </w:p>
        </w:tc>
        <w:tc>
          <w:tcPr>
            <w:tcW w:w="1077" w:type="dxa"/>
            <w:tcMar>
              <w:top w:w="0" w:type="dxa"/>
              <w:left w:w="28" w:type="dxa"/>
              <w:bottom w:w="0" w:type="dxa"/>
              <w:right w:w="28" w:type="dxa"/>
            </w:tcMar>
            <w:vAlign w:val="center"/>
          </w:tcPr>
          <w:p w:rsidR="004B5A7A" w:rsidRPr="001246F2" w:rsidRDefault="004B5A7A" w:rsidP="004B5A7A">
            <w:pPr>
              <w:pStyle w:val="Tablehead"/>
              <w:rPr>
                <w:rFonts w:eastAsia="MS PGothic"/>
                <w:sz w:val="18"/>
              </w:rPr>
            </w:pPr>
            <w:r w:rsidRPr="001246F2">
              <w:rPr>
                <w:rFonts w:eastAsia="MS PGothic"/>
                <w:sz w:val="18"/>
              </w:rPr>
              <w:t>Polivalente N° 2</w:t>
            </w:r>
          </w:p>
        </w:tc>
        <w:tc>
          <w:tcPr>
            <w:tcW w:w="964" w:type="dxa"/>
            <w:tcMar>
              <w:top w:w="0" w:type="dxa"/>
              <w:left w:w="28" w:type="dxa"/>
              <w:bottom w:w="0" w:type="dxa"/>
              <w:right w:w="28" w:type="dxa"/>
            </w:tcMar>
            <w:vAlign w:val="center"/>
          </w:tcPr>
          <w:p w:rsidR="004B5A7A" w:rsidRPr="001246F2" w:rsidRDefault="004B5A7A" w:rsidP="004B5A7A">
            <w:pPr>
              <w:pStyle w:val="Tablehead"/>
              <w:rPr>
                <w:sz w:val="18"/>
              </w:rPr>
            </w:pPr>
            <w:r w:rsidRPr="001246F2">
              <w:rPr>
                <w:rFonts w:eastAsia="MS PGothic"/>
                <w:sz w:val="18"/>
              </w:rPr>
              <w:t>Posiciona-</w:t>
            </w:r>
            <w:r w:rsidRPr="001246F2">
              <w:rPr>
                <w:rFonts w:eastAsia="MS PGothic"/>
                <w:sz w:val="18"/>
              </w:rPr>
              <w:br/>
              <w:t>miento en interiores</w:t>
            </w:r>
          </w:p>
        </w:tc>
        <w:tc>
          <w:tcPr>
            <w:tcW w:w="1448" w:type="dxa"/>
            <w:gridSpan w:val="3"/>
            <w:tcMar>
              <w:top w:w="0" w:type="dxa"/>
              <w:left w:w="28" w:type="dxa"/>
              <w:bottom w:w="0" w:type="dxa"/>
              <w:right w:w="28" w:type="dxa"/>
            </w:tcMar>
            <w:vAlign w:val="center"/>
          </w:tcPr>
          <w:p w:rsidR="004B5A7A" w:rsidRPr="001246F2" w:rsidRDefault="004B5A7A" w:rsidP="004B5A7A">
            <w:pPr>
              <w:pStyle w:val="Tablehead"/>
              <w:rPr>
                <w:rFonts w:eastAsia="MS PGothic"/>
                <w:sz w:val="18"/>
              </w:rPr>
            </w:pPr>
            <w:r w:rsidRPr="001246F2">
              <w:rPr>
                <w:rFonts w:eastAsia="MS PGothic"/>
                <w:sz w:val="18"/>
              </w:rPr>
              <w:t xml:space="preserve">Alta precisión* (Nota </w:t>
            </w:r>
            <w:r w:rsidRPr="001246F2">
              <w:rPr>
                <w:sz w:val="18"/>
              </w:rPr>
              <w:t>11</w:t>
            </w:r>
            <w:r w:rsidRPr="001246F2">
              <w:rPr>
                <w:rFonts w:eastAsia="MS PGothic"/>
                <w:sz w:val="18"/>
              </w:rPr>
              <w:t>)</w:t>
            </w:r>
          </w:p>
        </w:tc>
      </w:tr>
      <w:tr w:rsidR="004B5A7A" w:rsidRPr="001246F2" w:rsidTr="00634092">
        <w:trPr>
          <w:cantSplit/>
          <w:jc w:val="center"/>
        </w:trPr>
        <w:tc>
          <w:tcPr>
            <w:tcW w:w="1477" w:type="dxa"/>
            <w:vAlign w:val="center"/>
          </w:tcPr>
          <w:p w:rsidR="004B5A7A" w:rsidRPr="001246F2" w:rsidRDefault="00453D65" w:rsidP="00CA4BF1">
            <w:pPr>
              <w:pStyle w:val="Tabletext"/>
              <w:keepNext/>
              <w:keepLines/>
              <w:jc w:val="left"/>
              <w:rPr>
                <w:rFonts w:eastAsia="MS PGothic"/>
                <w:sz w:val="18"/>
              </w:rPr>
            </w:pPr>
            <w:r w:rsidRPr="001246F2">
              <w:rPr>
                <w:rFonts w:eastAsia="MS PGothic"/>
                <w:sz w:val="18"/>
              </w:rPr>
              <w:t xml:space="preserve">Nivel de densidad de potencia umbral en modo adquisición de la interferencia </w:t>
            </w:r>
            <w:r w:rsidR="001246F2" w:rsidRPr="001246F2">
              <w:rPr>
                <w:rFonts w:eastAsia="MS PGothic"/>
                <w:sz w:val="18"/>
              </w:rPr>
              <w:t>combinada</w:t>
            </w:r>
            <w:r w:rsidRPr="001246F2">
              <w:rPr>
                <w:rFonts w:eastAsia="MS PGothic"/>
                <w:sz w:val="18"/>
              </w:rPr>
              <w:t xml:space="preserve"> de banda amplia a la salida de la antena pasiva (dB(W/MHz))</w:t>
            </w:r>
          </w:p>
        </w:tc>
        <w:tc>
          <w:tcPr>
            <w:tcW w:w="1191" w:type="dxa"/>
          </w:tcPr>
          <w:p w:rsidR="004B5A7A" w:rsidRPr="001246F2" w:rsidRDefault="004B5A7A" w:rsidP="00CA4BF1">
            <w:pPr>
              <w:pStyle w:val="Tabletext"/>
              <w:keepNext/>
              <w:keepLines/>
              <w:ind w:left="-57" w:right="-57"/>
              <w:jc w:val="center"/>
              <w:rPr>
                <w:rFonts w:eastAsia="MS PGothic"/>
                <w:sz w:val="18"/>
              </w:rPr>
            </w:pPr>
            <w:r w:rsidRPr="001246F2">
              <w:rPr>
                <w:rFonts w:eastAsia="MS PGothic"/>
                <w:sz w:val="18"/>
              </w:rPr>
              <w:t>−146,5</w:t>
            </w:r>
            <w:r w:rsidRPr="001246F2">
              <w:rPr>
                <w:rFonts w:eastAsia="MS PGothic"/>
                <w:sz w:val="18"/>
                <w:vertAlign w:val="superscript"/>
              </w:rPr>
              <w:br/>
            </w:r>
            <w:r w:rsidRPr="001246F2">
              <w:rPr>
                <w:rFonts w:eastAsia="MS PGothic"/>
                <w:sz w:val="18"/>
                <w:lang w:eastAsia="ja-JP"/>
              </w:rPr>
              <w:t>(Notas</w:t>
            </w:r>
            <w:r w:rsidRPr="001246F2">
              <w:rPr>
                <w:rFonts w:eastAsia="MS PGothic"/>
                <w:sz w:val="18"/>
              </w:rPr>
              <w:t xml:space="preserve"> 0 y 1</w:t>
            </w:r>
            <w:r w:rsidRPr="001246F2">
              <w:rPr>
                <w:rFonts w:eastAsia="MS PGothic"/>
                <w:sz w:val="18"/>
                <w:lang w:eastAsia="ja-JP"/>
              </w:rPr>
              <w:t>)</w:t>
            </w:r>
          </w:p>
        </w:tc>
        <w:tc>
          <w:tcPr>
            <w:tcW w:w="1304" w:type="dxa"/>
          </w:tcPr>
          <w:p w:rsidR="004B5A7A" w:rsidRPr="001246F2" w:rsidRDefault="004B5A7A" w:rsidP="00CA4BF1">
            <w:pPr>
              <w:pStyle w:val="Tabletext"/>
              <w:keepNext/>
              <w:keepLines/>
              <w:ind w:left="-57" w:right="-57"/>
              <w:jc w:val="center"/>
              <w:rPr>
                <w:rFonts w:eastAsia="MS PGothic"/>
                <w:sz w:val="18"/>
              </w:rPr>
            </w:pPr>
            <w:r w:rsidRPr="001246F2">
              <w:rPr>
                <w:rFonts w:eastAsia="MS PGothic"/>
                <w:sz w:val="18"/>
              </w:rPr>
              <w:t>−146</w:t>
            </w:r>
            <w:r w:rsidRPr="001246F2">
              <w:rPr>
                <w:rFonts w:eastAsia="MS PGothic"/>
                <w:sz w:val="18"/>
                <w:lang w:eastAsia="ja-JP"/>
              </w:rPr>
              <w:br/>
              <w:t>(Notas 3 y 14)</w:t>
            </w:r>
          </w:p>
        </w:tc>
        <w:tc>
          <w:tcPr>
            <w:tcW w:w="1361" w:type="dxa"/>
          </w:tcPr>
          <w:p w:rsidR="004B5A7A" w:rsidRPr="001246F2" w:rsidRDefault="004B5A7A" w:rsidP="00CA4BF1">
            <w:pPr>
              <w:pStyle w:val="Tabletext"/>
              <w:keepNext/>
              <w:keepLines/>
              <w:ind w:left="-57" w:right="-57"/>
              <w:jc w:val="center"/>
              <w:rPr>
                <w:rFonts w:eastAsia="MS PGothic"/>
                <w:sz w:val="18"/>
              </w:rPr>
            </w:pPr>
            <w:r w:rsidRPr="001246F2">
              <w:rPr>
                <w:rFonts w:eastAsia="MS PGothic"/>
                <w:sz w:val="18"/>
              </w:rPr>
              <w:t>−146,5</w:t>
            </w:r>
            <w:r w:rsidRPr="001246F2">
              <w:rPr>
                <w:rFonts w:eastAsia="MS PGothic"/>
                <w:sz w:val="18"/>
                <w:vertAlign w:val="superscript"/>
              </w:rPr>
              <w:br/>
            </w:r>
            <w:r w:rsidRPr="001246F2">
              <w:rPr>
                <w:rFonts w:eastAsia="MS PGothic"/>
                <w:sz w:val="18"/>
                <w:lang w:eastAsia="ja-JP"/>
              </w:rPr>
              <w:t>(Notas</w:t>
            </w:r>
            <w:r w:rsidRPr="001246F2">
              <w:rPr>
                <w:rFonts w:eastAsia="MS PGothic"/>
                <w:sz w:val="18"/>
              </w:rPr>
              <w:t xml:space="preserve"> 0 y 1</w:t>
            </w:r>
            <w:r w:rsidRPr="001246F2">
              <w:rPr>
                <w:rFonts w:eastAsia="MS PGothic"/>
                <w:sz w:val="18"/>
                <w:lang w:eastAsia="ja-JP"/>
              </w:rPr>
              <w:t>)</w:t>
            </w:r>
          </w:p>
        </w:tc>
        <w:tc>
          <w:tcPr>
            <w:tcW w:w="1361" w:type="dxa"/>
          </w:tcPr>
          <w:p w:rsidR="004B5A7A" w:rsidRPr="001246F2" w:rsidRDefault="004B5A7A" w:rsidP="00CA4BF1">
            <w:pPr>
              <w:pStyle w:val="Tabletext"/>
              <w:keepNext/>
              <w:keepLines/>
              <w:ind w:left="-57" w:right="-57"/>
              <w:jc w:val="center"/>
              <w:rPr>
                <w:rFonts w:eastAsia="MS PGothic"/>
                <w:sz w:val="18"/>
                <w:lang w:eastAsia="ja-JP"/>
              </w:rPr>
            </w:pPr>
            <w:r w:rsidRPr="001246F2">
              <w:rPr>
                <w:rFonts w:eastAsia="MS PGothic"/>
                <w:sz w:val="18"/>
              </w:rPr>
              <w:t>−146</w:t>
            </w:r>
            <w:r w:rsidRPr="001246F2">
              <w:rPr>
                <w:rFonts w:eastAsia="MS PGothic"/>
                <w:sz w:val="18"/>
                <w:vertAlign w:val="superscript"/>
                <w:lang w:eastAsia="ja-JP"/>
              </w:rPr>
              <w:br/>
            </w:r>
            <w:r w:rsidRPr="001246F2">
              <w:rPr>
                <w:rFonts w:eastAsia="MS PGothic"/>
                <w:sz w:val="18"/>
                <w:lang w:eastAsia="ja-JP"/>
              </w:rPr>
              <w:t>(Notas 3 y 14)</w:t>
            </w:r>
          </w:p>
        </w:tc>
        <w:tc>
          <w:tcPr>
            <w:tcW w:w="1020" w:type="dxa"/>
          </w:tcPr>
          <w:p w:rsidR="004B5A7A" w:rsidRPr="001246F2" w:rsidRDefault="004B5A7A" w:rsidP="00CA4BF1">
            <w:pPr>
              <w:pStyle w:val="Tabletext"/>
              <w:keepNext/>
              <w:keepLines/>
              <w:ind w:left="-57" w:right="-57"/>
              <w:jc w:val="center"/>
              <w:rPr>
                <w:rFonts w:eastAsia="MS PGothic"/>
                <w:sz w:val="18"/>
              </w:rPr>
            </w:pPr>
            <w:r w:rsidRPr="001246F2">
              <w:rPr>
                <w:rFonts w:eastAsia="MS PGothic"/>
                <w:sz w:val="18"/>
              </w:rPr>
              <w:t>−147,4</w:t>
            </w:r>
            <w:r w:rsidRPr="001246F2">
              <w:rPr>
                <w:rFonts w:eastAsia="MS PGothic"/>
                <w:sz w:val="18"/>
                <w:vertAlign w:val="superscript"/>
              </w:rPr>
              <w:br/>
            </w:r>
            <w:r w:rsidRPr="001246F2">
              <w:rPr>
                <w:rFonts w:eastAsia="MS PGothic"/>
                <w:sz w:val="18"/>
                <w:lang w:eastAsia="ja-JP"/>
              </w:rPr>
              <w:t>(Nota</w:t>
            </w:r>
            <w:r w:rsidRPr="001246F2">
              <w:rPr>
                <w:rFonts w:eastAsia="MS PGothic"/>
                <w:sz w:val="18"/>
              </w:rPr>
              <w:t xml:space="preserve"> </w:t>
            </w:r>
            <w:r w:rsidRPr="001246F2">
              <w:rPr>
                <w:sz w:val="18"/>
              </w:rPr>
              <w:t>9</w:t>
            </w:r>
            <w:r w:rsidRPr="001246F2">
              <w:rPr>
                <w:rFonts w:eastAsia="MS PGothic"/>
                <w:sz w:val="18"/>
                <w:lang w:eastAsia="ja-JP"/>
              </w:rPr>
              <w:t>)</w:t>
            </w:r>
          </w:p>
        </w:tc>
        <w:tc>
          <w:tcPr>
            <w:tcW w:w="1361" w:type="dxa"/>
          </w:tcPr>
          <w:p w:rsidR="004B5A7A" w:rsidRPr="001246F2" w:rsidRDefault="004B5A7A" w:rsidP="00CA4BF1">
            <w:pPr>
              <w:pStyle w:val="Tabletext"/>
              <w:keepNext/>
              <w:keepLines/>
              <w:ind w:left="-57" w:right="-57"/>
              <w:jc w:val="center"/>
              <w:rPr>
                <w:rFonts w:eastAsia="MS PGothic"/>
                <w:sz w:val="18"/>
                <w:lang w:eastAsia="ja-JP"/>
              </w:rPr>
            </w:pPr>
            <w:r w:rsidRPr="001246F2">
              <w:rPr>
                <w:rFonts w:eastAsia="MS PGothic"/>
                <w:sz w:val="18"/>
              </w:rPr>
              <w:t>−146</w:t>
            </w:r>
            <w:r w:rsidRPr="001246F2">
              <w:rPr>
                <w:rFonts w:eastAsia="MS PGothic"/>
                <w:sz w:val="18"/>
                <w:vertAlign w:val="superscript"/>
                <w:lang w:eastAsia="ja-JP"/>
              </w:rPr>
              <w:br/>
            </w:r>
            <w:r w:rsidRPr="001246F2">
              <w:rPr>
                <w:rFonts w:eastAsia="MS PGothic"/>
                <w:sz w:val="18"/>
                <w:lang w:eastAsia="ja-JP"/>
              </w:rPr>
              <w:t>(Notas 3 y 14)</w:t>
            </w:r>
          </w:p>
        </w:tc>
        <w:tc>
          <w:tcPr>
            <w:tcW w:w="850" w:type="dxa"/>
          </w:tcPr>
          <w:p w:rsidR="004B5A7A" w:rsidRPr="001246F2" w:rsidRDefault="004B5A7A" w:rsidP="00CA4BF1">
            <w:pPr>
              <w:pStyle w:val="Tabletext"/>
              <w:keepNext/>
              <w:keepLines/>
              <w:ind w:left="-57" w:right="-57"/>
              <w:jc w:val="center"/>
              <w:rPr>
                <w:rFonts w:eastAsia="MS PGothic"/>
                <w:sz w:val="18"/>
              </w:rPr>
            </w:pPr>
            <w:r w:rsidRPr="001246F2">
              <w:rPr>
                <w:rFonts w:eastAsia="MS PGothic"/>
                <w:sz w:val="18"/>
              </w:rPr>
              <w:t>−146,9</w:t>
            </w:r>
            <w:r w:rsidRPr="001246F2">
              <w:rPr>
                <w:rFonts w:eastAsia="MS PGothic"/>
                <w:sz w:val="18"/>
                <w:vertAlign w:val="superscript"/>
              </w:rPr>
              <w:br/>
            </w:r>
            <w:r w:rsidRPr="001246F2">
              <w:rPr>
                <w:rFonts w:eastAsia="MS PGothic"/>
                <w:sz w:val="18"/>
                <w:lang w:eastAsia="ja-JP"/>
              </w:rPr>
              <w:t>(Nota</w:t>
            </w:r>
            <w:r w:rsidRPr="001246F2">
              <w:rPr>
                <w:rFonts w:eastAsia="MS PGothic"/>
                <w:sz w:val="18"/>
              </w:rPr>
              <w:t xml:space="preserve"> 1</w:t>
            </w:r>
            <w:r w:rsidRPr="001246F2">
              <w:rPr>
                <w:rFonts w:eastAsia="MS PGothic"/>
                <w:sz w:val="18"/>
                <w:lang w:eastAsia="ja-JP"/>
              </w:rPr>
              <w:t>)</w:t>
            </w:r>
          </w:p>
        </w:tc>
        <w:tc>
          <w:tcPr>
            <w:tcW w:w="1077" w:type="dxa"/>
          </w:tcPr>
          <w:p w:rsidR="004B5A7A" w:rsidRPr="001246F2" w:rsidRDefault="004B5A7A" w:rsidP="00CA4BF1">
            <w:pPr>
              <w:pStyle w:val="Tabletext"/>
              <w:keepNext/>
              <w:keepLines/>
              <w:ind w:left="-57" w:right="-57"/>
              <w:jc w:val="center"/>
              <w:rPr>
                <w:sz w:val="18"/>
                <w:lang w:eastAsia="ja-JP"/>
              </w:rPr>
            </w:pPr>
            <w:r w:rsidRPr="001246F2">
              <w:rPr>
                <w:sz w:val="18"/>
                <w:lang w:eastAsia="ja-JP"/>
              </w:rPr>
              <w:t>−142</w:t>
            </w:r>
            <w:r w:rsidRPr="001246F2">
              <w:rPr>
                <w:sz w:val="18"/>
                <w:lang w:eastAsia="ja-JP"/>
              </w:rPr>
              <w:br/>
              <w:t>(Nota 2, AMDC)</w:t>
            </w:r>
            <w:r w:rsidRPr="001246F2">
              <w:rPr>
                <w:sz w:val="18"/>
                <w:lang w:eastAsia="ja-JP"/>
              </w:rPr>
              <w:br/>
              <w:t>(Nota 3, AMDF)</w:t>
            </w:r>
          </w:p>
        </w:tc>
        <w:tc>
          <w:tcPr>
            <w:tcW w:w="1077" w:type="dxa"/>
          </w:tcPr>
          <w:p w:rsidR="004B5A7A" w:rsidRPr="001246F2" w:rsidRDefault="004B5A7A" w:rsidP="00CA4BF1">
            <w:pPr>
              <w:pStyle w:val="Tabletext"/>
              <w:keepNext/>
              <w:keepLines/>
              <w:ind w:left="-57" w:right="-57"/>
              <w:jc w:val="center"/>
              <w:rPr>
                <w:snapToGrid w:val="0"/>
                <w:sz w:val="18"/>
              </w:rPr>
            </w:pPr>
            <w:r w:rsidRPr="001246F2">
              <w:rPr>
                <w:rFonts w:eastAsia="MS PGothic"/>
                <w:sz w:val="18"/>
              </w:rPr>
              <w:t>−</w:t>
            </w:r>
            <w:r w:rsidRPr="001246F2">
              <w:rPr>
                <w:snapToGrid w:val="0"/>
                <w:sz w:val="18"/>
                <w:lang w:eastAsia="zh-CN"/>
              </w:rPr>
              <w:t>146</w:t>
            </w:r>
            <w:r w:rsidRPr="001246F2">
              <w:rPr>
                <w:snapToGrid w:val="0"/>
                <w:sz w:val="18"/>
                <w:lang w:eastAsia="zh-CN"/>
              </w:rPr>
              <w:br/>
              <w:t>(Nota 4)</w:t>
            </w:r>
          </w:p>
        </w:tc>
        <w:tc>
          <w:tcPr>
            <w:tcW w:w="964" w:type="dxa"/>
          </w:tcPr>
          <w:p w:rsidR="004B5A7A" w:rsidRPr="001246F2" w:rsidRDefault="004B5A7A" w:rsidP="00CA4BF1">
            <w:pPr>
              <w:pStyle w:val="Tabletext"/>
              <w:keepNext/>
              <w:keepLines/>
              <w:ind w:left="-57" w:right="-57"/>
              <w:jc w:val="center"/>
              <w:rPr>
                <w:sz w:val="18"/>
                <w:lang w:eastAsia="ja-JP"/>
              </w:rPr>
            </w:pPr>
            <w:r w:rsidRPr="001246F2">
              <w:rPr>
                <w:sz w:val="18"/>
                <w:lang w:eastAsia="ja-JP"/>
              </w:rPr>
              <w:t>−148</w:t>
            </w:r>
            <w:r w:rsidRPr="001246F2">
              <w:rPr>
                <w:sz w:val="18"/>
                <w:lang w:eastAsia="ja-JP"/>
              </w:rPr>
              <w:br/>
              <w:t>(Nota 2, AMDC)</w:t>
            </w:r>
            <w:r w:rsidRPr="001246F2">
              <w:rPr>
                <w:sz w:val="18"/>
                <w:lang w:eastAsia="ja-JP"/>
              </w:rPr>
              <w:br/>
              <w:t>(Nota 3, AMDF)</w:t>
            </w:r>
          </w:p>
        </w:tc>
        <w:tc>
          <w:tcPr>
            <w:tcW w:w="767" w:type="dxa"/>
            <w:tcMar>
              <w:top w:w="0" w:type="dxa"/>
              <w:left w:w="28" w:type="dxa"/>
              <w:bottom w:w="0" w:type="dxa"/>
              <w:right w:w="28" w:type="dxa"/>
            </w:tcMar>
          </w:tcPr>
          <w:p w:rsidR="004B5A7A" w:rsidRPr="001246F2" w:rsidRDefault="004B5A7A" w:rsidP="00CA4BF1">
            <w:pPr>
              <w:pStyle w:val="Tabletext"/>
              <w:keepNext/>
              <w:keepLines/>
              <w:ind w:left="-57" w:right="-57"/>
              <w:jc w:val="center"/>
              <w:rPr>
                <w:rFonts w:eastAsia="MS PGothic"/>
                <w:sz w:val="18"/>
                <w:vertAlign w:val="superscript"/>
              </w:rPr>
            </w:pPr>
            <w:r w:rsidRPr="001246F2">
              <w:rPr>
                <w:rFonts w:eastAsia="MS PGothic"/>
                <w:sz w:val="18"/>
              </w:rPr>
              <w:t>−147,4</w:t>
            </w:r>
            <w:r w:rsidRPr="001246F2">
              <w:rPr>
                <w:rFonts w:eastAsia="MS PGothic"/>
                <w:sz w:val="18"/>
                <w:vertAlign w:val="superscript"/>
              </w:rPr>
              <w:br/>
            </w:r>
            <w:r w:rsidRPr="001246F2">
              <w:rPr>
                <w:rFonts w:eastAsia="MS PGothic"/>
                <w:sz w:val="18"/>
                <w:lang w:eastAsia="ja-JP"/>
              </w:rPr>
              <w:t>(Nota</w:t>
            </w:r>
            <w:r w:rsidRPr="001246F2">
              <w:rPr>
                <w:rFonts w:eastAsia="MS PGothic"/>
                <w:sz w:val="18"/>
              </w:rPr>
              <w:t xml:space="preserve"> 1</w:t>
            </w:r>
            <w:r w:rsidRPr="001246F2">
              <w:rPr>
                <w:rFonts w:eastAsia="MS PGothic"/>
                <w:sz w:val="18"/>
                <w:lang w:eastAsia="ja-JP"/>
              </w:rPr>
              <w:t>)</w:t>
            </w:r>
          </w:p>
        </w:tc>
        <w:tc>
          <w:tcPr>
            <w:tcW w:w="681" w:type="dxa"/>
            <w:gridSpan w:val="2"/>
            <w:tcMar>
              <w:top w:w="0" w:type="dxa"/>
              <w:left w:w="28" w:type="dxa"/>
              <w:bottom w:w="0" w:type="dxa"/>
              <w:right w:w="28" w:type="dxa"/>
            </w:tcMar>
          </w:tcPr>
          <w:p w:rsidR="004B5A7A" w:rsidRPr="001246F2" w:rsidRDefault="004B5A7A" w:rsidP="00CA4BF1">
            <w:pPr>
              <w:pStyle w:val="Tabletext"/>
              <w:keepNext/>
              <w:keepLines/>
              <w:ind w:left="-57" w:right="-57"/>
              <w:jc w:val="center"/>
              <w:rPr>
                <w:rFonts w:eastAsia="MS PGothic"/>
                <w:sz w:val="18"/>
                <w:lang w:eastAsia="ja-JP"/>
              </w:rPr>
            </w:pPr>
            <w:r w:rsidRPr="001246F2">
              <w:rPr>
                <w:rFonts w:eastAsia="MS PGothic"/>
                <w:sz w:val="18"/>
              </w:rPr>
              <w:t>−147,4</w:t>
            </w:r>
            <w:r w:rsidRPr="001246F2">
              <w:rPr>
                <w:rFonts w:eastAsia="MS PGothic"/>
                <w:sz w:val="18"/>
                <w:vertAlign w:val="superscript"/>
              </w:rPr>
              <w:br/>
            </w:r>
            <w:r w:rsidRPr="001246F2">
              <w:rPr>
                <w:rFonts w:eastAsia="MS PGothic"/>
                <w:sz w:val="18"/>
                <w:lang w:eastAsia="ja-JP"/>
              </w:rPr>
              <w:t>(Nota</w:t>
            </w:r>
            <w:r w:rsidRPr="001246F2">
              <w:rPr>
                <w:rFonts w:eastAsia="MS PGothic"/>
                <w:sz w:val="18"/>
              </w:rPr>
              <w:t xml:space="preserve"> 3</w:t>
            </w:r>
            <w:r w:rsidRPr="001246F2">
              <w:rPr>
                <w:rFonts w:eastAsia="MS PGothic"/>
                <w:sz w:val="18"/>
                <w:lang w:eastAsia="ja-JP"/>
              </w:rPr>
              <w:t>)</w:t>
            </w:r>
          </w:p>
        </w:tc>
      </w:tr>
      <w:tr w:rsidR="004B5A7A" w:rsidRPr="001246F2" w:rsidTr="00634092">
        <w:trPr>
          <w:cantSplit/>
          <w:jc w:val="center"/>
        </w:trPr>
        <w:tc>
          <w:tcPr>
            <w:tcW w:w="1477" w:type="dxa"/>
            <w:vAlign w:val="center"/>
          </w:tcPr>
          <w:p w:rsidR="00453D65" w:rsidRPr="001246F2" w:rsidRDefault="00453D65" w:rsidP="00061459">
            <w:pPr>
              <w:pStyle w:val="Tabletext"/>
              <w:jc w:val="left"/>
              <w:rPr>
                <w:sz w:val="18"/>
              </w:rPr>
            </w:pPr>
            <w:r w:rsidRPr="001246F2">
              <w:rPr>
                <w:sz w:val="18"/>
              </w:rPr>
              <w:t>Nivel de compresión a la</w:t>
            </w:r>
            <w:r w:rsidR="00061459" w:rsidRPr="001246F2">
              <w:rPr>
                <w:sz w:val="18"/>
              </w:rPr>
              <w:t> </w:t>
            </w:r>
            <w:r w:rsidRPr="001246F2">
              <w:rPr>
                <w:sz w:val="18"/>
              </w:rPr>
              <w:t>entrada del receptor (dBW)</w:t>
            </w:r>
          </w:p>
          <w:p w:rsidR="004B5A7A" w:rsidRPr="001246F2" w:rsidRDefault="00453D65" w:rsidP="004B5A7A">
            <w:pPr>
              <w:pStyle w:val="Tabletext"/>
              <w:jc w:val="left"/>
              <w:rPr>
                <w:rFonts w:eastAsia="MS PGothic"/>
                <w:sz w:val="18"/>
              </w:rPr>
            </w:pPr>
            <w:r w:rsidRPr="001246F2">
              <w:rPr>
                <w:sz w:val="18"/>
              </w:rPr>
              <w:t>(Nota 19)</w:t>
            </w:r>
          </w:p>
        </w:tc>
        <w:tc>
          <w:tcPr>
            <w:tcW w:w="1191" w:type="dxa"/>
          </w:tcPr>
          <w:p w:rsidR="004B5A7A" w:rsidRPr="001246F2" w:rsidRDefault="004B5A7A" w:rsidP="004B5A7A">
            <w:pPr>
              <w:pStyle w:val="Tabletext"/>
              <w:ind w:left="-57" w:right="-57"/>
              <w:jc w:val="center"/>
              <w:rPr>
                <w:rFonts w:eastAsia="MS PGothic"/>
                <w:sz w:val="18"/>
              </w:rPr>
            </w:pPr>
            <w:r w:rsidRPr="001246F2">
              <w:rPr>
                <w:rFonts w:eastAsia="MS PGothic"/>
                <w:sz w:val="18"/>
              </w:rPr>
              <w:t>−135</w:t>
            </w:r>
          </w:p>
        </w:tc>
        <w:tc>
          <w:tcPr>
            <w:tcW w:w="1304" w:type="dxa"/>
          </w:tcPr>
          <w:p w:rsidR="004B5A7A" w:rsidRPr="001246F2" w:rsidRDefault="004B5A7A" w:rsidP="004B5A7A">
            <w:pPr>
              <w:pStyle w:val="Tabletext"/>
              <w:ind w:left="-57" w:right="-57"/>
              <w:jc w:val="center"/>
              <w:rPr>
                <w:rFonts w:eastAsia="MS PGothic"/>
                <w:sz w:val="18"/>
              </w:rPr>
            </w:pPr>
            <w:r w:rsidRPr="001246F2">
              <w:rPr>
                <w:rFonts w:eastAsia="MS PGothic"/>
                <w:sz w:val="18"/>
              </w:rPr>
              <w:t>−80</w:t>
            </w:r>
          </w:p>
        </w:tc>
        <w:tc>
          <w:tcPr>
            <w:tcW w:w="1361" w:type="dxa"/>
          </w:tcPr>
          <w:p w:rsidR="004B5A7A" w:rsidRPr="001246F2" w:rsidRDefault="004B5A7A" w:rsidP="004B5A7A">
            <w:pPr>
              <w:pStyle w:val="Tabletext"/>
              <w:ind w:left="-57" w:right="-57"/>
              <w:jc w:val="center"/>
              <w:rPr>
                <w:rFonts w:eastAsia="MS PGothic"/>
                <w:sz w:val="18"/>
              </w:rPr>
            </w:pPr>
            <w:r w:rsidRPr="001246F2">
              <w:rPr>
                <w:rFonts w:eastAsia="MS PGothic"/>
                <w:sz w:val="18"/>
              </w:rPr>
              <w:t>−135</w:t>
            </w:r>
          </w:p>
        </w:tc>
        <w:tc>
          <w:tcPr>
            <w:tcW w:w="1361" w:type="dxa"/>
          </w:tcPr>
          <w:p w:rsidR="004B5A7A" w:rsidRPr="001246F2" w:rsidRDefault="004B5A7A" w:rsidP="004B5A7A">
            <w:pPr>
              <w:pStyle w:val="Tabletext"/>
              <w:ind w:left="-57" w:right="-57"/>
              <w:jc w:val="center"/>
              <w:rPr>
                <w:rFonts w:eastAsia="MS PGothic"/>
                <w:sz w:val="18"/>
              </w:rPr>
            </w:pPr>
            <w:r w:rsidRPr="001246F2">
              <w:rPr>
                <w:rFonts w:eastAsia="MS PGothic"/>
                <w:sz w:val="18"/>
              </w:rPr>
              <w:t>−80</w:t>
            </w:r>
          </w:p>
        </w:tc>
        <w:tc>
          <w:tcPr>
            <w:tcW w:w="1020" w:type="dxa"/>
          </w:tcPr>
          <w:p w:rsidR="004B5A7A" w:rsidRPr="001246F2" w:rsidRDefault="004B5A7A" w:rsidP="004B5A7A">
            <w:pPr>
              <w:pStyle w:val="Tabletext"/>
              <w:ind w:left="-57" w:right="-57"/>
              <w:jc w:val="center"/>
              <w:rPr>
                <w:rFonts w:eastAsia="MS PGothic"/>
                <w:sz w:val="18"/>
              </w:rPr>
            </w:pPr>
            <w:r w:rsidRPr="001246F2">
              <w:rPr>
                <w:rFonts w:eastAsia="MS PGothic"/>
                <w:sz w:val="18"/>
              </w:rPr>
              <w:t>−135</w:t>
            </w:r>
          </w:p>
        </w:tc>
        <w:tc>
          <w:tcPr>
            <w:tcW w:w="1361" w:type="dxa"/>
          </w:tcPr>
          <w:p w:rsidR="004B5A7A" w:rsidRPr="001246F2" w:rsidRDefault="004B5A7A" w:rsidP="004B5A7A">
            <w:pPr>
              <w:pStyle w:val="Tabletext"/>
              <w:ind w:left="-57" w:right="-57"/>
              <w:jc w:val="center"/>
              <w:rPr>
                <w:rFonts w:eastAsia="MS PGothic"/>
                <w:sz w:val="18"/>
              </w:rPr>
            </w:pPr>
            <w:r w:rsidRPr="001246F2">
              <w:rPr>
                <w:rFonts w:eastAsia="MS PGothic"/>
                <w:sz w:val="18"/>
              </w:rPr>
              <w:t>−80</w:t>
            </w:r>
          </w:p>
        </w:tc>
        <w:tc>
          <w:tcPr>
            <w:tcW w:w="850" w:type="dxa"/>
          </w:tcPr>
          <w:p w:rsidR="004B5A7A" w:rsidRPr="001246F2" w:rsidRDefault="004B5A7A" w:rsidP="004B5A7A">
            <w:pPr>
              <w:pStyle w:val="Tabletext"/>
              <w:ind w:left="-57" w:right="-57"/>
              <w:jc w:val="center"/>
              <w:rPr>
                <w:rFonts w:eastAsia="MS PGothic"/>
                <w:sz w:val="18"/>
              </w:rPr>
            </w:pPr>
          </w:p>
        </w:tc>
        <w:tc>
          <w:tcPr>
            <w:tcW w:w="1077" w:type="dxa"/>
          </w:tcPr>
          <w:p w:rsidR="004B5A7A" w:rsidRPr="001246F2" w:rsidRDefault="004B5A7A" w:rsidP="004B5A7A">
            <w:pPr>
              <w:pStyle w:val="Tabletext"/>
              <w:ind w:left="-57" w:right="-57"/>
              <w:jc w:val="center"/>
              <w:rPr>
                <w:sz w:val="18"/>
                <w:lang w:eastAsia="ja-JP"/>
              </w:rPr>
            </w:pPr>
            <w:r w:rsidRPr="001246F2">
              <w:rPr>
                <w:sz w:val="18"/>
              </w:rPr>
              <w:t>−70</w:t>
            </w:r>
          </w:p>
        </w:tc>
        <w:tc>
          <w:tcPr>
            <w:tcW w:w="1077" w:type="dxa"/>
          </w:tcPr>
          <w:p w:rsidR="004B5A7A" w:rsidRPr="001246F2" w:rsidRDefault="004B5A7A" w:rsidP="004B5A7A">
            <w:pPr>
              <w:pStyle w:val="Tabletext"/>
              <w:ind w:left="-57" w:right="-57"/>
              <w:jc w:val="center"/>
              <w:rPr>
                <w:rFonts w:eastAsia="MS PGothic"/>
                <w:sz w:val="18"/>
              </w:rPr>
            </w:pPr>
            <w:r w:rsidRPr="001246F2">
              <w:rPr>
                <w:sz w:val="18"/>
              </w:rPr>
              <w:t>−70</w:t>
            </w:r>
          </w:p>
        </w:tc>
        <w:tc>
          <w:tcPr>
            <w:tcW w:w="964" w:type="dxa"/>
          </w:tcPr>
          <w:p w:rsidR="004B5A7A" w:rsidRPr="001246F2" w:rsidRDefault="004B5A7A" w:rsidP="004B5A7A">
            <w:pPr>
              <w:pStyle w:val="Tabletext"/>
              <w:ind w:left="-57" w:right="-57"/>
              <w:jc w:val="center"/>
              <w:rPr>
                <w:sz w:val="18"/>
                <w:lang w:eastAsia="ja-JP"/>
              </w:rPr>
            </w:pPr>
            <w:r w:rsidRPr="001246F2">
              <w:rPr>
                <w:rFonts w:eastAsia="MS PGothic"/>
                <w:sz w:val="18"/>
              </w:rPr>
              <w:t>−</w:t>
            </w:r>
            <w:r w:rsidRPr="001246F2">
              <w:rPr>
                <w:snapToGrid w:val="0"/>
                <w:sz w:val="18"/>
                <w:lang w:eastAsia="zh-CN"/>
              </w:rPr>
              <w:t>100</w:t>
            </w:r>
          </w:p>
        </w:tc>
        <w:tc>
          <w:tcPr>
            <w:tcW w:w="1448" w:type="dxa"/>
            <w:gridSpan w:val="3"/>
            <w:tcMar>
              <w:top w:w="0" w:type="dxa"/>
              <w:left w:w="28" w:type="dxa"/>
              <w:bottom w:w="0" w:type="dxa"/>
              <w:right w:w="28" w:type="dxa"/>
            </w:tcMar>
          </w:tcPr>
          <w:p w:rsidR="004B5A7A" w:rsidRPr="001246F2" w:rsidRDefault="004B5A7A" w:rsidP="004B5A7A">
            <w:pPr>
              <w:pStyle w:val="Tabletext"/>
              <w:ind w:left="-57" w:right="-57"/>
              <w:jc w:val="center"/>
              <w:rPr>
                <w:rFonts w:eastAsia="MS PGothic"/>
                <w:sz w:val="18"/>
              </w:rPr>
            </w:pPr>
          </w:p>
        </w:tc>
      </w:tr>
      <w:tr w:rsidR="00453D65" w:rsidRPr="001246F2" w:rsidTr="00634092">
        <w:trPr>
          <w:cantSplit/>
          <w:jc w:val="center"/>
        </w:trPr>
        <w:tc>
          <w:tcPr>
            <w:tcW w:w="1477" w:type="dxa"/>
            <w:vAlign w:val="center"/>
          </w:tcPr>
          <w:p w:rsidR="00453D65" w:rsidRPr="001246F2" w:rsidRDefault="00090742" w:rsidP="00090742">
            <w:pPr>
              <w:pStyle w:val="Tabletext"/>
              <w:jc w:val="left"/>
              <w:rPr>
                <w:rFonts w:eastAsia="MS PGothic"/>
                <w:sz w:val="18"/>
              </w:rPr>
            </w:pPr>
            <w:r w:rsidRPr="001246F2">
              <w:rPr>
                <w:sz w:val="18"/>
              </w:rPr>
              <w:t>Nivel de supervivencia del receptor</w:t>
            </w:r>
            <w:r w:rsidR="00453D65" w:rsidRPr="001246F2">
              <w:rPr>
                <w:sz w:val="18"/>
              </w:rPr>
              <w:t xml:space="preserve"> (dBW)</w:t>
            </w:r>
          </w:p>
        </w:tc>
        <w:tc>
          <w:tcPr>
            <w:tcW w:w="1191" w:type="dxa"/>
          </w:tcPr>
          <w:p w:rsidR="00453D65" w:rsidRPr="001246F2" w:rsidRDefault="00453D65" w:rsidP="00A1604E">
            <w:pPr>
              <w:pStyle w:val="Tabletext"/>
              <w:ind w:left="-57" w:right="-57"/>
              <w:jc w:val="center"/>
              <w:rPr>
                <w:rFonts w:eastAsia="MS PGothic"/>
                <w:sz w:val="18"/>
              </w:rPr>
            </w:pPr>
            <w:r w:rsidRPr="001246F2">
              <w:rPr>
                <w:rFonts w:eastAsia="MS PGothic"/>
                <w:sz w:val="18"/>
              </w:rPr>
              <w:t>−10</w:t>
            </w:r>
          </w:p>
        </w:tc>
        <w:tc>
          <w:tcPr>
            <w:tcW w:w="1304" w:type="dxa"/>
          </w:tcPr>
          <w:p w:rsidR="00453D65" w:rsidRPr="001246F2" w:rsidRDefault="00453D65" w:rsidP="00A1604E">
            <w:pPr>
              <w:pStyle w:val="Tabletext"/>
              <w:ind w:left="-57" w:right="-57"/>
              <w:jc w:val="center"/>
              <w:rPr>
                <w:rFonts w:eastAsia="MS PGothic"/>
                <w:sz w:val="18"/>
              </w:rPr>
            </w:pPr>
            <w:r w:rsidRPr="001246F2">
              <w:rPr>
                <w:rFonts w:eastAsia="MS PGothic"/>
                <w:sz w:val="18"/>
              </w:rPr>
              <w:t>−1</w:t>
            </w:r>
          </w:p>
        </w:tc>
        <w:tc>
          <w:tcPr>
            <w:tcW w:w="1361" w:type="dxa"/>
          </w:tcPr>
          <w:p w:rsidR="00453D65" w:rsidRPr="001246F2" w:rsidRDefault="00453D65" w:rsidP="00A1604E">
            <w:pPr>
              <w:pStyle w:val="Tabletext"/>
              <w:ind w:left="-57" w:right="-57"/>
              <w:jc w:val="center"/>
              <w:rPr>
                <w:rFonts w:eastAsia="MS PGothic"/>
                <w:sz w:val="18"/>
              </w:rPr>
            </w:pPr>
            <w:r w:rsidRPr="001246F2">
              <w:rPr>
                <w:rFonts w:eastAsia="MS PGothic"/>
                <w:sz w:val="18"/>
              </w:rPr>
              <w:t>−10</w:t>
            </w:r>
          </w:p>
        </w:tc>
        <w:tc>
          <w:tcPr>
            <w:tcW w:w="1361" w:type="dxa"/>
          </w:tcPr>
          <w:p w:rsidR="00453D65" w:rsidRPr="001246F2" w:rsidRDefault="00453D65" w:rsidP="00A1604E">
            <w:pPr>
              <w:pStyle w:val="Tabletext"/>
              <w:ind w:left="-57" w:right="-57"/>
              <w:jc w:val="center"/>
              <w:rPr>
                <w:rFonts w:eastAsia="MS PGothic"/>
                <w:sz w:val="18"/>
              </w:rPr>
            </w:pPr>
            <w:r w:rsidRPr="001246F2">
              <w:rPr>
                <w:rFonts w:eastAsia="MS PGothic"/>
                <w:sz w:val="18"/>
              </w:rPr>
              <w:t>−1</w:t>
            </w:r>
          </w:p>
        </w:tc>
        <w:tc>
          <w:tcPr>
            <w:tcW w:w="1020" w:type="dxa"/>
          </w:tcPr>
          <w:p w:rsidR="00453D65" w:rsidRPr="001246F2" w:rsidRDefault="00453D65" w:rsidP="00A1604E">
            <w:pPr>
              <w:pStyle w:val="Tabletext"/>
              <w:ind w:left="-57" w:right="-57"/>
              <w:jc w:val="center"/>
              <w:rPr>
                <w:rFonts w:eastAsia="MS PGothic"/>
                <w:sz w:val="18"/>
              </w:rPr>
            </w:pPr>
            <w:r w:rsidRPr="001246F2">
              <w:rPr>
                <w:rFonts w:eastAsia="MS PGothic"/>
                <w:sz w:val="18"/>
              </w:rPr>
              <w:t>−10</w:t>
            </w:r>
          </w:p>
        </w:tc>
        <w:tc>
          <w:tcPr>
            <w:tcW w:w="1361" w:type="dxa"/>
          </w:tcPr>
          <w:p w:rsidR="00453D65" w:rsidRPr="001246F2" w:rsidRDefault="00453D65" w:rsidP="00A1604E">
            <w:pPr>
              <w:pStyle w:val="Tabletext"/>
              <w:ind w:left="-57" w:right="-57"/>
              <w:jc w:val="center"/>
              <w:rPr>
                <w:rFonts w:eastAsia="MS PGothic"/>
                <w:sz w:val="18"/>
              </w:rPr>
            </w:pPr>
            <w:r w:rsidRPr="001246F2">
              <w:rPr>
                <w:rFonts w:eastAsia="MS PGothic"/>
                <w:sz w:val="18"/>
              </w:rPr>
              <w:t>−1</w:t>
            </w:r>
          </w:p>
        </w:tc>
        <w:tc>
          <w:tcPr>
            <w:tcW w:w="850" w:type="dxa"/>
          </w:tcPr>
          <w:p w:rsidR="00453D65" w:rsidRPr="001246F2" w:rsidRDefault="00453D65" w:rsidP="00A1604E">
            <w:pPr>
              <w:pStyle w:val="Tabletext"/>
              <w:ind w:left="-57" w:right="-57"/>
              <w:jc w:val="center"/>
              <w:rPr>
                <w:rFonts w:eastAsia="MS PGothic"/>
                <w:sz w:val="18"/>
              </w:rPr>
            </w:pPr>
          </w:p>
        </w:tc>
        <w:tc>
          <w:tcPr>
            <w:tcW w:w="1077" w:type="dxa"/>
          </w:tcPr>
          <w:p w:rsidR="00453D65" w:rsidRPr="001246F2" w:rsidRDefault="00453D65" w:rsidP="00A1604E">
            <w:pPr>
              <w:pStyle w:val="Tabletext"/>
              <w:ind w:left="-57" w:right="-57"/>
              <w:jc w:val="center"/>
              <w:rPr>
                <w:sz w:val="18"/>
                <w:lang w:eastAsia="ja-JP"/>
              </w:rPr>
            </w:pPr>
            <w:r w:rsidRPr="001246F2">
              <w:rPr>
                <w:sz w:val="18"/>
              </w:rPr>
              <w:t>−20</w:t>
            </w:r>
          </w:p>
        </w:tc>
        <w:tc>
          <w:tcPr>
            <w:tcW w:w="1077" w:type="dxa"/>
          </w:tcPr>
          <w:p w:rsidR="00453D65" w:rsidRPr="001246F2" w:rsidRDefault="00453D65" w:rsidP="00A1604E">
            <w:pPr>
              <w:pStyle w:val="Tabletext"/>
              <w:ind w:left="-57" w:right="-57"/>
              <w:jc w:val="center"/>
              <w:rPr>
                <w:rFonts w:eastAsia="MS PGothic"/>
                <w:sz w:val="18"/>
              </w:rPr>
            </w:pPr>
            <w:r w:rsidRPr="001246F2">
              <w:rPr>
                <w:sz w:val="18"/>
              </w:rPr>
              <w:t>−20</w:t>
            </w:r>
          </w:p>
        </w:tc>
        <w:tc>
          <w:tcPr>
            <w:tcW w:w="964" w:type="dxa"/>
          </w:tcPr>
          <w:p w:rsidR="00453D65" w:rsidRPr="001246F2" w:rsidRDefault="00453D65" w:rsidP="00A1604E">
            <w:pPr>
              <w:pStyle w:val="Tabletext"/>
              <w:ind w:left="-57" w:right="-57"/>
              <w:jc w:val="center"/>
              <w:rPr>
                <w:sz w:val="18"/>
                <w:lang w:eastAsia="ja-JP"/>
              </w:rPr>
            </w:pPr>
            <w:r w:rsidRPr="001246F2">
              <w:rPr>
                <w:rFonts w:eastAsia="MS PGothic"/>
                <w:sz w:val="18"/>
              </w:rPr>
              <w:t>−</w:t>
            </w:r>
            <w:r w:rsidRPr="001246F2">
              <w:rPr>
                <w:snapToGrid w:val="0"/>
                <w:sz w:val="18"/>
                <w:lang w:eastAsia="zh-CN"/>
              </w:rPr>
              <w:t>17</w:t>
            </w:r>
          </w:p>
        </w:tc>
        <w:tc>
          <w:tcPr>
            <w:tcW w:w="1448" w:type="dxa"/>
            <w:gridSpan w:val="3"/>
            <w:tcMar>
              <w:top w:w="0" w:type="dxa"/>
              <w:left w:w="28" w:type="dxa"/>
              <w:bottom w:w="0" w:type="dxa"/>
              <w:right w:w="28" w:type="dxa"/>
            </w:tcMar>
          </w:tcPr>
          <w:p w:rsidR="00453D65" w:rsidRPr="001246F2" w:rsidRDefault="00453D65" w:rsidP="004B5A7A">
            <w:pPr>
              <w:pStyle w:val="Tabletext"/>
              <w:ind w:left="-57" w:right="-57"/>
              <w:jc w:val="center"/>
              <w:rPr>
                <w:rFonts w:eastAsia="MS PGothic"/>
                <w:sz w:val="18"/>
              </w:rPr>
            </w:pPr>
          </w:p>
        </w:tc>
      </w:tr>
      <w:tr w:rsidR="00453D65" w:rsidRPr="001246F2" w:rsidTr="00634092">
        <w:trPr>
          <w:cantSplit/>
          <w:jc w:val="center"/>
        </w:trPr>
        <w:tc>
          <w:tcPr>
            <w:tcW w:w="1477" w:type="dxa"/>
            <w:vAlign w:val="center"/>
          </w:tcPr>
          <w:p w:rsidR="00453D65" w:rsidRPr="001246F2" w:rsidRDefault="00090742" w:rsidP="00A1604E">
            <w:pPr>
              <w:pStyle w:val="Tabletext"/>
              <w:jc w:val="left"/>
              <w:rPr>
                <w:rFonts w:eastAsia="MS PGothic"/>
                <w:sz w:val="18"/>
              </w:rPr>
            </w:pPr>
            <w:r w:rsidRPr="001246F2">
              <w:rPr>
                <w:sz w:val="18"/>
              </w:rPr>
              <w:t>Tiempo de recuperación de sobrecarga</w:t>
            </w:r>
            <w:r w:rsidR="00453D65" w:rsidRPr="001246F2">
              <w:rPr>
                <w:sz w:val="18"/>
              </w:rPr>
              <w:t xml:space="preserve"> (s)</w:t>
            </w:r>
          </w:p>
        </w:tc>
        <w:tc>
          <w:tcPr>
            <w:tcW w:w="1191" w:type="dxa"/>
          </w:tcPr>
          <w:p w:rsidR="00453D65" w:rsidRPr="001246F2" w:rsidRDefault="00453D65" w:rsidP="00A1604E">
            <w:pPr>
              <w:pStyle w:val="Tabletext"/>
              <w:ind w:left="-57" w:right="-57"/>
              <w:jc w:val="center"/>
              <w:rPr>
                <w:rFonts w:eastAsia="MS PGothic"/>
                <w:sz w:val="18"/>
              </w:rPr>
            </w:pPr>
            <w:r w:rsidRPr="001246F2">
              <w:rPr>
                <w:rFonts w:eastAsia="MS PGothic"/>
                <w:sz w:val="18"/>
              </w:rPr>
              <w:t>25,0 × 10</w:t>
            </w:r>
            <w:r w:rsidRPr="001246F2">
              <w:rPr>
                <w:rFonts w:eastAsia="MS PGothic"/>
                <w:sz w:val="18"/>
                <w:vertAlign w:val="superscript"/>
              </w:rPr>
              <w:t>−6</w:t>
            </w:r>
          </w:p>
        </w:tc>
        <w:tc>
          <w:tcPr>
            <w:tcW w:w="1304" w:type="dxa"/>
          </w:tcPr>
          <w:p w:rsidR="00453D65" w:rsidRPr="001246F2" w:rsidRDefault="00453D65" w:rsidP="00A1604E">
            <w:pPr>
              <w:pStyle w:val="Tabletext"/>
              <w:ind w:left="-57" w:right="-57"/>
              <w:jc w:val="center"/>
              <w:rPr>
                <w:rFonts w:eastAsia="MS PGothic"/>
                <w:sz w:val="18"/>
              </w:rPr>
            </w:pPr>
            <w:r w:rsidRPr="001246F2">
              <w:rPr>
                <w:sz w:val="18"/>
              </w:rPr>
              <w:t xml:space="preserve">(1 </w:t>
            </w:r>
            <w:r w:rsidR="001246F2">
              <w:rPr>
                <w:sz w:val="18"/>
              </w:rPr>
              <w:t>a</w:t>
            </w:r>
            <w:r w:rsidRPr="001246F2">
              <w:rPr>
                <w:sz w:val="18"/>
              </w:rPr>
              <w:t xml:space="preserve"> 5)</w:t>
            </w:r>
            <w:r w:rsidRPr="001246F2">
              <w:rPr>
                <w:rFonts w:eastAsia="MS PGothic"/>
                <w:sz w:val="18"/>
              </w:rPr>
              <w:t xml:space="preserve"> × </w:t>
            </w:r>
            <w:r w:rsidRPr="001246F2">
              <w:rPr>
                <w:sz w:val="18"/>
              </w:rPr>
              <w:t>10</w:t>
            </w:r>
            <w:r w:rsidRPr="001246F2">
              <w:rPr>
                <w:sz w:val="18"/>
                <w:vertAlign w:val="superscript"/>
              </w:rPr>
              <w:t>−6</w:t>
            </w:r>
          </w:p>
        </w:tc>
        <w:tc>
          <w:tcPr>
            <w:tcW w:w="1361" w:type="dxa"/>
          </w:tcPr>
          <w:p w:rsidR="00453D65" w:rsidRPr="001246F2" w:rsidRDefault="00453D65" w:rsidP="00A1604E">
            <w:pPr>
              <w:pStyle w:val="Tabletext"/>
              <w:ind w:left="-57" w:right="-57"/>
              <w:jc w:val="center"/>
              <w:rPr>
                <w:rFonts w:eastAsia="MS PGothic"/>
                <w:sz w:val="18"/>
              </w:rPr>
            </w:pPr>
            <w:r w:rsidRPr="001246F2">
              <w:rPr>
                <w:rFonts w:eastAsia="MS PGothic"/>
                <w:sz w:val="18"/>
              </w:rPr>
              <w:t>25,0 × 10</w:t>
            </w:r>
            <w:r w:rsidRPr="001246F2">
              <w:rPr>
                <w:rFonts w:eastAsia="MS PGothic"/>
                <w:sz w:val="18"/>
                <w:vertAlign w:val="superscript"/>
              </w:rPr>
              <w:t>−6</w:t>
            </w:r>
          </w:p>
        </w:tc>
        <w:tc>
          <w:tcPr>
            <w:tcW w:w="1361" w:type="dxa"/>
          </w:tcPr>
          <w:p w:rsidR="00453D65" w:rsidRPr="001246F2" w:rsidRDefault="00453D65" w:rsidP="00A1604E">
            <w:pPr>
              <w:pStyle w:val="Tabletext"/>
              <w:ind w:left="-57" w:right="-57"/>
              <w:jc w:val="center"/>
              <w:rPr>
                <w:rFonts w:eastAsia="MS PGothic"/>
                <w:sz w:val="18"/>
              </w:rPr>
            </w:pPr>
            <w:r w:rsidRPr="001246F2">
              <w:rPr>
                <w:sz w:val="18"/>
              </w:rPr>
              <w:t xml:space="preserve">(1 </w:t>
            </w:r>
            <w:r w:rsidR="001246F2" w:rsidRPr="001246F2">
              <w:rPr>
                <w:sz w:val="18"/>
              </w:rPr>
              <w:t>a</w:t>
            </w:r>
            <w:r w:rsidRPr="001246F2">
              <w:rPr>
                <w:sz w:val="18"/>
              </w:rPr>
              <w:t xml:space="preserve"> 5)</w:t>
            </w:r>
            <w:r w:rsidRPr="001246F2">
              <w:rPr>
                <w:rFonts w:eastAsia="MS PGothic"/>
                <w:sz w:val="18"/>
              </w:rPr>
              <w:t xml:space="preserve"> × </w:t>
            </w:r>
            <w:r w:rsidRPr="001246F2">
              <w:rPr>
                <w:sz w:val="18"/>
              </w:rPr>
              <w:t>10</w:t>
            </w:r>
            <w:r w:rsidRPr="001246F2">
              <w:rPr>
                <w:sz w:val="18"/>
                <w:vertAlign w:val="superscript"/>
              </w:rPr>
              <w:t>−6</w:t>
            </w:r>
          </w:p>
        </w:tc>
        <w:tc>
          <w:tcPr>
            <w:tcW w:w="1020" w:type="dxa"/>
          </w:tcPr>
          <w:p w:rsidR="00453D65" w:rsidRPr="001246F2" w:rsidRDefault="00453D65" w:rsidP="00A1604E">
            <w:pPr>
              <w:pStyle w:val="Tabletext"/>
              <w:ind w:left="-57" w:right="-57"/>
              <w:jc w:val="center"/>
              <w:rPr>
                <w:rFonts w:eastAsia="MS PGothic"/>
                <w:sz w:val="18"/>
              </w:rPr>
            </w:pPr>
            <w:r w:rsidRPr="001246F2">
              <w:rPr>
                <w:rFonts w:eastAsia="MS PGothic"/>
                <w:sz w:val="18"/>
              </w:rPr>
              <w:t>25,0 × 10</w:t>
            </w:r>
            <w:r w:rsidRPr="001246F2">
              <w:rPr>
                <w:rFonts w:eastAsia="MS PGothic"/>
                <w:sz w:val="18"/>
                <w:vertAlign w:val="superscript"/>
              </w:rPr>
              <w:t>−6</w:t>
            </w:r>
          </w:p>
        </w:tc>
        <w:tc>
          <w:tcPr>
            <w:tcW w:w="1361" w:type="dxa"/>
          </w:tcPr>
          <w:p w:rsidR="00453D65" w:rsidRPr="001246F2" w:rsidRDefault="00453D65" w:rsidP="00A1604E">
            <w:pPr>
              <w:pStyle w:val="Tabletext"/>
              <w:ind w:left="-57" w:right="-57"/>
              <w:jc w:val="center"/>
              <w:rPr>
                <w:rFonts w:eastAsia="MS PGothic"/>
                <w:sz w:val="18"/>
              </w:rPr>
            </w:pPr>
            <w:r w:rsidRPr="001246F2">
              <w:rPr>
                <w:sz w:val="18"/>
              </w:rPr>
              <w:t xml:space="preserve">(1 </w:t>
            </w:r>
            <w:r w:rsidR="001246F2" w:rsidRPr="001246F2">
              <w:rPr>
                <w:sz w:val="18"/>
              </w:rPr>
              <w:t>a</w:t>
            </w:r>
            <w:r w:rsidRPr="001246F2">
              <w:rPr>
                <w:sz w:val="18"/>
              </w:rPr>
              <w:t xml:space="preserve"> 5)</w:t>
            </w:r>
            <w:r w:rsidRPr="001246F2">
              <w:rPr>
                <w:rFonts w:eastAsia="MS PGothic"/>
                <w:sz w:val="18"/>
              </w:rPr>
              <w:t xml:space="preserve"> × </w:t>
            </w:r>
            <w:r w:rsidRPr="001246F2">
              <w:rPr>
                <w:sz w:val="18"/>
              </w:rPr>
              <w:t>10</w:t>
            </w:r>
            <w:r w:rsidRPr="001246F2">
              <w:rPr>
                <w:sz w:val="18"/>
                <w:vertAlign w:val="superscript"/>
              </w:rPr>
              <w:t>−6</w:t>
            </w:r>
          </w:p>
        </w:tc>
        <w:tc>
          <w:tcPr>
            <w:tcW w:w="850" w:type="dxa"/>
          </w:tcPr>
          <w:p w:rsidR="00453D65" w:rsidRPr="001246F2" w:rsidRDefault="00453D65" w:rsidP="00A1604E">
            <w:pPr>
              <w:pStyle w:val="Tabletext"/>
              <w:ind w:left="-57" w:right="-57"/>
              <w:jc w:val="center"/>
              <w:rPr>
                <w:rFonts w:eastAsia="MS PGothic"/>
                <w:sz w:val="18"/>
              </w:rPr>
            </w:pPr>
          </w:p>
        </w:tc>
        <w:tc>
          <w:tcPr>
            <w:tcW w:w="1077" w:type="dxa"/>
          </w:tcPr>
          <w:p w:rsidR="00453D65" w:rsidRPr="001246F2" w:rsidRDefault="00453D65" w:rsidP="00A1604E">
            <w:pPr>
              <w:pStyle w:val="Tabletext"/>
              <w:ind w:left="-57" w:right="-57"/>
              <w:jc w:val="center"/>
              <w:rPr>
                <w:sz w:val="18"/>
                <w:lang w:eastAsia="ja-JP"/>
              </w:rPr>
            </w:pPr>
            <w:r w:rsidRPr="001246F2">
              <w:rPr>
                <w:snapToGrid w:val="0"/>
                <w:sz w:val="18"/>
              </w:rPr>
              <w:t>30 </w:t>
            </w:r>
            <w:r w:rsidRPr="001246F2">
              <w:rPr>
                <w:rFonts w:eastAsia="MS PGothic"/>
                <w:sz w:val="18"/>
              </w:rPr>
              <w:t>×</w:t>
            </w:r>
            <w:r w:rsidRPr="001246F2">
              <w:rPr>
                <w:snapToGrid w:val="0"/>
                <w:sz w:val="18"/>
              </w:rPr>
              <w:t> 10</w:t>
            </w:r>
            <w:r w:rsidRPr="001246F2">
              <w:rPr>
                <w:snapToGrid w:val="0"/>
                <w:sz w:val="18"/>
                <w:vertAlign w:val="superscript"/>
              </w:rPr>
              <w:t>−6</w:t>
            </w:r>
          </w:p>
        </w:tc>
        <w:tc>
          <w:tcPr>
            <w:tcW w:w="1077" w:type="dxa"/>
          </w:tcPr>
          <w:p w:rsidR="00453D65" w:rsidRPr="001246F2" w:rsidRDefault="00453D65" w:rsidP="00A1604E">
            <w:pPr>
              <w:pStyle w:val="Tabletext"/>
              <w:ind w:left="-57" w:right="-57"/>
              <w:jc w:val="center"/>
              <w:rPr>
                <w:rFonts w:eastAsia="MS PGothic"/>
                <w:sz w:val="18"/>
              </w:rPr>
            </w:pPr>
            <w:r w:rsidRPr="001246F2">
              <w:rPr>
                <w:snapToGrid w:val="0"/>
                <w:sz w:val="18"/>
              </w:rPr>
              <w:t>30 </w:t>
            </w:r>
            <w:r w:rsidRPr="001246F2">
              <w:rPr>
                <w:rFonts w:eastAsia="MS PGothic"/>
                <w:sz w:val="18"/>
              </w:rPr>
              <w:t>×</w:t>
            </w:r>
            <w:r w:rsidRPr="001246F2">
              <w:rPr>
                <w:snapToGrid w:val="0"/>
                <w:sz w:val="18"/>
              </w:rPr>
              <w:t> 10</w:t>
            </w:r>
            <w:r w:rsidRPr="001246F2">
              <w:rPr>
                <w:snapToGrid w:val="0"/>
                <w:sz w:val="18"/>
                <w:vertAlign w:val="superscript"/>
              </w:rPr>
              <w:t>−6</w:t>
            </w:r>
          </w:p>
        </w:tc>
        <w:tc>
          <w:tcPr>
            <w:tcW w:w="964" w:type="dxa"/>
          </w:tcPr>
          <w:p w:rsidR="00453D65" w:rsidRPr="001246F2" w:rsidRDefault="00453D65" w:rsidP="00A1604E">
            <w:pPr>
              <w:pStyle w:val="Tabletext"/>
              <w:ind w:left="-57" w:right="-57"/>
              <w:jc w:val="center"/>
              <w:rPr>
                <w:sz w:val="18"/>
                <w:lang w:eastAsia="ja-JP"/>
              </w:rPr>
            </w:pPr>
            <w:r w:rsidRPr="001246F2">
              <w:rPr>
                <w:snapToGrid w:val="0"/>
                <w:sz w:val="18"/>
              </w:rPr>
              <w:t>30 </w:t>
            </w:r>
            <w:r w:rsidRPr="001246F2">
              <w:rPr>
                <w:rFonts w:eastAsia="MS PGothic"/>
                <w:sz w:val="18"/>
              </w:rPr>
              <w:t>×</w:t>
            </w:r>
            <w:r w:rsidRPr="001246F2">
              <w:rPr>
                <w:snapToGrid w:val="0"/>
                <w:sz w:val="18"/>
              </w:rPr>
              <w:t> 10</w:t>
            </w:r>
            <w:r w:rsidRPr="001246F2">
              <w:rPr>
                <w:snapToGrid w:val="0"/>
                <w:sz w:val="18"/>
                <w:vertAlign w:val="superscript"/>
              </w:rPr>
              <w:t>−6</w:t>
            </w:r>
          </w:p>
        </w:tc>
        <w:tc>
          <w:tcPr>
            <w:tcW w:w="1448" w:type="dxa"/>
            <w:gridSpan w:val="3"/>
            <w:tcMar>
              <w:top w:w="0" w:type="dxa"/>
              <w:left w:w="28" w:type="dxa"/>
              <w:bottom w:w="0" w:type="dxa"/>
              <w:right w:w="28" w:type="dxa"/>
            </w:tcMar>
          </w:tcPr>
          <w:p w:rsidR="00453D65" w:rsidRPr="001246F2" w:rsidRDefault="00453D65" w:rsidP="00A1604E">
            <w:pPr>
              <w:pStyle w:val="Tabletext"/>
              <w:ind w:left="-57" w:right="-57"/>
              <w:jc w:val="center"/>
              <w:rPr>
                <w:rFonts w:eastAsia="MS PGothic"/>
                <w:sz w:val="18"/>
              </w:rPr>
            </w:pPr>
            <w:r w:rsidRPr="001246F2">
              <w:rPr>
                <w:snapToGrid w:val="0"/>
                <w:sz w:val="18"/>
              </w:rPr>
              <w:t>30 </w:t>
            </w:r>
            <w:r w:rsidRPr="001246F2">
              <w:rPr>
                <w:rFonts w:eastAsia="MS PGothic"/>
                <w:sz w:val="18"/>
              </w:rPr>
              <w:t>×</w:t>
            </w:r>
            <w:r w:rsidRPr="001246F2">
              <w:rPr>
                <w:snapToGrid w:val="0"/>
                <w:sz w:val="18"/>
              </w:rPr>
              <w:t> 10</w:t>
            </w:r>
            <w:r w:rsidRPr="001246F2">
              <w:rPr>
                <w:snapToGrid w:val="0"/>
                <w:sz w:val="18"/>
                <w:vertAlign w:val="superscript"/>
              </w:rPr>
              <w:t>−6</w:t>
            </w:r>
          </w:p>
        </w:tc>
      </w:tr>
      <w:tr w:rsidR="00A1604E" w:rsidRPr="001246F2" w:rsidTr="00A73BE4">
        <w:trPr>
          <w:gridAfter w:val="1"/>
          <w:wAfter w:w="25" w:type="dxa"/>
          <w:cantSplit/>
          <w:jc w:val="center"/>
        </w:trPr>
        <w:tc>
          <w:tcPr>
            <w:tcW w:w="14466" w:type="dxa"/>
            <w:gridSpan w:val="13"/>
            <w:tcBorders>
              <w:left w:val="nil"/>
              <w:bottom w:val="nil"/>
              <w:right w:val="nil"/>
            </w:tcBorders>
            <w:vAlign w:val="center"/>
          </w:tcPr>
          <w:p w:rsidR="00A1604E" w:rsidRPr="001246F2" w:rsidRDefault="00A1604E" w:rsidP="00FF0A8B">
            <w:pPr>
              <w:pStyle w:val="Tablelegend"/>
              <w:ind w:right="-28" w:hanging="312"/>
              <w:rPr>
                <w:snapToGrid w:val="0"/>
              </w:rPr>
            </w:pPr>
            <w:r w:rsidRPr="001246F2">
              <w:rPr>
                <w:snapToGrid w:val="0"/>
              </w:rPr>
              <w:t>*</w:t>
            </w:r>
            <w:r w:rsidRPr="001246F2">
              <w:rPr>
                <w:snapToGrid w:val="0"/>
              </w:rPr>
              <w:tab/>
            </w:r>
            <w:r w:rsidR="009E2895" w:rsidRPr="001246F2">
              <w:rPr>
                <w:sz w:val="18"/>
              </w:rPr>
              <w:t xml:space="preserve">Estas columnas del </w:t>
            </w:r>
            <w:r w:rsidR="00903375" w:rsidRPr="001246F2">
              <w:rPr>
                <w:sz w:val="18"/>
              </w:rPr>
              <w:t xml:space="preserve">Cuadro </w:t>
            </w:r>
            <w:r w:rsidR="009E2895" w:rsidRPr="001246F2">
              <w:rPr>
                <w:sz w:val="18"/>
              </w:rPr>
              <w:t>cubren l</w:t>
            </w:r>
            <w:r w:rsidR="00DB30D5">
              <w:rPr>
                <w:sz w:val="18"/>
              </w:rPr>
              <w:t>as características y los umbrale</w:t>
            </w:r>
            <w:r w:rsidR="009E2895" w:rsidRPr="001246F2">
              <w:rPr>
                <w:sz w:val="18"/>
              </w:rPr>
              <w:t>s para receptores que funcionan en la banda 1 559-1 610 MHz (los receptores con AMDC de este tipo funcionan con las señales descritas en el Anex</w:t>
            </w:r>
            <w:r w:rsidR="00DC68B5">
              <w:rPr>
                <w:sz w:val="18"/>
              </w:rPr>
              <w:t>o 2 a la Recomendación UIT-R M.</w:t>
            </w:r>
            <w:r w:rsidR="009E2895" w:rsidRPr="001246F2">
              <w:rPr>
                <w:sz w:val="18"/>
              </w:rPr>
              <w:t>1787). Sobre las características y los umbrales para receptores que también realizan adquisición y seguimiento de las señales del SRNS en las bandas 1 215-1 300 MHz y/o 1 164</w:t>
            </w:r>
            <w:r w:rsidR="009E2895" w:rsidRPr="001246F2">
              <w:rPr>
                <w:sz w:val="18"/>
              </w:rPr>
              <w:noBreakHyphen/>
              <w:t>1 215 MHz véanse también las Recomendaciones UIT-R M.1902 y/o UIT-R M.1905.</w:t>
            </w:r>
          </w:p>
        </w:tc>
      </w:tr>
      <w:tr w:rsidR="00BC3C01" w:rsidRPr="001246F2" w:rsidTr="00A73BE4">
        <w:trPr>
          <w:gridAfter w:val="1"/>
          <w:wAfter w:w="25" w:type="dxa"/>
          <w:cantSplit/>
          <w:jc w:val="center"/>
        </w:trPr>
        <w:tc>
          <w:tcPr>
            <w:tcW w:w="14466" w:type="dxa"/>
            <w:gridSpan w:val="13"/>
            <w:tcBorders>
              <w:top w:val="nil"/>
              <w:left w:val="nil"/>
              <w:bottom w:val="nil"/>
              <w:right w:val="nil"/>
            </w:tcBorders>
            <w:vAlign w:val="center"/>
          </w:tcPr>
          <w:p w:rsidR="0052688C" w:rsidRPr="001246F2" w:rsidRDefault="0052688C" w:rsidP="0094394A">
            <w:pPr>
              <w:pStyle w:val="TableLegendNote"/>
              <w:spacing w:before="0"/>
              <w:ind w:left="-10" w:right="-10"/>
              <w:rPr>
                <w:sz w:val="18"/>
                <w:lang w:val="es-ES_tradnl"/>
              </w:rPr>
            </w:pPr>
            <w:r w:rsidRPr="001246F2">
              <w:rPr>
                <w:i/>
                <w:iCs/>
                <w:sz w:val="18"/>
                <w:lang w:val="es-ES_tradnl"/>
              </w:rPr>
              <w:lastRenderedPageBreak/>
              <w:t>Notas relativas al Cuadro 2</w:t>
            </w:r>
            <w:r w:rsidRPr="001246F2">
              <w:rPr>
                <w:sz w:val="18"/>
                <w:lang w:val="es-ES_tradnl"/>
              </w:rPr>
              <w:t>:</w:t>
            </w:r>
          </w:p>
          <w:p w:rsidR="00A5354D" w:rsidRPr="001246F2" w:rsidRDefault="00A5354D" w:rsidP="0094394A">
            <w:pPr>
              <w:pStyle w:val="TableLegendNote"/>
              <w:spacing w:before="40"/>
              <w:ind w:left="-10" w:right="-10"/>
              <w:rPr>
                <w:sz w:val="18"/>
                <w:lang w:val="es-ES_tradnl"/>
              </w:rPr>
            </w:pPr>
            <w:r w:rsidRPr="001246F2">
              <w:rPr>
                <w:sz w:val="18"/>
                <w:lang w:val="es-ES_tradnl"/>
              </w:rPr>
              <w:t>NOTA 0 – Cuando se utiliza en el modelo de evaluación de la interferen</w:t>
            </w:r>
            <w:r w:rsidR="00DC68B5">
              <w:rPr>
                <w:sz w:val="18"/>
                <w:lang w:val="es-ES_tradnl"/>
              </w:rPr>
              <w:t>cia de la Recomendación UIT-R M.</w:t>
            </w:r>
            <w:r w:rsidRPr="001246F2">
              <w:rPr>
                <w:sz w:val="18"/>
                <w:lang w:val="es-ES_tradnl"/>
              </w:rPr>
              <w:t>1318-1, el valor umbral se inserta en la línea (a) y 6 dB (el margen de seguridad descrito en el Anexo 1) se inserta en la línea (b) de la plantilla de evaluación.</w:t>
            </w:r>
          </w:p>
          <w:p w:rsidR="00A5354D" w:rsidRPr="001246F2" w:rsidRDefault="00A5354D" w:rsidP="00100D9A">
            <w:pPr>
              <w:pStyle w:val="TableLegendNote"/>
              <w:spacing w:before="40"/>
              <w:ind w:left="-10" w:right="-10"/>
              <w:rPr>
                <w:sz w:val="18"/>
                <w:lang w:val="es-ES_tradnl"/>
              </w:rPr>
            </w:pPr>
            <w:r w:rsidRPr="001246F2">
              <w:rPr>
                <w:sz w:val="18"/>
                <w:lang w:val="es-ES_tradnl"/>
              </w:rPr>
              <w:t>NOTA 1 – Se considera que la interferencia continua de banda estrecha tiene una anchura de banda inferior a 700</w:t>
            </w:r>
            <w:r w:rsidR="00100D9A">
              <w:rPr>
                <w:sz w:val="18"/>
                <w:lang w:val="es-ES_tradnl"/>
              </w:rPr>
              <w:t> </w:t>
            </w:r>
            <w:r w:rsidRPr="001246F2">
              <w:rPr>
                <w:sz w:val="18"/>
                <w:lang w:val="es-ES_tradnl"/>
              </w:rPr>
              <w:t>Hz. La interferencia continua de banda amplia se considera que tiene una anchura de banda mayor de 1 MHz. Los umbrales para las anchuras de banda</w:t>
            </w:r>
            <w:r w:rsidR="00072A58">
              <w:rPr>
                <w:sz w:val="18"/>
                <w:lang w:val="es-ES_tradnl"/>
              </w:rPr>
              <w:t xml:space="preserve"> de la interferencia entre 700 </w:t>
            </w:r>
            <w:r w:rsidRPr="001246F2">
              <w:rPr>
                <w:sz w:val="18"/>
                <w:lang w:val="es-ES_tradnl"/>
              </w:rPr>
              <w:t>Hz y 1</w:t>
            </w:r>
            <w:r w:rsidR="00072A58">
              <w:rPr>
                <w:sz w:val="18"/>
                <w:lang w:val="es-ES_tradnl"/>
              </w:rPr>
              <w:t> </w:t>
            </w:r>
            <w:r w:rsidRPr="001246F2">
              <w:rPr>
                <w:sz w:val="18"/>
                <w:lang w:val="es-ES_tradnl"/>
              </w:rPr>
              <w:t>MHz aparecen en el § 3 (véase la Fig. 1 y el Cuadro 1). Estos valores son para el código</w:t>
            </w:r>
            <w:r w:rsidR="0094394A">
              <w:rPr>
                <w:sz w:val="18"/>
                <w:lang w:val="es-ES_tradnl"/>
              </w:rPr>
              <w:t> </w:t>
            </w:r>
            <w:r w:rsidRPr="001246F2">
              <w:rPr>
                <w:sz w:val="18"/>
                <w:lang w:val="es-ES_tradnl"/>
              </w:rPr>
              <w:t>L1</w:t>
            </w:r>
            <w:r w:rsidR="005623EE">
              <w:rPr>
                <w:sz w:val="18"/>
                <w:lang w:val="es-ES_tradnl"/>
              </w:rPr>
              <w:t> </w:t>
            </w:r>
            <w:r w:rsidRPr="001246F2">
              <w:rPr>
                <w:sz w:val="18"/>
                <w:lang w:val="es-ES_tradnl"/>
              </w:rPr>
              <w:t>C/A y no están destinados para su utilización en un entorno con interferencia impulsiva significativa.</w:t>
            </w:r>
          </w:p>
          <w:p w:rsidR="00A5354D" w:rsidRPr="001246F2" w:rsidRDefault="00A5354D" w:rsidP="00100D9A">
            <w:pPr>
              <w:pStyle w:val="TableLegendNote"/>
              <w:spacing w:before="40"/>
              <w:ind w:left="-10" w:right="-10"/>
              <w:rPr>
                <w:sz w:val="18"/>
                <w:lang w:val="es-ES_tradnl"/>
              </w:rPr>
            </w:pPr>
            <w:r w:rsidRPr="001246F2">
              <w:rPr>
                <w:sz w:val="18"/>
                <w:lang w:val="es-ES_tradnl"/>
              </w:rPr>
              <w:t>NOTA 2 – Se considera que la interferencia continua de banda estrecha tiene una anchura de banda inferior a 700</w:t>
            </w:r>
            <w:r w:rsidR="00100D9A">
              <w:rPr>
                <w:sz w:val="18"/>
                <w:lang w:val="es-ES_tradnl"/>
              </w:rPr>
              <w:t> </w:t>
            </w:r>
            <w:r w:rsidRPr="001246F2">
              <w:rPr>
                <w:sz w:val="18"/>
                <w:lang w:val="es-ES_tradnl"/>
              </w:rPr>
              <w:t>Hz. La interferencia continua de banda amplia se considera que tiene una anchura de banda superior a 1 MHz. Estos valores son para el código L1 C/A y no están destinados a su utilización en entornos con interferencia impulsiva significativa.</w:t>
            </w:r>
          </w:p>
          <w:p w:rsidR="00A73BE4" w:rsidRPr="001246F2" w:rsidRDefault="00A73BE4" w:rsidP="0094394A">
            <w:pPr>
              <w:pStyle w:val="TableLegendNote"/>
              <w:spacing w:before="40"/>
              <w:ind w:left="-10" w:right="-10"/>
              <w:rPr>
                <w:sz w:val="18"/>
                <w:lang w:val="es-ES_tradnl"/>
              </w:rPr>
            </w:pPr>
            <w:r w:rsidRPr="001246F2">
              <w:rPr>
                <w:sz w:val="18"/>
                <w:lang w:val="es-ES_tradnl"/>
              </w:rPr>
              <w:t>NOTA 3 – Para el procesamiento de la señal con AMDF, se considera que la interferencia continua de banda estrecha tiene una anchura de banda inferior a 1 kHz. La interferencia continua de banda amplia se considera que tiene una anchura de banda superior a 500 kHz.</w:t>
            </w:r>
          </w:p>
          <w:p w:rsidR="00634092" w:rsidRPr="001246F2" w:rsidRDefault="00634092" w:rsidP="00100D9A">
            <w:pPr>
              <w:pStyle w:val="TableLegendNote"/>
              <w:spacing w:before="40"/>
              <w:ind w:left="-10" w:right="-10"/>
              <w:rPr>
                <w:sz w:val="18"/>
                <w:lang w:val="es-ES_tradnl"/>
              </w:rPr>
            </w:pPr>
            <w:r w:rsidRPr="001246F2">
              <w:rPr>
                <w:sz w:val="18"/>
                <w:lang w:val="es-ES_tradnl"/>
              </w:rPr>
              <w:t>NOTA 4 – Se considera que la interferencia continua de banda estrecha tiene una anchura de banda inferior a 700</w:t>
            </w:r>
            <w:r w:rsidR="00100D9A">
              <w:rPr>
                <w:sz w:val="18"/>
                <w:lang w:val="es-ES_tradnl"/>
              </w:rPr>
              <w:t> </w:t>
            </w:r>
            <w:r w:rsidRPr="001246F2">
              <w:rPr>
                <w:sz w:val="18"/>
                <w:lang w:val="es-ES_tradnl"/>
              </w:rPr>
              <w:t>Hz. La interferencia continua de banda amplia se considera que tiene una anchura de banda superior a 1 MHz.</w:t>
            </w:r>
          </w:p>
          <w:p w:rsidR="00BC3C01" w:rsidRPr="001246F2" w:rsidRDefault="00634092" w:rsidP="0094394A">
            <w:pPr>
              <w:pStyle w:val="TableLegendNote"/>
              <w:spacing w:before="40"/>
              <w:ind w:left="-10" w:right="-10"/>
              <w:rPr>
                <w:sz w:val="18"/>
                <w:lang w:val="es-ES_tradnl"/>
              </w:rPr>
            </w:pPr>
            <w:r w:rsidRPr="001246F2">
              <w:rPr>
                <w:sz w:val="18"/>
                <w:lang w:val="es-ES_tradnl"/>
              </w:rPr>
              <w:t>NOTA 5 – La máxima ganancia de antena del receptor en el hemisferio superior se aplica para un ángulo de elevación de al menos 75° con respecto al plano horizontal de la antena.</w:t>
            </w:r>
          </w:p>
          <w:p w:rsidR="00BC3C01" w:rsidRPr="001246F2" w:rsidRDefault="00BD2444" w:rsidP="0094394A">
            <w:pPr>
              <w:pStyle w:val="TableLegendNote"/>
              <w:spacing w:before="40"/>
              <w:ind w:left="-10" w:right="-10"/>
              <w:rPr>
                <w:sz w:val="18"/>
                <w:lang w:val="es-ES_tradnl"/>
              </w:rPr>
            </w:pPr>
            <w:r w:rsidRPr="001246F2">
              <w:rPr>
                <w:sz w:val="18"/>
                <w:lang w:val="es-ES_tradnl"/>
              </w:rPr>
              <w:t>NOTA </w:t>
            </w:r>
            <w:r w:rsidR="00BC3C01" w:rsidRPr="001246F2">
              <w:rPr>
                <w:sz w:val="18"/>
                <w:lang w:val="es-ES_tradnl"/>
              </w:rPr>
              <w:t>6</w:t>
            </w:r>
            <w:r w:rsidRPr="001246F2">
              <w:rPr>
                <w:sz w:val="18"/>
                <w:lang w:val="es-ES_tradnl"/>
              </w:rPr>
              <w:t> </w:t>
            </w:r>
            <w:r w:rsidR="00BC3C01" w:rsidRPr="001246F2">
              <w:rPr>
                <w:sz w:val="18"/>
                <w:lang w:val="es-ES_tradnl"/>
              </w:rPr>
              <w:t>–</w:t>
            </w:r>
            <w:r w:rsidRPr="001246F2">
              <w:rPr>
                <w:sz w:val="18"/>
                <w:lang w:val="es-ES_tradnl"/>
              </w:rPr>
              <w:t xml:space="preserve"> El máximo valor de ganancia en </w:t>
            </w:r>
            <w:r w:rsidR="00BC3C01" w:rsidRPr="001246F2">
              <w:rPr>
                <w:sz w:val="18"/>
                <w:lang w:val="es-ES_tradnl"/>
              </w:rPr>
              <w:t>el hemisferio superior indicado se refiere</w:t>
            </w:r>
            <w:r w:rsidRPr="001246F2">
              <w:rPr>
                <w:sz w:val="18"/>
                <w:lang w:val="es-ES_tradnl"/>
              </w:rPr>
              <w:t xml:space="preserve"> a un ángulo de elevación de 30°</w:t>
            </w:r>
            <w:r w:rsidR="00BC3C01" w:rsidRPr="001246F2">
              <w:rPr>
                <w:sz w:val="18"/>
                <w:lang w:val="es-ES_tradnl"/>
              </w:rPr>
              <w:t xml:space="preserve"> (máximo ángulo de llegada </w:t>
            </w:r>
            <w:r w:rsidRPr="001246F2">
              <w:rPr>
                <w:sz w:val="18"/>
                <w:lang w:val="es-ES_tradnl"/>
              </w:rPr>
              <w:t xml:space="preserve">de la interferencia de RF </w:t>
            </w:r>
            <w:r w:rsidR="00BC3C01" w:rsidRPr="001246F2">
              <w:rPr>
                <w:sz w:val="18"/>
                <w:lang w:val="es-ES_tradnl"/>
              </w:rPr>
              <w:t>esperad</w:t>
            </w:r>
            <w:r w:rsidRPr="001246F2">
              <w:rPr>
                <w:sz w:val="18"/>
                <w:lang w:val="es-ES_tradnl"/>
              </w:rPr>
              <w:t>a</w:t>
            </w:r>
            <w:r w:rsidR="00BC3C01" w:rsidRPr="001246F2">
              <w:rPr>
                <w:sz w:val="18"/>
                <w:lang w:val="es-ES_tradnl"/>
              </w:rPr>
              <w:t xml:space="preserve">). El máximo valor de ganancia </w:t>
            </w:r>
            <w:r w:rsidRPr="001246F2">
              <w:rPr>
                <w:sz w:val="18"/>
                <w:lang w:val="es-ES_tradnl"/>
              </w:rPr>
              <w:t xml:space="preserve">en </w:t>
            </w:r>
            <w:r w:rsidR="00BC3C01" w:rsidRPr="001246F2">
              <w:rPr>
                <w:sz w:val="18"/>
                <w:lang w:val="es-ES_tradnl"/>
              </w:rPr>
              <w:t>el hemisferio inferior indicado se refiere a un ángulo de elevación de 0</w:t>
            </w:r>
            <w:r w:rsidRPr="001246F2">
              <w:rPr>
                <w:sz w:val="18"/>
                <w:lang w:val="es-ES_tradnl"/>
              </w:rPr>
              <w:t>°</w:t>
            </w:r>
            <w:r w:rsidR="00BC3C01" w:rsidRPr="001246F2">
              <w:rPr>
                <w:sz w:val="18"/>
                <w:lang w:val="es-ES_tradnl"/>
              </w:rPr>
              <w:t xml:space="preserve"> (horizonte).</w:t>
            </w:r>
          </w:p>
          <w:p w:rsidR="00BC3C01" w:rsidRPr="001246F2" w:rsidRDefault="00BC3C01" w:rsidP="0094394A">
            <w:pPr>
              <w:pStyle w:val="TableLegendNote"/>
              <w:spacing w:before="40"/>
              <w:ind w:left="-10" w:right="-10"/>
              <w:rPr>
                <w:sz w:val="18"/>
                <w:lang w:val="es-ES_tradnl"/>
              </w:rPr>
            </w:pPr>
            <w:r w:rsidRPr="001246F2">
              <w:rPr>
                <w:sz w:val="18"/>
                <w:lang w:val="es-ES_tradnl"/>
              </w:rPr>
              <w:t>NOTA</w:t>
            </w:r>
            <w:r w:rsidR="0014127D" w:rsidRPr="001246F2">
              <w:rPr>
                <w:sz w:val="18"/>
                <w:lang w:val="es-ES_tradnl"/>
              </w:rPr>
              <w:t> </w:t>
            </w:r>
            <w:r w:rsidRPr="001246F2">
              <w:rPr>
                <w:sz w:val="18"/>
                <w:lang w:val="es-ES_tradnl"/>
              </w:rPr>
              <w:t>7</w:t>
            </w:r>
            <w:r w:rsidR="0014127D" w:rsidRPr="001246F2">
              <w:rPr>
                <w:sz w:val="18"/>
                <w:lang w:val="es-ES_tradnl"/>
              </w:rPr>
              <w:t> </w:t>
            </w:r>
            <w:r w:rsidRPr="001246F2">
              <w:rPr>
                <w:sz w:val="18"/>
                <w:lang w:val="es-ES_tradnl"/>
              </w:rPr>
              <w:t>–</w:t>
            </w:r>
            <w:r w:rsidR="0014127D" w:rsidRPr="001246F2">
              <w:rPr>
                <w:sz w:val="18"/>
                <w:lang w:val="es-ES_tradnl"/>
              </w:rPr>
              <w:t> </w:t>
            </w:r>
            <w:r w:rsidRPr="001246F2">
              <w:rPr>
                <w:sz w:val="18"/>
                <w:lang w:val="es-ES_tradnl"/>
              </w:rPr>
              <w:t>El máximo valor de ganancia indicado se refiere a un ángulo de elevación de 0</w:t>
            </w:r>
            <w:r w:rsidR="00034103" w:rsidRPr="001246F2">
              <w:rPr>
                <w:sz w:val="18"/>
                <w:lang w:val="es-ES_tradnl"/>
              </w:rPr>
              <w:t>°</w:t>
            </w:r>
            <w:r w:rsidRPr="001246F2">
              <w:rPr>
                <w:sz w:val="18"/>
                <w:lang w:val="es-ES_tradnl"/>
              </w:rPr>
              <w:t>. Para ángulos de elevación comprendidos entre 0</w:t>
            </w:r>
            <w:r w:rsidR="0055277B" w:rsidRPr="001246F2">
              <w:rPr>
                <w:sz w:val="18"/>
                <w:lang w:val="es-ES_tradnl"/>
              </w:rPr>
              <w:t>°</w:t>
            </w:r>
            <w:r w:rsidRPr="001246F2">
              <w:rPr>
                <w:sz w:val="18"/>
                <w:lang w:val="es-ES_tradnl"/>
              </w:rPr>
              <w:t xml:space="preserve"> y </w:t>
            </w:r>
            <w:r w:rsidR="009C6DEC">
              <w:t>–</w:t>
            </w:r>
            <w:r w:rsidRPr="001246F2">
              <w:rPr>
                <w:sz w:val="18"/>
                <w:lang w:val="es-ES_tradnl"/>
              </w:rPr>
              <w:t>30</w:t>
            </w:r>
            <w:r w:rsidR="0055277B" w:rsidRPr="001246F2">
              <w:rPr>
                <w:sz w:val="18"/>
                <w:lang w:val="es-ES_tradnl"/>
              </w:rPr>
              <w:t>°,</w:t>
            </w:r>
            <w:r w:rsidRPr="001246F2">
              <w:rPr>
                <w:sz w:val="18"/>
                <w:lang w:val="es-ES_tradnl"/>
              </w:rPr>
              <w:t xml:space="preserve"> la máxima ganancia disminuye a </w:t>
            </w:r>
            <w:r w:rsidR="0055277B" w:rsidRPr="001246F2">
              <w:rPr>
                <w:sz w:val="18"/>
                <w:lang w:val="es-ES_tradnl"/>
              </w:rPr>
              <w:t>–</w:t>
            </w:r>
            <w:r w:rsidRPr="001246F2">
              <w:rPr>
                <w:sz w:val="18"/>
                <w:lang w:val="es-ES_tradnl"/>
              </w:rPr>
              <w:t>10</w:t>
            </w:r>
            <w:r w:rsidR="0055277B" w:rsidRPr="001246F2">
              <w:rPr>
                <w:sz w:val="18"/>
                <w:lang w:val="es-ES_tradnl"/>
              </w:rPr>
              <w:t> </w:t>
            </w:r>
            <w:r w:rsidRPr="001246F2">
              <w:rPr>
                <w:sz w:val="18"/>
                <w:lang w:val="es-ES_tradnl"/>
              </w:rPr>
              <w:t>dB</w:t>
            </w:r>
            <w:r w:rsidR="0055277B" w:rsidRPr="001246F2">
              <w:rPr>
                <w:sz w:val="18"/>
                <w:lang w:val="es-ES_tradnl"/>
              </w:rPr>
              <w:t>i</w:t>
            </w:r>
            <w:r w:rsidRPr="001246F2">
              <w:rPr>
                <w:sz w:val="18"/>
                <w:lang w:val="es-ES_tradnl"/>
              </w:rPr>
              <w:t xml:space="preserve"> y permanece constante en ese valor para ángulos de elevación entre </w:t>
            </w:r>
            <w:r w:rsidR="0055277B" w:rsidRPr="001246F2">
              <w:rPr>
                <w:sz w:val="18"/>
                <w:lang w:val="es-ES_tradnl"/>
              </w:rPr>
              <w:t>–</w:t>
            </w:r>
            <w:r w:rsidRPr="001246F2">
              <w:rPr>
                <w:sz w:val="18"/>
                <w:lang w:val="es-ES_tradnl"/>
              </w:rPr>
              <w:t>30</w:t>
            </w:r>
            <w:r w:rsidR="00034103" w:rsidRPr="001246F2">
              <w:rPr>
                <w:sz w:val="18"/>
                <w:lang w:val="es-ES_tradnl"/>
              </w:rPr>
              <w:t>°</w:t>
            </w:r>
            <w:r w:rsidRPr="001246F2">
              <w:rPr>
                <w:sz w:val="18"/>
                <w:lang w:val="es-ES_tradnl"/>
              </w:rPr>
              <w:t xml:space="preserve"> y </w:t>
            </w:r>
            <w:r w:rsidR="0055277B" w:rsidRPr="001246F2">
              <w:rPr>
                <w:sz w:val="18"/>
                <w:lang w:val="es-ES_tradnl"/>
              </w:rPr>
              <w:t>–</w:t>
            </w:r>
            <w:r w:rsidRPr="001246F2">
              <w:rPr>
                <w:sz w:val="18"/>
                <w:lang w:val="es-ES_tradnl"/>
              </w:rPr>
              <w:t>90</w:t>
            </w:r>
            <w:r w:rsidR="00034103" w:rsidRPr="001246F2">
              <w:rPr>
                <w:sz w:val="18"/>
                <w:lang w:val="es-ES_tradnl"/>
              </w:rPr>
              <w:t>°</w:t>
            </w:r>
            <w:r w:rsidRPr="001246F2">
              <w:rPr>
                <w:sz w:val="18"/>
                <w:lang w:val="es-ES_tradnl"/>
              </w:rPr>
              <w:t>.</w:t>
            </w:r>
          </w:p>
          <w:p w:rsidR="00BC3C01" w:rsidRPr="001246F2" w:rsidRDefault="00BC3C01" w:rsidP="00416335">
            <w:pPr>
              <w:pStyle w:val="TableLegendNote"/>
              <w:spacing w:before="40"/>
              <w:ind w:left="-10" w:right="-10"/>
              <w:rPr>
                <w:sz w:val="18"/>
                <w:lang w:val="es-ES_tradnl"/>
              </w:rPr>
            </w:pPr>
            <w:r w:rsidRPr="001246F2">
              <w:rPr>
                <w:sz w:val="18"/>
                <w:lang w:val="es-ES_tradnl"/>
              </w:rPr>
              <w:t>NOTA</w:t>
            </w:r>
            <w:r w:rsidR="0014127D" w:rsidRPr="001246F2">
              <w:rPr>
                <w:sz w:val="18"/>
                <w:lang w:val="es-ES_tradnl"/>
              </w:rPr>
              <w:t> </w:t>
            </w:r>
            <w:r w:rsidRPr="001246F2">
              <w:rPr>
                <w:sz w:val="18"/>
                <w:lang w:val="es-ES_tradnl"/>
              </w:rPr>
              <w:t>8</w:t>
            </w:r>
            <w:r w:rsidR="0014127D" w:rsidRPr="001246F2">
              <w:rPr>
                <w:sz w:val="18"/>
                <w:lang w:val="es-ES_tradnl"/>
              </w:rPr>
              <w:t> </w:t>
            </w:r>
            <w:r w:rsidRPr="001246F2">
              <w:rPr>
                <w:sz w:val="18"/>
                <w:lang w:val="es-ES_tradnl"/>
              </w:rPr>
              <w:t>–</w:t>
            </w:r>
            <w:r w:rsidR="0014127D" w:rsidRPr="001246F2">
              <w:rPr>
                <w:sz w:val="18"/>
                <w:lang w:val="es-ES_tradnl"/>
              </w:rPr>
              <w:t> </w:t>
            </w:r>
            <w:r w:rsidRPr="001246F2">
              <w:rPr>
                <w:sz w:val="18"/>
                <w:lang w:val="es-ES_tradnl"/>
              </w:rPr>
              <w:t>El máximo valor de ganancia en el hemisferio inferior indicado se refiere a un ángulo de elevación de 0</w:t>
            </w:r>
            <w:r w:rsidR="0055277B" w:rsidRPr="001246F2">
              <w:rPr>
                <w:sz w:val="18"/>
                <w:lang w:val="es-ES_tradnl"/>
              </w:rPr>
              <w:t>°</w:t>
            </w:r>
            <w:r w:rsidRPr="001246F2">
              <w:rPr>
                <w:sz w:val="18"/>
                <w:lang w:val="es-ES_tradnl"/>
              </w:rPr>
              <w:t>. Para ángulos de elevación comprendidos entre 0</w:t>
            </w:r>
            <w:r w:rsidR="0055277B" w:rsidRPr="001246F2">
              <w:rPr>
                <w:sz w:val="18"/>
                <w:lang w:val="es-ES_tradnl"/>
              </w:rPr>
              <w:t>°</w:t>
            </w:r>
            <w:r w:rsidRPr="001246F2">
              <w:rPr>
                <w:sz w:val="18"/>
                <w:lang w:val="es-ES_tradnl"/>
              </w:rPr>
              <w:t xml:space="preserve"> y </w:t>
            </w:r>
            <w:r w:rsidR="00034103" w:rsidRPr="001246F2">
              <w:rPr>
                <w:sz w:val="18"/>
                <w:lang w:val="es-ES_tradnl"/>
              </w:rPr>
              <w:t>–</w:t>
            </w:r>
            <w:r w:rsidRPr="001246F2">
              <w:rPr>
                <w:sz w:val="18"/>
                <w:lang w:val="es-ES_tradnl"/>
              </w:rPr>
              <w:t>30</w:t>
            </w:r>
            <w:r w:rsidR="0055277B" w:rsidRPr="001246F2">
              <w:rPr>
                <w:sz w:val="18"/>
                <w:lang w:val="es-ES_tradnl"/>
              </w:rPr>
              <w:t>°</w:t>
            </w:r>
            <w:r w:rsidR="00034103" w:rsidRPr="001246F2">
              <w:rPr>
                <w:sz w:val="18"/>
                <w:lang w:val="es-ES_tradnl"/>
              </w:rPr>
              <w:t xml:space="preserve"> </w:t>
            </w:r>
            <w:r w:rsidRPr="001246F2">
              <w:rPr>
                <w:sz w:val="18"/>
                <w:lang w:val="es-ES_tradnl"/>
              </w:rPr>
              <w:t xml:space="preserve">la máxima ganancia disminuye a </w:t>
            </w:r>
            <w:r w:rsidR="00034103" w:rsidRPr="001246F2">
              <w:rPr>
                <w:sz w:val="18"/>
                <w:lang w:val="es-ES_tradnl"/>
              </w:rPr>
              <w:t>–</w:t>
            </w:r>
            <w:r w:rsidRPr="001246F2">
              <w:rPr>
                <w:sz w:val="18"/>
                <w:lang w:val="es-ES_tradnl"/>
              </w:rPr>
              <w:t>10 dB</w:t>
            </w:r>
            <w:r w:rsidR="00034103" w:rsidRPr="001246F2">
              <w:rPr>
                <w:sz w:val="18"/>
                <w:lang w:val="es-ES_tradnl"/>
              </w:rPr>
              <w:t>i</w:t>
            </w:r>
            <w:r w:rsidRPr="001246F2">
              <w:rPr>
                <w:sz w:val="18"/>
                <w:lang w:val="es-ES_tradnl"/>
              </w:rPr>
              <w:t xml:space="preserve"> y permanece constante en ese valor para ángulos de elevación entre </w:t>
            </w:r>
            <w:r w:rsidR="00034103" w:rsidRPr="001246F2">
              <w:rPr>
                <w:sz w:val="18"/>
                <w:lang w:val="es-ES_tradnl"/>
              </w:rPr>
              <w:t>–</w:t>
            </w:r>
            <w:r w:rsidRPr="001246F2">
              <w:rPr>
                <w:sz w:val="18"/>
                <w:lang w:val="es-ES_tradnl"/>
              </w:rPr>
              <w:t>30</w:t>
            </w:r>
            <w:r w:rsidR="0055277B" w:rsidRPr="001246F2">
              <w:rPr>
                <w:sz w:val="18"/>
                <w:lang w:val="es-ES_tradnl"/>
              </w:rPr>
              <w:t>°</w:t>
            </w:r>
            <w:r w:rsidRPr="001246F2">
              <w:rPr>
                <w:sz w:val="18"/>
                <w:lang w:val="es-ES_tradnl"/>
              </w:rPr>
              <w:t xml:space="preserve"> y </w:t>
            </w:r>
            <w:r w:rsidR="00034103" w:rsidRPr="001246F2">
              <w:rPr>
                <w:sz w:val="18"/>
                <w:lang w:val="es-ES_tradnl"/>
              </w:rPr>
              <w:t>–</w:t>
            </w:r>
            <w:r w:rsidR="00416335">
              <w:rPr>
                <w:sz w:val="18"/>
                <w:lang w:val="es-ES_tradnl"/>
              </w:rPr>
              <w:t>45</w:t>
            </w:r>
            <w:r w:rsidR="0055277B" w:rsidRPr="001246F2">
              <w:rPr>
                <w:sz w:val="18"/>
                <w:lang w:val="es-ES_tradnl"/>
              </w:rPr>
              <w:t>°</w:t>
            </w:r>
            <w:r w:rsidRPr="001246F2">
              <w:rPr>
                <w:sz w:val="18"/>
                <w:lang w:val="es-ES_tradnl"/>
              </w:rPr>
              <w:t>.</w:t>
            </w:r>
            <w:r w:rsidR="00B64090">
              <w:rPr>
                <w:sz w:val="18"/>
                <w:lang w:val="es-ES_tradnl"/>
              </w:rPr>
              <w:t xml:space="preserve"> </w:t>
            </w:r>
            <w:r w:rsidR="00B64090" w:rsidRPr="001246F2">
              <w:rPr>
                <w:sz w:val="18"/>
                <w:lang w:val="es-ES_tradnl"/>
              </w:rPr>
              <w:t xml:space="preserve">Para ángulos de elevación entre </w:t>
            </w:r>
            <w:r w:rsidR="00B64090">
              <w:rPr>
                <w:sz w:val="18"/>
                <w:lang w:val="es-ES_tradnl"/>
              </w:rPr>
              <w:t>45</w:t>
            </w:r>
            <w:r w:rsidR="00B64090" w:rsidRPr="001246F2">
              <w:rPr>
                <w:sz w:val="18"/>
                <w:lang w:val="es-ES_tradnl"/>
              </w:rPr>
              <w:t xml:space="preserve">° y </w:t>
            </w:r>
            <w:r w:rsidR="00B64090">
              <w:t>–</w:t>
            </w:r>
            <w:r w:rsidR="00B64090">
              <w:rPr>
                <w:sz w:val="18"/>
                <w:lang w:val="es-ES_tradnl"/>
              </w:rPr>
              <w:t>9</w:t>
            </w:r>
            <w:r w:rsidR="00B64090" w:rsidRPr="001246F2">
              <w:rPr>
                <w:sz w:val="18"/>
                <w:lang w:val="es-ES_tradnl"/>
              </w:rPr>
              <w:t>0°</w:t>
            </w:r>
            <w:r w:rsidR="00B64090">
              <w:rPr>
                <w:sz w:val="18"/>
                <w:lang w:val="es-ES_tradnl"/>
              </w:rPr>
              <w:t xml:space="preserve"> e</w:t>
            </w:r>
            <w:r w:rsidR="00B64090" w:rsidRPr="001246F2">
              <w:rPr>
                <w:sz w:val="18"/>
                <w:lang w:val="es-ES_tradnl"/>
              </w:rPr>
              <w:t>l</w:t>
            </w:r>
            <w:r w:rsidR="00B64090">
              <w:rPr>
                <w:sz w:val="18"/>
                <w:lang w:val="es-ES_tradnl"/>
              </w:rPr>
              <w:t xml:space="preserve"> máximo límite de</w:t>
            </w:r>
            <w:r w:rsidR="00B64090" w:rsidRPr="001246F2">
              <w:rPr>
                <w:sz w:val="18"/>
                <w:lang w:val="es-ES_tradnl"/>
              </w:rPr>
              <w:t xml:space="preserve"> ganancia </w:t>
            </w:r>
            <w:r w:rsidR="00B64090">
              <w:rPr>
                <w:sz w:val="18"/>
                <w:lang w:val="es-ES_tradnl"/>
              </w:rPr>
              <w:t>es</w:t>
            </w:r>
            <w:r w:rsidR="00B64090" w:rsidRPr="001246F2">
              <w:rPr>
                <w:sz w:val="18"/>
                <w:lang w:val="es-ES_tradnl"/>
              </w:rPr>
              <w:t xml:space="preserve"> –1</w:t>
            </w:r>
            <w:r w:rsidR="00B64090">
              <w:rPr>
                <w:sz w:val="18"/>
                <w:lang w:val="es-ES_tradnl"/>
              </w:rPr>
              <w:t>3</w:t>
            </w:r>
            <w:r w:rsidR="00B64090" w:rsidRPr="001246F2">
              <w:rPr>
                <w:sz w:val="18"/>
                <w:lang w:val="es-ES_tradnl"/>
              </w:rPr>
              <w:t> dBi</w:t>
            </w:r>
            <w:r w:rsidR="00B64090">
              <w:rPr>
                <w:sz w:val="18"/>
                <w:lang w:val="es-ES_tradnl"/>
              </w:rPr>
              <w:t>.</w:t>
            </w:r>
          </w:p>
          <w:p w:rsidR="00BC3C01" w:rsidRPr="001246F2" w:rsidRDefault="00BC3C01" w:rsidP="00100D9A">
            <w:pPr>
              <w:pStyle w:val="TableLegendNote"/>
              <w:spacing w:before="40"/>
              <w:ind w:left="-10" w:right="-10"/>
              <w:rPr>
                <w:sz w:val="18"/>
                <w:lang w:val="es-ES_tradnl"/>
              </w:rPr>
            </w:pPr>
            <w:r w:rsidRPr="001246F2">
              <w:rPr>
                <w:sz w:val="18"/>
                <w:lang w:val="es-ES_tradnl"/>
              </w:rPr>
              <w:t>NOTA</w:t>
            </w:r>
            <w:r w:rsidR="0014127D" w:rsidRPr="001246F2">
              <w:rPr>
                <w:sz w:val="18"/>
                <w:lang w:val="es-ES_tradnl"/>
              </w:rPr>
              <w:t> </w:t>
            </w:r>
            <w:r w:rsidRPr="001246F2">
              <w:rPr>
                <w:sz w:val="18"/>
                <w:lang w:val="es-ES_tradnl"/>
              </w:rPr>
              <w:t>9</w:t>
            </w:r>
            <w:r w:rsidR="0014127D" w:rsidRPr="001246F2">
              <w:rPr>
                <w:sz w:val="18"/>
                <w:lang w:val="es-ES_tradnl"/>
              </w:rPr>
              <w:t> </w:t>
            </w:r>
            <w:r w:rsidRPr="001246F2">
              <w:rPr>
                <w:sz w:val="18"/>
                <w:lang w:val="es-ES_tradnl"/>
              </w:rPr>
              <w:t>–</w:t>
            </w:r>
            <w:r w:rsidR="0014127D" w:rsidRPr="001246F2">
              <w:rPr>
                <w:sz w:val="18"/>
                <w:lang w:val="es-ES_tradnl"/>
              </w:rPr>
              <w:t> </w:t>
            </w:r>
            <w:r w:rsidRPr="001246F2">
              <w:rPr>
                <w:sz w:val="18"/>
                <w:lang w:val="es-ES_tradnl"/>
              </w:rPr>
              <w:t>Los valores de seguimiento se aplican a la señal L1</w:t>
            </w:r>
            <w:r w:rsidR="005623EE">
              <w:rPr>
                <w:sz w:val="18"/>
                <w:lang w:val="es-ES_tradnl"/>
              </w:rPr>
              <w:t> </w:t>
            </w:r>
            <w:r w:rsidRPr="001246F2">
              <w:rPr>
                <w:sz w:val="18"/>
                <w:lang w:val="es-ES_tradnl"/>
              </w:rPr>
              <w:t>SBAS. Los umbrales de seguimiento se basan en la especificación FAA-E-2892B, Modificación N</w:t>
            </w:r>
            <w:r w:rsidR="0055277B" w:rsidRPr="001246F2">
              <w:rPr>
                <w:sz w:val="18"/>
                <w:lang w:val="es-ES_tradnl"/>
              </w:rPr>
              <w:t>°</w:t>
            </w:r>
            <w:r w:rsidRPr="001246F2">
              <w:rPr>
                <w:sz w:val="18"/>
                <w:lang w:val="es-ES_tradnl"/>
              </w:rPr>
              <w:t xml:space="preserve"> 0012, de la FAA. Los valores de adquisición se aplican a la señal L1</w:t>
            </w:r>
            <w:r w:rsidR="005623EE">
              <w:rPr>
                <w:sz w:val="18"/>
                <w:lang w:val="es-ES_tradnl"/>
              </w:rPr>
              <w:t> </w:t>
            </w:r>
            <w:r w:rsidRPr="001246F2">
              <w:rPr>
                <w:sz w:val="18"/>
                <w:lang w:val="es-ES_tradnl"/>
              </w:rPr>
              <w:t xml:space="preserve">C/A con una </w:t>
            </w:r>
            <w:r w:rsidRPr="001246F2">
              <w:rPr>
                <w:i/>
                <w:iCs/>
                <w:sz w:val="18"/>
                <w:lang w:val="es-ES_tradnl"/>
              </w:rPr>
              <w:t>I/N</w:t>
            </w:r>
            <w:r w:rsidRPr="001246F2">
              <w:rPr>
                <w:sz w:val="18"/>
                <w:lang w:val="es-ES_tradnl"/>
              </w:rPr>
              <w:t xml:space="preserve"> de </w:t>
            </w:r>
            <w:r w:rsidR="0055277B" w:rsidRPr="001246F2">
              <w:rPr>
                <w:sz w:val="18"/>
                <w:lang w:val="es-ES_tradnl"/>
              </w:rPr>
              <w:t>–</w:t>
            </w:r>
            <w:r w:rsidRPr="001246F2">
              <w:rPr>
                <w:sz w:val="18"/>
                <w:lang w:val="es-ES_tradnl"/>
              </w:rPr>
              <w:t>6 dB. Los límites de anchura de banda de la interferencia continua para los umbrales de banda estrecha y de banda amplia son 70</w:t>
            </w:r>
            <w:r w:rsidR="00100D9A">
              <w:rPr>
                <w:sz w:val="18"/>
                <w:lang w:val="es-ES_tradnl"/>
              </w:rPr>
              <w:t> </w:t>
            </w:r>
            <w:r w:rsidRPr="001246F2">
              <w:rPr>
                <w:sz w:val="18"/>
                <w:lang w:val="es-ES_tradnl"/>
              </w:rPr>
              <w:t>Hz (máximo) y 1 MHz (mínimo), respectivamente. No se especifican los umbrales para las anchura</w:t>
            </w:r>
            <w:r w:rsidR="0055277B" w:rsidRPr="001246F2">
              <w:rPr>
                <w:sz w:val="18"/>
                <w:lang w:val="es-ES_tradnl"/>
              </w:rPr>
              <w:t>s</w:t>
            </w:r>
            <w:r w:rsidRPr="001246F2">
              <w:rPr>
                <w:sz w:val="18"/>
                <w:lang w:val="es-ES_tradnl"/>
              </w:rPr>
              <w:t xml:space="preserve"> de banda de la interferencia entre estos límites.</w:t>
            </w:r>
          </w:p>
          <w:p w:rsidR="00BC3C01" w:rsidRPr="001246F2" w:rsidRDefault="00BC3C01" w:rsidP="0094394A">
            <w:pPr>
              <w:pStyle w:val="TableLegendNote"/>
              <w:spacing w:before="40"/>
              <w:ind w:left="-10" w:right="-10"/>
              <w:rPr>
                <w:sz w:val="18"/>
                <w:lang w:val="es-ES_tradnl"/>
              </w:rPr>
            </w:pPr>
            <w:r w:rsidRPr="001246F2">
              <w:rPr>
                <w:sz w:val="18"/>
                <w:lang w:val="es-ES_tradnl"/>
              </w:rPr>
              <w:t>NOTA</w:t>
            </w:r>
            <w:r w:rsidR="0014127D" w:rsidRPr="001246F2">
              <w:rPr>
                <w:sz w:val="18"/>
                <w:lang w:val="es-ES_tradnl"/>
              </w:rPr>
              <w:t> </w:t>
            </w:r>
            <w:r w:rsidRPr="001246F2">
              <w:rPr>
                <w:sz w:val="18"/>
                <w:lang w:val="es-ES_tradnl"/>
              </w:rPr>
              <w:t>10</w:t>
            </w:r>
            <w:r w:rsidR="0014127D" w:rsidRPr="001246F2">
              <w:rPr>
                <w:sz w:val="18"/>
                <w:lang w:val="es-ES_tradnl"/>
              </w:rPr>
              <w:t> </w:t>
            </w:r>
            <w:r w:rsidRPr="001246F2">
              <w:rPr>
                <w:sz w:val="18"/>
                <w:lang w:val="es-ES_tradnl"/>
              </w:rPr>
              <w:t>–</w:t>
            </w:r>
            <w:r w:rsidR="0014127D" w:rsidRPr="001246F2">
              <w:rPr>
                <w:sz w:val="18"/>
                <w:lang w:val="es-ES_tradnl"/>
              </w:rPr>
              <w:t> </w:t>
            </w:r>
            <w:r w:rsidRPr="001246F2">
              <w:rPr>
                <w:sz w:val="18"/>
                <w:lang w:val="es-ES_tradnl"/>
              </w:rPr>
              <w:t>El máximo valor de ganancia en el hemisferio inferior indicado se refiere a ángulos de elevación inferiores a + 10</w:t>
            </w:r>
            <w:r w:rsidR="0055277B" w:rsidRPr="001246F2">
              <w:rPr>
                <w:sz w:val="18"/>
                <w:lang w:val="es-ES_tradnl"/>
              </w:rPr>
              <w:t>°</w:t>
            </w:r>
            <w:r w:rsidRPr="001246F2">
              <w:rPr>
                <w:sz w:val="18"/>
                <w:lang w:val="es-ES_tradnl"/>
              </w:rPr>
              <w:t>.</w:t>
            </w:r>
          </w:p>
          <w:p w:rsidR="00BC3C01" w:rsidRPr="001246F2" w:rsidRDefault="00BC3C01" w:rsidP="0094394A">
            <w:pPr>
              <w:pStyle w:val="TableLegendNote"/>
              <w:spacing w:before="40"/>
              <w:ind w:left="-10" w:right="-10"/>
              <w:rPr>
                <w:sz w:val="18"/>
                <w:lang w:val="es-ES_tradnl"/>
              </w:rPr>
            </w:pPr>
            <w:r w:rsidRPr="001246F2">
              <w:rPr>
                <w:sz w:val="18"/>
                <w:lang w:val="es-ES_tradnl"/>
              </w:rPr>
              <w:t>NOTA</w:t>
            </w:r>
            <w:r w:rsidR="0014127D" w:rsidRPr="001246F2">
              <w:rPr>
                <w:sz w:val="18"/>
                <w:lang w:val="es-ES_tradnl"/>
              </w:rPr>
              <w:t> </w:t>
            </w:r>
            <w:r w:rsidRPr="001246F2">
              <w:rPr>
                <w:sz w:val="18"/>
                <w:lang w:val="es-ES_tradnl"/>
              </w:rPr>
              <w:t>11</w:t>
            </w:r>
            <w:r w:rsidR="0014127D" w:rsidRPr="001246F2">
              <w:rPr>
                <w:sz w:val="18"/>
                <w:lang w:val="es-ES_tradnl"/>
              </w:rPr>
              <w:t> </w:t>
            </w:r>
            <w:r w:rsidRPr="001246F2">
              <w:rPr>
                <w:sz w:val="18"/>
                <w:lang w:val="es-ES_tradnl"/>
              </w:rPr>
              <w:t>–</w:t>
            </w:r>
            <w:r w:rsidR="0014127D" w:rsidRPr="001246F2">
              <w:rPr>
                <w:sz w:val="18"/>
                <w:lang w:val="es-ES_tradnl"/>
              </w:rPr>
              <w:t> </w:t>
            </w:r>
            <w:r w:rsidR="0055277B" w:rsidRPr="001246F2">
              <w:rPr>
                <w:sz w:val="18"/>
                <w:lang w:val="es-ES_tradnl"/>
              </w:rPr>
              <w:t xml:space="preserve">Las </w:t>
            </w:r>
            <w:r w:rsidRPr="001246F2">
              <w:rPr>
                <w:sz w:val="18"/>
                <w:lang w:val="es-ES_tradnl"/>
              </w:rPr>
              <w:t>características y los niveles de protección que figuran en esta columna también se aplican a los receptores del SRNS diseñados para funcionar en aplicaciones del SRNS especializadas (por ejemplo, redes en tierra monofrecuencia y n</w:t>
            </w:r>
            <w:r w:rsidR="0055277B" w:rsidRPr="001246F2">
              <w:rPr>
                <w:sz w:val="18"/>
                <w:lang w:val="es-ES_tradnl"/>
              </w:rPr>
              <w:t>avegación de precisión). (Véase</w:t>
            </w:r>
            <w:r w:rsidR="000E09A4" w:rsidRPr="001246F2">
              <w:rPr>
                <w:sz w:val="18"/>
                <w:lang w:val="es-ES_tradnl"/>
              </w:rPr>
              <w:t xml:space="preserve"> </w:t>
            </w:r>
            <w:r w:rsidR="0055277B" w:rsidRPr="001246F2">
              <w:rPr>
                <w:sz w:val="18"/>
                <w:lang w:val="es-ES_tradnl"/>
              </w:rPr>
              <w:t>en</w:t>
            </w:r>
            <w:r w:rsidRPr="001246F2">
              <w:rPr>
                <w:sz w:val="18"/>
                <w:lang w:val="es-ES_tradnl"/>
              </w:rPr>
              <w:t xml:space="preserve"> el </w:t>
            </w:r>
            <w:r w:rsidR="0055277B" w:rsidRPr="001246F2">
              <w:rPr>
                <w:sz w:val="18"/>
                <w:lang w:val="es-ES_tradnl"/>
              </w:rPr>
              <w:t>§ </w:t>
            </w:r>
            <w:r w:rsidRPr="001246F2">
              <w:rPr>
                <w:sz w:val="18"/>
                <w:lang w:val="es-ES_tradnl"/>
              </w:rPr>
              <w:t xml:space="preserve">2.2 la definición de alta precisión). Los parámetros de la respuesta al impulso para este tipo de receptor deben ser objeto de más estudios enmarcados en los trabajos del UIT-R sobre un método general de evaluación de </w:t>
            </w:r>
            <w:r w:rsidR="0055277B" w:rsidRPr="001246F2">
              <w:rPr>
                <w:sz w:val="18"/>
                <w:lang w:val="es-ES_tradnl"/>
              </w:rPr>
              <w:t>l</w:t>
            </w:r>
            <w:r w:rsidRPr="001246F2">
              <w:rPr>
                <w:sz w:val="18"/>
                <w:lang w:val="es-ES_tradnl"/>
              </w:rPr>
              <w:t xml:space="preserve">a </w:t>
            </w:r>
            <w:r w:rsidR="0055277B" w:rsidRPr="001246F2">
              <w:rPr>
                <w:sz w:val="18"/>
                <w:lang w:val="es-ES_tradnl"/>
              </w:rPr>
              <w:t xml:space="preserve">interferencia de </w:t>
            </w:r>
            <w:r w:rsidRPr="001246F2">
              <w:rPr>
                <w:sz w:val="18"/>
                <w:lang w:val="es-ES_tradnl"/>
              </w:rPr>
              <w:t>RF impulsiva.</w:t>
            </w:r>
          </w:p>
          <w:p w:rsidR="00BC3C01" w:rsidRPr="001246F2" w:rsidRDefault="00BC3C01" w:rsidP="0094394A">
            <w:pPr>
              <w:pStyle w:val="TableLegendNote"/>
              <w:spacing w:before="40"/>
              <w:ind w:left="-10" w:right="-10"/>
              <w:rPr>
                <w:sz w:val="18"/>
                <w:lang w:val="es-ES_tradnl"/>
              </w:rPr>
            </w:pPr>
            <w:r w:rsidRPr="001246F2">
              <w:rPr>
                <w:sz w:val="18"/>
                <w:lang w:val="es-ES_tradnl"/>
              </w:rPr>
              <w:t>NOTA</w:t>
            </w:r>
            <w:r w:rsidR="0014127D" w:rsidRPr="001246F2">
              <w:rPr>
                <w:sz w:val="18"/>
                <w:lang w:val="es-ES_tradnl"/>
              </w:rPr>
              <w:t> </w:t>
            </w:r>
            <w:r w:rsidRPr="001246F2">
              <w:rPr>
                <w:sz w:val="18"/>
                <w:lang w:val="es-ES_tradnl"/>
              </w:rPr>
              <w:t>12</w:t>
            </w:r>
            <w:r w:rsidR="0014127D" w:rsidRPr="001246F2">
              <w:rPr>
                <w:sz w:val="18"/>
                <w:lang w:val="es-ES_tradnl"/>
              </w:rPr>
              <w:t> </w:t>
            </w:r>
            <w:r w:rsidRPr="001246F2">
              <w:rPr>
                <w:sz w:val="18"/>
                <w:lang w:val="es-ES_tradnl"/>
              </w:rPr>
              <w:t>–</w:t>
            </w:r>
            <w:r w:rsidR="0014127D" w:rsidRPr="001246F2">
              <w:rPr>
                <w:sz w:val="18"/>
                <w:lang w:val="es-ES_tradnl"/>
              </w:rPr>
              <w:t> </w:t>
            </w:r>
            <w:r w:rsidR="0055277B" w:rsidRPr="001246F2">
              <w:rPr>
                <w:sz w:val="18"/>
                <w:lang w:val="es-ES_tradnl"/>
              </w:rPr>
              <w:t xml:space="preserve">Este </w:t>
            </w:r>
            <w:r w:rsidRPr="001246F2">
              <w:rPr>
                <w:sz w:val="18"/>
                <w:lang w:val="es-ES_tradnl"/>
              </w:rPr>
              <w:t xml:space="preserve">tipo de receptor funciona en varias frecuencia portadoras simultáneamente. Las frecuencias portadoras se definen </w:t>
            </w:r>
            <w:r w:rsidR="0055277B" w:rsidRPr="001246F2">
              <w:rPr>
                <w:sz w:val="18"/>
                <w:lang w:val="es-ES_tradnl"/>
              </w:rPr>
              <w:t>como sigue:</w:t>
            </w:r>
            <w:r w:rsidRPr="001246F2">
              <w:rPr>
                <w:sz w:val="18"/>
                <w:lang w:val="es-ES_tradnl"/>
              </w:rPr>
              <w:t xml:space="preserve"> </w:t>
            </w:r>
            <w:r w:rsidR="0055277B" w:rsidRPr="001246F2">
              <w:rPr>
                <w:rFonts w:eastAsia="MS PGothic"/>
                <w:i/>
                <w:sz w:val="18"/>
                <w:lang w:val="es-ES_tradnl"/>
              </w:rPr>
              <w:t>f</w:t>
            </w:r>
            <w:r w:rsidR="0055277B" w:rsidRPr="001246F2">
              <w:rPr>
                <w:rFonts w:eastAsia="MS PGothic"/>
                <w:i/>
                <w:sz w:val="18"/>
                <w:vertAlign w:val="subscript"/>
                <w:lang w:val="es-ES_tradnl"/>
              </w:rPr>
              <w:t>c</w:t>
            </w:r>
            <w:r w:rsidR="0055277B" w:rsidRPr="001246F2">
              <w:rPr>
                <w:rFonts w:eastAsia="MS PGothic"/>
                <w:sz w:val="18"/>
                <w:lang w:val="es-ES_tradnl"/>
              </w:rPr>
              <w:t> (MHz) = 1 602 + 0,5625</w:t>
            </w:r>
            <w:r w:rsidR="0055277B" w:rsidRPr="001246F2">
              <w:rPr>
                <w:rFonts w:eastAsia="MS PGothic"/>
                <w:i/>
                <w:iCs/>
                <w:sz w:val="18"/>
                <w:lang w:val="es-ES_tradnl"/>
              </w:rPr>
              <w:t>K</w:t>
            </w:r>
            <w:r w:rsidR="0055277B" w:rsidRPr="001246F2">
              <w:rPr>
                <w:rFonts w:eastAsia="MS PGothic"/>
                <w:sz w:val="18"/>
                <w:lang w:val="es-ES_tradnl"/>
              </w:rPr>
              <w:t xml:space="preserve">, donde </w:t>
            </w:r>
            <w:r w:rsidR="0055277B" w:rsidRPr="001246F2">
              <w:rPr>
                <w:i/>
                <w:sz w:val="18"/>
                <w:lang w:val="es-ES_tradnl"/>
              </w:rPr>
              <w:t>K</w:t>
            </w:r>
            <w:r w:rsidR="0055277B" w:rsidRPr="001246F2">
              <w:rPr>
                <w:sz w:val="18"/>
                <w:lang w:val="es-ES_tradnl"/>
              </w:rPr>
              <w:t> </w:t>
            </w:r>
            <w:r w:rsidR="0055277B" w:rsidRPr="001246F2">
              <w:rPr>
                <w:rFonts w:ascii="Symbol" w:hAnsi="Symbol" w:cs="Symbol"/>
                <w:sz w:val="18"/>
                <w:lang w:val="es-ES_tradnl"/>
              </w:rPr>
              <w:t></w:t>
            </w:r>
            <w:r w:rsidR="0055277B" w:rsidRPr="001246F2">
              <w:rPr>
                <w:sz w:val="18"/>
                <w:lang w:val="es-ES_tradnl"/>
              </w:rPr>
              <w:t xml:space="preserve"> −7, ..., +6 (señales del SRNS) y </w:t>
            </w:r>
            <w:r w:rsidR="0055277B" w:rsidRPr="001246F2">
              <w:rPr>
                <w:rFonts w:eastAsia="MS PGothic"/>
                <w:i/>
                <w:sz w:val="18"/>
                <w:lang w:val="es-ES_tradnl"/>
              </w:rPr>
              <w:t>f</w:t>
            </w:r>
            <w:r w:rsidR="0055277B" w:rsidRPr="001246F2">
              <w:rPr>
                <w:rFonts w:eastAsia="MS PGothic"/>
                <w:i/>
                <w:sz w:val="18"/>
                <w:vertAlign w:val="subscript"/>
                <w:lang w:val="es-ES_tradnl"/>
              </w:rPr>
              <w:t>c</w:t>
            </w:r>
            <w:r w:rsidR="0055277B" w:rsidRPr="001246F2">
              <w:rPr>
                <w:rFonts w:eastAsia="MS PGothic"/>
                <w:i/>
                <w:sz w:val="18"/>
                <w:lang w:val="es-ES_tradnl"/>
              </w:rPr>
              <w:t> </w:t>
            </w:r>
            <w:r w:rsidR="0055277B" w:rsidRPr="001246F2">
              <w:rPr>
                <w:rFonts w:eastAsia="MS PGothic"/>
                <w:sz w:val="18"/>
                <w:lang w:val="es-ES_tradnl"/>
              </w:rPr>
              <w:t>(MHz) = 1 602 + 0,5625</w:t>
            </w:r>
            <w:r w:rsidR="0055277B" w:rsidRPr="001246F2">
              <w:rPr>
                <w:rFonts w:eastAsia="MS PGothic"/>
                <w:i/>
                <w:sz w:val="18"/>
                <w:lang w:val="es-ES_tradnl"/>
              </w:rPr>
              <w:t>N</w:t>
            </w:r>
            <w:r w:rsidR="0055277B" w:rsidRPr="001246F2">
              <w:rPr>
                <w:rFonts w:eastAsia="MS PGothic"/>
                <w:sz w:val="18"/>
                <w:lang w:val="es-ES_tradnl"/>
              </w:rPr>
              <w:t xml:space="preserve">, donde </w:t>
            </w:r>
            <w:r w:rsidR="0055277B" w:rsidRPr="001246F2">
              <w:rPr>
                <w:i/>
                <w:iCs/>
                <w:sz w:val="18"/>
                <w:lang w:val="es-ES_tradnl"/>
              </w:rPr>
              <w:t>N</w:t>
            </w:r>
            <w:r w:rsidR="0055277B" w:rsidRPr="001246F2">
              <w:rPr>
                <w:sz w:val="18"/>
                <w:lang w:val="es-ES_tradnl"/>
              </w:rPr>
              <w:t> </w:t>
            </w:r>
            <w:r w:rsidR="0055277B" w:rsidRPr="001246F2">
              <w:rPr>
                <w:rFonts w:ascii="Symbol" w:hAnsi="Symbol" w:cs="Symbol"/>
                <w:sz w:val="18"/>
                <w:lang w:val="es-ES_tradnl"/>
              </w:rPr>
              <w:t></w:t>
            </w:r>
            <w:r w:rsidR="0055277B" w:rsidRPr="001246F2">
              <w:rPr>
                <w:sz w:val="18"/>
                <w:lang w:val="es-ES_tradnl"/>
              </w:rPr>
              <w:t xml:space="preserve"> +7, ..., +12 </w:t>
            </w:r>
            <w:r w:rsidRPr="001246F2">
              <w:rPr>
                <w:sz w:val="18"/>
                <w:lang w:val="es-ES_tradnl"/>
              </w:rPr>
              <w:t>(señales del SBAS).</w:t>
            </w:r>
          </w:p>
          <w:p w:rsidR="00BC3C01" w:rsidRPr="001246F2" w:rsidRDefault="00BC3C01" w:rsidP="0094394A">
            <w:pPr>
              <w:pStyle w:val="TableLegendNote"/>
              <w:spacing w:before="40"/>
              <w:ind w:left="-10" w:right="-10"/>
              <w:rPr>
                <w:sz w:val="18"/>
                <w:lang w:val="es-ES_tradnl"/>
              </w:rPr>
            </w:pPr>
            <w:r w:rsidRPr="001246F2">
              <w:rPr>
                <w:sz w:val="18"/>
                <w:lang w:val="es-ES_tradnl"/>
              </w:rPr>
              <w:t>NOTA</w:t>
            </w:r>
            <w:r w:rsidR="0014127D" w:rsidRPr="001246F2">
              <w:rPr>
                <w:sz w:val="18"/>
                <w:lang w:val="es-ES_tradnl"/>
              </w:rPr>
              <w:t> </w:t>
            </w:r>
            <w:r w:rsidRPr="001246F2">
              <w:rPr>
                <w:sz w:val="18"/>
                <w:lang w:val="es-ES_tradnl"/>
              </w:rPr>
              <w:t>13</w:t>
            </w:r>
            <w:r w:rsidR="0014127D" w:rsidRPr="001246F2">
              <w:rPr>
                <w:sz w:val="18"/>
                <w:lang w:val="es-ES_tradnl"/>
              </w:rPr>
              <w:t> </w:t>
            </w:r>
            <w:r w:rsidRPr="001246F2">
              <w:rPr>
                <w:sz w:val="18"/>
                <w:lang w:val="es-ES_tradnl"/>
              </w:rPr>
              <w:t>–</w:t>
            </w:r>
            <w:r w:rsidR="0014127D" w:rsidRPr="001246F2">
              <w:rPr>
                <w:sz w:val="18"/>
                <w:lang w:val="es-ES_tradnl"/>
              </w:rPr>
              <w:t> </w:t>
            </w:r>
            <w:r w:rsidR="0055277B" w:rsidRPr="001246F2">
              <w:rPr>
                <w:sz w:val="18"/>
                <w:lang w:val="es-ES_tradnl"/>
              </w:rPr>
              <w:t xml:space="preserve">La </w:t>
            </w:r>
            <w:r w:rsidRPr="001246F2">
              <w:rPr>
                <w:sz w:val="18"/>
                <w:lang w:val="es-ES_tradnl"/>
              </w:rPr>
              <w:t>mínima ganancia de la antena del receptor para un ángulo de elevación de 5</w:t>
            </w:r>
            <w:r w:rsidR="0055277B" w:rsidRPr="001246F2">
              <w:rPr>
                <w:sz w:val="18"/>
                <w:lang w:val="es-ES_tradnl"/>
              </w:rPr>
              <w:t>°</w:t>
            </w:r>
            <w:r w:rsidRPr="001246F2">
              <w:rPr>
                <w:sz w:val="18"/>
                <w:lang w:val="es-ES_tradnl"/>
              </w:rPr>
              <w:t xml:space="preserve"> es –4,5 dBi.</w:t>
            </w:r>
          </w:p>
          <w:p w:rsidR="00BC3C01" w:rsidRPr="001246F2" w:rsidRDefault="00BC3C01" w:rsidP="0094394A">
            <w:pPr>
              <w:pStyle w:val="TableLegendNote"/>
              <w:spacing w:before="40"/>
              <w:ind w:left="-10" w:right="-10"/>
              <w:rPr>
                <w:sz w:val="18"/>
                <w:lang w:val="es-ES_tradnl"/>
              </w:rPr>
            </w:pPr>
            <w:r w:rsidRPr="001246F2">
              <w:rPr>
                <w:sz w:val="18"/>
                <w:lang w:val="es-ES_tradnl"/>
              </w:rPr>
              <w:t>NOTA</w:t>
            </w:r>
            <w:r w:rsidR="0014127D" w:rsidRPr="001246F2">
              <w:rPr>
                <w:sz w:val="18"/>
                <w:lang w:val="es-ES_tradnl"/>
              </w:rPr>
              <w:t> </w:t>
            </w:r>
            <w:r w:rsidRPr="001246F2">
              <w:rPr>
                <w:sz w:val="18"/>
                <w:lang w:val="es-ES_tradnl"/>
              </w:rPr>
              <w:t>14</w:t>
            </w:r>
            <w:r w:rsidR="0014127D" w:rsidRPr="001246F2">
              <w:rPr>
                <w:sz w:val="18"/>
                <w:lang w:val="es-ES_tradnl"/>
              </w:rPr>
              <w:t> </w:t>
            </w:r>
            <w:r w:rsidRPr="001246F2">
              <w:rPr>
                <w:sz w:val="18"/>
                <w:lang w:val="es-ES_tradnl"/>
              </w:rPr>
              <w:t>–</w:t>
            </w:r>
            <w:r w:rsidR="0014127D" w:rsidRPr="001246F2">
              <w:rPr>
                <w:sz w:val="18"/>
                <w:lang w:val="es-ES_tradnl"/>
              </w:rPr>
              <w:t> </w:t>
            </w:r>
            <w:r w:rsidRPr="001246F2">
              <w:rPr>
                <w:sz w:val="18"/>
                <w:lang w:val="es-ES_tradnl"/>
              </w:rPr>
              <w:t>Este umbral debe tener en cuanta la interferencia combinada. El valor del umbral no incluye ningún margen de seguridad.</w:t>
            </w:r>
          </w:p>
          <w:p w:rsidR="00BC3C01" w:rsidRPr="001246F2" w:rsidRDefault="00BC3C01" w:rsidP="0094394A">
            <w:pPr>
              <w:pStyle w:val="TableLegendNote"/>
              <w:spacing w:before="40"/>
              <w:ind w:left="-10" w:right="-10"/>
              <w:rPr>
                <w:sz w:val="18"/>
                <w:lang w:val="es-ES_tradnl"/>
              </w:rPr>
            </w:pPr>
            <w:r w:rsidRPr="001246F2">
              <w:rPr>
                <w:sz w:val="18"/>
                <w:lang w:val="es-ES_tradnl"/>
              </w:rPr>
              <w:t>NOTA</w:t>
            </w:r>
            <w:r w:rsidR="0014127D" w:rsidRPr="001246F2">
              <w:rPr>
                <w:sz w:val="18"/>
                <w:lang w:val="es-ES_tradnl"/>
              </w:rPr>
              <w:t> </w:t>
            </w:r>
            <w:r w:rsidRPr="001246F2">
              <w:rPr>
                <w:sz w:val="18"/>
                <w:lang w:val="es-ES_tradnl"/>
              </w:rPr>
              <w:t>15</w:t>
            </w:r>
            <w:r w:rsidR="0014127D" w:rsidRPr="001246F2">
              <w:rPr>
                <w:sz w:val="18"/>
                <w:lang w:val="es-ES_tradnl"/>
              </w:rPr>
              <w:t> </w:t>
            </w:r>
            <w:r w:rsidRPr="001246F2">
              <w:rPr>
                <w:sz w:val="18"/>
                <w:lang w:val="es-ES_tradnl"/>
              </w:rPr>
              <w:t>–</w:t>
            </w:r>
            <w:r w:rsidR="0014127D" w:rsidRPr="001246F2">
              <w:rPr>
                <w:sz w:val="18"/>
                <w:lang w:val="es-ES_tradnl"/>
              </w:rPr>
              <w:t> </w:t>
            </w:r>
            <w:r w:rsidR="0055277B" w:rsidRPr="001246F2">
              <w:rPr>
                <w:sz w:val="18"/>
                <w:lang w:val="es-ES_tradnl"/>
              </w:rPr>
              <w:t xml:space="preserve">Este </w:t>
            </w:r>
            <w:r w:rsidRPr="001246F2">
              <w:rPr>
                <w:sz w:val="18"/>
                <w:lang w:val="es-ES_tradnl"/>
              </w:rPr>
              <w:t xml:space="preserve">tipo de receptor funciona en varias frecuencias portadoras simultáneamente. Las frecuencias portadoras se definen como sigue: </w:t>
            </w:r>
            <w:r w:rsidR="0055277B" w:rsidRPr="001246F2">
              <w:rPr>
                <w:rFonts w:eastAsia="MS PGothic"/>
                <w:i/>
                <w:sz w:val="18"/>
                <w:lang w:val="es-ES_tradnl"/>
              </w:rPr>
              <w:t>f</w:t>
            </w:r>
            <w:r w:rsidR="0055277B" w:rsidRPr="001246F2">
              <w:rPr>
                <w:rFonts w:eastAsia="MS PGothic"/>
                <w:i/>
                <w:sz w:val="18"/>
                <w:vertAlign w:val="subscript"/>
                <w:lang w:val="es-ES_tradnl"/>
              </w:rPr>
              <w:t>c</w:t>
            </w:r>
            <w:r w:rsidR="0055277B" w:rsidRPr="001246F2">
              <w:rPr>
                <w:rFonts w:eastAsia="MS PGothic"/>
                <w:sz w:val="18"/>
                <w:lang w:val="es-ES_tradnl"/>
              </w:rPr>
              <w:t> (MHz) = 1 602 + 0,5625</w:t>
            </w:r>
            <w:r w:rsidR="0055277B" w:rsidRPr="001246F2">
              <w:rPr>
                <w:rFonts w:eastAsia="MS PGothic"/>
                <w:i/>
                <w:iCs/>
                <w:sz w:val="18"/>
                <w:lang w:val="es-ES_tradnl"/>
              </w:rPr>
              <w:t>K</w:t>
            </w:r>
            <w:r w:rsidR="0055277B" w:rsidRPr="001246F2">
              <w:rPr>
                <w:rFonts w:eastAsia="MS PGothic"/>
                <w:sz w:val="18"/>
                <w:lang w:val="es-ES_tradnl"/>
              </w:rPr>
              <w:t xml:space="preserve">, </w:t>
            </w:r>
            <w:r w:rsidR="0055277B" w:rsidRPr="001246F2">
              <w:rPr>
                <w:i/>
                <w:sz w:val="18"/>
                <w:lang w:val="es-ES_tradnl"/>
              </w:rPr>
              <w:t>K</w:t>
            </w:r>
            <w:r w:rsidR="0055277B" w:rsidRPr="001246F2">
              <w:rPr>
                <w:sz w:val="18"/>
                <w:lang w:val="es-ES_tradnl"/>
              </w:rPr>
              <w:t> </w:t>
            </w:r>
            <w:r w:rsidR="0055277B" w:rsidRPr="001246F2">
              <w:rPr>
                <w:rFonts w:ascii="Symbol" w:hAnsi="Symbol" w:cs="Symbol"/>
                <w:sz w:val="18"/>
                <w:lang w:val="es-ES_tradnl"/>
              </w:rPr>
              <w:t></w:t>
            </w:r>
            <w:r w:rsidR="0055277B" w:rsidRPr="001246F2">
              <w:rPr>
                <w:sz w:val="18"/>
                <w:lang w:val="es-ES_tradnl"/>
              </w:rPr>
              <w:t xml:space="preserve"> −7, ..., +6 (señales del SRNS) y </w:t>
            </w:r>
            <w:r w:rsidR="0055277B" w:rsidRPr="001246F2">
              <w:rPr>
                <w:rFonts w:eastAsia="MS PGothic"/>
                <w:i/>
                <w:sz w:val="18"/>
                <w:lang w:val="es-ES_tradnl"/>
              </w:rPr>
              <w:t>f</w:t>
            </w:r>
            <w:r w:rsidR="0055277B" w:rsidRPr="001246F2">
              <w:rPr>
                <w:rFonts w:eastAsia="MS PGothic"/>
                <w:i/>
                <w:sz w:val="18"/>
                <w:vertAlign w:val="subscript"/>
                <w:lang w:val="es-ES_tradnl"/>
              </w:rPr>
              <w:t>c</w:t>
            </w:r>
            <w:r w:rsidR="0055277B" w:rsidRPr="001246F2">
              <w:rPr>
                <w:rFonts w:eastAsia="MS PGothic"/>
                <w:sz w:val="18"/>
                <w:lang w:val="es-ES_tradnl"/>
              </w:rPr>
              <w:t> (MHz) = 1 602 + 0,5625</w:t>
            </w:r>
            <w:r w:rsidR="0055277B" w:rsidRPr="001246F2">
              <w:rPr>
                <w:rFonts w:eastAsia="MS PGothic"/>
                <w:i/>
                <w:sz w:val="18"/>
                <w:lang w:val="es-ES_tradnl"/>
              </w:rPr>
              <w:t>N</w:t>
            </w:r>
            <w:r w:rsidR="0055277B" w:rsidRPr="001246F2">
              <w:rPr>
                <w:rFonts w:eastAsia="MS PGothic"/>
                <w:sz w:val="18"/>
                <w:lang w:val="es-ES_tradnl"/>
              </w:rPr>
              <w:t xml:space="preserve">, donde </w:t>
            </w:r>
            <w:r w:rsidR="0055277B" w:rsidRPr="001246F2">
              <w:rPr>
                <w:i/>
                <w:iCs/>
                <w:sz w:val="18"/>
                <w:lang w:val="es-ES_tradnl"/>
              </w:rPr>
              <w:t>N</w:t>
            </w:r>
            <w:r w:rsidR="0055277B" w:rsidRPr="001246F2">
              <w:rPr>
                <w:sz w:val="18"/>
                <w:lang w:val="es-ES_tradnl"/>
              </w:rPr>
              <w:t> </w:t>
            </w:r>
            <w:r w:rsidR="0055277B" w:rsidRPr="001246F2">
              <w:rPr>
                <w:rFonts w:ascii="Symbol" w:hAnsi="Symbol" w:cs="Symbol"/>
                <w:sz w:val="18"/>
                <w:lang w:val="es-ES_tradnl"/>
              </w:rPr>
              <w:t></w:t>
            </w:r>
            <w:r w:rsidR="0055277B" w:rsidRPr="001246F2">
              <w:rPr>
                <w:sz w:val="18"/>
                <w:lang w:val="es-ES_tradnl"/>
              </w:rPr>
              <w:t xml:space="preserve"> −12, ..., −8 </w:t>
            </w:r>
            <w:r w:rsidRPr="001246F2">
              <w:rPr>
                <w:sz w:val="18"/>
                <w:lang w:val="es-ES_tradnl"/>
              </w:rPr>
              <w:t xml:space="preserve">(señales </w:t>
            </w:r>
            <w:r w:rsidR="0055277B" w:rsidRPr="001246F2">
              <w:rPr>
                <w:sz w:val="18"/>
                <w:lang w:val="es-ES_tradnl"/>
              </w:rPr>
              <w:t xml:space="preserve">de </w:t>
            </w:r>
            <w:r w:rsidRPr="001246F2">
              <w:rPr>
                <w:sz w:val="18"/>
                <w:lang w:val="es-ES_tradnl"/>
              </w:rPr>
              <w:t>pseudolit</w:t>
            </w:r>
            <w:r w:rsidR="0055277B" w:rsidRPr="001246F2">
              <w:rPr>
                <w:sz w:val="18"/>
                <w:lang w:val="es-ES_tradnl"/>
              </w:rPr>
              <w:t>e</w:t>
            </w:r>
            <w:r w:rsidRPr="001246F2">
              <w:rPr>
                <w:sz w:val="18"/>
                <w:lang w:val="es-ES_tradnl"/>
              </w:rPr>
              <w:t>s).</w:t>
            </w:r>
          </w:p>
          <w:p w:rsidR="00BC3C01" w:rsidRPr="001246F2" w:rsidRDefault="00BC3C01" w:rsidP="0094394A">
            <w:pPr>
              <w:pStyle w:val="TableLegendNote"/>
              <w:spacing w:before="40"/>
              <w:ind w:left="-10" w:right="-10"/>
              <w:rPr>
                <w:sz w:val="18"/>
                <w:lang w:val="es-ES_tradnl"/>
              </w:rPr>
            </w:pPr>
            <w:r w:rsidRPr="001246F2">
              <w:rPr>
                <w:sz w:val="18"/>
                <w:lang w:val="es-ES_tradnl"/>
              </w:rPr>
              <w:t>NOTA</w:t>
            </w:r>
            <w:r w:rsidR="0014127D" w:rsidRPr="001246F2">
              <w:rPr>
                <w:sz w:val="18"/>
                <w:lang w:val="es-ES_tradnl"/>
              </w:rPr>
              <w:t> </w:t>
            </w:r>
            <w:r w:rsidRPr="001246F2">
              <w:rPr>
                <w:sz w:val="18"/>
                <w:lang w:val="es-ES_tradnl"/>
              </w:rPr>
              <w:t>16</w:t>
            </w:r>
            <w:r w:rsidR="0014127D" w:rsidRPr="001246F2">
              <w:rPr>
                <w:sz w:val="18"/>
                <w:lang w:val="es-ES_tradnl"/>
              </w:rPr>
              <w:t> </w:t>
            </w:r>
            <w:r w:rsidRPr="001246F2">
              <w:rPr>
                <w:sz w:val="18"/>
                <w:lang w:val="es-ES_tradnl"/>
              </w:rPr>
              <w:t>–</w:t>
            </w:r>
            <w:r w:rsidR="0014127D" w:rsidRPr="001246F2">
              <w:rPr>
                <w:sz w:val="18"/>
                <w:lang w:val="es-ES_tradnl"/>
              </w:rPr>
              <w:t> </w:t>
            </w:r>
            <w:r w:rsidRPr="001246F2">
              <w:rPr>
                <w:sz w:val="18"/>
                <w:lang w:val="es-ES_tradnl"/>
              </w:rPr>
              <w:t>La mínima ganancia de la antena del receptor para una ángulo de elevación de 5</w:t>
            </w:r>
            <w:r w:rsidR="0055277B" w:rsidRPr="001246F2">
              <w:rPr>
                <w:sz w:val="18"/>
                <w:lang w:val="es-ES_tradnl"/>
              </w:rPr>
              <w:t>°</w:t>
            </w:r>
            <w:r w:rsidRPr="001246F2">
              <w:rPr>
                <w:sz w:val="18"/>
                <w:lang w:val="es-ES_tradnl"/>
              </w:rPr>
              <w:t xml:space="preserve"> es </w:t>
            </w:r>
            <w:r w:rsidR="0055277B" w:rsidRPr="001246F2">
              <w:rPr>
                <w:sz w:val="18"/>
                <w:lang w:val="es-ES_tradnl"/>
              </w:rPr>
              <w:t>–</w:t>
            </w:r>
            <w:r w:rsidRPr="001246F2">
              <w:rPr>
                <w:sz w:val="18"/>
                <w:lang w:val="es-ES_tradnl"/>
              </w:rPr>
              <w:t>21 dBi (señales de pseudolit</w:t>
            </w:r>
            <w:r w:rsidR="0055277B" w:rsidRPr="001246F2">
              <w:rPr>
                <w:sz w:val="18"/>
                <w:lang w:val="es-ES_tradnl"/>
              </w:rPr>
              <w:t>e</w:t>
            </w:r>
            <w:r w:rsidRPr="001246F2">
              <w:rPr>
                <w:sz w:val="18"/>
                <w:lang w:val="es-ES_tradnl"/>
              </w:rPr>
              <w:t>s).</w:t>
            </w:r>
          </w:p>
          <w:p w:rsidR="00BC3C01" w:rsidRPr="001246F2" w:rsidRDefault="00BC3C01" w:rsidP="0094394A">
            <w:pPr>
              <w:pStyle w:val="TableLegendNote"/>
              <w:spacing w:before="40"/>
              <w:ind w:left="-10" w:right="-10"/>
              <w:rPr>
                <w:sz w:val="18"/>
                <w:lang w:val="es-ES_tradnl"/>
              </w:rPr>
            </w:pPr>
            <w:r w:rsidRPr="001246F2">
              <w:rPr>
                <w:sz w:val="18"/>
                <w:lang w:val="es-ES_tradnl"/>
              </w:rPr>
              <w:t>NOTA</w:t>
            </w:r>
            <w:r w:rsidR="0014127D" w:rsidRPr="001246F2">
              <w:rPr>
                <w:sz w:val="18"/>
                <w:lang w:val="es-ES_tradnl"/>
              </w:rPr>
              <w:t> </w:t>
            </w:r>
            <w:r w:rsidRPr="001246F2">
              <w:rPr>
                <w:sz w:val="18"/>
                <w:lang w:val="es-ES_tradnl"/>
              </w:rPr>
              <w:t>17</w:t>
            </w:r>
            <w:r w:rsidR="0014127D" w:rsidRPr="001246F2">
              <w:rPr>
                <w:sz w:val="18"/>
                <w:lang w:val="es-ES_tradnl"/>
              </w:rPr>
              <w:t> </w:t>
            </w:r>
            <w:r w:rsidRPr="001246F2">
              <w:rPr>
                <w:sz w:val="18"/>
                <w:lang w:val="es-ES_tradnl"/>
              </w:rPr>
              <w:t>–</w:t>
            </w:r>
            <w:r w:rsidR="0014127D" w:rsidRPr="001246F2">
              <w:rPr>
                <w:sz w:val="18"/>
                <w:lang w:val="es-ES_tradnl"/>
              </w:rPr>
              <w:t> </w:t>
            </w:r>
            <w:r w:rsidR="0060535E" w:rsidRPr="001246F2">
              <w:rPr>
                <w:sz w:val="18"/>
                <w:lang w:val="es-ES_tradnl"/>
              </w:rPr>
              <w:t xml:space="preserve">Este </w:t>
            </w:r>
            <w:r w:rsidRPr="001246F2">
              <w:rPr>
                <w:sz w:val="18"/>
                <w:lang w:val="es-ES_tradnl"/>
              </w:rPr>
              <w:t xml:space="preserve">tipo de receptor funciona en varias frecuencias portadoras simultáneamente. Las frecuencias portadoras se definen como sigue: </w:t>
            </w:r>
            <w:r w:rsidR="0060535E" w:rsidRPr="001246F2">
              <w:rPr>
                <w:rFonts w:eastAsia="MS PGothic"/>
                <w:i/>
                <w:sz w:val="18"/>
                <w:lang w:val="es-ES_tradnl"/>
              </w:rPr>
              <w:t>f</w:t>
            </w:r>
            <w:r w:rsidR="0060535E" w:rsidRPr="001246F2">
              <w:rPr>
                <w:rFonts w:eastAsia="MS PGothic"/>
                <w:i/>
                <w:sz w:val="18"/>
                <w:vertAlign w:val="subscript"/>
                <w:lang w:val="es-ES_tradnl"/>
              </w:rPr>
              <w:t>c</w:t>
            </w:r>
            <w:r w:rsidR="0060535E" w:rsidRPr="001246F2">
              <w:rPr>
                <w:rFonts w:eastAsia="MS PGothic"/>
                <w:sz w:val="18"/>
                <w:lang w:val="es-ES_tradnl"/>
              </w:rPr>
              <w:t> (MHz) = 1 602 + 0,5625</w:t>
            </w:r>
            <w:r w:rsidR="0060535E" w:rsidRPr="001246F2">
              <w:rPr>
                <w:rFonts w:eastAsia="MS PGothic"/>
                <w:i/>
                <w:iCs/>
                <w:sz w:val="18"/>
                <w:lang w:val="es-ES_tradnl"/>
              </w:rPr>
              <w:t>K</w:t>
            </w:r>
            <w:r w:rsidR="0060535E" w:rsidRPr="001246F2">
              <w:rPr>
                <w:rFonts w:eastAsia="MS PGothic"/>
                <w:sz w:val="18"/>
                <w:lang w:val="es-ES_tradnl"/>
              </w:rPr>
              <w:t xml:space="preserve">, donde </w:t>
            </w:r>
            <w:r w:rsidR="0060535E" w:rsidRPr="001246F2">
              <w:rPr>
                <w:rFonts w:eastAsia="MS PGothic"/>
                <w:i/>
                <w:iCs/>
                <w:sz w:val="18"/>
                <w:lang w:val="es-ES_tradnl"/>
              </w:rPr>
              <w:t>K</w:t>
            </w:r>
            <w:r w:rsidR="0060535E" w:rsidRPr="001246F2">
              <w:rPr>
                <w:rFonts w:eastAsia="MS PGothic"/>
                <w:sz w:val="18"/>
                <w:lang w:val="es-ES_tradnl"/>
              </w:rPr>
              <w:t> = −7</w:t>
            </w:r>
            <w:r w:rsidRPr="001246F2">
              <w:rPr>
                <w:sz w:val="18"/>
                <w:lang w:val="es-ES_tradnl"/>
              </w:rPr>
              <w:t xml:space="preserve"> a +6. Los</w:t>
            </w:r>
            <w:r w:rsidR="0094394A">
              <w:rPr>
                <w:sz w:val="18"/>
                <w:lang w:val="es-ES_tradnl"/>
              </w:rPr>
              <w:t> </w:t>
            </w:r>
            <w:r w:rsidRPr="001246F2">
              <w:rPr>
                <w:sz w:val="18"/>
                <w:lang w:val="es-ES_tradnl"/>
              </w:rPr>
              <w:t>receptores de navegación fabricados con anterioridad a 2006 pueden funcionar con señales de navegación cuyos números de frecuencia portadora (</w:t>
            </w:r>
            <w:r w:rsidR="0060535E" w:rsidRPr="001246F2">
              <w:rPr>
                <w:sz w:val="18"/>
                <w:lang w:val="es-ES_tradnl"/>
              </w:rPr>
              <w:t>К</w:t>
            </w:r>
            <w:r w:rsidRPr="001246F2">
              <w:rPr>
                <w:sz w:val="18"/>
                <w:lang w:val="es-ES_tradnl"/>
              </w:rPr>
              <w:t xml:space="preserve">) van de </w:t>
            </w:r>
            <w:r w:rsidR="00272A44" w:rsidRPr="001246F2">
              <w:rPr>
                <w:rFonts w:eastAsia="MS PGothic"/>
                <w:sz w:val="18"/>
                <w:lang w:val="es-ES_tradnl"/>
              </w:rPr>
              <w:t>−</w:t>
            </w:r>
            <w:r w:rsidRPr="001246F2">
              <w:rPr>
                <w:sz w:val="18"/>
                <w:lang w:val="es-ES_tradnl"/>
              </w:rPr>
              <w:t>7 a +12.</w:t>
            </w:r>
          </w:p>
          <w:p w:rsidR="00BC3C01" w:rsidRPr="001246F2" w:rsidRDefault="00BC3C01" w:rsidP="0094394A">
            <w:pPr>
              <w:pStyle w:val="TableLegendNote"/>
              <w:spacing w:before="40"/>
              <w:ind w:left="-10" w:right="-10"/>
              <w:rPr>
                <w:sz w:val="18"/>
                <w:lang w:val="es-ES_tradnl"/>
              </w:rPr>
            </w:pPr>
            <w:r w:rsidRPr="001246F2">
              <w:rPr>
                <w:sz w:val="18"/>
                <w:lang w:val="es-ES_tradnl"/>
              </w:rPr>
              <w:t>NOTA</w:t>
            </w:r>
            <w:r w:rsidR="0014127D" w:rsidRPr="001246F2">
              <w:rPr>
                <w:sz w:val="18"/>
                <w:lang w:val="es-ES_tradnl"/>
              </w:rPr>
              <w:t> </w:t>
            </w:r>
            <w:r w:rsidRPr="001246F2">
              <w:rPr>
                <w:sz w:val="18"/>
                <w:lang w:val="es-ES_tradnl"/>
              </w:rPr>
              <w:t>18</w:t>
            </w:r>
            <w:r w:rsidR="0014127D" w:rsidRPr="001246F2">
              <w:rPr>
                <w:sz w:val="18"/>
                <w:lang w:val="es-ES_tradnl"/>
              </w:rPr>
              <w:t> </w:t>
            </w:r>
            <w:r w:rsidRPr="001246F2">
              <w:rPr>
                <w:sz w:val="18"/>
                <w:lang w:val="es-ES_tradnl"/>
              </w:rPr>
              <w:t>–</w:t>
            </w:r>
            <w:r w:rsidR="0014127D" w:rsidRPr="001246F2">
              <w:rPr>
                <w:sz w:val="18"/>
                <w:lang w:val="es-ES_tradnl"/>
              </w:rPr>
              <w:t> </w:t>
            </w:r>
            <w:r w:rsidR="00272A44" w:rsidRPr="001246F2">
              <w:rPr>
                <w:sz w:val="18"/>
                <w:lang w:val="es-ES_tradnl"/>
              </w:rPr>
              <w:t>Dado que</w:t>
            </w:r>
            <w:r w:rsidRPr="001246F2">
              <w:rPr>
                <w:sz w:val="18"/>
                <w:lang w:val="es-ES_tradnl"/>
              </w:rPr>
              <w:t xml:space="preserve"> en algunas aplicaciones del receptor del SRNS </w:t>
            </w:r>
            <w:r w:rsidR="00272A44" w:rsidRPr="001246F2">
              <w:rPr>
                <w:sz w:val="18"/>
                <w:lang w:val="es-ES_tradnl"/>
              </w:rPr>
              <w:t xml:space="preserve">la antena </w:t>
            </w:r>
            <w:r w:rsidRPr="001246F2">
              <w:rPr>
                <w:sz w:val="18"/>
                <w:lang w:val="es-ES_tradnl"/>
              </w:rPr>
              <w:t xml:space="preserve">podría apuntarse </w:t>
            </w:r>
            <w:r w:rsidR="00272A44" w:rsidRPr="001246F2">
              <w:rPr>
                <w:sz w:val="18"/>
                <w:lang w:val="es-ES_tradnl"/>
              </w:rPr>
              <w:t xml:space="preserve">potencialmente </w:t>
            </w:r>
            <w:r w:rsidRPr="001246F2">
              <w:rPr>
                <w:sz w:val="18"/>
                <w:lang w:val="es-ES_tradnl"/>
              </w:rPr>
              <w:t>en cualquier dirección, la máxima ganancia de antena en el hemisferio inferior podría ser igual (en las condiciones más desfavorables) a la del hemisferio superior.</w:t>
            </w:r>
          </w:p>
          <w:p w:rsidR="00BC3C01" w:rsidRPr="001246F2" w:rsidRDefault="00BC3C01" w:rsidP="0094394A">
            <w:pPr>
              <w:pStyle w:val="TableLegendNote"/>
              <w:spacing w:before="40"/>
              <w:ind w:left="-10" w:right="-10"/>
              <w:rPr>
                <w:snapToGrid w:val="0"/>
                <w:sz w:val="18"/>
                <w:lang w:val="es-ES_tradnl"/>
              </w:rPr>
            </w:pPr>
            <w:r w:rsidRPr="001246F2">
              <w:rPr>
                <w:sz w:val="18"/>
                <w:lang w:val="es-ES_tradnl"/>
              </w:rPr>
              <w:t>NOTA</w:t>
            </w:r>
            <w:r w:rsidR="0014127D" w:rsidRPr="001246F2">
              <w:rPr>
                <w:sz w:val="18"/>
                <w:lang w:val="es-ES_tradnl"/>
              </w:rPr>
              <w:t> </w:t>
            </w:r>
            <w:r w:rsidRPr="001246F2">
              <w:rPr>
                <w:sz w:val="18"/>
                <w:lang w:val="es-ES_tradnl"/>
              </w:rPr>
              <w:t>19</w:t>
            </w:r>
            <w:r w:rsidR="0014127D" w:rsidRPr="001246F2">
              <w:rPr>
                <w:sz w:val="18"/>
                <w:lang w:val="es-ES_tradnl"/>
              </w:rPr>
              <w:t> </w:t>
            </w:r>
            <w:r w:rsidRPr="001246F2">
              <w:rPr>
                <w:sz w:val="18"/>
                <w:lang w:val="es-ES_tradnl"/>
              </w:rPr>
              <w:t>–</w:t>
            </w:r>
            <w:r w:rsidR="0014127D" w:rsidRPr="001246F2">
              <w:rPr>
                <w:sz w:val="18"/>
                <w:lang w:val="es-ES_tradnl"/>
              </w:rPr>
              <w:t> </w:t>
            </w:r>
            <w:r w:rsidRPr="001246F2">
              <w:rPr>
                <w:sz w:val="18"/>
                <w:lang w:val="es-ES_tradnl"/>
              </w:rPr>
              <w:t xml:space="preserve">Los niveles de compresión a la entrada del receptor en esta fila se aplican a la correspondiente anchura de banda </w:t>
            </w:r>
            <w:r w:rsidR="00272A44" w:rsidRPr="001246F2">
              <w:rPr>
                <w:sz w:val="18"/>
                <w:lang w:val="es-ES_tradnl"/>
              </w:rPr>
              <w:t>a</w:t>
            </w:r>
            <w:r w:rsidRPr="001246F2">
              <w:rPr>
                <w:sz w:val="18"/>
                <w:lang w:val="es-ES_tradnl"/>
              </w:rPr>
              <w:t xml:space="preserve"> 3 dB del filtro de RF en la fila 4 de este </w:t>
            </w:r>
            <w:r w:rsidR="00272A44" w:rsidRPr="001246F2">
              <w:rPr>
                <w:sz w:val="18"/>
                <w:lang w:val="es-ES_tradnl"/>
              </w:rPr>
              <w:t>Cuadro</w:t>
            </w:r>
            <w:r w:rsidRPr="001246F2">
              <w:rPr>
                <w:sz w:val="18"/>
                <w:lang w:val="es-ES_tradnl"/>
              </w:rPr>
              <w:t xml:space="preserve">, siempre que la anchura de banda </w:t>
            </w:r>
            <w:r w:rsidR="00272A44" w:rsidRPr="001246F2">
              <w:rPr>
                <w:sz w:val="18"/>
                <w:lang w:val="es-ES_tradnl"/>
              </w:rPr>
              <w:t>a</w:t>
            </w:r>
            <w:r w:rsidRPr="001246F2">
              <w:rPr>
                <w:sz w:val="18"/>
                <w:lang w:val="es-ES_tradnl"/>
              </w:rPr>
              <w:t xml:space="preserve"> 3 dB del filtro de RF el receptor no vaya más allá de la banda 1</w:t>
            </w:r>
            <w:r w:rsidR="00272A44" w:rsidRPr="001246F2">
              <w:rPr>
                <w:sz w:val="18"/>
                <w:lang w:val="es-ES_tradnl"/>
              </w:rPr>
              <w:t> </w:t>
            </w:r>
            <w:r w:rsidRPr="001246F2">
              <w:rPr>
                <w:sz w:val="18"/>
                <w:lang w:val="es-ES_tradnl"/>
              </w:rPr>
              <w:t>559-1</w:t>
            </w:r>
            <w:r w:rsidR="00272A44" w:rsidRPr="001246F2">
              <w:rPr>
                <w:sz w:val="18"/>
                <w:lang w:val="es-ES_tradnl"/>
              </w:rPr>
              <w:t> </w:t>
            </w:r>
            <w:r w:rsidRPr="001246F2">
              <w:rPr>
                <w:sz w:val="18"/>
                <w:lang w:val="es-ES_tradnl"/>
              </w:rPr>
              <w:t>610 MHz.</w:t>
            </w:r>
          </w:p>
        </w:tc>
      </w:tr>
    </w:tbl>
    <w:p w:rsidR="00FE6D1D" w:rsidRDefault="00FE6D1D" w:rsidP="00416335">
      <w:pPr>
        <w:spacing w:before="60"/>
        <w:jc w:val="center"/>
      </w:pPr>
      <w:bookmarkStart w:id="7" w:name="_GoBack"/>
      <w:r w:rsidRPr="001246F2">
        <w:t>______________</w:t>
      </w:r>
      <w:bookmarkEnd w:id="7"/>
    </w:p>
    <w:sectPr w:rsidR="00FE6D1D" w:rsidSect="00D21F80">
      <w:headerReference w:type="even" r:id="rId20"/>
      <w:headerReference w:type="default" r:id="rId21"/>
      <w:pgSz w:w="16834" w:h="11907" w:orient="landscape"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1F8" w:rsidRDefault="00BF71F8">
      <w:r>
        <w:separator/>
      </w:r>
    </w:p>
  </w:endnote>
  <w:endnote w:type="continuationSeparator" w:id="0">
    <w:p w:rsidR="00BF71F8" w:rsidRDefault="00BF7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1F8" w:rsidRDefault="00BF71F8">
      <w:r>
        <w:separator/>
      </w:r>
    </w:p>
  </w:footnote>
  <w:footnote w:type="continuationSeparator" w:id="0">
    <w:p w:rsidR="00BF71F8" w:rsidRDefault="00BF71F8">
      <w:r>
        <w:continuationSeparator/>
      </w:r>
    </w:p>
  </w:footnote>
  <w:footnote w:id="1">
    <w:p w:rsidR="00BF71F8" w:rsidRPr="00903761" w:rsidRDefault="00BF71F8" w:rsidP="00C21390">
      <w:pPr>
        <w:pStyle w:val="FootnoteText"/>
      </w:pPr>
      <w:r>
        <w:rPr>
          <w:rStyle w:val="FootnoteReference"/>
        </w:rPr>
        <w:footnoteRef/>
      </w:r>
      <w:r w:rsidRPr="00903761">
        <w:tab/>
      </w:r>
      <w:r>
        <w:t>A efectos de esta Recomendación, las referencias al servicio de radionavegación aeronáutica (SRNA) incluyen sólo a los transmisores terrenales que trasmiten una señal similar a la del SRNS destinada a los receptores que también reciben señales del SRNA. En consecuencia, los criterios especificados en la presente Recomendación para los receptores del SRNS también se aplican a los receptores del SRNA.</w:t>
      </w:r>
    </w:p>
  </w:footnote>
  <w:footnote w:id="2">
    <w:p w:rsidR="00BF71F8" w:rsidRPr="002F06F6" w:rsidRDefault="00BF71F8" w:rsidP="002F06F6">
      <w:pPr>
        <w:pStyle w:val="FootnoteText"/>
      </w:pPr>
      <w:r>
        <w:rPr>
          <w:rStyle w:val="FootnoteReference"/>
        </w:rPr>
        <w:footnoteRef/>
      </w:r>
      <w:r w:rsidRPr="002F06F6">
        <w:t xml:space="preserve"> </w:t>
      </w:r>
      <w:r>
        <w:tab/>
        <w:t>Este texto aparece en el Anexo 5 a la Recomendación UIT-R M.1477 (Ginebra, 2000), y en otros lugares.</w:t>
      </w:r>
    </w:p>
  </w:footnote>
  <w:footnote w:id="3">
    <w:p w:rsidR="00BF71F8" w:rsidRPr="00544D7B" w:rsidRDefault="00BF71F8">
      <w:pPr>
        <w:pStyle w:val="FootnoteText"/>
      </w:pPr>
      <w:r>
        <w:rPr>
          <w:rStyle w:val="FootnoteReference"/>
        </w:rPr>
        <w:footnoteRef/>
      </w:r>
      <w:r w:rsidRPr="00544D7B">
        <w:t xml:space="preserve"> </w:t>
      </w:r>
      <w:r>
        <w:tab/>
        <w:t>GNSS se refiere al sistema mundial de navegación por satélite que se trata de un conjunto de sistemas del SRNS que proporcionan señales de satélite de radionavegación aeronáutica reconocidas por la OACI.</w:t>
      </w:r>
    </w:p>
  </w:footnote>
  <w:footnote w:id="4">
    <w:p w:rsidR="00BF71F8" w:rsidRPr="00B74F2D" w:rsidRDefault="00BF71F8">
      <w:pPr>
        <w:pStyle w:val="FootnoteText"/>
      </w:pPr>
      <w:r>
        <w:rPr>
          <w:rStyle w:val="FootnoteReference"/>
        </w:rPr>
        <w:footnoteRef/>
      </w:r>
      <w:r w:rsidRPr="00B74F2D">
        <w:t xml:space="preserve"> </w:t>
      </w:r>
      <w:r>
        <w:tab/>
        <w:t>Interferencia no aeronáutica hace referencia a la interferencia procedente de fuentes distintas a las de los equipos aeronáuticos instalados en las aeronaves equipadas con receptores del GNSS.</w:t>
      </w:r>
    </w:p>
  </w:footnote>
  <w:footnote w:id="5">
    <w:p w:rsidR="00BF71F8" w:rsidRPr="00BB1968" w:rsidRDefault="00BF71F8" w:rsidP="00BB1968">
      <w:pPr>
        <w:pStyle w:val="FootnoteText"/>
      </w:pPr>
      <w:r>
        <w:rPr>
          <w:rStyle w:val="FootnoteReference"/>
        </w:rPr>
        <w:footnoteRef/>
      </w:r>
      <w:r w:rsidRPr="00BB1968">
        <w:t xml:space="preserve"> </w:t>
      </w:r>
      <w:r>
        <w:tab/>
        <w:t>La expresión «señales L1 C/A del SRNS y AMDC L1 del SBAS» se refiere a la utilización de una técnica en la que todos los satélites del SRNA y SBAS trasmiten en la misma frecuencia portadora pero con distintos códigos de modulación. Para más detalles sobre las señales consúltese el Anexo 2 (GPS) a la Recomendación UIT-R M.1787.</w:t>
      </w:r>
    </w:p>
  </w:footnote>
  <w:footnote w:id="6">
    <w:p w:rsidR="00BF71F8" w:rsidRPr="00940E43" w:rsidRDefault="00BF71F8" w:rsidP="00940E43">
      <w:pPr>
        <w:pStyle w:val="FootnoteText"/>
      </w:pPr>
      <w:r>
        <w:rPr>
          <w:rStyle w:val="FootnoteReference"/>
        </w:rPr>
        <w:footnoteRef/>
      </w:r>
      <w:r w:rsidRPr="00940E43">
        <w:t xml:space="preserve"> </w:t>
      </w:r>
      <w:r>
        <w:tab/>
        <w:t>La expresión «señales AMDF del SRNS» se refiere a una técnica en la que todos los satélites del SRNS utilizan el mismo código de modulación pero cada satélite transmite en una frecuencia portadora distinta. Para más detalles véase al Anexo 1 (GLONASS) a la Recomendación UIT-R M.1787.</w:t>
      </w:r>
    </w:p>
  </w:footnote>
  <w:footnote w:id="7">
    <w:p w:rsidR="00BF71F8" w:rsidRPr="00DB55F4" w:rsidRDefault="00BF71F8">
      <w:pPr>
        <w:pStyle w:val="FootnoteText"/>
      </w:pPr>
      <w:r>
        <w:rPr>
          <w:rStyle w:val="FootnoteReference"/>
        </w:rPr>
        <w:footnoteRef/>
      </w:r>
      <w:r w:rsidRPr="00DB55F4">
        <w:t xml:space="preserve"> </w:t>
      </w:r>
      <w:r>
        <w:tab/>
        <w:t>Los pseudolites son transmisores terrenales que emiten señales similares a las de los satélites del SRNS pero funcionan en el SRNA.</w:t>
      </w:r>
    </w:p>
  </w:footnote>
  <w:footnote w:id="8">
    <w:p w:rsidR="00BF71F8" w:rsidRPr="005C0BE8" w:rsidRDefault="00BF71F8" w:rsidP="005C0BE8">
      <w:pPr>
        <w:pStyle w:val="FootnoteText"/>
      </w:pPr>
      <w:r>
        <w:rPr>
          <w:rStyle w:val="FootnoteReference"/>
        </w:rPr>
        <w:footnoteRef/>
      </w:r>
      <w:r w:rsidRPr="005C0BE8">
        <w:t xml:space="preserve"> </w:t>
      </w:r>
      <w:r>
        <w:tab/>
        <w:t xml:space="preserve">Las señales L1 C/A y L1 P(Y) se encuentran en la banda de frecuencias del SRNS </w:t>
      </w:r>
      <w:r w:rsidRPr="005C0BE8">
        <w:t>1 559-1 610 MHz</w:t>
      </w:r>
      <w:r>
        <w:t xml:space="preserve"> mientras que las señales L2 P(Y) se encuentran en la banda 1 215-1 300 MHz del SRNS. Para más detalles sobre estas señales véase el Anexo 2 (GPS) a la Recomendación UIT-R M.1787.</w:t>
      </w:r>
    </w:p>
  </w:footnote>
  <w:footnote w:id="9">
    <w:p w:rsidR="00BF71F8" w:rsidRPr="0027756D" w:rsidRDefault="00BF71F8">
      <w:pPr>
        <w:pStyle w:val="FootnoteText"/>
      </w:pPr>
      <w:r>
        <w:rPr>
          <w:rStyle w:val="FootnoteReference"/>
        </w:rPr>
        <w:footnoteRef/>
      </w:r>
      <w:r w:rsidRPr="0027756D">
        <w:t xml:space="preserve"> </w:t>
      </w:r>
      <w:r>
        <w:tab/>
        <w:t>El código Y es un código P modificado y encriptado con la misma velocidad de chip y características de modulación que el código P.</w:t>
      </w:r>
    </w:p>
  </w:footnote>
  <w:footnote w:id="10">
    <w:p w:rsidR="00BF71F8" w:rsidRPr="005175A8" w:rsidRDefault="00BF71F8">
      <w:pPr>
        <w:pStyle w:val="FootnoteText"/>
      </w:pPr>
      <w:r>
        <w:rPr>
          <w:rStyle w:val="FootnoteReference"/>
        </w:rPr>
        <w:footnoteRef/>
      </w:r>
      <w:r w:rsidRPr="005175A8">
        <w:t xml:space="preserve"> </w:t>
      </w:r>
      <w:r>
        <w:tab/>
        <w:t xml:space="preserve">En el Anexo 2 (GPS) de la Recomendación </w:t>
      </w:r>
      <w:r w:rsidRPr="005175A8">
        <w:t>ITU</w:t>
      </w:r>
      <w:r w:rsidRPr="005175A8">
        <w:noBreakHyphen/>
        <w:t>R M.1787</w:t>
      </w:r>
      <w:r>
        <w:t xml:space="preserve"> aparecen más detalles sobre la señal L2C</w:t>
      </w:r>
      <w:r w:rsidRPr="005175A8">
        <w:t>.</w:t>
      </w:r>
    </w:p>
  </w:footnote>
  <w:footnote w:id="11">
    <w:p w:rsidR="00BF71F8" w:rsidRPr="00D50CCF" w:rsidRDefault="00BF71F8" w:rsidP="00D50CCF">
      <w:pPr>
        <w:pStyle w:val="FootnoteText"/>
      </w:pPr>
      <w:r>
        <w:rPr>
          <w:rStyle w:val="FootnoteReference"/>
        </w:rPr>
        <w:footnoteRef/>
      </w:r>
      <w:r w:rsidRPr="00D50CCF">
        <w:t xml:space="preserve"> </w:t>
      </w:r>
      <w:r w:rsidRPr="00D50CCF">
        <w:tab/>
        <w:t>En el Anexo 7 (COMPASS) a la Rec. UIT</w:t>
      </w:r>
      <w:r w:rsidRPr="00D50CCF">
        <w:noBreakHyphen/>
        <w:t>R M.1787 aparecen más detalles sobre la señal  B1-C.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1F8" w:rsidRDefault="00BF71F8">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1F8" w:rsidRDefault="00BF71F8" w:rsidP="00CB1354">
    <w:pPr>
      <w:ind w:right="360" w:firstLine="360"/>
    </w:pPr>
    <w:r>
      <w:rPr>
        <w:noProof/>
        <w:lang w:val="en-US" w:eastAsia="zh-CN"/>
      </w:rPr>
      <w:drawing>
        <wp:anchor distT="0" distB="0" distL="114300" distR="114300" simplePos="0" relativeHeight="251657728" behindDoc="1" locked="0" layoutInCell="1" allowOverlap="1" wp14:anchorId="6BBF7E33" wp14:editId="2C595F9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1F8" w:rsidRDefault="00BF71F8"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16335">
      <w:rPr>
        <w:rStyle w:val="PageNumber"/>
        <w:b/>
        <w:bCs/>
        <w:noProof/>
      </w:rPr>
      <w:t>12</w:t>
    </w:r>
    <w:r>
      <w:rPr>
        <w:rStyle w:val="PageNumber"/>
        <w:b/>
        <w:bCs/>
      </w:rPr>
      <w:fldChar w:fldCharType="end"/>
    </w:r>
    <w:r>
      <w:tab/>
    </w:r>
    <w:fldSimple w:instr=" DOCPROPERTY &quot;Header&quot; \* MERGEFORMAT ">
      <w:r w:rsidR="00416335" w:rsidRPr="00416335">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16335">
      <w:rPr>
        <w:b/>
        <w:bCs/>
        <w:noProof/>
      </w:rPr>
      <w:t>UIT-R  M.1903</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1F8" w:rsidRDefault="00BF71F8">
    <w:r>
      <w:tab/>
    </w:r>
    <w:fldSimple w:instr=" DOCPROPERTY &quot;Header&quot; \* MERGEFORMAT ">
      <w:r w:rsidR="00416335" w:rsidRPr="0041633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16335">
      <w:rPr>
        <w:b/>
        <w:bCs/>
        <w:noProof/>
      </w:rPr>
      <w:t>UIT-R  M.1903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16335">
      <w:rPr>
        <w:rStyle w:val="PageNumber"/>
        <w:b/>
        <w:bCs/>
        <w:noProof/>
      </w:rPr>
      <w:t>xviii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1F8" w:rsidRDefault="00BF71F8" w:rsidP="003444B4">
    <w:pPr>
      <w:pStyle w:val="Header"/>
      <w:jc w:val="left"/>
    </w:pPr>
    <w:r>
      <w:tab/>
    </w:r>
    <w:fldSimple w:instr=" DOCPROPERTY &quot;Header&quot; \* MERGEFORMAT ">
      <w:r w:rsidR="00416335" w:rsidRPr="00416335">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16335">
      <w:rPr>
        <w:b/>
        <w:bCs/>
        <w:noProof/>
      </w:rPr>
      <w:t>UIT-R  M.1903</w:t>
    </w:r>
    <w:r w:rsidRPr="001B395D">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416335">
      <w:rPr>
        <w:rStyle w:val="PageNumber"/>
        <w:b/>
        <w:bCs/>
        <w:noProof/>
      </w:rPr>
      <w:t>13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1F8" w:rsidRPr="00FC42AF" w:rsidRDefault="00BF71F8" w:rsidP="003444B4">
    <w:pPr>
      <w:pStyle w:val="Header"/>
      <w:tabs>
        <w:tab w:val="clear" w:pos="4848"/>
        <w:tab w:val="clear" w:pos="9696"/>
        <w:tab w:val="center" w:pos="7144"/>
        <w:tab w:val="right" w:pos="14459"/>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16335">
      <w:rPr>
        <w:rStyle w:val="PageNumber"/>
        <w:b/>
        <w:bCs/>
        <w:noProof/>
      </w:rPr>
      <w:t>18</w:t>
    </w:r>
    <w:r>
      <w:rPr>
        <w:rStyle w:val="PageNumber"/>
        <w:b/>
        <w:bCs/>
      </w:rPr>
      <w:fldChar w:fldCharType="end"/>
    </w:r>
    <w:r w:rsidRPr="00FC42AF">
      <w:tab/>
    </w:r>
    <w:fldSimple w:instr=" DOCPROPERTY &quot;Header&quot; \* MERGEFORMAT ">
      <w:r w:rsidR="00416335" w:rsidRPr="0041633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16335">
      <w:rPr>
        <w:b/>
        <w:bCs/>
        <w:noProof/>
      </w:rPr>
      <w:t>UIT-R  M.1903</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1F8" w:rsidRPr="001B395D" w:rsidRDefault="00BF71F8" w:rsidP="003444B4">
    <w:pPr>
      <w:pStyle w:val="Header"/>
      <w:tabs>
        <w:tab w:val="clear" w:pos="4848"/>
        <w:tab w:val="clear" w:pos="9696"/>
        <w:tab w:val="center" w:pos="7144"/>
        <w:tab w:val="right" w:pos="14459"/>
      </w:tabs>
      <w:rPr>
        <w:b/>
        <w:bCs/>
      </w:rPr>
    </w:pPr>
    <w:r>
      <w:tab/>
    </w:r>
    <w:fldSimple w:instr=" DOCPROPERTY &quot;Header&quot; \* MERGEFORMAT ">
      <w:r w:rsidR="00416335" w:rsidRPr="00416335">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16335">
      <w:rPr>
        <w:b/>
        <w:bCs/>
        <w:noProof/>
      </w:rPr>
      <w:t>UIT-R  M.1903</w:t>
    </w:r>
    <w:r w:rsidRPr="001B395D">
      <w:rPr>
        <w:b/>
        <w:bCs/>
      </w:rPr>
      <w:fldChar w:fldCharType="end"/>
    </w:r>
    <w:r w:rsidRPr="001B395D">
      <w:rPr>
        <w:b/>
        <w:bCs/>
      </w:rPr>
      <w:tab/>
    </w:r>
    <w:r w:rsidRPr="001B395D">
      <w:rPr>
        <w:rStyle w:val="PageNumber"/>
        <w:b/>
        <w:bCs/>
      </w:rPr>
      <w:fldChar w:fldCharType="begin"/>
    </w:r>
    <w:r w:rsidRPr="001B395D">
      <w:rPr>
        <w:rStyle w:val="PageNumber"/>
        <w:b/>
        <w:bCs/>
      </w:rPr>
      <w:instrText xml:space="preserve"> PAGE </w:instrText>
    </w:r>
    <w:r w:rsidRPr="001B395D">
      <w:rPr>
        <w:rStyle w:val="PageNumber"/>
        <w:b/>
        <w:bCs/>
      </w:rPr>
      <w:fldChar w:fldCharType="separate"/>
    </w:r>
    <w:r w:rsidR="00416335">
      <w:rPr>
        <w:rStyle w:val="PageNumber"/>
        <w:b/>
        <w:bCs/>
        <w:noProof/>
      </w:rPr>
      <w:t>17</w:t>
    </w:r>
    <w:r w:rsidRPr="001B395D">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9840B10"/>
    <w:lvl w:ilvl="0">
      <w:start w:val="1"/>
      <w:numFmt w:val="decimal"/>
      <w:lvlText w:val="%1."/>
      <w:lvlJc w:val="left"/>
      <w:pPr>
        <w:tabs>
          <w:tab w:val="num" w:pos="1492"/>
        </w:tabs>
        <w:ind w:left="1492" w:hanging="360"/>
      </w:pPr>
    </w:lvl>
  </w:abstractNum>
  <w:abstractNum w:abstractNumId="1">
    <w:nsid w:val="FFFFFF7D"/>
    <w:multiLevelType w:val="singleLevel"/>
    <w:tmpl w:val="C11CDCBE"/>
    <w:lvl w:ilvl="0">
      <w:start w:val="1"/>
      <w:numFmt w:val="decimal"/>
      <w:lvlText w:val="%1."/>
      <w:lvlJc w:val="left"/>
      <w:pPr>
        <w:tabs>
          <w:tab w:val="num" w:pos="1209"/>
        </w:tabs>
        <w:ind w:left="1209" w:hanging="360"/>
      </w:pPr>
    </w:lvl>
  </w:abstractNum>
  <w:abstractNum w:abstractNumId="2">
    <w:nsid w:val="FFFFFF7E"/>
    <w:multiLevelType w:val="singleLevel"/>
    <w:tmpl w:val="963CF990"/>
    <w:lvl w:ilvl="0">
      <w:start w:val="1"/>
      <w:numFmt w:val="decimal"/>
      <w:lvlText w:val="%1."/>
      <w:lvlJc w:val="left"/>
      <w:pPr>
        <w:tabs>
          <w:tab w:val="num" w:pos="926"/>
        </w:tabs>
        <w:ind w:left="926" w:hanging="360"/>
      </w:pPr>
    </w:lvl>
  </w:abstractNum>
  <w:abstractNum w:abstractNumId="3">
    <w:nsid w:val="FFFFFF7F"/>
    <w:multiLevelType w:val="singleLevel"/>
    <w:tmpl w:val="2CB2F318"/>
    <w:lvl w:ilvl="0">
      <w:start w:val="1"/>
      <w:numFmt w:val="decimal"/>
      <w:lvlText w:val="%1."/>
      <w:lvlJc w:val="left"/>
      <w:pPr>
        <w:tabs>
          <w:tab w:val="num" w:pos="643"/>
        </w:tabs>
        <w:ind w:left="643" w:hanging="360"/>
      </w:pPr>
    </w:lvl>
  </w:abstractNum>
  <w:abstractNum w:abstractNumId="4">
    <w:nsid w:val="FFFFFF80"/>
    <w:multiLevelType w:val="singleLevel"/>
    <w:tmpl w:val="68AE5CF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3E28E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22454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D4CF27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1DC6FD8"/>
    <w:lvl w:ilvl="0">
      <w:start w:val="1"/>
      <w:numFmt w:val="decimal"/>
      <w:lvlText w:val="%1."/>
      <w:lvlJc w:val="left"/>
      <w:pPr>
        <w:tabs>
          <w:tab w:val="num" w:pos="360"/>
        </w:tabs>
        <w:ind w:left="360" w:hanging="360"/>
      </w:pPr>
    </w:lvl>
  </w:abstractNum>
  <w:abstractNum w:abstractNumId="9">
    <w:nsid w:val="FFFFFF89"/>
    <w:multiLevelType w:val="singleLevel"/>
    <w:tmpl w:val="DA662436"/>
    <w:lvl w:ilvl="0">
      <w:start w:val="1"/>
      <w:numFmt w:val="bullet"/>
      <w:lvlText w:val=""/>
      <w:lvlJc w:val="left"/>
      <w:pPr>
        <w:tabs>
          <w:tab w:val="num" w:pos="360"/>
        </w:tabs>
        <w:ind w:left="360" w:hanging="360"/>
      </w:pPr>
      <w:rPr>
        <w:rFonts w:ascii="Symbol" w:hAnsi="Symbol" w:hint="default"/>
      </w:rPr>
    </w:lvl>
  </w:abstractNum>
  <w:abstractNum w:abstractNumId="10">
    <w:nsid w:val="3B031980"/>
    <w:multiLevelType w:val="multilevel"/>
    <w:tmpl w:val="B728F69C"/>
    <w:lvl w:ilvl="0">
      <w:start w:val="1"/>
      <w:numFmt w:val="decimal"/>
      <w:lvlText w:val="%1"/>
      <w:lvlJc w:val="left"/>
      <w:pPr>
        <w:tabs>
          <w:tab w:val="num" w:pos="600"/>
        </w:tabs>
        <w:ind w:left="600" w:hanging="360"/>
      </w:pPr>
      <w:rPr>
        <w:rFonts w:hint="default"/>
      </w:rPr>
    </w:lvl>
    <w:lvl w:ilvl="1">
      <w:start w:val="1"/>
      <w:numFmt w:val="decimal"/>
      <w:isLgl/>
      <w:lvlText w:val="%1.%2"/>
      <w:lvlJc w:val="left"/>
      <w:pPr>
        <w:tabs>
          <w:tab w:val="num" w:pos="660"/>
        </w:tabs>
        <w:ind w:left="660" w:hanging="420"/>
      </w:pPr>
      <w:rPr>
        <w:rFonts w:hint="default"/>
      </w:rPr>
    </w:lvl>
    <w:lvl w:ilvl="2">
      <w:start w:val="1"/>
      <w:numFmt w:val="decimal"/>
      <w:isLgl/>
      <w:lvlText w:val="%1.%2.%3"/>
      <w:lvlJc w:val="left"/>
      <w:pPr>
        <w:tabs>
          <w:tab w:val="num" w:pos="960"/>
        </w:tabs>
        <w:ind w:left="960" w:hanging="720"/>
      </w:pPr>
      <w:rPr>
        <w:rFonts w:hint="default"/>
      </w:rPr>
    </w:lvl>
    <w:lvl w:ilvl="3">
      <w:start w:val="1"/>
      <w:numFmt w:val="decimal"/>
      <w:isLgl/>
      <w:lvlText w:val="%1.%2.%3.%4"/>
      <w:lvlJc w:val="left"/>
      <w:pPr>
        <w:tabs>
          <w:tab w:val="num" w:pos="960"/>
        </w:tabs>
        <w:ind w:left="960" w:hanging="720"/>
      </w:pPr>
      <w:rPr>
        <w:rFonts w:hint="default"/>
      </w:rPr>
    </w:lvl>
    <w:lvl w:ilvl="4">
      <w:start w:val="1"/>
      <w:numFmt w:val="decimal"/>
      <w:isLgl/>
      <w:lvlText w:val="%1.%2.%3.%4.%5"/>
      <w:lvlJc w:val="left"/>
      <w:pPr>
        <w:tabs>
          <w:tab w:val="num" w:pos="1320"/>
        </w:tabs>
        <w:ind w:left="1320" w:hanging="1080"/>
      </w:pPr>
      <w:rPr>
        <w:rFonts w:hint="default"/>
      </w:rPr>
    </w:lvl>
    <w:lvl w:ilvl="5">
      <w:start w:val="1"/>
      <w:numFmt w:val="decimal"/>
      <w:isLgl/>
      <w:lvlText w:val="%1.%2.%3.%4.%5.%6"/>
      <w:lvlJc w:val="left"/>
      <w:pPr>
        <w:tabs>
          <w:tab w:val="num" w:pos="1320"/>
        </w:tabs>
        <w:ind w:left="1320" w:hanging="1080"/>
      </w:pPr>
      <w:rPr>
        <w:rFonts w:hint="default"/>
      </w:rPr>
    </w:lvl>
    <w:lvl w:ilvl="6">
      <w:start w:val="1"/>
      <w:numFmt w:val="decimal"/>
      <w:isLgl/>
      <w:lvlText w:val="%1.%2.%3.%4.%5.%6.%7"/>
      <w:lvlJc w:val="left"/>
      <w:pPr>
        <w:tabs>
          <w:tab w:val="num" w:pos="1680"/>
        </w:tabs>
        <w:ind w:left="1680" w:hanging="1440"/>
      </w:pPr>
      <w:rPr>
        <w:rFonts w:hint="default"/>
      </w:rPr>
    </w:lvl>
    <w:lvl w:ilvl="7">
      <w:start w:val="1"/>
      <w:numFmt w:val="decimal"/>
      <w:isLgl/>
      <w:lvlText w:val="%1.%2.%3.%4.%5.%6.%7.%8"/>
      <w:lvlJc w:val="left"/>
      <w:pPr>
        <w:tabs>
          <w:tab w:val="num" w:pos="1680"/>
        </w:tabs>
        <w:ind w:left="1680" w:hanging="1440"/>
      </w:pPr>
      <w:rPr>
        <w:rFonts w:hint="default"/>
      </w:rPr>
    </w:lvl>
    <w:lvl w:ilvl="8">
      <w:start w:val="1"/>
      <w:numFmt w:val="decimal"/>
      <w:isLgl/>
      <w:lvlText w:val="%1.%2.%3.%4.%5.%6.%7.%8.%9"/>
      <w:lvlJc w:val="left"/>
      <w:pPr>
        <w:tabs>
          <w:tab w:val="num" w:pos="2040"/>
        </w:tabs>
        <w:ind w:left="2040" w:hanging="1800"/>
      </w:pPr>
      <w:rPr>
        <w:rFonts w:hint="default"/>
      </w:rPr>
    </w:lvl>
  </w:abstractNum>
  <w:abstractNum w:abstractNumId="11">
    <w:nsid w:val="617637B0"/>
    <w:multiLevelType w:val="multilevel"/>
    <w:tmpl w:val="45507812"/>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75674752"/>
    <w:multiLevelType w:val="hybridMultilevel"/>
    <w:tmpl w:val="F9028AAA"/>
    <w:lvl w:ilvl="0" w:tplc="04090017">
      <w:start w:val="1"/>
      <w:numFmt w:val="lowerLetter"/>
      <w:lvlText w:val="%1)"/>
      <w:lvlJc w:val="left"/>
      <w:pPr>
        <w:tabs>
          <w:tab w:val="num" w:pos="720"/>
        </w:tabs>
        <w:ind w:left="720" w:hanging="360"/>
      </w:pPr>
      <w:rPr>
        <w:rFonts w:hint="default"/>
      </w:rPr>
    </w:lvl>
    <w:lvl w:ilvl="1" w:tplc="37B4406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mirrorMargins/>
  <w:hideGrammaticalErrors/>
  <w:activeWritingStyle w:appName="MSWord" w:lang="en-US" w:vendorID="64" w:dllVersion="131077"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292"/>
    <w:rsid w:val="00015E0B"/>
    <w:rsid w:val="00034103"/>
    <w:rsid w:val="0003784B"/>
    <w:rsid w:val="00042292"/>
    <w:rsid w:val="00044263"/>
    <w:rsid w:val="00044A02"/>
    <w:rsid w:val="00044D65"/>
    <w:rsid w:val="00061459"/>
    <w:rsid w:val="00065F16"/>
    <w:rsid w:val="00072A58"/>
    <w:rsid w:val="00073B0D"/>
    <w:rsid w:val="00090742"/>
    <w:rsid w:val="000E09A4"/>
    <w:rsid w:val="000F3509"/>
    <w:rsid w:val="000F4E9D"/>
    <w:rsid w:val="000F5867"/>
    <w:rsid w:val="00100D9A"/>
    <w:rsid w:val="00113B80"/>
    <w:rsid w:val="00116BCC"/>
    <w:rsid w:val="001246F2"/>
    <w:rsid w:val="001276E2"/>
    <w:rsid w:val="00127EE4"/>
    <w:rsid w:val="001310E8"/>
    <w:rsid w:val="00131643"/>
    <w:rsid w:val="0014127D"/>
    <w:rsid w:val="00147551"/>
    <w:rsid w:val="00167CC0"/>
    <w:rsid w:val="00174ECD"/>
    <w:rsid w:val="0019500A"/>
    <w:rsid w:val="001A25B9"/>
    <w:rsid w:val="001B26B3"/>
    <w:rsid w:val="001B395D"/>
    <w:rsid w:val="001B6C9A"/>
    <w:rsid w:val="001E02B6"/>
    <w:rsid w:val="00206C9E"/>
    <w:rsid w:val="002074C1"/>
    <w:rsid w:val="00212F13"/>
    <w:rsid w:val="00216E4A"/>
    <w:rsid w:val="00241274"/>
    <w:rsid w:val="00271707"/>
    <w:rsid w:val="002728A1"/>
    <w:rsid w:val="00272A44"/>
    <w:rsid w:val="0027756D"/>
    <w:rsid w:val="002861F1"/>
    <w:rsid w:val="002973EB"/>
    <w:rsid w:val="002A0F3A"/>
    <w:rsid w:val="002B7997"/>
    <w:rsid w:val="002C0CF2"/>
    <w:rsid w:val="002C0E7D"/>
    <w:rsid w:val="002C4BA5"/>
    <w:rsid w:val="002C787A"/>
    <w:rsid w:val="002D76C4"/>
    <w:rsid w:val="002E0770"/>
    <w:rsid w:val="002E790F"/>
    <w:rsid w:val="002F06F6"/>
    <w:rsid w:val="002F5DA7"/>
    <w:rsid w:val="002F74C4"/>
    <w:rsid w:val="00311470"/>
    <w:rsid w:val="00317ED9"/>
    <w:rsid w:val="00343413"/>
    <w:rsid w:val="003444B4"/>
    <w:rsid w:val="00372205"/>
    <w:rsid w:val="00376874"/>
    <w:rsid w:val="003776D1"/>
    <w:rsid w:val="00377F09"/>
    <w:rsid w:val="003E1590"/>
    <w:rsid w:val="00402D85"/>
    <w:rsid w:val="00410F5B"/>
    <w:rsid w:val="00416335"/>
    <w:rsid w:val="00453D65"/>
    <w:rsid w:val="004822C6"/>
    <w:rsid w:val="00491AB8"/>
    <w:rsid w:val="00492876"/>
    <w:rsid w:val="00494AB8"/>
    <w:rsid w:val="004A5DD2"/>
    <w:rsid w:val="004B1768"/>
    <w:rsid w:val="004B5A7A"/>
    <w:rsid w:val="004B7098"/>
    <w:rsid w:val="004E4FBE"/>
    <w:rsid w:val="004F6A4B"/>
    <w:rsid w:val="005001DC"/>
    <w:rsid w:val="0050744A"/>
    <w:rsid w:val="005175A8"/>
    <w:rsid w:val="0052086D"/>
    <w:rsid w:val="0052688C"/>
    <w:rsid w:val="00537965"/>
    <w:rsid w:val="00537E26"/>
    <w:rsid w:val="00544D7B"/>
    <w:rsid w:val="00545D4F"/>
    <w:rsid w:val="0055277B"/>
    <w:rsid w:val="005623EE"/>
    <w:rsid w:val="005705A4"/>
    <w:rsid w:val="005B43C8"/>
    <w:rsid w:val="005C0BE8"/>
    <w:rsid w:val="005C7105"/>
    <w:rsid w:val="005D6BB8"/>
    <w:rsid w:val="0060535E"/>
    <w:rsid w:val="00607D68"/>
    <w:rsid w:val="00610DDF"/>
    <w:rsid w:val="00622BF0"/>
    <w:rsid w:val="00634092"/>
    <w:rsid w:val="00650BCD"/>
    <w:rsid w:val="00673FFB"/>
    <w:rsid w:val="006870AA"/>
    <w:rsid w:val="00690C7D"/>
    <w:rsid w:val="00692BE8"/>
    <w:rsid w:val="006A3353"/>
    <w:rsid w:val="006C5973"/>
    <w:rsid w:val="007066B9"/>
    <w:rsid w:val="00722AA6"/>
    <w:rsid w:val="00732EF0"/>
    <w:rsid w:val="00742851"/>
    <w:rsid w:val="00743B86"/>
    <w:rsid w:val="00752C4D"/>
    <w:rsid w:val="0076082A"/>
    <w:rsid w:val="00781F58"/>
    <w:rsid w:val="00797219"/>
    <w:rsid w:val="007979B2"/>
    <w:rsid w:val="007B1A89"/>
    <w:rsid w:val="0080112A"/>
    <w:rsid w:val="00814EED"/>
    <w:rsid w:val="008773FB"/>
    <w:rsid w:val="008C559A"/>
    <w:rsid w:val="008F2D5C"/>
    <w:rsid w:val="0090101E"/>
    <w:rsid w:val="00903375"/>
    <w:rsid w:val="00903761"/>
    <w:rsid w:val="00910AF3"/>
    <w:rsid w:val="0092207C"/>
    <w:rsid w:val="009234E6"/>
    <w:rsid w:val="00927C71"/>
    <w:rsid w:val="00940E43"/>
    <w:rsid w:val="0094394A"/>
    <w:rsid w:val="00947E5A"/>
    <w:rsid w:val="00961899"/>
    <w:rsid w:val="00965E93"/>
    <w:rsid w:val="0097298E"/>
    <w:rsid w:val="00985F8F"/>
    <w:rsid w:val="009A6EB7"/>
    <w:rsid w:val="009B5BB1"/>
    <w:rsid w:val="009C6DEC"/>
    <w:rsid w:val="009D2E04"/>
    <w:rsid w:val="009E2895"/>
    <w:rsid w:val="009E4B92"/>
    <w:rsid w:val="009F4959"/>
    <w:rsid w:val="00A07AEB"/>
    <w:rsid w:val="00A1604E"/>
    <w:rsid w:val="00A5354D"/>
    <w:rsid w:val="00A61882"/>
    <w:rsid w:val="00A6617B"/>
    <w:rsid w:val="00A73BE4"/>
    <w:rsid w:val="00A877A0"/>
    <w:rsid w:val="00A90465"/>
    <w:rsid w:val="00AB0DC8"/>
    <w:rsid w:val="00AD097C"/>
    <w:rsid w:val="00AD6991"/>
    <w:rsid w:val="00B11738"/>
    <w:rsid w:val="00B145A6"/>
    <w:rsid w:val="00B23219"/>
    <w:rsid w:val="00B26D11"/>
    <w:rsid w:val="00B44E24"/>
    <w:rsid w:val="00B57D05"/>
    <w:rsid w:val="00B64090"/>
    <w:rsid w:val="00B73C39"/>
    <w:rsid w:val="00B74F2D"/>
    <w:rsid w:val="00B948E3"/>
    <w:rsid w:val="00BA589B"/>
    <w:rsid w:val="00BB1968"/>
    <w:rsid w:val="00BC3C01"/>
    <w:rsid w:val="00BC71CC"/>
    <w:rsid w:val="00BD2444"/>
    <w:rsid w:val="00BF71F8"/>
    <w:rsid w:val="00C15683"/>
    <w:rsid w:val="00C2118B"/>
    <w:rsid w:val="00C21390"/>
    <w:rsid w:val="00C36A75"/>
    <w:rsid w:val="00C60D1D"/>
    <w:rsid w:val="00C657A1"/>
    <w:rsid w:val="00CA4BF1"/>
    <w:rsid w:val="00CB1354"/>
    <w:rsid w:val="00CB232E"/>
    <w:rsid w:val="00CC540C"/>
    <w:rsid w:val="00D21F80"/>
    <w:rsid w:val="00D304D4"/>
    <w:rsid w:val="00D319CD"/>
    <w:rsid w:val="00D35EE7"/>
    <w:rsid w:val="00D362FF"/>
    <w:rsid w:val="00D46DD6"/>
    <w:rsid w:val="00D50CCF"/>
    <w:rsid w:val="00D51ED5"/>
    <w:rsid w:val="00D622AD"/>
    <w:rsid w:val="00D821B7"/>
    <w:rsid w:val="00DB30D5"/>
    <w:rsid w:val="00DB55F4"/>
    <w:rsid w:val="00DC68B5"/>
    <w:rsid w:val="00DF4176"/>
    <w:rsid w:val="00E11457"/>
    <w:rsid w:val="00E32F34"/>
    <w:rsid w:val="00E704B6"/>
    <w:rsid w:val="00E879D6"/>
    <w:rsid w:val="00E9202E"/>
    <w:rsid w:val="00EE075A"/>
    <w:rsid w:val="00EE215D"/>
    <w:rsid w:val="00EE743D"/>
    <w:rsid w:val="00F11151"/>
    <w:rsid w:val="00F51C30"/>
    <w:rsid w:val="00F7406C"/>
    <w:rsid w:val="00F90A3D"/>
    <w:rsid w:val="00F91385"/>
    <w:rsid w:val="00FB17E7"/>
    <w:rsid w:val="00FB36A3"/>
    <w:rsid w:val="00FD1AD8"/>
    <w:rsid w:val="00FD7CE8"/>
    <w:rsid w:val="00FE6D1D"/>
    <w:rsid w:val="00FF0A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74C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_tradnl" w:eastAsia="en-US"/>
    </w:rPr>
  </w:style>
  <w:style w:type="paragraph" w:styleId="Heading1">
    <w:name w:val="heading 1"/>
    <w:basedOn w:val="Normal"/>
    <w:next w:val="Normal"/>
    <w:qFormat/>
    <w:rsid w:val="002F74C4"/>
    <w:pPr>
      <w:keepNext/>
      <w:keepLines/>
      <w:spacing w:before="480"/>
      <w:ind w:left="794" w:hanging="794"/>
      <w:outlineLvl w:val="0"/>
    </w:pPr>
    <w:rPr>
      <w:b/>
    </w:rPr>
  </w:style>
  <w:style w:type="paragraph" w:styleId="Heading2">
    <w:name w:val="heading 2"/>
    <w:basedOn w:val="Heading1"/>
    <w:next w:val="Normal"/>
    <w:qFormat/>
    <w:rsid w:val="002F74C4"/>
    <w:pPr>
      <w:spacing w:before="320"/>
      <w:outlineLvl w:val="1"/>
    </w:pPr>
  </w:style>
  <w:style w:type="paragraph" w:styleId="Heading3">
    <w:name w:val="heading 3"/>
    <w:basedOn w:val="Heading1"/>
    <w:next w:val="Normal"/>
    <w:qFormat/>
    <w:rsid w:val="002F74C4"/>
    <w:pPr>
      <w:spacing w:before="200"/>
      <w:outlineLvl w:val="2"/>
    </w:pPr>
  </w:style>
  <w:style w:type="paragraph" w:styleId="Heading4">
    <w:name w:val="heading 4"/>
    <w:basedOn w:val="Heading3"/>
    <w:next w:val="Normal"/>
    <w:qFormat/>
    <w:rsid w:val="002F74C4"/>
    <w:pPr>
      <w:tabs>
        <w:tab w:val="clear" w:pos="794"/>
        <w:tab w:val="left" w:pos="992"/>
      </w:tabs>
      <w:ind w:left="992" w:hanging="992"/>
      <w:outlineLvl w:val="3"/>
    </w:pPr>
  </w:style>
  <w:style w:type="paragraph" w:styleId="Heading5">
    <w:name w:val="heading 5"/>
    <w:basedOn w:val="Heading4"/>
    <w:next w:val="Normal"/>
    <w:qFormat/>
    <w:rsid w:val="002F74C4"/>
    <w:pPr>
      <w:outlineLvl w:val="4"/>
    </w:pPr>
  </w:style>
  <w:style w:type="paragraph" w:styleId="Heading6">
    <w:name w:val="heading 6"/>
    <w:basedOn w:val="Heading4"/>
    <w:next w:val="Normal"/>
    <w:qFormat/>
    <w:rsid w:val="002F74C4"/>
    <w:pPr>
      <w:tabs>
        <w:tab w:val="clear" w:pos="992"/>
        <w:tab w:val="clear" w:pos="1191"/>
      </w:tabs>
      <w:ind w:left="1588" w:hanging="1588"/>
      <w:outlineLvl w:val="5"/>
    </w:pPr>
  </w:style>
  <w:style w:type="paragraph" w:styleId="Heading7">
    <w:name w:val="heading 7"/>
    <w:basedOn w:val="Heading6"/>
    <w:next w:val="Normal"/>
    <w:qFormat/>
    <w:rsid w:val="002F74C4"/>
    <w:pPr>
      <w:outlineLvl w:val="6"/>
    </w:pPr>
  </w:style>
  <w:style w:type="paragraph" w:styleId="Heading8">
    <w:name w:val="heading 8"/>
    <w:basedOn w:val="Heading6"/>
    <w:next w:val="Normal"/>
    <w:qFormat/>
    <w:rsid w:val="002F74C4"/>
    <w:pPr>
      <w:outlineLvl w:val="7"/>
    </w:pPr>
  </w:style>
  <w:style w:type="paragraph" w:styleId="Heading9">
    <w:name w:val="heading 9"/>
    <w:basedOn w:val="Heading6"/>
    <w:next w:val="Normal"/>
    <w:qFormat/>
    <w:rsid w:val="002F74C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F74C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F74C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F74C4"/>
  </w:style>
  <w:style w:type="paragraph" w:customStyle="1" w:styleId="Headingb">
    <w:name w:val="Heading_b"/>
    <w:basedOn w:val="Heading3"/>
    <w:next w:val="Normal"/>
    <w:rsid w:val="002F74C4"/>
    <w:pPr>
      <w:spacing w:before="160"/>
      <w:ind w:left="0" w:firstLine="0"/>
      <w:outlineLvl w:val="9"/>
    </w:pPr>
  </w:style>
  <w:style w:type="paragraph" w:customStyle="1" w:styleId="Headingi">
    <w:name w:val="Heading_i"/>
    <w:basedOn w:val="Heading3"/>
    <w:next w:val="Normal"/>
    <w:rsid w:val="002F74C4"/>
    <w:pPr>
      <w:spacing w:before="160"/>
      <w:ind w:left="0" w:firstLine="0"/>
    </w:pPr>
    <w:rPr>
      <w:b w:val="0"/>
      <w:i/>
    </w:rPr>
  </w:style>
  <w:style w:type="character" w:customStyle="1" w:styleId="href">
    <w:name w:val="href"/>
    <w:basedOn w:val="DefaultParagraphFont"/>
    <w:rsid w:val="002F74C4"/>
  </w:style>
  <w:style w:type="paragraph" w:customStyle="1" w:styleId="enumlev1">
    <w:name w:val="enumlev1"/>
    <w:basedOn w:val="Normal"/>
    <w:link w:val="enumlev10"/>
    <w:rsid w:val="002F74C4"/>
    <w:pPr>
      <w:spacing w:before="80"/>
      <w:ind w:left="794" w:hanging="794"/>
    </w:pPr>
  </w:style>
  <w:style w:type="paragraph" w:customStyle="1" w:styleId="enumlev2">
    <w:name w:val="enumlev2"/>
    <w:basedOn w:val="enumlev1"/>
    <w:rsid w:val="002F74C4"/>
    <w:pPr>
      <w:ind w:left="1191" w:hanging="397"/>
    </w:pPr>
  </w:style>
  <w:style w:type="paragraph" w:customStyle="1" w:styleId="enumlev3">
    <w:name w:val="enumlev3"/>
    <w:basedOn w:val="enumlev2"/>
    <w:rsid w:val="002F74C4"/>
    <w:pPr>
      <w:ind w:left="1588"/>
    </w:pPr>
  </w:style>
  <w:style w:type="paragraph" w:customStyle="1" w:styleId="Normalaftertitle">
    <w:name w:val="Normal_after_title"/>
    <w:basedOn w:val="Normal"/>
    <w:next w:val="Normal"/>
    <w:rsid w:val="002F74C4"/>
    <w:pPr>
      <w:spacing w:before="320"/>
    </w:pPr>
  </w:style>
  <w:style w:type="paragraph" w:customStyle="1" w:styleId="Note">
    <w:name w:val="Note"/>
    <w:basedOn w:val="Normal"/>
    <w:rsid w:val="002F74C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F74C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F74C4"/>
    <w:pPr>
      <w:spacing w:before="240"/>
    </w:pPr>
    <w:rPr>
      <w:sz w:val="22"/>
    </w:rPr>
  </w:style>
  <w:style w:type="paragraph" w:customStyle="1" w:styleId="Recref">
    <w:name w:val="Rec_ref"/>
    <w:basedOn w:val="Normal"/>
    <w:next w:val="Recdate"/>
    <w:rsid w:val="002F74C4"/>
    <w:pPr>
      <w:jc w:val="center"/>
    </w:pPr>
  </w:style>
  <w:style w:type="paragraph" w:customStyle="1" w:styleId="Recdate">
    <w:name w:val="Rec_date"/>
    <w:basedOn w:val="Recref"/>
    <w:next w:val="Normalaftertitle"/>
    <w:rsid w:val="002F74C4"/>
    <w:pPr>
      <w:jc w:val="right"/>
    </w:pPr>
  </w:style>
  <w:style w:type="paragraph" w:customStyle="1" w:styleId="AnnexNoTitle">
    <w:name w:val="Annex_NoTitle"/>
    <w:basedOn w:val="Normal"/>
    <w:next w:val="Normalaftertitle"/>
    <w:rsid w:val="002F74C4"/>
    <w:pPr>
      <w:keepNext/>
      <w:keepLines/>
      <w:spacing w:before="480" w:after="80"/>
      <w:jc w:val="center"/>
    </w:pPr>
    <w:rPr>
      <w:b/>
      <w:sz w:val="28"/>
    </w:rPr>
  </w:style>
  <w:style w:type="paragraph" w:customStyle="1" w:styleId="AppendixNoTitle">
    <w:name w:val="Appendix_NoTitle"/>
    <w:basedOn w:val="AnnexNoTitle"/>
    <w:next w:val="Normal"/>
    <w:rsid w:val="002F74C4"/>
  </w:style>
  <w:style w:type="paragraph" w:customStyle="1" w:styleId="Tablefin">
    <w:name w:val="Table_fin"/>
    <w:basedOn w:val="Normal"/>
    <w:next w:val="Normal"/>
    <w:rsid w:val="002F74C4"/>
    <w:pPr>
      <w:spacing w:before="0"/>
    </w:pPr>
    <w:rPr>
      <w:sz w:val="20"/>
      <w:lang w:val="en-GB"/>
    </w:rPr>
  </w:style>
  <w:style w:type="paragraph" w:customStyle="1" w:styleId="Tablehead">
    <w:name w:val="Table_head"/>
    <w:basedOn w:val="Normal"/>
    <w:next w:val="Normal"/>
    <w:rsid w:val="002F74C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F74C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F74C4"/>
    <w:pPr>
      <w:keepNext/>
      <w:spacing w:before="360" w:after="120"/>
      <w:jc w:val="center"/>
    </w:pPr>
  </w:style>
  <w:style w:type="paragraph" w:customStyle="1" w:styleId="Tabletext">
    <w:name w:val="Table_text"/>
    <w:basedOn w:val="Normal"/>
    <w:rsid w:val="002F74C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F74C4"/>
    <w:pPr>
      <w:tabs>
        <w:tab w:val="clear" w:pos="1191"/>
        <w:tab w:val="clear" w:pos="1588"/>
        <w:tab w:val="clear" w:pos="1985"/>
        <w:tab w:val="center" w:pos="4820"/>
        <w:tab w:val="right" w:pos="9639"/>
      </w:tabs>
    </w:pPr>
  </w:style>
  <w:style w:type="paragraph" w:customStyle="1" w:styleId="Equationlegend">
    <w:name w:val="Equation_legend"/>
    <w:basedOn w:val="NormalIndent"/>
    <w:rsid w:val="002F74C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F74C4"/>
    <w:pPr>
      <w:ind w:left="794"/>
    </w:pPr>
  </w:style>
  <w:style w:type="paragraph" w:customStyle="1" w:styleId="Figurelegend">
    <w:name w:val="Figure_legend"/>
    <w:basedOn w:val="Normal"/>
    <w:rsid w:val="002F74C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F74C4"/>
    <w:pPr>
      <w:keepNext/>
      <w:keepLines/>
      <w:spacing w:before="480" w:after="80"/>
      <w:jc w:val="center"/>
    </w:pPr>
    <w:rPr>
      <w:caps/>
      <w:sz w:val="18"/>
    </w:rPr>
  </w:style>
  <w:style w:type="paragraph" w:customStyle="1" w:styleId="tocpart">
    <w:name w:val="tocpart"/>
    <w:basedOn w:val="Normal"/>
    <w:rsid w:val="002F74C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F74C4"/>
    <w:pPr>
      <w:keepNext/>
      <w:keepLines/>
      <w:spacing w:before="480"/>
      <w:jc w:val="center"/>
    </w:pPr>
    <w:rPr>
      <w:sz w:val="28"/>
    </w:rPr>
  </w:style>
  <w:style w:type="paragraph" w:customStyle="1" w:styleId="Arttitle">
    <w:name w:val="Art_title"/>
    <w:basedOn w:val="Normal"/>
    <w:next w:val="Normalaftertitle"/>
    <w:rsid w:val="002F74C4"/>
    <w:pPr>
      <w:keepNext/>
      <w:keepLines/>
      <w:spacing w:before="240"/>
      <w:jc w:val="center"/>
    </w:pPr>
    <w:rPr>
      <w:b/>
      <w:sz w:val="28"/>
    </w:rPr>
  </w:style>
  <w:style w:type="paragraph" w:customStyle="1" w:styleId="Blanc">
    <w:name w:val="Blanc"/>
    <w:basedOn w:val="Normal"/>
    <w:next w:val="Tabletext"/>
    <w:rsid w:val="002F74C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F74C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F74C4"/>
    <w:pPr>
      <w:keepNext/>
      <w:keepLines/>
      <w:spacing w:before="160"/>
      <w:ind w:left="794"/>
    </w:pPr>
    <w:rPr>
      <w:i/>
    </w:rPr>
  </w:style>
  <w:style w:type="paragraph" w:customStyle="1" w:styleId="ChapNo">
    <w:name w:val="Chap_No"/>
    <w:basedOn w:val="ArtNo"/>
    <w:next w:val="Chaptitle"/>
    <w:rsid w:val="002F74C4"/>
    <w:rPr>
      <w:b/>
    </w:rPr>
  </w:style>
  <w:style w:type="paragraph" w:customStyle="1" w:styleId="Chaptitle">
    <w:name w:val="Chap_title"/>
    <w:basedOn w:val="Arttitle"/>
    <w:next w:val="Normalaftertitle"/>
    <w:rsid w:val="002F74C4"/>
  </w:style>
  <w:style w:type="character" w:styleId="FootnoteReference">
    <w:name w:val="footnote reference"/>
    <w:basedOn w:val="DefaultParagraphFont"/>
    <w:semiHidden/>
    <w:rsid w:val="002F74C4"/>
    <w:rPr>
      <w:position w:val="6"/>
      <w:sz w:val="18"/>
    </w:rPr>
  </w:style>
  <w:style w:type="paragraph" w:styleId="FootnoteText">
    <w:name w:val="footnote text"/>
    <w:basedOn w:val="Normal"/>
    <w:semiHidden/>
    <w:rsid w:val="002F74C4"/>
    <w:pPr>
      <w:keepLines/>
      <w:tabs>
        <w:tab w:val="left" w:pos="255"/>
      </w:tabs>
      <w:ind w:left="255" w:hanging="255"/>
    </w:pPr>
    <w:rPr>
      <w:sz w:val="22"/>
    </w:rPr>
  </w:style>
  <w:style w:type="paragraph" w:styleId="Index1">
    <w:name w:val="index 1"/>
    <w:basedOn w:val="Normal"/>
    <w:next w:val="Normal"/>
    <w:semiHidden/>
    <w:rsid w:val="002F74C4"/>
  </w:style>
  <w:style w:type="paragraph" w:styleId="Index2">
    <w:name w:val="index 2"/>
    <w:basedOn w:val="Normal"/>
    <w:next w:val="Normal"/>
    <w:semiHidden/>
    <w:rsid w:val="002F74C4"/>
    <w:pPr>
      <w:ind w:left="283"/>
    </w:pPr>
  </w:style>
  <w:style w:type="paragraph" w:styleId="Index3">
    <w:name w:val="index 3"/>
    <w:basedOn w:val="Normal"/>
    <w:next w:val="Normal"/>
    <w:semiHidden/>
    <w:rsid w:val="002F74C4"/>
    <w:pPr>
      <w:ind w:left="566"/>
    </w:pPr>
  </w:style>
  <w:style w:type="paragraph" w:styleId="IndexHeading">
    <w:name w:val="index heading"/>
    <w:basedOn w:val="Normal"/>
    <w:next w:val="Index1"/>
    <w:semiHidden/>
    <w:rsid w:val="002F74C4"/>
  </w:style>
  <w:style w:type="paragraph" w:customStyle="1" w:styleId="Line">
    <w:name w:val="Line"/>
    <w:basedOn w:val="Normal"/>
    <w:next w:val="Normal"/>
    <w:rsid w:val="002F74C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F74C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F74C4"/>
  </w:style>
  <w:style w:type="paragraph" w:customStyle="1" w:styleId="Partref">
    <w:name w:val="Part_ref"/>
    <w:basedOn w:val="Normal"/>
    <w:next w:val="Normal"/>
    <w:rsid w:val="002F74C4"/>
    <w:pPr>
      <w:keepNext/>
      <w:keepLines/>
      <w:spacing w:after="280"/>
      <w:jc w:val="center"/>
    </w:pPr>
  </w:style>
  <w:style w:type="paragraph" w:customStyle="1" w:styleId="Parttitle">
    <w:name w:val="Part_title"/>
    <w:basedOn w:val="Normal"/>
    <w:next w:val="Normalaftertitle"/>
    <w:rsid w:val="002F74C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F74C4"/>
  </w:style>
  <w:style w:type="paragraph" w:customStyle="1" w:styleId="QuestionNo">
    <w:name w:val="Question_No"/>
    <w:basedOn w:val="RecNo"/>
    <w:next w:val="Normal"/>
    <w:rsid w:val="002F74C4"/>
  </w:style>
  <w:style w:type="paragraph" w:customStyle="1" w:styleId="Questionref">
    <w:name w:val="Question_ref"/>
    <w:basedOn w:val="Recref"/>
    <w:next w:val="Questiondate"/>
    <w:rsid w:val="002F74C4"/>
  </w:style>
  <w:style w:type="paragraph" w:customStyle="1" w:styleId="Questiontitle">
    <w:name w:val="Question_title"/>
    <w:basedOn w:val="Normal"/>
    <w:next w:val="Questionref"/>
    <w:rsid w:val="002F74C4"/>
  </w:style>
  <w:style w:type="paragraph" w:customStyle="1" w:styleId="Reftext">
    <w:name w:val="Ref_text"/>
    <w:basedOn w:val="Normal"/>
    <w:rsid w:val="002F74C4"/>
    <w:pPr>
      <w:ind w:left="794" w:hanging="794"/>
    </w:pPr>
    <w:rPr>
      <w:sz w:val="22"/>
    </w:rPr>
  </w:style>
  <w:style w:type="paragraph" w:customStyle="1" w:styleId="Reftitle">
    <w:name w:val="Ref_title"/>
    <w:basedOn w:val="Normal"/>
    <w:next w:val="Reftext"/>
    <w:rsid w:val="002F74C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F74C4"/>
  </w:style>
  <w:style w:type="paragraph" w:customStyle="1" w:styleId="RepNo">
    <w:name w:val="Rep_No"/>
    <w:basedOn w:val="RecNo"/>
    <w:next w:val="Reptitle"/>
    <w:rsid w:val="002F74C4"/>
  </w:style>
  <w:style w:type="paragraph" w:customStyle="1" w:styleId="Repref">
    <w:name w:val="Rep_ref"/>
    <w:basedOn w:val="Recref"/>
    <w:next w:val="Repdate"/>
    <w:rsid w:val="002F74C4"/>
  </w:style>
  <w:style w:type="paragraph" w:customStyle="1" w:styleId="Reptitle">
    <w:name w:val="Rep_title"/>
    <w:basedOn w:val="Rectitle"/>
    <w:next w:val="Repref"/>
    <w:rsid w:val="002F74C4"/>
  </w:style>
  <w:style w:type="paragraph" w:customStyle="1" w:styleId="Resdate">
    <w:name w:val="Res_date"/>
    <w:basedOn w:val="Recdate"/>
    <w:next w:val="Normalaftertitle"/>
    <w:rsid w:val="002F74C4"/>
  </w:style>
  <w:style w:type="paragraph" w:customStyle="1" w:styleId="ResNo">
    <w:name w:val="Res_No"/>
    <w:basedOn w:val="RecNo"/>
    <w:next w:val="Restitle"/>
    <w:rsid w:val="002F74C4"/>
  </w:style>
  <w:style w:type="paragraph" w:customStyle="1" w:styleId="Resref">
    <w:name w:val="Res_ref"/>
    <w:basedOn w:val="Recref"/>
    <w:next w:val="Resdate"/>
    <w:rsid w:val="002F74C4"/>
  </w:style>
  <w:style w:type="paragraph" w:customStyle="1" w:styleId="Restitle">
    <w:name w:val="Res_title"/>
    <w:basedOn w:val="Normal"/>
    <w:next w:val="Resref"/>
    <w:rsid w:val="002F74C4"/>
    <w:pPr>
      <w:spacing w:before="240"/>
      <w:jc w:val="center"/>
    </w:pPr>
    <w:rPr>
      <w:b/>
      <w:sz w:val="28"/>
    </w:rPr>
  </w:style>
  <w:style w:type="paragraph" w:customStyle="1" w:styleId="SectionNo">
    <w:name w:val="Section_No"/>
    <w:basedOn w:val="Normal"/>
    <w:next w:val="Normal"/>
    <w:rsid w:val="002F74C4"/>
  </w:style>
  <w:style w:type="paragraph" w:customStyle="1" w:styleId="Sectiontitle">
    <w:name w:val="Section_title"/>
    <w:basedOn w:val="Normal"/>
    <w:next w:val="Normalaftertitle"/>
    <w:rsid w:val="002F74C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F74C4"/>
    <w:pPr>
      <w:tabs>
        <w:tab w:val="clear" w:pos="794"/>
        <w:tab w:val="clear" w:pos="1191"/>
        <w:tab w:val="clear" w:pos="1588"/>
        <w:tab w:val="clear" w:pos="1985"/>
        <w:tab w:val="right" w:pos="9611"/>
      </w:tabs>
    </w:pPr>
    <w:rPr>
      <w:i/>
    </w:rPr>
  </w:style>
  <w:style w:type="paragraph" w:styleId="TOC1">
    <w:name w:val="toc 1"/>
    <w:basedOn w:val="Normal"/>
    <w:semiHidden/>
    <w:rsid w:val="002F74C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F74C4"/>
    <w:pPr>
      <w:tabs>
        <w:tab w:val="clear" w:pos="567"/>
        <w:tab w:val="left" w:pos="1276"/>
      </w:tabs>
      <w:spacing w:before="160"/>
      <w:ind w:left="1276" w:hanging="709"/>
    </w:pPr>
  </w:style>
  <w:style w:type="paragraph" w:styleId="TOC3">
    <w:name w:val="toc 3"/>
    <w:basedOn w:val="TOC2"/>
    <w:semiHidden/>
    <w:rsid w:val="002F74C4"/>
    <w:pPr>
      <w:tabs>
        <w:tab w:val="clear" w:pos="1276"/>
        <w:tab w:val="left" w:pos="2155"/>
      </w:tabs>
      <w:ind w:left="2155" w:hanging="879"/>
    </w:pPr>
  </w:style>
  <w:style w:type="paragraph" w:styleId="TOC4">
    <w:name w:val="toc 4"/>
    <w:basedOn w:val="TOC3"/>
    <w:semiHidden/>
    <w:rsid w:val="002F74C4"/>
    <w:pPr>
      <w:tabs>
        <w:tab w:val="left" w:pos="3261"/>
      </w:tabs>
      <w:spacing w:before="80"/>
      <w:ind w:left="3261" w:hanging="993"/>
    </w:pPr>
  </w:style>
  <w:style w:type="paragraph" w:styleId="TOC5">
    <w:name w:val="toc 5"/>
    <w:basedOn w:val="TOC4"/>
    <w:semiHidden/>
    <w:rsid w:val="002F74C4"/>
  </w:style>
  <w:style w:type="paragraph" w:styleId="TOC6">
    <w:name w:val="toc 6"/>
    <w:basedOn w:val="TOC4"/>
    <w:semiHidden/>
    <w:rsid w:val="002F74C4"/>
  </w:style>
  <w:style w:type="paragraph" w:styleId="TOC7">
    <w:name w:val="toc 7"/>
    <w:basedOn w:val="TOC4"/>
    <w:semiHidden/>
    <w:rsid w:val="002F74C4"/>
  </w:style>
  <w:style w:type="paragraph" w:styleId="TOC8">
    <w:name w:val="toc 8"/>
    <w:basedOn w:val="TOC4"/>
    <w:semiHidden/>
    <w:rsid w:val="002F74C4"/>
  </w:style>
  <w:style w:type="paragraph" w:customStyle="1" w:styleId="Rectitle">
    <w:name w:val="Rec_title"/>
    <w:basedOn w:val="Normal"/>
    <w:next w:val="Recref"/>
    <w:rsid w:val="002F74C4"/>
    <w:pPr>
      <w:keepNext/>
      <w:keepLines/>
      <w:spacing w:before="240"/>
      <w:jc w:val="center"/>
    </w:pPr>
    <w:rPr>
      <w:b/>
      <w:sz w:val="28"/>
    </w:rPr>
  </w:style>
  <w:style w:type="paragraph" w:customStyle="1" w:styleId="Annexref">
    <w:name w:val="Annex_ref"/>
    <w:basedOn w:val="Normal"/>
    <w:next w:val="Normalaftertitle"/>
    <w:rsid w:val="002F74C4"/>
    <w:pPr>
      <w:keepNext/>
      <w:keepLines/>
      <w:spacing w:after="280"/>
      <w:jc w:val="center"/>
    </w:pPr>
  </w:style>
  <w:style w:type="paragraph" w:customStyle="1" w:styleId="Appendixref">
    <w:name w:val="Appendix_ref"/>
    <w:basedOn w:val="Annexref"/>
    <w:next w:val="Normalaftertitle"/>
    <w:rsid w:val="002F74C4"/>
  </w:style>
  <w:style w:type="paragraph" w:customStyle="1" w:styleId="Figuretitle">
    <w:name w:val="Figure_title"/>
    <w:basedOn w:val="Normal"/>
    <w:next w:val="Figure"/>
    <w:rsid w:val="002F74C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F74C4"/>
    <w:pPr>
      <w:keepNext/>
      <w:spacing w:before="0" w:after="120"/>
      <w:jc w:val="center"/>
    </w:pPr>
    <w:rPr>
      <w:b/>
    </w:rPr>
  </w:style>
  <w:style w:type="paragraph" w:customStyle="1" w:styleId="Summary">
    <w:name w:val="Summary"/>
    <w:basedOn w:val="Normal"/>
    <w:next w:val="Normalaftertitle"/>
    <w:autoRedefine/>
    <w:rsid w:val="002F74C4"/>
    <w:pPr>
      <w:spacing w:after="480"/>
    </w:pPr>
    <w:rPr>
      <w:sz w:val="22"/>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rsid w:val="002F74C4"/>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2F74C4"/>
    <w:pPr>
      <w:ind w:left="-85" w:firstLine="0"/>
    </w:pPr>
    <w:rPr>
      <w:lang w:val="en-US"/>
    </w:rPr>
  </w:style>
  <w:style w:type="character" w:customStyle="1" w:styleId="HeaderChar">
    <w:name w:val="Header Char"/>
    <w:basedOn w:val="DefaultParagraphFont"/>
    <w:link w:val="Header"/>
    <w:rsid w:val="00EE215D"/>
    <w:rPr>
      <w:sz w:val="24"/>
      <w:lang w:val="fr-FR" w:eastAsia="en-US"/>
    </w:rPr>
  </w:style>
  <w:style w:type="paragraph" w:customStyle="1" w:styleId="Reasons">
    <w:name w:val="Reasons"/>
    <w:basedOn w:val="Normal"/>
    <w:qFormat/>
    <w:rsid w:val="00044A02"/>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numlev10">
    <w:name w:val="enumlev1 Знак"/>
    <w:link w:val="enumlev1"/>
    <w:locked/>
    <w:rsid w:val="00FE6D1D"/>
    <w:rPr>
      <w:sz w:val="24"/>
      <w:lang w:val="fr-FR" w:eastAsia="en-US"/>
    </w:rPr>
  </w:style>
  <w:style w:type="paragraph" w:styleId="BalloonText">
    <w:name w:val="Balloon Text"/>
    <w:basedOn w:val="Normal"/>
    <w:link w:val="BalloonTextChar"/>
    <w:rsid w:val="0019500A"/>
    <w:pPr>
      <w:spacing w:before="0"/>
    </w:pPr>
    <w:rPr>
      <w:rFonts w:ascii="Tahoma" w:hAnsi="Tahoma" w:cs="Tahoma"/>
      <w:sz w:val="16"/>
      <w:szCs w:val="16"/>
    </w:rPr>
  </w:style>
  <w:style w:type="character" w:customStyle="1" w:styleId="BalloonTextChar">
    <w:name w:val="Balloon Text Char"/>
    <w:basedOn w:val="DefaultParagraphFont"/>
    <w:link w:val="BalloonText"/>
    <w:rsid w:val="0019500A"/>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74C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_tradnl" w:eastAsia="en-US"/>
    </w:rPr>
  </w:style>
  <w:style w:type="paragraph" w:styleId="Heading1">
    <w:name w:val="heading 1"/>
    <w:basedOn w:val="Normal"/>
    <w:next w:val="Normal"/>
    <w:qFormat/>
    <w:rsid w:val="002F74C4"/>
    <w:pPr>
      <w:keepNext/>
      <w:keepLines/>
      <w:spacing w:before="480"/>
      <w:ind w:left="794" w:hanging="794"/>
      <w:outlineLvl w:val="0"/>
    </w:pPr>
    <w:rPr>
      <w:b/>
    </w:rPr>
  </w:style>
  <w:style w:type="paragraph" w:styleId="Heading2">
    <w:name w:val="heading 2"/>
    <w:basedOn w:val="Heading1"/>
    <w:next w:val="Normal"/>
    <w:qFormat/>
    <w:rsid w:val="002F74C4"/>
    <w:pPr>
      <w:spacing w:before="320"/>
      <w:outlineLvl w:val="1"/>
    </w:pPr>
  </w:style>
  <w:style w:type="paragraph" w:styleId="Heading3">
    <w:name w:val="heading 3"/>
    <w:basedOn w:val="Heading1"/>
    <w:next w:val="Normal"/>
    <w:qFormat/>
    <w:rsid w:val="002F74C4"/>
    <w:pPr>
      <w:spacing w:before="200"/>
      <w:outlineLvl w:val="2"/>
    </w:pPr>
  </w:style>
  <w:style w:type="paragraph" w:styleId="Heading4">
    <w:name w:val="heading 4"/>
    <w:basedOn w:val="Heading3"/>
    <w:next w:val="Normal"/>
    <w:qFormat/>
    <w:rsid w:val="002F74C4"/>
    <w:pPr>
      <w:tabs>
        <w:tab w:val="clear" w:pos="794"/>
        <w:tab w:val="left" w:pos="992"/>
      </w:tabs>
      <w:ind w:left="992" w:hanging="992"/>
      <w:outlineLvl w:val="3"/>
    </w:pPr>
  </w:style>
  <w:style w:type="paragraph" w:styleId="Heading5">
    <w:name w:val="heading 5"/>
    <w:basedOn w:val="Heading4"/>
    <w:next w:val="Normal"/>
    <w:qFormat/>
    <w:rsid w:val="002F74C4"/>
    <w:pPr>
      <w:outlineLvl w:val="4"/>
    </w:pPr>
  </w:style>
  <w:style w:type="paragraph" w:styleId="Heading6">
    <w:name w:val="heading 6"/>
    <w:basedOn w:val="Heading4"/>
    <w:next w:val="Normal"/>
    <w:qFormat/>
    <w:rsid w:val="002F74C4"/>
    <w:pPr>
      <w:tabs>
        <w:tab w:val="clear" w:pos="992"/>
        <w:tab w:val="clear" w:pos="1191"/>
      </w:tabs>
      <w:ind w:left="1588" w:hanging="1588"/>
      <w:outlineLvl w:val="5"/>
    </w:pPr>
  </w:style>
  <w:style w:type="paragraph" w:styleId="Heading7">
    <w:name w:val="heading 7"/>
    <w:basedOn w:val="Heading6"/>
    <w:next w:val="Normal"/>
    <w:qFormat/>
    <w:rsid w:val="002F74C4"/>
    <w:pPr>
      <w:outlineLvl w:val="6"/>
    </w:pPr>
  </w:style>
  <w:style w:type="paragraph" w:styleId="Heading8">
    <w:name w:val="heading 8"/>
    <w:basedOn w:val="Heading6"/>
    <w:next w:val="Normal"/>
    <w:qFormat/>
    <w:rsid w:val="002F74C4"/>
    <w:pPr>
      <w:outlineLvl w:val="7"/>
    </w:pPr>
  </w:style>
  <w:style w:type="paragraph" w:styleId="Heading9">
    <w:name w:val="heading 9"/>
    <w:basedOn w:val="Heading6"/>
    <w:next w:val="Normal"/>
    <w:qFormat/>
    <w:rsid w:val="002F74C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F74C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F74C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F74C4"/>
  </w:style>
  <w:style w:type="paragraph" w:customStyle="1" w:styleId="Headingb">
    <w:name w:val="Heading_b"/>
    <w:basedOn w:val="Heading3"/>
    <w:next w:val="Normal"/>
    <w:rsid w:val="002F74C4"/>
    <w:pPr>
      <w:spacing w:before="160"/>
      <w:ind w:left="0" w:firstLine="0"/>
      <w:outlineLvl w:val="9"/>
    </w:pPr>
  </w:style>
  <w:style w:type="paragraph" w:customStyle="1" w:styleId="Headingi">
    <w:name w:val="Heading_i"/>
    <w:basedOn w:val="Heading3"/>
    <w:next w:val="Normal"/>
    <w:rsid w:val="002F74C4"/>
    <w:pPr>
      <w:spacing w:before="160"/>
      <w:ind w:left="0" w:firstLine="0"/>
    </w:pPr>
    <w:rPr>
      <w:b w:val="0"/>
      <w:i/>
    </w:rPr>
  </w:style>
  <w:style w:type="character" w:customStyle="1" w:styleId="href">
    <w:name w:val="href"/>
    <w:basedOn w:val="DefaultParagraphFont"/>
    <w:rsid w:val="002F74C4"/>
  </w:style>
  <w:style w:type="paragraph" w:customStyle="1" w:styleId="enumlev1">
    <w:name w:val="enumlev1"/>
    <w:basedOn w:val="Normal"/>
    <w:link w:val="enumlev10"/>
    <w:rsid w:val="002F74C4"/>
    <w:pPr>
      <w:spacing w:before="80"/>
      <w:ind w:left="794" w:hanging="794"/>
    </w:pPr>
  </w:style>
  <w:style w:type="paragraph" w:customStyle="1" w:styleId="enumlev2">
    <w:name w:val="enumlev2"/>
    <w:basedOn w:val="enumlev1"/>
    <w:rsid w:val="002F74C4"/>
    <w:pPr>
      <w:ind w:left="1191" w:hanging="397"/>
    </w:pPr>
  </w:style>
  <w:style w:type="paragraph" w:customStyle="1" w:styleId="enumlev3">
    <w:name w:val="enumlev3"/>
    <w:basedOn w:val="enumlev2"/>
    <w:rsid w:val="002F74C4"/>
    <w:pPr>
      <w:ind w:left="1588"/>
    </w:pPr>
  </w:style>
  <w:style w:type="paragraph" w:customStyle="1" w:styleId="Normalaftertitle">
    <w:name w:val="Normal_after_title"/>
    <w:basedOn w:val="Normal"/>
    <w:next w:val="Normal"/>
    <w:rsid w:val="002F74C4"/>
    <w:pPr>
      <w:spacing w:before="320"/>
    </w:pPr>
  </w:style>
  <w:style w:type="paragraph" w:customStyle="1" w:styleId="Note">
    <w:name w:val="Note"/>
    <w:basedOn w:val="Normal"/>
    <w:rsid w:val="002F74C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F74C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F74C4"/>
    <w:pPr>
      <w:spacing w:before="240"/>
    </w:pPr>
    <w:rPr>
      <w:sz w:val="22"/>
    </w:rPr>
  </w:style>
  <w:style w:type="paragraph" w:customStyle="1" w:styleId="Recref">
    <w:name w:val="Rec_ref"/>
    <w:basedOn w:val="Normal"/>
    <w:next w:val="Recdate"/>
    <w:rsid w:val="002F74C4"/>
    <w:pPr>
      <w:jc w:val="center"/>
    </w:pPr>
  </w:style>
  <w:style w:type="paragraph" w:customStyle="1" w:styleId="Recdate">
    <w:name w:val="Rec_date"/>
    <w:basedOn w:val="Recref"/>
    <w:next w:val="Normalaftertitle"/>
    <w:rsid w:val="002F74C4"/>
    <w:pPr>
      <w:jc w:val="right"/>
    </w:pPr>
  </w:style>
  <w:style w:type="paragraph" w:customStyle="1" w:styleId="AnnexNoTitle">
    <w:name w:val="Annex_NoTitle"/>
    <w:basedOn w:val="Normal"/>
    <w:next w:val="Normalaftertitle"/>
    <w:rsid w:val="002F74C4"/>
    <w:pPr>
      <w:keepNext/>
      <w:keepLines/>
      <w:spacing w:before="480" w:after="80"/>
      <w:jc w:val="center"/>
    </w:pPr>
    <w:rPr>
      <w:b/>
      <w:sz w:val="28"/>
    </w:rPr>
  </w:style>
  <w:style w:type="paragraph" w:customStyle="1" w:styleId="AppendixNoTitle">
    <w:name w:val="Appendix_NoTitle"/>
    <w:basedOn w:val="AnnexNoTitle"/>
    <w:next w:val="Normal"/>
    <w:rsid w:val="002F74C4"/>
  </w:style>
  <w:style w:type="paragraph" w:customStyle="1" w:styleId="Tablefin">
    <w:name w:val="Table_fin"/>
    <w:basedOn w:val="Normal"/>
    <w:next w:val="Normal"/>
    <w:rsid w:val="002F74C4"/>
    <w:pPr>
      <w:spacing w:before="0"/>
    </w:pPr>
    <w:rPr>
      <w:sz w:val="20"/>
      <w:lang w:val="en-GB"/>
    </w:rPr>
  </w:style>
  <w:style w:type="paragraph" w:customStyle="1" w:styleId="Tablehead">
    <w:name w:val="Table_head"/>
    <w:basedOn w:val="Normal"/>
    <w:next w:val="Normal"/>
    <w:rsid w:val="002F74C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F74C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F74C4"/>
    <w:pPr>
      <w:keepNext/>
      <w:spacing w:before="360" w:after="120"/>
      <w:jc w:val="center"/>
    </w:pPr>
  </w:style>
  <w:style w:type="paragraph" w:customStyle="1" w:styleId="Tabletext">
    <w:name w:val="Table_text"/>
    <w:basedOn w:val="Normal"/>
    <w:rsid w:val="002F74C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F74C4"/>
    <w:pPr>
      <w:tabs>
        <w:tab w:val="clear" w:pos="1191"/>
        <w:tab w:val="clear" w:pos="1588"/>
        <w:tab w:val="clear" w:pos="1985"/>
        <w:tab w:val="center" w:pos="4820"/>
        <w:tab w:val="right" w:pos="9639"/>
      </w:tabs>
    </w:pPr>
  </w:style>
  <w:style w:type="paragraph" w:customStyle="1" w:styleId="Equationlegend">
    <w:name w:val="Equation_legend"/>
    <w:basedOn w:val="NormalIndent"/>
    <w:rsid w:val="002F74C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F74C4"/>
    <w:pPr>
      <w:ind w:left="794"/>
    </w:pPr>
  </w:style>
  <w:style w:type="paragraph" w:customStyle="1" w:styleId="Figurelegend">
    <w:name w:val="Figure_legend"/>
    <w:basedOn w:val="Normal"/>
    <w:rsid w:val="002F74C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F74C4"/>
    <w:pPr>
      <w:keepNext/>
      <w:keepLines/>
      <w:spacing w:before="480" w:after="80"/>
      <w:jc w:val="center"/>
    </w:pPr>
    <w:rPr>
      <w:caps/>
      <w:sz w:val="18"/>
    </w:rPr>
  </w:style>
  <w:style w:type="paragraph" w:customStyle="1" w:styleId="tocpart">
    <w:name w:val="tocpart"/>
    <w:basedOn w:val="Normal"/>
    <w:rsid w:val="002F74C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F74C4"/>
    <w:pPr>
      <w:keepNext/>
      <w:keepLines/>
      <w:spacing w:before="480"/>
      <w:jc w:val="center"/>
    </w:pPr>
    <w:rPr>
      <w:sz w:val="28"/>
    </w:rPr>
  </w:style>
  <w:style w:type="paragraph" w:customStyle="1" w:styleId="Arttitle">
    <w:name w:val="Art_title"/>
    <w:basedOn w:val="Normal"/>
    <w:next w:val="Normalaftertitle"/>
    <w:rsid w:val="002F74C4"/>
    <w:pPr>
      <w:keepNext/>
      <w:keepLines/>
      <w:spacing w:before="240"/>
      <w:jc w:val="center"/>
    </w:pPr>
    <w:rPr>
      <w:b/>
      <w:sz w:val="28"/>
    </w:rPr>
  </w:style>
  <w:style w:type="paragraph" w:customStyle="1" w:styleId="Blanc">
    <w:name w:val="Blanc"/>
    <w:basedOn w:val="Normal"/>
    <w:next w:val="Tabletext"/>
    <w:rsid w:val="002F74C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F74C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F74C4"/>
    <w:pPr>
      <w:keepNext/>
      <w:keepLines/>
      <w:spacing w:before="160"/>
      <w:ind w:left="794"/>
    </w:pPr>
    <w:rPr>
      <w:i/>
    </w:rPr>
  </w:style>
  <w:style w:type="paragraph" w:customStyle="1" w:styleId="ChapNo">
    <w:name w:val="Chap_No"/>
    <w:basedOn w:val="ArtNo"/>
    <w:next w:val="Chaptitle"/>
    <w:rsid w:val="002F74C4"/>
    <w:rPr>
      <w:b/>
    </w:rPr>
  </w:style>
  <w:style w:type="paragraph" w:customStyle="1" w:styleId="Chaptitle">
    <w:name w:val="Chap_title"/>
    <w:basedOn w:val="Arttitle"/>
    <w:next w:val="Normalaftertitle"/>
    <w:rsid w:val="002F74C4"/>
  </w:style>
  <w:style w:type="character" w:styleId="FootnoteReference">
    <w:name w:val="footnote reference"/>
    <w:basedOn w:val="DefaultParagraphFont"/>
    <w:semiHidden/>
    <w:rsid w:val="002F74C4"/>
    <w:rPr>
      <w:position w:val="6"/>
      <w:sz w:val="18"/>
    </w:rPr>
  </w:style>
  <w:style w:type="paragraph" w:styleId="FootnoteText">
    <w:name w:val="footnote text"/>
    <w:basedOn w:val="Normal"/>
    <w:semiHidden/>
    <w:rsid w:val="002F74C4"/>
    <w:pPr>
      <w:keepLines/>
      <w:tabs>
        <w:tab w:val="left" w:pos="255"/>
      </w:tabs>
      <w:ind w:left="255" w:hanging="255"/>
    </w:pPr>
    <w:rPr>
      <w:sz w:val="22"/>
    </w:rPr>
  </w:style>
  <w:style w:type="paragraph" w:styleId="Index1">
    <w:name w:val="index 1"/>
    <w:basedOn w:val="Normal"/>
    <w:next w:val="Normal"/>
    <w:semiHidden/>
    <w:rsid w:val="002F74C4"/>
  </w:style>
  <w:style w:type="paragraph" w:styleId="Index2">
    <w:name w:val="index 2"/>
    <w:basedOn w:val="Normal"/>
    <w:next w:val="Normal"/>
    <w:semiHidden/>
    <w:rsid w:val="002F74C4"/>
    <w:pPr>
      <w:ind w:left="283"/>
    </w:pPr>
  </w:style>
  <w:style w:type="paragraph" w:styleId="Index3">
    <w:name w:val="index 3"/>
    <w:basedOn w:val="Normal"/>
    <w:next w:val="Normal"/>
    <w:semiHidden/>
    <w:rsid w:val="002F74C4"/>
    <w:pPr>
      <w:ind w:left="566"/>
    </w:pPr>
  </w:style>
  <w:style w:type="paragraph" w:styleId="IndexHeading">
    <w:name w:val="index heading"/>
    <w:basedOn w:val="Normal"/>
    <w:next w:val="Index1"/>
    <w:semiHidden/>
    <w:rsid w:val="002F74C4"/>
  </w:style>
  <w:style w:type="paragraph" w:customStyle="1" w:styleId="Line">
    <w:name w:val="Line"/>
    <w:basedOn w:val="Normal"/>
    <w:next w:val="Normal"/>
    <w:rsid w:val="002F74C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F74C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F74C4"/>
  </w:style>
  <w:style w:type="paragraph" w:customStyle="1" w:styleId="Partref">
    <w:name w:val="Part_ref"/>
    <w:basedOn w:val="Normal"/>
    <w:next w:val="Normal"/>
    <w:rsid w:val="002F74C4"/>
    <w:pPr>
      <w:keepNext/>
      <w:keepLines/>
      <w:spacing w:after="280"/>
      <w:jc w:val="center"/>
    </w:pPr>
  </w:style>
  <w:style w:type="paragraph" w:customStyle="1" w:styleId="Parttitle">
    <w:name w:val="Part_title"/>
    <w:basedOn w:val="Normal"/>
    <w:next w:val="Normalaftertitle"/>
    <w:rsid w:val="002F74C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F74C4"/>
  </w:style>
  <w:style w:type="paragraph" w:customStyle="1" w:styleId="QuestionNo">
    <w:name w:val="Question_No"/>
    <w:basedOn w:val="RecNo"/>
    <w:next w:val="Normal"/>
    <w:rsid w:val="002F74C4"/>
  </w:style>
  <w:style w:type="paragraph" w:customStyle="1" w:styleId="Questionref">
    <w:name w:val="Question_ref"/>
    <w:basedOn w:val="Recref"/>
    <w:next w:val="Questiondate"/>
    <w:rsid w:val="002F74C4"/>
  </w:style>
  <w:style w:type="paragraph" w:customStyle="1" w:styleId="Questiontitle">
    <w:name w:val="Question_title"/>
    <w:basedOn w:val="Normal"/>
    <w:next w:val="Questionref"/>
    <w:rsid w:val="002F74C4"/>
  </w:style>
  <w:style w:type="paragraph" w:customStyle="1" w:styleId="Reftext">
    <w:name w:val="Ref_text"/>
    <w:basedOn w:val="Normal"/>
    <w:rsid w:val="002F74C4"/>
    <w:pPr>
      <w:ind w:left="794" w:hanging="794"/>
    </w:pPr>
    <w:rPr>
      <w:sz w:val="22"/>
    </w:rPr>
  </w:style>
  <w:style w:type="paragraph" w:customStyle="1" w:styleId="Reftitle">
    <w:name w:val="Ref_title"/>
    <w:basedOn w:val="Normal"/>
    <w:next w:val="Reftext"/>
    <w:rsid w:val="002F74C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F74C4"/>
  </w:style>
  <w:style w:type="paragraph" w:customStyle="1" w:styleId="RepNo">
    <w:name w:val="Rep_No"/>
    <w:basedOn w:val="RecNo"/>
    <w:next w:val="Reptitle"/>
    <w:rsid w:val="002F74C4"/>
  </w:style>
  <w:style w:type="paragraph" w:customStyle="1" w:styleId="Repref">
    <w:name w:val="Rep_ref"/>
    <w:basedOn w:val="Recref"/>
    <w:next w:val="Repdate"/>
    <w:rsid w:val="002F74C4"/>
  </w:style>
  <w:style w:type="paragraph" w:customStyle="1" w:styleId="Reptitle">
    <w:name w:val="Rep_title"/>
    <w:basedOn w:val="Rectitle"/>
    <w:next w:val="Repref"/>
    <w:rsid w:val="002F74C4"/>
  </w:style>
  <w:style w:type="paragraph" w:customStyle="1" w:styleId="Resdate">
    <w:name w:val="Res_date"/>
    <w:basedOn w:val="Recdate"/>
    <w:next w:val="Normalaftertitle"/>
    <w:rsid w:val="002F74C4"/>
  </w:style>
  <w:style w:type="paragraph" w:customStyle="1" w:styleId="ResNo">
    <w:name w:val="Res_No"/>
    <w:basedOn w:val="RecNo"/>
    <w:next w:val="Restitle"/>
    <w:rsid w:val="002F74C4"/>
  </w:style>
  <w:style w:type="paragraph" w:customStyle="1" w:styleId="Resref">
    <w:name w:val="Res_ref"/>
    <w:basedOn w:val="Recref"/>
    <w:next w:val="Resdate"/>
    <w:rsid w:val="002F74C4"/>
  </w:style>
  <w:style w:type="paragraph" w:customStyle="1" w:styleId="Restitle">
    <w:name w:val="Res_title"/>
    <w:basedOn w:val="Normal"/>
    <w:next w:val="Resref"/>
    <w:rsid w:val="002F74C4"/>
    <w:pPr>
      <w:spacing w:before="240"/>
      <w:jc w:val="center"/>
    </w:pPr>
    <w:rPr>
      <w:b/>
      <w:sz w:val="28"/>
    </w:rPr>
  </w:style>
  <w:style w:type="paragraph" w:customStyle="1" w:styleId="SectionNo">
    <w:name w:val="Section_No"/>
    <w:basedOn w:val="Normal"/>
    <w:next w:val="Normal"/>
    <w:rsid w:val="002F74C4"/>
  </w:style>
  <w:style w:type="paragraph" w:customStyle="1" w:styleId="Sectiontitle">
    <w:name w:val="Section_title"/>
    <w:basedOn w:val="Normal"/>
    <w:next w:val="Normalaftertitle"/>
    <w:rsid w:val="002F74C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F74C4"/>
    <w:pPr>
      <w:tabs>
        <w:tab w:val="clear" w:pos="794"/>
        <w:tab w:val="clear" w:pos="1191"/>
        <w:tab w:val="clear" w:pos="1588"/>
        <w:tab w:val="clear" w:pos="1985"/>
        <w:tab w:val="right" w:pos="9611"/>
      </w:tabs>
    </w:pPr>
    <w:rPr>
      <w:i/>
    </w:rPr>
  </w:style>
  <w:style w:type="paragraph" w:styleId="TOC1">
    <w:name w:val="toc 1"/>
    <w:basedOn w:val="Normal"/>
    <w:semiHidden/>
    <w:rsid w:val="002F74C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F74C4"/>
    <w:pPr>
      <w:tabs>
        <w:tab w:val="clear" w:pos="567"/>
        <w:tab w:val="left" w:pos="1276"/>
      </w:tabs>
      <w:spacing w:before="160"/>
      <w:ind w:left="1276" w:hanging="709"/>
    </w:pPr>
  </w:style>
  <w:style w:type="paragraph" w:styleId="TOC3">
    <w:name w:val="toc 3"/>
    <w:basedOn w:val="TOC2"/>
    <w:semiHidden/>
    <w:rsid w:val="002F74C4"/>
    <w:pPr>
      <w:tabs>
        <w:tab w:val="clear" w:pos="1276"/>
        <w:tab w:val="left" w:pos="2155"/>
      </w:tabs>
      <w:ind w:left="2155" w:hanging="879"/>
    </w:pPr>
  </w:style>
  <w:style w:type="paragraph" w:styleId="TOC4">
    <w:name w:val="toc 4"/>
    <w:basedOn w:val="TOC3"/>
    <w:semiHidden/>
    <w:rsid w:val="002F74C4"/>
    <w:pPr>
      <w:tabs>
        <w:tab w:val="left" w:pos="3261"/>
      </w:tabs>
      <w:spacing w:before="80"/>
      <w:ind w:left="3261" w:hanging="993"/>
    </w:pPr>
  </w:style>
  <w:style w:type="paragraph" w:styleId="TOC5">
    <w:name w:val="toc 5"/>
    <w:basedOn w:val="TOC4"/>
    <w:semiHidden/>
    <w:rsid w:val="002F74C4"/>
  </w:style>
  <w:style w:type="paragraph" w:styleId="TOC6">
    <w:name w:val="toc 6"/>
    <w:basedOn w:val="TOC4"/>
    <w:semiHidden/>
    <w:rsid w:val="002F74C4"/>
  </w:style>
  <w:style w:type="paragraph" w:styleId="TOC7">
    <w:name w:val="toc 7"/>
    <w:basedOn w:val="TOC4"/>
    <w:semiHidden/>
    <w:rsid w:val="002F74C4"/>
  </w:style>
  <w:style w:type="paragraph" w:styleId="TOC8">
    <w:name w:val="toc 8"/>
    <w:basedOn w:val="TOC4"/>
    <w:semiHidden/>
    <w:rsid w:val="002F74C4"/>
  </w:style>
  <w:style w:type="paragraph" w:customStyle="1" w:styleId="Rectitle">
    <w:name w:val="Rec_title"/>
    <w:basedOn w:val="Normal"/>
    <w:next w:val="Recref"/>
    <w:rsid w:val="002F74C4"/>
    <w:pPr>
      <w:keepNext/>
      <w:keepLines/>
      <w:spacing w:before="240"/>
      <w:jc w:val="center"/>
    </w:pPr>
    <w:rPr>
      <w:b/>
      <w:sz w:val="28"/>
    </w:rPr>
  </w:style>
  <w:style w:type="paragraph" w:customStyle="1" w:styleId="Annexref">
    <w:name w:val="Annex_ref"/>
    <w:basedOn w:val="Normal"/>
    <w:next w:val="Normalaftertitle"/>
    <w:rsid w:val="002F74C4"/>
    <w:pPr>
      <w:keepNext/>
      <w:keepLines/>
      <w:spacing w:after="280"/>
      <w:jc w:val="center"/>
    </w:pPr>
  </w:style>
  <w:style w:type="paragraph" w:customStyle="1" w:styleId="Appendixref">
    <w:name w:val="Appendix_ref"/>
    <w:basedOn w:val="Annexref"/>
    <w:next w:val="Normalaftertitle"/>
    <w:rsid w:val="002F74C4"/>
  </w:style>
  <w:style w:type="paragraph" w:customStyle="1" w:styleId="Figuretitle">
    <w:name w:val="Figure_title"/>
    <w:basedOn w:val="Normal"/>
    <w:next w:val="Figure"/>
    <w:rsid w:val="002F74C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F74C4"/>
    <w:pPr>
      <w:keepNext/>
      <w:spacing w:before="0" w:after="120"/>
      <w:jc w:val="center"/>
    </w:pPr>
    <w:rPr>
      <w:b/>
    </w:rPr>
  </w:style>
  <w:style w:type="paragraph" w:customStyle="1" w:styleId="Summary">
    <w:name w:val="Summary"/>
    <w:basedOn w:val="Normal"/>
    <w:next w:val="Normalaftertitle"/>
    <w:autoRedefine/>
    <w:rsid w:val="002F74C4"/>
    <w:pPr>
      <w:spacing w:after="480"/>
    </w:pPr>
    <w:rPr>
      <w:sz w:val="22"/>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rsid w:val="002F74C4"/>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2F74C4"/>
    <w:pPr>
      <w:ind w:left="-85" w:firstLine="0"/>
    </w:pPr>
    <w:rPr>
      <w:lang w:val="en-US"/>
    </w:rPr>
  </w:style>
  <w:style w:type="character" w:customStyle="1" w:styleId="HeaderChar">
    <w:name w:val="Header Char"/>
    <w:basedOn w:val="DefaultParagraphFont"/>
    <w:link w:val="Header"/>
    <w:rsid w:val="00EE215D"/>
    <w:rPr>
      <w:sz w:val="24"/>
      <w:lang w:val="fr-FR" w:eastAsia="en-US"/>
    </w:rPr>
  </w:style>
  <w:style w:type="paragraph" w:customStyle="1" w:styleId="Reasons">
    <w:name w:val="Reasons"/>
    <w:basedOn w:val="Normal"/>
    <w:qFormat/>
    <w:rsid w:val="00044A02"/>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numlev10">
    <w:name w:val="enumlev1 Знак"/>
    <w:link w:val="enumlev1"/>
    <w:locked/>
    <w:rsid w:val="00FE6D1D"/>
    <w:rPr>
      <w:sz w:val="24"/>
      <w:lang w:val="fr-FR" w:eastAsia="en-US"/>
    </w:rPr>
  </w:style>
  <w:style w:type="paragraph" w:styleId="BalloonText">
    <w:name w:val="Balloon Text"/>
    <w:basedOn w:val="Normal"/>
    <w:link w:val="BalloonTextChar"/>
    <w:rsid w:val="0019500A"/>
    <w:pPr>
      <w:spacing w:before="0"/>
    </w:pPr>
    <w:rPr>
      <w:rFonts w:ascii="Tahoma" w:hAnsi="Tahoma" w:cs="Tahoma"/>
      <w:sz w:val="16"/>
      <w:szCs w:val="16"/>
    </w:rPr>
  </w:style>
  <w:style w:type="character" w:customStyle="1" w:styleId="BalloonTextChar">
    <w:name w:val="Balloon Text Char"/>
    <w:basedOn w:val="DefaultParagraphFont"/>
    <w:link w:val="BalloonText"/>
    <w:rsid w:val="0019500A"/>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89549-BAF1-4C9B-BD5B-A7385692C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1781</TotalTime>
  <Pages>20</Pages>
  <Words>8829</Words>
  <Characters>44540</Characters>
  <Application>Microsoft Office Word</Application>
  <DocSecurity>0</DocSecurity>
  <Lines>1113</Lines>
  <Paragraphs>87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53282</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Martinez Romera, Angel</cp:lastModifiedBy>
  <cp:revision>163</cp:revision>
  <cp:lastPrinted>2012-05-25T13:26:00Z</cp:lastPrinted>
  <dcterms:created xsi:type="dcterms:W3CDTF">2012-05-14T09:07:00Z</dcterms:created>
  <dcterms:modified xsi:type="dcterms:W3CDTF">2012-05-25T13:26:00Z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