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DF0" w:rsidRDefault="005D5DF0" w:rsidP="005D5DF0"/>
    <w:p w:rsidR="005D5DF0" w:rsidRDefault="005D5DF0" w:rsidP="005D5DF0"/>
    <w:p w:rsidR="005D5DF0" w:rsidRDefault="005D5DF0" w:rsidP="005D5DF0"/>
    <w:p w:rsidR="005D5DF0" w:rsidRDefault="005D5DF0" w:rsidP="005D5DF0"/>
    <w:p w:rsidR="005D5DF0" w:rsidRDefault="005D5DF0" w:rsidP="005D5DF0"/>
    <w:p w:rsidR="005D5DF0" w:rsidRDefault="005D5DF0" w:rsidP="005D5DF0"/>
    <w:p w:rsidR="005D5DF0" w:rsidRDefault="005D5DF0" w:rsidP="005D5DF0"/>
    <w:p w:rsidR="005D5DF0" w:rsidRDefault="005D5DF0" w:rsidP="005D5DF0"/>
    <w:p w:rsidR="005D5DF0" w:rsidRDefault="005D5DF0" w:rsidP="005D5DF0"/>
    <w:p w:rsidR="005D5DF0" w:rsidRDefault="005D5DF0" w:rsidP="005D5DF0"/>
    <w:p w:rsidR="005D5DF0" w:rsidRDefault="005D5DF0" w:rsidP="005D5DF0"/>
    <w:p w:rsidR="005D5DF0" w:rsidRDefault="005D5DF0" w:rsidP="005D5DF0"/>
    <w:tbl>
      <w:tblPr>
        <w:tblW w:w="10089" w:type="dxa"/>
        <w:tblLook w:val="01E0" w:firstRow="1" w:lastRow="1" w:firstColumn="1" w:lastColumn="1" w:noHBand="0" w:noVBand="0"/>
      </w:tblPr>
      <w:tblGrid>
        <w:gridCol w:w="10089"/>
      </w:tblGrid>
      <w:tr w:rsidR="005D5DF0" w:rsidRPr="00A443C2" w:rsidTr="00A715CF">
        <w:tc>
          <w:tcPr>
            <w:tcW w:w="10089" w:type="dxa"/>
          </w:tcPr>
          <w:p w:rsidR="005D5DF0" w:rsidRPr="00B033C8" w:rsidRDefault="005D5DF0" w:rsidP="00A715CF">
            <w:pPr>
              <w:spacing w:before="380" w:line="280" w:lineRule="exact"/>
              <w:jc w:val="right"/>
              <w:rPr>
                <w:rFonts w:ascii="Tahoma" w:hAnsi="Tahoma" w:cs="Tahoma"/>
                <w:b/>
                <w:bCs/>
                <w:iCs/>
                <w:color w:val="243285"/>
                <w:sz w:val="32"/>
                <w:szCs w:val="32"/>
                <w:lang w:val="en-US"/>
              </w:rPr>
            </w:pPr>
          </w:p>
          <w:p w:rsidR="005D5DF0" w:rsidRPr="00A443C2" w:rsidRDefault="005D5DF0" w:rsidP="005D5DF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1903</w:t>
            </w:r>
          </w:p>
          <w:p w:rsidR="005D5DF0" w:rsidRPr="00A443C2" w:rsidRDefault="005D5DF0" w:rsidP="005D5DF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1</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5D5DF0" w:rsidRPr="00F54FBD" w:rsidTr="00A715CF">
        <w:tc>
          <w:tcPr>
            <w:tcW w:w="10089" w:type="dxa"/>
          </w:tcPr>
          <w:p w:rsidR="005D5DF0" w:rsidRDefault="005D5DF0" w:rsidP="00A715CF">
            <w:pPr>
              <w:spacing w:before="80" w:line="500" w:lineRule="exact"/>
              <w:jc w:val="right"/>
              <w:rPr>
                <w:rFonts w:ascii="Tahoma" w:hAnsi="Tahoma" w:cs="Tahoma"/>
                <w:b/>
                <w:bCs/>
                <w:iCs/>
                <w:color w:val="243285"/>
                <w:sz w:val="44"/>
                <w:szCs w:val="44"/>
              </w:rPr>
            </w:pPr>
          </w:p>
          <w:p w:rsidR="005D5DF0" w:rsidRDefault="005D5DF0" w:rsidP="005D5DF0">
            <w:pPr>
              <w:spacing w:before="80" w:line="500" w:lineRule="exact"/>
              <w:jc w:val="right"/>
              <w:rPr>
                <w:rFonts w:ascii="Tahoma" w:hAnsi="Tahoma" w:cs="Tahoma"/>
                <w:b/>
                <w:bCs/>
                <w:iCs/>
                <w:color w:val="243285"/>
                <w:sz w:val="44"/>
                <w:szCs w:val="44"/>
              </w:rPr>
            </w:pPr>
            <w:r w:rsidRPr="005D5DF0">
              <w:rPr>
                <w:rFonts w:ascii="Tahoma" w:hAnsi="Tahoma" w:cs="Tahoma"/>
                <w:b/>
                <w:bCs/>
                <w:iCs/>
                <w:color w:val="243285"/>
                <w:sz w:val="44"/>
                <w:szCs w:val="44"/>
              </w:rPr>
              <w:t>Caractéristiques et critères de protection applicables aux stations terriennes de réception du service de radionavigation par satellite (espace vers Terre) et aux</w:t>
            </w:r>
            <w:r>
              <w:rPr>
                <w:rFonts w:ascii="Tahoma" w:hAnsi="Tahoma" w:cs="Tahoma"/>
                <w:b/>
                <w:bCs/>
                <w:iCs/>
                <w:color w:val="243285"/>
                <w:sz w:val="44"/>
                <w:szCs w:val="44"/>
              </w:rPr>
              <w:t xml:space="preserve"> </w:t>
            </w:r>
            <w:r w:rsidRPr="005D5DF0">
              <w:rPr>
                <w:rFonts w:ascii="Tahoma" w:hAnsi="Tahoma" w:cs="Tahoma"/>
                <w:b/>
                <w:bCs/>
                <w:iCs/>
                <w:color w:val="243285"/>
                <w:sz w:val="44"/>
                <w:szCs w:val="44"/>
              </w:rPr>
              <w:t xml:space="preserve">récepteurs du service de radionavigation aéronautique fonctionnant dans la bande </w:t>
            </w:r>
            <w:r w:rsidRPr="005D5DF0">
              <w:rPr>
                <w:rFonts w:ascii="Tahoma" w:hAnsi="Tahoma" w:cs="Tahoma"/>
                <w:b/>
                <w:bCs/>
                <w:iCs/>
                <w:color w:val="243285"/>
                <w:sz w:val="44"/>
                <w:szCs w:val="44"/>
                <w:lang w:val="fr-CH"/>
              </w:rPr>
              <w:t>1 559-1 610 MHz</w:t>
            </w:r>
          </w:p>
          <w:p w:rsidR="005D5DF0" w:rsidRPr="00F54FBD" w:rsidRDefault="005D5DF0" w:rsidP="00A715CF">
            <w:pPr>
              <w:spacing w:before="80" w:line="500" w:lineRule="exact"/>
              <w:jc w:val="right"/>
              <w:rPr>
                <w:rFonts w:ascii="Tahoma" w:hAnsi="Tahoma" w:cs="Tahoma"/>
                <w:b/>
                <w:bCs/>
                <w:iCs/>
                <w:color w:val="243285"/>
                <w:sz w:val="44"/>
                <w:szCs w:val="44"/>
              </w:rPr>
            </w:pPr>
          </w:p>
        </w:tc>
      </w:tr>
      <w:tr w:rsidR="005D5DF0" w:rsidRPr="00F54FBD" w:rsidTr="00A715CF">
        <w:tc>
          <w:tcPr>
            <w:tcW w:w="10089" w:type="dxa"/>
          </w:tcPr>
          <w:p w:rsidR="005D5DF0" w:rsidRPr="00F54FBD" w:rsidRDefault="005D5DF0" w:rsidP="00A715CF">
            <w:pPr>
              <w:spacing w:before="80" w:line="280" w:lineRule="exact"/>
              <w:ind w:right="640"/>
              <w:rPr>
                <w:rFonts w:ascii="Tahoma" w:hAnsi="Tahoma" w:cs="Tahoma"/>
                <w:b/>
                <w:bCs/>
                <w:iCs/>
                <w:color w:val="243285"/>
                <w:sz w:val="32"/>
                <w:szCs w:val="32"/>
              </w:rPr>
            </w:pPr>
          </w:p>
          <w:p w:rsidR="005D5DF0" w:rsidRPr="00F54FBD" w:rsidRDefault="005D5DF0" w:rsidP="00A715CF">
            <w:pPr>
              <w:spacing w:before="80" w:line="280" w:lineRule="exact"/>
              <w:ind w:right="640"/>
              <w:rPr>
                <w:rFonts w:ascii="Tahoma" w:hAnsi="Tahoma" w:cs="Tahoma"/>
                <w:b/>
                <w:bCs/>
                <w:iCs/>
                <w:color w:val="243285"/>
                <w:sz w:val="32"/>
                <w:szCs w:val="32"/>
              </w:rPr>
            </w:pPr>
          </w:p>
          <w:p w:rsidR="005D5DF0" w:rsidRPr="00F54FBD" w:rsidRDefault="005D5DF0" w:rsidP="00A715CF">
            <w:pPr>
              <w:spacing w:before="80" w:after="180" w:line="360" w:lineRule="exact"/>
              <w:ind w:right="720"/>
              <w:rPr>
                <w:rFonts w:ascii="Tahoma" w:hAnsi="Tahoma" w:cs="Tahoma"/>
                <w:b/>
                <w:bCs/>
                <w:iCs/>
                <w:color w:val="243285"/>
                <w:sz w:val="36"/>
                <w:szCs w:val="36"/>
              </w:rPr>
            </w:pPr>
          </w:p>
          <w:p w:rsidR="005D5DF0" w:rsidRPr="00F54FBD" w:rsidRDefault="005D5DF0" w:rsidP="00A715C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5D5DF0" w:rsidRPr="00F54FBD" w:rsidRDefault="005D5DF0" w:rsidP="00A715C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5D5DF0" w:rsidRPr="00F54FBD" w:rsidRDefault="005D5DF0" w:rsidP="005D5DF0">
      <w:pPr>
        <w:spacing w:before="80"/>
        <w:rPr>
          <w:i/>
          <w:sz w:val="22"/>
        </w:rPr>
      </w:pPr>
    </w:p>
    <w:p w:rsidR="005D5DF0" w:rsidRPr="00F54FBD" w:rsidRDefault="005D5DF0" w:rsidP="005D5DF0">
      <w:pPr>
        <w:spacing w:before="80"/>
        <w:rPr>
          <w:i/>
          <w:sz w:val="22"/>
        </w:rPr>
      </w:pPr>
    </w:p>
    <w:p w:rsidR="005D5DF0" w:rsidRPr="00F54FBD" w:rsidRDefault="005D5DF0" w:rsidP="005D5DF0">
      <w:pPr>
        <w:spacing w:before="80"/>
        <w:rPr>
          <w:i/>
          <w:sz w:val="22"/>
        </w:rPr>
      </w:pPr>
    </w:p>
    <w:p w:rsidR="005D5DF0" w:rsidRPr="00F54FBD" w:rsidRDefault="005D5DF0" w:rsidP="005D5DF0">
      <w:pPr>
        <w:spacing w:before="80"/>
        <w:rPr>
          <w:i/>
          <w:sz w:val="22"/>
        </w:rPr>
      </w:pPr>
    </w:p>
    <w:p w:rsidR="005D5DF0" w:rsidRPr="00F54FBD" w:rsidRDefault="005D5DF0" w:rsidP="005D5DF0">
      <w:pPr>
        <w:pStyle w:val="Equation"/>
        <w:tabs>
          <w:tab w:val="clear" w:pos="4820"/>
          <w:tab w:val="clear" w:pos="9639"/>
          <w:tab w:val="left" w:pos="1191"/>
          <w:tab w:val="left" w:pos="1588"/>
          <w:tab w:val="left" w:pos="1985"/>
        </w:tabs>
        <w:rPr>
          <w:rFonts w:ascii="Palatino Linotype" w:hAnsi="Palatino Linotype"/>
        </w:rPr>
        <w:sectPr w:rsidR="005D5DF0" w:rsidRPr="00F54FBD">
          <w:headerReference w:type="even" r:id="rId8"/>
          <w:headerReference w:type="default" r:id="rId9"/>
          <w:pgSz w:w="11907" w:h="16840" w:code="9"/>
          <w:pgMar w:top="1089" w:right="1089" w:bottom="284" w:left="1089" w:header="567" w:footer="284" w:gutter="0"/>
          <w:pgNumType w:start="1"/>
          <w:cols w:space="720"/>
        </w:sectPr>
      </w:pPr>
    </w:p>
    <w:p w:rsidR="005D5DF0" w:rsidRPr="00F54FBD" w:rsidRDefault="005D5DF0" w:rsidP="005D5D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5D5DF0" w:rsidRPr="00F54FBD" w:rsidRDefault="005D5DF0" w:rsidP="005D5DF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D5DF0" w:rsidRPr="00F54FBD" w:rsidRDefault="005D5DF0" w:rsidP="005D5DF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D5DF0" w:rsidRPr="00E44CBB" w:rsidRDefault="005D5DF0" w:rsidP="005D5DF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D5DF0" w:rsidRPr="00E44CBB" w:rsidRDefault="005D5DF0" w:rsidP="005D5DF0">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D5DF0" w:rsidRPr="00C95B6F" w:rsidRDefault="005D5DF0" w:rsidP="005D5DF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D5DF0" w:rsidRPr="009454F8" w:rsidTr="00A715CF">
        <w:tc>
          <w:tcPr>
            <w:tcW w:w="9360" w:type="dxa"/>
            <w:gridSpan w:val="2"/>
          </w:tcPr>
          <w:p w:rsidR="005D5DF0" w:rsidRPr="009454F8" w:rsidRDefault="005D5DF0" w:rsidP="00A715C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D5DF0" w:rsidRPr="009454F8" w:rsidRDefault="005D5DF0" w:rsidP="00A715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5D5DF0" w:rsidRPr="00036EE3" w:rsidTr="00A715CF">
        <w:tc>
          <w:tcPr>
            <w:tcW w:w="1140" w:type="dxa"/>
          </w:tcPr>
          <w:p w:rsidR="005D5DF0" w:rsidRPr="00614CC6" w:rsidRDefault="005D5DF0" w:rsidP="00A715CF">
            <w:pPr>
              <w:spacing w:before="90" w:after="100"/>
              <w:ind w:left="57"/>
              <w:rPr>
                <w:b/>
                <w:bCs/>
                <w:sz w:val="20"/>
                <w:lang w:val="en-US"/>
              </w:rPr>
            </w:pPr>
            <w:r w:rsidRPr="00614CC6">
              <w:rPr>
                <w:b/>
                <w:bCs/>
                <w:sz w:val="20"/>
                <w:lang w:val="en-US"/>
              </w:rPr>
              <w:t>Séries</w:t>
            </w:r>
          </w:p>
        </w:tc>
        <w:tc>
          <w:tcPr>
            <w:tcW w:w="8220" w:type="dxa"/>
          </w:tcPr>
          <w:p w:rsidR="005D5DF0" w:rsidRPr="00614CC6" w:rsidRDefault="005D5DF0" w:rsidP="00A715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D5DF0" w:rsidRPr="00036EE3" w:rsidTr="00A715CF">
        <w:tc>
          <w:tcPr>
            <w:tcW w:w="1140" w:type="dxa"/>
          </w:tcPr>
          <w:p w:rsidR="005D5DF0" w:rsidRPr="00614CC6" w:rsidRDefault="005D5DF0" w:rsidP="00A715CF">
            <w:pPr>
              <w:spacing w:before="30" w:after="30"/>
              <w:ind w:left="57"/>
              <w:jc w:val="left"/>
              <w:rPr>
                <w:b/>
                <w:bCs/>
                <w:sz w:val="20"/>
                <w:lang w:val="en-US"/>
              </w:rPr>
            </w:pPr>
            <w:r w:rsidRPr="00614CC6">
              <w:rPr>
                <w:b/>
                <w:bCs/>
                <w:sz w:val="20"/>
                <w:lang w:val="en-US"/>
              </w:rPr>
              <w:t>BO</w:t>
            </w:r>
          </w:p>
        </w:tc>
        <w:tc>
          <w:tcPr>
            <w:tcW w:w="8220" w:type="dxa"/>
          </w:tcPr>
          <w:p w:rsidR="005D5DF0" w:rsidRPr="00614CC6" w:rsidRDefault="005D5DF0" w:rsidP="00A715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5D5DF0" w:rsidRPr="009454F8" w:rsidTr="00A715CF">
        <w:tc>
          <w:tcPr>
            <w:tcW w:w="1140" w:type="dxa"/>
          </w:tcPr>
          <w:p w:rsidR="005D5DF0" w:rsidRPr="00614CC6" w:rsidRDefault="005D5DF0" w:rsidP="00A715CF">
            <w:pPr>
              <w:spacing w:before="30" w:after="30"/>
              <w:ind w:left="57"/>
              <w:jc w:val="left"/>
              <w:rPr>
                <w:b/>
                <w:bCs/>
                <w:sz w:val="20"/>
                <w:lang w:val="en-US"/>
              </w:rPr>
            </w:pPr>
            <w:r w:rsidRPr="00614CC6">
              <w:rPr>
                <w:b/>
                <w:bCs/>
                <w:sz w:val="20"/>
                <w:lang w:val="en-US"/>
              </w:rPr>
              <w:t>BR</w:t>
            </w:r>
          </w:p>
        </w:tc>
        <w:tc>
          <w:tcPr>
            <w:tcW w:w="8220" w:type="dxa"/>
          </w:tcPr>
          <w:p w:rsidR="005D5DF0" w:rsidRPr="00614CC6" w:rsidRDefault="005D5DF0" w:rsidP="00A715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D5DF0" w:rsidRPr="00036EE3" w:rsidTr="00A715CF">
        <w:tc>
          <w:tcPr>
            <w:tcW w:w="1140" w:type="dxa"/>
          </w:tcPr>
          <w:p w:rsidR="005D5DF0" w:rsidRPr="00614CC6" w:rsidRDefault="005D5DF0" w:rsidP="00A715CF">
            <w:pPr>
              <w:spacing w:before="30" w:after="30"/>
              <w:ind w:left="57"/>
              <w:jc w:val="left"/>
              <w:rPr>
                <w:b/>
                <w:bCs/>
                <w:sz w:val="20"/>
                <w:lang w:val="en-US"/>
              </w:rPr>
            </w:pPr>
            <w:r w:rsidRPr="00614CC6">
              <w:rPr>
                <w:b/>
                <w:bCs/>
                <w:sz w:val="20"/>
                <w:lang w:val="en-US"/>
              </w:rPr>
              <w:t>BS</w:t>
            </w:r>
          </w:p>
        </w:tc>
        <w:tc>
          <w:tcPr>
            <w:tcW w:w="8220" w:type="dxa"/>
          </w:tcPr>
          <w:p w:rsidR="005D5DF0" w:rsidRPr="00614CC6" w:rsidRDefault="005D5DF0" w:rsidP="00A715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5D5DF0" w:rsidRPr="00ED2695" w:rsidTr="00A715CF">
        <w:tc>
          <w:tcPr>
            <w:tcW w:w="1140" w:type="dxa"/>
            <w:shd w:val="clear" w:color="auto" w:fill="auto"/>
          </w:tcPr>
          <w:p w:rsidR="005D5DF0" w:rsidRPr="00614CC6" w:rsidRDefault="005D5DF0" w:rsidP="00A715CF">
            <w:pPr>
              <w:spacing w:before="30" w:after="30"/>
              <w:ind w:left="57"/>
              <w:jc w:val="left"/>
              <w:rPr>
                <w:b/>
                <w:bCs/>
                <w:sz w:val="20"/>
                <w:lang w:val="en-US"/>
              </w:rPr>
            </w:pPr>
            <w:r w:rsidRPr="00614CC6">
              <w:rPr>
                <w:b/>
                <w:bCs/>
                <w:sz w:val="20"/>
                <w:lang w:val="en-US"/>
              </w:rPr>
              <w:t>BT</w:t>
            </w:r>
          </w:p>
        </w:tc>
        <w:tc>
          <w:tcPr>
            <w:tcW w:w="8220" w:type="dxa"/>
            <w:shd w:val="clear" w:color="auto" w:fill="auto"/>
          </w:tcPr>
          <w:p w:rsidR="005D5DF0" w:rsidRPr="00614CC6" w:rsidRDefault="005D5DF0" w:rsidP="00A715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D5DF0" w:rsidRPr="00036EE3" w:rsidTr="00A715CF">
        <w:tc>
          <w:tcPr>
            <w:tcW w:w="1140" w:type="dxa"/>
            <w:shd w:val="clear" w:color="auto" w:fill="auto"/>
          </w:tcPr>
          <w:p w:rsidR="005D5DF0" w:rsidRPr="00614CC6" w:rsidRDefault="005D5DF0" w:rsidP="00A715CF">
            <w:pPr>
              <w:spacing w:before="30" w:after="30"/>
              <w:ind w:left="57"/>
              <w:jc w:val="left"/>
              <w:rPr>
                <w:b/>
                <w:bCs/>
                <w:sz w:val="20"/>
                <w:lang w:val="fr-CH"/>
              </w:rPr>
            </w:pPr>
            <w:r w:rsidRPr="00614CC6">
              <w:rPr>
                <w:b/>
                <w:bCs/>
                <w:sz w:val="20"/>
                <w:lang w:val="fr-CH"/>
              </w:rPr>
              <w:t>F</w:t>
            </w:r>
          </w:p>
        </w:tc>
        <w:tc>
          <w:tcPr>
            <w:tcW w:w="8220" w:type="dxa"/>
            <w:shd w:val="clear" w:color="auto" w:fill="auto"/>
          </w:tcPr>
          <w:p w:rsidR="005D5DF0" w:rsidRPr="00614CC6" w:rsidRDefault="005D5DF0" w:rsidP="00A715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5D5DF0" w:rsidRPr="00592F9F" w:rsidTr="00A715CF">
        <w:tc>
          <w:tcPr>
            <w:tcW w:w="1140" w:type="dxa"/>
            <w:shd w:val="clear" w:color="auto" w:fill="F3F3F3"/>
          </w:tcPr>
          <w:p w:rsidR="005D5DF0" w:rsidRPr="00592F9F" w:rsidRDefault="005D5DF0" w:rsidP="00A715CF">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5D5DF0" w:rsidRPr="00592F9F" w:rsidRDefault="005D5DF0" w:rsidP="00A715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5D5DF0" w:rsidRPr="00036EE3" w:rsidTr="00A715CF">
        <w:tc>
          <w:tcPr>
            <w:tcW w:w="1140" w:type="dxa"/>
          </w:tcPr>
          <w:p w:rsidR="005D5DF0" w:rsidRPr="00614CC6" w:rsidRDefault="005D5DF0" w:rsidP="00A715CF">
            <w:pPr>
              <w:spacing w:before="30" w:after="30"/>
              <w:ind w:left="57"/>
              <w:jc w:val="left"/>
              <w:rPr>
                <w:b/>
                <w:bCs/>
                <w:sz w:val="20"/>
                <w:lang w:val="fr-CH"/>
              </w:rPr>
            </w:pPr>
            <w:r w:rsidRPr="00614CC6">
              <w:rPr>
                <w:b/>
                <w:bCs/>
                <w:sz w:val="20"/>
                <w:lang w:val="fr-CH"/>
              </w:rPr>
              <w:t>P</w:t>
            </w:r>
          </w:p>
        </w:tc>
        <w:tc>
          <w:tcPr>
            <w:tcW w:w="8220" w:type="dxa"/>
          </w:tcPr>
          <w:p w:rsidR="005D5DF0" w:rsidRPr="00614CC6" w:rsidRDefault="005D5DF0" w:rsidP="00A715CF">
            <w:pPr>
              <w:spacing w:before="30" w:after="30"/>
              <w:jc w:val="left"/>
              <w:rPr>
                <w:sz w:val="20"/>
                <w:lang w:val="fr-CH"/>
              </w:rPr>
            </w:pPr>
            <w:r w:rsidRPr="00614CC6">
              <w:rPr>
                <w:sz w:val="20"/>
              </w:rPr>
              <w:t>Propagation des ondes radioélectriques</w:t>
            </w:r>
          </w:p>
        </w:tc>
      </w:tr>
      <w:tr w:rsidR="005D5DF0" w:rsidRPr="00036EE3" w:rsidTr="00A715CF">
        <w:tc>
          <w:tcPr>
            <w:tcW w:w="1140" w:type="dxa"/>
          </w:tcPr>
          <w:p w:rsidR="005D5DF0" w:rsidRPr="00614CC6" w:rsidRDefault="005D5DF0" w:rsidP="00A715CF">
            <w:pPr>
              <w:spacing w:before="30" w:after="30"/>
              <w:ind w:left="57"/>
              <w:jc w:val="left"/>
              <w:rPr>
                <w:b/>
                <w:bCs/>
                <w:sz w:val="20"/>
                <w:lang w:val="en-US"/>
              </w:rPr>
            </w:pPr>
            <w:r w:rsidRPr="00614CC6">
              <w:rPr>
                <w:b/>
                <w:bCs/>
                <w:sz w:val="20"/>
                <w:lang w:val="en-US"/>
              </w:rPr>
              <w:t>RA</w:t>
            </w:r>
          </w:p>
        </w:tc>
        <w:tc>
          <w:tcPr>
            <w:tcW w:w="8220" w:type="dxa"/>
          </w:tcPr>
          <w:p w:rsidR="005D5DF0" w:rsidRPr="00614CC6" w:rsidRDefault="005D5DF0" w:rsidP="00A715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D5DF0" w:rsidRPr="00036EE3" w:rsidTr="00A715CF">
        <w:tc>
          <w:tcPr>
            <w:tcW w:w="1140" w:type="dxa"/>
          </w:tcPr>
          <w:p w:rsidR="005D5DF0" w:rsidRPr="00614CC6" w:rsidRDefault="005D5DF0" w:rsidP="00A715CF">
            <w:pPr>
              <w:spacing w:before="30" w:after="30"/>
              <w:ind w:left="57"/>
              <w:jc w:val="left"/>
              <w:rPr>
                <w:b/>
                <w:bCs/>
                <w:sz w:val="20"/>
                <w:lang w:val="en-US"/>
              </w:rPr>
            </w:pPr>
            <w:r w:rsidRPr="00614CC6">
              <w:rPr>
                <w:b/>
                <w:bCs/>
                <w:sz w:val="20"/>
                <w:lang w:val="en-US"/>
              </w:rPr>
              <w:t>RS</w:t>
            </w:r>
          </w:p>
        </w:tc>
        <w:tc>
          <w:tcPr>
            <w:tcW w:w="8220" w:type="dxa"/>
          </w:tcPr>
          <w:p w:rsidR="005D5DF0" w:rsidRPr="00614CC6" w:rsidRDefault="005D5DF0" w:rsidP="00A715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D5DF0" w:rsidRPr="00036EE3" w:rsidTr="00A715CF">
        <w:tc>
          <w:tcPr>
            <w:tcW w:w="1140" w:type="dxa"/>
          </w:tcPr>
          <w:p w:rsidR="005D5DF0" w:rsidRPr="00614CC6" w:rsidRDefault="005D5DF0" w:rsidP="00A715CF">
            <w:pPr>
              <w:spacing w:before="30" w:after="30"/>
              <w:ind w:left="57"/>
              <w:jc w:val="left"/>
              <w:rPr>
                <w:b/>
                <w:bCs/>
                <w:sz w:val="20"/>
                <w:lang w:val="en-US"/>
              </w:rPr>
            </w:pPr>
            <w:r w:rsidRPr="00614CC6">
              <w:rPr>
                <w:b/>
                <w:bCs/>
                <w:sz w:val="20"/>
                <w:lang w:val="en-US"/>
              </w:rPr>
              <w:t>S</w:t>
            </w:r>
          </w:p>
        </w:tc>
        <w:tc>
          <w:tcPr>
            <w:tcW w:w="8220" w:type="dxa"/>
          </w:tcPr>
          <w:p w:rsidR="005D5DF0" w:rsidRPr="00614CC6" w:rsidRDefault="005D5DF0" w:rsidP="00A715CF">
            <w:pPr>
              <w:spacing w:before="30" w:after="30"/>
              <w:jc w:val="left"/>
              <w:rPr>
                <w:sz w:val="20"/>
                <w:lang w:val="en-US"/>
              </w:rPr>
            </w:pPr>
            <w:r w:rsidRPr="00614CC6">
              <w:rPr>
                <w:sz w:val="20"/>
              </w:rPr>
              <w:t>Service fixe par satellite</w:t>
            </w:r>
          </w:p>
        </w:tc>
      </w:tr>
      <w:tr w:rsidR="005D5DF0" w:rsidRPr="00036EE3" w:rsidTr="00A715CF">
        <w:tc>
          <w:tcPr>
            <w:tcW w:w="1140" w:type="dxa"/>
          </w:tcPr>
          <w:p w:rsidR="005D5DF0" w:rsidRPr="00614CC6" w:rsidRDefault="005D5DF0" w:rsidP="00A715CF">
            <w:pPr>
              <w:spacing w:before="30" w:after="30"/>
              <w:ind w:left="57"/>
              <w:jc w:val="left"/>
              <w:rPr>
                <w:b/>
                <w:bCs/>
                <w:sz w:val="20"/>
                <w:lang w:val="en-US"/>
              </w:rPr>
            </w:pPr>
            <w:r w:rsidRPr="00614CC6">
              <w:rPr>
                <w:b/>
                <w:bCs/>
                <w:sz w:val="20"/>
                <w:lang w:val="en-US"/>
              </w:rPr>
              <w:t>SA</w:t>
            </w:r>
          </w:p>
        </w:tc>
        <w:tc>
          <w:tcPr>
            <w:tcW w:w="8220" w:type="dxa"/>
          </w:tcPr>
          <w:p w:rsidR="005D5DF0" w:rsidRPr="00614CC6" w:rsidRDefault="005D5DF0" w:rsidP="00A715CF">
            <w:pPr>
              <w:spacing w:before="30" w:after="30"/>
              <w:jc w:val="left"/>
              <w:rPr>
                <w:sz w:val="20"/>
                <w:lang w:val="en-US"/>
              </w:rPr>
            </w:pPr>
            <w:r w:rsidRPr="00614CC6">
              <w:rPr>
                <w:sz w:val="20"/>
              </w:rPr>
              <w:t>Applications spatiales et météorologie</w:t>
            </w:r>
          </w:p>
        </w:tc>
      </w:tr>
      <w:tr w:rsidR="005D5DF0" w:rsidRPr="00614CC6" w:rsidTr="00A715CF">
        <w:tc>
          <w:tcPr>
            <w:tcW w:w="1140" w:type="dxa"/>
          </w:tcPr>
          <w:p w:rsidR="005D5DF0" w:rsidRPr="00614CC6" w:rsidRDefault="005D5DF0" w:rsidP="00A715CF">
            <w:pPr>
              <w:spacing w:before="30" w:after="30"/>
              <w:ind w:left="57"/>
              <w:jc w:val="left"/>
              <w:rPr>
                <w:b/>
                <w:bCs/>
                <w:sz w:val="20"/>
                <w:lang w:val="en-US"/>
              </w:rPr>
            </w:pPr>
            <w:r w:rsidRPr="00614CC6">
              <w:rPr>
                <w:b/>
                <w:bCs/>
                <w:sz w:val="20"/>
                <w:lang w:val="en-US"/>
              </w:rPr>
              <w:t>SF</w:t>
            </w:r>
          </w:p>
        </w:tc>
        <w:tc>
          <w:tcPr>
            <w:tcW w:w="8220" w:type="dxa"/>
          </w:tcPr>
          <w:p w:rsidR="005D5DF0" w:rsidRPr="00614CC6" w:rsidRDefault="005D5DF0" w:rsidP="00A715CF">
            <w:pPr>
              <w:spacing w:before="30" w:after="30"/>
              <w:jc w:val="left"/>
              <w:rPr>
                <w:sz w:val="20"/>
              </w:rPr>
            </w:pPr>
            <w:r w:rsidRPr="00614CC6">
              <w:rPr>
                <w:sz w:val="20"/>
              </w:rPr>
              <w:t>Partage des fréquences et coordination entre les systèmes du service fixe par satellite et du service fixe</w:t>
            </w:r>
          </w:p>
        </w:tc>
      </w:tr>
      <w:tr w:rsidR="005D5DF0" w:rsidRPr="00036EE3" w:rsidTr="00A715CF">
        <w:tc>
          <w:tcPr>
            <w:tcW w:w="1140" w:type="dxa"/>
            <w:shd w:val="clear" w:color="auto" w:fill="auto"/>
          </w:tcPr>
          <w:p w:rsidR="005D5DF0" w:rsidRPr="00592F9F" w:rsidRDefault="005D5DF0" w:rsidP="00A715CF">
            <w:pPr>
              <w:spacing w:before="30" w:after="30"/>
              <w:ind w:left="57"/>
              <w:jc w:val="left"/>
              <w:rPr>
                <w:b/>
                <w:bCs/>
                <w:sz w:val="20"/>
                <w:lang w:val="en-US"/>
              </w:rPr>
            </w:pPr>
            <w:r w:rsidRPr="00592F9F">
              <w:rPr>
                <w:b/>
                <w:bCs/>
                <w:sz w:val="20"/>
                <w:lang w:val="en-US"/>
              </w:rPr>
              <w:t>SM</w:t>
            </w:r>
          </w:p>
        </w:tc>
        <w:tc>
          <w:tcPr>
            <w:tcW w:w="8220" w:type="dxa"/>
            <w:shd w:val="clear" w:color="auto" w:fill="auto"/>
          </w:tcPr>
          <w:p w:rsidR="005D5DF0" w:rsidRPr="00592F9F" w:rsidRDefault="005D5DF0" w:rsidP="00A715CF">
            <w:pPr>
              <w:spacing w:before="30" w:after="30"/>
              <w:jc w:val="left"/>
              <w:rPr>
                <w:sz w:val="20"/>
                <w:lang w:val="en-US"/>
              </w:rPr>
            </w:pPr>
            <w:r w:rsidRPr="00592F9F">
              <w:rPr>
                <w:sz w:val="20"/>
              </w:rPr>
              <w:t>Gestion du spectre</w:t>
            </w:r>
          </w:p>
        </w:tc>
      </w:tr>
      <w:tr w:rsidR="005D5DF0" w:rsidRPr="00036EE3" w:rsidTr="00A715CF">
        <w:tc>
          <w:tcPr>
            <w:tcW w:w="1140" w:type="dxa"/>
          </w:tcPr>
          <w:p w:rsidR="005D5DF0" w:rsidRPr="00614CC6" w:rsidRDefault="005D5DF0" w:rsidP="00A715CF">
            <w:pPr>
              <w:spacing w:before="30" w:after="30"/>
              <w:ind w:left="57"/>
              <w:jc w:val="left"/>
              <w:rPr>
                <w:b/>
                <w:bCs/>
                <w:sz w:val="20"/>
                <w:lang w:val="en-US"/>
              </w:rPr>
            </w:pPr>
            <w:r w:rsidRPr="00614CC6">
              <w:rPr>
                <w:b/>
                <w:bCs/>
                <w:sz w:val="20"/>
                <w:lang w:val="en-US"/>
              </w:rPr>
              <w:t>SNG</w:t>
            </w:r>
          </w:p>
        </w:tc>
        <w:tc>
          <w:tcPr>
            <w:tcW w:w="8220" w:type="dxa"/>
          </w:tcPr>
          <w:p w:rsidR="005D5DF0" w:rsidRPr="00614CC6" w:rsidRDefault="005D5DF0" w:rsidP="00A715CF">
            <w:pPr>
              <w:spacing w:before="30" w:after="30"/>
              <w:jc w:val="left"/>
              <w:rPr>
                <w:sz w:val="20"/>
                <w:lang w:val="en-US"/>
              </w:rPr>
            </w:pPr>
            <w:r w:rsidRPr="00614CC6">
              <w:rPr>
                <w:sz w:val="20"/>
              </w:rPr>
              <w:t>Reportage d'actualités par satellite</w:t>
            </w:r>
          </w:p>
        </w:tc>
      </w:tr>
      <w:tr w:rsidR="005D5DF0" w:rsidRPr="00614CC6" w:rsidTr="00A715CF">
        <w:tc>
          <w:tcPr>
            <w:tcW w:w="1140" w:type="dxa"/>
          </w:tcPr>
          <w:p w:rsidR="005D5DF0" w:rsidRPr="00614CC6" w:rsidRDefault="005D5DF0" w:rsidP="00A715CF">
            <w:pPr>
              <w:spacing w:before="30" w:after="30"/>
              <w:ind w:left="57"/>
              <w:jc w:val="left"/>
              <w:rPr>
                <w:b/>
                <w:bCs/>
                <w:sz w:val="20"/>
                <w:lang w:val="en-US"/>
              </w:rPr>
            </w:pPr>
            <w:r w:rsidRPr="00614CC6">
              <w:rPr>
                <w:b/>
                <w:bCs/>
                <w:sz w:val="20"/>
                <w:lang w:val="en-US"/>
              </w:rPr>
              <w:t>TF</w:t>
            </w:r>
          </w:p>
        </w:tc>
        <w:tc>
          <w:tcPr>
            <w:tcW w:w="8220" w:type="dxa"/>
          </w:tcPr>
          <w:p w:rsidR="005D5DF0" w:rsidRPr="00614CC6" w:rsidRDefault="005D5DF0" w:rsidP="00A715CF">
            <w:pPr>
              <w:spacing w:before="30" w:after="30"/>
              <w:jc w:val="left"/>
              <w:rPr>
                <w:sz w:val="20"/>
              </w:rPr>
            </w:pPr>
            <w:r w:rsidRPr="00614CC6">
              <w:rPr>
                <w:sz w:val="20"/>
              </w:rPr>
              <w:t>Emissions de fréquences étalon et de signaux horaires</w:t>
            </w:r>
          </w:p>
        </w:tc>
      </w:tr>
      <w:tr w:rsidR="005D5DF0" w:rsidRPr="00036EE3" w:rsidTr="00A715CF">
        <w:tc>
          <w:tcPr>
            <w:tcW w:w="1140" w:type="dxa"/>
          </w:tcPr>
          <w:p w:rsidR="005D5DF0" w:rsidRPr="00614CC6" w:rsidRDefault="005D5DF0" w:rsidP="00A715CF">
            <w:pPr>
              <w:spacing w:before="30" w:after="30"/>
              <w:ind w:left="57"/>
              <w:jc w:val="left"/>
              <w:rPr>
                <w:b/>
                <w:bCs/>
                <w:sz w:val="20"/>
                <w:lang w:val="en-US"/>
              </w:rPr>
            </w:pPr>
            <w:r w:rsidRPr="00614CC6">
              <w:rPr>
                <w:b/>
                <w:bCs/>
                <w:sz w:val="20"/>
                <w:lang w:val="en-US"/>
              </w:rPr>
              <w:t>V</w:t>
            </w:r>
          </w:p>
        </w:tc>
        <w:tc>
          <w:tcPr>
            <w:tcW w:w="8220" w:type="dxa"/>
          </w:tcPr>
          <w:p w:rsidR="005D5DF0" w:rsidRPr="00614CC6" w:rsidRDefault="005D5DF0" w:rsidP="00A715CF">
            <w:pPr>
              <w:spacing w:before="30" w:after="140"/>
              <w:jc w:val="left"/>
              <w:rPr>
                <w:sz w:val="20"/>
                <w:lang w:val="en-US"/>
              </w:rPr>
            </w:pPr>
            <w:r w:rsidRPr="00614CC6">
              <w:rPr>
                <w:sz w:val="20"/>
              </w:rPr>
              <w:t>Vocabulaire et sujets associés</w:t>
            </w:r>
          </w:p>
        </w:tc>
      </w:tr>
    </w:tbl>
    <w:p w:rsidR="005D5DF0" w:rsidRPr="00036EE3" w:rsidRDefault="005D5DF0" w:rsidP="005D5DF0">
      <w:pPr>
        <w:spacing w:before="0"/>
        <w:jc w:val="center"/>
        <w:rPr>
          <w:sz w:val="20"/>
          <w:lang w:val="en-US"/>
        </w:rPr>
      </w:pPr>
    </w:p>
    <w:p w:rsidR="005D5DF0" w:rsidRPr="00036EE3" w:rsidRDefault="005D5DF0" w:rsidP="005D5DF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D5DF0" w:rsidRPr="00756B4D" w:rsidTr="00A715CF">
        <w:tc>
          <w:tcPr>
            <w:tcW w:w="9360" w:type="dxa"/>
          </w:tcPr>
          <w:p w:rsidR="005D5DF0" w:rsidRPr="00756B4D" w:rsidRDefault="005D5DF0" w:rsidP="00A715C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5D5DF0" w:rsidRPr="00756B4D" w:rsidRDefault="005D5DF0" w:rsidP="005D5DF0">
      <w:pPr>
        <w:spacing w:before="0"/>
        <w:jc w:val="center"/>
        <w:rPr>
          <w:sz w:val="22"/>
        </w:rPr>
      </w:pPr>
    </w:p>
    <w:p w:rsidR="005D5DF0" w:rsidRPr="00614CC6" w:rsidRDefault="005D5DF0" w:rsidP="005D5DF0">
      <w:pPr>
        <w:spacing w:before="100"/>
        <w:jc w:val="right"/>
        <w:rPr>
          <w:i/>
          <w:iCs/>
          <w:sz w:val="20"/>
        </w:rPr>
      </w:pPr>
      <w:r w:rsidRPr="00614CC6">
        <w:rPr>
          <w:i/>
          <w:iCs/>
          <w:sz w:val="20"/>
        </w:rPr>
        <w:t>Publication électronique</w:t>
      </w:r>
    </w:p>
    <w:p w:rsidR="005D5DF0" w:rsidRPr="00614CC6" w:rsidRDefault="005D5DF0" w:rsidP="005D5DF0">
      <w:pPr>
        <w:spacing w:before="0"/>
        <w:jc w:val="right"/>
        <w:rPr>
          <w:sz w:val="20"/>
        </w:rPr>
      </w:pPr>
      <w:r w:rsidRPr="00614CC6">
        <w:rPr>
          <w:sz w:val="20"/>
        </w:rPr>
        <w:t>Genève, 20</w:t>
      </w:r>
      <w:r>
        <w:rPr>
          <w:sz w:val="20"/>
        </w:rPr>
        <w:t>12</w:t>
      </w:r>
    </w:p>
    <w:p w:rsidR="005D5DF0" w:rsidRPr="00614CC6" w:rsidRDefault="005D5DF0" w:rsidP="005D5DF0">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12</w:t>
      </w:r>
    </w:p>
    <w:p w:rsidR="005D5DF0" w:rsidRPr="00614CC6" w:rsidRDefault="005D5DF0" w:rsidP="005D5DF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D5DF0" w:rsidRPr="00614CC6" w:rsidRDefault="005D5DF0" w:rsidP="005D5DF0">
      <w:pPr>
        <w:spacing w:before="160"/>
        <w:rPr>
          <w:i/>
          <w:sz w:val="20"/>
          <w:highlight w:val="yellow"/>
        </w:rPr>
        <w:sectPr w:rsidR="005D5DF0"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5D5DF0" w:rsidRPr="00756B4D" w:rsidRDefault="005D5DF0" w:rsidP="00A16581">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sidR="00A16581">
        <w:rPr>
          <w:rStyle w:val="href"/>
        </w:rPr>
        <w:t>1903</w:t>
      </w:r>
    </w:p>
    <w:p w:rsidR="00A6617B" w:rsidRDefault="005D5DF0" w:rsidP="00A16581">
      <w:pPr>
        <w:pStyle w:val="Rectitle"/>
        <w:rPr>
          <w:lang w:val="fr-CH"/>
        </w:rPr>
      </w:pPr>
      <w:r w:rsidRPr="005D5DF0">
        <w:rPr>
          <w:lang w:val="fr-CH"/>
        </w:rPr>
        <w:t>Caractéristiques et critères de protection applicables aux stations terriennes de réception du service de radionavigation par satellite (espace vers Terre) et aux récepteurs du service de radionavigation aéronautique</w:t>
      </w:r>
      <w:r w:rsidRPr="000039B1">
        <w:rPr>
          <w:position w:val="6"/>
          <w:sz w:val="18"/>
        </w:rPr>
        <w:footnoteReference w:id="1"/>
      </w:r>
      <w:r w:rsidRPr="005D5DF0">
        <w:rPr>
          <w:lang w:val="fr-CH"/>
        </w:rPr>
        <w:t xml:space="preserve"> fonctionnant dans la bande </w:t>
      </w:r>
      <w:r w:rsidRPr="006A2371">
        <w:rPr>
          <w:lang w:val="fr-CH"/>
        </w:rPr>
        <w:t>1 559-1 610 MHz</w:t>
      </w:r>
    </w:p>
    <w:p w:rsidR="005D5DF0" w:rsidRPr="00873297" w:rsidRDefault="005D5DF0" w:rsidP="005D5DF0">
      <w:pPr>
        <w:pStyle w:val="Recref"/>
        <w:spacing w:after="480"/>
        <w:rPr>
          <w:rFonts w:eastAsia="MS Mincho"/>
          <w:lang w:val="fr-CH" w:eastAsia="en-AU"/>
        </w:rPr>
      </w:pPr>
      <w:r w:rsidRPr="00873297">
        <w:rPr>
          <w:lang w:val="fr-CH"/>
        </w:rPr>
        <w:t>(</w:t>
      </w:r>
      <w:r w:rsidRPr="00873297">
        <w:rPr>
          <w:rFonts w:eastAsia="MS Mincho"/>
          <w:lang w:val="fr-CH" w:eastAsia="en-AU"/>
        </w:rPr>
        <w:t>Questions UIT</w:t>
      </w:r>
      <w:r w:rsidRPr="00873297">
        <w:rPr>
          <w:rFonts w:eastAsia="MS Mincho"/>
          <w:lang w:val="fr-CH" w:eastAsia="en-AU"/>
        </w:rPr>
        <w:noBreakHyphen/>
        <w:t xml:space="preserve">R 217-2/4 et </w:t>
      </w:r>
      <w:r>
        <w:rPr>
          <w:rFonts w:eastAsia="MS Mincho"/>
          <w:lang w:val="fr-CH" w:eastAsia="en-AU"/>
        </w:rPr>
        <w:t>UIT</w:t>
      </w:r>
      <w:r w:rsidRPr="00873297">
        <w:rPr>
          <w:rFonts w:eastAsia="MS Mincho"/>
          <w:lang w:val="fr-CH" w:eastAsia="en-AU"/>
        </w:rPr>
        <w:noBreakHyphen/>
        <w:t>R 288/4)</w:t>
      </w:r>
    </w:p>
    <w:p w:rsidR="005D5DF0" w:rsidRPr="007E1BD0" w:rsidRDefault="005D5DF0" w:rsidP="005D5DF0">
      <w:pPr>
        <w:pStyle w:val="Recdate"/>
      </w:pPr>
      <w:r w:rsidRPr="007E1BD0">
        <w:t>(2012)</w:t>
      </w:r>
    </w:p>
    <w:p w:rsidR="005D5DF0" w:rsidRPr="00A16581" w:rsidRDefault="005D5DF0" w:rsidP="005D5DF0">
      <w:pPr>
        <w:pStyle w:val="HeadingSum"/>
        <w:rPr>
          <w:rFonts w:eastAsia="Batang"/>
          <w:szCs w:val="22"/>
          <w:lang w:val="fr-CH"/>
        </w:rPr>
      </w:pPr>
      <w:r w:rsidRPr="00A16581">
        <w:rPr>
          <w:rFonts w:eastAsia="Batang"/>
          <w:szCs w:val="22"/>
          <w:lang w:val="fr-CH"/>
        </w:rPr>
        <w:t>Domaine d'application</w:t>
      </w:r>
    </w:p>
    <w:p w:rsidR="005D5DF0" w:rsidRPr="00A16581" w:rsidRDefault="005D5DF0" w:rsidP="005D5DF0">
      <w:pPr>
        <w:pStyle w:val="Summary"/>
        <w:rPr>
          <w:szCs w:val="22"/>
          <w:lang w:val="fr-CH"/>
        </w:rPr>
      </w:pPr>
      <w:r w:rsidRPr="00A16581">
        <w:rPr>
          <w:szCs w:val="22"/>
          <w:lang w:val="fr-CH"/>
        </w:rPr>
        <w:t>Les caractéristiques et les critères de protection applicables aux stations terriennes de réception du service de radionavigation par satellite (SRNS) et aux stations de réception du service de radionavigation aéronautique (SRNA) fonctionnant dans la bande 1 559-1 610 MHz sont exposés dans la présente Recommandation. Ces informations sont destinées à être utilisées pour analyser l'incidence sur les récepteurs du SRNS (espace vers Terre) et du SRNA fonctionnant dans la bande 1 559-1 610 MHz des brouillages radioélectriques causés par des sources radioélectriques autres que celles du SRNS.</w:t>
      </w:r>
    </w:p>
    <w:p w:rsidR="005D5DF0" w:rsidRPr="007D7E5B" w:rsidRDefault="005D5DF0" w:rsidP="005D5DF0">
      <w:pPr>
        <w:pStyle w:val="Normalaftertitle"/>
        <w:rPr>
          <w:lang w:val="fr-CH"/>
        </w:rPr>
      </w:pPr>
      <w:r w:rsidRPr="007D7E5B">
        <w:rPr>
          <w:lang w:val="fr-CH"/>
        </w:rPr>
        <w:t>L'Assemblée des radiocommunications,</w:t>
      </w:r>
    </w:p>
    <w:p w:rsidR="005D5DF0" w:rsidRPr="007D7E5B" w:rsidRDefault="005D5DF0" w:rsidP="005D5DF0">
      <w:pPr>
        <w:pStyle w:val="Call"/>
        <w:rPr>
          <w:lang w:val="fr-CH"/>
        </w:rPr>
      </w:pPr>
      <w:r w:rsidRPr="007D7E5B">
        <w:rPr>
          <w:lang w:val="fr-CH"/>
        </w:rPr>
        <w:t>considérant</w:t>
      </w:r>
    </w:p>
    <w:p w:rsidR="005D5DF0" w:rsidRPr="008B2D4D" w:rsidRDefault="005D5DF0" w:rsidP="005D5DF0">
      <w:pPr>
        <w:rPr>
          <w:lang w:val="fr-CH"/>
        </w:rPr>
      </w:pPr>
      <w:r w:rsidRPr="00A16581">
        <w:rPr>
          <w:lang w:val="fr-CH"/>
        </w:rPr>
        <w:t>a)</w:t>
      </w:r>
      <w:r w:rsidRPr="008B2D4D">
        <w:rPr>
          <w:lang w:val="fr-CH"/>
        </w:rPr>
        <w:tab/>
        <w:t xml:space="preserve">que les systèmes et réseaux du service de radionavigation par satellite (SRNS) fournissent dans le monde </w:t>
      </w:r>
      <w:r>
        <w:rPr>
          <w:lang w:val="fr-CH"/>
        </w:rPr>
        <w:t>entier des informations précises pour de nombreuses applications de localisation, de navigation et de référence de temps, y compris des informations des informations sur les aspects de sécurité pour certaines bandes de fréquences, dans certaines circonstances et pour certaines applications;</w:t>
      </w:r>
    </w:p>
    <w:p w:rsidR="005D5DF0" w:rsidRPr="00EE38C0" w:rsidRDefault="005D5DF0" w:rsidP="005D5DF0">
      <w:pPr>
        <w:rPr>
          <w:lang w:val="fr-CH"/>
        </w:rPr>
      </w:pPr>
      <w:r w:rsidRPr="00690514">
        <w:rPr>
          <w:lang w:val="fr-CH"/>
        </w:rPr>
        <w:t>b)</w:t>
      </w:r>
      <w:r w:rsidRPr="00EE38C0">
        <w:rPr>
          <w:lang w:val="fr-CH"/>
        </w:rPr>
        <w:tab/>
        <w:t>q</w:t>
      </w:r>
      <w:r>
        <w:rPr>
          <w:lang w:val="fr-CH"/>
        </w:rPr>
        <w:t>ue toute station terrienne dotée des équipements appropriés peut recevoir des informations sur la navigation provenant des systèmes et réseaux du SRNS dans le monde entier</w:t>
      </w:r>
      <w:r w:rsidRPr="00EE38C0">
        <w:rPr>
          <w:lang w:val="fr-CH"/>
        </w:rPr>
        <w:t xml:space="preserve">; </w:t>
      </w:r>
    </w:p>
    <w:p w:rsidR="005D5DF0" w:rsidRPr="002B7A82" w:rsidRDefault="005D5DF0" w:rsidP="005D5DF0">
      <w:pPr>
        <w:rPr>
          <w:lang w:val="fr-CH"/>
        </w:rPr>
      </w:pPr>
      <w:r w:rsidRPr="00690514">
        <w:rPr>
          <w:lang w:val="fr-CH" w:eastAsia="ja-JP"/>
        </w:rPr>
        <w:t>c</w:t>
      </w:r>
      <w:r w:rsidRPr="00690514">
        <w:rPr>
          <w:lang w:val="fr-CH"/>
        </w:rPr>
        <w:t>)</w:t>
      </w:r>
      <w:r w:rsidRPr="002B7A82">
        <w:rPr>
          <w:lang w:val="fr-CH"/>
        </w:rPr>
        <w:tab/>
      </w:r>
      <w:r w:rsidRPr="00EE38C0">
        <w:rPr>
          <w:lang w:val="fr-CH"/>
        </w:rPr>
        <w:t>qu</w:t>
      </w:r>
      <w:r>
        <w:rPr>
          <w:lang w:val="fr-CH"/>
        </w:rPr>
        <w:t>'</w:t>
      </w:r>
      <w:r w:rsidRPr="00EE38C0">
        <w:rPr>
          <w:lang w:val="fr-CH"/>
        </w:rPr>
        <w:t>il existe divers systèmes et réseaux du SRNS opérationnels ou en projet</w:t>
      </w:r>
      <w:r w:rsidRPr="002B7A82">
        <w:rPr>
          <w:lang w:val="fr-CH"/>
        </w:rPr>
        <w:t>;</w:t>
      </w:r>
    </w:p>
    <w:p w:rsidR="005D5DF0" w:rsidRPr="00DC5083" w:rsidRDefault="005D5DF0" w:rsidP="005D5DF0">
      <w:pPr>
        <w:rPr>
          <w:lang w:val="fr-CH"/>
        </w:rPr>
      </w:pPr>
      <w:r w:rsidRPr="00690514">
        <w:rPr>
          <w:lang w:val="fr-CH" w:eastAsia="ja-JP"/>
        </w:rPr>
        <w:t>d</w:t>
      </w:r>
      <w:r w:rsidRPr="00690514">
        <w:rPr>
          <w:lang w:val="fr-CH"/>
        </w:rPr>
        <w:t>)</w:t>
      </w:r>
      <w:r w:rsidRPr="00DC5083">
        <w:rPr>
          <w:lang w:val="fr-CH"/>
        </w:rPr>
        <w:tab/>
        <w:t>qu</w:t>
      </w:r>
      <w:r>
        <w:rPr>
          <w:lang w:val="fr-CH"/>
        </w:rPr>
        <w:t>'il est impératif de protéger les systèmes et réseaux du SRNA et du SRNS</w:t>
      </w:r>
      <w:r w:rsidRPr="007E1BD0">
        <w:rPr>
          <w:lang w:val="fr-CH"/>
        </w:rPr>
        <w:t xml:space="preserve"> </w:t>
      </w:r>
      <w:r>
        <w:rPr>
          <w:lang w:val="fr-CH"/>
        </w:rPr>
        <w:t xml:space="preserve">fonctionnant dans la bande </w:t>
      </w:r>
      <w:r w:rsidRPr="006900DF">
        <w:rPr>
          <w:lang w:val="fr-CH"/>
        </w:rPr>
        <w:t>1 559-1 610 MHz</w:t>
      </w:r>
      <w:r w:rsidRPr="00DC5083">
        <w:rPr>
          <w:lang w:val="fr-CH"/>
        </w:rPr>
        <w:t xml:space="preserve">; </w:t>
      </w:r>
    </w:p>
    <w:p w:rsidR="005D5DF0" w:rsidRDefault="005D5DF0" w:rsidP="005D5DF0">
      <w:pPr>
        <w:rPr>
          <w:lang w:val="fr-CH"/>
        </w:rPr>
      </w:pPr>
      <w:r w:rsidRPr="00690514">
        <w:rPr>
          <w:lang w:val="fr-CH" w:eastAsia="ja-JP"/>
        </w:rPr>
        <w:t>e</w:t>
      </w:r>
      <w:r w:rsidRPr="00690514">
        <w:rPr>
          <w:lang w:val="fr-CH"/>
        </w:rPr>
        <w:t>)</w:t>
      </w:r>
      <w:r w:rsidRPr="00B513CD">
        <w:rPr>
          <w:lang w:val="fr-CH"/>
        </w:rPr>
        <w:tab/>
      </w:r>
      <w:r>
        <w:rPr>
          <w:lang w:val="fr-CH"/>
        </w:rPr>
        <w:t>qu'il existe des services de sécurité du SRNS et que l'utilisation de ces services va augmenter dans l'avenir</w:t>
      </w:r>
      <w:r w:rsidRPr="00B513CD">
        <w:rPr>
          <w:lang w:val="fr-CH"/>
        </w:rPr>
        <w:t>;</w:t>
      </w:r>
    </w:p>
    <w:p w:rsidR="005D5DF0" w:rsidRDefault="005D5DF0" w:rsidP="005D5DF0">
      <w:pPr>
        <w:rPr>
          <w:lang w:val="fr-CH"/>
        </w:rPr>
      </w:pPr>
      <w:r w:rsidRPr="00690514">
        <w:rPr>
          <w:lang w:val="fr-CH"/>
        </w:rPr>
        <w:t>f)</w:t>
      </w:r>
      <w:r>
        <w:rPr>
          <w:lang w:val="fr-CH"/>
        </w:rPr>
        <w:tab/>
        <w:t>que l'Organisation de l'aviation civile internationale (OACI) a élaboré des normes pour le système mondial de navigation par satellite (GNSS), dont les éléments comprennent les systèmes et réseaux du SRNS;</w:t>
      </w:r>
    </w:p>
    <w:p w:rsidR="005D5DF0" w:rsidRDefault="005D5DF0" w:rsidP="005D5DF0">
      <w:pPr>
        <w:rPr>
          <w:lang w:val="fr-CH"/>
        </w:rPr>
      </w:pPr>
      <w:r w:rsidRPr="00690514">
        <w:rPr>
          <w:lang w:val="fr-CH"/>
        </w:rPr>
        <w:t>g)</w:t>
      </w:r>
      <w:r>
        <w:rPr>
          <w:lang w:val="fr-CH"/>
        </w:rPr>
        <w:tab/>
      </w:r>
      <w:r w:rsidRPr="00300E94">
        <w:rPr>
          <w:lang w:val="fr-CH"/>
        </w:rPr>
        <w:t>que l'Organisation maritime internationale (OMI) exige qu</w:t>
      </w:r>
      <w:r>
        <w:rPr>
          <w:lang w:val="fr-CH"/>
        </w:rPr>
        <w:t>e les navires soient équipés du </w:t>
      </w:r>
      <w:r w:rsidRPr="00300E94">
        <w:rPr>
          <w:lang w:val="fr-CH"/>
        </w:rPr>
        <w:t>SRNS pour la navigation dans les détroits et pour les manoeuvres d'accostage</w:t>
      </w:r>
      <w:r>
        <w:rPr>
          <w:lang w:val="fr-CH"/>
        </w:rPr>
        <w:t>;</w:t>
      </w:r>
    </w:p>
    <w:p w:rsidR="005D5DF0" w:rsidRPr="00DF77D2" w:rsidRDefault="005D5DF0" w:rsidP="005D5DF0">
      <w:pPr>
        <w:rPr>
          <w:lang w:val="fr-CH" w:eastAsia="ja-JP"/>
        </w:rPr>
      </w:pPr>
      <w:r w:rsidRPr="00690514">
        <w:rPr>
          <w:lang w:val="fr-CH"/>
        </w:rPr>
        <w:lastRenderedPageBreak/>
        <w:t>h)</w:t>
      </w:r>
      <w:r>
        <w:rPr>
          <w:lang w:val="fr-CH"/>
        </w:rPr>
        <w:tab/>
        <w:t xml:space="preserve">que, pour un grand nombre d'applications du SRNS, aéronautiques au non aéronautiques, on utilise ou prévoit d'utiliser la bande </w:t>
      </w:r>
      <w:r w:rsidRPr="00DF77D2">
        <w:rPr>
          <w:bCs/>
          <w:spacing w:val="-3"/>
          <w:lang w:val="fr-CH"/>
        </w:rPr>
        <w:t>1</w:t>
      </w:r>
      <w:r w:rsidRPr="00DF77D2">
        <w:rPr>
          <w:lang w:val="fr-CH"/>
        </w:rPr>
        <w:t> </w:t>
      </w:r>
      <w:r w:rsidRPr="00DF77D2">
        <w:rPr>
          <w:bCs/>
          <w:spacing w:val="-3"/>
          <w:lang w:val="fr-CH"/>
        </w:rPr>
        <w:t>559-1</w:t>
      </w:r>
      <w:r w:rsidRPr="00DF77D2">
        <w:rPr>
          <w:lang w:val="fr-CH"/>
        </w:rPr>
        <w:t> </w:t>
      </w:r>
      <w:r w:rsidRPr="00DF77D2">
        <w:rPr>
          <w:bCs/>
          <w:spacing w:val="-3"/>
          <w:lang w:val="fr-CH"/>
        </w:rPr>
        <w:t>610 MHz</w:t>
      </w:r>
      <w:r>
        <w:rPr>
          <w:bCs/>
          <w:spacing w:val="-3"/>
          <w:lang w:val="fr-CH"/>
        </w:rPr>
        <w:t>;</w:t>
      </w:r>
    </w:p>
    <w:p w:rsidR="005D5DF0" w:rsidRPr="006900DF" w:rsidRDefault="005D5DF0" w:rsidP="005D5DF0">
      <w:pPr>
        <w:rPr>
          <w:lang w:val="fr-CH"/>
        </w:rPr>
      </w:pPr>
      <w:r w:rsidRPr="00690514">
        <w:rPr>
          <w:lang w:val="fr-CH" w:eastAsia="ja-JP"/>
        </w:rPr>
        <w:t>j</w:t>
      </w:r>
      <w:r w:rsidRPr="00690514">
        <w:rPr>
          <w:lang w:val="fr-CH"/>
        </w:rPr>
        <w:t>)</w:t>
      </w:r>
      <w:r w:rsidRPr="006900DF">
        <w:rPr>
          <w:lang w:val="fr-CH"/>
        </w:rPr>
        <w:tab/>
        <w:t xml:space="preserve">que la Recommandation </w:t>
      </w:r>
      <w:r>
        <w:rPr>
          <w:lang w:val="fr-CH"/>
        </w:rPr>
        <w:t>UIT</w:t>
      </w:r>
      <w:r w:rsidRPr="006900DF">
        <w:rPr>
          <w:lang w:val="fr-CH"/>
        </w:rPr>
        <w:noBreakHyphen/>
        <w:t>R </w:t>
      </w:r>
      <w:r w:rsidRPr="00636777">
        <w:t>М</w:t>
      </w:r>
      <w:r w:rsidRPr="006900DF">
        <w:rPr>
          <w:lang w:val="fr-CH"/>
        </w:rPr>
        <w:t>.1787 fournit les descriptions techniques des systèmes et réseaux du SRNS ainsi que les caractéristiques</w:t>
      </w:r>
      <w:r>
        <w:rPr>
          <w:lang w:val="fr-CH"/>
        </w:rPr>
        <w:t xml:space="preserve"> techniques des stations spatiales d'émission fonctionnant dans les bandes </w:t>
      </w:r>
      <w:r w:rsidRPr="006900DF">
        <w:rPr>
          <w:lang w:val="fr-CH"/>
        </w:rPr>
        <w:t xml:space="preserve">1 164-1 215 MHz, 1 215-1 300 MHz </w:t>
      </w:r>
      <w:r>
        <w:rPr>
          <w:lang w:val="fr-CH"/>
        </w:rPr>
        <w:t>et</w:t>
      </w:r>
      <w:r w:rsidRPr="006900DF">
        <w:rPr>
          <w:lang w:val="fr-CH"/>
        </w:rPr>
        <w:t xml:space="preserve"> 1 559-1 610 MHz;</w:t>
      </w:r>
    </w:p>
    <w:p w:rsidR="005D5DF0" w:rsidRPr="006B632C" w:rsidRDefault="005D5DF0" w:rsidP="005D5DF0">
      <w:pPr>
        <w:rPr>
          <w:lang w:val="fr-CH" w:eastAsia="ja-JP"/>
        </w:rPr>
      </w:pPr>
      <w:r w:rsidRPr="00690514">
        <w:rPr>
          <w:lang w:val="fr-CH" w:eastAsia="ja-JP"/>
        </w:rPr>
        <w:t>k</w:t>
      </w:r>
      <w:r w:rsidRPr="00690514">
        <w:rPr>
          <w:lang w:val="fr-CH"/>
        </w:rPr>
        <w:t>)</w:t>
      </w:r>
      <w:r w:rsidRPr="006B632C">
        <w:rPr>
          <w:lang w:val="fr-CH"/>
        </w:rPr>
        <w:tab/>
        <w:t>que la Recommandation UIT</w:t>
      </w:r>
      <w:r w:rsidRPr="006B632C">
        <w:rPr>
          <w:lang w:val="fr-CH"/>
        </w:rPr>
        <w:noBreakHyphen/>
        <w:t>R </w:t>
      </w:r>
      <w:r w:rsidRPr="00636777">
        <w:t>М</w:t>
      </w:r>
      <w:r w:rsidRPr="006B632C">
        <w:rPr>
          <w:lang w:val="fr-CH"/>
        </w:rPr>
        <w:t> </w:t>
      </w:r>
      <w:r w:rsidRPr="00636777">
        <w:t>М</w:t>
      </w:r>
      <w:r w:rsidRPr="006B632C">
        <w:rPr>
          <w:lang w:val="fr-CH"/>
        </w:rPr>
        <w:t>.1904 fournit les caractéristiques techniques et les critères de protection</w:t>
      </w:r>
      <w:r>
        <w:rPr>
          <w:lang w:val="fr-CH"/>
        </w:rPr>
        <w:t xml:space="preserve"> des stations spatiales de réception du SRNS </w:t>
      </w:r>
      <w:r w:rsidRPr="006B632C">
        <w:rPr>
          <w:lang w:val="fr-CH"/>
        </w:rPr>
        <w:t>(</w:t>
      </w:r>
      <w:r>
        <w:rPr>
          <w:lang w:val="fr-CH"/>
        </w:rPr>
        <w:t>espace-espace</w:t>
      </w:r>
      <w:r w:rsidRPr="006B632C">
        <w:rPr>
          <w:lang w:val="fr-CH"/>
        </w:rPr>
        <w:t xml:space="preserve">) </w:t>
      </w:r>
      <w:r>
        <w:rPr>
          <w:lang w:val="fr-CH"/>
        </w:rPr>
        <w:t>fonctionnant dans les bandes</w:t>
      </w:r>
      <w:r w:rsidRPr="006B632C">
        <w:rPr>
          <w:lang w:val="fr-CH"/>
        </w:rPr>
        <w:t xml:space="preserve"> 1 164</w:t>
      </w:r>
      <w:r w:rsidRPr="006B632C">
        <w:rPr>
          <w:lang w:val="fr-CH"/>
        </w:rPr>
        <w:noBreakHyphen/>
        <w:t xml:space="preserve">1 215 MHz, 1 215-1 300 MHz </w:t>
      </w:r>
      <w:r>
        <w:rPr>
          <w:lang w:val="fr-CH"/>
        </w:rPr>
        <w:t>et</w:t>
      </w:r>
      <w:r w:rsidRPr="006B632C">
        <w:rPr>
          <w:lang w:val="fr-CH"/>
        </w:rPr>
        <w:t xml:space="preserve"> 1 559-1 610 MHz</w:t>
      </w:r>
      <w:r w:rsidRPr="006B632C">
        <w:rPr>
          <w:lang w:val="fr-CH" w:eastAsia="ja-JP"/>
        </w:rPr>
        <w:t>;</w:t>
      </w:r>
    </w:p>
    <w:p w:rsidR="005D5DF0" w:rsidRPr="001D28B6" w:rsidRDefault="005D5DF0" w:rsidP="005D5DF0">
      <w:pPr>
        <w:rPr>
          <w:lang w:val="fr-CH"/>
        </w:rPr>
      </w:pPr>
      <w:r w:rsidRPr="00690514">
        <w:rPr>
          <w:lang w:val="fr-CH"/>
        </w:rPr>
        <w:t>l)</w:t>
      </w:r>
      <w:r w:rsidRPr="001D28B6">
        <w:rPr>
          <w:lang w:val="fr-CH"/>
        </w:rPr>
        <w:tab/>
        <w:t>que la Recommandation UIT</w:t>
      </w:r>
      <w:r w:rsidRPr="001D28B6">
        <w:rPr>
          <w:lang w:val="fr-CH"/>
        </w:rPr>
        <w:noBreakHyphen/>
        <w:t>R M.1901 donne des orientations générales</w:t>
      </w:r>
      <w:r>
        <w:rPr>
          <w:lang w:val="fr-CH"/>
        </w:rPr>
        <w:t xml:space="preserve"> sur la présente </w:t>
      </w:r>
      <w:r w:rsidRPr="001D28B6">
        <w:rPr>
          <w:lang w:val="fr-CH"/>
        </w:rPr>
        <w:t>Recommandation et d'autres Recommandations UIT-R re</w:t>
      </w:r>
      <w:r>
        <w:rPr>
          <w:lang w:val="fr-CH"/>
        </w:rPr>
        <w:t>latives aux systèmes et réseaux </w:t>
      </w:r>
      <w:r w:rsidRPr="001D28B6">
        <w:rPr>
          <w:lang w:val="fr-CH"/>
        </w:rPr>
        <w:t xml:space="preserve">du </w:t>
      </w:r>
      <w:r>
        <w:rPr>
          <w:lang w:val="fr-CH"/>
        </w:rPr>
        <w:t xml:space="preserve">SRNS fonctionnant dans les bandes de fréquences </w:t>
      </w:r>
      <w:r w:rsidRPr="001D28B6">
        <w:rPr>
          <w:lang w:val="fr-CH"/>
        </w:rPr>
        <w:t>1 164-1 </w:t>
      </w:r>
      <w:r>
        <w:rPr>
          <w:lang w:val="fr-CH"/>
        </w:rPr>
        <w:t>215 MHz, 1 215-1 300 MHz, 1 559</w:t>
      </w:r>
      <w:r>
        <w:rPr>
          <w:lang w:val="fr-CH"/>
        </w:rPr>
        <w:noBreakHyphen/>
      </w:r>
      <w:r w:rsidRPr="001D28B6">
        <w:rPr>
          <w:lang w:val="fr-CH"/>
        </w:rPr>
        <w:t xml:space="preserve">1 610 MHz, 5 000-5 010 MHz </w:t>
      </w:r>
      <w:r>
        <w:rPr>
          <w:lang w:val="fr-CH"/>
        </w:rPr>
        <w:t xml:space="preserve">et </w:t>
      </w:r>
      <w:r w:rsidRPr="001D28B6">
        <w:rPr>
          <w:lang w:val="fr-CH"/>
        </w:rPr>
        <w:t>5 010</w:t>
      </w:r>
      <w:r w:rsidRPr="001D28B6">
        <w:rPr>
          <w:lang w:val="fr-CH"/>
        </w:rPr>
        <w:noBreakHyphen/>
        <w:t>5 030 MHz,</w:t>
      </w:r>
    </w:p>
    <w:p w:rsidR="005D5DF0" w:rsidRPr="00CC3AF9" w:rsidRDefault="005D5DF0" w:rsidP="005D5DF0">
      <w:pPr>
        <w:pStyle w:val="Call"/>
        <w:rPr>
          <w:lang w:val="fr-CH"/>
        </w:rPr>
      </w:pPr>
      <w:r w:rsidRPr="00CC3AF9">
        <w:rPr>
          <w:lang w:val="fr-CH"/>
        </w:rPr>
        <w:t>reconnaissant</w:t>
      </w:r>
    </w:p>
    <w:p w:rsidR="005D5DF0" w:rsidRPr="00160FD5" w:rsidRDefault="005D5DF0" w:rsidP="005D5DF0">
      <w:pPr>
        <w:rPr>
          <w:lang w:val="fr-CH"/>
        </w:rPr>
      </w:pPr>
      <w:r w:rsidRPr="00690514">
        <w:rPr>
          <w:lang w:val="fr-CH" w:eastAsia="ja-JP"/>
        </w:rPr>
        <w:t>a</w:t>
      </w:r>
      <w:r w:rsidRPr="00690514">
        <w:rPr>
          <w:lang w:val="fr-CH"/>
        </w:rPr>
        <w:t>)</w:t>
      </w:r>
      <w:r w:rsidRPr="00160FD5">
        <w:rPr>
          <w:lang w:val="fr-CH"/>
        </w:rPr>
        <w:tab/>
        <w:t xml:space="preserve">que la bande </w:t>
      </w:r>
      <w:r>
        <w:rPr>
          <w:lang w:val="fr-CH"/>
        </w:rPr>
        <w:t>1 559</w:t>
      </w:r>
      <w:r>
        <w:rPr>
          <w:lang w:val="fr-CH"/>
        </w:rPr>
        <w:noBreakHyphen/>
      </w:r>
      <w:r w:rsidRPr="001D28B6">
        <w:rPr>
          <w:lang w:val="fr-CH"/>
        </w:rPr>
        <w:t>1 610 </w:t>
      </w:r>
      <w:r w:rsidRPr="00160FD5">
        <w:rPr>
          <w:lang w:val="fr-CH"/>
        </w:rPr>
        <w:t>MHz est attribuée à titre primaire au SRNS (espace vers Terre</w:t>
      </w:r>
      <w:r>
        <w:rPr>
          <w:lang w:val="fr-CH"/>
        </w:rPr>
        <w:t>)</w:t>
      </w:r>
      <w:r w:rsidRPr="00160FD5">
        <w:rPr>
          <w:lang w:val="fr-CH"/>
        </w:rPr>
        <w:t xml:space="preserve"> et </w:t>
      </w:r>
      <w:r>
        <w:rPr>
          <w:lang w:val="fr-CH"/>
        </w:rPr>
        <w:t>(</w:t>
      </w:r>
      <w:r w:rsidRPr="00160FD5">
        <w:rPr>
          <w:lang w:val="fr-CH"/>
        </w:rPr>
        <w:t xml:space="preserve">espace-espace) </w:t>
      </w:r>
      <w:r>
        <w:rPr>
          <w:lang w:val="fr-CH"/>
        </w:rPr>
        <w:t xml:space="preserve">et au SRNA </w:t>
      </w:r>
      <w:r>
        <w:rPr>
          <w:lang w:val="fr-CH" w:eastAsia="ja-JP"/>
        </w:rPr>
        <w:t>dans les trois Ré</w:t>
      </w:r>
      <w:r w:rsidRPr="00160FD5">
        <w:rPr>
          <w:lang w:val="fr-CH" w:eastAsia="ja-JP"/>
        </w:rPr>
        <w:t>gions</w:t>
      </w:r>
      <w:r w:rsidRPr="00160FD5">
        <w:rPr>
          <w:lang w:val="fr-CH"/>
        </w:rPr>
        <w:t>;</w:t>
      </w:r>
    </w:p>
    <w:p w:rsidR="005D5DF0" w:rsidRDefault="005D5DF0" w:rsidP="005D5DF0">
      <w:pPr>
        <w:rPr>
          <w:lang w:val="fr-CH"/>
        </w:rPr>
      </w:pPr>
      <w:r w:rsidRPr="00690514">
        <w:rPr>
          <w:lang w:val="fr-CH" w:eastAsia="ja-JP"/>
        </w:rPr>
        <w:t>b</w:t>
      </w:r>
      <w:r w:rsidRPr="00690514">
        <w:rPr>
          <w:lang w:val="fr-CH"/>
        </w:rPr>
        <w:t>)</w:t>
      </w:r>
      <w:r w:rsidRPr="00BC4084">
        <w:rPr>
          <w:lang w:val="fr-CH"/>
        </w:rPr>
        <w:tab/>
        <w:t>que</w:t>
      </w:r>
      <w:r>
        <w:rPr>
          <w:lang w:val="fr-CH"/>
        </w:rPr>
        <w:t xml:space="preserve"> plusieurs récepteurs de signaux du SRNS utilisés dans des applications de services de sécurité</w:t>
      </w:r>
      <w:r w:rsidRPr="00BC4084">
        <w:rPr>
          <w:lang w:val="fr-CH"/>
        </w:rPr>
        <w:t xml:space="preserve"> </w:t>
      </w:r>
      <w:r>
        <w:rPr>
          <w:lang w:val="fr-CH"/>
        </w:rPr>
        <w:t>traitent ces signaux de diverses manières, comme indiqué dans l'Annexe 2;</w:t>
      </w:r>
    </w:p>
    <w:p w:rsidR="005D5DF0" w:rsidRPr="00E06EFC" w:rsidRDefault="005D5DF0" w:rsidP="005D5DF0">
      <w:pPr>
        <w:rPr>
          <w:rFonts w:asciiTheme="majorBidi" w:hAnsiTheme="majorBidi" w:cstheme="majorBidi"/>
          <w:color w:val="000000"/>
          <w:szCs w:val="24"/>
        </w:rPr>
      </w:pPr>
      <w:r w:rsidRPr="00690514">
        <w:rPr>
          <w:lang w:val="fr-CH"/>
        </w:rPr>
        <w:t>c)</w:t>
      </w:r>
      <w:r>
        <w:rPr>
          <w:lang w:val="fr-CH"/>
        </w:rPr>
        <w:tab/>
      </w:r>
      <w:r w:rsidRPr="00CC0F24">
        <w:rPr>
          <w:lang w:val="fr-CH"/>
        </w:rPr>
        <w:t xml:space="preserve">qu'un certain nombre de systèmes complémentaires des </w:t>
      </w:r>
      <w:r>
        <w:rPr>
          <w:lang w:val="fr-CH"/>
        </w:rPr>
        <w:t>systèmes et réseaux du SRNS, existants</w:t>
      </w:r>
      <w:r w:rsidRPr="00CC0F24">
        <w:rPr>
          <w:lang w:val="fr-CH"/>
        </w:rPr>
        <w:t xml:space="preserve"> </w:t>
      </w:r>
      <w:r>
        <w:rPr>
          <w:lang w:val="fr-CH"/>
        </w:rPr>
        <w:t>ou en projet,</w:t>
      </w:r>
      <w:r w:rsidRPr="00CC0F24">
        <w:rPr>
          <w:lang w:val="fr-CH"/>
        </w:rPr>
        <w:t xml:space="preserve"> </w:t>
      </w:r>
      <w:r>
        <w:rPr>
          <w:lang w:val="fr-CH"/>
        </w:rPr>
        <w:t>prennent en charge</w:t>
      </w:r>
      <w:r w:rsidRPr="00CC0F24">
        <w:rPr>
          <w:lang w:val="fr-CH"/>
        </w:rPr>
        <w:t xml:space="preserve"> les services de sécurité</w:t>
      </w:r>
      <w:r w:rsidRPr="00E06EFC">
        <w:rPr>
          <w:rFonts w:asciiTheme="majorBidi" w:hAnsiTheme="majorBidi" w:cstheme="majorBidi"/>
          <w:color w:val="000000"/>
          <w:szCs w:val="24"/>
        </w:rPr>
        <w:t>;</w:t>
      </w:r>
    </w:p>
    <w:p w:rsidR="005D5DF0" w:rsidRDefault="005D5DF0" w:rsidP="005D5DF0">
      <w:pPr>
        <w:rPr>
          <w:lang w:val="fr-CH"/>
        </w:rPr>
      </w:pPr>
      <w:r w:rsidRPr="00690514">
        <w:rPr>
          <w:lang w:val="fr-CH"/>
        </w:rPr>
        <w:t>d)</w:t>
      </w:r>
      <w:r>
        <w:rPr>
          <w:rFonts w:ascii="Segoe UI" w:hAnsi="Segoe UI" w:cs="Segoe UI"/>
          <w:color w:val="000000"/>
          <w:sz w:val="20"/>
        </w:rPr>
        <w:tab/>
      </w:r>
      <w:r w:rsidRPr="000C75B6">
        <w:rPr>
          <w:lang w:val="fr-CH"/>
        </w:rPr>
        <w:t xml:space="preserve">que </w:t>
      </w:r>
      <w:r>
        <w:rPr>
          <w:lang w:val="fr-CH"/>
        </w:rPr>
        <w:t>la Recommandation UIT-R M.1343 définit les caractéristiques techniques essentielles des stations terriennes mobiles systèmes mondiaux du SMS à satellites non géostationnaires fonctionnant dans la bande 1-3 GHz;</w:t>
      </w:r>
    </w:p>
    <w:p w:rsidR="005D5DF0" w:rsidRDefault="005D5DF0" w:rsidP="005D5DF0">
      <w:pPr>
        <w:rPr>
          <w:lang w:val="fr-CH"/>
        </w:rPr>
      </w:pPr>
      <w:r w:rsidRPr="00690514">
        <w:rPr>
          <w:lang w:val="fr-CH"/>
        </w:rPr>
        <w:t>e)</w:t>
      </w:r>
      <w:r>
        <w:rPr>
          <w:lang w:val="fr-CH"/>
        </w:rPr>
        <w:tab/>
        <w:t>que le numéro 5.362B dispose que la bande 1</w:t>
      </w:r>
      <w:r>
        <w:rPr>
          <w:rFonts w:ascii="Tms Rmn" w:hAnsi="Tms Rmn"/>
          <w:sz w:val="12"/>
          <w:lang w:val="fr-CH"/>
        </w:rPr>
        <w:t> </w:t>
      </w:r>
      <w:r>
        <w:rPr>
          <w:lang w:val="fr-CH"/>
        </w:rPr>
        <w:t>559-1</w:t>
      </w:r>
      <w:r>
        <w:rPr>
          <w:rFonts w:ascii="Tms Rmn" w:hAnsi="Tms Rmn"/>
          <w:sz w:val="12"/>
          <w:lang w:val="fr-CH"/>
        </w:rPr>
        <w:t> </w:t>
      </w:r>
      <w:r>
        <w:rPr>
          <w:lang w:val="fr-CH"/>
        </w:rPr>
        <w:t>610 MHz est, de plus, attribuée au service fixe à titre primaire jusqu'au 1</w:t>
      </w:r>
      <w:r w:rsidRPr="00FF1F77">
        <w:t>er</w:t>
      </w:r>
      <w:r>
        <w:t> </w:t>
      </w:r>
      <w:r>
        <w:rPr>
          <w:lang w:val="fr-CH"/>
        </w:rPr>
        <w:t>janvier 2010 dans un certain nombre de pays; qu'après cette date, le service fixe pourra continuer d'être exploité à titre secondaire jusqu'au 1</w:t>
      </w:r>
      <w:r w:rsidRPr="00FF1F77">
        <w:t>er</w:t>
      </w:r>
      <w:r>
        <w:rPr>
          <w:lang w:val="fr-CH"/>
        </w:rPr>
        <w:t> janvier 2015, après quoi cette attribution ne sera plus valable, que la bande 1</w:t>
      </w:r>
      <w:r>
        <w:rPr>
          <w:rFonts w:ascii="Tms Rmn" w:hAnsi="Tms Rmn"/>
          <w:sz w:val="12"/>
          <w:lang w:val="fr-CH"/>
        </w:rPr>
        <w:t> </w:t>
      </w:r>
      <w:r>
        <w:rPr>
          <w:lang w:val="fr-CH"/>
        </w:rPr>
        <w:t>559-1</w:t>
      </w:r>
      <w:r>
        <w:rPr>
          <w:rFonts w:ascii="Tms Rmn" w:hAnsi="Tms Rmn"/>
          <w:sz w:val="12"/>
          <w:lang w:val="fr-CH"/>
        </w:rPr>
        <w:t> </w:t>
      </w:r>
      <w:r>
        <w:rPr>
          <w:lang w:val="fr-CH"/>
        </w:rPr>
        <w:t>610 MHz est, de plus, attribuée au service fixe à titre secondaire jusqu'au 1</w:t>
      </w:r>
      <w:r w:rsidRPr="00FF1F77">
        <w:t>er</w:t>
      </w:r>
      <w:r>
        <w:rPr>
          <w:lang w:val="fr-CH"/>
        </w:rPr>
        <w:t> janvier 2015, dans un certain nombre d'autres pays, après quoi cette attribution ne sera plus valable; et que les administrations de tous les pays énumérés dans le numéro 5.326B sont instamment priées de protéger, par tous les moyens possibles, les services de radionavigation par satellite et de radionavigation aéronautique et de ne pas autoriser l'assignation de nouvelles fréquences aux systèmes du service fixe dans cette bande;</w:t>
      </w:r>
    </w:p>
    <w:p w:rsidR="005D5DF0" w:rsidRPr="00BC4084" w:rsidRDefault="005D5DF0" w:rsidP="005D5DF0">
      <w:pPr>
        <w:rPr>
          <w:lang w:val="fr-CH"/>
        </w:rPr>
      </w:pPr>
      <w:r w:rsidRPr="00690514">
        <w:rPr>
          <w:lang w:val="fr-CH"/>
        </w:rPr>
        <w:t>f)</w:t>
      </w:r>
      <w:r>
        <w:rPr>
          <w:lang w:val="fr-CH"/>
        </w:rPr>
        <w:tab/>
        <w:t xml:space="preserve">que le numéro 5.362C dispose que </w:t>
      </w:r>
      <w:r>
        <w:t>la bande 1</w:t>
      </w:r>
      <w:r>
        <w:rPr>
          <w:rFonts w:ascii="Tms Rmn" w:hAnsi="Tms Rmn"/>
          <w:sz w:val="12"/>
        </w:rPr>
        <w:t> </w:t>
      </w:r>
      <w:r>
        <w:t>559-1</w:t>
      </w:r>
      <w:r>
        <w:rPr>
          <w:rFonts w:ascii="Tms Rmn" w:hAnsi="Tms Rmn"/>
          <w:sz w:val="12"/>
        </w:rPr>
        <w:t> </w:t>
      </w:r>
      <w:r>
        <w:t>610 MHz est, de plus, attribuée au service fixe à titre secondaire jusqu'au 1</w:t>
      </w:r>
      <w:r w:rsidRPr="00FF1F77">
        <w:t>er </w:t>
      </w:r>
      <w:r>
        <w:t>janvier 2015, date à partir de laquelle cette attribution ne sera plus valable et que les administrations sont instamment priées de prendre toutes les mesures pratiquement possibles pour protéger le service de radionavigation par satellite et de ne pas autoriser l'assignation de nouvelles fréquences à des systèmes du service fixe dans cette bande,</w:t>
      </w:r>
    </w:p>
    <w:p w:rsidR="005D5DF0" w:rsidRPr="00CC3AF9" w:rsidRDefault="005D5DF0" w:rsidP="005D5DF0">
      <w:pPr>
        <w:pStyle w:val="Call"/>
        <w:rPr>
          <w:snapToGrid w:val="0"/>
          <w:lang w:val="fr-CH"/>
        </w:rPr>
      </w:pPr>
      <w:r w:rsidRPr="00CC3AF9">
        <w:rPr>
          <w:snapToGrid w:val="0"/>
          <w:lang w:val="fr-CH"/>
        </w:rPr>
        <w:t>recommande</w:t>
      </w:r>
    </w:p>
    <w:p w:rsidR="005D5DF0" w:rsidRPr="00FB586F" w:rsidRDefault="005D5DF0" w:rsidP="005D5DF0">
      <w:pPr>
        <w:rPr>
          <w:snapToGrid w:val="0"/>
          <w:lang w:val="fr-CH"/>
        </w:rPr>
      </w:pPr>
      <w:r w:rsidRPr="00FB586F">
        <w:rPr>
          <w:b/>
          <w:bCs/>
          <w:snapToGrid w:val="0"/>
          <w:lang w:val="fr-CH" w:eastAsia="ja-JP"/>
        </w:rPr>
        <w:t>1</w:t>
      </w:r>
      <w:r w:rsidRPr="00FB586F">
        <w:rPr>
          <w:snapToGrid w:val="0"/>
          <w:lang w:val="fr-CH" w:eastAsia="ja-JP"/>
        </w:rPr>
        <w:tab/>
        <w:t xml:space="preserve">d'utiliser les caractéristiques et les critères de protection des stations </w:t>
      </w:r>
      <w:r>
        <w:rPr>
          <w:snapToGrid w:val="0"/>
          <w:lang w:val="fr-CH" w:eastAsia="ja-JP"/>
        </w:rPr>
        <w:t>terriennes</w:t>
      </w:r>
      <w:r w:rsidRPr="00FB586F">
        <w:rPr>
          <w:snapToGrid w:val="0"/>
          <w:lang w:val="fr-CH" w:eastAsia="ja-JP"/>
        </w:rPr>
        <w:t xml:space="preserve"> de réception </w:t>
      </w:r>
      <w:r w:rsidRPr="00FB586F">
        <w:rPr>
          <w:snapToGrid w:val="0"/>
          <w:lang w:val="fr-CH"/>
        </w:rPr>
        <w:t>indiquées dans l'Annexe</w:t>
      </w:r>
      <w:r w:rsidRPr="00FB586F">
        <w:rPr>
          <w:snapToGrid w:val="0"/>
          <w:lang w:val="fr-CH" w:eastAsia="ja-JP"/>
        </w:rPr>
        <w:t> </w:t>
      </w:r>
      <w:r w:rsidRPr="00FB586F">
        <w:rPr>
          <w:snapToGrid w:val="0"/>
          <w:lang w:val="fr-CH"/>
        </w:rPr>
        <w:t>2 pour anal</w:t>
      </w:r>
      <w:r>
        <w:rPr>
          <w:snapToGrid w:val="0"/>
          <w:lang w:val="fr-CH"/>
        </w:rPr>
        <w:t xml:space="preserve">yser de l'incidence sur les récepteurs du SRNA et du </w:t>
      </w:r>
      <w:r w:rsidRPr="00FB586F">
        <w:rPr>
          <w:snapToGrid w:val="0"/>
          <w:lang w:val="fr-CH"/>
        </w:rPr>
        <w:t>SRNS (espace vers Terre)</w:t>
      </w:r>
      <w:r>
        <w:rPr>
          <w:snapToGrid w:val="0"/>
          <w:lang w:val="fr-CH"/>
        </w:rPr>
        <w:t xml:space="preserve"> fonc</w:t>
      </w:r>
      <w:r w:rsidRPr="00FB586F">
        <w:rPr>
          <w:snapToGrid w:val="0"/>
          <w:lang w:val="fr-CH"/>
        </w:rPr>
        <w:t>tionna</w:t>
      </w:r>
      <w:r>
        <w:rPr>
          <w:snapToGrid w:val="0"/>
          <w:lang w:val="fr-CH"/>
        </w:rPr>
        <w:t>nt dans la bande 1 559</w:t>
      </w:r>
      <w:r w:rsidRPr="00FB586F">
        <w:rPr>
          <w:snapToGrid w:val="0"/>
          <w:lang w:val="fr-CH"/>
        </w:rPr>
        <w:t>-1 </w:t>
      </w:r>
      <w:r>
        <w:rPr>
          <w:snapToGrid w:val="0"/>
          <w:lang w:val="fr-CH"/>
        </w:rPr>
        <w:t>610</w:t>
      </w:r>
      <w:r w:rsidRPr="00FB586F">
        <w:rPr>
          <w:snapToGrid w:val="0"/>
          <w:lang w:val="fr-CH"/>
        </w:rPr>
        <w:t xml:space="preserve"> MHz </w:t>
      </w:r>
      <w:r>
        <w:rPr>
          <w:snapToGrid w:val="0"/>
          <w:lang w:val="fr-CH"/>
        </w:rPr>
        <w:t>des brouillages causés par des sources radioélectriques autres que celles du SRNS</w:t>
      </w:r>
      <w:r w:rsidRPr="00FB586F">
        <w:rPr>
          <w:snapToGrid w:val="0"/>
          <w:lang w:val="fr-CH"/>
        </w:rPr>
        <w:t>;</w:t>
      </w:r>
    </w:p>
    <w:p w:rsidR="005D5DF0" w:rsidRPr="001D536B" w:rsidRDefault="005D5DF0" w:rsidP="005D5DF0">
      <w:pPr>
        <w:rPr>
          <w:snapToGrid w:val="0"/>
          <w:lang w:val="fr-CH"/>
        </w:rPr>
      </w:pPr>
      <w:r w:rsidRPr="001D536B">
        <w:rPr>
          <w:b/>
          <w:lang w:val="fr-CH"/>
        </w:rPr>
        <w:t>2</w:t>
      </w:r>
      <w:r w:rsidRPr="001D536B">
        <w:rPr>
          <w:lang w:val="fr-CH"/>
        </w:rPr>
        <w:tab/>
      </w:r>
      <w:r>
        <w:rPr>
          <w:lang w:val="fr-CH"/>
        </w:rPr>
        <w:t>de prévoir</w:t>
      </w:r>
      <w:r w:rsidRPr="001D536B">
        <w:rPr>
          <w:lang w:val="fr-CH"/>
        </w:rPr>
        <w:t xml:space="preserve"> une marge de sécurité, comme indiqué dans l'Annexe 1, pour assurer la protection des aspects </w:t>
      </w:r>
      <w:r>
        <w:rPr>
          <w:lang w:val="fr-CH"/>
        </w:rPr>
        <w:t xml:space="preserve">et des applications </w:t>
      </w:r>
      <w:r w:rsidRPr="001D536B">
        <w:rPr>
          <w:lang w:val="fr-CH"/>
        </w:rPr>
        <w:t>de séc</w:t>
      </w:r>
      <w:r>
        <w:rPr>
          <w:lang w:val="fr-CH"/>
        </w:rPr>
        <w:t>urité du SRNS et du SRNA, lors des analyses de brouillage</w:t>
      </w:r>
      <w:r w:rsidRPr="001D536B">
        <w:rPr>
          <w:snapToGrid w:val="0"/>
          <w:lang w:val="fr-CH"/>
        </w:rPr>
        <w:t>;</w:t>
      </w:r>
    </w:p>
    <w:p w:rsidR="005D5DF0" w:rsidRPr="00505DA7" w:rsidRDefault="005D5DF0" w:rsidP="005D5DF0">
      <w:pPr>
        <w:rPr>
          <w:lang w:val="fr-CH"/>
        </w:rPr>
      </w:pPr>
      <w:r w:rsidRPr="00505DA7">
        <w:rPr>
          <w:b/>
          <w:lang w:val="fr-CH"/>
        </w:rPr>
        <w:lastRenderedPageBreak/>
        <w:t>3</w:t>
      </w:r>
      <w:r>
        <w:rPr>
          <w:lang w:val="fr-CH"/>
        </w:rPr>
        <w:tab/>
        <w:t>de considérer que les</w:t>
      </w:r>
      <w:r w:rsidRPr="00505DA7">
        <w:rPr>
          <w:lang w:val="fr-CH"/>
        </w:rPr>
        <w:t xml:space="preserve"> Note</w:t>
      </w:r>
      <w:r>
        <w:rPr>
          <w:lang w:val="fr-CH"/>
        </w:rPr>
        <w:t>s</w:t>
      </w:r>
      <w:r w:rsidRPr="00505DA7">
        <w:rPr>
          <w:lang w:val="fr-CH"/>
        </w:rPr>
        <w:t xml:space="preserve"> suivante</w:t>
      </w:r>
      <w:r>
        <w:rPr>
          <w:lang w:val="fr-CH"/>
        </w:rPr>
        <w:t>s fon</w:t>
      </w:r>
      <w:r w:rsidRPr="00505DA7">
        <w:rPr>
          <w:lang w:val="fr-CH"/>
        </w:rPr>
        <w:t>t partie intégrante de la présente R</w:t>
      </w:r>
      <w:r>
        <w:rPr>
          <w:lang w:val="fr-CH"/>
        </w:rPr>
        <w:t>ecomma</w:t>
      </w:r>
      <w:r w:rsidRPr="00505DA7">
        <w:rPr>
          <w:lang w:val="fr-CH"/>
        </w:rPr>
        <w:t>ndation.</w:t>
      </w:r>
    </w:p>
    <w:p w:rsidR="005D5DF0" w:rsidRPr="009207CA" w:rsidRDefault="005D5DF0" w:rsidP="005D5DF0">
      <w:pPr>
        <w:rPr>
          <w:lang w:val="fr-CH"/>
        </w:rPr>
      </w:pPr>
      <w:r w:rsidRPr="003E3B38">
        <w:rPr>
          <w:lang w:val="fr-CH"/>
        </w:rPr>
        <w:t xml:space="preserve">NOTE 1 – </w:t>
      </w:r>
      <w:r>
        <w:rPr>
          <w:lang w:val="fr-CH"/>
        </w:rPr>
        <w:t xml:space="preserve">La présente Recommandation n'est pas destinée à servir de point de départ pour les futures modifications qui pourraient être apportées aux niveaux maximaux des rayonnements non désirés dans la bande </w:t>
      </w:r>
      <w:r w:rsidRPr="00342953">
        <w:rPr>
          <w:lang w:val="fr-CH"/>
        </w:rPr>
        <w:t>1 559-1 610 MHz</w:t>
      </w:r>
      <w:r>
        <w:rPr>
          <w:lang w:val="fr-CH"/>
        </w:rPr>
        <w:t xml:space="preserve"> indiqués dans les Annexes des Recommandations UIT</w:t>
      </w:r>
      <w:r w:rsidRPr="00814892">
        <w:rPr>
          <w:lang w:val="fr-CH"/>
        </w:rPr>
        <w:noBreakHyphen/>
        <w:t xml:space="preserve">R M.1343-1 </w:t>
      </w:r>
      <w:r>
        <w:rPr>
          <w:lang w:val="fr-CH"/>
        </w:rPr>
        <w:t>et</w:t>
      </w:r>
      <w:r w:rsidRPr="00814892">
        <w:rPr>
          <w:lang w:val="fr-CH"/>
        </w:rPr>
        <w:t xml:space="preserve"> </w:t>
      </w:r>
      <w:r>
        <w:rPr>
          <w:lang w:val="fr-CH"/>
        </w:rPr>
        <w:t>UIT</w:t>
      </w:r>
      <w:r w:rsidRPr="00814892">
        <w:rPr>
          <w:lang w:val="fr-CH"/>
        </w:rPr>
        <w:noBreakHyphen/>
        <w:t xml:space="preserve">R M.1480 </w:t>
      </w:r>
      <w:r>
        <w:rPr>
          <w:lang w:val="fr-CH"/>
        </w:rPr>
        <w:t>pour les stations terriennes mobiles du SMS</w:t>
      </w:r>
      <w:r w:rsidRPr="00814892">
        <w:rPr>
          <w:lang w:val="fr-CH"/>
        </w:rPr>
        <w:t xml:space="preserve">, </w:t>
      </w:r>
      <w:r>
        <w:rPr>
          <w:lang w:val="fr-CH"/>
        </w:rPr>
        <w:t>et dans la Recommandation UIT</w:t>
      </w:r>
      <w:r w:rsidRPr="00814892">
        <w:rPr>
          <w:lang w:val="fr-CH"/>
        </w:rPr>
        <w:noBreakHyphen/>
        <w:t xml:space="preserve">R SM.1757 </w:t>
      </w:r>
      <w:r>
        <w:rPr>
          <w:lang w:val="fr-CH"/>
        </w:rPr>
        <w:t>pour la technologie ultra large bande</w:t>
      </w:r>
      <w:r w:rsidRPr="00814892">
        <w:rPr>
          <w:lang w:val="fr-CH"/>
        </w:rPr>
        <w:t xml:space="preserve">. </w:t>
      </w:r>
      <w:r w:rsidRPr="00567972">
        <w:rPr>
          <w:lang w:val="fr-CH"/>
        </w:rPr>
        <w:t>Les niveaux maximaux des rayonnements non désirés pour la bande 1 559-1 610 MHz indiqués dans les Recommandations UIT</w:t>
      </w:r>
      <w:r w:rsidRPr="00567972">
        <w:rPr>
          <w:lang w:val="fr-CH"/>
        </w:rPr>
        <w:noBreakHyphen/>
        <w:t>R M.1343-1 et UIT</w:t>
      </w:r>
      <w:r w:rsidRPr="00567972">
        <w:rPr>
          <w:lang w:val="fr-CH"/>
        </w:rPr>
        <w:noBreakHyphen/>
        <w:t xml:space="preserve">R M.1480 ont été définies pour un </w:t>
      </w:r>
      <w:r>
        <w:rPr>
          <w:lang w:val="fr-CH"/>
        </w:rPr>
        <w:t>scé</w:t>
      </w:r>
      <w:r w:rsidRPr="00567972">
        <w:rPr>
          <w:lang w:val="fr-CH"/>
        </w:rPr>
        <w:t xml:space="preserve">nario </w:t>
      </w:r>
      <w:r>
        <w:rPr>
          <w:lang w:val="fr-CH"/>
        </w:rPr>
        <w:t>de brouillage bien parti</w:t>
      </w:r>
      <w:r w:rsidRPr="00567972">
        <w:rPr>
          <w:lang w:val="fr-CH"/>
        </w:rPr>
        <w:t>culier</w:t>
      </w:r>
      <w:r>
        <w:rPr>
          <w:lang w:val="fr-CH"/>
        </w:rPr>
        <w:t xml:space="preserve"> et ne sont pas censés être appliqués, sans un complément d'étude, à d'autres systèmes que les stations terriennes mobiles du SMS fonctionnant dans la gamme </w:t>
      </w:r>
      <w:r w:rsidRPr="00567972">
        <w:rPr>
          <w:lang w:val="fr-CH"/>
        </w:rPr>
        <w:t xml:space="preserve">1-3 GHz. </w:t>
      </w:r>
      <w:r w:rsidRPr="009207CA">
        <w:rPr>
          <w:lang w:val="fr-CH"/>
        </w:rPr>
        <w:t>Les niveaux</w:t>
      </w:r>
      <w:r>
        <w:rPr>
          <w:lang w:val="fr-CH"/>
        </w:rPr>
        <w:t xml:space="preserve"> </w:t>
      </w:r>
      <w:r w:rsidRPr="009207CA">
        <w:rPr>
          <w:lang w:val="fr-CH"/>
        </w:rPr>
        <w:t>indiqués dans la Recomm</w:t>
      </w:r>
      <w:r>
        <w:rPr>
          <w:lang w:val="fr-CH"/>
        </w:rPr>
        <w:t>a</w:t>
      </w:r>
      <w:r w:rsidRPr="009207CA">
        <w:rPr>
          <w:lang w:val="fr-CH"/>
        </w:rPr>
        <w:t xml:space="preserve">ndation </w:t>
      </w:r>
      <w:r>
        <w:rPr>
          <w:lang w:val="fr-CH"/>
        </w:rPr>
        <w:t>UIT</w:t>
      </w:r>
      <w:r w:rsidRPr="009207CA">
        <w:rPr>
          <w:lang w:val="fr-CH"/>
        </w:rPr>
        <w:noBreakHyphen/>
        <w:t xml:space="preserve">R SM.1757 </w:t>
      </w:r>
      <w:r>
        <w:rPr>
          <w:lang w:val="fr-CH"/>
        </w:rPr>
        <w:t>concernent spécifiquement la technologie ultra large bande.</w:t>
      </w:r>
    </w:p>
    <w:p w:rsidR="005D5DF0" w:rsidRDefault="005D5DF0" w:rsidP="005D5DF0">
      <w:pPr>
        <w:rPr>
          <w:lang w:val="fr-CH"/>
        </w:rPr>
      </w:pPr>
      <w:r>
        <w:rPr>
          <w:lang w:val="fr-CH"/>
        </w:rPr>
        <w:t>NOTE 2</w:t>
      </w:r>
      <w:r w:rsidRPr="003E3B38">
        <w:rPr>
          <w:lang w:val="fr-CH"/>
        </w:rPr>
        <w:t xml:space="preserve"> – La marge de sécurité aéronautique de 6 dB, telle </w:t>
      </w:r>
      <w:r>
        <w:rPr>
          <w:lang w:val="fr-CH"/>
        </w:rPr>
        <w:t>qu'indiquée</w:t>
      </w:r>
      <w:r w:rsidRPr="003E3B38">
        <w:rPr>
          <w:lang w:val="fr-CH"/>
        </w:rPr>
        <w:t xml:space="preserve"> au </w:t>
      </w:r>
      <w:r w:rsidRPr="003E3B38">
        <w:rPr>
          <w:szCs w:val="24"/>
          <w:lang w:val="fr-CH"/>
        </w:rPr>
        <w:t>§</w:t>
      </w:r>
      <w:r>
        <w:rPr>
          <w:lang w:val="fr-CH"/>
        </w:rPr>
        <w:t> 3</w:t>
      </w:r>
      <w:r w:rsidRPr="003E3B38">
        <w:rPr>
          <w:lang w:val="fr-CH"/>
        </w:rPr>
        <w:t xml:space="preserve"> de l'Annex</w:t>
      </w:r>
      <w:r>
        <w:rPr>
          <w:lang w:val="fr-CH"/>
        </w:rPr>
        <w:t>e</w:t>
      </w:r>
      <w:r w:rsidRPr="003E3B38">
        <w:rPr>
          <w:lang w:val="fr-CH"/>
        </w:rPr>
        <w:t> 1,</w:t>
      </w:r>
      <w:r>
        <w:rPr>
          <w:lang w:val="fr-CH"/>
        </w:rPr>
        <w:t xml:space="preserve"> a été définie pour une application de radionavigation aéronautique du SRNS et du SRNA bien particulière dans la bande 1 559</w:t>
      </w:r>
      <w:r>
        <w:rPr>
          <w:lang w:val="fr-CH"/>
        </w:rPr>
        <w:noBreakHyphen/>
        <w:t>1 610</w:t>
      </w:r>
      <w:r w:rsidRPr="003E3B38">
        <w:rPr>
          <w:lang w:val="fr-CH"/>
        </w:rPr>
        <w:t xml:space="preserve"> MHz, </w:t>
      </w:r>
      <w:r>
        <w:rPr>
          <w:lang w:val="fr-CH"/>
        </w:rPr>
        <w:t>et n'est pas censée s'appliquer aux applications non aéronautiques. Le niveau de la marge de sécurité, à appliquer le cas échéant aux applications non aéronautiques du SRNS, sera fixé après un complément d'étude.</w:t>
      </w:r>
    </w:p>
    <w:p w:rsidR="00E06EFC" w:rsidRDefault="00E06EFC" w:rsidP="005D5DF0">
      <w:pPr>
        <w:rPr>
          <w:lang w:val="fr-CH"/>
        </w:rPr>
      </w:pPr>
    </w:p>
    <w:p w:rsidR="00E06EFC" w:rsidRPr="00613DBE" w:rsidRDefault="00E06EFC" w:rsidP="005D5DF0">
      <w:pPr>
        <w:rPr>
          <w:snapToGrid w:val="0"/>
          <w:lang w:val="fr-CH"/>
        </w:rPr>
      </w:pPr>
    </w:p>
    <w:p w:rsidR="005D5DF0" w:rsidRPr="00613DBE" w:rsidRDefault="005D5DF0" w:rsidP="005D5DF0">
      <w:pPr>
        <w:pStyle w:val="AnnexNoTitle"/>
        <w:rPr>
          <w:lang w:val="fr-CH"/>
        </w:rPr>
      </w:pPr>
      <w:r w:rsidRPr="00613DBE">
        <w:rPr>
          <w:lang w:val="fr-CH"/>
        </w:rPr>
        <w:t>Annexe 1</w:t>
      </w:r>
      <w:r w:rsidRPr="00613DBE">
        <w:rPr>
          <w:lang w:val="fr-CH"/>
        </w:rPr>
        <w:br/>
      </w:r>
      <w:r w:rsidRPr="00613DBE">
        <w:rPr>
          <w:lang w:val="fr-CH"/>
        </w:rPr>
        <w:br/>
        <w:t>Marg</w:t>
      </w:r>
      <w:r>
        <w:rPr>
          <w:lang w:val="fr-CH"/>
        </w:rPr>
        <w:t xml:space="preserve">e </w:t>
      </w:r>
      <w:r w:rsidRPr="00613DBE">
        <w:rPr>
          <w:lang w:val="fr-CH"/>
        </w:rPr>
        <w:t>pour les applications de sécurité du SRNS</w:t>
      </w:r>
    </w:p>
    <w:p w:rsidR="005D5DF0" w:rsidRPr="008B670E" w:rsidRDefault="005D5DF0" w:rsidP="005D5DF0">
      <w:pPr>
        <w:pStyle w:val="Heading1"/>
        <w:rPr>
          <w:lang w:val="fr-CH"/>
        </w:rPr>
      </w:pPr>
      <w:r w:rsidRPr="008B670E">
        <w:rPr>
          <w:lang w:val="fr-CH"/>
        </w:rPr>
        <w:t>1</w:t>
      </w:r>
      <w:r w:rsidRPr="008B670E">
        <w:rPr>
          <w:lang w:val="fr-CH"/>
        </w:rPr>
        <w:tab/>
        <w:t>Introduction</w:t>
      </w:r>
    </w:p>
    <w:p w:rsidR="005D5DF0" w:rsidRPr="00760145" w:rsidRDefault="005D5DF0" w:rsidP="005D5DF0">
      <w:pPr>
        <w:rPr>
          <w:lang w:val="fr-CH"/>
        </w:rPr>
      </w:pPr>
      <w:r>
        <w:t>Une pratique en vigueur depuis longtemps</w:t>
      </w:r>
      <w:r w:rsidRPr="005D206C">
        <w:rPr>
          <w:lang w:val="fr-CH"/>
        </w:rPr>
        <w:t xml:space="preserve"> </w:t>
      </w:r>
      <w:r>
        <w:rPr>
          <w:lang w:val="fr-CH"/>
        </w:rPr>
        <w:t xml:space="preserve">à </w:t>
      </w:r>
      <w:r w:rsidRPr="009A494F">
        <w:rPr>
          <w:lang w:val="fr-CH"/>
        </w:rPr>
        <w:t xml:space="preserve">l'UIT et </w:t>
      </w:r>
      <w:r>
        <w:rPr>
          <w:lang w:val="fr-CH"/>
        </w:rPr>
        <w:t xml:space="preserve">à </w:t>
      </w:r>
      <w:r w:rsidRPr="009A494F">
        <w:rPr>
          <w:lang w:val="fr-CH"/>
        </w:rPr>
        <w:t>l'Organisation de l'aviation civile international (OACI)</w:t>
      </w:r>
      <w:r>
        <w:rPr>
          <w:lang w:val="fr-CH"/>
        </w:rPr>
        <w:t xml:space="preserve"> </w:t>
      </w:r>
      <w:r>
        <w:t xml:space="preserve">consiste à réserver une portion du bilan de liaisons de brouillage à une marge de sécurité afin d'assurer la protection du service de radionavigation. Ces marges sont généralement de l'ordre de 6 à 10 dB, ou </w:t>
      </w:r>
      <w:r>
        <w:rPr>
          <w:lang w:val="fr-CH"/>
        </w:rPr>
        <w:t>davantage</w:t>
      </w:r>
      <w:r w:rsidRPr="009B08EA">
        <w:rPr>
          <w:lang w:val="fr-CH"/>
        </w:rPr>
        <w:t xml:space="preserve">. </w:t>
      </w:r>
      <w:r w:rsidRPr="00433955">
        <w:rPr>
          <w:lang w:val="fr-CH"/>
        </w:rPr>
        <w:t xml:space="preserve">En outre, il y a à l'UIT de nombreux précédents s'agissant de l'existence d'une marge de sécurité pour les applications de </w:t>
      </w:r>
      <w:r>
        <w:rPr>
          <w:lang w:val="fr-CH"/>
        </w:rPr>
        <w:t>sécurité du service de radionavigation aéronautique, par exemple</w:t>
      </w:r>
      <w:r w:rsidRPr="00760145">
        <w:rPr>
          <w:lang w:val="fr-CH"/>
        </w:rPr>
        <w:t>:</w:t>
      </w:r>
    </w:p>
    <w:p w:rsidR="005D5DF0" w:rsidRDefault="005D5DF0" w:rsidP="005D5DF0">
      <w:r>
        <w:t>«Quelles que soient les intentions initiales du planificateur du spectre radioélectrique, il ne fait aucun doute que la pression résultant des demandes d'attributions additionnelles aux divers services de radiocommunication peut amener à considérer effectivement les critères de protection aéronautique comme des critères de partage avec les services non aéronautiques. De ce fait, un service de sécurité doit prendre beaucoup de précautions afin que tout service radioélectrique partageant la même bande soit soumis aux contraintes nécessaires pour préserver une marge suffisante dans toutes les circonstances vraisemblables, de sorte que le brouillage préjudiciable total n'excède jamais les critères de protection applicables.»</w:t>
      </w:r>
      <w:r>
        <w:rPr>
          <w:rStyle w:val="FootnoteReference"/>
        </w:rPr>
        <w:footnoteReference w:id="2"/>
      </w:r>
    </w:p>
    <w:p w:rsidR="005D5DF0" w:rsidRDefault="005D5DF0" w:rsidP="005D5DF0">
      <w:pPr>
        <w:keepNext/>
        <w:keepLines/>
      </w:pPr>
      <w:r>
        <w:lastRenderedPageBreak/>
        <w:t>De plus, la Recommandation UIT-R M.1318-1 contient dans son Annexe, un modèle d'évaluation des niveaux de brouillage causés aux récepteurs du SRNS par des sources radioélectriques autres que celles du SRNS. Ce modèle utilise un facteur appelé «marge de protection (dB)», afin d'assurer la protection conformément au numéro 4.10 du RR.</w:t>
      </w:r>
    </w:p>
    <w:p w:rsidR="005D5DF0" w:rsidRDefault="005D5DF0" w:rsidP="005D5DF0">
      <w:pPr>
        <w:pStyle w:val="Heading1"/>
      </w:pPr>
      <w:bookmarkStart w:id="3" w:name="_Toc115520725"/>
      <w:r>
        <w:t>2</w:t>
      </w:r>
      <w:r>
        <w:tab/>
        <w:t>Objet de la marge de sécurité</w:t>
      </w:r>
      <w:bookmarkEnd w:id="3"/>
    </w:p>
    <w:p w:rsidR="005D5DF0" w:rsidRPr="00E81FFB" w:rsidRDefault="005D5DF0" w:rsidP="005D5DF0">
      <w:pPr>
        <w:keepNext/>
        <w:keepLines/>
      </w:pPr>
      <w:r>
        <w:t>Une marge de sécurité (appelée parfois facteur de sécurité publique) est essentielle pour les applications liées à la sécurité de la vie humaine, compte tenu du risque réel mais non quantifiable de perte de vies humaines lié aux brouillages radioélectriques. Pour les applications liées à la sécurité de la vie humaine, toutes les sources de brouillage doivent être prises en compte.</w:t>
      </w:r>
    </w:p>
    <w:p w:rsidR="005D5DF0" w:rsidRPr="00F97195" w:rsidRDefault="005D5DF0" w:rsidP="005D5DF0">
      <w:pPr>
        <w:pStyle w:val="Heading1"/>
        <w:rPr>
          <w:lang w:val="fr-CH"/>
        </w:rPr>
      </w:pPr>
      <w:r w:rsidRPr="00F97195">
        <w:rPr>
          <w:lang w:val="fr-CH"/>
        </w:rPr>
        <w:t>3</w:t>
      </w:r>
      <w:r w:rsidRPr="00F97195">
        <w:rPr>
          <w:lang w:val="fr-CH"/>
        </w:rPr>
        <w:tab/>
        <w:t>Marge de sécurité et applications de ra</w:t>
      </w:r>
      <w:r>
        <w:rPr>
          <w:lang w:val="fr-CH"/>
        </w:rPr>
        <w:t>dionavigation aéronautique</w:t>
      </w:r>
    </w:p>
    <w:p w:rsidR="005D5DF0" w:rsidRPr="00291769" w:rsidRDefault="005D5DF0" w:rsidP="005D5DF0">
      <w:pPr>
        <w:pStyle w:val="Heading2"/>
        <w:rPr>
          <w:lang w:val="fr-CH"/>
        </w:rPr>
      </w:pPr>
      <w:r w:rsidRPr="00291769">
        <w:rPr>
          <w:lang w:val="fr-CH"/>
        </w:rPr>
        <w:t>3.1</w:t>
      </w:r>
      <w:r w:rsidRPr="00291769">
        <w:rPr>
          <w:lang w:val="fr-CH"/>
        </w:rPr>
        <w:tab/>
      </w:r>
      <w:r>
        <w:rPr>
          <w:lang w:val="fr-CH"/>
        </w:rPr>
        <w:t>M</w:t>
      </w:r>
      <w:r w:rsidRPr="00291769">
        <w:rPr>
          <w:lang w:val="fr-CH"/>
        </w:rPr>
        <w:t xml:space="preserve">arge de sécurité </w:t>
      </w:r>
      <w:r>
        <w:rPr>
          <w:lang w:val="fr-CH"/>
        </w:rPr>
        <w:t>et radionavigation aéronautique: rappel</w:t>
      </w:r>
    </w:p>
    <w:p w:rsidR="005D5DF0" w:rsidRDefault="005D5DF0" w:rsidP="005D5DF0">
      <w:pPr>
        <w:rPr>
          <w:lang w:val="fr-CH"/>
        </w:rPr>
      </w:pPr>
      <w:r w:rsidRPr="001A30AF">
        <w:rPr>
          <w:lang w:val="fr-CH"/>
        </w:rPr>
        <w:t xml:space="preserve">L'utilisation de marges de sécurité dans les systèmes de navigation est une </w:t>
      </w:r>
      <w:r>
        <w:rPr>
          <w:lang w:val="fr-CH"/>
        </w:rPr>
        <w:t>pratique bien é</w:t>
      </w:r>
      <w:r w:rsidRPr="001A30AF">
        <w:rPr>
          <w:lang w:val="fr-CH"/>
        </w:rPr>
        <w:t>t</w:t>
      </w:r>
      <w:r>
        <w:rPr>
          <w:lang w:val="fr-CH"/>
        </w:rPr>
        <w:t>a</w:t>
      </w:r>
      <w:r w:rsidRPr="001A30AF">
        <w:rPr>
          <w:lang w:val="fr-CH"/>
        </w:rPr>
        <w:t>blie</w:t>
      </w:r>
      <w:r>
        <w:rPr>
          <w:lang w:val="fr-CH"/>
        </w:rPr>
        <w:t>. L'OACI spécifie une marge de sécurité de 6 dB pour le système d'atterrissage aux hyperfréquences (MLS)</w:t>
      </w:r>
      <w:r w:rsidRPr="00464FFB">
        <w:rPr>
          <w:lang w:val="fr-CH"/>
        </w:rPr>
        <w:t xml:space="preserve"> (Annexe 10 </w:t>
      </w:r>
      <w:r>
        <w:rPr>
          <w:lang w:val="fr-CH"/>
        </w:rPr>
        <w:t>de la Convention de l'OACI:</w:t>
      </w:r>
      <w:r w:rsidRPr="00464FFB">
        <w:rPr>
          <w:lang w:val="fr-CH"/>
        </w:rPr>
        <w:t xml:space="preserve"> </w:t>
      </w:r>
      <w:r>
        <w:rPr>
          <w:lang w:val="fr-CH"/>
        </w:rPr>
        <w:t>Normes et pratiques recommandées internationales. Télécommunications aéronautiques,</w:t>
      </w:r>
      <w:r w:rsidRPr="00464FFB">
        <w:rPr>
          <w:lang w:val="fr-CH"/>
        </w:rPr>
        <w:t xml:space="preserve"> Vo</w:t>
      </w:r>
      <w:r>
        <w:rPr>
          <w:lang w:val="fr-CH"/>
        </w:rPr>
        <w:t>lume</w:t>
      </w:r>
      <w:r w:rsidRPr="00464FFB">
        <w:rPr>
          <w:lang w:val="fr-CH"/>
        </w:rPr>
        <w:t xml:space="preserve"> 1 – </w:t>
      </w:r>
      <w:r>
        <w:rPr>
          <w:lang w:val="fr-CH"/>
        </w:rPr>
        <w:t>Auxiliaires de radionavigation</w:t>
      </w:r>
      <w:r w:rsidRPr="00464FFB">
        <w:rPr>
          <w:lang w:val="fr-CH"/>
        </w:rPr>
        <w:t xml:space="preserve"> (</w:t>
      </w:r>
      <w:r>
        <w:rPr>
          <w:lang w:val="fr-CH"/>
        </w:rPr>
        <w:t>Pièce jointe</w:t>
      </w:r>
      <w:r w:rsidRPr="00464FFB">
        <w:rPr>
          <w:lang w:val="fr-CH"/>
        </w:rPr>
        <w:t> G, Table</w:t>
      </w:r>
      <w:r>
        <w:rPr>
          <w:lang w:val="fr-CH"/>
        </w:rPr>
        <w:t>au</w:t>
      </w:r>
      <w:r w:rsidRPr="00464FFB">
        <w:rPr>
          <w:lang w:val="fr-CH"/>
        </w:rPr>
        <w:t xml:space="preserve"> G-2)). </w:t>
      </w:r>
      <w:r>
        <w:rPr>
          <w:lang w:val="fr-CH"/>
        </w:rPr>
        <w:t xml:space="preserve">Le système d'atterrissage aux instruments </w:t>
      </w:r>
      <w:r w:rsidRPr="00BD294B">
        <w:rPr>
          <w:lang w:val="fr-CH"/>
        </w:rPr>
        <w:t>(ILS) appli</w:t>
      </w:r>
      <w:r>
        <w:rPr>
          <w:lang w:val="fr-CH"/>
        </w:rPr>
        <w:t>que une marge de sécurité de</w:t>
      </w:r>
      <w:r w:rsidRPr="00BD294B">
        <w:rPr>
          <w:lang w:val="fr-CH"/>
        </w:rPr>
        <w:t xml:space="preserve"> 8 dB (</w:t>
      </w:r>
      <w:r>
        <w:rPr>
          <w:lang w:val="fr-CH"/>
        </w:rPr>
        <w:t>voir la Recomma</w:t>
      </w:r>
      <w:r w:rsidRPr="00BD294B">
        <w:rPr>
          <w:lang w:val="fr-CH"/>
        </w:rPr>
        <w:t xml:space="preserve">ndation </w:t>
      </w:r>
      <w:r>
        <w:rPr>
          <w:lang w:val="fr-CH"/>
        </w:rPr>
        <w:t>UIT</w:t>
      </w:r>
      <w:r>
        <w:rPr>
          <w:lang w:val="fr-CH"/>
        </w:rPr>
        <w:noBreakHyphen/>
        <w:t>R SM.1009</w:t>
      </w:r>
      <w:r>
        <w:rPr>
          <w:lang w:val="fr-CH"/>
        </w:rPr>
        <w:noBreakHyphen/>
        <w:t>1, Appendice</w:t>
      </w:r>
      <w:r w:rsidRPr="00BD294B">
        <w:rPr>
          <w:lang w:val="fr-CH"/>
        </w:rPr>
        <w:t xml:space="preserve"> 3 </w:t>
      </w:r>
      <w:r>
        <w:rPr>
          <w:lang w:val="fr-CH"/>
        </w:rPr>
        <w:t>de l'</w:t>
      </w:r>
      <w:r w:rsidRPr="00BD294B">
        <w:rPr>
          <w:lang w:val="fr-CH"/>
        </w:rPr>
        <w:t>Annex</w:t>
      </w:r>
      <w:r>
        <w:rPr>
          <w:lang w:val="fr-CH"/>
        </w:rPr>
        <w:t>e</w:t>
      </w:r>
      <w:r w:rsidRPr="00BD294B">
        <w:rPr>
          <w:lang w:val="fr-CH"/>
        </w:rPr>
        <w:t xml:space="preserve"> 2). </w:t>
      </w:r>
      <w:r w:rsidRPr="003D71CA">
        <w:rPr>
          <w:lang w:val="fr-CH"/>
        </w:rPr>
        <w:t xml:space="preserve">Dans chaque cas, la marge est </w:t>
      </w:r>
      <w:r>
        <w:rPr>
          <w:lang w:val="fr-CH"/>
        </w:rPr>
        <w:t>définie en fonction de</w:t>
      </w:r>
      <w:r w:rsidRPr="003D71CA">
        <w:rPr>
          <w:lang w:val="fr-CH"/>
        </w:rPr>
        <w:t xml:space="preserve"> la puissance de la porteuse du système de navigation. </w:t>
      </w:r>
    </w:p>
    <w:p w:rsidR="005D5DF0" w:rsidRDefault="005D5DF0" w:rsidP="005D5DF0">
      <w:pPr>
        <w:rPr>
          <w:lang w:val="fr-CH"/>
        </w:rPr>
      </w:pPr>
      <w:r w:rsidRPr="00D57926">
        <w:rPr>
          <w:lang w:val="fr-CH"/>
        </w:rPr>
        <w:t xml:space="preserve">En d'autres termes, pour </w:t>
      </w:r>
      <w:r>
        <w:rPr>
          <w:lang w:val="fr-CH"/>
        </w:rPr>
        <w:t>vérifier la qualité de fonctionnement de ces systèmes</w:t>
      </w:r>
      <w:r w:rsidRPr="00D57926">
        <w:rPr>
          <w:lang w:val="fr-CH"/>
        </w:rPr>
        <w:t>,</w:t>
      </w:r>
      <w:r>
        <w:rPr>
          <w:lang w:val="fr-CH"/>
        </w:rPr>
        <w:t xml:space="preserve"> on retranche au niveau nominal la marge de sécurité pour obtenir</w:t>
      </w:r>
      <w:r w:rsidRPr="00D57926">
        <w:rPr>
          <w:lang w:val="fr-CH"/>
        </w:rPr>
        <w:t xml:space="preserve"> </w:t>
      </w:r>
      <w:r>
        <w:rPr>
          <w:lang w:val="fr-CH"/>
        </w:rPr>
        <w:t>la puissance du signal utile qu'on utilise ensuite pour déterminer si le système offre la qualité de fonctionnement requise en présence de brouillage. Autrement dit, le constructeur est tenu de concevoir l'équipement de façon qu'il puisse tolérer le niveau de brouillage le plus élevé attendu lorsque le niveau du signal utile qu'il reçoit est inférieur au niveau nominal.</w:t>
      </w:r>
    </w:p>
    <w:p w:rsidR="005D5DF0" w:rsidRPr="00FC513B" w:rsidRDefault="005D5DF0" w:rsidP="005D5DF0">
      <w:pPr>
        <w:rPr>
          <w:u w:val="single"/>
          <w:lang w:val="fr-CH"/>
        </w:rPr>
      </w:pPr>
      <w:r>
        <w:t>Dans le cas du système mondial de navigation par satellite (GNSS)</w:t>
      </w:r>
      <w:r w:rsidRPr="00636777">
        <w:rPr>
          <w:rStyle w:val="FootnoteReference"/>
        </w:rPr>
        <w:footnoteReference w:id="3"/>
      </w:r>
      <w:r>
        <w:t>, cette approche n'est pas possible car si l'on réduisait la puissance de la porteuse de 6 dB ou plus par rapport à la puissance nominale, des satellites pourraient ne pas être pris en compte dans l'algorithme de poursuite du récepteur. La puissance reçue en provenance du satellite est relativement limitée, de sorte que les récepteurs du GNSS fonctionnent sur une plage dynamique limitée. Pour les récepteurs du GNSS, le principal paramètre de mesure de la qualité du signal reçu est le rapport</w:t>
      </w:r>
      <w:r w:rsidRPr="00C76E39">
        <w:rPr>
          <w:i/>
          <w:lang w:val="fr-CH"/>
        </w:rPr>
        <w:t xml:space="preserve"> C</w:t>
      </w:r>
      <w:r w:rsidRPr="00C76E39">
        <w:rPr>
          <w:lang w:val="fr-CH"/>
        </w:rPr>
        <w:t>/</w:t>
      </w:r>
      <w:r w:rsidRPr="00C76E39">
        <w:rPr>
          <w:i/>
          <w:lang w:val="fr-CH"/>
        </w:rPr>
        <w:t>N</w:t>
      </w:r>
      <w:r w:rsidRPr="00C76E39">
        <w:rPr>
          <w:iCs/>
          <w:vertAlign w:val="subscript"/>
          <w:lang w:val="fr-CH"/>
        </w:rPr>
        <w:t>0,</w:t>
      </w:r>
      <w:r w:rsidRPr="00C76E39">
        <w:rPr>
          <w:i/>
          <w:vertAlign w:val="subscript"/>
          <w:lang w:val="fr-CH"/>
        </w:rPr>
        <w:t>EFF</w:t>
      </w:r>
      <w:r>
        <w:rPr>
          <w:i/>
          <w:vertAlign w:val="subscript"/>
          <w:lang w:val="fr-CH"/>
        </w:rPr>
        <w:t>,</w:t>
      </w:r>
      <w:r>
        <w:t xml:space="preserve"> c'est</w:t>
      </w:r>
      <w:r>
        <w:noBreakHyphen/>
        <w:t>à</w:t>
      </w:r>
      <w:r>
        <w:noBreakHyphen/>
        <w:t>dire le rapport entre la puissance de la porteuse rétablie,</w:t>
      </w:r>
      <w:r w:rsidRPr="00066128">
        <w:rPr>
          <w:i/>
          <w:lang w:val="fr-CH"/>
        </w:rPr>
        <w:t xml:space="preserve"> C</w:t>
      </w:r>
      <w:r w:rsidRPr="00066128">
        <w:rPr>
          <w:lang w:val="fr-CH"/>
        </w:rPr>
        <w:t>,</w:t>
      </w:r>
      <w:r>
        <w:rPr>
          <w:lang w:val="fr-CH"/>
        </w:rPr>
        <w:t xml:space="preserve"> et la densité spectrale de puissance de brouillage + bruit effective </w:t>
      </w:r>
      <w:r w:rsidRPr="00FC513B">
        <w:rPr>
          <w:i/>
          <w:lang w:val="fr-CH"/>
        </w:rPr>
        <w:t>N</w:t>
      </w:r>
      <w:r w:rsidRPr="00FC513B">
        <w:rPr>
          <w:iCs/>
          <w:position w:val="-4"/>
          <w:sz w:val="16"/>
          <w:lang w:val="fr-CH"/>
        </w:rPr>
        <w:t>0,</w:t>
      </w:r>
      <w:r w:rsidRPr="00FC513B">
        <w:rPr>
          <w:i/>
          <w:position w:val="-4"/>
          <w:sz w:val="16"/>
          <w:lang w:val="fr-CH"/>
        </w:rPr>
        <w:t>EFF</w:t>
      </w:r>
      <w:r w:rsidRPr="00FC513B">
        <w:rPr>
          <w:szCs w:val="24"/>
          <w:lang w:val="fr-CH"/>
        </w:rPr>
        <w:t>.</w:t>
      </w:r>
      <w:r>
        <w:rPr>
          <w:szCs w:val="24"/>
          <w:lang w:val="fr-CH"/>
        </w:rPr>
        <w:t xml:space="preserve"> Les récepteurs du GNSS doivent pouvoir fonctionner lorsque </w:t>
      </w:r>
      <w:r w:rsidRPr="00C76E39">
        <w:rPr>
          <w:i/>
          <w:lang w:val="fr-CH"/>
        </w:rPr>
        <w:t>C</w:t>
      </w:r>
      <w:r w:rsidRPr="00C76E39">
        <w:rPr>
          <w:lang w:val="fr-CH"/>
        </w:rPr>
        <w:t>/</w:t>
      </w:r>
      <w:r w:rsidRPr="00FC513B">
        <w:rPr>
          <w:i/>
          <w:lang w:val="fr-CH"/>
        </w:rPr>
        <w:t>N</w:t>
      </w:r>
      <w:r w:rsidRPr="00FC513B">
        <w:rPr>
          <w:iCs/>
          <w:position w:val="-4"/>
          <w:sz w:val="16"/>
          <w:lang w:val="fr-CH"/>
        </w:rPr>
        <w:t>0,</w:t>
      </w:r>
      <w:r w:rsidRPr="00FC513B">
        <w:rPr>
          <w:i/>
          <w:position w:val="-4"/>
          <w:sz w:val="16"/>
          <w:lang w:val="fr-CH"/>
        </w:rPr>
        <w:t>EFF</w:t>
      </w:r>
      <w:r>
        <w:t xml:space="preserve"> est proche de la valeur minimale, zone où des paramètres de qualité de fonctionnement importants comme le taux d'erreur sur les mots détecté ou l'erreur de phase de la porteuse augmentent rapidement lorsque le rapport </w:t>
      </w:r>
      <w:r w:rsidRPr="00C76E39">
        <w:rPr>
          <w:i/>
          <w:lang w:val="fr-CH"/>
        </w:rPr>
        <w:t>C</w:t>
      </w:r>
      <w:r w:rsidRPr="00C76E39">
        <w:rPr>
          <w:lang w:val="fr-CH"/>
        </w:rPr>
        <w:t>/</w:t>
      </w:r>
      <w:r w:rsidRPr="00C76E39">
        <w:rPr>
          <w:i/>
          <w:lang w:val="fr-CH"/>
        </w:rPr>
        <w:t>N</w:t>
      </w:r>
      <w:r w:rsidRPr="00C76E39">
        <w:rPr>
          <w:iCs/>
          <w:vertAlign w:val="subscript"/>
          <w:lang w:val="fr-CH"/>
        </w:rPr>
        <w:t>0,</w:t>
      </w:r>
      <w:r w:rsidRPr="00C76E39">
        <w:rPr>
          <w:i/>
          <w:vertAlign w:val="subscript"/>
          <w:lang w:val="fr-CH"/>
        </w:rPr>
        <w:t>EFF</w:t>
      </w:r>
      <w:r>
        <w:rPr>
          <w:i/>
          <w:vertAlign w:val="subscript"/>
          <w:lang w:val="fr-CH"/>
        </w:rPr>
        <w:t xml:space="preserve"> </w:t>
      </w:r>
      <w:r>
        <w:t>diminue légèrement en raison, par exemple du brouillage.</w:t>
      </w:r>
    </w:p>
    <w:p w:rsidR="005D5DF0" w:rsidRDefault="005D5DF0" w:rsidP="005D5DF0">
      <w:pPr>
        <w:pStyle w:val="Heading2"/>
        <w:rPr>
          <w:lang w:val="fr-CH"/>
        </w:rPr>
      </w:pPr>
      <w:r w:rsidRPr="004E375E">
        <w:rPr>
          <w:lang w:val="fr-CH"/>
        </w:rPr>
        <w:lastRenderedPageBreak/>
        <w:t>3.2</w:t>
      </w:r>
      <w:r w:rsidRPr="004E375E">
        <w:rPr>
          <w:lang w:val="fr-CH"/>
        </w:rPr>
        <w:tab/>
        <w:t xml:space="preserve">Marge de sécurité pour le GNSS </w:t>
      </w:r>
      <w:r>
        <w:rPr>
          <w:lang w:val="fr-CH"/>
        </w:rPr>
        <w:t>dans la</w:t>
      </w:r>
      <w:r w:rsidRPr="004E375E">
        <w:rPr>
          <w:lang w:val="fr-CH"/>
        </w:rPr>
        <w:t xml:space="preserve"> band</w:t>
      </w:r>
      <w:r>
        <w:rPr>
          <w:lang w:val="fr-CH"/>
        </w:rPr>
        <w:t>e</w:t>
      </w:r>
      <w:r w:rsidRPr="004E375E">
        <w:rPr>
          <w:lang w:val="fr-CH"/>
        </w:rPr>
        <w:t xml:space="preserve"> 1 </w:t>
      </w:r>
      <w:r>
        <w:rPr>
          <w:lang w:val="fr-CH"/>
        </w:rPr>
        <w:t>559</w:t>
      </w:r>
      <w:r w:rsidRPr="004E375E">
        <w:rPr>
          <w:lang w:val="fr-CH"/>
        </w:rPr>
        <w:t>-1 </w:t>
      </w:r>
      <w:r>
        <w:rPr>
          <w:lang w:val="fr-CH"/>
        </w:rPr>
        <w:t>610</w:t>
      </w:r>
      <w:r w:rsidRPr="004E375E">
        <w:rPr>
          <w:lang w:val="fr-CH"/>
        </w:rPr>
        <w:t xml:space="preserve"> MHz </w:t>
      </w:r>
    </w:p>
    <w:p w:rsidR="005D5DF0" w:rsidRPr="008D0CAD" w:rsidRDefault="005D5DF0" w:rsidP="005D5DF0">
      <w:pPr>
        <w:keepNext/>
        <w:keepLines/>
        <w:tabs>
          <w:tab w:val="left" w:pos="426"/>
        </w:tabs>
      </w:pPr>
      <w:r>
        <w:t>Comme pour les systèmes MLS et ILS, l'approche suivie pour le GNSS consiste à définir un niveau de brouillage radioélectrique non aéronautique (RFI)</w:t>
      </w:r>
      <w:r>
        <w:rPr>
          <w:rStyle w:val="FootnoteReference"/>
        </w:rPr>
        <w:footnoteReference w:id="4"/>
      </w:r>
      <w:r>
        <w:t xml:space="preserve"> que le récepteur doit pouvoir tolérer tout en fonctionnant conformément aux spécifications. Pour le GNSS, la limite test de brouillage RFI (c'est</w:t>
      </w:r>
      <w:r>
        <w:noBreakHyphen/>
        <w:t>à</w:t>
      </w:r>
      <w:r>
        <w:noBreakHyphen/>
        <w:t xml:space="preserve">dire le seuil nominal) est supérieure au niveau de brouillage environnemental cumulatif maximal admissible, d'une valeur correspondant à la marge de sécurité. Plus précisément, si la limite test de brouillage continu cumulatif pour le GNSS est </w:t>
      </w:r>
      <w:r w:rsidRPr="008D0CAD">
        <w:rPr>
          <w:i/>
        </w:rPr>
        <w:t>J</w:t>
      </w:r>
      <w:r w:rsidRPr="008D0CAD">
        <w:rPr>
          <w:i/>
          <w:iCs/>
          <w:vertAlign w:val="subscript"/>
        </w:rPr>
        <w:t>agg</w:t>
      </w:r>
      <w:r w:rsidRPr="008D0CAD">
        <w:rPr>
          <w:vertAlign w:val="subscript"/>
        </w:rPr>
        <w:t>,max</w:t>
      </w:r>
      <w:r w:rsidRPr="008D0CAD">
        <w:rPr>
          <w:iCs/>
        </w:rPr>
        <w:t xml:space="preserve"> (dBW) </w:t>
      </w:r>
      <w:r>
        <w:rPr>
          <w:iCs/>
        </w:rPr>
        <w:t>et si une marge de sécurité</w:t>
      </w:r>
      <w:r w:rsidRPr="008D0CAD">
        <w:t xml:space="preserve">, </w:t>
      </w:r>
      <w:r w:rsidRPr="008D0CAD">
        <w:rPr>
          <w:i/>
        </w:rPr>
        <w:t>M</w:t>
      </w:r>
      <w:r w:rsidRPr="008D0CAD">
        <w:rPr>
          <w:iCs/>
        </w:rPr>
        <w:t> (dB),</w:t>
      </w:r>
      <w:r w:rsidRPr="008D0CAD">
        <w:t xml:space="preserve"> </w:t>
      </w:r>
      <w:r>
        <w:t>est utilisée, niveau maximal du brouillage</w:t>
      </w:r>
      <w:r w:rsidRPr="008D0CAD">
        <w:t xml:space="preserve"> RFI</w:t>
      </w:r>
      <w:r>
        <w:t xml:space="preserve"> environnemental continu cumulatif sûr</w:t>
      </w:r>
      <w:r w:rsidRPr="008D0CAD">
        <w:t xml:space="preserve">, </w:t>
      </w:r>
      <w:r w:rsidRPr="008D0CAD">
        <w:rPr>
          <w:i/>
        </w:rPr>
        <w:t>J</w:t>
      </w:r>
      <w:r w:rsidRPr="008D0CAD">
        <w:rPr>
          <w:i/>
          <w:vertAlign w:val="subscript"/>
        </w:rPr>
        <w:t>safe</w:t>
      </w:r>
      <w:r w:rsidRPr="008D0CAD">
        <w:rPr>
          <w:vertAlign w:val="subscript"/>
        </w:rPr>
        <w:t>,max</w:t>
      </w:r>
      <w:r w:rsidRPr="008D0CAD">
        <w:t xml:space="preserve"> (dBW)</w:t>
      </w:r>
      <w:r>
        <w:t>, est</w:t>
      </w:r>
      <w:r w:rsidRPr="008D0CAD">
        <w:t>:</w:t>
      </w:r>
    </w:p>
    <w:p w:rsidR="005D5DF0" w:rsidRPr="008750D3" w:rsidRDefault="005D5DF0" w:rsidP="005D5DF0">
      <w:pPr>
        <w:pStyle w:val="Equation"/>
        <w:rPr>
          <w:lang w:val="fr-CH"/>
        </w:rPr>
      </w:pPr>
      <w:r w:rsidRPr="008D0CAD">
        <w:rPr>
          <w:i/>
        </w:rPr>
        <w:tab/>
      </w:r>
      <w:r w:rsidRPr="008D0CAD">
        <w:rPr>
          <w:i/>
        </w:rPr>
        <w:tab/>
      </w:r>
      <w:r w:rsidRPr="008750D3">
        <w:rPr>
          <w:i/>
          <w:lang w:val="fr-CH"/>
        </w:rPr>
        <w:t>J</w:t>
      </w:r>
      <w:r w:rsidRPr="008750D3">
        <w:rPr>
          <w:i/>
          <w:iCs/>
          <w:vertAlign w:val="subscript"/>
          <w:lang w:val="fr-CH"/>
        </w:rPr>
        <w:t>safe,</w:t>
      </w:r>
      <w:r w:rsidRPr="008750D3">
        <w:rPr>
          <w:vertAlign w:val="subscript"/>
          <w:lang w:val="fr-CH"/>
        </w:rPr>
        <w:t>max</w:t>
      </w:r>
      <w:r w:rsidRPr="008750D3">
        <w:rPr>
          <w:lang w:val="fr-CH"/>
        </w:rPr>
        <w:t xml:space="preserve"> = </w:t>
      </w:r>
      <w:r w:rsidRPr="008750D3">
        <w:rPr>
          <w:i/>
          <w:lang w:val="fr-CH"/>
        </w:rPr>
        <w:t>J</w:t>
      </w:r>
      <w:r w:rsidRPr="008750D3">
        <w:rPr>
          <w:i/>
          <w:iCs/>
          <w:vertAlign w:val="subscript"/>
          <w:lang w:val="fr-CH"/>
        </w:rPr>
        <w:t>agg,</w:t>
      </w:r>
      <w:r w:rsidRPr="008750D3">
        <w:rPr>
          <w:vertAlign w:val="subscript"/>
          <w:lang w:val="fr-CH"/>
        </w:rPr>
        <w:t>max</w:t>
      </w:r>
      <w:r w:rsidRPr="008750D3">
        <w:rPr>
          <w:lang w:val="fr-CH"/>
        </w:rPr>
        <w:t xml:space="preserve"> – </w:t>
      </w:r>
      <w:r w:rsidRPr="008750D3">
        <w:rPr>
          <w:i/>
          <w:lang w:val="fr-CH"/>
        </w:rPr>
        <w:t>M</w:t>
      </w:r>
    </w:p>
    <w:p w:rsidR="005D5DF0" w:rsidRPr="003E060F" w:rsidRDefault="005D5DF0" w:rsidP="005D5DF0">
      <w:pPr>
        <w:rPr>
          <w:lang w:val="fr-CH"/>
        </w:rPr>
      </w:pPr>
      <w:r>
        <w:rPr>
          <w:lang w:val="fr-CH"/>
        </w:rPr>
        <w:t>Pour</w:t>
      </w:r>
      <w:r w:rsidRPr="003E060F">
        <w:rPr>
          <w:lang w:val="fr-CH"/>
        </w:rPr>
        <w:t xml:space="preserve"> le GNSS dans la bande 1 559-1 610 MHz, </w:t>
      </w:r>
      <w:r>
        <w:rPr>
          <w:lang w:val="fr-CH"/>
        </w:rPr>
        <w:t>la marge de sécurité nécessaire,</w:t>
      </w:r>
      <w:r w:rsidRPr="003E060F">
        <w:rPr>
          <w:lang w:val="fr-CH"/>
        </w:rPr>
        <w:t xml:space="preserve"> </w:t>
      </w:r>
      <w:r w:rsidRPr="003E060F">
        <w:rPr>
          <w:i/>
          <w:lang w:val="fr-CH"/>
        </w:rPr>
        <w:t>M</w:t>
      </w:r>
      <w:r w:rsidRPr="003E060F">
        <w:rPr>
          <w:lang w:val="fr-CH"/>
        </w:rPr>
        <w:t xml:space="preserve"> (dB), </w:t>
      </w:r>
      <w:r>
        <w:rPr>
          <w:lang w:val="fr-CH"/>
        </w:rPr>
        <w:t>est de </w:t>
      </w:r>
      <w:r w:rsidRPr="003E060F">
        <w:rPr>
          <w:lang w:val="fr-CH"/>
        </w:rPr>
        <w:t>6 dB.</w:t>
      </w:r>
    </w:p>
    <w:p w:rsidR="005D5DF0" w:rsidRPr="00B325B0" w:rsidRDefault="005D5DF0" w:rsidP="005D5DF0">
      <w:pPr>
        <w:rPr>
          <w:lang w:val="fr-CH"/>
        </w:rPr>
      </w:pPr>
      <w:r>
        <w:rPr>
          <w:lang w:val="fr-CH"/>
        </w:rPr>
        <w:t>On a utilisé une marge de sécurité</w:t>
      </w:r>
      <w:r w:rsidRPr="00B325B0">
        <w:rPr>
          <w:lang w:val="fr-CH"/>
        </w:rPr>
        <w:t xml:space="preserve"> de 5,6 dB </w:t>
      </w:r>
      <w:r>
        <w:rPr>
          <w:lang w:val="fr-CH"/>
        </w:rPr>
        <w:t>pour définir la</w:t>
      </w:r>
      <w:r w:rsidRPr="00B325B0">
        <w:rPr>
          <w:lang w:val="fr-CH"/>
        </w:rPr>
        <w:t xml:space="preserve"> valeur limite de –70 dB(W/MHz) </w:t>
      </w:r>
      <w:r>
        <w:rPr>
          <w:lang w:val="fr-CH"/>
        </w:rPr>
        <w:t>(voir </w:t>
      </w:r>
      <w:r w:rsidRPr="00B325B0">
        <w:rPr>
          <w:lang w:val="fr-CH"/>
        </w:rPr>
        <w:t>la Recommandation UIT-R M.1343</w:t>
      </w:r>
      <w:r>
        <w:rPr>
          <w:lang w:val="fr-CH"/>
        </w:rPr>
        <w:t>)</w:t>
      </w:r>
      <w:r w:rsidRPr="00B325B0">
        <w:rPr>
          <w:lang w:val="fr-CH"/>
        </w:rPr>
        <w:t>. Toutefois, pour les applications générales, cette marge est légèrement augmentée pour atteindre 6 dB, valeur comprise dans l'intervalle défini pour les services de sécurité, et adopté</w:t>
      </w:r>
      <w:r>
        <w:rPr>
          <w:lang w:val="fr-CH"/>
        </w:rPr>
        <w:t>e</w:t>
      </w:r>
      <w:r w:rsidRPr="00B325B0">
        <w:rPr>
          <w:lang w:val="fr-CH"/>
        </w:rPr>
        <w:t xml:space="preserve"> par l'UIT-R pour d'autres applications liées </w:t>
      </w:r>
      <w:r>
        <w:rPr>
          <w:lang w:val="fr-CH"/>
        </w:rPr>
        <w:t>à la sécurité de la vie humaine</w:t>
      </w:r>
      <w:r w:rsidRPr="00B325B0">
        <w:rPr>
          <w:lang w:val="fr-CH"/>
        </w:rPr>
        <w:t xml:space="preserve"> </w:t>
      </w:r>
      <w:r>
        <w:rPr>
          <w:lang w:val="fr-CH"/>
        </w:rPr>
        <w:t>(voir § 3.1 ci</w:t>
      </w:r>
      <w:r>
        <w:rPr>
          <w:lang w:val="fr-CH"/>
        </w:rPr>
        <w:noBreakHyphen/>
        <w:t>dessus).</w:t>
      </w:r>
      <w:r w:rsidRPr="00B325B0">
        <w:rPr>
          <w:lang w:val="fr-CH"/>
        </w:rPr>
        <w:t xml:space="preserve"> </w:t>
      </w:r>
    </w:p>
    <w:p w:rsidR="005D5DF0" w:rsidRDefault="005D5DF0" w:rsidP="005D5DF0">
      <w:r>
        <w:rPr>
          <w:lang w:val="fr-CH"/>
        </w:rPr>
        <w:t>Par exemple un récepteur</w:t>
      </w:r>
      <w:r w:rsidRPr="00B325B0">
        <w:rPr>
          <w:lang w:val="fr-CH"/>
        </w:rPr>
        <w:t xml:space="preserve"> de navigation aérienne SBAS</w:t>
      </w:r>
      <w:r>
        <w:rPr>
          <w:lang w:val="fr-CH"/>
        </w:rPr>
        <w:t xml:space="preserve"> de type 1</w:t>
      </w:r>
      <w:r w:rsidRPr="00B325B0">
        <w:rPr>
          <w:lang w:val="fr-CH"/>
        </w:rPr>
        <w:t xml:space="preserve"> offrant une approche de précision de catégorie I</w:t>
      </w:r>
      <w:r>
        <w:rPr>
          <w:lang w:val="fr-CH"/>
        </w:rPr>
        <w:t xml:space="preserve"> (voir Tableau 2 de l'Annexe 2)</w:t>
      </w:r>
      <w:r w:rsidRPr="00B325B0">
        <w:rPr>
          <w:lang w:val="fr-CH"/>
        </w:rPr>
        <w:t xml:space="preserve"> </w:t>
      </w:r>
      <w:r>
        <w:rPr>
          <w:lang w:val="fr-CH"/>
        </w:rPr>
        <w:t xml:space="preserve">et fonctionnant dans la bande </w:t>
      </w:r>
      <w:r>
        <w:t>1 575,</w:t>
      </w:r>
      <w:r w:rsidRPr="00475D6E">
        <w:t xml:space="preserve">42 </w:t>
      </w:r>
      <w:r w:rsidRPr="000039B1">
        <w:sym w:font="Symbol" w:char="00B1"/>
      </w:r>
      <w:r w:rsidRPr="00475D6E">
        <w:t xml:space="preserve"> 12 MHz est conçu et testé pour tolérer un seuil de brouillage cumulatif large bande de</w:t>
      </w:r>
      <w:r w:rsidRPr="00B325B0">
        <w:rPr>
          <w:lang w:val="fr-CH"/>
        </w:rPr>
        <w:t xml:space="preserve"> –140,5 dB(W/MHz)</w:t>
      </w:r>
      <w:r>
        <w:rPr>
          <w:lang w:val="fr-CH"/>
        </w:rPr>
        <w:t xml:space="preserve"> en mode poursuite</w:t>
      </w:r>
      <w:r w:rsidRPr="00B325B0">
        <w:rPr>
          <w:lang w:val="fr-CH"/>
        </w:rPr>
        <w:t xml:space="preserve">. </w:t>
      </w:r>
      <w:r>
        <w:rPr>
          <w:lang w:val="fr-CH"/>
        </w:rPr>
        <w:t>En appliquant une masse de sécurité de 6 dB comme dans l'équation ci</w:t>
      </w:r>
      <w:r>
        <w:rPr>
          <w:lang w:val="fr-CH"/>
        </w:rPr>
        <w:noBreakHyphen/>
        <w:t xml:space="preserve">dessus au niveau seuil de brouillage cumulatif, on obtient une valeur de </w:t>
      </w:r>
      <w:r>
        <w:t>−146,</w:t>
      </w:r>
      <w:r w:rsidRPr="00824F57">
        <w:t>5 dB(W/MHz)</w:t>
      </w:r>
      <w:r>
        <w:t xml:space="preserve"> pour le niveau de brouillage admissible reçu.</w:t>
      </w:r>
    </w:p>
    <w:p w:rsidR="005D5DF0" w:rsidRPr="00824F57" w:rsidRDefault="005D5DF0" w:rsidP="005D5DF0">
      <w:r>
        <w:t>La protection des applications du GNSS liées à la sécurité de la vie humaine exige une marge de sûreté aéronautique d'au moins 6 dB. Des marges supplémentaires peuvent s'avérer indispensables, en fonction:</w:t>
      </w:r>
    </w:p>
    <w:p w:rsidR="005D5DF0" w:rsidRPr="00B325B0" w:rsidRDefault="005D5DF0" w:rsidP="005D5DF0">
      <w:pPr>
        <w:pStyle w:val="enumlev1"/>
        <w:rPr>
          <w:lang w:val="fr-CH"/>
        </w:rPr>
      </w:pPr>
      <w:r w:rsidRPr="00B325B0">
        <w:rPr>
          <w:lang w:val="fr-CH"/>
        </w:rPr>
        <w:t>–</w:t>
      </w:r>
      <w:r w:rsidRPr="00B325B0">
        <w:rPr>
          <w:lang w:val="fr-CH"/>
        </w:rPr>
        <w:tab/>
        <w:t xml:space="preserve">de l'incidence des statistiques sur tous les paramètres pris en considération dans les analyses de brouillage, à moins que la situation la plus défavorable ait été </w:t>
      </w:r>
      <w:r>
        <w:rPr>
          <w:lang w:val="fr-CH"/>
        </w:rPr>
        <w:t>prise pour hypothèse</w:t>
      </w:r>
      <w:r w:rsidRPr="00B325B0">
        <w:rPr>
          <w:lang w:val="fr-CH"/>
        </w:rPr>
        <w:t>; et</w:t>
      </w:r>
    </w:p>
    <w:p w:rsidR="005D5DF0" w:rsidRDefault="005D5DF0" w:rsidP="005D5DF0">
      <w:pPr>
        <w:pStyle w:val="enumlev1"/>
        <w:rPr>
          <w:lang w:val="fr-CH"/>
        </w:rPr>
      </w:pPr>
      <w:r w:rsidRPr="00B325B0">
        <w:rPr>
          <w:lang w:val="fr-CH"/>
        </w:rPr>
        <w:t>–</w:t>
      </w:r>
      <w:r w:rsidRPr="00B325B0">
        <w:rPr>
          <w:lang w:val="fr-CH"/>
        </w:rPr>
        <w:tab/>
        <w:t>des sources de brouillages RF qui n'ont pas été spécifiquement prises en compte dans les analyses de brouillage, mais qui risquent de contribuer au brouillage du GNSS.</w:t>
      </w:r>
    </w:p>
    <w:p w:rsidR="005D5DF0" w:rsidRPr="00B325B0" w:rsidRDefault="005D5DF0" w:rsidP="005D5DF0">
      <w:pPr>
        <w:pStyle w:val="Heading2"/>
        <w:rPr>
          <w:lang w:val="fr-CH"/>
        </w:rPr>
      </w:pPr>
      <w:r>
        <w:rPr>
          <w:lang w:val="fr-CH"/>
        </w:rPr>
        <w:t>3.3</w:t>
      </w:r>
      <w:r>
        <w:rPr>
          <w:lang w:val="fr-CH"/>
        </w:rPr>
        <w:tab/>
        <w:t>Radionavigation aéronautique: répartition des risques de brouillage et mises en conformité</w:t>
      </w:r>
    </w:p>
    <w:p w:rsidR="005D5DF0" w:rsidRPr="00B325B0" w:rsidRDefault="005D5DF0" w:rsidP="005D5DF0">
      <w:pPr>
        <w:pStyle w:val="Heading3"/>
        <w:rPr>
          <w:lang w:val="fr-CH"/>
        </w:rPr>
      </w:pPr>
      <w:bookmarkStart w:id="4" w:name="_Toc115520728"/>
      <w:r>
        <w:rPr>
          <w:lang w:val="fr-CH"/>
        </w:rPr>
        <w:t>3.3.1</w:t>
      </w:r>
      <w:r w:rsidRPr="00B325B0">
        <w:rPr>
          <w:lang w:val="fr-CH"/>
        </w:rPr>
        <w:tab/>
        <w:t>Répartition des risques de brouillage</w:t>
      </w:r>
      <w:bookmarkEnd w:id="4"/>
    </w:p>
    <w:p w:rsidR="00E06EFC" w:rsidRDefault="005D5DF0" w:rsidP="00E06EFC">
      <w:pPr>
        <w:rPr>
          <w:lang w:val="fr-CH"/>
        </w:rPr>
      </w:pPr>
      <w:r w:rsidRPr="00B325B0">
        <w:rPr>
          <w:lang w:val="fr-CH"/>
        </w:rPr>
        <w:t xml:space="preserve">Les analyses de brouillage qui sont utilisées pour les réseaux de communications et qui reposent sur la notion de non-disponibilité du service, ne sont pas applicables aux services liés à la sécurité de la vie humaine puisque l'interruption d'un service de ce type n'est pas acceptable dès lors que sa fréquence dépasse un seuil de </w:t>
      </w:r>
      <w:r w:rsidRPr="00CF3425">
        <w:t>1 </w:t>
      </w:r>
      <w:r w:rsidRPr="000039B1">
        <w:rPr>
          <w:rFonts w:ascii="Symbol" w:hAnsi="Symbol"/>
        </w:rPr>
        <w:t></w:t>
      </w:r>
      <w:r w:rsidRPr="00CF3425">
        <w:t> 10</w:t>
      </w:r>
      <w:r w:rsidRPr="00CF3425">
        <w:rPr>
          <w:position w:val="6"/>
          <w:sz w:val="16"/>
        </w:rPr>
        <w:t>−6</w:t>
      </w:r>
      <w:r w:rsidRPr="00CF3425">
        <w:t xml:space="preserve">/h </w:t>
      </w:r>
      <w:r w:rsidRPr="00B325B0">
        <w:rPr>
          <w:lang w:val="fr-CH"/>
        </w:rPr>
        <w:t>(voir ci</w:t>
      </w:r>
      <w:r w:rsidRPr="00B325B0">
        <w:rPr>
          <w:lang w:val="fr-CH"/>
        </w:rPr>
        <w:noBreakHyphen/>
        <w:t>dessous). De plus, elles ne prennent pas en compte les rayonnements non essentiels imputables au vieillissement ou au mauvais fonctionnement du matériel, ainsi qu'aux variations de la qualité de fonctionnement obs</w:t>
      </w:r>
      <w:r w:rsidR="00E06EFC">
        <w:rPr>
          <w:lang w:val="fr-CH"/>
        </w:rPr>
        <w:t xml:space="preserve">ervées d'un appareil à l'autre. </w:t>
      </w:r>
    </w:p>
    <w:p w:rsidR="005D5DF0" w:rsidRPr="00B325B0" w:rsidRDefault="005D5DF0" w:rsidP="00E06EFC">
      <w:pPr>
        <w:rPr>
          <w:lang w:val="fr-CH"/>
        </w:rPr>
      </w:pPr>
      <w:r w:rsidRPr="00B325B0">
        <w:rPr>
          <w:lang w:val="fr-CH"/>
        </w:rPr>
        <w:lastRenderedPageBreak/>
        <w:t xml:space="preserve">De plus, il est tentant de ne pas tenir compte de l'effet des sources de brouillage dont la présence n'est pas systématique. Toutefois, les spécialistes de l'aéronautique s'emploient à quantifier les risques associés à des événements susceptibles de provoquer des interruptions du service ou d'être à l'origine d'informations trompeuses, même à des événements qui peuvent être considérés comme très improbables. </w:t>
      </w:r>
    </w:p>
    <w:p w:rsidR="005D5DF0" w:rsidRPr="00B325B0" w:rsidRDefault="005D5DF0" w:rsidP="005D5DF0">
      <w:pPr>
        <w:rPr>
          <w:lang w:val="fr-CH"/>
        </w:rPr>
      </w:pPr>
      <w:r w:rsidRPr="00B325B0">
        <w:rPr>
          <w:lang w:val="fr-CH"/>
        </w:rPr>
        <w:t>Les équipements aéronautiques doivent impérativement être conçus pour prendre en charge des événements très rares, dans l'hypothèse où ces derniers se produisent effectivement. Puisque le nombre d'heures de vol des appareils civils se compte par millions chaque année, la probabilité d'occurrence à un endroit quelconque au cours d'une année d'un événement très rare (</w:t>
      </w:r>
      <w:r w:rsidRPr="00CF3425">
        <w:t>1 </w:t>
      </w:r>
      <w:r w:rsidRPr="000039B1">
        <w:rPr>
          <w:rFonts w:ascii="Symbol" w:hAnsi="Symbol"/>
        </w:rPr>
        <w:t></w:t>
      </w:r>
      <w:r w:rsidRPr="00CF3425">
        <w:t> 10</w:t>
      </w:r>
      <w:r w:rsidRPr="00CF3425">
        <w:rPr>
          <w:position w:val="6"/>
          <w:sz w:val="16"/>
        </w:rPr>
        <w:t>−6</w:t>
      </w:r>
      <w:r w:rsidRPr="00CF3425">
        <w:t>/h</w:t>
      </w:r>
      <w:r w:rsidRPr="00B325B0">
        <w:rPr>
          <w:lang w:val="fr-CH"/>
        </w:rPr>
        <w:t>) est une quasi-certitude. Aussi importe-t-il de prendre conscience de la nécessité d'évaluer les risques en cause lors de la réalisation des analyses de brouillage.</w:t>
      </w:r>
    </w:p>
    <w:p w:rsidR="005D5DF0" w:rsidRPr="00B325B0" w:rsidRDefault="005D5DF0" w:rsidP="005D5DF0">
      <w:pPr>
        <w:rPr>
          <w:lang w:val="fr-CH"/>
        </w:rPr>
      </w:pPr>
      <w:r w:rsidRPr="00B325B0">
        <w:rPr>
          <w:lang w:val="fr-CH"/>
        </w:rPr>
        <w:t xml:space="preserve">Les normes de l'OACI concernant les récepteurs SBAS </w:t>
      </w:r>
      <w:r>
        <w:rPr>
          <w:lang w:val="fr-CH"/>
        </w:rPr>
        <w:t xml:space="preserve">(système complémentaire basé sur des satellites) </w:t>
      </w:r>
      <w:r w:rsidRPr="00B325B0">
        <w:rPr>
          <w:lang w:val="fr-CH"/>
        </w:rPr>
        <w:t>et GBAS</w:t>
      </w:r>
      <w:r>
        <w:rPr>
          <w:lang w:val="fr-CH"/>
        </w:rPr>
        <w:t xml:space="preserve"> (système complémentaire basé au sol)</w:t>
      </w:r>
      <w:r w:rsidRPr="00B325B0">
        <w:rPr>
          <w:lang w:val="fr-CH"/>
        </w:rPr>
        <w:t xml:space="preserve"> aéroportés du GNSS exigent l'annonce d'une alerte de navigation lorsque le niveau de sensibilité d'un récepteur aux brouillages RF est dépassé. L'analyse des risques associés au GNSS évalue à </w:t>
      </w:r>
      <w:r w:rsidRPr="00CF3425">
        <w:t>1 </w:t>
      </w:r>
      <w:r w:rsidRPr="000039B1">
        <w:rPr>
          <w:rFonts w:ascii="Symbol" w:hAnsi="Symbol"/>
        </w:rPr>
        <w:t></w:t>
      </w:r>
      <w:r w:rsidRPr="00CF3425">
        <w:t> 10</w:t>
      </w:r>
      <w:r w:rsidRPr="00CF3425">
        <w:rPr>
          <w:position w:val="6"/>
          <w:sz w:val="16"/>
        </w:rPr>
        <w:t>−5</w:t>
      </w:r>
      <w:r w:rsidRPr="00CF3425">
        <w:t xml:space="preserve"> </w:t>
      </w:r>
      <w:r w:rsidRPr="00B325B0">
        <w:rPr>
          <w:lang w:val="fr-CH"/>
        </w:rPr>
        <w:t xml:space="preserve">par approche la probabilité de perte de continuité due à un brouillage ne provenant pas du GNSS, </w:t>
      </w:r>
      <w:r>
        <w:rPr>
          <w:lang w:val="fr-CH"/>
        </w:rPr>
        <w:t>lors des approches de catégorie </w:t>
      </w:r>
      <w:r w:rsidRPr="00B325B0">
        <w:rPr>
          <w:lang w:val="fr-CH"/>
        </w:rPr>
        <w:t xml:space="preserve">I. L'exigence de continuité vise à limiter la fréquence des événements de brouillages RF à un événement pour 100 000 approches. Au cours des approches de précision, la marge de sécurité aéronautique de 6 dB risque d'être absorbée par les variations du rapport </w:t>
      </w:r>
      <w:r w:rsidRPr="00CF3425">
        <w:rPr>
          <w:i/>
        </w:rPr>
        <w:t>C</w:t>
      </w:r>
      <w:r w:rsidRPr="00CF3425">
        <w:t>/</w:t>
      </w:r>
      <w:r w:rsidRPr="00CF3425">
        <w:rPr>
          <w:i/>
        </w:rPr>
        <w:t>N</w:t>
      </w:r>
      <w:r w:rsidRPr="00CF3425">
        <w:rPr>
          <w:vertAlign w:val="subscript"/>
        </w:rPr>
        <w:t>0,</w:t>
      </w:r>
      <w:r w:rsidRPr="00CF3425">
        <w:rPr>
          <w:i/>
          <w:vertAlign w:val="subscript"/>
        </w:rPr>
        <w:t>EFF</w:t>
      </w:r>
      <w:r w:rsidRPr="00B325B0">
        <w:rPr>
          <w:lang w:val="fr-CH"/>
        </w:rPr>
        <w:t xml:space="preserve"> du GNSS, tel qu'indiqué dans le § </w:t>
      </w:r>
      <w:r>
        <w:rPr>
          <w:lang w:val="fr-CH"/>
        </w:rPr>
        <w:t>3.1</w:t>
      </w:r>
      <w:r w:rsidRPr="00B325B0">
        <w:rPr>
          <w:lang w:val="fr-CH"/>
        </w:rPr>
        <w:t>. Aussi, toute augmentation du niveau de brouillage dû aux services non aéronau</w:t>
      </w:r>
      <w:r>
        <w:rPr>
          <w:lang w:val="fr-CH"/>
        </w:rPr>
        <w:t xml:space="preserve">tiques au-delà de la limite de </w:t>
      </w:r>
      <w:r w:rsidRPr="00155902">
        <w:rPr>
          <w:lang w:val="fr-CH"/>
        </w:rPr>
        <w:t>–</w:t>
      </w:r>
      <w:r w:rsidRPr="00B325B0">
        <w:rPr>
          <w:lang w:val="fr-CH"/>
        </w:rPr>
        <w:t>146,5 dB(W/MHz) (d'après l'exemple cité au §</w:t>
      </w:r>
      <w:r>
        <w:rPr>
          <w:lang w:val="fr-CH"/>
        </w:rPr>
        <w:t> 3.2</w:t>
      </w:r>
      <w:r w:rsidRPr="00B325B0">
        <w:rPr>
          <w:lang w:val="fr-CH"/>
        </w:rPr>
        <w:t>) provoquerait-elle un événement de perte de continui</w:t>
      </w:r>
      <w:r>
        <w:rPr>
          <w:lang w:val="fr-CH"/>
        </w:rPr>
        <w:t xml:space="preserve">té au niveau du récepteur GNSS. </w:t>
      </w:r>
      <w:r w:rsidRPr="00B325B0">
        <w:rPr>
          <w:lang w:val="fr-CH"/>
        </w:rPr>
        <w:t>La définition de la marge de sécuri</w:t>
      </w:r>
      <w:r>
        <w:rPr>
          <w:lang w:val="fr-CH"/>
        </w:rPr>
        <w:t>té propre à l'UIT</w:t>
      </w:r>
      <w:r>
        <w:rPr>
          <w:lang w:val="fr-CH"/>
        </w:rPr>
        <w:noBreakHyphen/>
        <w:t>R indiquée au § 3.1</w:t>
      </w:r>
      <w:r w:rsidRPr="00B325B0">
        <w:rPr>
          <w:lang w:val="fr-CH"/>
        </w:rPr>
        <w:t xml:space="preserve"> pour les systèmes d'atterrissage aux instruments privilégie cette interprétation. Tel qu'indiqué, les perturbations radioélectriques sont alors évaluées pour une valeur minimale du rapport </w:t>
      </w:r>
      <w:r w:rsidRPr="00B958BF">
        <w:rPr>
          <w:i/>
        </w:rPr>
        <w:t>C</w:t>
      </w:r>
      <w:r w:rsidRPr="00B958BF">
        <w:t>/</w:t>
      </w:r>
      <w:r w:rsidRPr="00B958BF">
        <w:rPr>
          <w:i/>
        </w:rPr>
        <w:t>N</w:t>
      </w:r>
      <w:r w:rsidRPr="00B958BF">
        <w:rPr>
          <w:vertAlign w:val="subscript"/>
        </w:rPr>
        <w:t>0,</w:t>
      </w:r>
      <w:r w:rsidRPr="00B958BF">
        <w:rPr>
          <w:i/>
          <w:vertAlign w:val="subscript"/>
        </w:rPr>
        <w:t>EFF</w:t>
      </w:r>
      <w:r w:rsidRPr="00B325B0">
        <w:rPr>
          <w:lang w:val="fr-CH"/>
        </w:rPr>
        <w:t>, en certains points de l'espace couverts par le système ILS. Autrement dit, l'existence d'une marge de sécurité ne revient pas à attribuer une probabilité au signal de brouillage.</w:t>
      </w:r>
    </w:p>
    <w:p w:rsidR="005D5DF0" w:rsidRPr="00B325B0" w:rsidRDefault="005D5DF0" w:rsidP="005D5DF0">
      <w:pPr>
        <w:pStyle w:val="Heading3"/>
        <w:rPr>
          <w:lang w:val="fr-CH"/>
        </w:rPr>
      </w:pPr>
      <w:bookmarkStart w:id="5" w:name="_Toc115520729"/>
      <w:r>
        <w:rPr>
          <w:lang w:val="fr-CH"/>
        </w:rPr>
        <w:t>3.3.2</w:t>
      </w:r>
      <w:r w:rsidRPr="00B325B0">
        <w:rPr>
          <w:lang w:val="fr-CH"/>
        </w:rPr>
        <w:tab/>
        <w:t>Mises en conformité</w:t>
      </w:r>
      <w:bookmarkEnd w:id="5"/>
    </w:p>
    <w:p w:rsidR="005D5DF0" w:rsidRPr="00B325B0" w:rsidRDefault="005D5DF0" w:rsidP="005D5DF0">
      <w:pPr>
        <w:rPr>
          <w:lang w:val="fr-CH"/>
        </w:rPr>
      </w:pPr>
      <w:r w:rsidRPr="00B325B0">
        <w:rPr>
          <w:lang w:val="fr-CH"/>
        </w:rPr>
        <w:t>Tout projet de partage d'une bande SRNA/SRNS doit prendre en considération les modes de défaillance du service fourni. Le projet doit nécessairement définir toutes les défaillances susceptibles de menacer l'ancien service de sécurité et fournir la description de ces modes de défaillance. Il faut également que le projet en question traite des modalités de notification aux usagers du service de sécurité et analyse le temps nécessaire à cette notification. Le projet doit en outre indiquer comment les principales caractéristiques de toutes les défaillances à envisager seront archivées en vue d'une analyse ultérieure. Parmi les défaillances en question, devraient figurer notamment les glissements de fréquences dans la bande d'émission ou les émissions hors bande; les glissements à l'intérieur du spectre d'émission –</w:t>
      </w:r>
      <w:r>
        <w:rPr>
          <w:lang w:val="fr-CH"/>
        </w:rPr>
        <w:t xml:space="preserve"> </w:t>
      </w:r>
      <w:r w:rsidRPr="00B325B0">
        <w:rPr>
          <w:lang w:val="fr-CH"/>
        </w:rPr>
        <w:t>par exemple bande étroite et large bande</w:t>
      </w:r>
      <w:r>
        <w:rPr>
          <w:lang w:val="fr-CH"/>
        </w:rPr>
        <w:t xml:space="preserve"> </w:t>
      </w:r>
      <w:r w:rsidRPr="00B325B0">
        <w:rPr>
          <w:lang w:val="fr-CH"/>
        </w:rPr>
        <w:t>– devraient également être pris en compte.</w:t>
      </w:r>
    </w:p>
    <w:p w:rsidR="005D5DF0" w:rsidRDefault="005D5DF0" w:rsidP="005D5DF0">
      <w:pPr>
        <w:rPr>
          <w:lang w:val="fr-CH"/>
        </w:rPr>
      </w:pPr>
      <w:r w:rsidRPr="00B325B0">
        <w:rPr>
          <w:lang w:val="fr-CH"/>
        </w:rPr>
        <w:t xml:space="preserve">Le projet doit en outre indiquer précisément comment la marge de sécurité proposée serait observée en présence de tous les scénarios de fonctionnement appropriés. Ces analyses devraient notamment comporter des calculs d'affaiblissement sur la voie de transmission depuis l'émetteur du service proposé jusqu'à tous les usagers du service de sécurité. Ces analyses devraient prendre en considération tous les niveaux de proximité probables du service proposé par rapport aux utilisateurs du service de sécurité en situation d'urgence qui se trouvent dans des aéronefs, à bord de navires ou au sol. </w:t>
      </w:r>
    </w:p>
    <w:p w:rsidR="005D5DF0" w:rsidRPr="00B325B0" w:rsidRDefault="005D5DF0" w:rsidP="005D5DF0">
      <w:pPr>
        <w:rPr>
          <w:lang w:val="fr-CH"/>
        </w:rPr>
      </w:pPr>
      <w:r w:rsidRPr="00B325B0">
        <w:rPr>
          <w:lang w:val="fr-CH"/>
        </w:rPr>
        <w:lastRenderedPageBreak/>
        <w:t>Par ailleurs, le projet devrait aussi étudier l'éventualité de la présence de plusieurs sources de brouillage, ainsi que la proximité probable du service proposé par rapport aux installations radioélectriques fixes utilisées par le service de sécurité.</w:t>
      </w:r>
    </w:p>
    <w:p w:rsidR="005D5DF0" w:rsidRPr="00B325B0" w:rsidRDefault="005D5DF0" w:rsidP="005D5DF0">
      <w:pPr>
        <w:rPr>
          <w:lang w:val="fr-CH"/>
        </w:rPr>
      </w:pPr>
      <w:r w:rsidRPr="00B325B0">
        <w:rPr>
          <w:lang w:val="fr-CH"/>
        </w:rPr>
        <w:t>Enfin, le projet devrait examiner l'incidence sur le service de sécurité des ajouts récents ou prévus.</w:t>
      </w:r>
    </w:p>
    <w:p w:rsidR="005D5DF0" w:rsidRPr="00B325B0" w:rsidRDefault="005D5DF0" w:rsidP="005D5DF0">
      <w:pPr>
        <w:pStyle w:val="Heading2"/>
        <w:rPr>
          <w:lang w:val="fr-CH"/>
        </w:rPr>
      </w:pPr>
      <w:bookmarkStart w:id="6" w:name="_Toc115520730"/>
      <w:r>
        <w:rPr>
          <w:lang w:val="fr-CH"/>
        </w:rPr>
        <w:t>3.4</w:t>
      </w:r>
      <w:r w:rsidRPr="00B325B0">
        <w:rPr>
          <w:lang w:val="fr-CH"/>
        </w:rPr>
        <w:tab/>
        <w:t>Conclusions</w:t>
      </w:r>
      <w:bookmarkEnd w:id="6"/>
    </w:p>
    <w:p w:rsidR="005D5DF0" w:rsidRPr="00B325B0" w:rsidRDefault="005D5DF0" w:rsidP="005D5DF0">
      <w:pPr>
        <w:rPr>
          <w:lang w:val="fr-CH"/>
        </w:rPr>
      </w:pPr>
      <w:r w:rsidRPr="00246628">
        <w:rPr>
          <w:b/>
          <w:bCs/>
          <w:lang w:val="fr-CH"/>
        </w:rPr>
        <w:t>1</w:t>
      </w:r>
      <w:r w:rsidRPr="00B325B0">
        <w:rPr>
          <w:lang w:val="fr-CH"/>
        </w:rPr>
        <w:tab/>
        <w:t xml:space="preserve">La marge de sécurité de 6 dB du GNSS se traduit par une marge </w:t>
      </w:r>
      <w:r>
        <w:rPr>
          <w:lang w:val="fr-CH"/>
        </w:rPr>
        <w:t>bien inférieure à 6 dB</w:t>
      </w:r>
      <w:r w:rsidRPr="00B325B0">
        <w:rPr>
          <w:lang w:val="fr-CH"/>
        </w:rPr>
        <w:t xml:space="preserve"> pour le rapport </w:t>
      </w:r>
      <w:r w:rsidRPr="00BF0864">
        <w:rPr>
          <w:i/>
        </w:rPr>
        <w:t>C</w:t>
      </w:r>
      <w:r w:rsidRPr="00BF0864">
        <w:t>/</w:t>
      </w:r>
      <w:r w:rsidRPr="00BF0864">
        <w:rPr>
          <w:i/>
        </w:rPr>
        <w:t>N</w:t>
      </w:r>
      <w:r w:rsidRPr="00BF0864">
        <w:rPr>
          <w:vertAlign w:val="subscript"/>
        </w:rPr>
        <w:t>0,</w:t>
      </w:r>
      <w:r w:rsidRPr="00BF0864">
        <w:rPr>
          <w:i/>
          <w:vertAlign w:val="subscript"/>
        </w:rPr>
        <w:t>EFF</w:t>
      </w:r>
      <w:r w:rsidRPr="00B325B0">
        <w:rPr>
          <w:lang w:val="fr-CH"/>
        </w:rPr>
        <w:t xml:space="preserve">. Cette valeur du rapport </w:t>
      </w:r>
      <w:r w:rsidRPr="00BF0864">
        <w:rPr>
          <w:i/>
        </w:rPr>
        <w:t>C</w:t>
      </w:r>
      <w:r w:rsidRPr="00BF0864">
        <w:t>/</w:t>
      </w:r>
      <w:r w:rsidRPr="00BF0864">
        <w:rPr>
          <w:i/>
        </w:rPr>
        <w:t>N</w:t>
      </w:r>
      <w:r w:rsidRPr="00BF0864">
        <w:rPr>
          <w:vertAlign w:val="subscript"/>
        </w:rPr>
        <w:t>0,</w:t>
      </w:r>
      <w:r w:rsidRPr="00BF0864">
        <w:rPr>
          <w:i/>
          <w:vertAlign w:val="subscript"/>
        </w:rPr>
        <w:t>EFF</w:t>
      </w:r>
      <w:r w:rsidRPr="00BF0864">
        <w:t xml:space="preserve"> </w:t>
      </w:r>
      <w:r w:rsidRPr="00B325B0">
        <w:rPr>
          <w:lang w:val="fr-CH"/>
        </w:rPr>
        <w:t>est inférieure aux marges de sécurité établies pour d'autres systèmes de navigation définis par l'OACI, mais elle est comprise dans l'intervalle des valeurs de marges admises au sein de l'UIT-R pour les services de sécurité.</w:t>
      </w:r>
    </w:p>
    <w:p w:rsidR="005D5DF0" w:rsidRPr="00B325B0" w:rsidRDefault="005D5DF0" w:rsidP="005D5DF0">
      <w:pPr>
        <w:rPr>
          <w:lang w:val="fr-CH"/>
        </w:rPr>
      </w:pPr>
      <w:r w:rsidRPr="00246628">
        <w:rPr>
          <w:b/>
          <w:bCs/>
          <w:lang w:val="fr-CH"/>
        </w:rPr>
        <w:t>2</w:t>
      </w:r>
      <w:r w:rsidRPr="00B325B0">
        <w:rPr>
          <w:lang w:val="fr-CH"/>
        </w:rPr>
        <w:tab/>
        <w:t>L'évaluation de la sécurité établie par les services de radionavigation exige que la probabilité d'une source de brouillage RF dû à des services non aéronautiques d'une intensité supérieure à sa limite de protection ne dépa</w:t>
      </w:r>
      <w:r>
        <w:rPr>
          <w:lang w:val="fr-CH"/>
        </w:rPr>
        <w:t>sse pas le niveau de 1 pour 100 </w:t>
      </w:r>
      <w:r w:rsidRPr="00B325B0">
        <w:rPr>
          <w:lang w:val="fr-CH"/>
        </w:rPr>
        <w:t>000 approches de catégorie I. Ce risque de perte de continuité n'est pas pris en comp</w:t>
      </w:r>
      <w:r>
        <w:rPr>
          <w:lang w:val="fr-CH"/>
        </w:rPr>
        <w:t>te dans la marge de sécurité du </w:t>
      </w:r>
      <w:r w:rsidRPr="00B325B0">
        <w:rPr>
          <w:lang w:val="fr-CH"/>
        </w:rPr>
        <w:t>GNSS.</w:t>
      </w:r>
    </w:p>
    <w:p w:rsidR="005D5DF0" w:rsidRDefault="005D5DF0" w:rsidP="005D5DF0">
      <w:pPr>
        <w:rPr>
          <w:lang w:val="fr-CH"/>
        </w:rPr>
      </w:pPr>
      <w:r w:rsidRPr="00246628">
        <w:rPr>
          <w:b/>
          <w:bCs/>
          <w:lang w:val="fr-CH"/>
        </w:rPr>
        <w:t>3</w:t>
      </w:r>
      <w:r w:rsidRPr="00B325B0">
        <w:rPr>
          <w:lang w:val="fr-CH"/>
        </w:rPr>
        <w:tab/>
        <w:t>Le niveau admissible de brouillage dû à des services non aéronautiques est un nombre fixe et correspond au brouillage cumulatif dû à l'ensemble des sources connues. En cas de création de nouveaux services, leurs émissions doivent être limitées en intensité de façon à ne pas dépasser le niveau total admissible.</w:t>
      </w:r>
    </w:p>
    <w:p w:rsidR="001A26F2" w:rsidRDefault="001A26F2" w:rsidP="005D5DF0">
      <w:pPr>
        <w:rPr>
          <w:lang w:val="fr-CH"/>
        </w:rPr>
      </w:pPr>
    </w:p>
    <w:p w:rsidR="001A26F2" w:rsidRPr="00B325B0" w:rsidRDefault="001A26F2" w:rsidP="005D5DF0">
      <w:pPr>
        <w:rPr>
          <w:lang w:val="fr-CH"/>
        </w:rPr>
      </w:pPr>
    </w:p>
    <w:p w:rsidR="005D5DF0" w:rsidRPr="008B3699" w:rsidRDefault="005D5DF0" w:rsidP="005D5DF0">
      <w:pPr>
        <w:pStyle w:val="AnnexNoTitle"/>
        <w:rPr>
          <w:lang w:val="fr-CH"/>
        </w:rPr>
      </w:pPr>
      <w:r w:rsidRPr="008B3699">
        <w:rPr>
          <w:lang w:val="fr-CH"/>
        </w:rPr>
        <w:t>Annexe 2</w:t>
      </w:r>
      <w:r w:rsidRPr="008B3699">
        <w:rPr>
          <w:lang w:val="fr-CH"/>
        </w:rPr>
        <w:br/>
      </w:r>
      <w:r w:rsidRPr="008B3699">
        <w:rPr>
          <w:lang w:val="fr-CH"/>
        </w:rPr>
        <w:br/>
        <w:t>Caractéristiques techniques et critères de prot</w:t>
      </w:r>
      <w:r>
        <w:rPr>
          <w:lang w:val="fr-CH"/>
        </w:rPr>
        <w:t>ection applicables aux stations </w:t>
      </w:r>
      <w:r w:rsidRPr="008B3699">
        <w:rPr>
          <w:lang w:val="fr-CH"/>
        </w:rPr>
        <w:t>terriennes de réception du SRNS (</w:t>
      </w:r>
      <w:r>
        <w:rPr>
          <w:lang w:val="fr-CH"/>
        </w:rPr>
        <w:t>espace vers Terre</w:t>
      </w:r>
      <w:r w:rsidRPr="008B3699">
        <w:rPr>
          <w:lang w:val="fr-CH"/>
        </w:rPr>
        <w:t xml:space="preserve">) </w:t>
      </w:r>
      <w:r>
        <w:rPr>
          <w:lang w:val="fr-CH"/>
        </w:rPr>
        <w:br/>
        <w:t>fonctionnant dans la bande</w:t>
      </w:r>
      <w:r w:rsidRPr="008B3699">
        <w:rPr>
          <w:lang w:val="fr-CH"/>
        </w:rPr>
        <w:t xml:space="preserve"> </w:t>
      </w:r>
      <w:r w:rsidRPr="008B3699">
        <w:rPr>
          <w:bCs/>
          <w:spacing w:val="-3"/>
          <w:lang w:val="fr-CH"/>
        </w:rPr>
        <w:t>1 559-1 610</w:t>
      </w:r>
      <w:r w:rsidRPr="008B3699">
        <w:rPr>
          <w:lang w:val="fr-CH"/>
        </w:rPr>
        <w:t> MHz</w:t>
      </w:r>
    </w:p>
    <w:p w:rsidR="005D5DF0" w:rsidRPr="007E1BD0" w:rsidRDefault="005D5DF0" w:rsidP="005D5DF0">
      <w:pPr>
        <w:pStyle w:val="Heading1"/>
      </w:pPr>
      <w:r w:rsidRPr="007E1BD0">
        <w:t>1</w:t>
      </w:r>
      <w:r w:rsidRPr="007E1BD0">
        <w:tab/>
        <w:t>Introduction</w:t>
      </w:r>
    </w:p>
    <w:p w:rsidR="005D5DF0" w:rsidRPr="00026ECF" w:rsidRDefault="005D5DF0" w:rsidP="005D5DF0">
      <w:pPr>
        <w:rPr>
          <w:lang w:val="fr-CH"/>
        </w:rPr>
      </w:pPr>
      <w:r w:rsidRPr="00352252">
        <w:rPr>
          <w:lang w:val="fr-CH"/>
        </w:rPr>
        <w:t xml:space="preserve">La présente Annexe a pour objet de fournir une description de </w:t>
      </w:r>
      <w:r>
        <w:rPr>
          <w:lang w:val="fr-CH"/>
        </w:rPr>
        <w:t>certaines</w:t>
      </w:r>
      <w:r w:rsidRPr="00352252">
        <w:rPr>
          <w:lang w:val="fr-CH"/>
        </w:rPr>
        <w:t xml:space="preserve"> applications de</w:t>
      </w:r>
      <w:r>
        <w:rPr>
          <w:lang w:val="fr-CH"/>
        </w:rPr>
        <w:t>s récepteurs </w:t>
      </w:r>
      <w:r w:rsidRPr="00352252">
        <w:rPr>
          <w:lang w:val="fr-CH"/>
        </w:rPr>
        <w:t xml:space="preserve">du SRNS, de </w:t>
      </w:r>
      <w:r>
        <w:rPr>
          <w:lang w:val="fr-CH"/>
        </w:rPr>
        <w:t xml:space="preserve">donner </w:t>
      </w:r>
      <w:r w:rsidRPr="00352252">
        <w:rPr>
          <w:lang w:val="fr-CH"/>
        </w:rPr>
        <w:t xml:space="preserve">brièvement </w:t>
      </w:r>
      <w:r>
        <w:rPr>
          <w:lang w:val="fr-CH"/>
        </w:rPr>
        <w:t xml:space="preserve">des informations sur </w:t>
      </w:r>
      <w:r w:rsidRPr="00352252">
        <w:rPr>
          <w:lang w:val="fr-CH"/>
        </w:rPr>
        <w:t>les signaux du SRNS dans la bande</w:t>
      </w:r>
      <w:r>
        <w:rPr>
          <w:lang w:val="fr-CH"/>
        </w:rPr>
        <w:t> </w:t>
      </w:r>
      <w:r>
        <w:rPr>
          <w:bCs/>
          <w:spacing w:val="-3"/>
          <w:lang w:val="fr-CH"/>
        </w:rPr>
        <w:t>1 559-</w:t>
      </w:r>
      <w:r w:rsidRPr="00352252">
        <w:rPr>
          <w:bCs/>
          <w:spacing w:val="-3"/>
          <w:lang w:val="fr-CH"/>
        </w:rPr>
        <w:t>1 610</w:t>
      </w:r>
      <w:r w:rsidRPr="00352252">
        <w:rPr>
          <w:lang w:val="fr-CH"/>
        </w:rPr>
        <w:t xml:space="preserve"> MHz </w:t>
      </w:r>
      <w:r>
        <w:rPr>
          <w:lang w:val="fr-CH"/>
        </w:rPr>
        <w:t xml:space="preserve">et les niveaux de protection applicables aux récepteurs du SRNS. Des informations plus détaillées sur les signaux utilisés par les récepteurs du SRNS sont données dans la </w:t>
      </w:r>
      <w:r w:rsidRPr="00BC5A17">
        <w:rPr>
          <w:lang w:val="fr-CH"/>
        </w:rPr>
        <w:t>Recomm</w:t>
      </w:r>
      <w:r>
        <w:rPr>
          <w:lang w:val="fr-CH"/>
        </w:rPr>
        <w:t>a</w:t>
      </w:r>
      <w:r w:rsidRPr="00BC5A17">
        <w:rPr>
          <w:lang w:val="fr-CH"/>
        </w:rPr>
        <w:t xml:space="preserve">ndation </w:t>
      </w:r>
      <w:r>
        <w:rPr>
          <w:lang w:val="fr-CH"/>
        </w:rPr>
        <w:t>UIT</w:t>
      </w:r>
      <w:r w:rsidRPr="00BC5A17">
        <w:rPr>
          <w:lang w:val="fr-CH"/>
        </w:rPr>
        <w:noBreakHyphen/>
        <w:t xml:space="preserve">R M.1787. </w:t>
      </w:r>
      <w:r w:rsidRPr="001D61C1">
        <w:rPr>
          <w:lang w:val="fr-CH"/>
        </w:rPr>
        <w:t xml:space="preserve">La Section 2 </w:t>
      </w:r>
      <w:r>
        <w:rPr>
          <w:lang w:val="fr-CH"/>
        </w:rPr>
        <w:t>décrit les</w:t>
      </w:r>
      <w:r w:rsidRPr="001D61C1">
        <w:rPr>
          <w:lang w:val="fr-CH"/>
        </w:rPr>
        <w:t xml:space="preserve"> applications du SRNS. </w:t>
      </w:r>
      <w:r w:rsidRPr="00560D8B">
        <w:rPr>
          <w:lang w:val="fr-CH"/>
        </w:rPr>
        <w:t>Les Sections 3 et 4 indiquent les seuils de puissance brouilleuse cumulative maximale reçue à ne pas dépasser pour assurer la protection des récepteurs du SRNS et récap</w:t>
      </w:r>
      <w:r>
        <w:rPr>
          <w:lang w:val="fr-CH"/>
        </w:rPr>
        <w:t>itulent les caractéristiques techn</w:t>
      </w:r>
      <w:r w:rsidRPr="00560D8B">
        <w:rPr>
          <w:lang w:val="fr-CH"/>
        </w:rPr>
        <w:t xml:space="preserve">iques </w:t>
      </w:r>
      <w:r>
        <w:rPr>
          <w:lang w:val="fr-CH"/>
        </w:rPr>
        <w:t xml:space="preserve">et, les critères de protection. </w:t>
      </w:r>
      <w:r w:rsidRPr="00FA356C">
        <w:rPr>
          <w:lang w:val="fr-CH"/>
        </w:rPr>
        <w:t>Les niveaux de protection indiqués sont, en règle générale, censés s'appliquer</w:t>
      </w:r>
      <w:r>
        <w:rPr>
          <w:lang w:val="fr-CH"/>
        </w:rPr>
        <w:t xml:space="preserve"> au</w:t>
      </w:r>
      <w:r w:rsidRPr="00FA356C">
        <w:rPr>
          <w:lang w:val="fr-CH"/>
        </w:rPr>
        <w:t>x sources de brouillage continu autres que celles du SRNS</w:t>
      </w:r>
      <w:r>
        <w:rPr>
          <w:lang w:val="fr-CH"/>
        </w:rPr>
        <w:t xml:space="preserve">. Les signaux par impulsions ne sont pas traités dans la présente Annexe et peuvent être examinés au cas par cas après un complément d'étude. </w:t>
      </w:r>
      <w:r w:rsidRPr="00386462">
        <w:rPr>
          <w:lang w:val="fr-CH"/>
        </w:rPr>
        <w:t>Les signaux brouilleurs par impulsions dans d'au</w:t>
      </w:r>
      <w:r>
        <w:rPr>
          <w:lang w:val="fr-CH"/>
        </w:rPr>
        <w:t>tres bandes du SRNS sont examiné</w:t>
      </w:r>
      <w:r w:rsidRPr="00386462">
        <w:rPr>
          <w:lang w:val="fr-CH"/>
        </w:rPr>
        <w:t>s</w:t>
      </w:r>
      <w:r>
        <w:rPr>
          <w:lang w:val="fr-CH"/>
        </w:rPr>
        <w:t xml:space="preserve"> brièvement </w:t>
      </w:r>
      <w:r w:rsidRPr="00386462">
        <w:rPr>
          <w:lang w:val="fr-CH"/>
        </w:rPr>
        <w:t xml:space="preserve">dans les </w:t>
      </w:r>
      <w:r w:rsidRPr="00026ECF">
        <w:rPr>
          <w:lang w:val="fr-CH"/>
        </w:rPr>
        <w:t>Recomm</w:t>
      </w:r>
      <w:r>
        <w:rPr>
          <w:lang w:val="fr-CH"/>
        </w:rPr>
        <w:t>a</w:t>
      </w:r>
      <w:r w:rsidRPr="00026ECF">
        <w:rPr>
          <w:lang w:val="fr-CH"/>
        </w:rPr>
        <w:t xml:space="preserve">ndations </w:t>
      </w:r>
      <w:r>
        <w:rPr>
          <w:lang w:val="fr-CH"/>
        </w:rPr>
        <w:t>UIT</w:t>
      </w:r>
      <w:r w:rsidRPr="00026ECF">
        <w:rPr>
          <w:lang w:val="fr-CH"/>
        </w:rPr>
        <w:noBreakHyphen/>
        <w:t xml:space="preserve">R M.1905 </w:t>
      </w:r>
      <w:r>
        <w:rPr>
          <w:lang w:val="fr-CH"/>
        </w:rPr>
        <w:t>et UIT</w:t>
      </w:r>
      <w:r w:rsidRPr="00026ECF">
        <w:rPr>
          <w:lang w:val="fr-CH"/>
        </w:rPr>
        <w:noBreakHyphen/>
        <w:t>R M.1902</w:t>
      </w:r>
      <w:r>
        <w:rPr>
          <w:lang w:val="fr-CH"/>
        </w:rPr>
        <w:t xml:space="preserve">. </w:t>
      </w:r>
    </w:p>
    <w:p w:rsidR="005D5DF0" w:rsidRPr="00B95E25" w:rsidRDefault="005D5DF0" w:rsidP="005D5DF0">
      <w:pPr>
        <w:rPr>
          <w:lang w:val="fr-CH"/>
        </w:rPr>
      </w:pPr>
      <w:r w:rsidRPr="00763045">
        <w:rPr>
          <w:lang w:val="fr-CH"/>
        </w:rPr>
        <w:t>Les valeurs seuil pour la puissance brouilleuse cumulative</w:t>
      </w:r>
      <w:r>
        <w:rPr>
          <w:lang w:val="fr-CH"/>
        </w:rPr>
        <w:t xml:space="preserve"> maximale</w:t>
      </w:r>
      <w:r w:rsidRPr="00763045">
        <w:rPr>
          <w:lang w:val="fr-CH"/>
        </w:rPr>
        <w:t xml:space="preserve"> reçue </w:t>
      </w:r>
      <w:r>
        <w:rPr>
          <w:lang w:val="fr-CH"/>
        </w:rPr>
        <w:t>(sources radioélectriques a</w:t>
      </w:r>
      <w:r w:rsidRPr="00763045">
        <w:rPr>
          <w:lang w:val="fr-CH"/>
        </w:rPr>
        <w:t>utres que celles du SRNS</w:t>
      </w:r>
      <w:r>
        <w:rPr>
          <w:lang w:val="fr-CH"/>
        </w:rPr>
        <w:t xml:space="preserve">) sont données dans le </w:t>
      </w:r>
      <w:r w:rsidRPr="00763045">
        <w:rPr>
          <w:lang w:val="fr-CH"/>
        </w:rPr>
        <w:t>Table</w:t>
      </w:r>
      <w:r>
        <w:rPr>
          <w:lang w:val="fr-CH"/>
        </w:rPr>
        <w:t>au</w:t>
      </w:r>
      <w:r w:rsidRPr="00763045">
        <w:rPr>
          <w:lang w:val="fr-CH"/>
        </w:rPr>
        <w:t xml:space="preserve"> 2. </w:t>
      </w:r>
      <w:r>
        <w:rPr>
          <w:lang w:val="fr-CH"/>
        </w:rPr>
        <w:t xml:space="preserve">Pour le brouillage à bande étroite, la valeur de la puissance reçue utilisée est associée à une limite supérieure de la largeur de bande de </w:t>
      </w:r>
      <w:r>
        <w:rPr>
          <w:lang w:val="fr-CH"/>
        </w:rPr>
        <w:lastRenderedPageBreak/>
        <w:t xml:space="preserve">brouillage. </w:t>
      </w:r>
      <w:r w:rsidRPr="0048499B">
        <w:rPr>
          <w:lang w:val="fr-CH"/>
        </w:rPr>
        <w:t xml:space="preserve">Pour le brouillage large bande, la densité spectrale de puissance reçue utilisée est associée </w:t>
      </w:r>
      <w:r>
        <w:rPr>
          <w:lang w:val="fr-CH"/>
        </w:rPr>
        <w:t xml:space="preserve">à une limite inférieure de la largeur de bande e brouillage. </w:t>
      </w:r>
      <w:r w:rsidRPr="0003679B">
        <w:rPr>
          <w:lang w:val="fr-CH"/>
        </w:rPr>
        <w:t>Les valeurs seuil corres</w:t>
      </w:r>
      <w:r>
        <w:rPr>
          <w:lang w:val="fr-CH"/>
        </w:rPr>
        <w:t>pondent au brouillage cumulatif</w:t>
      </w:r>
      <w:r w:rsidRPr="0003679B">
        <w:rPr>
          <w:lang w:val="fr-CH"/>
        </w:rPr>
        <w:t xml:space="preserve"> à la sortie de l'antenne de </w:t>
      </w:r>
      <w:r>
        <w:rPr>
          <w:lang w:val="fr-CH"/>
        </w:rPr>
        <w:t>réception</w:t>
      </w:r>
      <w:r w:rsidRPr="00B95E25">
        <w:rPr>
          <w:lang w:val="fr-CH"/>
        </w:rPr>
        <w:t>.</w:t>
      </w:r>
    </w:p>
    <w:p w:rsidR="005D5DF0" w:rsidRPr="00B95E25" w:rsidRDefault="005D5DF0" w:rsidP="005D5DF0">
      <w:pPr>
        <w:pStyle w:val="Heading1"/>
        <w:rPr>
          <w:lang w:val="fr-CH"/>
        </w:rPr>
      </w:pPr>
      <w:r w:rsidRPr="00B95E25">
        <w:rPr>
          <w:lang w:val="fr-CH"/>
        </w:rPr>
        <w:t>2</w:t>
      </w:r>
      <w:r w:rsidRPr="00B95E25">
        <w:rPr>
          <w:lang w:val="fr-CH"/>
        </w:rPr>
        <w:tab/>
        <w:t>Applications du SRNS</w:t>
      </w:r>
    </w:p>
    <w:p w:rsidR="005D5DF0" w:rsidRPr="00656FCC" w:rsidRDefault="005D5DF0" w:rsidP="005D5DF0">
      <w:pPr>
        <w:rPr>
          <w:lang w:val="fr-CH"/>
        </w:rPr>
      </w:pPr>
      <w:r w:rsidRPr="00B95E25">
        <w:rPr>
          <w:lang w:val="fr-CH"/>
        </w:rPr>
        <w:t>Plusieurs types de récepteurs du SRNS</w:t>
      </w:r>
      <w:r>
        <w:rPr>
          <w:lang w:val="fr-CH"/>
        </w:rPr>
        <w:t xml:space="preserve"> utilisés pour des applications particulières sont décrits dans la présente Annexe. Pour un petit nombre de récepteurs aéronautiques, les critères sont relativement bien définis. Dans le même temps, on sait que certaines applications non aéronautiques sont plus sensibles au brouillage</w:t>
      </w:r>
      <w:r w:rsidRPr="00FC4BAD">
        <w:rPr>
          <w:lang w:val="fr-CH"/>
        </w:rPr>
        <w:t xml:space="preserve">. </w:t>
      </w:r>
      <w:r w:rsidRPr="007B5726">
        <w:rPr>
          <w:lang w:val="fr-CH"/>
        </w:rPr>
        <w:t>Dans certains cas, cela s'explique pour un affaiblissement sur le trajet excessif (</w:t>
      </w:r>
      <w:r>
        <w:rPr>
          <w:lang w:val="fr-CH"/>
        </w:rPr>
        <w:t>par exemple</w:t>
      </w:r>
      <w:r w:rsidRPr="007B5726">
        <w:rPr>
          <w:lang w:val="fr-CH"/>
        </w:rPr>
        <w:t xml:space="preserve"> signal reçu faible) et dans d'autres cas </w:t>
      </w:r>
      <w:r>
        <w:rPr>
          <w:lang w:val="fr-CH"/>
        </w:rPr>
        <w:t>par un affaiblissement supplémentaire lié au traitement du signal</w:t>
      </w:r>
      <w:r w:rsidRPr="007B5726">
        <w:rPr>
          <w:lang w:val="fr-CH"/>
        </w:rPr>
        <w:t xml:space="preserve"> (</w:t>
      </w:r>
      <w:r>
        <w:rPr>
          <w:lang w:val="fr-CH"/>
        </w:rPr>
        <w:t>par exemple, dans le cas de traitement à code partiel</w:t>
      </w:r>
      <w:r w:rsidRPr="007B5726">
        <w:rPr>
          <w:lang w:val="fr-CH"/>
        </w:rPr>
        <w:t xml:space="preserve">). </w:t>
      </w:r>
      <w:r w:rsidRPr="00F60DE0">
        <w:rPr>
          <w:lang w:val="fr-CH"/>
        </w:rPr>
        <w:t xml:space="preserve">Avec </w:t>
      </w:r>
      <w:r>
        <w:rPr>
          <w:lang w:val="fr-CH"/>
        </w:rPr>
        <w:t>l'affaiblissement</w:t>
      </w:r>
      <w:r w:rsidRPr="00F60DE0">
        <w:rPr>
          <w:lang w:val="fr-CH"/>
        </w:rPr>
        <w:t xml:space="preserve"> du SRNS, les applications utilisant des récepteurs plus sensibles au brouillage RFI vont être </w:t>
      </w:r>
      <w:r>
        <w:rPr>
          <w:lang w:val="fr-CH"/>
        </w:rPr>
        <w:t>utilisées</w:t>
      </w:r>
      <w:r w:rsidRPr="00F60DE0">
        <w:rPr>
          <w:lang w:val="fr-CH"/>
        </w:rPr>
        <w:t xml:space="preserve">. </w:t>
      </w:r>
      <w:r w:rsidRPr="00656FCC">
        <w:rPr>
          <w:lang w:val="fr-CH"/>
        </w:rPr>
        <w:t xml:space="preserve">Il faudra donc mettre à jour la présente </w:t>
      </w:r>
      <w:r w:rsidRPr="00656FCC">
        <w:rPr>
          <w:snapToGrid w:val="0"/>
          <w:lang w:val="fr-CH"/>
        </w:rPr>
        <w:t>Recommandation pour en tenir compte.</w:t>
      </w:r>
    </w:p>
    <w:p w:rsidR="005D5DF0" w:rsidRPr="00656FCC" w:rsidRDefault="005D5DF0" w:rsidP="005D5DF0">
      <w:pPr>
        <w:pStyle w:val="Heading2"/>
        <w:rPr>
          <w:lang w:val="fr-CH"/>
        </w:rPr>
      </w:pPr>
      <w:r w:rsidRPr="00656FCC">
        <w:rPr>
          <w:lang w:val="fr-CH"/>
        </w:rPr>
        <w:t>2.1</w:t>
      </w:r>
      <w:r w:rsidRPr="00656FCC">
        <w:rPr>
          <w:lang w:val="fr-CH"/>
        </w:rPr>
        <w:tab/>
        <w:t>Récepteurs aéronautiques SRNS</w:t>
      </w:r>
    </w:p>
    <w:p w:rsidR="005D5DF0" w:rsidRPr="00656FCC" w:rsidRDefault="005D5DF0" w:rsidP="005D5DF0">
      <w:pPr>
        <w:pStyle w:val="Heading3"/>
        <w:rPr>
          <w:lang w:val="fr-CH"/>
        </w:rPr>
      </w:pPr>
      <w:r w:rsidRPr="00656FCC">
        <w:rPr>
          <w:lang w:val="fr-CH"/>
        </w:rPr>
        <w:t>2.1.1</w:t>
      </w:r>
      <w:r w:rsidRPr="00656FCC">
        <w:rPr>
          <w:lang w:val="fr-CH"/>
        </w:rPr>
        <w:tab/>
      </w:r>
      <w:r>
        <w:rPr>
          <w:lang w:val="fr-CH"/>
        </w:rPr>
        <w:t>Récepteur d'approche de pré</w:t>
      </w:r>
      <w:r w:rsidRPr="00656FCC">
        <w:rPr>
          <w:lang w:val="fr-CH"/>
        </w:rPr>
        <w:t xml:space="preserve">cision SBAS </w:t>
      </w:r>
      <w:r>
        <w:rPr>
          <w:lang w:val="fr-CH"/>
        </w:rPr>
        <w:t>de catégorie</w:t>
      </w:r>
      <w:r w:rsidRPr="00656FCC">
        <w:rPr>
          <w:lang w:val="fr-CH"/>
        </w:rPr>
        <w:t xml:space="preserve"> I </w:t>
      </w:r>
    </w:p>
    <w:p w:rsidR="005D5DF0" w:rsidRPr="006036D0" w:rsidRDefault="005D5DF0" w:rsidP="005D5DF0">
      <w:pPr>
        <w:rPr>
          <w:lang w:val="fr-CH" w:eastAsia="ja-JP"/>
        </w:rPr>
      </w:pPr>
      <w:r w:rsidRPr="006036D0">
        <w:rPr>
          <w:lang w:val="fr-CH"/>
        </w:rPr>
        <w:t xml:space="preserve">Un système SBAS </w:t>
      </w:r>
      <w:r>
        <w:rPr>
          <w:lang w:val="fr-CH"/>
        </w:rPr>
        <w:t>permet de</w:t>
      </w:r>
      <w:r w:rsidRPr="006036D0">
        <w:rPr>
          <w:lang w:val="fr-CH"/>
        </w:rPr>
        <w:t xml:space="preserve"> </w:t>
      </w:r>
      <w:r>
        <w:rPr>
          <w:lang w:val="fr-CH"/>
        </w:rPr>
        <w:t>fournir des données d'intégrité et de</w:t>
      </w:r>
      <w:r w:rsidRPr="006036D0">
        <w:rPr>
          <w:lang w:val="fr-CH"/>
        </w:rPr>
        <w:t xml:space="preserve"> correction des </w:t>
      </w:r>
      <w:r>
        <w:rPr>
          <w:lang w:val="fr-CH"/>
        </w:rPr>
        <w:t>erreurs de mesure régionales du SRNS, à l'aide d'un signal émis par un satellite OSG.</w:t>
      </w:r>
    </w:p>
    <w:p w:rsidR="005D5DF0" w:rsidRPr="001D61C1" w:rsidRDefault="005D5DF0" w:rsidP="005D5DF0">
      <w:pPr>
        <w:pStyle w:val="Headingb"/>
        <w:rPr>
          <w:rFonts w:eastAsia="Batang"/>
          <w:lang w:val="fr-CH"/>
        </w:rPr>
      </w:pPr>
      <w:r w:rsidRPr="001D61C1">
        <w:rPr>
          <w:rFonts w:eastAsia="Batang"/>
          <w:lang w:val="fr-CH"/>
        </w:rPr>
        <w:t>Type 1</w:t>
      </w:r>
    </w:p>
    <w:p w:rsidR="005D5DF0" w:rsidRPr="00F50F72" w:rsidRDefault="005D5DF0" w:rsidP="005D5DF0">
      <w:pPr>
        <w:rPr>
          <w:lang w:val="fr-CH" w:eastAsia="ja-JP"/>
        </w:rPr>
      </w:pPr>
      <w:r w:rsidRPr="00A34C66">
        <w:rPr>
          <w:lang w:val="fr-CH"/>
        </w:rPr>
        <w:t>Ce type de récepteur aéronautique est un récepteur de navigation embarqué conçu pou</w:t>
      </w:r>
      <w:r>
        <w:rPr>
          <w:lang w:val="fr-CH"/>
        </w:rPr>
        <w:t>r fournir une approche de précision OACI de catégorie I. Il doit respecter les prescriptions d'une spécification</w:t>
      </w:r>
      <w:r w:rsidRPr="00C44D89">
        <w:rPr>
          <w:lang w:val="fr-CH"/>
        </w:rPr>
        <w:t xml:space="preserve"> SBAS. Il poursuit les signaux L1 C/A</w:t>
      </w:r>
      <w:r w:rsidRPr="00760EED">
        <w:rPr>
          <w:lang w:val="fr-CH"/>
        </w:rPr>
        <w:t xml:space="preserve"> </w:t>
      </w:r>
      <w:r>
        <w:rPr>
          <w:lang w:val="fr-CH"/>
        </w:rPr>
        <w:t>du SRNS</w:t>
      </w:r>
      <w:r w:rsidRPr="000039B1">
        <w:rPr>
          <w:position w:val="6"/>
          <w:sz w:val="18"/>
        </w:rPr>
        <w:footnoteReference w:id="5"/>
      </w:r>
      <w:r w:rsidRPr="00C44D89">
        <w:rPr>
          <w:lang w:val="fr-CH"/>
        </w:rPr>
        <w:t xml:space="preserve"> </w:t>
      </w:r>
      <w:r>
        <w:rPr>
          <w:lang w:val="fr-CH"/>
        </w:rPr>
        <w:t>et</w:t>
      </w:r>
      <w:r w:rsidRPr="00C44D89">
        <w:rPr>
          <w:lang w:val="fr-CH"/>
        </w:rPr>
        <w:t xml:space="preserve"> </w:t>
      </w:r>
      <w:r>
        <w:rPr>
          <w:lang w:val="fr-CH"/>
        </w:rPr>
        <w:t xml:space="preserve">des signaux </w:t>
      </w:r>
      <w:r w:rsidRPr="00C44D89">
        <w:rPr>
          <w:lang w:val="fr-CH"/>
        </w:rPr>
        <w:t>L1</w:t>
      </w:r>
      <w:r w:rsidRPr="00760EED">
        <w:rPr>
          <w:lang w:val="fr-CH"/>
        </w:rPr>
        <w:t xml:space="preserve"> </w:t>
      </w:r>
      <w:r w:rsidRPr="00C44D89">
        <w:rPr>
          <w:lang w:val="fr-CH"/>
        </w:rPr>
        <w:t xml:space="preserve">SBAS </w:t>
      </w:r>
      <w:r>
        <w:rPr>
          <w:lang w:val="fr-CH"/>
        </w:rPr>
        <w:t>AMRC</w:t>
      </w:r>
      <w:r w:rsidRPr="00C44D89">
        <w:rPr>
          <w:lang w:val="fr-CH"/>
        </w:rPr>
        <w:t>. Les signaux SBAS L1 ont des codes similaires à ceux des signaux L1 C/A transmi</w:t>
      </w:r>
      <w:r>
        <w:rPr>
          <w:lang w:val="fr-CH"/>
        </w:rPr>
        <w:t>s sur la même fréquence porteuse (1 575,</w:t>
      </w:r>
      <w:r w:rsidRPr="00C44D89">
        <w:rPr>
          <w:lang w:val="fr-CH"/>
        </w:rPr>
        <w:t xml:space="preserve">42 MHz). </w:t>
      </w:r>
      <w:r w:rsidRPr="00F50F72">
        <w:rPr>
          <w:lang w:val="fr-CH"/>
        </w:rPr>
        <w:t xml:space="preserve">Les caractéristiques de ce type de récepteur </w:t>
      </w:r>
      <w:r>
        <w:rPr>
          <w:lang w:val="fr-CH"/>
        </w:rPr>
        <w:t>sont indiquées dans le Tableau 2, colonne</w:t>
      </w:r>
      <w:r w:rsidRPr="00F50F72">
        <w:rPr>
          <w:lang w:val="fr-CH"/>
        </w:rPr>
        <w:t> 1.</w:t>
      </w:r>
    </w:p>
    <w:p w:rsidR="005D5DF0" w:rsidRPr="008B6809" w:rsidRDefault="005D5DF0" w:rsidP="005D5DF0">
      <w:pPr>
        <w:pStyle w:val="Headingb"/>
        <w:rPr>
          <w:rFonts w:eastAsia="Batang"/>
          <w:lang w:val="fr-CH" w:eastAsia="ja-JP"/>
        </w:rPr>
      </w:pPr>
      <w:r w:rsidRPr="008B6809">
        <w:rPr>
          <w:rFonts w:eastAsia="Batang"/>
          <w:lang w:val="fr-CH" w:eastAsia="ja-JP"/>
        </w:rPr>
        <w:t>Type 2</w:t>
      </w:r>
    </w:p>
    <w:p w:rsidR="005D5DF0" w:rsidRPr="00F731EF" w:rsidRDefault="005D5DF0" w:rsidP="005D5DF0">
      <w:pPr>
        <w:rPr>
          <w:lang w:val="fr-CH"/>
        </w:rPr>
      </w:pPr>
      <w:r w:rsidRPr="00A34C66">
        <w:rPr>
          <w:lang w:val="fr-CH"/>
        </w:rPr>
        <w:t xml:space="preserve">Ce type de récepteur aéronautique est </w:t>
      </w:r>
      <w:r>
        <w:rPr>
          <w:lang w:val="fr-CH"/>
        </w:rPr>
        <w:t xml:space="preserve">aussi </w:t>
      </w:r>
      <w:r w:rsidRPr="00A34C66">
        <w:rPr>
          <w:lang w:val="fr-CH"/>
        </w:rPr>
        <w:t>un récepteur de navigation embarqué conçu pou</w:t>
      </w:r>
      <w:r>
        <w:rPr>
          <w:lang w:val="fr-CH"/>
        </w:rPr>
        <w:t xml:space="preserve">r une approche de précision OACI de catégorie 1. </w:t>
      </w:r>
      <w:r w:rsidRPr="00BC1F24">
        <w:rPr>
          <w:lang w:val="fr-CH"/>
        </w:rPr>
        <w:t>Toutefois, il fonctionne avec des signaux AMRF du</w:t>
      </w:r>
      <w:r>
        <w:rPr>
          <w:lang w:val="fr-CH"/>
        </w:rPr>
        <w:t> SRNS</w:t>
      </w:r>
      <w:r w:rsidRPr="000039B1">
        <w:rPr>
          <w:position w:val="6"/>
          <w:sz w:val="18"/>
        </w:rPr>
        <w:footnoteReference w:id="6"/>
      </w:r>
      <w:r w:rsidRPr="00BC1F24">
        <w:rPr>
          <w:lang w:val="fr-CH"/>
        </w:rPr>
        <w:t xml:space="preserve"> </w:t>
      </w:r>
      <w:r>
        <w:rPr>
          <w:lang w:val="fr-CH"/>
        </w:rPr>
        <w:t>simultanément sur plusieurs fréquences porteuses</w:t>
      </w:r>
      <w:r w:rsidRPr="00BC1F24">
        <w:rPr>
          <w:lang w:val="fr-CH"/>
        </w:rPr>
        <w:t xml:space="preserve">. </w:t>
      </w:r>
      <w:r w:rsidRPr="002503A1">
        <w:rPr>
          <w:lang w:val="fr-CH"/>
        </w:rPr>
        <w:t xml:space="preserve">Il poursuit des signaux du SRNS et des signaux SBAS qui peuvent </w:t>
      </w:r>
      <w:r>
        <w:rPr>
          <w:lang w:val="fr-CH"/>
        </w:rPr>
        <w:t xml:space="preserve">être sur des porteuses différentes. </w:t>
      </w:r>
      <w:r w:rsidRPr="00F50F72">
        <w:rPr>
          <w:lang w:val="fr-CH"/>
        </w:rPr>
        <w:t xml:space="preserve">Les caractéristiques de ce type de récepteur </w:t>
      </w:r>
      <w:r>
        <w:rPr>
          <w:lang w:val="fr-CH"/>
        </w:rPr>
        <w:t>sont indiquées dans le Tableau 2, colonne 2.</w:t>
      </w:r>
    </w:p>
    <w:p w:rsidR="005D5DF0" w:rsidRPr="00F731EF" w:rsidRDefault="005D5DF0" w:rsidP="005D5DF0">
      <w:pPr>
        <w:pStyle w:val="Heading3"/>
        <w:rPr>
          <w:lang w:val="fr-CH"/>
        </w:rPr>
      </w:pPr>
      <w:r w:rsidRPr="00F731EF">
        <w:rPr>
          <w:lang w:val="fr-CH"/>
        </w:rPr>
        <w:lastRenderedPageBreak/>
        <w:t>2.1.2</w:t>
      </w:r>
      <w:r w:rsidRPr="00F731EF">
        <w:rPr>
          <w:lang w:val="fr-CH"/>
        </w:rPr>
        <w:tab/>
      </w:r>
      <w:r>
        <w:rPr>
          <w:lang w:val="fr-CH"/>
        </w:rPr>
        <w:t>Récepteur d'approche de pré</w:t>
      </w:r>
      <w:r w:rsidRPr="00656FCC">
        <w:rPr>
          <w:lang w:val="fr-CH"/>
        </w:rPr>
        <w:t xml:space="preserve">cision </w:t>
      </w:r>
      <w:r>
        <w:rPr>
          <w:lang w:val="fr-CH"/>
        </w:rPr>
        <w:t>G</w:t>
      </w:r>
      <w:r w:rsidRPr="00656FCC">
        <w:rPr>
          <w:lang w:val="fr-CH"/>
        </w:rPr>
        <w:t xml:space="preserve">BAS </w:t>
      </w:r>
      <w:r>
        <w:rPr>
          <w:lang w:val="fr-CH"/>
        </w:rPr>
        <w:t xml:space="preserve">de catégorie </w:t>
      </w:r>
      <w:r w:rsidRPr="00F731EF">
        <w:rPr>
          <w:lang w:val="fr-CH"/>
        </w:rPr>
        <w:t xml:space="preserve">II/III </w:t>
      </w:r>
    </w:p>
    <w:p w:rsidR="005D5DF0" w:rsidRPr="001D61C1" w:rsidRDefault="005D5DF0" w:rsidP="005D5DF0">
      <w:pPr>
        <w:pStyle w:val="Headingb"/>
        <w:rPr>
          <w:rFonts w:eastAsia="Batang"/>
          <w:lang w:val="fr-CH" w:eastAsia="ja-JP"/>
        </w:rPr>
      </w:pPr>
      <w:r w:rsidRPr="001D61C1">
        <w:rPr>
          <w:rFonts w:eastAsia="Batang"/>
          <w:lang w:val="fr-CH" w:eastAsia="ja-JP"/>
        </w:rPr>
        <w:t>Type 1</w:t>
      </w:r>
    </w:p>
    <w:p w:rsidR="005D5DF0" w:rsidRPr="00FF66A9" w:rsidRDefault="005D5DF0" w:rsidP="005D5DF0">
      <w:pPr>
        <w:rPr>
          <w:lang w:val="fr-CH" w:eastAsia="ja-JP"/>
        </w:rPr>
      </w:pPr>
      <w:r w:rsidRPr="00A34C66">
        <w:rPr>
          <w:lang w:val="fr-CH"/>
        </w:rPr>
        <w:t>Ce type de récepteur aéronautique est un récepteur de navigation embarqué conçu pou</w:t>
      </w:r>
      <w:r>
        <w:rPr>
          <w:lang w:val="fr-CH"/>
        </w:rPr>
        <w:t xml:space="preserve">r une approche de précision OACI de catégorie II/III. Il doit respecter les prescriptions d'un système GBAS ainsi que celles de la catégorie I. Il doit suivre les signaux de satellite du SRNS </w:t>
      </w:r>
      <w:r w:rsidRPr="00540B0B">
        <w:rPr>
          <w:lang w:val="fr-CH"/>
        </w:rPr>
        <w:t xml:space="preserve">(L1 C/A) </w:t>
      </w:r>
      <w:r>
        <w:rPr>
          <w:lang w:val="fr-CH"/>
        </w:rPr>
        <w:t>ainsi que les signaux de liaison de données GBAS dans la bande des ondes métriques.</w:t>
      </w:r>
      <w:r w:rsidRPr="00540B0B">
        <w:rPr>
          <w:lang w:val="fr-CH"/>
        </w:rPr>
        <w:t xml:space="preserve"> </w:t>
      </w:r>
      <w:r>
        <w:rPr>
          <w:lang w:val="fr-CH"/>
        </w:rPr>
        <w:t>Ce récepteur reçoit des signaux AMRC</w:t>
      </w:r>
      <w:r w:rsidRPr="00FF66A9">
        <w:rPr>
          <w:lang w:val="fr-CH"/>
        </w:rPr>
        <w:t xml:space="preserve">. </w:t>
      </w:r>
      <w:r>
        <w:rPr>
          <w:lang w:val="fr-CH"/>
        </w:rPr>
        <w:t>Les caractéris</w:t>
      </w:r>
      <w:r w:rsidRPr="00F50F72">
        <w:rPr>
          <w:lang w:val="fr-CH"/>
        </w:rPr>
        <w:t xml:space="preserve">tiques de ce type de récepteur </w:t>
      </w:r>
      <w:r>
        <w:rPr>
          <w:lang w:val="fr-CH"/>
        </w:rPr>
        <w:t>sont indiquées dans le Tableau 2, colonne 3</w:t>
      </w:r>
      <w:r w:rsidRPr="00FF66A9">
        <w:rPr>
          <w:lang w:val="fr-CH"/>
        </w:rPr>
        <w:t>.</w:t>
      </w:r>
    </w:p>
    <w:p w:rsidR="005D5DF0" w:rsidRPr="001D61C1" w:rsidRDefault="005D5DF0" w:rsidP="005D5DF0">
      <w:pPr>
        <w:pStyle w:val="Headingb"/>
        <w:rPr>
          <w:rFonts w:eastAsia="Batang"/>
          <w:lang w:val="fr-CH" w:eastAsia="ja-JP"/>
        </w:rPr>
      </w:pPr>
      <w:r w:rsidRPr="001D61C1">
        <w:rPr>
          <w:rFonts w:eastAsia="Batang"/>
          <w:lang w:val="fr-CH" w:eastAsia="ja-JP"/>
        </w:rPr>
        <w:t>Type 2</w:t>
      </w:r>
    </w:p>
    <w:p w:rsidR="005D5DF0" w:rsidRPr="00FF66A9" w:rsidRDefault="005D5DF0" w:rsidP="005D5DF0">
      <w:pPr>
        <w:keepNext/>
        <w:keepLines/>
        <w:rPr>
          <w:lang w:val="fr-CH" w:eastAsia="ja-JP"/>
        </w:rPr>
      </w:pPr>
      <w:r w:rsidRPr="00A34C66">
        <w:rPr>
          <w:lang w:val="fr-CH"/>
        </w:rPr>
        <w:t>Ce type de récepteur aéronautique est un récepteur de navigation embarqué conçu pou</w:t>
      </w:r>
      <w:r>
        <w:rPr>
          <w:lang w:val="fr-CH"/>
        </w:rPr>
        <w:t>r une approche de précision OACI de catégorie II/III</w:t>
      </w:r>
      <w:r w:rsidRPr="008C4785">
        <w:rPr>
          <w:lang w:val="fr-CH"/>
        </w:rPr>
        <w:t xml:space="preserve">. </w:t>
      </w:r>
      <w:r>
        <w:rPr>
          <w:lang w:val="fr-CH"/>
        </w:rPr>
        <w:t>Ce type de récepteur fonctionne avec des signaux AMRF simultanément sur plusieurs fréquences porteuses. Il doit respecter les prescriptions d'un système GBAS ainsi que celles de la catégorie I. Il doit suivre les signaux de satellite du SRNS ainsi que les signaux de liaison de données GBAS dans la bande des ondes métriques. Il peut aussi fonctionner avec des informations provenant de pseudolites</w:t>
      </w:r>
      <w:r w:rsidRPr="000039B1">
        <w:rPr>
          <w:position w:val="6"/>
          <w:sz w:val="18"/>
        </w:rPr>
        <w:footnoteReference w:id="7"/>
      </w:r>
      <w:r>
        <w:rPr>
          <w:lang w:val="fr-CH"/>
        </w:rPr>
        <w:t>. Les caractéris</w:t>
      </w:r>
      <w:r w:rsidRPr="00F50F72">
        <w:rPr>
          <w:lang w:val="fr-CH"/>
        </w:rPr>
        <w:t xml:space="preserve">tiques de ce type de récepteur </w:t>
      </w:r>
      <w:r>
        <w:rPr>
          <w:lang w:val="fr-CH"/>
        </w:rPr>
        <w:t>sont indiquées dans le Tableau 2, colonne 4</w:t>
      </w:r>
      <w:r w:rsidRPr="00FF66A9">
        <w:rPr>
          <w:lang w:val="fr-CH"/>
        </w:rPr>
        <w:t>.</w:t>
      </w:r>
    </w:p>
    <w:p w:rsidR="005D5DF0" w:rsidRPr="00FC4F29" w:rsidRDefault="005D5DF0" w:rsidP="005D5DF0">
      <w:pPr>
        <w:pStyle w:val="Heading3"/>
        <w:rPr>
          <w:lang w:val="fr-CH"/>
        </w:rPr>
      </w:pPr>
      <w:r w:rsidRPr="00FC4F29">
        <w:rPr>
          <w:lang w:val="fr-CH"/>
        </w:rPr>
        <w:t>2.1.3</w:t>
      </w:r>
      <w:r w:rsidRPr="00FC4F29">
        <w:rPr>
          <w:lang w:val="fr-CH"/>
        </w:rPr>
        <w:tab/>
        <w:t xml:space="preserve">Récepteur de référence au sol SBAS </w:t>
      </w:r>
    </w:p>
    <w:p w:rsidR="005D5DF0" w:rsidRDefault="005D5DF0" w:rsidP="005D5DF0">
      <w:pPr>
        <w:rPr>
          <w:lang w:val="fr-CH"/>
        </w:rPr>
      </w:pPr>
      <w:r w:rsidRPr="00541D15">
        <w:rPr>
          <w:lang w:val="fr-CH"/>
        </w:rPr>
        <w:t xml:space="preserve">Ce type de récepteur aéronautique est un récepteur de référence au sol qui est utilisé avec un réseau au sol SBAS pour </w:t>
      </w:r>
      <w:r>
        <w:rPr>
          <w:lang w:val="fr-CH"/>
        </w:rPr>
        <w:t>dé</w:t>
      </w:r>
      <w:r w:rsidRPr="00541D15">
        <w:rPr>
          <w:lang w:val="fr-CH"/>
        </w:rPr>
        <w:t xml:space="preserve">terminer les </w:t>
      </w:r>
      <w:r>
        <w:rPr>
          <w:lang w:val="fr-CH"/>
        </w:rPr>
        <w:t xml:space="preserve">temps de propagation dans l'ionosphère et l'intégrité des signaux du SRNS. </w:t>
      </w:r>
      <w:r w:rsidRPr="003B1764">
        <w:rPr>
          <w:lang w:val="fr-CH"/>
        </w:rPr>
        <w:t xml:space="preserve">Ce récepteur fait appel à une technique à code partiel qui exploite </w:t>
      </w:r>
      <w:r>
        <w:rPr>
          <w:lang w:val="fr-CH"/>
        </w:rPr>
        <w:t xml:space="preserve">une fonctionnalité unique rendue possible par l'architecture particulière des signaux du SRNS selon laquelle la poursuite est effectuée sur les signaux </w:t>
      </w:r>
      <w:r w:rsidRPr="000F58A4">
        <w:rPr>
          <w:lang w:val="fr-CH"/>
        </w:rPr>
        <w:t xml:space="preserve">L1 </w:t>
      </w:r>
      <w:r>
        <w:rPr>
          <w:lang w:val="fr-CH"/>
        </w:rPr>
        <w:t>et</w:t>
      </w:r>
      <w:r w:rsidRPr="000F58A4">
        <w:rPr>
          <w:lang w:val="fr-CH"/>
        </w:rPr>
        <w:t xml:space="preserve"> L2 </w:t>
      </w:r>
      <w:r>
        <w:rPr>
          <w:lang w:val="fr-CH"/>
        </w:rPr>
        <w:t xml:space="preserve">à code </w:t>
      </w:r>
      <w:r w:rsidRPr="000F58A4">
        <w:rPr>
          <w:lang w:val="fr-CH"/>
        </w:rPr>
        <w:t xml:space="preserve">P(Y), </w:t>
      </w:r>
      <w:r>
        <w:rPr>
          <w:lang w:val="fr-CH"/>
        </w:rPr>
        <w:t>facilitée par une connaissance</w:t>
      </w:r>
      <w:r w:rsidRPr="000F58A4">
        <w:rPr>
          <w:lang w:val="fr-CH"/>
        </w:rPr>
        <w:t xml:space="preserve"> </w:t>
      </w:r>
      <w:r>
        <w:rPr>
          <w:lang w:val="fr-CH"/>
        </w:rPr>
        <w:t xml:space="preserve">d'une part de la phase dynamique de la porteuse obtenue par poursuite de la porteuse et du signal </w:t>
      </w:r>
      <w:r w:rsidRPr="000F58A4">
        <w:rPr>
          <w:lang w:val="fr-CH"/>
        </w:rPr>
        <w:t>L1</w:t>
      </w:r>
      <w:r>
        <w:rPr>
          <w:lang w:val="fr-CH"/>
        </w:rPr>
        <w:t xml:space="preserve"> à code</w:t>
      </w:r>
      <w:r w:rsidRPr="000F58A4">
        <w:rPr>
          <w:lang w:val="fr-CH"/>
        </w:rPr>
        <w:t xml:space="preserve"> C/A</w:t>
      </w:r>
      <w:r w:rsidRPr="000039B1">
        <w:rPr>
          <w:position w:val="6"/>
          <w:sz w:val="18"/>
        </w:rPr>
        <w:footnoteReference w:id="8"/>
      </w:r>
      <w:r>
        <w:rPr>
          <w:lang w:val="fr-CH"/>
        </w:rPr>
        <w:t xml:space="preserve"> et d'autre part du rythme moyen de cryptage. Cette technique de corrélation croisée permet de mesurer le temps de propagation du signal </w:t>
      </w:r>
      <w:r w:rsidRPr="00DB7D23">
        <w:rPr>
          <w:lang w:val="fr-CH"/>
        </w:rPr>
        <w:t>L2, ce qui rend possible la détermination</w:t>
      </w:r>
      <w:r>
        <w:rPr>
          <w:lang w:val="fr-CH"/>
        </w:rPr>
        <w:t xml:space="preserve"> des varia</w:t>
      </w:r>
      <w:r w:rsidRPr="00DB7D23">
        <w:rPr>
          <w:lang w:val="fr-CH"/>
        </w:rPr>
        <w:t>tions du temps de propagation de signaux due</w:t>
      </w:r>
      <w:r>
        <w:rPr>
          <w:lang w:val="fr-CH"/>
        </w:rPr>
        <w:t>s</w:t>
      </w:r>
      <w:r w:rsidRPr="00DB7D23">
        <w:rPr>
          <w:lang w:val="fr-CH"/>
        </w:rPr>
        <w:t xml:space="preserve"> à l'ionosphère</w:t>
      </w:r>
      <w:r>
        <w:rPr>
          <w:lang w:val="fr-CH"/>
        </w:rPr>
        <w:t>. Ce schéma de corrélation croisée est rendu possible en partie par le fait que les signaux</w:t>
      </w:r>
      <w:r w:rsidRPr="00C662E7">
        <w:rPr>
          <w:lang w:val="fr-CH"/>
        </w:rPr>
        <w:t xml:space="preserve"> </w:t>
      </w:r>
      <w:r w:rsidRPr="000F58A4">
        <w:rPr>
          <w:lang w:val="fr-CH"/>
        </w:rPr>
        <w:t xml:space="preserve">L1 </w:t>
      </w:r>
      <w:r>
        <w:rPr>
          <w:lang w:val="fr-CH"/>
        </w:rPr>
        <w:t>et</w:t>
      </w:r>
      <w:r w:rsidRPr="000F58A4">
        <w:rPr>
          <w:lang w:val="fr-CH"/>
        </w:rPr>
        <w:t xml:space="preserve"> L2 </w:t>
      </w:r>
      <w:r>
        <w:rPr>
          <w:lang w:val="fr-CH"/>
        </w:rPr>
        <w:t xml:space="preserve">à code </w:t>
      </w:r>
      <w:r w:rsidRPr="000F58A4">
        <w:rPr>
          <w:lang w:val="fr-CH"/>
        </w:rPr>
        <w:t>P(Y)</w:t>
      </w:r>
      <w:r>
        <w:rPr>
          <w:lang w:val="fr-CH"/>
        </w:rPr>
        <w:t xml:space="preserve"> ont des codes identiques. Ce récepteur doit aussi acquérir et poursuivre les signaux de satellites SBAS à la même fréquence que la porteuse </w:t>
      </w:r>
      <w:r w:rsidRPr="00EA4507">
        <w:rPr>
          <w:lang w:val="fr-CH"/>
        </w:rPr>
        <w:t xml:space="preserve">L1 C/A. </w:t>
      </w:r>
      <w:r>
        <w:rPr>
          <w:lang w:val="fr-CH"/>
        </w:rPr>
        <w:t>Les récepteurs à code partiel sont plus sensibles au brouillage car ils fonctionnent sans avoir l'avantage de la connaissance du code Y</w:t>
      </w:r>
      <w:r w:rsidRPr="000039B1">
        <w:rPr>
          <w:position w:val="6"/>
          <w:sz w:val="18"/>
        </w:rPr>
        <w:footnoteReference w:id="9"/>
      </w:r>
      <w:r w:rsidRPr="00EA4507">
        <w:rPr>
          <w:lang w:val="fr-CH"/>
        </w:rPr>
        <w:t xml:space="preserve">. </w:t>
      </w:r>
      <w:r w:rsidRPr="00104D11">
        <w:rPr>
          <w:lang w:val="fr-CH"/>
        </w:rPr>
        <w:t>Les récepteurs au sol SBAS ont un rôle déterminant, par exemple le contr</w:t>
      </w:r>
      <w:r>
        <w:rPr>
          <w:lang w:val="fr-CH"/>
        </w:rPr>
        <w:t xml:space="preserve">ôle de l'intégrité des signaux du SRNS au niveau des stations au sol SBAS dans des emplacements fixes connus. </w:t>
      </w:r>
      <w:r w:rsidRPr="00DF71F3">
        <w:rPr>
          <w:lang w:val="fr-CH"/>
        </w:rPr>
        <w:t xml:space="preserve">Il faut donc assurer à ces récepteurs une protection appropriée </w:t>
      </w:r>
      <w:r>
        <w:rPr>
          <w:lang w:val="fr-CH"/>
        </w:rPr>
        <w:t xml:space="preserve">– par exemple des zones tampon physiques </w:t>
      </w:r>
      <w:r w:rsidRPr="00155902">
        <w:rPr>
          <w:lang w:val="fr-CH"/>
        </w:rPr>
        <w:t>–</w:t>
      </w:r>
      <w:r>
        <w:rPr>
          <w:lang w:val="fr-CH"/>
        </w:rPr>
        <w:t xml:space="preserve"> </w:t>
      </w:r>
      <w:r w:rsidRPr="00DF71F3">
        <w:rPr>
          <w:lang w:val="fr-CH"/>
        </w:rPr>
        <w:t>pour garantir un accès continu ininterrompu aux signaux du SRNS</w:t>
      </w:r>
      <w:r>
        <w:rPr>
          <w:lang w:val="fr-CH"/>
        </w:rPr>
        <w:t>. Les caractéris</w:t>
      </w:r>
      <w:r w:rsidRPr="00F50F72">
        <w:rPr>
          <w:lang w:val="fr-CH"/>
        </w:rPr>
        <w:t xml:space="preserve">tiques de ce type de récepteur </w:t>
      </w:r>
      <w:r>
        <w:rPr>
          <w:lang w:val="fr-CH"/>
        </w:rPr>
        <w:t>sont indiquées dans le Tableau 2, colonne 5.</w:t>
      </w:r>
    </w:p>
    <w:p w:rsidR="00DF5FD7" w:rsidRPr="00505E54" w:rsidRDefault="00DF5FD7" w:rsidP="00DF5FD7">
      <w:pPr>
        <w:keepLines/>
        <w:pageBreakBefore/>
        <w:rPr>
          <w:lang w:val="fr-CH"/>
        </w:rPr>
      </w:pPr>
      <w:r w:rsidRPr="00104D11">
        <w:rPr>
          <w:lang w:val="fr-CH"/>
        </w:rPr>
        <w:lastRenderedPageBreak/>
        <w:t>Les récepteurs au sol SBAS ont un rôle déterminant, par exemple le contr</w:t>
      </w:r>
      <w:r>
        <w:rPr>
          <w:lang w:val="fr-CH"/>
        </w:rPr>
        <w:t xml:space="preserve">ôle de l'intégrité des signaux du SRNS au niveau des stations au sol SBAS dans des emplacements fixes connus. </w:t>
      </w:r>
      <w:r w:rsidRPr="00DF71F3">
        <w:rPr>
          <w:lang w:val="fr-CH"/>
        </w:rPr>
        <w:t xml:space="preserve">Il faut donc assurer à ces récepteurs une protection appropriée </w:t>
      </w:r>
      <w:r>
        <w:rPr>
          <w:lang w:val="fr-CH"/>
        </w:rPr>
        <w:t xml:space="preserve">– par exemple des zones tampon physiques </w:t>
      </w:r>
      <w:r w:rsidRPr="00155902">
        <w:rPr>
          <w:lang w:val="fr-CH"/>
        </w:rPr>
        <w:t>–</w:t>
      </w:r>
      <w:r>
        <w:rPr>
          <w:lang w:val="fr-CH"/>
        </w:rPr>
        <w:t xml:space="preserve"> </w:t>
      </w:r>
      <w:r w:rsidRPr="00DF71F3">
        <w:rPr>
          <w:lang w:val="fr-CH"/>
        </w:rPr>
        <w:t>pour garantir un accès continu ininterrompu aux signaux du SRNS</w:t>
      </w:r>
      <w:r>
        <w:rPr>
          <w:lang w:val="fr-CH"/>
        </w:rPr>
        <w:t>.</w:t>
      </w:r>
    </w:p>
    <w:p w:rsidR="005D5DF0" w:rsidRPr="00865017" w:rsidRDefault="005D5DF0" w:rsidP="005D5DF0">
      <w:pPr>
        <w:pStyle w:val="Heading3"/>
        <w:rPr>
          <w:lang w:val="fr-CH" w:eastAsia="ja-JP"/>
        </w:rPr>
      </w:pPr>
      <w:r w:rsidRPr="00865017">
        <w:rPr>
          <w:lang w:val="fr-CH"/>
        </w:rPr>
        <w:t>2.1.4</w:t>
      </w:r>
      <w:r w:rsidRPr="00865017">
        <w:rPr>
          <w:lang w:val="fr-CH"/>
        </w:rPr>
        <w:tab/>
        <w:t xml:space="preserve">Récepteur </w:t>
      </w:r>
      <w:r>
        <w:rPr>
          <w:lang w:val="fr-CH"/>
        </w:rPr>
        <w:t>d'appro</w:t>
      </w:r>
      <w:r w:rsidRPr="00865017">
        <w:rPr>
          <w:lang w:val="fr-CH"/>
        </w:rPr>
        <w:t>che de précision</w:t>
      </w:r>
      <w:r>
        <w:rPr>
          <w:lang w:val="fr-CH"/>
        </w:rPr>
        <w:t xml:space="preserve"> utilisé en navigation aérienne</w:t>
      </w:r>
    </w:p>
    <w:p w:rsidR="005D5DF0" w:rsidRPr="00667967" w:rsidRDefault="005D5DF0" w:rsidP="005D5DF0">
      <w:pPr>
        <w:rPr>
          <w:lang w:val="fr-CH"/>
        </w:rPr>
      </w:pPr>
      <w:r>
        <w:rPr>
          <w:lang w:val="fr-CH"/>
        </w:rPr>
        <w:t>Ce type de récepteur est un récepteur utilisé en navigation aérienne et conçu pour fournir une approche de précision. Il fonctionne avec des signaux AMRF du SRNS simultanément sur plusieurs porteuses. Les caractéris</w:t>
      </w:r>
      <w:r w:rsidRPr="00F50F72">
        <w:rPr>
          <w:lang w:val="fr-CH"/>
        </w:rPr>
        <w:t xml:space="preserve">tiques de ce type de récepteur </w:t>
      </w:r>
      <w:r>
        <w:rPr>
          <w:lang w:val="fr-CH"/>
        </w:rPr>
        <w:t>sont indiquées dans le Tableau 2, colonne 6.</w:t>
      </w:r>
    </w:p>
    <w:p w:rsidR="005D5DF0" w:rsidRPr="0094092E" w:rsidRDefault="005D5DF0" w:rsidP="005D5DF0">
      <w:pPr>
        <w:rPr>
          <w:lang w:val="fr-CH" w:eastAsia="ja-JP"/>
        </w:rPr>
      </w:pPr>
      <w:r w:rsidRPr="0094092E">
        <w:rPr>
          <w:lang w:val="fr-CH"/>
        </w:rPr>
        <w:t xml:space="preserve">Les caractéristiques de ces récepteurs </w:t>
      </w:r>
      <w:r>
        <w:rPr>
          <w:lang w:val="fr-CH"/>
        </w:rPr>
        <w:t xml:space="preserve">de navigation aérienne </w:t>
      </w:r>
      <w:r w:rsidRPr="0094092E">
        <w:rPr>
          <w:lang w:val="fr-CH"/>
        </w:rPr>
        <w:t>AMRF</w:t>
      </w:r>
      <w:r>
        <w:rPr>
          <w:lang w:val="fr-CH"/>
        </w:rPr>
        <w:t xml:space="preserve"> peuvent aussi s'appliquer </w:t>
      </w:r>
      <w:r w:rsidRPr="0094092E">
        <w:rPr>
          <w:lang w:val="fr-CH"/>
        </w:rPr>
        <w:t xml:space="preserve">aux récepteurs conçus pour des applications terrestres ou maritimes qui ne sont pas décrites dans la présente </w:t>
      </w:r>
      <w:r>
        <w:rPr>
          <w:lang w:val="fr-CH"/>
        </w:rPr>
        <w:t>Annexe.</w:t>
      </w:r>
    </w:p>
    <w:p w:rsidR="005D5DF0" w:rsidRPr="00EB767D" w:rsidRDefault="005D5DF0" w:rsidP="005D5DF0">
      <w:pPr>
        <w:pStyle w:val="Heading2"/>
        <w:rPr>
          <w:lang w:val="fr-CH"/>
        </w:rPr>
      </w:pPr>
      <w:r w:rsidRPr="00EB767D">
        <w:rPr>
          <w:lang w:val="fr-CH"/>
        </w:rPr>
        <w:t>2.2</w:t>
      </w:r>
      <w:r w:rsidRPr="00EB767D">
        <w:rPr>
          <w:lang w:val="fr-CH"/>
        </w:rPr>
        <w:tab/>
        <w:t xml:space="preserve">Récepteurs de haute précision </w:t>
      </w:r>
    </w:p>
    <w:p w:rsidR="005D5DF0" w:rsidRPr="00CC5C5F" w:rsidRDefault="005D5DF0" w:rsidP="005D5DF0">
      <w:pPr>
        <w:rPr>
          <w:lang w:val="fr-CH"/>
        </w:rPr>
      </w:pPr>
      <w:r w:rsidRPr="006761E0">
        <w:rPr>
          <w:lang w:val="fr-CH"/>
        </w:rPr>
        <w:t xml:space="preserve">Il s'agit de récepteurs conçus pour fournir une précision de localisation </w:t>
      </w:r>
      <w:r>
        <w:rPr>
          <w:lang w:val="fr-CH"/>
        </w:rPr>
        <w:t>de 1 à 2 </w:t>
      </w:r>
      <w:r w:rsidRPr="006761E0">
        <w:rPr>
          <w:lang w:val="fr-CH"/>
        </w:rPr>
        <w:t>cm en temps réel, en mode dynamique, en utilisant une technique</w:t>
      </w:r>
      <w:r>
        <w:rPr>
          <w:lang w:val="fr-CH"/>
        </w:rPr>
        <w:t xml:space="preserve"> bifréquence ou des signaux sur trois fréquences et aussi des réseaux SBAS. </w:t>
      </w:r>
      <w:r w:rsidRPr="007D444E">
        <w:rPr>
          <w:lang w:val="fr-CH"/>
        </w:rPr>
        <w:t>Leurs caractéristiques sont simi</w:t>
      </w:r>
      <w:r>
        <w:rPr>
          <w:lang w:val="fr-CH"/>
        </w:rPr>
        <w:t xml:space="preserve">laires à celles des récepteurs </w:t>
      </w:r>
      <w:r w:rsidRPr="007D444E">
        <w:rPr>
          <w:lang w:val="fr-CH"/>
        </w:rPr>
        <w:t>de référence au sol SBAS à code partiel</w:t>
      </w:r>
      <w:r>
        <w:rPr>
          <w:lang w:val="fr-CH"/>
        </w:rPr>
        <w:t xml:space="preserve"> utilisés en aéronautique</w:t>
      </w:r>
      <w:r w:rsidRPr="0008343B">
        <w:rPr>
          <w:lang w:val="fr-CH"/>
        </w:rPr>
        <w:t xml:space="preserve"> </w:t>
      </w:r>
      <w:r>
        <w:rPr>
          <w:lang w:val="fr-CH"/>
        </w:rPr>
        <w:t>décrits plus haut mais certaines applications peuvent être plus sensibles aux brouillages que ces applications aéronautiques étant donné que ces récepteurs de haute précision fonctionnent dans des environnements contraints, par exemple en présence de feuillages. Les récepteurs et les systèmes de haute précision sont utilisés dans des applications où l'on a besoin d'une grande précision de localisation (agriculture, construction, extraction des ressources minières, gestion des ressources naturelles, science et surveillance)</w:t>
      </w:r>
      <w:r w:rsidRPr="00CC5C5F">
        <w:rPr>
          <w:lang w:val="fr-CH"/>
        </w:rPr>
        <w:t>.</w:t>
      </w:r>
    </w:p>
    <w:p w:rsidR="005D5DF0" w:rsidRPr="00761389" w:rsidRDefault="005D5DF0" w:rsidP="005D5DF0">
      <w:pPr>
        <w:rPr>
          <w:lang w:val="fr-CH"/>
        </w:rPr>
      </w:pPr>
      <w:r w:rsidRPr="008544AF">
        <w:rPr>
          <w:lang w:val="fr-CH"/>
        </w:rPr>
        <w:t xml:space="preserve">Les récepteurs de haute précision du SRNS utilisent une technique à code partiel </w:t>
      </w:r>
      <w:r>
        <w:rPr>
          <w:lang w:val="fr-CH"/>
        </w:rPr>
        <w:t>selon laquelle l'acquisition et la poursuite se font sur</w:t>
      </w:r>
      <w:r w:rsidRPr="008544AF">
        <w:rPr>
          <w:lang w:val="fr-CH"/>
        </w:rPr>
        <w:t xml:space="preserve"> deux ou trois</w:t>
      </w:r>
      <w:r>
        <w:rPr>
          <w:lang w:val="fr-CH"/>
        </w:rPr>
        <w:t xml:space="preserve"> </w:t>
      </w:r>
      <w:r w:rsidRPr="008544AF">
        <w:rPr>
          <w:lang w:val="fr-CH"/>
        </w:rPr>
        <w:t>signaux du SRNS sur différentes porteuses</w:t>
      </w:r>
      <w:r>
        <w:rPr>
          <w:lang w:val="fr-CH"/>
        </w:rPr>
        <w:t xml:space="preserve"> (par exemple signaux </w:t>
      </w:r>
      <w:r w:rsidRPr="008C43B2">
        <w:rPr>
          <w:lang w:val="fr-CH"/>
        </w:rPr>
        <w:t xml:space="preserve">L1 et L2 P(Y)), </w:t>
      </w:r>
      <w:r>
        <w:rPr>
          <w:lang w:val="fr-CH"/>
        </w:rPr>
        <w:t>facilitée</w:t>
      </w:r>
      <w:r w:rsidRPr="008C43B2">
        <w:rPr>
          <w:lang w:val="fr-CH"/>
        </w:rPr>
        <w:t xml:space="preserve">s par une connaissance de la phase dynamique de la porteuse obtenue à partir de la poursuite de code de l'un des </w:t>
      </w:r>
      <w:r>
        <w:rPr>
          <w:lang w:val="fr-CH"/>
        </w:rPr>
        <w:t xml:space="preserve">signaux </w:t>
      </w:r>
      <w:r w:rsidRPr="008C43B2">
        <w:rPr>
          <w:lang w:val="fr-CH"/>
        </w:rPr>
        <w:t>(</w:t>
      </w:r>
      <w:r>
        <w:rPr>
          <w:lang w:val="fr-CH"/>
        </w:rPr>
        <w:t>par exemple,</w:t>
      </w:r>
      <w:r w:rsidRPr="008C43B2">
        <w:rPr>
          <w:lang w:val="fr-CH"/>
        </w:rPr>
        <w:t xml:space="preserve"> L1 C/A). </w:t>
      </w:r>
      <w:r>
        <w:rPr>
          <w:lang w:val="fr-CH"/>
        </w:rPr>
        <w:t>Ces réce</w:t>
      </w:r>
      <w:r w:rsidRPr="004803ED">
        <w:rPr>
          <w:lang w:val="fr-CH"/>
        </w:rPr>
        <w:t>pteurs doivent être protégés dans tou</w:t>
      </w:r>
      <w:r>
        <w:rPr>
          <w:lang w:val="fr-CH"/>
        </w:rPr>
        <w:t>te</w:t>
      </w:r>
      <w:r w:rsidRPr="004803ED">
        <w:rPr>
          <w:lang w:val="fr-CH"/>
        </w:rPr>
        <w:t xml:space="preserve">s les bandes </w:t>
      </w:r>
      <w:r>
        <w:rPr>
          <w:lang w:val="fr-CH"/>
        </w:rPr>
        <w:t xml:space="preserve">du SRNS </w:t>
      </w:r>
      <w:r w:rsidRPr="004803ED">
        <w:rPr>
          <w:lang w:val="fr-CH"/>
        </w:rPr>
        <w:t>utilisées</w:t>
      </w:r>
      <w:r>
        <w:rPr>
          <w:lang w:val="fr-CH"/>
        </w:rPr>
        <w:t xml:space="preserve">. </w:t>
      </w:r>
      <w:r w:rsidRPr="00353894">
        <w:rPr>
          <w:lang w:val="fr-CH"/>
        </w:rPr>
        <w:t xml:space="preserve">Deux méthodes de base sont utilisées: 1) corrélation croisée des signaux du </w:t>
      </w:r>
      <w:r>
        <w:rPr>
          <w:lang w:val="fr-CH"/>
        </w:rPr>
        <w:t>SRNS dans les différentes bandes;</w:t>
      </w:r>
      <w:r w:rsidRPr="00353894">
        <w:rPr>
          <w:lang w:val="fr-CH"/>
        </w:rPr>
        <w:t xml:space="preserve"> o</w:t>
      </w:r>
      <w:r>
        <w:rPr>
          <w:lang w:val="fr-CH"/>
        </w:rPr>
        <w:t>u</w:t>
      </w:r>
      <w:r w:rsidRPr="00353894">
        <w:rPr>
          <w:lang w:val="fr-CH"/>
        </w:rPr>
        <w:t xml:space="preserve"> 2) </w:t>
      </w:r>
      <w:r>
        <w:rPr>
          <w:lang w:val="fr-CH"/>
        </w:rPr>
        <w:t>poursuite indépendante des signaux du SRNS</w:t>
      </w:r>
      <w:r w:rsidRPr="00353894">
        <w:rPr>
          <w:lang w:val="fr-CH"/>
        </w:rPr>
        <w:t xml:space="preserve">. </w:t>
      </w:r>
      <w:r>
        <w:rPr>
          <w:lang w:val="fr-CH"/>
        </w:rPr>
        <w:t>Il existe aussi des variantes ou des combinaisons de ces deux méthodes. Quoiqu'il en soit, l'objectif est de fournir une estimation des temps de propagation dans l'ionosphère ou une série indépendante de mesures de la phase de la porteuse, ce qui contribue à supprimer rapidement les ambiguïtés de longueur d'onde. C</w:t>
      </w:r>
      <w:r w:rsidRPr="00256792">
        <w:rPr>
          <w:lang w:val="fr-CH"/>
        </w:rPr>
        <w:t>e processus</w:t>
      </w:r>
      <w:r>
        <w:rPr>
          <w:lang w:val="fr-CH"/>
        </w:rPr>
        <w:t xml:space="preserve"> </w:t>
      </w:r>
      <w:r w:rsidRPr="00256792">
        <w:rPr>
          <w:lang w:val="fr-CH"/>
        </w:rPr>
        <w:t>perm</w:t>
      </w:r>
      <w:r>
        <w:rPr>
          <w:lang w:val="fr-CH"/>
        </w:rPr>
        <w:t>et</w:t>
      </w:r>
      <w:r w:rsidRPr="00256792">
        <w:rPr>
          <w:lang w:val="fr-CH"/>
        </w:rPr>
        <w:t xml:space="preserve"> d'améliorer </w:t>
      </w:r>
      <w:r>
        <w:rPr>
          <w:lang w:val="fr-CH"/>
        </w:rPr>
        <w:t>la précision de localisation, mê</w:t>
      </w:r>
      <w:r w:rsidRPr="00256792">
        <w:rPr>
          <w:lang w:val="fr-CH"/>
        </w:rPr>
        <w:t>me lorsque le réc</w:t>
      </w:r>
      <w:r>
        <w:rPr>
          <w:lang w:val="fr-CH"/>
        </w:rPr>
        <w:t>ep</w:t>
      </w:r>
      <w:r w:rsidRPr="00256792">
        <w:rPr>
          <w:lang w:val="fr-CH"/>
        </w:rPr>
        <w:t>teur est en mouvement</w:t>
      </w:r>
      <w:r>
        <w:rPr>
          <w:lang w:val="fr-CH"/>
        </w:rPr>
        <w:t>. Le schéma de corrélation croisée est possible si les signaux ont des codes identiques presque synchronisés. Les signaux sur une fréquence porteuse sont décalés en phase et subissent un retard dû à la propagation dans l'ionosphère par rapport aux signaux sur une autre fréquence porteuse du même satellite. Toutefois, lorsque les signaux ont un code et une fréquence porteuse Doppler</w:t>
      </w:r>
      <w:r w:rsidRPr="00705489">
        <w:rPr>
          <w:lang w:val="fr-CH"/>
        </w:rPr>
        <w:t xml:space="preserve"> </w:t>
      </w:r>
      <w:r>
        <w:rPr>
          <w:lang w:val="fr-CH"/>
        </w:rPr>
        <w:t>identiques, il est possible de faciliter la poursuite à code partiel en utilisant des boucles de poursuite à bande très étroite</w:t>
      </w:r>
      <w:r w:rsidRPr="00761389">
        <w:rPr>
          <w:lang w:val="fr-CH"/>
        </w:rPr>
        <w:t xml:space="preserve">. </w:t>
      </w:r>
    </w:p>
    <w:p w:rsidR="005D5DF0" w:rsidRPr="00E471CB" w:rsidRDefault="005D5DF0" w:rsidP="00DF5FD7">
      <w:pPr>
        <w:keepLines/>
        <w:pageBreakBefore/>
        <w:rPr>
          <w:lang w:val="fr-CH"/>
        </w:rPr>
      </w:pPr>
      <w:r>
        <w:rPr>
          <w:lang w:val="fr-CH"/>
        </w:rPr>
        <w:lastRenderedPageBreak/>
        <w:t>De nouveaux mo</w:t>
      </w:r>
      <w:r w:rsidRPr="001E47B9">
        <w:rPr>
          <w:lang w:val="fr-CH"/>
        </w:rPr>
        <w:t>dèles de ces récepteurs peuvent aussi poursuivre le signal L2C</w:t>
      </w:r>
      <w:r w:rsidRPr="000039B1">
        <w:rPr>
          <w:position w:val="6"/>
          <w:sz w:val="18"/>
        </w:rPr>
        <w:footnoteReference w:id="10"/>
      </w:r>
      <w:r w:rsidRPr="001E47B9">
        <w:rPr>
          <w:lang w:val="fr-CH"/>
        </w:rPr>
        <w:t xml:space="preserve"> s'il est disponible depuis un satellite particulier, auqu</w:t>
      </w:r>
      <w:r>
        <w:rPr>
          <w:lang w:val="fr-CH"/>
        </w:rPr>
        <w:t>el</w:t>
      </w:r>
      <w:r w:rsidRPr="001E47B9">
        <w:rPr>
          <w:lang w:val="fr-CH"/>
        </w:rPr>
        <w:t xml:space="preserve"> cas</w:t>
      </w:r>
      <w:r>
        <w:rPr>
          <w:lang w:val="fr-CH"/>
        </w:rPr>
        <w:t>, il se peut que ces récepteurs ne fonctionnent pas en mode à code partiel pour ce satellite.</w:t>
      </w:r>
      <w:r w:rsidRPr="001E47B9">
        <w:rPr>
          <w:lang w:val="fr-CH"/>
        </w:rPr>
        <w:t xml:space="preserve"> </w:t>
      </w:r>
      <w:r>
        <w:rPr>
          <w:lang w:val="fr-CH"/>
        </w:rPr>
        <w:t xml:space="preserve">Toutefois, étant donné que ces récepteurs fonctionneraient dans un réseau au sol conjointement avec des récepteurs à code partiel et parallèlement à une poursuite à code partiel des signaux de satellite sans </w:t>
      </w:r>
      <w:r w:rsidRPr="00E471CB">
        <w:rPr>
          <w:lang w:val="fr-CH"/>
        </w:rPr>
        <w:t xml:space="preserve">L2C, leur sensibilité </w:t>
      </w:r>
      <w:r>
        <w:rPr>
          <w:lang w:val="fr-CH"/>
        </w:rPr>
        <w:t>au brouillage</w:t>
      </w:r>
      <w:r w:rsidRPr="00E471CB">
        <w:rPr>
          <w:lang w:val="fr-CH"/>
        </w:rPr>
        <w:t> </w:t>
      </w:r>
      <w:r>
        <w:rPr>
          <w:lang w:val="fr-CH"/>
        </w:rPr>
        <w:t>est la même que celle des récepteurs à code partiel</w:t>
      </w:r>
      <w:r w:rsidRPr="00E471CB">
        <w:rPr>
          <w:lang w:val="fr-CH"/>
        </w:rPr>
        <w:t>.</w:t>
      </w:r>
    </w:p>
    <w:p w:rsidR="005D5DF0" w:rsidRPr="00EC4001" w:rsidRDefault="005D5DF0" w:rsidP="005D5DF0">
      <w:pPr>
        <w:rPr>
          <w:lang w:val="fr-CH"/>
        </w:rPr>
      </w:pPr>
      <w:r>
        <w:rPr>
          <w:lang w:val="fr-CH"/>
        </w:rPr>
        <w:t>On peut aussi utiliser des récepteurs multibandes</w:t>
      </w:r>
      <w:r w:rsidRPr="006463DC">
        <w:rPr>
          <w:lang w:val="fr-CH"/>
        </w:rPr>
        <w:t xml:space="preserve"> dans des réseaux </w:t>
      </w:r>
      <w:r>
        <w:rPr>
          <w:lang w:val="fr-CH"/>
        </w:rPr>
        <w:t xml:space="preserve">de qualité commerciale. </w:t>
      </w:r>
      <w:r w:rsidRPr="009474CC">
        <w:rPr>
          <w:lang w:val="fr-CH"/>
        </w:rPr>
        <w:t>Dans les applications de ce type</w:t>
      </w:r>
      <w:r>
        <w:rPr>
          <w:lang w:val="fr-CH"/>
        </w:rPr>
        <w:t>,</w:t>
      </w:r>
      <w:r w:rsidRPr="009474CC">
        <w:rPr>
          <w:lang w:val="fr-CH"/>
        </w:rPr>
        <w:t xml:space="preserve"> </w:t>
      </w:r>
      <w:r>
        <w:rPr>
          <w:lang w:val="fr-CH"/>
        </w:rPr>
        <w:t>il est possible de traiter des</w:t>
      </w:r>
      <w:r w:rsidRPr="009474CC">
        <w:rPr>
          <w:lang w:val="fr-CH"/>
        </w:rPr>
        <w:t xml:space="preserve"> signaux du SRNS </w:t>
      </w:r>
      <w:r>
        <w:rPr>
          <w:lang w:val="fr-CH"/>
        </w:rPr>
        <w:t xml:space="preserve">selon des méthodes à code partiel pour déterminer le retard de propagation des signaux dans l'ionosphère. </w:t>
      </w:r>
      <w:r w:rsidRPr="00EC4001">
        <w:rPr>
          <w:lang w:val="fr-CH"/>
        </w:rPr>
        <w:t xml:space="preserve">Le réseau utilise cette information pour améliorer la précision sur une </w:t>
      </w:r>
      <w:r>
        <w:rPr>
          <w:lang w:val="fr-CH"/>
        </w:rPr>
        <w:t>ré</w:t>
      </w:r>
      <w:r w:rsidRPr="00EC4001">
        <w:rPr>
          <w:lang w:val="fr-CH"/>
        </w:rPr>
        <w:t>gion étendue</w:t>
      </w:r>
      <w:r>
        <w:rPr>
          <w:lang w:val="fr-CH"/>
        </w:rPr>
        <w:t xml:space="preserve">. </w:t>
      </w:r>
    </w:p>
    <w:p w:rsidR="005D5DF0" w:rsidRPr="00FD084B" w:rsidRDefault="005D5DF0" w:rsidP="005D5DF0">
      <w:pPr>
        <w:rPr>
          <w:lang w:val="fr-CH"/>
        </w:rPr>
      </w:pPr>
      <w:r w:rsidRPr="00DD61CA">
        <w:rPr>
          <w:lang w:val="fr-CH"/>
        </w:rPr>
        <w:t xml:space="preserve">Les récepteurs multibandes </w:t>
      </w:r>
      <w:r>
        <w:rPr>
          <w:lang w:val="fr-CH"/>
        </w:rPr>
        <w:t>des</w:t>
      </w:r>
      <w:r w:rsidRPr="00DD61CA">
        <w:rPr>
          <w:lang w:val="fr-CH"/>
        </w:rPr>
        <w:t xml:space="preserve"> réseau</w:t>
      </w:r>
      <w:r>
        <w:rPr>
          <w:lang w:val="fr-CH"/>
        </w:rPr>
        <w:t>x au sol commerciaux</w:t>
      </w:r>
      <w:r w:rsidRPr="00DD61CA">
        <w:rPr>
          <w:lang w:val="fr-CH"/>
        </w:rPr>
        <w:t xml:space="preserve"> sont généralement plus sensi</w:t>
      </w:r>
      <w:r>
        <w:rPr>
          <w:lang w:val="fr-CH"/>
        </w:rPr>
        <w:t>bles au brouillage que les réce</w:t>
      </w:r>
      <w:r w:rsidRPr="00DD61CA">
        <w:rPr>
          <w:lang w:val="fr-CH"/>
        </w:rPr>
        <w:t xml:space="preserve">pteurs </w:t>
      </w:r>
      <w:r>
        <w:rPr>
          <w:lang w:val="fr-CH"/>
        </w:rPr>
        <w:t xml:space="preserve">à code partiel utilisés en </w:t>
      </w:r>
      <w:r w:rsidRPr="00DD61CA">
        <w:rPr>
          <w:lang w:val="fr-CH"/>
        </w:rPr>
        <w:t>aéronautique</w:t>
      </w:r>
      <w:r>
        <w:rPr>
          <w:lang w:val="fr-CH"/>
        </w:rPr>
        <w:t xml:space="preserve"> décrits au </w:t>
      </w:r>
      <w:r w:rsidRPr="00DD61CA">
        <w:rPr>
          <w:lang w:val="fr-CH"/>
        </w:rPr>
        <w:t xml:space="preserve">§ 2.1 </w:t>
      </w:r>
      <w:r>
        <w:rPr>
          <w:lang w:val="fr-CH"/>
        </w:rPr>
        <w:t>ci-dessus, même s'ils peuvent aussi poursuivre le signal</w:t>
      </w:r>
      <w:r w:rsidRPr="00DD61CA">
        <w:rPr>
          <w:lang w:val="fr-CH"/>
        </w:rPr>
        <w:t xml:space="preserve"> L2C </w:t>
      </w:r>
      <w:r>
        <w:rPr>
          <w:lang w:val="fr-CH"/>
        </w:rPr>
        <w:t xml:space="preserve">émis par tel ou tel satellite. Ils sont généralement conçus pour fonctionner dans un environnement dynamique et n'utilisent pas, en règle générale, de référence de fréquence précise. Les seuils de brouillage indiqués dans le </w:t>
      </w:r>
      <w:r w:rsidRPr="002823D2">
        <w:rPr>
          <w:lang w:val="fr-CH"/>
        </w:rPr>
        <w:t>Table</w:t>
      </w:r>
      <w:r>
        <w:rPr>
          <w:lang w:val="fr-CH"/>
        </w:rPr>
        <w:t>au</w:t>
      </w:r>
      <w:r w:rsidRPr="002823D2">
        <w:rPr>
          <w:lang w:val="fr-CH"/>
        </w:rPr>
        <w:t> 2</w:t>
      </w:r>
      <w:r>
        <w:rPr>
          <w:lang w:val="fr-CH"/>
        </w:rPr>
        <w:t xml:space="preserve"> pour les récepteurs de haute précision du SRNS s'appliquent aussi aux récepteurs de qualité commerciale à code partiel</w:t>
      </w:r>
      <w:r w:rsidRPr="00FD084B">
        <w:rPr>
          <w:lang w:val="fr-CH"/>
        </w:rPr>
        <w:t>.</w:t>
      </w:r>
    </w:p>
    <w:p w:rsidR="005D5DF0" w:rsidRPr="005E7675" w:rsidRDefault="005D5DF0" w:rsidP="005D5DF0">
      <w:pPr>
        <w:rPr>
          <w:lang w:val="fr-CH"/>
        </w:rPr>
      </w:pPr>
      <w:r w:rsidRPr="006B4324">
        <w:rPr>
          <w:lang w:val="fr-CH"/>
        </w:rPr>
        <w:t>A noter que les seuils de poursuite pour ces récepteurs à code partiel (</w:t>
      </w:r>
      <w:r>
        <w:rPr>
          <w:lang w:val="fr-CH"/>
        </w:rPr>
        <w:t>voir la colonne</w:t>
      </w:r>
      <w:r w:rsidRPr="006B4324">
        <w:rPr>
          <w:lang w:val="fr-CH"/>
        </w:rPr>
        <w:t xml:space="preserve"> </w:t>
      </w:r>
      <w:r>
        <w:rPr>
          <w:lang w:val="fr-CH"/>
        </w:rPr>
        <w:t>«haute précision»</w:t>
      </w:r>
      <w:r w:rsidRPr="006B4324">
        <w:rPr>
          <w:lang w:val="fr-CH"/>
        </w:rPr>
        <w:t xml:space="preserve"> </w:t>
      </w:r>
      <w:r>
        <w:rPr>
          <w:lang w:val="fr-CH"/>
        </w:rPr>
        <w:t>du</w:t>
      </w:r>
      <w:r w:rsidRPr="006B4324">
        <w:rPr>
          <w:lang w:val="fr-CH"/>
        </w:rPr>
        <w:t xml:space="preserve"> Table</w:t>
      </w:r>
      <w:r>
        <w:rPr>
          <w:lang w:val="fr-CH"/>
        </w:rPr>
        <w:t>au</w:t>
      </w:r>
      <w:r w:rsidRPr="006B4324">
        <w:rPr>
          <w:lang w:val="fr-CH"/>
        </w:rPr>
        <w:t xml:space="preserve"> 2) </w:t>
      </w:r>
      <w:r>
        <w:rPr>
          <w:lang w:val="fr-CH"/>
        </w:rPr>
        <w:t xml:space="preserve">sont basés sur les signaux poursuivis les plus sensibles. </w:t>
      </w:r>
      <w:r w:rsidRPr="002C7FCA">
        <w:rPr>
          <w:lang w:val="fr-CH"/>
        </w:rPr>
        <w:t xml:space="preserve">Par exemple, dans certaines applications </w:t>
      </w:r>
      <w:r>
        <w:rPr>
          <w:lang w:val="fr-CH"/>
        </w:rPr>
        <w:t>utilisant</w:t>
      </w:r>
      <w:r w:rsidRPr="002C7FCA">
        <w:rPr>
          <w:lang w:val="fr-CH"/>
        </w:rPr>
        <w:t xml:space="preserve"> des récepteurs</w:t>
      </w:r>
      <w:r>
        <w:rPr>
          <w:lang w:val="fr-CH"/>
        </w:rPr>
        <w:t xml:space="preserve"> fonctionnant dans la bande</w:t>
      </w:r>
      <w:r w:rsidRPr="005E7675">
        <w:rPr>
          <w:lang w:val="fr-CH"/>
        </w:rPr>
        <w:t xml:space="preserve"> 1 559-1 610 MHz</w:t>
      </w:r>
      <w:r>
        <w:rPr>
          <w:lang w:val="fr-CH"/>
        </w:rPr>
        <w:t>,</w:t>
      </w:r>
      <w:r w:rsidRPr="005E7675">
        <w:rPr>
          <w:lang w:val="fr-CH"/>
        </w:rPr>
        <w:t xml:space="preserve"> le signal le plus sensible peut se trouver dans la bande 1 215-1 300 MHz</w:t>
      </w:r>
      <w:r>
        <w:rPr>
          <w:lang w:val="fr-CH"/>
        </w:rPr>
        <w:t>,</w:t>
      </w:r>
      <w:r w:rsidRPr="005E7675">
        <w:rPr>
          <w:lang w:val="fr-CH"/>
        </w:rPr>
        <w:t xml:space="preserve"> auquel cas les critères de protection pertinents sont donnés dans la Recomm</w:t>
      </w:r>
      <w:r>
        <w:rPr>
          <w:lang w:val="fr-CH"/>
        </w:rPr>
        <w:t>andation UIT</w:t>
      </w:r>
      <w:r w:rsidRPr="005E7675">
        <w:rPr>
          <w:lang w:val="fr-CH"/>
        </w:rPr>
        <w:noBreakHyphen/>
        <w:t xml:space="preserve">R M.1902. </w:t>
      </w:r>
    </w:p>
    <w:p w:rsidR="005D5DF0" w:rsidRPr="00FD5C32" w:rsidRDefault="005D5DF0" w:rsidP="005D5DF0">
      <w:pPr>
        <w:rPr>
          <w:lang w:val="fr-CH"/>
        </w:rPr>
      </w:pPr>
      <w:r w:rsidRPr="005E7675">
        <w:rPr>
          <w:lang w:val="fr-CH" w:eastAsia="ja-JP"/>
        </w:rPr>
        <w:t xml:space="preserve">Deux </w:t>
      </w:r>
      <w:r>
        <w:rPr>
          <w:lang w:val="fr-CH" w:eastAsia="ja-JP"/>
        </w:rPr>
        <w:t xml:space="preserve">types de </w:t>
      </w:r>
      <w:r w:rsidRPr="005E7675">
        <w:rPr>
          <w:lang w:val="fr-CH" w:eastAsia="ja-JP"/>
        </w:rPr>
        <w:t xml:space="preserve">récepteurs sont indiqués dans la </w:t>
      </w:r>
      <w:r>
        <w:rPr>
          <w:lang w:val="fr-CH"/>
        </w:rPr>
        <w:t>colonne</w:t>
      </w:r>
      <w:r w:rsidRPr="005E7675">
        <w:rPr>
          <w:lang w:val="fr-CH"/>
        </w:rPr>
        <w:t> 11</w:t>
      </w:r>
      <w:r>
        <w:rPr>
          <w:lang w:val="fr-CH" w:eastAsia="ja-JP"/>
        </w:rPr>
        <w:t xml:space="preserve"> </w:t>
      </w:r>
      <w:r w:rsidRPr="005E7675">
        <w:rPr>
          <w:lang w:val="fr-CH" w:eastAsia="ja-JP"/>
        </w:rPr>
        <w:t xml:space="preserve">du </w:t>
      </w:r>
      <w:r w:rsidRPr="005E7675">
        <w:rPr>
          <w:lang w:val="fr-CH"/>
        </w:rPr>
        <w:t>Tableau</w:t>
      </w:r>
      <w:r>
        <w:rPr>
          <w:lang w:val="fr-CH"/>
        </w:rPr>
        <w:t> 2; chacun de ces récepteurs utilise un type de signal de satellite du SRNS différent (soit</w:t>
      </w:r>
      <w:r w:rsidRPr="005E7675">
        <w:rPr>
          <w:lang w:val="fr-CH" w:eastAsia="ja-JP"/>
        </w:rPr>
        <w:t xml:space="preserve"> </w:t>
      </w:r>
      <w:r>
        <w:rPr>
          <w:lang w:val="fr-CH" w:eastAsia="ja-JP"/>
        </w:rPr>
        <w:t>AMRC pour les signaux</w:t>
      </w:r>
      <w:r w:rsidRPr="005E7675">
        <w:rPr>
          <w:lang w:val="fr-CH" w:eastAsia="ja-JP"/>
        </w:rPr>
        <w:t xml:space="preserve"> L1 P(Y) </w:t>
      </w:r>
      <w:r>
        <w:rPr>
          <w:lang w:val="fr-CH" w:eastAsia="ja-JP"/>
        </w:rPr>
        <w:t>et </w:t>
      </w:r>
      <w:r w:rsidRPr="005E7675">
        <w:rPr>
          <w:lang w:val="fr-CH" w:eastAsia="ja-JP"/>
        </w:rPr>
        <w:t xml:space="preserve">C/A, </w:t>
      </w:r>
      <w:r>
        <w:rPr>
          <w:lang w:val="fr-CH" w:eastAsia="ja-JP"/>
        </w:rPr>
        <w:t>soit</w:t>
      </w:r>
      <w:r w:rsidRPr="005E7675">
        <w:rPr>
          <w:lang w:val="fr-CH" w:eastAsia="ja-JP"/>
        </w:rPr>
        <w:t xml:space="preserve"> </w:t>
      </w:r>
      <w:r>
        <w:rPr>
          <w:lang w:val="fr-CH" w:eastAsia="ja-JP"/>
        </w:rPr>
        <w:t>AMRF</w:t>
      </w:r>
      <w:r w:rsidRPr="005E7675">
        <w:rPr>
          <w:lang w:val="fr-CH" w:eastAsia="ja-JP"/>
        </w:rPr>
        <w:t xml:space="preserve">), </w:t>
      </w:r>
      <w:r>
        <w:rPr>
          <w:lang w:val="fr-CH" w:eastAsia="ja-JP"/>
        </w:rPr>
        <w:t>une gamme de fréquences et des largeurs de bande de filtre différentes.</w:t>
      </w:r>
      <w:r w:rsidRPr="005E7675">
        <w:rPr>
          <w:lang w:val="fr-CH" w:eastAsia="ja-JP"/>
        </w:rPr>
        <w:t xml:space="preserve"> </w:t>
      </w:r>
      <w:r>
        <w:rPr>
          <w:lang w:val="fr-CH" w:eastAsia="ja-JP"/>
        </w:rPr>
        <w:t xml:space="preserve">Les critères de protection et les autres caractéristiques sont les mêmes. </w:t>
      </w:r>
    </w:p>
    <w:p w:rsidR="005D5DF0" w:rsidRPr="006A1A26" w:rsidRDefault="005D5DF0" w:rsidP="005D5DF0">
      <w:pPr>
        <w:pStyle w:val="Heading2"/>
        <w:rPr>
          <w:lang w:val="fr-CH"/>
        </w:rPr>
      </w:pPr>
      <w:r w:rsidRPr="006A1A26">
        <w:rPr>
          <w:lang w:val="fr-CH"/>
        </w:rPr>
        <w:t>2.3</w:t>
      </w:r>
      <w:r w:rsidRPr="006A1A26">
        <w:rPr>
          <w:lang w:val="fr-CH"/>
        </w:rPr>
        <w:tab/>
      </w:r>
      <w:r>
        <w:rPr>
          <w:lang w:val="fr-CH"/>
        </w:rPr>
        <w:t>Récepteurs du SRNS assistés</w:t>
      </w:r>
      <w:r w:rsidRPr="006A1A26">
        <w:rPr>
          <w:lang w:val="fr-CH"/>
        </w:rPr>
        <w:t xml:space="preserve"> </w:t>
      </w:r>
    </w:p>
    <w:p w:rsidR="005D5DF0" w:rsidRPr="00113501" w:rsidRDefault="005D5DF0" w:rsidP="005D5DF0">
      <w:pPr>
        <w:rPr>
          <w:lang w:val="fr-CH"/>
        </w:rPr>
      </w:pPr>
      <w:r>
        <w:rPr>
          <w:lang w:val="fr-CH"/>
        </w:rPr>
        <w:t>Il s'agit de réce</w:t>
      </w:r>
      <w:r w:rsidRPr="008672E8">
        <w:rPr>
          <w:lang w:val="fr-CH"/>
        </w:rPr>
        <w:t xml:space="preserve">pteurs </w:t>
      </w:r>
      <w:r>
        <w:rPr>
          <w:lang w:val="fr-CH"/>
        </w:rPr>
        <w:t xml:space="preserve">commerciaux du SRNS portatifs et assistés. Les récepteurs de cette catégorie fonctionnent dans des environnements «contraints» (feuillage dense, à l'intérieur de bâtiments ou canyons urbains). </w:t>
      </w:r>
      <w:r w:rsidRPr="00E9218E">
        <w:rPr>
          <w:lang w:val="fr-CH"/>
        </w:rPr>
        <w:t xml:space="preserve">Ils sont parfois </w:t>
      </w:r>
      <w:r>
        <w:rPr>
          <w:lang w:val="fr-CH"/>
        </w:rPr>
        <w:t>«</w:t>
      </w:r>
      <w:r w:rsidRPr="00E9218E">
        <w:rPr>
          <w:lang w:val="fr-CH"/>
        </w:rPr>
        <w:t>assistés par téléphone cellulaire</w:t>
      </w:r>
      <w:r>
        <w:rPr>
          <w:lang w:val="fr-CH"/>
        </w:rPr>
        <w:t>»</w:t>
      </w:r>
      <w:r w:rsidRPr="00E9218E">
        <w:rPr>
          <w:lang w:val="fr-CH"/>
        </w:rPr>
        <w:t xml:space="preserve"> étant donné que les informations d'assistance (Doppler, synchronisation, données de navigation) </w:t>
      </w:r>
      <w:r>
        <w:rPr>
          <w:lang w:val="fr-CH"/>
        </w:rPr>
        <w:t xml:space="preserve">sont fournies en temps réel pour permettre une acquisition et une poursuite des signaux du SRNS en présence d'un affaiblissement important (par exemple murs de bâtiments). En cas de feuillage dense ou d'affaiblissement par les murs, il n'y a pas lieu de définir des niveaux normalisés pour les signaux du SRNS reçus. </w:t>
      </w:r>
      <w:r w:rsidRPr="00AD2275">
        <w:rPr>
          <w:lang w:val="fr-CH"/>
        </w:rPr>
        <w:t>Les seuils de puissance brouilleuse</w:t>
      </w:r>
      <w:r>
        <w:rPr>
          <w:lang w:val="fr-CH"/>
        </w:rPr>
        <w:t xml:space="preserve"> ne peuvent donc pas être rapportés aux niveaux des signaux reçus</w:t>
      </w:r>
      <w:r w:rsidRPr="00113501">
        <w:rPr>
          <w:lang w:val="fr-CH"/>
        </w:rPr>
        <w:t xml:space="preserve">. </w:t>
      </w:r>
    </w:p>
    <w:p w:rsidR="005D5DF0" w:rsidRPr="000872C8" w:rsidRDefault="005D5DF0" w:rsidP="005D5DF0">
      <w:pPr>
        <w:rPr>
          <w:lang w:val="fr-CH"/>
        </w:rPr>
      </w:pPr>
      <w:r w:rsidRPr="0022661C">
        <w:rPr>
          <w:lang w:val="fr-CH"/>
        </w:rPr>
        <w:t xml:space="preserve">Par conséquent, l'approche retenue consiste à définir le seuil de </w:t>
      </w:r>
      <w:r>
        <w:rPr>
          <w:lang w:val="fr-CH"/>
        </w:rPr>
        <w:t xml:space="preserve">densité, de </w:t>
      </w:r>
      <w:r w:rsidRPr="0022661C">
        <w:rPr>
          <w:lang w:val="fr-CH"/>
        </w:rPr>
        <w:t xml:space="preserve">puissance brouilleuse cumulative à un niveau qui ne fera pas augmenter </w:t>
      </w:r>
      <w:r>
        <w:rPr>
          <w:lang w:val="fr-CH"/>
        </w:rPr>
        <w:t>le niveau plancher de bruit total de plus de1 </w:t>
      </w:r>
      <w:r w:rsidRPr="0022661C">
        <w:rPr>
          <w:lang w:val="fr-CH"/>
        </w:rPr>
        <w:t>dB</w:t>
      </w:r>
      <w:r>
        <w:rPr>
          <w:lang w:val="fr-CH"/>
        </w:rPr>
        <w:t xml:space="preserve"> au-dessus du niveau plancher du bruit environnemental. Ce niveau est celui d'un environnement en intérieur </w:t>
      </w:r>
      <w:r w:rsidRPr="00E00037">
        <w:rPr>
          <w:lang w:val="fr-CH"/>
        </w:rPr>
        <w:t>(−144 dBW/MHz), qui se traduit par une densité de puissance de bruit du récepteur de</w:t>
      </w:r>
      <w:r>
        <w:rPr>
          <w:lang w:val="fr-CH"/>
        </w:rPr>
        <w:t> </w:t>
      </w:r>
      <w:r w:rsidRPr="00E00037">
        <w:rPr>
          <w:lang w:val="fr-CH"/>
        </w:rPr>
        <w:t xml:space="preserve">−141 dBW/MHz </w:t>
      </w:r>
      <w:r>
        <w:rPr>
          <w:lang w:val="fr-CH"/>
        </w:rPr>
        <w:t>pour un récepteur</w:t>
      </w:r>
      <w:r w:rsidRPr="00E00037">
        <w:rPr>
          <w:lang w:val="fr-CH"/>
        </w:rPr>
        <w:t xml:space="preserve"> </w:t>
      </w:r>
      <w:r>
        <w:rPr>
          <w:lang w:val="fr-CH"/>
        </w:rPr>
        <w:t>présentant un facteur de bruit de</w:t>
      </w:r>
      <w:r w:rsidRPr="00E00037">
        <w:rPr>
          <w:lang w:val="fr-CH"/>
        </w:rPr>
        <w:t xml:space="preserve"> 3 dB, </w:t>
      </w:r>
      <w:r>
        <w:rPr>
          <w:lang w:val="fr-CH"/>
        </w:rPr>
        <w:t xml:space="preserve">et aboutit à un seuil de densité de puissance brouilleuse large bande </w:t>
      </w:r>
      <w:r w:rsidRPr="00E00037">
        <w:rPr>
          <w:lang w:val="fr-CH"/>
        </w:rPr>
        <w:t>−14</w:t>
      </w:r>
      <w:r>
        <w:rPr>
          <w:lang w:val="fr-CH"/>
        </w:rPr>
        <w:t>6,9</w:t>
      </w:r>
      <w:r w:rsidRPr="00E00037">
        <w:rPr>
          <w:lang w:val="fr-CH"/>
        </w:rPr>
        <w:t> dBW/MHz</w:t>
      </w:r>
      <w:r>
        <w:rPr>
          <w:lang w:val="fr-CH"/>
        </w:rPr>
        <w:t>,</w:t>
      </w:r>
      <w:r w:rsidRPr="00E00037">
        <w:rPr>
          <w:lang w:val="fr-CH"/>
        </w:rPr>
        <w:t xml:space="preserve"> </w:t>
      </w:r>
      <w:r>
        <w:rPr>
          <w:lang w:val="fr-CH"/>
        </w:rPr>
        <w:t xml:space="preserve">à la sortie d'une antenne passive à </w:t>
      </w:r>
      <w:r>
        <w:rPr>
          <w:lang w:val="fr-CH"/>
        </w:rPr>
        <w:lastRenderedPageBreak/>
        <w:t xml:space="preserve">polarisation circulaire présentant un gain de </w:t>
      </w:r>
      <w:r w:rsidRPr="00E00037">
        <w:rPr>
          <w:lang w:val="fr-CH"/>
        </w:rPr>
        <w:t xml:space="preserve">0 dBi. </w:t>
      </w:r>
      <w:r w:rsidRPr="00272720">
        <w:rPr>
          <w:lang w:val="fr-CH"/>
        </w:rPr>
        <w:t xml:space="preserve">Dans le cas d'un brouillage cumulatif </w:t>
      </w:r>
      <w:r>
        <w:rPr>
          <w:lang w:val="fr-CH"/>
        </w:rPr>
        <w:t>à</w:t>
      </w:r>
      <w:r w:rsidRPr="00272720">
        <w:rPr>
          <w:lang w:val="fr-CH"/>
        </w:rPr>
        <w:t xml:space="preserve"> bande étroite (voir Fig. 1), le seuil de puissance brouilleuse est alors de </w:t>
      </w:r>
      <w:r>
        <w:rPr>
          <w:lang w:val="fr-CH"/>
        </w:rPr>
        <w:t>−156,9</w:t>
      </w:r>
      <w:r w:rsidRPr="00E00037">
        <w:rPr>
          <w:lang w:val="fr-CH"/>
        </w:rPr>
        <w:t> dBW</w:t>
      </w:r>
      <w:r>
        <w:rPr>
          <w:lang w:val="fr-CH"/>
        </w:rPr>
        <w:t>.</w:t>
      </w:r>
      <w:r w:rsidRPr="00272720">
        <w:rPr>
          <w:lang w:val="fr-CH"/>
        </w:rPr>
        <w:t xml:space="preserve"> Etant donné que ces récepteurs sont généralement assistés, les seuils d'acquisition et de poursuite</w:t>
      </w:r>
      <w:r>
        <w:rPr>
          <w:lang w:val="fr-CH"/>
        </w:rPr>
        <w:t xml:space="preserve"> sont identiques</w:t>
      </w:r>
      <w:r w:rsidRPr="00272720">
        <w:rPr>
          <w:lang w:val="fr-CH"/>
        </w:rPr>
        <w:t xml:space="preserve">. </w:t>
      </w:r>
      <w:r>
        <w:rPr>
          <w:lang w:val="fr-CH"/>
        </w:rPr>
        <w:t>Les caractéris</w:t>
      </w:r>
      <w:r w:rsidRPr="00F50F72">
        <w:rPr>
          <w:lang w:val="fr-CH"/>
        </w:rPr>
        <w:t xml:space="preserve">tiques de ce type de récepteur </w:t>
      </w:r>
      <w:r>
        <w:rPr>
          <w:lang w:val="fr-CH"/>
        </w:rPr>
        <w:t>sont indiquées dans le Tableau 2, colonne 7</w:t>
      </w:r>
      <w:r w:rsidRPr="000872C8">
        <w:rPr>
          <w:lang w:val="fr-CH"/>
        </w:rPr>
        <w:t>.</w:t>
      </w:r>
    </w:p>
    <w:p w:rsidR="005D5DF0" w:rsidRPr="00490D05" w:rsidRDefault="005D5DF0" w:rsidP="005D5DF0">
      <w:pPr>
        <w:pStyle w:val="Heading2"/>
        <w:rPr>
          <w:lang w:val="fr-CH"/>
        </w:rPr>
      </w:pPr>
      <w:r w:rsidRPr="00490D05">
        <w:rPr>
          <w:lang w:val="fr-CH"/>
        </w:rPr>
        <w:t>2.4</w:t>
      </w:r>
      <w:r w:rsidRPr="00490D05">
        <w:rPr>
          <w:lang w:val="fr-CH"/>
        </w:rPr>
        <w:tab/>
        <w:t>Récepteurs polyvalents</w:t>
      </w:r>
    </w:p>
    <w:p w:rsidR="005D5DF0" w:rsidRPr="005F59C0" w:rsidRDefault="005D5DF0" w:rsidP="005D5DF0">
      <w:pPr>
        <w:rPr>
          <w:lang w:val="fr-CH" w:eastAsia="ja-JP"/>
        </w:rPr>
      </w:pPr>
      <w:r>
        <w:rPr>
          <w:lang w:val="fr-CH"/>
        </w:rPr>
        <w:t>C</w:t>
      </w:r>
      <w:r w:rsidRPr="00490D05">
        <w:rPr>
          <w:lang w:val="fr-CH"/>
        </w:rPr>
        <w:t>ette catégorie comprend plusieurs types de récepteurs du SRNS</w:t>
      </w:r>
      <w:r>
        <w:rPr>
          <w:lang w:val="fr-CH"/>
        </w:rPr>
        <w:t xml:space="preserve">. </w:t>
      </w:r>
      <w:r w:rsidRPr="00DF2282">
        <w:rPr>
          <w:lang w:val="fr-CH"/>
        </w:rPr>
        <w:t xml:space="preserve">Ces récepteurs sont conçus </w:t>
      </w:r>
      <w:r>
        <w:rPr>
          <w:lang w:val="fr-CH"/>
        </w:rPr>
        <w:t>pour la</w:t>
      </w:r>
      <w:r w:rsidRPr="00DF2282">
        <w:rPr>
          <w:lang w:val="fr-CH"/>
        </w:rPr>
        <w:t xml:space="preserve"> navigation </w:t>
      </w:r>
      <w:r>
        <w:rPr>
          <w:lang w:val="fr-CH"/>
        </w:rPr>
        <w:t>des</w:t>
      </w:r>
      <w:r w:rsidRPr="00DF2282">
        <w:rPr>
          <w:lang w:val="fr-CH"/>
        </w:rPr>
        <w:t xml:space="preserve"> véhicule</w:t>
      </w:r>
      <w:r>
        <w:rPr>
          <w:lang w:val="fr-CH"/>
        </w:rPr>
        <w:t>s</w:t>
      </w:r>
      <w:r w:rsidRPr="00DF2282">
        <w:rPr>
          <w:lang w:val="fr-CH"/>
        </w:rPr>
        <w:t xml:space="preserve">, </w:t>
      </w:r>
      <w:r>
        <w:rPr>
          <w:lang w:val="fr-CH"/>
        </w:rPr>
        <w:t>la navigation des</w:t>
      </w:r>
      <w:r w:rsidRPr="00DF2282">
        <w:rPr>
          <w:lang w:val="fr-CH"/>
        </w:rPr>
        <w:t xml:space="preserve"> piéton</w:t>
      </w:r>
      <w:r>
        <w:rPr>
          <w:lang w:val="fr-CH"/>
        </w:rPr>
        <w:t>s</w:t>
      </w:r>
      <w:r w:rsidRPr="00DF2282">
        <w:rPr>
          <w:lang w:val="fr-CH"/>
        </w:rPr>
        <w:t xml:space="preserve"> pour une </w:t>
      </w:r>
      <w:r>
        <w:rPr>
          <w:lang w:val="fr-CH"/>
        </w:rPr>
        <w:t>localis</w:t>
      </w:r>
      <w:r w:rsidRPr="00DF2282">
        <w:rPr>
          <w:lang w:val="fr-CH"/>
        </w:rPr>
        <w:t>ation générale, etc.</w:t>
      </w:r>
      <w:r w:rsidRPr="00AF7C2C">
        <w:rPr>
          <w:lang w:val="fr-CH" w:eastAsia="ja-JP"/>
        </w:rPr>
        <w:t xml:space="preserve"> </w:t>
      </w:r>
      <w:r w:rsidRPr="00AF7C2C">
        <w:rPr>
          <w:lang w:val="fr-CH"/>
        </w:rPr>
        <w:t>Trois types de récepteurs sont indiqués dans le Table</w:t>
      </w:r>
      <w:r>
        <w:rPr>
          <w:lang w:val="fr-CH"/>
        </w:rPr>
        <w:t>a</w:t>
      </w:r>
      <w:r w:rsidRPr="00AF7C2C">
        <w:rPr>
          <w:lang w:val="fr-CH"/>
        </w:rPr>
        <w:t>u</w:t>
      </w:r>
      <w:r>
        <w:rPr>
          <w:lang w:val="fr-CH"/>
        </w:rPr>
        <w:t> 2, colonne</w:t>
      </w:r>
      <w:r w:rsidRPr="00AF7C2C">
        <w:rPr>
          <w:lang w:val="fr-CH"/>
        </w:rPr>
        <w:t xml:space="preserve">s 8 </w:t>
      </w:r>
      <w:r>
        <w:rPr>
          <w:lang w:val="fr-CH"/>
        </w:rPr>
        <w:t>et</w:t>
      </w:r>
      <w:r w:rsidRPr="00AF7C2C">
        <w:rPr>
          <w:lang w:val="fr-CH"/>
        </w:rPr>
        <w:t xml:space="preserve"> 9. </w:t>
      </w:r>
      <w:r w:rsidRPr="00600EA0">
        <w:rPr>
          <w:lang w:val="fr-CH" w:eastAsia="ja-JP"/>
        </w:rPr>
        <w:t>Les deux types de récepteurs polyvalents No. 1 (colonne 8) utilisent des signaux de types différents (</w:t>
      </w:r>
      <w:r>
        <w:rPr>
          <w:lang w:val="fr-CH" w:eastAsia="ja-JP"/>
        </w:rPr>
        <w:t>AMRC pour le signal</w:t>
      </w:r>
      <w:r w:rsidRPr="00600EA0">
        <w:rPr>
          <w:lang w:val="fr-CH" w:eastAsia="ja-JP"/>
        </w:rPr>
        <w:t xml:space="preserve"> L1 C/A </w:t>
      </w:r>
      <w:r>
        <w:rPr>
          <w:lang w:val="fr-CH" w:eastAsia="ja-JP"/>
        </w:rPr>
        <w:t>ou AMRF) ainsi que des gammes de fréquences et une largeur de bande de précorrélation différentes</w:t>
      </w:r>
      <w:r w:rsidRPr="00600EA0">
        <w:rPr>
          <w:lang w:val="fr-CH" w:eastAsia="ja-JP"/>
        </w:rPr>
        <w:t xml:space="preserve">. </w:t>
      </w:r>
      <w:r>
        <w:rPr>
          <w:lang w:val="fr-CH" w:eastAsia="ja-JP"/>
        </w:rPr>
        <w:t>Les critères de protection et les autres caractéristiques sont les mêmes</w:t>
      </w:r>
      <w:r w:rsidRPr="0031315A">
        <w:rPr>
          <w:lang w:val="fr-CH" w:eastAsia="ja-JP"/>
        </w:rPr>
        <w:t xml:space="preserve">. </w:t>
      </w:r>
      <w:r>
        <w:rPr>
          <w:lang w:val="fr-CH" w:eastAsia="ja-JP"/>
        </w:rPr>
        <w:t xml:space="preserve">Le récepteur polyvalent N° 2 </w:t>
      </w:r>
      <w:r w:rsidRPr="005F59C0">
        <w:rPr>
          <w:lang w:val="fr-CH" w:eastAsia="ja-JP"/>
        </w:rPr>
        <w:t>(colonne 9) utilise des signaux AMRC (B1-C)</w:t>
      </w:r>
      <w:r w:rsidRPr="000039B1">
        <w:rPr>
          <w:position w:val="6"/>
          <w:sz w:val="18"/>
          <w:lang w:eastAsia="ja-JP"/>
        </w:rPr>
        <w:footnoteReference w:id="11"/>
      </w:r>
      <w:r>
        <w:rPr>
          <w:lang w:val="fr-CH" w:eastAsia="ja-JP"/>
        </w:rPr>
        <w:t xml:space="preserve"> </w:t>
      </w:r>
      <w:r w:rsidRPr="005F59C0">
        <w:rPr>
          <w:lang w:val="fr-CH" w:eastAsia="ja-JP"/>
        </w:rPr>
        <w:t>et ses caractéristiques et critères de protection</w:t>
      </w:r>
      <w:r>
        <w:rPr>
          <w:lang w:val="fr-CH" w:eastAsia="ja-JP"/>
        </w:rPr>
        <w:t xml:space="preserve"> sont différents de ceux du récepteur polyvalent N°</w:t>
      </w:r>
      <w:r w:rsidRPr="005F59C0">
        <w:rPr>
          <w:lang w:val="fr-CH" w:eastAsia="ja-JP"/>
        </w:rPr>
        <w:t> 1.</w:t>
      </w:r>
    </w:p>
    <w:p w:rsidR="005D5DF0" w:rsidRPr="001D61C1" w:rsidRDefault="005D5DF0" w:rsidP="005D5DF0">
      <w:pPr>
        <w:pStyle w:val="Heading2"/>
        <w:rPr>
          <w:lang w:val="fr-CH"/>
        </w:rPr>
      </w:pPr>
      <w:r w:rsidRPr="001D61C1">
        <w:rPr>
          <w:lang w:val="fr-CH"/>
        </w:rPr>
        <w:t>2.5</w:t>
      </w:r>
      <w:r w:rsidRPr="001D61C1">
        <w:rPr>
          <w:lang w:val="fr-CH"/>
        </w:rPr>
        <w:tab/>
        <w:t>Localisation à l'intérieur de bâtiments</w:t>
      </w:r>
    </w:p>
    <w:p w:rsidR="005D5DF0" w:rsidRPr="00B8107A" w:rsidRDefault="005D5DF0" w:rsidP="005D5DF0">
      <w:pPr>
        <w:rPr>
          <w:lang w:val="fr-CH" w:eastAsia="ja-JP"/>
        </w:rPr>
      </w:pPr>
      <w:r w:rsidRPr="00AF288F">
        <w:rPr>
          <w:lang w:val="fr-CH"/>
        </w:rPr>
        <w:t xml:space="preserve">Les récepteurs du SRNS de cette catégorie sont conçus pour être utilisés </w:t>
      </w:r>
      <w:r>
        <w:rPr>
          <w:lang w:val="fr-CH"/>
        </w:rPr>
        <w:t>à l'</w:t>
      </w:r>
      <w:r w:rsidRPr="00AF288F">
        <w:rPr>
          <w:lang w:val="fr-CH"/>
        </w:rPr>
        <w:t xml:space="preserve">intérieur </w:t>
      </w:r>
      <w:r>
        <w:rPr>
          <w:lang w:val="fr-CH"/>
        </w:rPr>
        <w:t xml:space="preserve">de bâtiments </w:t>
      </w:r>
      <w:r w:rsidRPr="00AF288F">
        <w:rPr>
          <w:lang w:val="fr-CH"/>
        </w:rPr>
        <w:t xml:space="preserve">et leur </w:t>
      </w:r>
      <w:r>
        <w:rPr>
          <w:lang w:val="fr-CH"/>
        </w:rPr>
        <w:t>rapport</w:t>
      </w:r>
      <w:r w:rsidRPr="00AF288F">
        <w:rPr>
          <w:lang w:val="fr-CH"/>
        </w:rPr>
        <w:t xml:space="preserve"> </w:t>
      </w:r>
      <w:r w:rsidRPr="00AF288F">
        <w:rPr>
          <w:i/>
          <w:iCs/>
          <w:lang w:val="fr-CH"/>
        </w:rPr>
        <w:t>C</w:t>
      </w:r>
      <w:r w:rsidRPr="00AF288F">
        <w:rPr>
          <w:lang w:val="fr-CH"/>
        </w:rPr>
        <w:t>/</w:t>
      </w:r>
      <w:r w:rsidRPr="00AF288F">
        <w:rPr>
          <w:i/>
          <w:iCs/>
          <w:lang w:val="fr-CH"/>
        </w:rPr>
        <w:t>N</w:t>
      </w:r>
      <w:r w:rsidRPr="00AF288F">
        <w:rPr>
          <w:vertAlign w:val="subscript"/>
          <w:lang w:val="fr-CH"/>
        </w:rPr>
        <w:t>0</w:t>
      </w:r>
      <w:r w:rsidRPr="00AF288F">
        <w:rPr>
          <w:lang w:val="fr-CH"/>
        </w:rPr>
        <w:t xml:space="preserve"> est généralement </w:t>
      </w:r>
      <w:r>
        <w:rPr>
          <w:lang w:val="fr-CH"/>
        </w:rPr>
        <w:t>faible</w:t>
      </w:r>
      <w:r w:rsidRPr="00AF288F">
        <w:rPr>
          <w:lang w:val="fr-CH"/>
        </w:rPr>
        <w:t xml:space="preserve"> (</w:t>
      </w:r>
      <w:r>
        <w:rPr>
          <w:lang w:val="fr-CH"/>
        </w:rPr>
        <w:t>c'est</w:t>
      </w:r>
      <w:r>
        <w:rPr>
          <w:lang w:val="fr-CH"/>
        </w:rPr>
        <w:noBreakHyphen/>
        <w:t>à</w:t>
      </w:r>
      <w:r>
        <w:rPr>
          <w:lang w:val="fr-CH"/>
        </w:rPr>
        <w:noBreakHyphen/>
        <w:t>dire, récepteurs sensibles</w:t>
      </w:r>
      <w:r w:rsidRPr="00AF288F">
        <w:rPr>
          <w:lang w:val="fr-CH"/>
        </w:rPr>
        <w:t>).</w:t>
      </w:r>
      <w:r w:rsidRPr="00AF288F">
        <w:rPr>
          <w:lang w:val="fr-CH" w:eastAsia="ja-JP"/>
        </w:rPr>
        <w:t xml:space="preserve"> </w:t>
      </w:r>
      <w:r>
        <w:rPr>
          <w:lang w:val="fr-CH" w:eastAsia="ja-JP"/>
        </w:rPr>
        <w:t>Etant donné qu'on ne peut pas utiliser la poursuite de la porteuse avec les signaux de faible puissance présents à l'intérieur de bâtiments, seule la poursuite de code est utilisée avec ce type de récepteur.</w:t>
      </w:r>
      <w:r w:rsidRPr="00B8107A">
        <w:rPr>
          <w:lang w:val="fr-CH" w:eastAsia="ja-JP"/>
        </w:rPr>
        <w:t xml:space="preserve"> Deux types de récepteurs sont indiqués dans le </w:t>
      </w:r>
      <w:r w:rsidRPr="00B8107A">
        <w:rPr>
          <w:lang w:val="fr-CH"/>
        </w:rPr>
        <w:t>Tableau</w:t>
      </w:r>
      <w:r>
        <w:rPr>
          <w:lang w:val="fr-CH"/>
        </w:rPr>
        <w:t xml:space="preserve"> 2, colonne</w:t>
      </w:r>
      <w:r w:rsidRPr="00B8107A">
        <w:rPr>
          <w:lang w:val="fr-CH"/>
        </w:rPr>
        <w:t xml:space="preserve"> 10; </w:t>
      </w:r>
      <w:r>
        <w:rPr>
          <w:lang w:val="fr-CH"/>
        </w:rPr>
        <w:t>chacun utilise un type de signal de satellite du SRNS différent</w:t>
      </w:r>
      <w:r w:rsidRPr="00B8107A">
        <w:rPr>
          <w:lang w:val="fr-CH" w:eastAsia="ja-JP"/>
        </w:rPr>
        <w:t xml:space="preserve"> (</w:t>
      </w:r>
      <w:r>
        <w:rPr>
          <w:lang w:val="fr-CH" w:eastAsia="ja-JP"/>
        </w:rPr>
        <w:t>AMRC pour le signal</w:t>
      </w:r>
      <w:r w:rsidRPr="00B8107A">
        <w:rPr>
          <w:lang w:val="fr-CH" w:eastAsia="ja-JP"/>
        </w:rPr>
        <w:t xml:space="preserve"> L1 C/A </w:t>
      </w:r>
      <w:r>
        <w:rPr>
          <w:lang w:val="fr-CH" w:eastAsia="ja-JP"/>
        </w:rPr>
        <w:t>ou AMRF) ainsi que</w:t>
      </w:r>
      <w:r w:rsidRPr="00B8107A">
        <w:rPr>
          <w:lang w:val="fr-CH" w:eastAsia="ja-JP"/>
        </w:rPr>
        <w:t xml:space="preserve"> </w:t>
      </w:r>
      <w:r>
        <w:rPr>
          <w:lang w:val="fr-CH" w:eastAsia="ja-JP"/>
        </w:rPr>
        <w:t>des gammes de fréquences et une largeur de bande de précorrélation différentes</w:t>
      </w:r>
      <w:r w:rsidRPr="00600EA0">
        <w:rPr>
          <w:lang w:val="fr-CH" w:eastAsia="ja-JP"/>
        </w:rPr>
        <w:t xml:space="preserve">. </w:t>
      </w:r>
      <w:r>
        <w:rPr>
          <w:lang w:val="fr-CH" w:eastAsia="ja-JP"/>
        </w:rPr>
        <w:t>Les critères de protection et les autres caractéristiques sont les mêmes</w:t>
      </w:r>
      <w:r w:rsidRPr="00B8107A">
        <w:rPr>
          <w:lang w:val="fr-CH" w:eastAsia="ja-JP"/>
        </w:rPr>
        <w:t>.</w:t>
      </w:r>
    </w:p>
    <w:p w:rsidR="005D5DF0" w:rsidRPr="00B8107A" w:rsidRDefault="005D5DF0" w:rsidP="005D5DF0">
      <w:pPr>
        <w:pStyle w:val="Heading1"/>
        <w:rPr>
          <w:lang w:val="fr-CH"/>
        </w:rPr>
      </w:pPr>
      <w:r w:rsidRPr="00B8107A">
        <w:rPr>
          <w:lang w:val="fr-CH"/>
        </w:rPr>
        <w:t>3</w:t>
      </w:r>
      <w:r w:rsidRPr="00B8107A">
        <w:rPr>
          <w:lang w:val="fr-CH"/>
        </w:rPr>
        <w:tab/>
        <w:t xml:space="preserve">Seuils de brouillage continu </w:t>
      </w:r>
      <w:r>
        <w:rPr>
          <w:lang w:val="fr-CH"/>
        </w:rPr>
        <w:t xml:space="preserve">pour le </w:t>
      </w:r>
      <w:r w:rsidRPr="00B8107A">
        <w:rPr>
          <w:lang w:val="fr-CH"/>
        </w:rPr>
        <w:t xml:space="preserve">SRNS </w:t>
      </w:r>
      <w:r>
        <w:rPr>
          <w:lang w:val="fr-CH"/>
        </w:rPr>
        <w:t>dans le cas de</w:t>
      </w:r>
      <w:r w:rsidRPr="00B8107A">
        <w:rPr>
          <w:lang w:val="fr-CH"/>
        </w:rPr>
        <w:t xml:space="preserve"> sources </w:t>
      </w:r>
      <w:r>
        <w:rPr>
          <w:lang w:val="fr-CH"/>
        </w:rPr>
        <w:t xml:space="preserve">radioélectriques </w:t>
      </w:r>
      <w:r w:rsidRPr="00B8107A">
        <w:rPr>
          <w:lang w:val="fr-CH"/>
        </w:rPr>
        <w:t>autres</w:t>
      </w:r>
      <w:r>
        <w:rPr>
          <w:lang w:val="fr-CH"/>
        </w:rPr>
        <w:t xml:space="preserve"> que celles du SRNS</w:t>
      </w:r>
    </w:p>
    <w:p w:rsidR="005D5DF0" w:rsidRPr="00B8107A" w:rsidRDefault="005D5DF0" w:rsidP="005D5DF0">
      <w:pPr>
        <w:rPr>
          <w:lang w:val="fr-CH"/>
        </w:rPr>
      </w:pPr>
      <w:r w:rsidRPr="00B8107A">
        <w:rPr>
          <w:lang w:val="fr-CH"/>
        </w:rPr>
        <w:t>Dans les descriptions qui suivent, les niveaux de puissance reçue</w:t>
      </w:r>
      <w:r>
        <w:rPr>
          <w:lang w:val="fr-CH"/>
        </w:rPr>
        <w:t xml:space="preserve"> </w:t>
      </w:r>
      <w:r w:rsidRPr="00B8107A">
        <w:rPr>
          <w:lang w:val="fr-CH"/>
        </w:rPr>
        <w:t>à la sortie de l'antenne correspondent aux niveaux de puissance qui tienne</w:t>
      </w:r>
      <w:r>
        <w:rPr>
          <w:lang w:val="fr-CH"/>
        </w:rPr>
        <w:t>n</w:t>
      </w:r>
      <w:r w:rsidRPr="00B8107A">
        <w:rPr>
          <w:lang w:val="fr-CH"/>
        </w:rPr>
        <w:t>t compte</w:t>
      </w:r>
      <w:r>
        <w:rPr>
          <w:lang w:val="fr-CH"/>
        </w:rPr>
        <w:t xml:space="preserve"> du gain maximal de l'antenne en direction des sources de brouillage</w:t>
      </w:r>
      <w:r w:rsidRPr="00B8107A">
        <w:rPr>
          <w:lang w:val="fr-CH"/>
        </w:rPr>
        <w:t xml:space="preserve">. </w:t>
      </w:r>
      <w:r>
        <w:rPr>
          <w:lang w:val="fr-CH"/>
        </w:rPr>
        <w:t>Un exemple de spécification du SRNS, s'agissant des niveaux relatifs de brouillage cumulatif en fonction de la largeur de bande de la source de brouillage pour des récepteurs utilisant le signal</w:t>
      </w:r>
      <w:r w:rsidRPr="00B8107A">
        <w:rPr>
          <w:lang w:val="fr-CH"/>
        </w:rPr>
        <w:t xml:space="preserve"> L1 C/A</w:t>
      </w:r>
      <w:r>
        <w:rPr>
          <w:lang w:val="fr-CH"/>
        </w:rPr>
        <w:t>,</w:t>
      </w:r>
      <w:r w:rsidRPr="00B8107A">
        <w:rPr>
          <w:lang w:val="fr-CH"/>
        </w:rPr>
        <w:t xml:space="preserve"> </w:t>
      </w:r>
      <w:r>
        <w:rPr>
          <w:lang w:val="fr-CH"/>
        </w:rPr>
        <w:t>est donné dans la Fig.</w:t>
      </w:r>
      <w:r w:rsidRPr="00B8107A">
        <w:rPr>
          <w:lang w:val="fr-CH"/>
        </w:rPr>
        <w:t> 1. Les niveaux de brouillage indiqués dans la</w:t>
      </w:r>
      <w:r>
        <w:rPr>
          <w:lang w:val="fr-CH"/>
        </w:rPr>
        <w:t xml:space="preserve"> Fig.</w:t>
      </w:r>
      <w:r w:rsidRPr="00B8107A">
        <w:rPr>
          <w:lang w:val="fr-CH"/>
        </w:rPr>
        <w:t xml:space="preserve"> 1 sont </w:t>
      </w:r>
      <w:r>
        <w:rPr>
          <w:lang w:val="fr-CH"/>
        </w:rPr>
        <w:t>rapportés au niveau de puissance seuil en mode poursuite sur une largeur de bande de brouillage de 1,</w:t>
      </w:r>
      <w:r w:rsidRPr="00B8107A">
        <w:rPr>
          <w:lang w:val="fr-CH"/>
        </w:rPr>
        <w:t>0 MHz</w:t>
      </w:r>
      <w:r>
        <w:rPr>
          <w:lang w:val="fr-CH"/>
        </w:rPr>
        <w:t xml:space="preserve"> qui est spécifié pour certains types de récepteur</w:t>
      </w:r>
      <w:r w:rsidRPr="00B8107A">
        <w:rPr>
          <w:lang w:val="fr-CH"/>
        </w:rPr>
        <w:t xml:space="preserve"> L1 C/A </w:t>
      </w:r>
      <w:r>
        <w:rPr>
          <w:lang w:val="fr-CH"/>
        </w:rPr>
        <w:t>dans le</w:t>
      </w:r>
      <w:r w:rsidRPr="00B8107A">
        <w:rPr>
          <w:lang w:val="fr-CH"/>
        </w:rPr>
        <w:t xml:space="preserve"> Tabl</w:t>
      </w:r>
      <w:r>
        <w:rPr>
          <w:lang w:val="fr-CH"/>
        </w:rPr>
        <w:t>eau</w:t>
      </w:r>
      <w:r w:rsidRPr="00B8107A">
        <w:rPr>
          <w:lang w:val="fr-CH"/>
        </w:rPr>
        <w:t xml:space="preserve"> 2 (</w:t>
      </w:r>
      <w:r>
        <w:rPr>
          <w:lang w:val="fr-CH"/>
        </w:rPr>
        <w:t>comme indiqué dans la</w:t>
      </w:r>
      <w:r w:rsidRPr="00B8107A">
        <w:rPr>
          <w:lang w:val="fr-CH"/>
        </w:rPr>
        <w:t xml:space="preserve"> Note 1). </w:t>
      </w:r>
    </w:p>
    <w:p w:rsidR="005D5DF0" w:rsidRPr="00B8107A" w:rsidRDefault="005D5DF0" w:rsidP="005D5DF0">
      <w:pPr>
        <w:rPr>
          <w:lang w:val="fr-CH" w:eastAsia="ja-JP"/>
        </w:rPr>
      </w:pPr>
      <w:r>
        <w:rPr>
          <w:lang w:val="fr-CH"/>
        </w:rPr>
        <w:t>L</w:t>
      </w:r>
      <w:r w:rsidRPr="00B8107A">
        <w:rPr>
          <w:lang w:val="fr-CH"/>
        </w:rPr>
        <w:t>a courbe du mode d'acquisition (</w:t>
      </w:r>
      <w:r>
        <w:rPr>
          <w:lang w:val="fr-CH"/>
        </w:rPr>
        <w:t>Fig.</w:t>
      </w:r>
      <w:r w:rsidRPr="00B8107A">
        <w:rPr>
          <w:i/>
          <w:lang w:val="fr-CH"/>
        </w:rPr>
        <w:t> </w:t>
      </w:r>
      <w:r w:rsidRPr="00B8107A">
        <w:rPr>
          <w:lang w:val="fr-CH"/>
        </w:rPr>
        <w:t xml:space="preserve">1) s'applique aux récepteurs SBAS </w:t>
      </w:r>
      <w:r>
        <w:rPr>
          <w:lang w:val="fr-CH"/>
        </w:rPr>
        <w:t>et</w:t>
      </w:r>
      <w:r w:rsidRPr="00B8107A">
        <w:rPr>
          <w:lang w:val="fr-CH"/>
        </w:rPr>
        <w:t xml:space="preserve"> GBAS </w:t>
      </w:r>
      <w:r>
        <w:rPr>
          <w:lang w:val="fr-CH"/>
        </w:rPr>
        <w:t xml:space="preserve">de </w:t>
      </w:r>
      <w:r w:rsidRPr="00B8107A">
        <w:rPr>
          <w:lang w:val="fr-CH"/>
        </w:rPr>
        <w:t>Type 1</w:t>
      </w:r>
      <w:r>
        <w:rPr>
          <w:lang w:val="fr-CH"/>
        </w:rPr>
        <w:t>.</w:t>
      </w:r>
      <w:r w:rsidRPr="00B8107A">
        <w:rPr>
          <w:lang w:val="fr-CH"/>
        </w:rPr>
        <w:t xml:space="preserve"> </w:t>
      </w:r>
      <w:r>
        <w:rPr>
          <w:lang w:val="fr-CH"/>
        </w:rPr>
        <w:t>L</w:t>
      </w:r>
      <w:r w:rsidRPr="00B8107A">
        <w:rPr>
          <w:lang w:val="fr-CH"/>
        </w:rPr>
        <w:t>a courbe du mode d'acquisition</w:t>
      </w:r>
      <w:r>
        <w:rPr>
          <w:lang w:val="fr-CH"/>
        </w:rPr>
        <w:t xml:space="preserve"> pour les récepteurs assistés du SRNS et les récepteurs de haute précision est identique à celle de la Fig.</w:t>
      </w:r>
      <w:r w:rsidRPr="00B8107A">
        <w:rPr>
          <w:i/>
          <w:lang w:val="fr-CH"/>
        </w:rPr>
        <w:t> </w:t>
      </w:r>
      <w:r w:rsidRPr="00B8107A">
        <w:rPr>
          <w:lang w:val="fr-CH"/>
        </w:rPr>
        <w:t xml:space="preserve">1. </w:t>
      </w:r>
      <w:r>
        <w:rPr>
          <w:lang w:val="fr-CH"/>
        </w:rPr>
        <w:t>Les points de rupture de largeur de bande et les valeurs des niveaux relatifs pour les courbes de la Fig.</w:t>
      </w:r>
      <w:r w:rsidRPr="00B8107A">
        <w:rPr>
          <w:lang w:val="fr-CH"/>
        </w:rPr>
        <w:t xml:space="preserve"> 1 </w:t>
      </w:r>
      <w:r>
        <w:rPr>
          <w:lang w:val="fr-CH"/>
        </w:rPr>
        <w:t>sont donnés dans le</w:t>
      </w:r>
      <w:r w:rsidRPr="00B8107A">
        <w:rPr>
          <w:lang w:val="fr-CH"/>
        </w:rPr>
        <w:t xml:space="preserve"> Table</w:t>
      </w:r>
      <w:r>
        <w:rPr>
          <w:lang w:val="fr-CH"/>
        </w:rPr>
        <w:t>au</w:t>
      </w:r>
      <w:r w:rsidRPr="00B8107A">
        <w:rPr>
          <w:lang w:val="fr-CH"/>
        </w:rPr>
        <w:t> 1.</w:t>
      </w:r>
      <w:r w:rsidRPr="00B8107A">
        <w:rPr>
          <w:lang w:val="fr-CH" w:eastAsia="ja-JP"/>
        </w:rPr>
        <w:t xml:space="preserve"> </w:t>
      </w:r>
    </w:p>
    <w:p w:rsidR="005D5DF0" w:rsidRPr="001D10D1" w:rsidRDefault="005D5DF0" w:rsidP="005D5DF0">
      <w:pPr>
        <w:pStyle w:val="FigureNo"/>
        <w:rPr>
          <w:sz w:val="20"/>
          <w:lang w:val="fr-CH"/>
        </w:rPr>
      </w:pPr>
      <w:r w:rsidRPr="001D10D1">
        <w:rPr>
          <w:sz w:val="20"/>
          <w:lang w:val="fr-CH"/>
        </w:rPr>
        <w:lastRenderedPageBreak/>
        <w:t>Figure 1</w:t>
      </w:r>
    </w:p>
    <w:p w:rsidR="005D5DF0" w:rsidRPr="001D10D1" w:rsidRDefault="005D5DF0" w:rsidP="005D5DF0">
      <w:pPr>
        <w:pStyle w:val="Figuretitle"/>
        <w:rPr>
          <w:sz w:val="20"/>
          <w:lang w:val="fr-CH"/>
        </w:rPr>
      </w:pPr>
      <w:r w:rsidRPr="001D10D1">
        <w:rPr>
          <w:sz w:val="20"/>
          <w:lang w:val="fr-CH"/>
        </w:rPr>
        <w:t xml:space="preserve">Seuils relatifs de puissance de brouillage continu pour des récepteurs </w:t>
      </w:r>
      <w:r w:rsidRPr="001D10D1">
        <w:rPr>
          <w:sz w:val="20"/>
          <w:lang w:val="fr-CH"/>
        </w:rPr>
        <w:br/>
        <w:t xml:space="preserve">utilisant le signal L1 C/A </w:t>
      </w:r>
    </w:p>
    <w:p w:rsidR="005D5DF0" w:rsidRPr="00F63FE2" w:rsidRDefault="005D5DF0" w:rsidP="001A26F2">
      <w:pPr>
        <w:pStyle w:val="Figure"/>
        <w:keepLines w:val="0"/>
        <w:rPr>
          <w:lang w:val="en-US"/>
        </w:rPr>
      </w:pPr>
      <w:r>
        <w:rPr>
          <w:lang w:val="en-US"/>
        </w:rPr>
        <w:object w:dxaOrig="8001" w:dyaOrig="5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pt;height:259.45pt" o:ole="">
            <v:imagedata r:id="rId14" o:title=""/>
          </v:shape>
          <o:OLEObject Type="Embed" ProgID="CorelDRAW.Graphic.14" ShapeID="_x0000_i1025" DrawAspect="Content" ObjectID="_1401887575" r:id="rId15"/>
        </w:object>
      </w:r>
    </w:p>
    <w:p w:rsidR="005D5DF0" w:rsidRPr="00B8107A" w:rsidRDefault="005D5DF0" w:rsidP="001A26F2">
      <w:pPr>
        <w:pStyle w:val="TableNo"/>
        <w:keepNext w:val="0"/>
        <w:rPr>
          <w:lang w:val="fr-CH"/>
        </w:rPr>
      </w:pPr>
      <w:r w:rsidRPr="00B8107A">
        <w:rPr>
          <w:lang w:val="fr-CH"/>
        </w:rPr>
        <w:t>TABLEAU 1</w:t>
      </w:r>
    </w:p>
    <w:p w:rsidR="005D5DF0" w:rsidRPr="00B8107A" w:rsidRDefault="005D5DF0" w:rsidP="001A26F2">
      <w:pPr>
        <w:pStyle w:val="Figuretitle"/>
        <w:keepNext w:val="0"/>
        <w:rPr>
          <w:sz w:val="22"/>
        </w:rPr>
      </w:pPr>
      <w:r w:rsidRPr="00B8107A">
        <w:rPr>
          <w:sz w:val="22"/>
        </w:rPr>
        <w:t xml:space="preserve">Seuils relatifs de puissance de brouillage continu pour des récepteurs utilisant le signal L1 C/A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6"/>
        <w:gridCol w:w="5783"/>
      </w:tblGrid>
      <w:tr w:rsidR="005D5DF0" w:rsidRPr="000039B1" w:rsidTr="001A26F2">
        <w:trPr>
          <w:jc w:val="center"/>
        </w:trPr>
        <w:tc>
          <w:tcPr>
            <w:tcW w:w="3402" w:type="dxa"/>
            <w:tcBorders>
              <w:top w:val="single" w:sz="4" w:space="0" w:color="auto"/>
              <w:left w:val="single" w:sz="4" w:space="0" w:color="auto"/>
              <w:bottom w:val="single" w:sz="4" w:space="0" w:color="auto"/>
              <w:right w:val="single" w:sz="4" w:space="0" w:color="auto"/>
            </w:tcBorders>
          </w:tcPr>
          <w:p w:rsidR="005D5DF0" w:rsidRPr="000039B1" w:rsidRDefault="005D5DF0" w:rsidP="001A26F2">
            <w:pPr>
              <w:pStyle w:val="Tablehead"/>
              <w:keepNext w:val="0"/>
            </w:pPr>
            <w:r>
              <w:t>Largeur de bande</w:t>
            </w:r>
          </w:p>
        </w:tc>
        <w:tc>
          <w:tcPr>
            <w:tcW w:w="5103" w:type="dxa"/>
            <w:tcBorders>
              <w:top w:val="single" w:sz="4" w:space="0" w:color="auto"/>
              <w:left w:val="single" w:sz="4" w:space="0" w:color="auto"/>
              <w:bottom w:val="single" w:sz="4" w:space="0" w:color="auto"/>
              <w:right w:val="single" w:sz="4" w:space="0" w:color="auto"/>
            </w:tcBorders>
          </w:tcPr>
          <w:p w:rsidR="005D5DF0" w:rsidRPr="000039B1" w:rsidRDefault="005D5DF0" w:rsidP="001A26F2">
            <w:pPr>
              <w:pStyle w:val="Tablehead"/>
              <w:keepNext w:val="0"/>
            </w:pPr>
            <w:r>
              <w:t>Niveau de brouillage relatif</w:t>
            </w:r>
          </w:p>
        </w:tc>
      </w:tr>
      <w:tr w:rsidR="005D5DF0" w:rsidRPr="000039B1" w:rsidTr="001A26F2">
        <w:trPr>
          <w:jc w:val="center"/>
        </w:trPr>
        <w:tc>
          <w:tcPr>
            <w:tcW w:w="3402" w:type="dxa"/>
            <w:tcBorders>
              <w:top w:val="single" w:sz="4" w:space="0" w:color="auto"/>
              <w:left w:val="single" w:sz="4" w:space="0" w:color="auto"/>
              <w:bottom w:val="single" w:sz="4" w:space="0" w:color="auto"/>
              <w:right w:val="single" w:sz="4" w:space="0" w:color="auto"/>
            </w:tcBorders>
          </w:tcPr>
          <w:p w:rsidR="005D5DF0" w:rsidRPr="000039B1" w:rsidRDefault="005D5DF0" w:rsidP="001A26F2">
            <w:pPr>
              <w:pStyle w:val="Tabletext"/>
            </w:pPr>
            <w:r w:rsidRPr="000039B1">
              <w:t xml:space="preserve">0 ≤ </w:t>
            </w:r>
            <w:r w:rsidRPr="000039B1">
              <w:rPr>
                <w:i/>
              </w:rPr>
              <w:t>BW</w:t>
            </w:r>
            <w:r w:rsidRPr="000039B1">
              <w:rPr>
                <w:i/>
                <w:vertAlign w:val="subscript"/>
              </w:rPr>
              <w:t>I</w:t>
            </w:r>
            <w:r w:rsidRPr="000039B1">
              <w:t xml:space="preserve"> ≤ 700 Hz</w:t>
            </w:r>
          </w:p>
        </w:tc>
        <w:tc>
          <w:tcPr>
            <w:tcW w:w="5103" w:type="dxa"/>
            <w:tcBorders>
              <w:top w:val="single" w:sz="4" w:space="0" w:color="auto"/>
              <w:left w:val="single" w:sz="4" w:space="0" w:color="auto"/>
              <w:bottom w:val="single" w:sz="4" w:space="0" w:color="auto"/>
              <w:right w:val="single" w:sz="4" w:space="0" w:color="auto"/>
            </w:tcBorders>
          </w:tcPr>
          <w:p w:rsidR="005D5DF0" w:rsidRPr="000039B1" w:rsidRDefault="005D5DF0" w:rsidP="001A26F2">
            <w:pPr>
              <w:pStyle w:val="Tabletext"/>
            </w:pPr>
            <w:r>
              <w:t>–</w:t>
            </w:r>
            <w:r w:rsidRPr="000039B1">
              <w:t>10 dB</w:t>
            </w:r>
          </w:p>
        </w:tc>
      </w:tr>
      <w:tr w:rsidR="005D5DF0" w:rsidRPr="00B8107A" w:rsidTr="001A26F2">
        <w:trPr>
          <w:jc w:val="center"/>
        </w:trPr>
        <w:tc>
          <w:tcPr>
            <w:tcW w:w="3402" w:type="dxa"/>
            <w:tcBorders>
              <w:top w:val="single" w:sz="4" w:space="0" w:color="auto"/>
              <w:left w:val="single" w:sz="4" w:space="0" w:color="auto"/>
              <w:bottom w:val="single" w:sz="4" w:space="0" w:color="auto"/>
              <w:right w:val="single" w:sz="4" w:space="0" w:color="auto"/>
            </w:tcBorders>
          </w:tcPr>
          <w:p w:rsidR="005D5DF0" w:rsidRPr="000039B1" w:rsidRDefault="005D5DF0" w:rsidP="001A26F2">
            <w:pPr>
              <w:pStyle w:val="Tabletext"/>
            </w:pPr>
            <w:r w:rsidRPr="000039B1">
              <w:t xml:space="preserve">700 Hz &lt; </w:t>
            </w:r>
            <w:r w:rsidRPr="000039B1">
              <w:rPr>
                <w:i/>
              </w:rPr>
              <w:t>BW</w:t>
            </w:r>
            <w:r w:rsidRPr="000039B1">
              <w:rPr>
                <w:i/>
                <w:vertAlign w:val="subscript"/>
              </w:rPr>
              <w:t>I</w:t>
            </w:r>
            <w:r w:rsidRPr="000039B1">
              <w:t xml:space="preserve"> ≤ 10 kHz</w:t>
            </w:r>
          </w:p>
        </w:tc>
        <w:tc>
          <w:tcPr>
            <w:tcW w:w="5103" w:type="dxa"/>
            <w:tcBorders>
              <w:top w:val="single" w:sz="4" w:space="0" w:color="auto"/>
              <w:left w:val="single" w:sz="4" w:space="0" w:color="auto"/>
              <w:bottom w:val="single" w:sz="4" w:space="0" w:color="auto"/>
              <w:right w:val="single" w:sz="4" w:space="0" w:color="auto"/>
            </w:tcBorders>
          </w:tcPr>
          <w:p w:rsidR="005D5DF0" w:rsidRPr="00B8107A" w:rsidRDefault="005D5DF0" w:rsidP="001A26F2">
            <w:pPr>
              <w:pStyle w:val="Tabletext"/>
              <w:rPr>
                <w:lang w:val="fr-CH"/>
              </w:rPr>
            </w:pPr>
            <w:r>
              <w:rPr>
                <w:lang w:val="fr-CH"/>
              </w:rPr>
              <w:t>P</w:t>
            </w:r>
            <w:r w:rsidRPr="00B8107A">
              <w:rPr>
                <w:lang w:val="fr-CH"/>
              </w:rPr>
              <w:t>r</w:t>
            </w:r>
            <w:r>
              <w:rPr>
                <w:lang w:val="fr-CH"/>
              </w:rPr>
              <w:t>o</w:t>
            </w:r>
            <w:r w:rsidRPr="00B8107A">
              <w:rPr>
                <w:lang w:val="fr-CH"/>
              </w:rPr>
              <w:t xml:space="preserve">gression linéaire </w:t>
            </w:r>
            <w:bookmarkStart w:id="7" w:name="_GoBack"/>
            <w:bookmarkEnd w:id="7"/>
            <w:r w:rsidRPr="00B8107A">
              <w:rPr>
                <w:lang w:val="fr-CH"/>
              </w:rPr>
              <w:t xml:space="preserve">de –10 dB </w:t>
            </w:r>
            <w:r>
              <w:rPr>
                <w:lang w:val="fr-CH"/>
              </w:rPr>
              <w:t>à</w:t>
            </w:r>
            <w:r w:rsidRPr="00B8107A">
              <w:rPr>
                <w:lang w:val="fr-CH"/>
              </w:rPr>
              <w:t xml:space="preserve"> –3 dB</w:t>
            </w:r>
          </w:p>
        </w:tc>
      </w:tr>
      <w:tr w:rsidR="005D5DF0" w:rsidRPr="00B8107A" w:rsidTr="001A26F2">
        <w:trPr>
          <w:jc w:val="center"/>
        </w:trPr>
        <w:tc>
          <w:tcPr>
            <w:tcW w:w="3402" w:type="dxa"/>
            <w:tcBorders>
              <w:top w:val="single" w:sz="4" w:space="0" w:color="auto"/>
              <w:left w:val="single" w:sz="4" w:space="0" w:color="auto"/>
              <w:bottom w:val="single" w:sz="4" w:space="0" w:color="auto"/>
              <w:right w:val="single" w:sz="4" w:space="0" w:color="auto"/>
            </w:tcBorders>
          </w:tcPr>
          <w:p w:rsidR="005D5DF0" w:rsidRPr="000039B1" w:rsidRDefault="005D5DF0" w:rsidP="001A26F2">
            <w:pPr>
              <w:pStyle w:val="Tabletext"/>
            </w:pPr>
            <w:r w:rsidRPr="000039B1">
              <w:t xml:space="preserve">10 kHz &lt; </w:t>
            </w:r>
            <w:r w:rsidRPr="000039B1">
              <w:rPr>
                <w:i/>
              </w:rPr>
              <w:t>BW</w:t>
            </w:r>
            <w:r w:rsidRPr="000039B1">
              <w:rPr>
                <w:i/>
                <w:vertAlign w:val="subscript"/>
              </w:rPr>
              <w:t>I</w:t>
            </w:r>
            <w:r w:rsidRPr="000039B1">
              <w:rPr>
                <w:vertAlign w:val="subscript"/>
              </w:rPr>
              <w:t xml:space="preserve"> </w:t>
            </w:r>
            <w:r w:rsidRPr="000039B1">
              <w:t>≤ 100 kHz</w:t>
            </w:r>
          </w:p>
        </w:tc>
        <w:tc>
          <w:tcPr>
            <w:tcW w:w="5103" w:type="dxa"/>
            <w:tcBorders>
              <w:top w:val="single" w:sz="4" w:space="0" w:color="auto"/>
              <w:left w:val="single" w:sz="4" w:space="0" w:color="auto"/>
              <w:bottom w:val="single" w:sz="4" w:space="0" w:color="auto"/>
              <w:right w:val="single" w:sz="4" w:space="0" w:color="auto"/>
            </w:tcBorders>
          </w:tcPr>
          <w:p w:rsidR="005D5DF0" w:rsidRPr="00B8107A" w:rsidRDefault="005D5DF0" w:rsidP="001A26F2">
            <w:pPr>
              <w:pStyle w:val="Tabletext"/>
              <w:rPr>
                <w:lang w:val="fr-CH"/>
              </w:rPr>
            </w:pPr>
            <w:r>
              <w:rPr>
                <w:lang w:val="fr-CH"/>
              </w:rPr>
              <w:t>P</w:t>
            </w:r>
            <w:r w:rsidRPr="00B8107A">
              <w:rPr>
                <w:lang w:val="fr-CH"/>
              </w:rPr>
              <w:t>r</w:t>
            </w:r>
            <w:r>
              <w:rPr>
                <w:lang w:val="fr-CH"/>
              </w:rPr>
              <w:t>o</w:t>
            </w:r>
            <w:r w:rsidRPr="00B8107A">
              <w:rPr>
                <w:lang w:val="fr-CH"/>
              </w:rPr>
              <w:t>gression linéaire de –</w:t>
            </w:r>
            <w:r>
              <w:rPr>
                <w:lang w:val="fr-CH"/>
              </w:rPr>
              <w:t>3 dB à</w:t>
            </w:r>
            <w:r w:rsidRPr="00B8107A">
              <w:rPr>
                <w:lang w:val="fr-CH"/>
              </w:rPr>
              <w:t xml:space="preserve"> 0 dB</w:t>
            </w:r>
          </w:p>
        </w:tc>
      </w:tr>
      <w:tr w:rsidR="005D5DF0" w:rsidRPr="000039B1" w:rsidTr="001A26F2">
        <w:trPr>
          <w:jc w:val="center"/>
        </w:trPr>
        <w:tc>
          <w:tcPr>
            <w:tcW w:w="3402" w:type="dxa"/>
            <w:tcBorders>
              <w:top w:val="single" w:sz="4" w:space="0" w:color="auto"/>
              <w:left w:val="single" w:sz="4" w:space="0" w:color="auto"/>
              <w:bottom w:val="single" w:sz="4" w:space="0" w:color="auto"/>
              <w:right w:val="single" w:sz="4" w:space="0" w:color="auto"/>
            </w:tcBorders>
          </w:tcPr>
          <w:p w:rsidR="005D5DF0" w:rsidRPr="000039B1" w:rsidRDefault="005D5DF0" w:rsidP="001A26F2">
            <w:pPr>
              <w:pStyle w:val="Tabletext"/>
            </w:pPr>
            <w:r w:rsidRPr="000039B1">
              <w:t xml:space="preserve">100 kHz &lt; </w:t>
            </w:r>
            <w:r w:rsidRPr="000039B1">
              <w:rPr>
                <w:i/>
              </w:rPr>
              <w:t>BW</w:t>
            </w:r>
            <w:r w:rsidRPr="000039B1">
              <w:rPr>
                <w:i/>
                <w:vertAlign w:val="subscript"/>
              </w:rPr>
              <w:t>I</w:t>
            </w:r>
            <w:r w:rsidRPr="000039B1">
              <w:rPr>
                <w:position w:val="-6"/>
              </w:rPr>
              <w:t xml:space="preserve"> </w:t>
            </w:r>
            <w:r w:rsidRPr="000039B1">
              <w:t>≤ 1 MHz</w:t>
            </w:r>
          </w:p>
        </w:tc>
        <w:tc>
          <w:tcPr>
            <w:tcW w:w="5103" w:type="dxa"/>
            <w:tcBorders>
              <w:top w:val="single" w:sz="4" w:space="0" w:color="auto"/>
              <w:left w:val="single" w:sz="4" w:space="0" w:color="auto"/>
              <w:bottom w:val="single" w:sz="4" w:space="0" w:color="auto"/>
              <w:right w:val="single" w:sz="4" w:space="0" w:color="auto"/>
            </w:tcBorders>
          </w:tcPr>
          <w:p w:rsidR="005D5DF0" w:rsidRPr="000039B1" w:rsidRDefault="005D5DF0" w:rsidP="001A26F2">
            <w:pPr>
              <w:pStyle w:val="Tabletext"/>
            </w:pPr>
            <w:r w:rsidRPr="000039B1">
              <w:t>0 dB</w:t>
            </w:r>
          </w:p>
        </w:tc>
      </w:tr>
      <w:tr w:rsidR="005D5DF0" w:rsidRPr="00B8107A" w:rsidTr="001A26F2">
        <w:trPr>
          <w:jc w:val="center"/>
        </w:trPr>
        <w:tc>
          <w:tcPr>
            <w:tcW w:w="3402" w:type="dxa"/>
            <w:tcBorders>
              <w:top w:val="single" w:sz="4" w:space="0" w:color="auto"/>
              <w:left w:val="single" w:sz="4" w:space="0" w:color="auto"/>
              <w:bottom w:val="single" w:sz="4" w:space="0" w:color="auto"/>
              <w:right w:val="single" w:sz="4" w:space="0" w:color="auto"/>
            </w:tcBorders>
          </w:tcPr>
          <w:p w:rsidR="005D5DF0" w:rsidRPr="000039B1" w:rsidRDefault="005D5DF0" w:rsidP="001A26F2">
            <w:pPr>
              <w:pStyle w:val="Tabletext"/>
            </w:pPr>
            <w:r w:rsidRPr="000039B1">
              <w:t xml:space="preserve">1 MHz &lt; </w:t>
            </w:r>
            <w:r w:rsidRPr="000039B1">
              <w:rPr>
                <w:i/>
              </w:rPr>
              <w:t>BW</w:t>
            </w:r>
            <w:r w:rsidRPr="000039B1">
              <w:rPr>
                <w:i/>
                <w:vertAlign w:val="subscript"/>
              </w:rPr>
              <w:t>I</w:t>
            </w:r>
            <w:r w:rsidRPr="000039B1">
              <w:t xml:space="preserve"> ≤ 20 MHz</w:t>
            </w:r>
          </w:p>
        </w:tc>
        <w:tc>
          <w:tcPr>
            <w:tcW w:w="5103" w:type="dxa"/>
            <w:tcBorders>
              <w:top w:val="single" w:sz="4" w:space="0" w:color="auto"/>
              <w:left w:val="single" w:sz="4" w:space="0" w:color="auto"/>
              <w:bottom w:val="single" w:sz="4" w:space="0" w:color="auto"/>
              <w:right w:val="single" w:sz="4" w:space="0" w:color="auto"/>
            </w:tcBorders>
          </w:tcPr>
          <w:p w:rsidR="005D5DF0" w:rsidRPr="00B8107A" w:rsidRDefault="005D5DF0" w:rsidP="001A26F2">
            <w:pPr>
              <w:pStyle w:val="Tabletext"/>
              <w:rPr>
                <w:lang w:val="fr-CH"/>
              </w:rPr>
            </w:pPr>
            <w:r>
              <w:rPr>
                <w:lang w:val="fr-CH"/>
              </w:rPr>
              <w:t>P</w:t>
            </w:r>
            <w:r w:rsidRPr="00B8107A">
              <w:rPr>
                <w:lang w:val="fr-CH"/>
              </w:rPr>
              <w:t>r</w:t>
            </w:r>
            <w:r>
              <w:rPr>
                <w:lang w:val="fr-CH"/>
              </w:rPr>
              <w:t>o</w:t>
            </w:r>
            <w:r w:rsidRPr="00B8107A">
              <w:rPr>
                <w:lang w:val="fr-CH"/>
              </w:rPr>
              <w:t xml:space="preserve">gression linéaire de </w:t>
            </w:r>
            <w:r>
              <w:rPr>
                <w:lang w:val="fr-CH"/>
              </w:rPr>
              <w:t>0 à</w:t>
            </w:r>
            <w:r w:rsidRPr="00B8107A">
              <w:rPr>
                <w:lang w:val="fr-CH"/>
              </w:rPr>
              <w:t xml:space="preserve"> 13 dB*</w:t>
            </w:r>
          </w:p>
        </w:tc>
      </w:tr>
      <w:tr w:rsidR="005D5DF0" w:rsidRPr="00B8107A" w:rsidTr="001A26F2">
        <w:trPr>
          <w:jc w:val="center"/>
        </w:trPr>
        <w:tc>
          <w:tcPr>
            <w:tcW w:w="3402" w:type="dxa"/>
            <w:tcBorders>
              <w:top w:val="single" w:sz="4" w:space="0" w:color="auto"/>
              <w:left w:val="single" w:sz="4" w:space="0" w:color="auto"/>
              <w:bottom w:val="single" w:sz="4" w:space="0" w:color="auto"/>
              <w:right w:val="single" w:sz="4" w:space="0" w:color="auto"/>
            </w:tcBorders>
          </w:tcPr>
          <w:p w:rsidR="005D5DF0" w:rsidRPr="000039B1" w:rsidRDefault="005D5DF0" w:rsidP="001A26F2">
            <w:pPr>
              <w:pStyle w:val="Tabletext"/>
            </w:pPr>
            <w:r w:rsidRPr="000039B1">
              <w:t xml:space="preserve">20 MHz &lt; </w:t>
            </w:r>
            <w:r w:rsidRPr="000039B1">
              <w:rPr>
                <w:i/>
              </w:rPr>
              <w:t>BW</w:t>
            </w:r>
            <w:r w:rsidRPr="000039B1">
              <w:rPr>
                <w:i/>
                <w:vertAlign w:val="subscript"/>
              </w:rPr>
              <w:t>I</w:t>
            </w:r>
            <w:r w:rsidRPr="000039B1">
              <w:t xml:space="preserve"> ≤ 30 MHz</w:t>
            </w:r>
          </w:p>
        </w:tc>
        <w:tc>
          <w:tcPr>
            <w:tcW w:w="5103" w:type="dxa"/>
            <w:tcBorders>
              <w:top w:val="single" w:sz="4" w:space="0" w:color="auto"/>
              <w:left w:val="single" w:sz="4" w:space="0" w:color="auto"/>
              <w:bottom w:val="single" w:sz="4" w:space="0" w:color="auto"/>
              <w:right w:val="single" w:sz="4" w:space="0" w:color="auto"/>
            </w:tcBorders>
          </w:tcPr>
          <w:p w:rsidR="005D5DF0" w:rsidRPr="00B8107A" w:rsidRDefault="005D5DF0" w:rsidP="001A26F2">
            <w:pPr>
              <w:pStyle w:val="Tabletext"/>
              <w:rPr>
                <w:lang w:val="fr-CH"/>
              </w:rPr>
            </w:pPr>
            <w:r>
              <w:rPr>
                <w:lang w:val="fr-CH"/>
              </w:rPr>
              <w:t>P</w:t>
            </w:r>
            <w:r w:rsidRPr="00B8107A">
              <w:rPr>
                <w:lang w:val="fr-CH"/>
              </w:rPr>
              <w:t>r</w:t>
            </w:r>
            <w:r>
              <w:rPr>
                <w:lang w:val="fr-CH"/>
              </w:rPr>
              <w:t>o</w:t>
            </w:r>
            <w:r w:rsidRPr="00B8107A">
              <w:rPr>
                <w:lang w:val="fr-CH"/>
              </w:rPr>
              <w:t xml:space="preserve">gression linéaire de </w:t>
            </w:r>
            <w:r>
              <w:rPr>
                <w:lang w:val="fr-CH"/>
              </w:rPr>
              <w:t>13 à 19,</w:t>
            </w:r>
            <w:r w:rsidRPr="00B8107A">
              <w:rPr>
                <w:lang w:val="fr-CH"/>
              </w:rPr>
              <w:t>4* dB</w:t>
            </w:r>
          </w:p>
        </w:tc>
      </w:tr>
      <w:tr w:rsidR="005D5DF0" w:rsidRPr="00B8107A" w:rsidTr="001A26F2">
        <w:trPr>
          <w:jc w:val="center"/>
        </w:trPr>
        <w:tc>
          <w:tcPr>
            <w:tcW w:w="3402" w:type="dxa"/>
            <w:tcBorders>
              <w:top w:val="single" w:sz="4" w:space="0" w:color="auto"/>
              <w:left w:val="single" w:sz="4" w:space="0" w:color="auto"/>
              <w:bottom w:val="single" w:sz="4" w:space="0" w:color="auto"/>
              <w:right w:val="single" w:sz="4" w:space="0" w:color="auto"/>
            </w:tcBorders>
          </w:tcPr>
          <w:p w:rsidR="005D5DF0" w:rsidRPr="000039B1" w:rsidRDefault="005D5DF0" w:rsidP="001A26F2">
            <w:pPr>
              <w:pStyle w:val="Tabletext"/>
            </w:pPr>
            <w:r w:rsidRPr="000039B1">
              <w:t xml:space="preserve">30 MHz &lt; </w:t>
            </w:r>
            <w:r w:rsidRPr="000039B1">
              <w:rPr>
                <w:i/>
              </w:rPr>
              <w:t>BW</w:t>
            </w:r>
            <w:r w:rsidRPr="000039B1">
              <w:rPr>
                <w:i/>
                <w:vertAlign w:val="subscript"/>
              </w:rPr>
              <w:t>I</w:t>
            </w:r>
            <w:r w:rsidRPr="000039B1">
              <w:t xml:space="preserve"> ≤ 40 MHz</w:t>
            </w:r>
          </w:p>
        </w:tc>
        <w:tc>
          <w:tcPr>
            <w:tcW w:w="5103" w:type="dxa"/>
            <w:tcBorders>
              <w:top w:val="single" w:sz="4" w:space="0" w:color="auto"/>
              <w:left w:val="single" w:sz="4" w:space="0" w:color="auto"/>
              <w:bottom w:val="single" w:sz="4" w:space="0" w:color="auto"/>
              <w:right w:val="single" w:sz="4" w:space="0" w:color="auto"/>
            </w:tcBorders>
          </w:tcPr>
          <w:p w:rsidR="005D5DF0" w:rsidRPr="00B8107A" w:rsidRDefault="005D5DF0" w:rsidP="001A26F2">
            <w:pPr>
              <w:pStyle w:val="Tabletext"/>
              <w:rPr>
                <w:lang w:val="fr-CH"/>
              </w:rPr>
            </w:pPr>
            <w:r>
              <w:rPr>
                <w:lang w:val="fr-CH"/>
              </w:rPr>
              <w:t>P</w:t>
            </w:r>
            <w:r w:rsidRPr="00B8107A">
              <w:rPr>
                <w:lang w:val="fr-CH"/>
              </w:rPr>
              <w:t>r</w:t>
            </w:r>
            <w:r>
              <w:rPr>
                <w:lang w:val="fr-CH"/>
              </w:rPr>
              <w:t>o</w:t>
            </w:r>
            <w:r w:rsidRPr="00B8107A">
              <w:rPr>
                <w:lang w:val="fr-CH"/>
              </w:rPr>
              <w:t xml:space="preserve">gression linéaire de </w:t>
            </w:r>
            <w:r>
              <w:rPr>
                <w:lang w:val="fr-CH"/>
              </w:rPr>
              <w:t>19,4 à</w:t>
            </w:r>
            <w:r w:rsidRPr="00B8107A">
              <w:rPr>
                <w:lang w:val="fr-CH"/>
              </w:rPr>
              <w:t xml:space="preserve"> 21* dB</w:t>
            </w:r>
          </w:p>
        </w:tc>
      </w:tr>
      <w:tr w:rsidR="005D5DF0" w:rsidRPr="000039B1" w:rsidTr="001A26F2">
        <w:trPr>
          <w:jc w:val="center"/>
        </w:trPr>
        <w:tc>
          <w:tcPr>
            <w:tcW w:w="3402" w:type="dxa"/>
            <w:tcBorders>
              <w:top w:val="single" w:sz="4" w:space="0" w:color="auto"/>
              <w:left w:val="single" w:sz="4" w:space="0" w:color="auto"/>
              <w:bottom w:val="single" w:sz="4" w:space="0" w:color="auto"/>
              <w:right w:val="single" w:sz="4" w:space="0" w:color="auto"/>
            </w:tcBorders>
          </w:tcPr>
          <w:p w:rsidR="005D5DF0" w:rsidRPr="000039B1" w:rsidRDefault="005D5DF0" w:rsidP="001A26F2">
            <w:pPr>
              <w:pStyle w:val="Tabletext"/>
            </w:pPr>
            <w:r w:rsidRPr="000039B1">
              <w:t xml:space="preserve">40 MHz &lt; </w:t>
            </w:r>
            <w:r w:rsidRPr="000039B1">
              <w:rPr>
                <w:i/>
              </w:rPr>
              <w:t>BW</w:t>
            </w:r>
            <w:r w:rsidRPr="000039B1">
              <w:rPr>
                <w:i/>
                <w:vertAlign w:val="subscript"/>
              </w:rPr>
              <w:t>I</w:t>
            </w:r>
            <w:r w:rsidRPr="000039B1">
              <w:t xml:space="preserve"> </w:t>
            </w:r>
          </w:p>
        </w:tc>
        <w:tc>
          <w:tcPr>
            <w:tcW w:w="5103" w:type="dxa"/>
            <w:tcBorders>
              <w:top w:val="single" w:sz="4" w:space="0" w:color="auto"/>
              <w:left w:val="single" w:sz="4" w:space="0" w:color="auto"/>
              <w:bottom w:val="single" w:sz="4" w:space="0" w:color="auto"/>
              <w:right w:val="single" w:sz="4" w:space="0" w:color="auto"/>
            </w:tcBorders>
          </w:tcPr>
          <w:p w:rsidR="005D5DF0" w:rsidRPr="000039B1" w:rsidRDefault="005D5DF0" w:rsidP="001A26F2">
            <w:pPr>
              <w:pStyle w:val="Tabletext"/>
            </w:pPr>
            <w:r w:rsidRPr="000039B1">
              <w:t>21 dB*</w:t>
            </w:r>
          </w:p>
        </w:tc>
      </w:tr>
      <w:tr w:rsidR="005D5DF0" w:rsidRPr="00B8107A" w:rsidTr="001A26F2">
        <w:trPr>
          <w:jc w:val="center"/>
        </w:trPr>
        <w:tc>
          <w:tcPr>
            <w:tcW w:w="3402" w:type="dxa"/>
            <w:gridSpan w:val="2"/>
            <w:tcBorders>
              <w:top w:val="single" w:sz="4" w:space="0" w:color="auto"/>
              <w:left w:val="nil"/>
              <w:bottom w:val="nil"/>
              <w:right w:val="nil"/>
            </w:tcBorders>
          </w:tcPr>
          <w:p w:rsidR="005D5DF0" w:rsidRPr="00B8107A" w:rsidRDefault="005D5DF0" w:rsidP="001A26F2">
            <w:pPr>
              <w:pStyle w:val="Tablelegend"/>
              <w:ind w:left="288" w:hanging="288"/>
            </w:pPr>
            <w:r w:rsidRPr="00B8107A">
              <w:t>*</w:t>
            </w:r>
            <w:r w:rsidRPr="00B8107A">
              <w:tab/>
              <w:t xml:space="preserve">Pour des largeurs de bande de brouillage de plus de 1 MHz, la densité spectrale de puissance brouilleuse ne doit pas </w:t>
            </w:r>
            <w:r>
              <w:t>être supérieure à la valeur seuil large bande pertinente indiquée dans le</w:t>
            </w:r>
            <w:r w:rsidRPr="00B8107A">
              <w:t xml:space="preserve"> Table</w:t>
            </w:r>
            <w:r>
              <w:t>au</w:t>
            </w:r>
            <w:r w:rsidRPr="00B8107A">
              <w:t xml:space="preserve"> 2 </w:t>
            </w:r>
            <w:r>
              <w:t>sur la plage de fréquences</w:t>
            </w:r>
            <w:r w:rsidRPr="00B8107A">
              <w:t xml:space="preserve"> 1</w:t>
            </w:r>
            <w:r w:rsidRPr="00B8107A">
              <w:rPr>
                <w:i/>
              </w:rPr>
              <w:t> </w:t>
            </w:r>
            <w:r>
              <w:t>575,</w:t>
            </w:r>
            <w:r w:rsidRPr="00B8107A">
              <w:t>42 ± 10 MHz.</w:t>
            </w:r>
          </w:p>
        </w:tc>
      </w:tr>
    </w:tbl>
    <w:p w:rsidR="001A26F2" w:rsidRPr="00E06EFC" w:rsidRDefault="001A26F2" w:rsidP="001A26F2">
      <w:pPr>
        <w:pStyle w:val="Tablefin"/>
        <w:rPr>
          <w:lang w:val="fr-CH"/>
        </w:rPr>
      </w:pPr>
    </w:p>
    <w:p w:rsidR="005D5DF0" w:rsidRPr="00B8107A" w:rsidRDefault="005D5DF0" w:rsidP="001A26F2">
      <w:pPr>
        <w:rPr>
          <w:lang w:val="fr-CH"/>
        </w:rPr>
      </w:pPr>
      <w:r w:rsidRPr="00B8107A">
        <w:t xml:space="preserve">La </w:t>
      </w:r>
      <w:r>
        <w:t>Fig. 2 illus</w:t>
      </w:r>
      <w:r w:rsidRPr="00B8107A">
        <w:t xml:space="preserve">tre le cas de récepteurs </w:t>
      </w:r>
      <w:r>
        <w:t>utilisés</w:t>
      </w:r>
      <w:r w:rsidRPr="00B8107A">
        <w:t xml:space="preserve"> en</w:t>
      </w:r>
      <w:r>
        <w:t xml:space="preserve"> navigation aérienne qui poursu</w:t>
      </w:r>
      <w:r w:rsidRPr="00B8107A">
        <w:t>ivent</w:t>
      </w:r>
      <w:r>
        <w:t xml:space="preserve"> des signaux AMRF du SRNS</w:t>
      </w:r>
      <w:r w:rsidRPr="00B8107A">
        <w:t xml:space="preserve"> </w:t>
      </w:r>
      <w:r>
        <w:t xml:space="preserve">et indiquent les niveaux seuil de brouillage correspondants en fonction de la largeur de bande de la source de brouillage. </w:t>
      </w:r>
      <w:r w:rsidRPr="00B8107A">
        <w:rPr>
          <w:lang w:val="fr-CH"/>
        </w:rPr>
        <w:t xml:space="preserve">Il convient de noter que les valeurs seuils indiquées </w:t>
      </w:r>
      <w:r>
        <w:rPr>
          <w:lang w:val="fr-CH"/>
        </w:rPr>
        <w:t>dans</w:t>
      </w:r>
      <w:r w:rsidRPr="00B8107A">
        <w:rPr>
          <w:lang w:val="fr-CH"/>
        </w:rPr>
        <w:t xml:space="preserve"> la</w:t>
      </w:r>
      <w:r>
        <w:rPr>
          <w:lang w:val="fr-CH"/>
        </w:rPr>
        <w:t xml:space="preserve"> Fig.</w:t>
      </w:r>
      <w:r w:rsidRPr="00B8107A">
        <w:rPr>
          <w:lang w:val="fr-CH"/>
        </w:rPr>
        <w:t> 2 n'int</w:t>
      </w:r>
      <w:r>
        <w:rPr>
          <w:lang w:val="fr-CH"/>
        </w:rPr>
        <w:t>ègrent pas la marge de sécurité</w:t>
      </w:r>
      <w:r w:rsidRPr="00B8107A">
        <w:rPr>
          <w:lang w:val="fr-CH"/>
        </w:rPr>
        <w:t xml:space="preserve"> (</w:t>
      </w:r>
      <w:r>
        <w:rPr>
          <w:lang w:val="fr-CH"/>
        </w:rPr>
        <w:t>environ</w:t>
      </w:r>
      <w:r w:rsidRPr="00B8107A">
        <w:rPr>
          <w:lang w:val="fr-CH"/>
        </w:rPr>
        <w:t xml:space="preserve"> 6 dB) </w:t>
      </w:r>
      <w:r>
        <w:rPr>
          <w:lang w:val="fr-CH"/>
        </w:rPr>
        <w:t>normalement appliquée par l'OACI dans les normes pertinentes.</w:t>
      </w:r>
    </w:p>
    <w:p w:rsidR="005D5DF0" w:rsidRPr="0064794D" w:rsidRDefault="005D5DF0" w:rsidP="005D5DF0">
      <w:pPr>
        <w:pStyle w:val="FigureNo"/>
        <w:rPr>
          <w:sz w:val="20"/>
          <w:lang w:val="fr-CH"/>
        </w:rPr>
      </w:pPr>
      <w:r w:rsidRPr="0064794D">
        <w:rPr>
          <w:sz w:val="20"/>
          <w:lang w:val="fr-CH"/>
        </w:rPr>
        <w:lastRenderedPageBreak/>
        <w:t>FIGURE 2</w:t>
      </w:r>
    </w:p>
    <w:p w:rsidR="005D5DF0" w:rsidRPr="00B8107A" w:rsidRDefault="005D5DF0" w:rsidP="005D5DF0">
      <w:pPr>
        <w:pStyle w:val="Figuretitle"/>
        <w:rPr>
          <w:lang w:val="fr-CH"/>
        </w:rPr>
      </w:pPr>
      <w:r w:rsidRPr="0064794D">
        <w:rPr>
          <w:sz w:val="20"/>
          <w:lang w:val="fr-CH"/>
        </w:rPr>
        <w:t>Valeurs seuils de brouillage pour les récepteurs AMRF</w:t>
      </w:r>
    </w:p>
    <w:p w:rsidR="005D5DF0" w:rsidRPr="00F63FE2" w:rsidRDefault="005D5DF0" w:rsidP="005D5DF0">
      <w:pPr>
        <w:pStyle w:val="Figure"/>
        <w:keepLines w:val="0"/>
        <w:rPr>
          <w:lang w:val="en-US"/>
        </w:rPr>
      </w:pPr>
      <w:r>
        <w:rPr>
          <w:lang w:val="en-US"/>
        </w:rPr>
        <w:object w:dxaOrig="4618" w:dyaOrig="4552">
          <v:shape id="_x0000_i1026" type="#_x0000_t75" style="width:230.95pt;height:227.55pt" o:ole="">
            <v:imagedata r:id="rId16" o:title=""/>
          </v:shape>
          <o:OLEObject Type="Embed" ProgID="CorelDRAW.Graphic.14" ShapeID="_x0000_i1026" DrawAspect="Content" ObjectID="_1401887576" r:id="rId17"/>
        </w:object>
      </w:r>
    </w:p>
    <w:p w:rsidR="005D5DF0" w:rsidRPr="00B8107A" w:rsidRDefault="005D5DF0" w:rsidP="005D5DF0">
      <w:pPr>
        <w:pStyle w:val="Heading1"/>
        <w:rPr>
          <w:lang w:val="fr-CH"/>
        </w:rPr>
      </w:pPr>
      <w:r w:rsidRPr="00B8107A">
        <w:rPr>
          <w:lang w:val="fr-CH"/>
        </w:rPr>
        <w:t>4</w:t>
      </w:r>
      <w:r w:rsidRPr="00B8107A">
        <w:rPr>
          <w:lang w:val="fr-CH"/>
        </w:rPr>
        <w:tab/>
        <w:t>Caractéristiques techniques et</w:t>
      </w:r>
      <w:r>
        <w:rPr>
          <w:lang w:val="fr-CH"/>
        </w:rPr>
        <w:t xml:space="preserve"> critères de protection des réc</w:t>
      </w:r>
      <w:r w:rsidRPr="00B8107A">
        <w:rPr>
          <w:lang w:val="fr-CH"/>
        </w:rPr>
        <w:t>epteurs du SRNS</w:t>
      </w:r>
    </w:p>
    <w:p w:rsidR="005D5DF0" w:rsidRPr="00B8107A" w:rsidRDefault="005D5DF0" w:rsidP="001A26F2">
      <w:pPr>
        <w:rPr>
          <w:lang w:val="fr-CH"/>
        </w:rPr>
      </w:pPr>
      <w:r w:rsidRPr="00B8107A">
        <w:rPr>
          <w:lang w:val="fr-CH"/>
        </w:rPr>
        <w:t xml:space="preserve">Le Tableau 2 indique les caractéristiques </w:t>
      </w:r>
      <w:r>
        <w:rPr>
          <w:lang w:val="fr-CH"/>
        </w:rPr>
        <w:t>techniques et les critères de p</w:t>
      </w:r>
      <w:r w:rsidRPr="00B8107A">
        <w:rPr>
          <w:lang w:val="fr-CH"/>
        </w:rPr>
        <w:t>rotection (</w:t>
      </w:r>
      <w:r>
        <w:rPr>
          <w:lang w:val="fr-CH"/>
        </w:rPr>
        <w:t>seuils de brouillage cumulatif maximaux</w:t>
      </w:r>
      <w:r w:rsidRPr="00B8107A">
        <w:rPr>
          <w:lang w:val="fr-CH"/>
        </w:rPr>
        <w:t xml:space="preserve">) </w:t>
      </w:r>
      <w:r>
        <w:rPr>
          <w:lang w:val="fr-CH"/>
        </w:rPr>
        <w:t>pour plusieurs applications représentatives du SRNS dans la bande </w:t>
      </w:r>
      <w:r w:rsidRPr="00B8107A">
        <w:rPr>
          <w:lang w:val="fr-CH"/>
        </w:rPr>
        <w:t xml:space="preserve">1 559-1 610 MHz. </w:t>
      </w:r>
      <w:r>
        <w:rPr>
          <w:lang w:val="fr-CH"/>
        </w:rPr>
        <w:t>Davantage de précisions sur les signaux du SRNS sont données dans la</w:t>
      </w:r>
      <w:r w:rsidRPr="00B8107A">
        <w:rPr>
          <w:lang w:val="fr-CH"/>
        </w:rPr>
        <w:t xml:space="preserve"> Recomm</w:t>
      </w:r>
      <w:r>
        <w:rPr>
          <w:lang w:val="fr-CH"/>
        </w:rPr>
        <w:t>a</w:t>
      </w:r>
      <w:r w:rsidRPr="00B8107A">
        <w:rPr>
          <w:lang w:val="fr-CH"/>
        </w:rPr>
        <w:t xml:space="preserve">ndation </w:t>
      </w:r>
      <w:r>
        <w:rPr>
          <w:lang w:val="fr-CH"/>
        </w:rPr>
        <w:t>UIT</w:t>
      </w:r>
      <w:r w:rsidRPr="00B8107A">
        <w:rPr>
          <w:lang w:val="fr-CH"/>
        </w:rPr>
        <w:noBreakHyphen/>
        <w:t xml:space="preserve">R M.1787. </w:t>
      </w:r>
      <w:r>
        <w:rPr>
          <w:lang w:val="fr-CH"/>
        </w:rPr>
        <w:t>Les modalités d'application des marges de sécurité pour la protection des récepteurs du SRNS sont données dans l'</w:t>
      </w:r>
      <w:r w:rsidRPr="00B8107A">
        <w:rPr>
          <w:lang w:val="fr-CH"/>
        </w:rPr>
        <w:t xml:space="preserve">Annexe 1. </w:t>
      </w:r>
    </w:p>
    <w:p w:rsidR="005D5DF0" w:rsidRPr="00B8107A" w:rsidRDefault="005D5DF0" w:rsidP="005D5DF0">
      <w:pPr>
        <w:rPr>
          <w:lang w:val="fr-CH"/>
        </w:rPr>
      </w:pPr>
      <w:r w:rsidRPr="00B8107A">
        <w:rPr>
          <w:lang w:val="fr-CH"/>
        </w:rPr>
        <w:t>Le Tableau 2 propose</w:t>
      </w:r>
      <w:r>
        <w:rPr>
          <w:lang w:val="fr-CH"/>
        </w:rPr>
        <w:t xml:space="preserve"> </w:t>
      </w:r>
      <w:r w:rsidRPr="00B8107A">
        <w:rPr>
          <w:lang w:val="fr-CH"/>
        </w:rPr>
        <w:t xml:space="preserve">différents niveaux de protection selon le type ou l'application du </w:t>
      </w:r>
      <w:r>
        <w:rPr>
          <w:lang w:val="fr-CH"/>
        </w:rPr>
        <w:t>récepteur du </w:t>
      </w:r>
      <w:r w:rsidRPr="00B8107A">
        <w:rPr>
          <w:lang w:val="fr-CH"/>
        </w:rPr>
        <w:t>S</w:t>
      </w:r>
      <w:r>
        <w:rPr>
          <w:lang w:val="fr-CH"/>
        </w:rPr>
        <w:t>RNS</w:t>
      </w:r>
      <w:r w:rsidRPr="00B8107A">
        <w:rPr>
          <w:lang w:val="fr-CH"/>
        </w:rPr>
        <w:t xml:space="preserve">. </w:t>
      </w:r>
      <w:r>
        <w:rPr>
          <w:lang w:val="fr-CH"/>
        </w:rPr>
        <w:t>Les récepteurs et applications suivants ont été inclus dans le Tableau</w:t>
      </w:r>
      <w:r w:rsidRPr="00B8107A">
        <w:rPr>
          <w:lang w:val="fr-CH"/>
        </w:rPr>
        <w:t>:</w:t>
      </w:r>
    </w:p>
    <w:p w:rsidR="005D5DF0" w:rsidRPr="00EC3E74" w:rsidRDefault="005D5DF0" w:rsidP="005D5DF0">
      <w:pPr>
        <w:pStyle w:val="enumlev1"/>
        <w:rPr>
          <w:bCs/>
          <w:lang w:val="fr-CH"/>
        </w:rPr>
      </w:pPr>
      <w:r w:rsidRPr="00E06EFC">
        <w:rPr>
          <w:bCs/>
          <w:lang w:val="fr-CH" w:eastAsia="ja-JP"/>
        </w:rPr>
        <w:t>–</w:t>
      </w:r>
      <w:r w:rsidRPr="00EC3E74">
        <w:rPr>
          <w:b/>
          <w:lang w:val="fr-CH" w:eastAsia="ja-JP"/>
        </w:rPr>
        <w:tab/>
      </w:r>
      <w:r>
        <w:rPr>
          <w:bCs/>
          <w:lang w:val="fr-CH" w:eastAsia="ja-JP"/>
        </w:rPr>
        <w:t>R</w:t>
      </w:r>
      <w:r w:rsidRPr="00EC3E74">
        <w:rPr>
          <w:bCs/>
          <w:lang w:val="fr-CH" w:eastAsia="ja-JP"/>
        </w:rPr>
        <w:t xml:space="preserve">écepteur </w:t>
      </w:r>
      <w:r w:rsidRPr="00EC3E74">
        <w:rPr>
          <w:bCs/>
          <w:lang w:val="fr-CH"/>
        </w:rPr>
        <w:t xml:space="preserve">SBAS de catégorie I </w:t>
      </w:r>
      <w:r w:rsidRPr="00EC3E74">
        <w:rPr>
          <w:bCs/>
          <w:lang w:val="fr-CH" w:eastAsia="ja-JP"/>
        </w:rPr>
        <w:t xml:space="preserve">(2 types) </w:t>
      </w:r>
      <w:r w:rsidRPr="00EC3E74">
        <w:rPr>
          <w:bCs/>
          <w:lang w:val="fr-CH"/>
        </w:rPr>
        <w:t xml:space="preserve">et récepteur GBAS de catégorie II/III </w:t>
      </w:r>
      <w:r w:rsidRPr="00EC3E74">
        <w:rPr>
          <w:bCs/>
          <w:lang w:val="fr-CH" w:eastAsia="ja-JP"/>
        </w:rPr>
        <w:t xml:space="preserve">(2 types) </w:t>
      </w:r>
      <w:r w:rsidRPr="00EC3E74">
        <w:rPr>
          <w:bCs/>
          <w:lang w:val="fr-CH"/>
        </w:rPr>
        <w:t>(</w:t>
      </w:r>
      <w:r>
        <w:rPr>
          <w:bCs/>
          <w:lang w:val="fr-CH"/>
        </w:rPr>
        <w:t>voir</w:t>
      </w:r>
      <w:r w:rsidRPr="00EC3E74">
        <w:rPr>
          <w:bCs/>
          <w:lang w:val="fr-CH"/>
        </w:rPr>
        <w:t xml:space="preserve"> § 2.1.1 </w:t>
      </w:r>
      <w:r>
        <w:rPr>
          <w:bCs/>
          <w:lang w:val="fr-CH"/>
        </w:rPr>
        <w:t>et</w:t>
      </w:r>
      <w:r w:rsidRPr="00EC3E74">
        <w:rPr>
          <w:bCs/>
          <w:lang w:val="fr-CH"/>
        </w:rPr>
        <w:t xml:space="preserve"> 2.1.2 </w:t>
      </w:r>
      <w:r>
        <w:rPr>
          <w:bCs/>
          <w:lang w:val="fr-CH"/>
        </w:rPr>
        <w:t>ci-dessus</w:t>
      </w:r>
      <w:r w:rsidRPr="00EC3E74">
        <w:rPr>
          <w:bCs/>
          <w:lang w:val="fr-CH"/>
        </w:rPr>
        <w:t xml:space="preserve">, </w:t>
      </w:r>
      <w:r>
        <w:rPr>
          <w:bCs/>
          <w:lang w:val="fr-CH"/>
        </w:rPr>
        <w:t>et</w:t>
      </w:r>
      <w:r w:rsidRPr="00EC3E74">
        <w:rPr>
          <w:bCs/>
          <w:lang w:val="fr-CH"/>
        </w:rPr>
        <w:t xml:space="preserve"> Table</w:t>
      </w:r>
      <w:r>
        <w:rPr>
          <w:bCs/>
          <w:lang w:val="fr-CH"/>
        </w:rPr>
        <w:t>au 2, colonne</w:t>
      </w:r>
      <w:r w:rsidRPr="00EC3E74">
        <w:rPr>
          <w:bCs/>
          <w:lang w:val="fr-CH"/>
        </w:rPr>
        <w:t xml:space="preserve">s 1 </w:t>
      </w:r>
      <w:r>
        <w:rPr>
          <w:bCs/>
          <w:lang w:val="fr-CH"/>
        </w:rPr>
        <w:t>à</w:t>
      </w:r>
      <w:r w:rsidRPr="00EC3E74">
        <w:rPr>
          <w:bCs/>
          <w:lang w:val="fr-CH"/>
        </w:rPr>
        <w:t xml:space="preserve"> 4 </w:t>
      </w:r>
      <w:r>
        <w:rPr>
          <w:bCs/>
          <w:lang w:val="fr-CH"/>
        </w:rPr>
        <w:t>ci-après</w:t>
      </w:r>
      <w:r w:rsidRPr="00EC3E74">
        <w:rPr>
          <w:bCs/>
          <w:lang w:val="fr-CH"/>
        </w:rPr>
        <w:t>)</w:t>
      </w:r>
    </w:p>
    <w:p w:rsidR="005D5DF0" w:rsidRPr="001A218F" w:rsidRDefault="005D5DF0" w:rsidP="005D5DF0">
      <w:pPr>
        <w:pStyle w:val="enumlev1"/>
        <w:rPr>
          <w:bCs/>
          <w:lang w:val="fr-CH" w:eastAsia="ja-JP"/>
        </w:rPr>
      </w:pPr>
      <w:r w:rsidRPr="001A218F">
        <w:rPr>
          <w:bCs/>
          <w:lang w:val="fr-CH" w:eastAsia="ja-JP"/>
        </w:rPr>
        <w:t>–</w:t>
      </w:r>
      <w:r w:rsidRPr="001A218F">
        <w:rPr>
          <w:bCs/>
          <w:lang w:val="fr-CH"/>
        </w:rPr>
        <w:tab/>
      </w:r>
      <w:r>
        <w:rPr>
          <w:bCs/>
          <w:lang w:val="fr-CH"/>
        </w:rPr>
        <w:t>R</w:t>
      </w:r>
      <w:r w:rsidRPr="001A218F">
        <w:rPr>
          <w:bCs/>
          <w:lang w:val="fr-CH"/>
        </w:rPr>
        <w:t xml:space="preserve">écepteur de référence au sol SBAS (voir § 2.1.3 </w:t>
      </w:r>
      <w:r>
        <w:rPr>
          <w:bCs/>
          <w:lang w:val="fr-CH"/>
        </w:rPr>
        <w:t>ci-dessus</w:t>
      </w:r>
      <w:r w:rsidRPr="001A218F">
        <w:rPr>
          <w:bCs/>
          <w:lang w:val="fr-CH"/>
        </w:rPr>
        <w:t xml:space="preserve"> </w:t>
      </w:r>
      <w:r>
        <w:rPr>
          <w:bCs/>
          <w:lang w:val="fr-CH"/>
        </w:rPr>
        <w:t>et</w:t>
      </w:r>
      <w:r w:rsidRPr="001A218F">
        <w:rPr>
          <w:bCs/>
          <w:lang w:val="fr-CH"/>
        </w:rPr>
        <w:t xml:space="preserve"> Table</w:t>
      </w:r>
      <w:r>
        <w:rPr>
          <w:bCs/>
          <w:lang w:val="fr-CH"/>
        </w:rPr>
        <w:t>au 2, colon</w:t>
      </w:r>
      <w:r w:rsidRPr="001A218F">
        <w:rPr>
          <w:bCs/>
          <w:lang w:val="fr-CH"/>
        </w:rPr>
        <w:t>n</w:t>
      </w:r>
      <w:r>
        <w:rPr>
          <w:bCs/>
          <w:lang w:val="fr-CH"/>
        </w:rPr>
        <w:t>e</w:t>
      </w:r>
      <w:r w:rsidRPr="001A218F">
        <w:rPr>
          <w:bCs/>
          <w:lang w:val="fr-CH"/>
        </w:rPr>
        <w:t xml:space="preserve"> 5)</w:t>
      </w:r>
    </w:p>
    <w:p w:rsidR="005D5DF0" w:rsidRPr="00406883" w:rsidRDefault="005D5DF0" w:rsidP="005D5DF0">
      <w:pPr>
        <w:pStyle w:val="enumlev1"/>
        <w:rPr>
          <w:bCs/>
          <w:lang w:val="fr-CH" w:eastAsia="ja-JP"/>
        </w:rPr>
      </w:pPr>
      <w:r w:rsidRPr="00406883">
        <w:rPr>
          <w:bCs/>
          <w:lang w:val="fr-CH" w:eastAsia="ja-JP"/>
        </w:rPr>
        <w:t>–</w:t>
      </w:r>
      <w:r w:rsidRPr="00406883">
        <w:rPr>
          <w:bCs/>
          <w:lang w:val="fr-CH" w:eastAsia="ja-JP"/>
        </w:rPr>
        <w:tab/>
      </w:r>
      <w:r>
        <w:rPr>
          <w:bCs/>
          <w:lang w:val="fr-CH" w:eastAsia="ja-JP"/>
        </w:rPr>
        <w:t>R</w:t>
      </w:r>
      <w:r w:rsidRPr="00406883">
        <w:rPr>
          <w:bCs/>
          <w:lang w:val="fr-CH" w:eastAsia="ja-JP"/>
        </w:rPr>
        <w:t xml:space="preserve">écepteur d'approche de précision </w:t>
      </w:r>
      <w:r>
        <w:rPr>
          <w:bCs/>
          <w:lang w:val="fr-CH" w:eastAsia="ja-JP"/>
        </w:rPr>
        <w:t>utilisé</w:t>
      </w:r>
      <w:r w:rsidRPr="00406883">
        <w:rPr>
          <w:bCs/>
          <w:lang w:val="fr-CH" w:eastAsia="ja-JP"/>
        </w:rPr>
        <w:t xml:space="preserve"> en navigation aérienne </w:t>
      </w:r>
      <w:r w:rsidRPr="00406883">
        <w:rPr>
          <w:bCs/>
          <w:lang w:val="fr-CH"/>
        </w:rPr>
        <w:t>(</w:t>
      </w:r>
      <w:r>
        <w:rPr>
          <w:bCs/>
          <w:lang w:val="fr-CH"/>
        </w:rPr>
        <w:t>voir</w:t>
      </w:r>
      <w:r w:rsidRPr="00406883">
        <w:rPr>
          <w:bCs/>
          <w:lang w:val="fr-CH"/>
        </w:rPr>
        <w:t xml:space="preserve"> § 2.1.4 </w:t>
      </w:r>
      <w:r>
        <w:rPr>
          <w:bCs/>
          <w:lang w:val="fr-CH"/>
        </w:rPr>
        <w:t>ci-dessus et</w:t>
      </w:r>
      <w:r w:rsidRPr="00406883">
        <w:rPr>
          <w:bCs/>
          <w:lang w:val="fr-CH"/>
        </w:rPr>
        <w:t xml:space="preserve"> Table</w:t>
      </w:r>
      <w:r>
        <w:rPr>
          <w:bCs/>
          <w:lang w:val="fr-CH"/>
        </w:rPr>
        <w:t>au 2, colon</w:t>
      </w:r>
      <w:r w:rsidRPr="00406883">
        <w:rPr>
          <w:bCs/>
          <w:lang w:val="fr-CH"/>
        </w:rPr>
        <w:t>n</w:t>
      </w:r>
      <w:r>
        <w:rPr>
          <w:bCs/>
          <w:lang w:val="fr-CH"/>
        </w:rPr>
        <w:t>e</w:t>
      </w:r>
      <w:r w:rsidRPr="00406883">
        <w:rPr>
          <w:bCs/>
          <w:lang w:val="fr-CH"/>
        </w:rPr>
        <w:t xml:space="preserve"> 6) </w:t>
      </w:r>
    </w:p>
    <w:p w:rsidR="005D5DF0" w:rsidRPr="000477B7" w:rsidRDefault="005D5DF0" w:rsidP="005D5DF0">
      <w:pPr>
        <w:pStyle w:val="enumlev1"/>
        <w:rPr>
          <w:bCs/>
          <w:lang w:val="fr-CH" w:eastAsia="ja-JP"/>
        </w:rPr>
      </w:pPr>
      <w:r w:rsidRPr="000477B7">
        <w:rPr>
          <w:bCs/>
          <w:lang w:val="fr-CH" w:eastAsia="ja-JP"/>
        </w:rPr>
        <w:t>–</w:t>
      </w:r>
      <w:r w:rsidRPr="000477B7">
        <w:rPr>
          <w:bCs/>
          <w:lang w:val="fr-CH" w:eastAsia="ja-JP"/>
        </w:rPr>
        <w:tab/>
      </w:r>
      <w:r>
        <w:rPr>
          <w:bCs/>
          <w:lang w:val="fr-CH" w:eastAsia="ja-JP"/>
        </w:rPr>
        <w:t>Récepteur de h</w:t>
      </w:r>
      <w:r w:rsidRPr="000477B7">
        <w:rPr>
          <w:bCs/>
          <w:lang w:val="fr-CH" w:eastAsia="ja-JP"/>
        </w:rPr>
        <w:t xml:space="preserve">aute précision (2 types) </w:t>
      </w:r>
      <w:r w:rsidRPr="000477B7">
        <w:rPr>
          <w:bCs/>
          <w:lang w:val="fr-CH"/>
        </w:rPr>
        <w:t xml:space="preserve">(voir § 2.2 </w:t>
      </w:r>
      <w:r>
        <w:rPr>
          <w:bCs/>
          <w:lang w:val="fr-CH"/>
        </w:rPr>
        <w:t xml:space="preserve">ci-dessus et </w:t>
      </w:r>
      <w:r w:rsidRPr="000477B7">
        <w:rPr>
          <w:bCs/>
          <w:lang w:val="fr-CH"/>
        </w:rPr>
        <w:t>Table</w:t>
      </w:r>
      <w:r>
        <w:rPr>
          <w:bCs/>
          <w:lang w:val="fr-CH"/>
        </w:rPr>
        <w:t>au 2, colon</w:t>
      </w:r>
      <w:r w:rsidRPr="000477B7">
        <w:rPr>
          <w:bCs/>
          <w:lang w:val="fr-CH"/>
        </w:rPr>
        <w:t>n</w:t>
      </w:r>
      <w:r>
        <w:rPr>
          <w:bCs/>
          <w:lang w:val="fr-CH"/>
        </w:rPr>
        <w:t>e</w:t>
      </w:r>
      <w:r w:rsidRPr="000477B7">
        <w:rPr>
          <w:bCs/>
          <w:lang w:val="fr-CH"/>
        </w:rPr>
        <w:t xml:space="preserve"> 11)</w:t>
      </w:r>
    </w:p>
    <w:p w:rsidR="005D5DF0" w:rsidRPr="000477B7" w:rsidRDefault="005D5DF0" w:rsidP="005D5DF0">
      <w:pPr>
        <w:pStyle w:val="enumlev1"/>
        <w:rPr>
          <w:bCs/>
          <w:lang w:val="fr-CH"/>
        </w:rPr>
      </w:pPr>
      <w:r w:rsidRPr="000477B7">
        <w:rPr>
          <w:bCs/>
          <w:lang w:val="fr-CH" w:eastAsia="ja-JP"/>
        </w:rPr>
        <w:t>–</w:t>
      </w:r>
      <w:r w:rsidRPr="000477B7">
        <w:rPr>
          <w:bCs/>
          <w:lang w:val="fr-CH" w:eastAsia="ja-JP"/>
        </w:rPr>
        <w:tab/>
      </w:r>
      <w:r w:rsidRPr="000477B7">
        <w:rPr>
          <w:bCs/>
          <w:lang w:val="fr-CH"/>
        </w:rPr>
        <w:t xml:space="preserve">Récepteurs assistés du SRNS (voir § 2.3 </w:t>
      </w:r>
      <w:r>
        <w:rPr>
          <w:bCs/>
          <w:lang w:val="fr-CH"/>
        </w:rPr>
        <w:t>ci-dessus et</w:t>
      </w:r>
      <w:r w:rsidRPr="000477B7">
        <w:rPr>
          <w:bCs/>
          <w:lang w:val="fr-CH"/>
        </w:rPr>
        <w:t xml:space="preserve"> Table</w:t>
      </w:r>
      <w:r>
        <w:rPr>
          <w:bCs/>
          <w:lang w:val="fr-CH"/>
        </w:rPr>
        <w:t>au 2, colon</w:t>
      </w:r>
      <w:r w:rsidRPr="000477B7">
        <w:rPr>
          <w:bCs/>
          <w:lang w:val="fr-CH"/>
        </w:rPr>
        <w:t>n</w:t>
      </w:r>
      <w:r>
        <w:rPr>
          <w:bCs/>
          <w:lang w:val="fr-CH"/>
        </w:rPr>
        <w:t>e</w:t>
      </w:r>
      <w:r w:rsidRPr="000477B7">
        <w:rPr>
          <w:bCs/>
          <w:lang w:val="fr-CH"/>
        </w:rPr>
        <w:t> 7)</w:t>
      </w:r>
    </w:p>
    <w:p w:rsidR="005D5DF0" w:rsidRPr="008D0324" w:rsidRDefault="005D5DF0" w:rsidP="005D5DF0">
      <w:pPr>
        <w:pStyle w:val="enumlev1"/>
        <w:rPr>
          <w:bCs/>
          <w:lang w:val="fr-CH"/>
        </w:rPr>
      </w:pPr>
      <w:r w:rsidRPr="008D0324">
        <w:rPr>
          <w:bCs/>
          <w:lang w:val="fr-CH" w:eastAsia="ja-JP"/>
        </w:rPr>
        <w:t>–</w:t>
      </w:r>
      <w:r w:rsidRPr="008D0324">
        <w:rPr>
          <w:bCs/>
          <w:lang w:val="fr-CH" w:eastAsia="ja-JP"/>
        </w:rPr>
        <w:tab/>
      </w:r>
      <w:r>
        <w:rPr>
          <w:bCs/>
          <w:lang w:val="fr-CH" w:eastAsia="ja-JP"/>
        </w:rPr>
        <w:t>R</w:t>
      </w:r>
      <w:r w:rsidRPr="008D0324">
        <w:rPr>
          <w:bCs/>
          <w:lang w:val="fr-CH" w:eastAsia="ja-JP"/>
        </w:rPr>
        <w:t>écepteur polyvalent</w:t>
      </w:r>
      <w:r>
        <w:rPr>
          <w:bCs/>
          <w:lang w:val="fr-CH" w:eastAsia="ja-JP"/>
        </w:rPr>
        <w:t xml:space="preserve"> N°</w:t>
      </w:r>
      <w:r w:rsidRPr="008D0324">
        <w:rPr>
          <w:bCs/>
          <w:lang w:val="fr-CH" w:eastAsia="ja-JP"/>
        </w:rPr>
        <w:t xml:space="preserve"> 1 (2 types) </w:t>
      </w:r>
      <w:r w:rsidRPr="008D0324">
        <w:rPr>
          <w:bCs/>
          <w:lang w:val="fr-CH"/>
        </w:rPr>
        <w:t xml:space="preserve">(voir § 2.4 ci-dessus </w:t>
      </w:r>
      <w:r>
        <w:rPr>
          <w:bCs/>
          <w:lang w:val="fr-CH"/>
        </w:rPr>
        <w:t>et</w:t>
      </w:r>
      <w:r w:rsidRPr="008D0324">
        <w:rPr>
          <w:bCs/>
          <w:lang w:val="fr-CH"/>
        </w:rPr>
        <w:t xml:space="preserve"> Table</w:t>
      </w:r>
      <w:r>
        <w:rPr>
          <w:bCs/>
          <w:lang w:val="fr-CH"/>
        </w:rPr>
        <w:t>au 2, colon</w:t>
      </w:r>
      <w:r w:rsidRPr="008D0324">
        <w:rPr>
          <w:bCs/>
          <w:lang w:val="fr-CH"/>
        </w:rPr>
        <w:t>n</w:t>
      </w:r>
      <w:r>
        <w:rPr>
          <w:bCs/>
          <w:lang w:val="fr-CH"/>
        </w:rPr>
        <w:t>e</w:t>
      </w:r>
      <w:r w:rsidRPr="008D0324">
        <w:rPr>
          <w:bCs/>
          <w:lang w:val="fr-CH"/>
        </w:rPr>
        <w:t xml:space="preserve"> 8)</w:t>
      </w:r>
    </w:p>
    <w:p w:rsidR="005D5DF0" w:rsidRPr="008D0324" w:rsidRDefault="005D5DF0" w:rsidP="005D5DF0">
      <w:pPr>
        <w:pStyle w:val="enumlev1"/>
        <w:rPr>
          <w:bCs/>
          <w:lang w:val="fr-CH"/>
        </w:rPr>
      </w:pPr>
      <w:r w:rsidRPr="008D0324">
        <w:rPr>
          <w:bCs/>
          <w:lang w:val="fr-CH" w:eastAsia="ja-JP"/>
        </w:rPr>
        <w:t>–</w:t>
      </w:r>
      <w:r w:rsidRPr="008D0324">
        <w:rPr>
          <w:bCs/>
          <w:lang w:val="fr-CH" w:eastAsia="ja-JP"/>
        </w:rPr>
        <w:tab/>
      </w:r>
      <w:r>
        <w:rPr>
          <w:bCs/>
          <w:lang w:val="fr-CH" w:eastAsia="ja-JP"/>
        </w:rPr>
        <w:t>R</w:t>
      </w:r>
      <w:r w:rsidRPr="008D0324">
        <w:rPr>
          <w:bCs/>
          <w:lang w:val="fr-CH" w:eastAsia="ja-JP"/>
        </w:rPr>
        <w:t xml:space="preserve">écepteur polyvalent </w:t>
      </w:r>
      <w:r>
        <w:rPr>
          <w:bCs/>
          <w:lang w:val="fr-CH" w:eastAsia="ja-JP"/>
        </w:rPr>
        <w:t>N°</w:t>
      </w:r>
      <w:r w:rsidRPr="008D0324">
        <w:rPr>
          <w:bCs/>
          <w:lang w:val="fr-CH" w:eastAsia="ja-JP"/>
        </w:rPr>
        <w:t xml:space="preserve"> 2 </w:t>
      </w:r>
      <w:r w:rsidRPr="008D0324">
        <w:rPr>
          <w:bCs/>
          <w:lang w:val="fr-CH"/>
        </w:rPr>
        <w:t xml:space="preserve">(voir § 2.4 ci-dessus </w:t>
      </w:r>
      <w:r>
        <w:rPr>
          <w:bCs/>
          <w:lang w:val="fr-CH"/>
        </w:rPr>
        <w:t>et</w:t>
      </w:r>
      <w:r w:rsidRPr="008D0324">
        <w:rPr>
          <w:bCs/>
          <w:lang w:val="fr-CH"/>
        </w:rPr>
        <w:t xml:space="preserve"> Table</w:t>
      </w:r>
      <w:r>
        <w:rPr>
          <w:bCs/>
          <w:lang w:val="fr-CH"/>
        </w:rPr>
        <w:t>au 2, colon</w:t>
      </w:r>
      <w:r w:rsidRPr="008D0324">
        <w:rPr>
          <w:bCs/>
          <w:lang w:val="fr-CH"/>
        </w:rPr>
        <w:t>n</w:t>
      </w:r>
      <w:r>
        <w:rPr>
          <w:bCs/>
          <w:lang w:val="fr-CH"/>
        </w:rPr>
        <w:t>e</w:t>
      </w:r>
      <w:r w:rsidRPr="008D0324">
        <w:rPr>
          <w:bCs/>
          <w:lang w:val="fr-CH"/>
        </w:rPr>
        <w:t xml:space="preserve"> 9)</w:t>
      </w:r>
    </w:p>
    <w:p w:rsidR="005D5DF0" w:rsidRPr="008D0324" w:rsidRDefault="005D5DF0" w:rsidP="005D5DF0">
      <w:pPr>
        <w:pStyle w:val="enumlev1"/>
        <w:rPr>
          <w:bCs/>
          <w:lang w:val="fr-CH"/>
        </w:rPr>
      </w:pPr>
      <w:r w:rsidRPr="008D0324">
        <w:rPr>
          <w:bCs/>
          <w:lang w:val="fr-CH" w:eastAsia="ja-JP"/>
        </w:rPr>
        <w:t>–</w:t>
      </w:r>
      <w:r w:rsidRPr="008D0324">
        <w:rPr>
          <w:bCs/>
          <w:lang w:val="fr-CH" w:eastAsia="ja-JP"/>
        </w:rPr>
        <w:tab/>
      </w:r>
      <w:r>
        <w:rPr>
          <w:bCs/>
          <w:lang w:val="fr-CH" w:eastAsia="ja-JP"/>
        </w:rPr>
        <w:t>L</w:t>
      </w:r>
      <w:r w:rsidRPr="008D0324">
        <w:rPr>
          <w:bCs/>
          <w:lang w:val="fr-CH" w:eastAsia="ja-JP"/>
        </w:rPr>
        <w:t>ocalisation en intérieur</w:t>
      </w:r>
      <w:r w:rsidRPr="008D0324">
        <w:rPr>
          <w:bCs/>
          <w:lang w:val="fr-CH"/>
        </w:rPr>
        <w:t xml:space="preserve"> (2 types) (voir § 2.5 ci-dessus e</w:t>
      </w:r>
      <w:r>
        <w:rPr>
          <w:bCs/>
          <w:lang w:val="fr-CH"/>
        </w:rPr>
        <w:t>t</w:t>
      </w:r>
      <w:r w:rsidRPr="008D0324">
        <w:rPr>
          <w:bCs/>
          <w:lang w:val="fr-CH"/>
        </w:rPr>
        <w:t xml:space="preserve"> Table</w:t>
      </w:r>
      <w:r>
        <w:rPr>
          <w:bCs/>
          <w:lang w:val="fr-CH"/>
        </w:rPr>
        <w:t>au</w:t>
      </w:r>
      <w:r w:rsidRPr="008D0324">
        <w:rPr>
          <w:bCs/>
          <w:lang w:val="fr-CH"/>
        </w:rPr>
        <w:t xml:space="preserve"> 2, col</w:t>
      </w:r>
      <w:r>
        <w:rPr>
          <w:bCs/>
          <w:lang w:val="fr-CH"/>
        </w:rPr>
        <w:t>onne</w:t>
      </w:r>
      <w:r w:rsidRPr="008D0324">
        <w:rPr>
          <w:bCs/>
          <w:lang w:val="fr-CH"/>
        </w:rPr>
        <w:t xml:space="preserve"> </w:t>
      </w:r>
      <w:r w:rsidRPr="008D0324">
        <w:rPr>
          <w:bCs/>
          <w:lang w:val="fr-CH" w:eastAsia="ja-JP"/>
        </w:rPr>
        <w:t>10</w:t>
      </w:r>
      <w:r w:rsidRPr="008D0324">
        <w:rPr>
          <w:bCs/>
          <w:lang w:val="fr-CH"/>
        </w:rPr>
        <w:t>).</w:t>
      </w:r>
    </w:p>
    <w:p w:rsidR="005D5DF0" w:rsidRPr="008D0324" w:rsidRDefault="005D5DF0" w:rsidP="005D5DF0">
      <w:pPr>
        <w:rPr>
          <w:lang w:val="fr-CH"/>
        </w:rPr>
      </w:pPr>
    </w:p>
    <w:p w:rsidR="005D5DF0" w:rsidRPr="008D0324" w:rsidRDefault="005D5DF0" w:rsidP="005D5DF0">
      <w:pPr>
        <w:rPr>
          <w:lang w:val="fr-CH"/>
        </w:rPr>
        <w:sectPr w:rsidR="005D5DF0" w:rsidRPr="008D0324" w:rsidSect="00290B8C">
          <w:headerReference w:type="even" r:id="rId18"/>
          <w:headerReference w:type="default" r:id="rId19"/>
          <w:footerReference w:type="default" r:id="rId20"/>
          <w:headerReference w:type="first" r:id="rId21"/>
          <w:footerReference w:type="first" r:id="rId22"/>
          <w:pgSz w:w="11907" w:h="16834" w:code="9"/>
          <w:pgMar w:top="1418" w:right="1134" w:bottom="1418" w:left="1134" w:header="720" w:footer="720" w:gutter="0"/>
          <w:pgNumType w:start="1"/>
          <w:cols w:space="720"/>
          <w:titlePg/>
        </w:sectPr>
      </w:pPr>
    </w:p>
    <w:p w:rsidR="005D5DF0" w:rsidRPr="009F7F56" w:rsidRDefault="005D5DF0" w:rsidP="005D5DF0">
      <w:pPr>
        <w:pStyle w:val="TableNo"/>
        <w:spacing w:before="0"/>
        <w:rPr>
          <w:lang w:val="fr-CH"/>
        </w:rPr>
      </w:pPr>
      <w:r w:rsidRPr="009F7F56">
        <w:rPr>
          <w:lang w:val="fr-CH"/>
        </w:rPr>
        <w:lastRenderedPageBreak/>
        <w:t>TABLEAU 2</w:t>
      </w:r>
    </w:p>
    <w:p w:rsidR="005D5DF0" w:rsidRPr="009F7F56" w:rsidRDefault="005D5DF0" w:rsidP="005D5DF0">
      <w:pPr>
        <w:pStyle w:val="Tabletitle"/>
        <w:rPr>
          <w:lang w:val="fr-CH"/>
        </w:rPr>
      </w:pPr>
      <w:r w:rsidRPr="009F7F56">
        <w:rPr>
          <w:lang w:val="fr-CH"/>
        </w:rPr>
        <w:t xml:space="preserve">Caractéristiques techniques et rapports de protection </w:t>
      </w:r>
      <w:r>
        <w:rPr>
          <w:lang w:val="fr-CH"/>
        </w:rPr>
        <w:t xml:space="preserve">applicables aux </w:t>
      </w:r>
      <w:r w:rsidRPr="009F7F56">
        <w:rPr>
          <w:lang w:val="fr-CH"/>
        </w:rPr>
        <w:t>récepteurs du SRNS (</w:t>
      </w:r>
      <w:r>
        <w:rPr>
          <w:lang w:val="fr-CH"/>
        </w:rPr>
        <w:t>espace vers Terre</w:t>
      </w:r>
      <w:r w:rsidRPr="009F7F56">
        <w:rPr>
          <w:lang w:val="fr-CH"/>
        </w:rPr>
        <w:t xml:space="preserve">) </w:t>
      </w:r>
      <w:r>
        <w:rPr>
          <w:lang w:val="fr-CH"/>
        </w:rPr>
        <w:br/>
        <w:t>fonctionnant dans la bande</w:t>
      </w:r>
      <w:r w:rsidRPr="009F7F56">
        <w:rPr>
          <w:lang w:val="fr-CH"/>
        </w:rPr>
        <w:t xml:space="preserve"> 1 559-1 610 MHz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7"/>
        <w:gridCol w:w="1127"/>
        <w:gridCol w:w="1361"/>
        <w:gridCol w:w="1139"/>
        <w:gridCol w:w="1389"/>
        <w:gridCol w:w="994"/>
        <w:gridCol w:w="1389"/>
        <w:gridCol w:w="940"/>
        <w:gridCol w:w="363"/>
        <w:gridCol w:w="150"/>
        <w:gridCol w:w="570"/>
        <w:gridCol w:w="920"/>
        <w:gridCol w:w="443"/>
        <w:gridCol w:w="160"/>
        <w:gridCol w:w="593"/>
        <w:gridCol w:w="767"/>
        <w:gridCol w:w="677"/>
      </w:tblGrid>
      <w:tr w:rsidR="005D5DF0" w:rsidRPr="00F63FE2" w:rsidTr="00A715CF">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5D5DF0" w:rsidRPr="009F7F56" w:rsidRDefault="005D5DF0" w:rsidP="00A715CF">
            <w:pPr>
              <w:pStyle w:val="Tablehead"/>
              <w:rPr>
                <w:rFonts w:eastAsia="MS PGothic"/>
                <w:sz w:val="18"/>
                <w:lang w:val="fr-CH"/>
              </w:rPr>
            </w:pPr>
          </w:p>
        </w:tc>
        <w:tc>
          <w:tcPr>
            <w:tcW w:w="112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1</w:t>
            </w:r>
          </w:p>
        </w:tc>
        <w:tc>
          <w:tcPr>
            <w:tcW w:w="1361"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2</w:t>
            </w:r>
          </w:p>
        </w:tc>
        <w:tc>
          <w:tcPr>
            <w:tcW w:w="113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3</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4</w:t>
            </w:r>
          </w:p>
        </w:tc>
        <w:tc>
          <w:tcPr>
            <w:tcW w:w="994"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5</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sz w:val="18"/>
              </w:rPr>
            </w:pPr>
            <w:r w:rsidRPr="00F63FE2">
              <w:rPr>
                <w:sz w:val="18"/>
              </w:rPr>
              <w:t>6</w:t>
            </w:r>
          </w:p>
        </w:tc>
        <w:tc>
          <w:tcPr>
            <w:tcW w:w="940"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7</w:t>
            </w:r>
          </w:p>
        </w:tc>
        <w:tc>
          <w:tcPr>
            <w:tcW w:w="1083" w:type="dxa"/>
            <w:gridSpan w:val="3"/>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8</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head"/>
              <w:rPr>
                <w:rFonts w:eastAsia="MS PGothic"/>
                <w:sz w:val="18"/>
              </w:rPr>
            </w:pPr>
            <w:r w:rsidRPr="00F63FE2">
              <w:rPr>
                <w:rFonts w:eastAsia="MS PGothic"/>
                <w:sz w:val="18"/>
              </w:rPr>
              <w:t>9</w:t>
            </w:r>
          </w:p>
        </w:tc>
        <w:tc>
          <w:tcPr>
            <w:tcW w:w="119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head"/>
              <w:rPr>
                <w:rFonts w:eastAsia="MS PGothic"/>
                <w:sz w:val="18"/>
              </w:rPr>
            </w:pPr>
            <w:r w:rsidRPr="00F63FE2">
              <w:rPr>
                <w:rFonts w:eastAsia="MS PGothic"/>
                <w:sz w:val="18"/>
              </w:rPr>
              <w:t>10</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head"/>
              <w:rPr>
                <w:rFonts w:eastAsia="MS PGothic"/>
                <w:sz w:val="18"/>
              </w:rPr>
            </w:pPr>
            <w:r w:rsidRPr="00F63FE2">
              <w:rPr>
                <w:rFonts w:eastAsia="MS PGothic"/>
                <w:sz w:val="18"/>
              </w:rPr>
              <w:t>11</w:t>
            </w:r>
          </w:p>
        </w:tc>
      </w:tr>
      <w:tr w:rsidR="005D5DF0" w:rsidRPr="00F63FE2" w:rsidTr="00A715CF">
        <w:trPr>
          <w:cantSplit/>
          <w:jc w:val="center"/>
        </w:trPr>
        <w:tc>
          <w:tcPr>
            <w:tcW w:w="1477" w:type="dxa"/>
            <w:tcBorders>
              <w:top w:val="single" w:sz="4" w:space="0" w:color="auto"/>
              <w:left w:val="single" w:sz="4" w:space="0" w:color="auto"/>
              <w:bottom w:val="single" w:sz="4" w:space="0" w:color="auto"/>
              <w:right w:val="single" w:sz="4" w:space="0" w:color="auto"/>
            </w:tcBorders>
          </w:tcPr>
          <w:p w:rsidR="005D5DF0" w:rsidRPr="00F63FE2" w:rsidRDefault="005D5DF0" w:rsidP="00A715CF">
            <w:pPr>
              <w:pStyle w:val="Tablehead"/>
              <w:ind w:left="-57" w:right="-57"/>
              <w:rPr>
                <w:rFonts w:eastAsia="MS PGothic"/>
                <w:sz w:val="18"/>
                <w:lang w:val="en-US"/>
              </w:rPr>
            </w:pPr>
            <w:r w:rsidRPr="00F63FE2">
              <w:rPr>
                <w:rFonts w:eastAsia="MS PGothic"/>
                <w:sz w:val="18"/>
                <w:lang w:val="en-US"/>
              </w:rPr>
              <w:t>Application</w:t>
            </w:r>
            <w:r w:rsidRPr="00F63FE2">
              <w:rPr>
                <w:rFonts w:eastAsia="MS PGothic"/>
                <w:sz w:val="18"/>
                <w:lang w:val="en-US"/>
              </w:rPr>
              <w:br/>
              <w:t>(</w:t>
            </w:r>
            <w:r>
              <w:rPr>
                <w:rFonts w:eastAsia="MS PGothic"/>
                <w:sz w:val="18"/>
                <w:lang w:val="en-US"/>
              </w:rPr>
              <w:t>voir</w:t>
            </w:r>
            <w:r w:rsidRPr="00F63FE2">
              <w:rPr>
                <w:rFonts w:eastAsia="MS PGothic"/>
                <w:sz w:val="18"/>
                <w:lang w:val="en-US"/>
              </w:rPr>
              <w:t xml:space="preserve"> </w:t>
            </w:r>
            <w:r w:rsidRPr="00F63FE2">
              <w:rPr>
                <w:sz w:val="18"/>
                <w:lang w:val="en-US"/>
              </w:rPr>
              <w:t>§ 4</w:t>
            </w:r>
            <w:r w:rsidRPr="00F63FE2">
              <w:rPr>
                <w:rFonts w:eastAsia="MS PGothic"/>
                <w:sz w:val="18"/>
                <w:lang w:val="en-US"/>
              </w:rPr>
              <w:t>)</w:t>
            </w:r>
            <w:r w:rsidRPr="00F63FE2">
              <w:rPr>
                <w:rFonts w:eastAsia="MS PGothic"/>
                <w:sz w:val="18"/>
                <w:lang w:val="en-US"/>
              </w:rPr>
              <w:br/>
            </w:r>
            <w:r>
              <w:rPr>
                <w:rFonts w:eastAsia="MS PGothic"/>
                <w:sz w:val="18"/>
                <w:lang w:val="en-US"/>
              </w:rPr>
              <w:t>Paramètre</w:t>
            </w:r>
          </w:p>
        </w:tc>
        <w:tc>
          <w:tcPr>
            <w:tcW w:w="1127" w:type="dxa"/>
            <w:tcBorders>
              <w:top w:val="single" w:sz="4" w:space="0" w:color="auto"/>
              <w:left w:val="single" w:sz="4" w:space="0" w:color="auto"/>
              <w:bottom w:val="single" w:sz="4" w:space="0" w:color="auto"/>
              <w:right w:val="single" w:sz="4" w:space="0" w:color="auto"/>
            </w:tcBorders>
          </w:tcPr>
          <w:p w:rsidR="005D5DF0" w:rsidRPr="00F63FE2" w:rsidRDefault="005D5DF0" w:rsidP="00A715CF">
            <w:pPr>
              <w:pStyle w:val="Tablehead"/>
              <w:ind w:left="-57" w:right="-57"/>
              <w:rPr>
                <w:sz w:val="18"/>
                <w:lang w:val="en-US"/>
              </w:rPr>
            </w:pPr>
            <w:r w:rsidRPr="00F63FE2">
              <w:rPr>
                <w:rFonts w:eastAsia="MS PGothic"/>
                <w:sz w:val="18"/>
                <w:lang w:val="en-US"/>
              </w:rPr>
              <w:t xml:space="preserve">SBAS </w:t>
            </w:r>
            <w:r>
              <w:rPr>
                <w:rFonts w:eastAsia="MS PGothic"/>
                <w:sz w:val="18"/>
                <w:lang w:val="en-US"/>
              </w:rPr>
              <w:br/>
              <w:t>Catégorie</w:t>
            </w:r>
            <w:r w:rsidRPr="00F63FE2">
              <w:rPr>
                <w:rFonts w:eastAsia="MS PGothic"/>
                <w:sz w:val="18"/>
                <w:lang w:val="en-US"/>
              </w:rPr>
              <w:t> I</w:t>
            </w:r>
            <w:r>
              <w:rPr>
                <w:rFonts w:eastAsia="MS PGothic"/>
                <w:sz w:val="18"/>
                <w:lang w:val="en-US"/>
              </w:rPr>
              <w:br/>
            </w:r>
            <w:r w:rsidRPr="00F63FE2">
              <w:rPr>
                <w:sz w:val="18"/>
                <w:lang w:val="en-US"/>
              </w:rPr>
              <w:t>Type 1</w:t>
            </w:r>
          </w:p>
        </w:tc>
        <w:tc>
          <w:tcPr>
            <w:tcW w:w="1361" w:type="dxa"/>
            <w:tcBorders>
              <w:top w:val="single" w:sz="4" w:space="0" w:color="auto"/>
              <w:left w:val="single" w:sz="4" w:space="0" w:color="auto"/>
              <w:bottom w:val="single" w:sz="4" w:space="0" w:color="auto"/>
              <w:right w:val="single" w:sz="4" w:space="0" w:color="auto"/>
            </w:tcBorders>
          </w:tcPr>
          <w:p w:rsidR="005D5DF0" w:rsidRPr="00F63FE2" w:rsidRDefault="005D5DF0" w:rsidP="00A715CF">
            <w:pPr>
              <w:pStyle w:val="Tablehead"/>
              <w:ind w:left="-57" w:right="-57"/>
              <w:rPr>
                <w:rFonts w:eastAsia="MS PGothic"/>
                <w:sz w:val="18"/>
                <w:lang w:val="en-US"/>
              </w:rPr>
            </w:pPr>
            <w:r>
              <w:rPr>
                <w:rFonts w:eastAsia="MS PGothic"/>
                <w:sz w:val="18"/>
                <w:lang w:val="en-US"/>
              </w:rPr>
              <w:t xml:space="preserve">SBAS </w:t>
            </w:r>
            <w:r>
              <w:rPr>
                <w:rFonts w:eastAsia="MS PGothic"/>
                <w:sz w:val="18"/>
                <w:lang w:val="en-US"/>
              </w:rPr>
              <w:br/>
              <w:t>Catégorie</w:t>
            </w:r>
            <w:r w:rsidRPr="00F63FE2">
              <w:rPr>
                <w:rFonts w:eastAsia="MS PGothic"/>
                <w:sz w:val="18"/>
                <w:lang w:val="en-US"/>
              </w:rPr>
              <w:t> I</w:t>
            </w:r>
            <w:r>
              <w:rPr>
                <w:rFonts w:eastAsia="MS PGothic"/>
                <w:sz w:val="18"/>
                <w:lang w:val="en-US"/>
              </w:rPr>
              <w:br/>
            </w:r>
            <w:r w:rsidRPr="00F63FE2">
              <w:rPr>
                <w:sz w:val="18"/>
                <w:lang w:val="en-US"/>
              </w:rPr>
              <w:t>Type 2</w:t>
            </w:r>
          </w:p>
        </w:tc>
        <w:tc>
          <w:tcPr>
            <w:tcW w:w="1139" w:type="dxa"/>
            <w:tcBorders>
              <w:top w:val="single" w:sz="4" w:space="0" w:color="auto"/>
              <w:left w:val="single" w:sz="4" w:space="0" w:color="auto"/>
              <w:bottom w:val="single" w:sz="4" w:space="0" w:color="auto"/>
              <w:right w:val="single" w:sz="4" w:space="0" w:color="auto"/>
            </w:tcBorders>
          </w:tcPr>
          <w:p w:rsidR="005D5DF0" w:rsidRPr="00F15AA4" w:rsidRDefault="005D5DF0" w:rsidP="00A715CF">
            <w:pPr>
              <w:pStyle w:val="Tablehead"/>
              <w:ind w:left="-57" w:right="-57"/>
              <w:rPr>
                <w:sz w:val="18"/>
              </w:rPr>
            </w:pPr>
            <w:r w:rsidRPr="00F15AA4">
              <w:rPr>
                <w:rFonts w:eastAsia="MS PGothic"/>
                <w:sz w:val="18"/>
              </w:rPr>
              <w:t xml:space="preserve">GBAS </w:t>
            </w:r>
            <w:r w:rsidRPr="00F15AA4">
              <w:rPr>
                <w:rFonts w:eastAsia="MS PGothic"/>
                <w:sz w:val="18"/>
              </w:rPr>
              <w:br/>
              <w:t>Catégorie II/</w:t>
            </w:r>
            <w:r w:rsidRPr="00F15AA4">
              <w:rPr>
                <w:rFonts w:eastAsia="MS PGothic"/>
                <w:sz w:val="18"/>
              </w:rPr>
              <w:br/>
              <w:t>III</w:t>
            </w:r>
            <w:r w:rsidRPr="00F15AA4">
              <w:rPr>
                <w:rFonts w:eastAsia="MS PGothic"/>
                <w:sz w:val="18"/>
              </w:rPr>
              <w:br/>
            </w:r>
            <w:r w:rsidRPr="00F15AA4">
              <w:rPr>
                <w:sz w:val="18"/>
              </w:rPr>
              <w:t>Type 1</w:t>
            </w:r>
          </w:p>
        </w:tc>
        <w:tc>
          <w:tcPr>
            <w:tcW w:w="1389" w:type="dxa"/>
            <w:tcBorders>
              <w:top w:val="single" w:sz="4" w:space="0" w:color="auto"/>
              <w:left w:val="single" w:sz="4" w:space="0" w:color="auto"/>
              <w:bottom w:val="single" w:sz="4" w:space="0" w:color="auto"/>
              <w:right w:val="single" w:sz="4" w:space="0" w:color="auto"/>
            </w:tcBorders>
          </w:tcPr>
          <w:p w:rsidR="005D5DF0" w:rsidRPr="00F15AA4" w:rsidRDefault="005D5DF0" w:rsidP="00A715CF">
            <w:pPr>
              <w:pStyle w:val="Tablehead"/>
              <w:ind w:left="-57" w:right="-57"/>
              <w:rPr>
                <w:rFonts w:eastAsia="MS PGothic"/>
                <w:sz w:val="18"/>
              </w:rPr>
            </w:pPr>
            <w:r w:rsidRPr="00F15AA4">
              <w:rPr>
                <w:rFonts w:eastAsia="MS PGothic"/>
                <w:sz w:val="18"/>
              </w:rPr>
              <w:t xml:space="preserve">GBAS </w:t>
            </w:r>
            <w:r w:rsidRPr="00F15AA4">
              <w:rPr>
                <w:rFonts w:eastAsia="MS PGothic"/>
                <w:sz w:val="18"/>
              </w:rPr>
              <w:br/>
              <w:t>Catégorie II/III</w:t>
            </w:r>
            <w:r w:rsidRPr="00F15AA4">
              <w:rPr>
                <w:rFonts w:eastAsia="MS PGothic"/>
                <w:sz w:val="18"/>
              </w:rPr>
              <w:br/>
            </w:r>
            <w:r w:rsidRPr="00F15AA4">
              <w:rPr>
                <w:sz w:val="18"/>
              </w:rPr>
              <w:t>Type 2</w:t>
            </w:r>
          </w:p>
        </w:tc>
        <w:tc>
          <w:tcPr>
            <w:tcW w:w="994" w:type="dxa"/>
            <w:tcBorders>
              <w:top w:val="single" w:sz="4" w:space="0" w:color="auto"/>
              <w:left w:val="single" w:sz="4" w:space="0" w:color="auto"/>
              <w:bottom w:val="single" w:sz="4" w:space="0" w:color="auto"/>
              <w:right w:val="single" w:sz="4" w:space="0" w:color="auto"/>
            </w:tcBorders>
          </w:tcPr>
          <w:p w:rsidR="005D5DF0" w:rsidRPr="007B45AA" w:rsidRDefault="005D5DF0" w:rsidP="00A715CF">
            <w:pPr>
              <w:pStyle w:val="Tablehead"/>
              <w:ind w:left="-57" w:right="-57"/>
              <w:rPr>
                <w:rFonts w:eastAsia="MS PGothic"/>
                <w:sz w:val="18"/>
                <w:lang w:val="fr-CH"/>
              </w:rPr>
            </w:pPr>
            <w:r w:rsidRPr="007B45AA">
              <w:rPr>
                <w:rFonts w:eastAsia="MS PGothic"/>
                <w:sz w:val="18"/>
                <w:lang w:val="fr-CH"/>
              </w:rPr>
              <w:t>Récepteur de référence au sol</w:t>
            </w:r>
            <w:r>
              <w:rPr>
                <w:rFonts w:eastAsia="MS PGothic"/>
                <w:sz w:val="18"/>
                <w:lang w:val="fr-CH"/>
              </w:rPr>
              <w:br/>
              <w:t>SBAS</w:t>
            </w:r>
            <w:r w:rsidRPr="007B45AA">
              <w:rPr>
                <w:rFonts w:eastAsia="MS PGothic"/>
                <w:sz w:val="18"/>
                <w:lang w:val="fr-CH"/>
              </w:rPr>
              <w:t>*</w:t>
            </w:r>
          </w:p>
        </w:tc>
        <w:tc>
          <w:tcPr>
            <w:tcW w:w="1389" w:type="dxa"/>
            <w:tcBorders>
              <w:top w:val="single" w:sz="4" w:space="0" w:color="auto"/>
              <w:left w:val="single" w:sz="4" w:space="0" w:color="auto"/>
              <w:bottom w:val="single" w:sz="4" w:space="0" w:color="auto"/>
              <w:right w:val="single" w:sz="4" w:space="0" w:color="auto"/>
            </w:tcBorders>
          </w:tcPr>
          <w:p w:rsidR="005D5DF0" w:rsidRPr="00CA29E9" w:rsidRDefault="005D5DF0" w:rsidP="00A715CF">
            <w:pPr>
              <w:pStyle w:val="Tablehead"/>
              <w:ind w:left="-57" w:right="-57"/>
              <w:rPr>
                <w:rFonts w:eastAsia="MS PGothic"/>
                <w:sz w:val="18"/>
                <w:lang w:val="fr-CH"/>
              </w:rPr>
            </w:pPr>
            <w:r w:rsidRPr="00CA29E9">
              <w:rPr>
                <w:sz w:val="18"/>
                <w:lang w:val="fr-CH"/>
              </w:rPr>
              <w:t xml:space="preserve">Récepteur d'approche de précision </w:t>
            </w:r>
            <w:r>
              <w:rPr>
                <w:sz w:val="18"/>
                <w:lang w:val="fr-CH"/>
              </w:rPr>
              <w:t>utilisé</w:t>
            </w:r>
            <w:r w:rsidRPr="00CA29E9">
              <w:rPr>
                <w:sz w:val="18"/>
                <w:lang w:val="fr-CH"/>
              </w:rPr>
              <w:t xml:space="preserve"> </w:t>
            </w:r>
            <w:r>
              <w:rPr>
                <w:sz w:val="18"/>
                <w:lang w:val="fr-CH"/>
              </w:rPr>
              <w:t>en navigati</w:t>
            </w:r>
            <w:r w:rsidRPr="00CA29E9">
              <w:rPr>
                <w:sz w:val="18"/>
                <w:lang w:val="fr-CH"/>
              </w:rPr>
              <w:t>on aérienne</w:t>
            </w:r>
          </w:p>
        </w:tc>
        <w:tc>
          <w:tcPr>
            <w:tcW w:w="940" w:type="dxa"/>
            <w:tcBorders>
              <w:top w:val="single" w:sz="4" w:space="0" w:color="auto"/>
              <w:left w:val="single" w:sz="4" w:space="0" w:color="auto"/>
              <w:bottom w:val="single" w:sz="4" w:space="0" w:color="auto"/>
              <w:right w:val="single" w:sz="4" w:space="0" w:color="auto"/>
            </w:tcBorders>
          </w:tcPr>
          <w:p w:rsidR="005D5DF0" w:rsidRPr="00F63FE2" w:rsidRDefault="005D5DF0" w:rsidP="00A715CF">
            <w:pPr>
              <w:pStyle w:val="Tablehead"/>
              <w:ind w:left="-57" w:right="-57"/>
              <w:rPr>
                <w:rFonts w:eastAsia="MS PGothic"/>
                <w:sz w:val="18"/>
              </w:rPr>
            </w:pPr>
            <w:r>
              <w:rPr>
                <w:rFonts w:eastAsia="MS PGothic"/>
                <w:sz w:val="18"/>
              </w:rPr>
              <w:t>Récepteur assisté du SRNS</w:t>
            </w:r>
          </w:p>
        </w:tc>
        <w:tc>
          <w:tcPr>
            <w:tcW w:w="1083" w:type="dxa"/>
            <w:gridSpan w:val="3"/>
            <w:tcBorders>
              <w:top w:val="single" w:sz="4" w:space="0" w:color="auto"/>
              <w:left w:val="single" w:sz="4" w:space="0" w:color="auto"/>
              <w:bottom w:val="single" w:sz="4" w:space="0" w:color="auto"/>
              <w:right w:val="single" w:sz="4" w:space="0" w:color="auto"/>
            </w:tcBorders>
          </w:tcPr>
          <w:p w:rsidR="005D5DF0" w:rsidRPr="00F63FE2" w:rsidRDefault="005D5DF0" w:rsidP="00A715CF">
            <w:pPr>
              <w:pStyle w:val="Tablehead"/>
              <w:ind w:left="-57" w:right="-57"/>
              <w:rPr>
                <w:rFonts w:eastAsia="MS PGothic"/>
                <w:sz w:val="18"/>
              </w:rPr>
            </w:pPr>
            <w:r>
              <w:rPr>
                <w:rFonts w:eastAsia="MS PGothic"/>
                <w:sz w:val="18"/>
              </w:rPr>
              <w:t>Récepteur polyvalent N°</w:t>
            </w:r>
            <w:r w:rsidRPr="00F63FE2">
              <w:rPr>
                <w:rFonts w:eastAsia="MS PGothic"/>
                <w:sz w:val="18"/>
              </w:rPr>
              <w:t> 1</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D5DF0" w:rsidRPr="00F63FE2" w:rsidRDefault="005D5DF0" w:rsidP="00A715CF">
            <w:pPr>
              <w:pStyle w:val="Tablehead"/>
              <w:ind w:left="-57" w:right="-57"/>
              <w:rPr>
                <w:rFonts w:eastAsia="MS PGothic"/>
                <w:sz w:val="18"/>
              </w:rPr>
            </w:pPr>
            <w:r>
              <w:rPr>
                <w:rFonts w:eastAsia="MS PGothic"/>
                <w:sz w:val="18"/>
              </w:rPr>
              <w:t>Récepteur polyvalent</w:t>
            </w:r>
            <w:r w:rsidRPr="00F63FE2">
              <w:rPr>
                <w:rFonts w:eastAsia="MS PGothic"/>
                <w:sz w:val="18"/>
              </w:rPr>
              <w:t xml:space="preserve"> </w:t>
            </w:r>
            <w:r>
              <w:rPr>
                <w:rFonts w:eastAsia="MS PGothic"/>
                <w:sz w:val="18"/>
              </w:rPr>
              <w:t>N°</w:t>
            </w:r>
            <w:r w:rsidRPr="00F63FE2">
              <w:rPr>
                <w:rFonts w:eastAsia="MS PGothic"/>
                <w:sz w:val="18"/>
              </w:rPr>
              <w:t> 2</w:t>
            </w:r>
          </w:p>
        </w:tc>
        <w:tc>
          <w:tcPr>
            <w:tcW w:w="119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D5DF0" w:rsidRPr="00F63FE2" w:rsidRDefault="005D5DF0" w:rsidP="00A715CF">
            <w:pPr>
              <w:pStyle w:val="Tablehead"/>
              <w:ind w:left="-57" w:right="-57"/>
              <w:rPr>
                <w:sz w:val="18"/>
              </w:rPr>
            </w:pPr>
            <w:r>
              <w:rPr>
                <w:rFonts w:eastAsia="MS PGothic"/>
                <w:sz w:val="18"/>
              </w:rPr>
              <w:t>Localisation à l'intérieur des bâtiments</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D5DF0" w:rsidRPr="00F63FE2" w:rsidRDefault="005D5DF0" w:rsidP="00A715CF">
            <w:pPr>
              <w:pStyle w:val="Tablehead"/>
              <w:ind w:left="-57" w:right="-57"/>
              <w:rPr>
                <w:rFonts w:eastAsia="MS PGothic"/>
                <w:sz w:val="18"/>
              </w:rPr>
            </w:pPr>
            <w:r>
              <w:rPr>
                <w:rFonts w:eastAsia="MS PGothic"/>
                <w:sz w:val="18"/>
              </w:rPr>
              <w:t>Haute précision</w:t>
            </w:r>
            <w:r w:rsidRPr="00F63FE2">
              <w:rPr>
                <w:rFonts w:eastAsia="MS PGothic"/>
                <w:sz w:val="18"/>
              </w:rPr>
              <w:t xml:space="preserve">* (Note </w:t>
            </w:r>
            <w:r w:rsidRPr="00F63FE2">
              <w:rPr>
                <w:sz w:val="18"/>
              </w:rPr>
              <w:t>11</w:t>
            </w:r>
            <w:r w:rsidRPr="00F63FE2">
              <w:rPr>
                <w:rFonts w:eastAsia="MS PGothic"/>
                <w:sz w:val="18"/>
              </w:rPr>
              <w:t>)</w:t>
            </w:r>
          </w:p>
        </w:tc>
      </w:tr>
      <w:tr w:rsidR="005D5DF0" w:rsidRPr="00F63FE2" w:rsidTr="00A715CF">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C960E8">
            <w:pPr>
              <w:pStyle w:val="Tabletext"/>
              <w:jc w:val="left"/>
              <w:rPr>
                <w:rFonts w:eastAsia="MS PGothic"/>
                <w:sz w:val="18"/>
                <w:highlight w:val="green"/>
              </w:rPr>
            </w:pPr>
            <w:r>
              <w:rPr>
                <w:rFonts w:eastAsia="MS PGothic"/>
                <w:sz w:val="18"/>
              </w:rPr>
              <w:t>Plage de fréquences du signal</w:t>
            </w:r>
            <w:r w:rsidRPr="00F63FE2">
              <w:rPr>
                <w:rFonts w:eastAsia="MS PGothic"/>
                <w:sz w:val="18"/>
              </w:rPr>
              <w:t xml:space="preserve"> (MHz)</w:t>
            </w:r>
          </w:p>
        </w:tc>
        <w:tc>
          <w:tcPr>
            <w:tcW w:w="112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highlight w:val="green"/>
              </w:rPr>
            </w:pPr>
            <w:r w:rsidRPr="00F63FE2">
              <w:rPr>
                <w:rFonts w:eastAsia="MS PGothic"/>
                <w:sz w:val="18"/>
              </w:rPr>
              <w:t xml:space="preserve">1 575.42 </w:t>
            </w:r>
            <w:r w:rsidRPr="00F63FE2">
              <w:rPr>
                <w:rFonts w:eastAsia="MS PGothic"/>
                <w:sz w:val="18"/>
              </w:rPr>
              <w:sym w:font="Symbol" w:char="00B1"/>
            </w:r>
            <w:r w:rsidRPr="00F63FE2">
              <w:rPr>
                <w:rFonts w:eastAsia="MS PGothic"/>
                <w:sz w:val="18"/>
              </w:rPr>
              <w:t xml:space="preserve"> 15</w:t>
            </w:r>
            <w:r>
              <w:rPr>
                <w:rFonts w:eastAsia="MS PGothic"/>
                <w:sz w:val="18"/>
              </w:rPr>
              <w:t>,</w:t>
            </w:r>
            <w:r w:rsidRPr="00F63FE2">
              <w:rPr>
                <w:rFonts w:eastAsia="MS PGothic"/>
                <w:sz w:val="18"/>
              </w:rPr>
              <w:t>345</w:t>
            </w:r>
          </w:p>
        </w:tc>
        <w:tc>
          <w:tcPr>
            <w:tcW w:w="1361" w:type="dxa"/>
            <w:tcBorders>
              <w:top w:val="single" w:sz="4" w:space="0" w:color="auto"/>
              <w:left w:val="single" w:sz="4" w:space="0" w:color="auto"/>
              <w:bottom w:val="single" w:sz="4" w:space="0" w:color="auto"/>
              <w:right w:val="single" w:sz="4" w:space="0" w:color="auto"/>
            </w:tcBorders>
            <w:vAlign w:val="center"/>
          </w:tcPr>
          <w:p w:rsidR="005D5DF0" w:rsidRPr="00E06B4F" w:rsidRDefault="005D5DF0" w:rsidP="00A715CF">
            <w:pPr>
              <w:pStyle w:val="Tabletext"/>
              <w:ind w:left="-57" w:right="-57"/>
              <w:jc w:val="center"/>
              <w:rPr>
                <w:sz w:val="18"/>
                <w:vertAlign w:val="superscript"/>
                <w:lang w:val="fr-CH" w:eastAsia="ja-JP"/>
              </w:rPr>
            </w:pPr>
            <w:r w:rsidRPr="00E06B4F">
              <w:rPr>
                <w:sz w:val="18"/>
                <w:lang w:val="fr-CH"/>
              </w:rPr>
              <w:t>1 602 + 0</w:t>
            </w:r>
            <w:r>
              <w:rPr>
                <w:sz w:val="18"/>
                <w:lang w:val="fr-CH"/>
              </w:rPr>
              <w:t>,</w:t>
            </w:r>
            <w:r w:rsidRPr="00E06B4F">
              <w:rPr>
                <w:sz w:val="18"/>
                <w:lang w:val="fr-CH"/>
              </w:rPr>
              <w:t>5625</w:t>
            </w:r>
            <w:r w:rsidRPr="00E06B4F">
              <w:rPr>
                <w:i/>
                <w:iCs/>
                <w:sz w:val="18"/>
                <w:lang w:val="fr-CH"/>
              </w:rPr>
              <w:t>K</w:t>
            </w:r>
            <w:r w:rsidRPr="00E06B4F">
              <w:rPr>
                <w:sz w:val="18"/>
                <w:lang w:val="fr-CH"/>
              </w:rPr>
              <w:t xml:space="preserve"> ± 5</w:t>
            </w:r>
            <w:r>
              <w:rPr>
                <w:sz w:val="18"/>
                <w:lang w:val="fr-CH"/>
              </w:rPr>
              <w:t>,</w:t>
            </w:r>
            <w:r w:rsidRPr="00E06B4F">
              <w:rPr>
                <w:sz w:val="18"/>
                <w:lang w:val="fr-CH"/>
              </w:rPr>
              <w:t xml:space="preserve">11, </w:t>
            </w:r>
            <w:r>
              <w:rPr>
                <w:sz w:val="18"/>
                <w:lang w:val="fr-CH"/>
              </w:rPr>
              <w:t>où</w:t>
            </w:r>
            <w:r w:rsidRPr="00E06B4F">
              <w:rPr>
                <w:sz w:val="18"/>
                <w:lang w:val="fr-CH"/>
              </w:rPr>
              <w:t xml:space="preserve"> </w:t>
            </w:r>
            <w:r w:rsidRPr="00E06B4F">
              <w:rPr>
                <w:sz w:val="18"/>
                <w:lang w:val="fr-CH"/>
              </w:rPr>
              <w:br/>
            </w:r>
            <w:r w:rsidRPr="00E06B4F">
              <w:rPr>
                <w:i/>
                <w:iCs/>
                <w:sz w:val="18"/>
                <w:lang w:val="fr-CH"/>
              </w:rPr>
              <w:t>K</w:t>
            </w:r>
            <w:r w:rsidRPr="00E06B4F">
              <w:rPr>
                <w:sz w:val="18"/>
                <w:lang w:val="fr-CH"/>
              </w:rPr>
              <w:t xml:space="preserve"> = −7, …, +6 </w:t>
            </w:r>
            <w:r w:rsidRPr="00E06B4F">
              <w:rPr>
                <w:sz w:val="18"/>
                <w:lang w:val="fr-CH"/>
              </w:rPr>
              <w:br/>
            </w:r>
            <w:r w:rsidRPr="00E06B4F">
              <w:rPr>
                <w:rFonts w:eastAsia="MS PGothic"/>
                <w:sz w:val="18"/>
                <w:lang w:val="fr-CH"/>
              </w:rPr>
              <w:t>et</w:t>
            </w:r>
            <w:r w:rsidRPr="00E06B4F">
              <w:rPr>
                <w:sz w:val="18"/>
                <w:lang w:val="fr-CH"/>
              </w:rPr>
              <w:t> </w:t>
            </w:r>
            <w:r w:rsidRPr="00E06B4F">
              <w:rPr>
                <w:sz w:val="18"/>
                <w:lang w:val="fr-CH"/>
              </w:rPr>
              <w:br/>
              <w:t>1 602 + 0</w:t>
            </w:r>
            <w:r>
              <w:rPr>
                <w:sz w:val="18"/>
                <w:lang w:val="fr-CH"/>
              </w:rPr>
              <w:t>,</w:t>
            </w:r>
            <w:r w:rsidRPr="00E06B4F">
              <w:rPr>
                <w:sz w:val="18"/>
                <w:lang w:val="fr-CH"/>
              </w:rPr>
              <w:t>5625</w:t>
            </w:r>
            <w:r w:rsidRPr="00E06B4F">
              <w:rPr>
                <w:i/>
                <w:iCs/>
                <w:sz w:val="18"/>
                <w:lang w:val="fr-CH"/>
              </w:rPr>
              <w:t>N</w:t>
            </w:r>
            <w:r w:rsidRPr="00E06B4F">
              <w:rPr>
                <w:sz w:val="18"/>
                <w:lang w:val="fr-CH"/>
              </w:rPr>
              <w:t xml:space="preserve"> ± 0</w:t>
            </w:r>
            <w:r>
              <w:rPr>
                <w:sz w:val="18"/>
                <w:lang w:val="fr-CH"/>
              </w:rPr>
              <w:t>,</w:t>
            </w:r>
            <w:r w:rsidRPr="00E06B4F">
              <w:rPr>
                <w:sz w:val="18"/>
                <w:lang w:val="fr-CH"/>
              </w:rPr>
              <w:t xml:space="preserve">511, </w:t>
            </w:r>
            <w:r>
              <w:rPr>
                <w:sz w:val="18"/>
                <w:lang w:val="fr-CH"/>
              </w:rPr>
              <w:t>où</w:t>
            </w:r>
            <w:r w:rsidRPr="00E06B4F">
              <w:rPr>
                <w:sz w:val="18"/>
                <w:lang w:val="fr-CH"/>
              </w:rPr>
              <w:t xml:space="preserve"> </w:t>
            </w:r>
            <w:r w:rsidRPr="00E06B4F">
              <w:rPr>
                <w:sz w:val="18"/>
                <w:lang w:val="fr-CH"/>
              </w:rPr>
              <w:br/>
            </w:r>
            <w:r w:rsidRPr="00E06B4F">
              <w:rPr>
                <w:i/>
                <w:iCs/>
                <w:sz w:val="18"/>
                <w:lang w:val="fr-CH"/>
              </w:rPr>
              <w:t>N</w:t>
            </w:r>
            <w:r w:rsidRPr="00E06B4F">
              <w:rPr>
                <w:sz w:val="18"/>
                <w:lang w:val="fr-CH"/>
              </w:rPr>
              <w:t xml:space="preserve"> = +7, …, +12</w:t>
            </w:r>
          </w:p>
          <w:p w:rsidR="005D5DF0" w:rsidRPr="00F63FE2" w:rsidRDefault="005D5DF0" w:rsidP="00A715CF">
            <w:pPr>
              <w:pStyle w:val="Tabletext"/>
              <w:ind w:left="-57" w:right="-57"/>
              <w:jc w:val="center"/>
              <w:rPr>
                <w:rFonts w:eastAsia="MS PGothic"/>
                <w:sz w:val="18"/>
                <w:lang w:eastAsia="ja-JP"/>
              </w:rPr>
            </w:pPr>
            <w:r w:rsidRPr="00F63FE2">
              <w:rPr>
                <w:sz w:val="18"/>
                <w:lang w:eastAsia="ja-JP"/>
              </w:rPr>
              <w:t xml:space="preserve">(Note </w:t>
            </w:r>
            <w:r w:rsidRPr="00F63FE2">
              <w:rPr>
                <w:rFonts w:eastAsia="MS PGothic"/>
                <w:sz w:val="18"/>
                <w:lang w:eastAsia="ja-JP"/>
              </w:rPr>
              <w:t>12</w:t>
            </w:r>
            <w:r w:rsidRPr="00F63FE2">
              <w:rPr>
                <w:sz w:val="18"/>
                <w:lang w:eastAsia="ja-JP"/>
              </w:rPr>
              <w:t>)</w:t>
            </w:r>
          </w:p>
        </w:tc>
        <w:tc>
          <w:tcPr>
            <w:tcW w:w="113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highlight w:val="green"/>
              </w:rPr>
            </w:pPr>
            <w:r w:rsidRPr="00F63FE2">
              <w:rPr>
                <w:rFonts w:eastAsia="MS PGothic"/>
                <w:sz w:val="18"/>
              </w:rPr>
              <w:t>1 575</w:t>
            </w:r>
            <w:r>
              <w:rPr>
                <w:rFonts w:eastAsia="MS PGothic"/>
                <w:sz w:val="18"/>
              </w:rPr>
              <w:t>,</w:t>
            </w:r>
            <w:r w:rsidRPr="00F63FE2">
              <w:rPr>
                <w:rFonts w:eastAsia="MS PGothic"/>
                <w:sz w:val="18"/>
              </w:rPr>
              <w:t xml:space="preserve">42 </w:t>
            </w:r>
            <w:r w:rsidRPr="00F63FE2">
              <w:rPr>
                <w:rFonts w:eastAsia="MS PGothic"/>
                <w:sz w:val="18"/>
              </w:rPr>
              <w:sym w:font="Symbol" w:char="00B1"/>
            </w:r>
            <w:r w:rsidRPr="00F63FE2">
              <w:rPr>
                <w:rFonts w:eastAsia="MS PGothic"/>
                <w:sz w:val="18"/>
              </w:rPr>
              <w:t xml:space="preserve"> 15</w:t>
            </w:r>
            <w:r>
              <w:rPr>
                <w:rFonts w:eastAsia="MS PGothic"/>
                <w:sz w:val="18"/>
              </w:rPr>
              <w:t>,</w:t>
            </w:r>
            <w:r w:rsidRPr="00F63FE2">
              <w:rPr>
                <w:rFonts w:eastAsia="MS PGothic"/>
                <w:sz w:val="18"/>
              </w:rPr>
              <w:t>345</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E06B4F" w:rsidRDefault="005D5DF0" w:rsidP="00A715CF">
            <w:pPr>
              <w:pStyle w:val="Tabletext"/>
              <w:ind w:left="-57" w:right="-57"/>
              <w:jc w:val="center"/>
              <w:rPr>
                <w:sz w:val="18"/>
                <w:vertAlign w:val="superscript"/>
                <w:lang w:val="fr-CH" w:eastAsia="ja-JP"/>
              </w:rPr>
            </w:pPr>
            <w:r>
              <w:rPr>
                <w:sz w:val="18"/>
                <w:lang w:val="fr-CH"/>
              </w:rPr>
              <w:t>1 602 + 0,</w:t>
            </w:r>
            <w:r w:rsidRPr="00E06B4F">
              <w:rPr>
                <w:sz w:val="18"/>
                <w:lang w:val="fr-CH"/>
              </w:rPr>
              <w:t>5625</w:t>
            </w:r>
            <w:r w:rsidRPr="00E06B4F">
              <w:rPr>
                <w:i/>
                <w:iCs/>
                <w:sz w:val="18"/>
                <w:lang w:val="fr-CH"/>
              </w:rPr>
              <w:t>K</w:t>
            </w:r>
            <w:r>
              <w:rPr>
                <w:sz w:val="18"/>
                <w:lang w:val="fr-CH"/>
              </w:rPr>
              <w:t xml:space="preserve"> ± 5,</w:t>
            </w:r>
            <w:r w:rsidRPr="00E06B4F">
              <w:rPr>
                <w:sz w:val="18"/>
                <w:lang w:val="fr-CH"/>
              </w:rPr>
              <w:t>11, o</w:t>
            </w:r>
            <w:r>
              <w:rPr>
                <w:sz w:val="18"/>
                <w:lang w:val="fr-CH"/>
              </w:rPr>
              <w:t>ù</w:t>
            </w:r>
            <w:r w:rsidRPr="00E06B4F">
              <w:rPr>
                <w:sz w:val="18"/>
                <w:lang w:val="fr-CH"/>
              </w:rPr>
              <w:t xml:space="preserve"> </w:t>
            </w:r>
            <w:r w:rsidRPr="00E06B4F">
              <w:rPr>
                <w:sz w:val="18"/>
                <w:lang w:val="fr-CH"/>
              </w:rPr>
              <w:br/>
            </w:r>
            <w:r w:rsidRPr="00E06B4F">
              <w:rPr>
                <w:i/>
                <w:iCs/>
                <w:sz w:val="18"/>
                <w:lang w:val="fr-CH"/>
              </w:rPr>
              <w:t>K</w:t>
            </w:r>
            <w:r w:rsidRPr="00E06B4F">
              <w:rPr>
                <w:sz w:val="18"/>
                <w:lang w:val="fr-CH"/>
              </w:rPr>
              <w:t xml:space="preserve"> = −7, …, +6 </w:t>
            </w:r>
            <w:r w:rsidRPr="00E06B4F">
              <w:rPr>
                <w:sz w:val="18"/>
                <w:lang w:val="fr-CH"/>
              </w:rPr>
              <w:br/>
            </w:r>
            <w:r w:rsidRPr="00E06B4F">
              <w:rPr>
                <w:rFonts w:eastAsia="MS PGothic"/>
                <w:sz w:val="18"/>
                <w:lang w:val="fr-CH"/>
              </w:rPr>
              <w:t>et</w:t>
            </w:r>
            <w:r w:rsidRPr="00E06B4F">
              <w:rPr>
                <w:sz w:val="18"/>
                <w:lang w:val="fr-CH"/>
              </w:rPr>
              <w:br/>
              <w:t>1 602 + 0</w:t>
            </w:r>
            <w:r>
              <w:rPr>
                <w:sz w:val="18"/>
                <w:lang w:val="fr-CH"/>
              </w:rPr>
              <w:t>,</w:t>
            </w:r>
            <w:r w:rsidRPr="00E06B4F">
              <w:rPr>
                <w:sz w:val="18"/>
                <w:lang w:val="fr-CH"/>
              </w:rPr>
              <w:t>5625</w:t>
            </w:r>
            <w:r w:rsidRPr="00E06B4F">
              <w:rPr>
                <w:i/>
                <w:iCs/>
                <w:sz w:val="18"/>
                <w:lang w:val="fr-CH"/>
              </w:rPr>
              <w:t>N</w:t>
            </w:r>
            <w:r w:rsidRPr="00E06B4F">
              <w:rPr>
                <w:sz w:val="18"/>
                <w:lang w:val="fr-CH"/>
              </w:rPr>
              <w:t xml:space="preserve"> ± 0</w:t>
            </w:r>
            <w:r>
              <w:rPr>
                <w:sz w:val="18"/>
                <w:lang w:val="fr-CH"/>
              </w:rPr>
              <w:t>,</w:t>
            </w:r>
            <w:r w:rsidRPr="00E06B4F">
              <w:rPr>
                <w:sz w:val="18"/>
                <w:lang w:val="fr-CH"/>
              </w:rPr>
              <w:t xml:space="preserve">511, </w:t>
            </w:r>
            <w:r>
              <w:rPr>
                <w:sz w:val="18"/>
                <w:lang w:val="fr-CH"/>
              </w:rPr>
              <w:t>où</w:t>
            </w:r>
            <w:r w:rsidRPr="00E06B4F">
              <w:rPr>
                <w:sz w:val="18"/>
                <w:lang w:val="fr-CH"/>
              </w:rPr>
              <w:t xml:space="preserve"> </w:t>
            </w:r>
            <w:r w:rsidRPr="00E06B4F">
              <w:rPr>
                <w:sz w:val="18"/>
                <w:lang w:val="fr-CH"/>
              </w:rPr>
              <w:br/>
            </w:r>
            <w:r w:rsidRPr="00E06B4F">
              <w:rPr>
                <w:i/>
                <w:iCs/>
                <w:sz w:val="18"/>
                <w:lang w:val="fr-CH"/>
              </w:rPr>
              <w:t>N</w:t>
            </w:r>
            <w:r w:rsidRPr="00E06B4F">
              <w:rPr>
                <w:sz w:val="18"/>
                <w:lang w:val="fr-CH"/>
              </w:rPr>
              <w:t> = −12, …, −8</w:t>
            </w:r>
          </w:p>
          <w:p w:rsidR="005D5DF0" w:rsidRPr="00F63FE2" w:rsidRDefault="005D5DF0" w:rsidP="00A715CF">
            <w:pPr>
              <w:pStyle w:val="Tabletext"/>
              <w:ind w:left="-57" w:right="-57"/>
              <w:jc w:val="center"/>
              <w:rPr>
                <w:rFonts w:eastAsia="MS PGothic"/>
                <w:sz w:val="18"/>
                <w:lang w:eastAsia="ja-JP"/>
              </w:rPr>
            </w:pPr>
            <w:r w:rsidRPr="00F63FE2">
              <w:rPr>
                <w:sz w:val="18"/>
                <w:lang w:eastAsia="ja-JP"/>
              </w:rPr>
              <w:t>(Note 1</w:t>
            </w:r>
            <w:r w:rsidRPr="00F63FE2">
              <w:rPr>
                <w:rFonts w:eastAsia="MS PGothic"/>
                <w:sz w:val="18"/>
                <w:lang w:eastAsia="ja-JP"/>
              </w:rPr>
              <w:t>5</w:t>
            </w:r>
            <w:r w:rsidRPr="00F63FE2">
              <w:rPr>
                <w:sz w:val="18"/>
                <w:lang w:eastAsia="ja-JP"/>
              </w:rPr>
              <w:t>)</w:t>
            </w:r>
          </w:p>
        </w:tc>
        <w:tc>
          <w:tcPr>
            <w:tcW w:w="994"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Pr>
                <w:rFonts w:eastAsia="MS PGothic"/>
                <w:sz w:val="18"/>
              </w:rPr>
              <w:t>1 575,</w:t>
            </w:r>
            <w:r w:rsidRPr="00F63FE2">
              <w:rPr>
                <w:rFonts w:eastAsia="MS PGothic"/>
                <w:sz w:val="18"/>
              </w:rPr>
              <w:t xml:space="preserve">42 </w:t>
            </w:r>
            <w:r w:rsidRPr="00F63FE2">
              <w:rPr>
                <w:rFonts w:eastAsia="MS PGothic"/>
                <w:sz w:val="18"/>
              </w:rPr>
              <w:sym w:font="Symbol" w:char="00B1"/>
            </w:r>
            <w:r w:rsidRPr="00F63FE2">
              <w:rPr>
                <w:rFonts w:eastAsia="MS PGothic"/>
                <w:sz w:val="18"/>
              </w:rPr>
              <w:t xml:space="preserve"> 15</w:t>
            </w:r>
            <w:r>
              <w:rPr>
                <w:rFonts w:eastAsia="MS PGothic"/>
                <w:sz w:val="18"/>
              </w:rPr>
              <w:t>,</w:t>
            </w:r>
            <w:r w:rsidRPr="00F63FE2">
              <w:rPr>
                <w:rFonts w:eastAsia="MS PGothic"/>
                <w:sz w:val="18"/>
              </w:rPr>
              <w:t>345</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sz w:val="18"/>
                <w:vertAlign w:val="superscript"/>
                <w:lang w:eastAsia="ja-JP"/>
              </w:rPr>
            </w:pPr>
            <w:r w:rsidRPr="00F63FE2">
              <w:rPr>
                <w:sz w:val="18"/>
              </w:rPr>
              <w:t>1 602 + 0</w:t>
            </w:r>
            <w:r>
              <w:rPr>
                <w:sz w:val="18"/>
              </w:rPr>
              <w:t>,</w:t>
            </w:r>
            <w:r w:rsidRPr="00F63FE2">
              <w:rPr>
                <w:sz w:val="18"/>
              </w:rPr>
              <w:t>5625</w:t>
            </w:r>
            <w:r w:rsidRPr="000612A8">
              <w:rPr>
                <w:i/>
                <w:iCs/>
                <w:sz w:val="18"/>
              </w:rPr>
              <w:t>K</w:t>
            </w:r>
            <w:r w:rsidRPr="00F63FE2">
              <w:rPr>
                <w:sz w:val="18"/>
              </w:rPr>
              <w:t xml:space="preserve"> ± 5</w:t>
            </w:r>
            <w:r>
              <w:rPr>
                <w:sz w:val="18"/>
              </w:rPr>
              <w:t>,</w:t>
            </w:r>
            <w:r w:rsidRPr="00F63FE2">
              <w:rPr>
                <w:sz w:val="18"/>
              </w:rPr>
              <w:t xml:space="preserve">11, </w:t>
            </w:r>
            <w:r>
              <w:rPr>
                <w:sz w:val="18"/>
              </w:rPr>
              <w:t>o</w:t>
            </w:r>
            <w:r>
              <w:rPr>
                <w:sz w:val="18"/>
                <w:lang w:val="fr-CH"/>
              </w:rPr>
              <w:t>ù</w:t>
            </w:r>
            <w:r w:rsidRPr="00F63FE2">
              <w:rPr>
                <w:sz w:val="18"/>
              </w:rPr>
              <w:t xml:space="preserve"> </w:t>
            </w:r>
            <w:r w:rsidRPr="00F63FE2">
              <w:rPr>
                <w:sz w:val="18"/>
              </w:rPr>
              <w:br/>
            </w:r>
            <w:r w:rsidRPr="000612A8">
              <w:rPr>
                <w:i/>
                <w:iCs/>
                <w:sz w:val="18"/>
              </w:rPr>
              <w:t>K</w:t>
            </w:r>
            <w:r w:rsidRPr="00F63FE2">
              <w:rPr>
                <w:sz w:val="18"/>
              </w:rPr>
              <w:t> = −7, …, +6</w:t>
            </w:r>
          </w:p>
          <w:p w:rsidR="005D5DF0" w:rsidRPr="00F63FE2" w:rsidRDefault="005D5DF0" w:rsidP="00A715CF">
            <w:pPr>
              <w:pStyle w:val="Tabletext"/>
              <w:ind w:left="-57" w:right="-57"/>
              <w:jc w:val="center"/>
              <w:rPr>
                <w:rFonts w:eastAsia="MS PGothic"/>
                <w:sz w:val="18"/>
                <w:lang w:eastAsia="ja-JP"/>
              </w:rPr>
            </w:pPr>
            <w:r w:rsidRPr="00F63FE2">
              <w:rPr>
                <w:sz w:val="18"/>
                <w:lang w:eastAsia="ja-JP"/>
              </w:rPr>
              <w:t>(Note 1</w:t>
            </w:r>
            <w:r w:rsidRPr="00F63FE2">
              <w:rPr>
                <w:rFonts w:eastAsia="MS PGothic"/>
                <w:sz w:val="18"/>
                <w:lang w:eastAsia="ja-JP"/>
              </w:rPr>
              <w:t>7</w:t>
            </w:r>
            <w:r w:rsidRPr="00F63FE2">
              <w:rPr>
                <w:sz w:val="18"/>
                <w:lang w:eastAsia="ja-JP"/>
              </w:rPr>
              <w:t>)</w:t>
            </w:r>
          </w:p>
        </w:tc>
        <w:tc>
          <w:tcPr>
            <w:tcW w:w="940"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1 575</w:t>
            </w:r>
            <w:r>
              <w:rPr>
                <w:rFonts w:eastAsia="MS PGothic"/>
                <w:sz w:val="18"/>
              </w:rPr>
              <w:t>,</w:t>
            </w:r>
            <w:r w:rsidRPr="00F63FE2">
              <w:rPr>
                <w:rFonts w:eastAsia="MS PGothic"/>
                <w:sz w:val="18"/>
              </w:rPr>
              <w:t xml:space="preserve">42 </w:t>
            </w:r>
            <w:r w:rsidRPr="00F63FE2">
              <w:rPr>
                <w:rFonts w:eastAsia="MS PGothic"/>
                <w:sz w:val="18"/>
              </w:rPr>
              <w:sym w:font="Symbol" w:char="00B1"/>
            </w:r>
            <w:r w:rsidRPr="00F63FE2">
              <w:rPr>
                <w:rFonts w:eastAsia="MS PGothic"/>
                <w:sz w:val="18"/>
              </w:rPr>
              <w:t xml:space="preserve"> 15</w:t>
            </w:r>
            <w:r>
              <w:rPr>
                <w:rFonts w:eastAsia="MS PGothic"/>
                <w:sz w:val="18"/>
              </w:rPr>
              <w:t>,</w:t>
            </w:r>
            <w:r w:rsidRPr="00F63FE2">
              <w:rPr>
                <w:rFonts w:eastAsia="MS PGothic"/>
                <w:sz w:val="18"/>
              </w:rPr>
              <w:t>345</w:t>
            </w:r>
          </w:p>
        </w:tc>
        <w:tc>
          <w:tcPr>
            <w:tcW w:w="363" w:type="dxa"/>
            <w:tcBorders>
              <w:top w:val="single" w:sz="4" w:space="0" w:color="auto"/>
              <w:left w:val="single" w:sz="4" w:space="0" w:color="auto"/>
              <w:bottom w:val="single" w:sz="4" w:space="0" w:color="auto"/>
              <w:right w:val="single" w:sz="4" w:space="0" w:color="auto"/>
            </w:tcBorders>
            <w:textDirection w:val="btLr"/>
            <w:vAlign w:val="center"/>
          </w:tcPr>
          <w:p w:rsidR="005D5DF0" w:rsidRPr="00F63FE2" w:rsidRDefault="005D5DF0" w:rsidP="00A715CF">
            <w:pPr>
              <w:pStyle w:val="Tabletext"/>
              <w:jc w:val="center"/>
              <w:rPr>
                <w:sz w:val="18"/>
                <w:lang w:eastAsia="ja-JP"/>
              </w:rPr>
            </w:pPr>
            <w:r w:rsidRPr="00F63FE2">
              <w:rPr>
                <w:sz w:val="18"/>
                <w:lang w:eastAsia="ja-JP"/>
              </w:rPr>
              <w:t>1 575</w:t>
            </w:r>
            <w:r>
              <w:rPr>
                <w:sz w:val="18"/>
                <w:lang w:eastAsia="ja-JP"/>
              </w:rPr>
              <w:t>,</w:t>
            </w:r>
            <w:r w:rsidRPr="00F63FE2">
              <w:rPr>
                <w:sz w:val="18"/>
                <w:lang w:eastAsia="ja-JP"/>
              </w:rPr>
              <w:t>42 ± 12</w:t>
            </w:r>
          </w:p>
        </w:tc>
        <w:tc>
          <w:tcPr>
            <w:tcW w:w="720" w:type="dxa"/>
            <w:gridSpan w:val="2"/>
            <w:tcBorders>
              <w:top w:val="single" w:sz="4" w:space="0" w:color="auto"/>
              <w:left w:val="single" w:sz="4" w:space="0" w:color="auto"/>
              <w:bottom w:val="single" w:sz="4" w:space="0" w:color="auto"/>
              <w:right w:val="single" w:sz="4" w:space="0" w:color="auto"/>
            </w:tcBorders>
            <w:textDirection w:val="btLr"/>
            <w:vAlign w:val="center"/>
          </w:tcPr>
          <w:p w:rsidR="005D5DF0" w:rsidRPr="00F63FE2" w:rsidRDefault="005D5DF0" w:rsidP="00A715CF">
            <w:pPr>
              <w:pStyle w:val="Tabletext"/>
              <w:jc w:val="center"/>
              <w:rPr>
                <w:sz w:val="18"/>
                <w:lang w:eastAsia="ja-JP"/>
              </w:rPr>
            </w:pPr>
            <w:r w:rsidRPr="00F63FE2">
              <w:rPr>
                <w:sz w:val="18"/>
              </w:rPr>
              <w:t>1 602 + 0</w:t>
            </w:r>
            <w:r>
              <w:rPr>
                <w:sz w:val="18"/>
              </w:rPr>
              <w:t>,</w:t>
            </w:r>
            <w:r w:rsidRPr="00F63FE2">
              <w:rPr>
                <w:sz w:val="18"/>
              </w:rPr>
              <w:t>5625</w:t>
            </w:r>
            <w:r w:rsidRPr="000612A8">
              <w:rPr>
                <w:i/>
                <w:iCs/>
                <w:sz w:val="18"/>
              </w:rPr>
              <w:t>K</w:t>
            </w:r>
            <w:r w:rsidRPr="00F63FE2">
              <w:rPr>
                <w:sz w:val="18"/>
              </w:rPr>
              <w:t xml:space="preserve"> </w:t>
            </w:r>
            <w:r w:rsidRPr="00F63FE2">
              <w:rPr>
                <w:sz w:val="18"/>
              </w:rPr>
              <w:br/>
              <w:t>± 5</w:t>
            </w:r>
            <w:r>
              <w:rPr>
                <w:sz w:val="18"/>
              </w:rPr>
              <w:t>,</w:t>
            </w:r>
            <w:r w:rsidRPr="00F63FE2">
              <w:rPr>
                <w:sz w:val="18"/>
              </w:rPr>
              <w:t xml:space="preserve">11, </w:t>
            </w:r>
            <w:r>
              <w:rPr>
                <w:sz w:val="18"/>
              </w:rPr>
              <w:t>où</w:t>
            </w:r>
            <w:r w:rsidRPr="00F63FE2">
              <w:rPr>
                <w:sz w:val="18"/>
              </w:rPr>
              <w:t xml:space="preserve"> </w:t>
            </w:r>
            <w:r w:rsidRPr="00F63FE2">
              <w:rPr>
                <w:sz w:val="18"/>
              </w:rPr>
              <w:br/>
            </w:r>
            <w:r w:rsidRPr="000612A8">
              <w:rPr>
                <w:i/>
                <w:iCs/>
                <w:sz w:val="18"/>
              </w:rPr>
              <w:t>K</w:t>
            </w:r>
            <w:r w:rsidRPr="00F63FE2">
              <w:rPr>
                <w:sz w:val="18"/>
              </w:rPr>
              <w:t> = −7, …, +6</w:t>
            </w:r>
          </w:p>
        </w:tc>
        <w:tc>
          <w:tcPr>
            <w:tcW w:w="920"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sz w:val="18"/>
                <w:lang w:val="en-US" w:eastAsia="ja-JP"/>
              </w:rPr>
            </w:pPr>
            <w:r w:rsidRPr="00F63FE2">
              <w:rPr>
                <w:sz w:val="18"/>
                <w:lang w:val="en-US" w:eastAsia="ja-JP"/>
              </w:rPr>
              <w:t>1 561</w:t>
            </w:r>
            <w:r>
              <w:rPr>
                <w:sz w:val="18"/>
                <w:lang w:val="en-US" w:eastAsia="ja-JP"/>
              </w:rPr>
              <w:t>,</w:t>
            </w:r>
            <w:r w:rsidRPr="00F63FE2">
              <w:rPr>
                <w:sz w:val="18"/>
                <w:lang w:val="en-US" w:eastAsia="ja-JP"/>
              </w:rPr>
              <w:t>098</w:t>
            </w:r>
            <w:r>
              <w:rPr>
                <w:sz w:val="18"/>
                <w:lang w:val="en-US" w:eastAsia="ja-JP"/>
              </w:rPr>
              <w:br/>
            </w:r>
            <w:r w:rsidRPr="00F63FE2">
              <w:rPr>
                <w:sz w:val="18"/>
                <w:lang w:val="en-US" w:eastAsia="ja-JP"/>
              </w:rPr>
              <w:t>± 2</w:t>
            </w:r>
            <w:r>
              <w:rPr>
                <w:sz w:val="18"/>
                <w:lang w:val="en-US" w:eastAsia="ja-JP"/>
              </w:rPr>
              <w:t>,</w:t>
            </w:r>
            <w:r w:rsidRPr="00F63FE2">
              <w:rPr>
                <w:sz w:val="18"/>
                <w:lang w:val="en-US" w:eastAsia="ja-JP"/>
              </w:rPr>
              <w:t>046</w:t>
            </w:r>
            <w:r w:rsidRPr="00F63FE2">
              <w:rPr>
                <w:sz w:val="18"/>
                <w:lang w:val="en-US" w:eastAsia="ja-JP"/>
              </w:rPr>
              <w:br/>
              <w:t>1 589</w:t>
            </w:r>
            <w:r>
              <w:rPr>
                <w:sz w:val="18"/>
                <w:lang w:val="en-US" w:eastAsia="ja-JP"/>
              </w:rPr>
              <w:t>,</w:t>
            </w:r>
            <w:r w:rsidRPr="00F63FE2">
              <w:rPr>
                <w:sz w:val="18"/>
                <w:lang w:val="en-US" w:eastAsia="ja-JP"/>
              </w:rPr>
              <w:t>742</w:t>
            </w:r>
            <w:r>
              <w:rPr>
                <w:sz w:val="18"/>
                <w:lang w:val="en-US" w:eastAsia="ja-JP"/>
              </w:rPr>
              <w:br/>
            </w:r>
            <w:r w:rsidRPr="00F63FE2">
              <w:rPr>
                <w:sz w:val="18"/>
                <w:lang w:val="en-US" w:eastAsia="ja-JP"/>
              </w:rPr>
              <w:t>± 2</w:t>
            </w:r>
            <w:r>
              <w:rPr>
                <w:sz w:val="18"/>
                <w:lang w:val="en-US" w:eastAsia="ja-JP"/>
              </w:rPr>
              <w:t>,</w:t>
            </w:r>
            <w:r w:rsidRPr="00F63FE2">
              <w:rPr>
                <w:sz w:val="18"/>
                <w:lang w:val="en-US" w:eastAsia="ja-JP"/>
              </w:rPr>
              <w:t>046</w:t>
            </w:r>
          </w:p>
        </w:tc>
        <w:tc>
          <w:tcPr>
            <w:tcW w:w="443" w:type="dxa"/>
            <w:tcBorders>
              <w:top w:val="single" w:sz="4" w:space="0" w:color="auto"/>
              <w:left w:val="single" w:sz="4" w:space="0" w:color="auto"/>
              <w:bottom w:val="single" w:sz="4" w:space="0" w:color="auto"/>
              <w:right w:val="single" w:sz="4" w:space="0" w:color="auto"/>
            </w:tcBorders>
            <w:textDirection w:val="btLr"/>
            <w:vAlign w:val="center"/>
          </w:tcPr>
          <w:p w:rsidR="005D5DF0" w:rsidRPr="00F63FE2" w:rsidRDefault="005D5DF0" w:rsidP="00A715CF">
            <w:pPr>
              <w:pStyle w:val="Tabletext"/>
              <w:jc w:val="center"/>
              <w:rPr>
                <w:sz w:val="18"/>
                <w:lang w:val="en-US" w:eastAsia="ja-JP"/>
              </w:rPr>
            </w:pPr>
            <w:r w:rsidRPr="00F63FE2">
              <w:rPr>
                <w:sz w:val="18"/>
                <w:lang w:val="en-US" w:eastAsia="ja-JP"/>
              </w:rPr>
              <w:t>1 575</w:t>
            </w:r>
            <w:r>
              <w:rPr>
                <w:sz w:val="18"/>
                <w:lang w:val="en-US" w:eastAsia="ja-JP"/>
              </w:rPr>
              <w:t>,</w:t>
            </w:r>
            <w:r w:rsidRPr="00F63FE2">
              <w:rPr>
                <w:sz w:val="18"/>
                <w:lang w:val="en-US" w:eastAsia="ja-JP"/>
              </w:rPr>
              <w:t>42 ± 12</w:t>
            </w:r>
          </w:p>
        </w:tc>
        <w:tc>
          <w:tcPr>
            <w:tcW w:w="753" w:type="dxa"/>
            <w:gridSpan w:val="2"/>
            <w:tcBorders>
              <w:top w:val="single" w:sz="4" w:space="0" w:color="auto"/>
              <w:left w:val="single" w:sz="4" w:space="0" w:color="auto"/>
              <w:bottom w:val="single" w:sz="4" w:space="0" w:color="auto"/>
              <w:right w:val="single" w:sz="4" w:space="0" w:color="auto"/>
            </w:tcBorders>
            <w:textDirection w:val="btLr"/>
            <w:vAlign w:val="center"/>
          </w:tcPr>
          <w:p w:rsidR="005D5DF0" w:rsidRPr="00F63FE2" w:rsidRDefault="005D5DF0" w:rsidP="00A715CF">
            <w:pPr>
              <w:pStyle w:val="Tabletext"/>
              <w:jc w:val="center"/>
              <w:rPr>
                <w:sz w:val="18"/>
                <w:lang w:val="en-US" w:eastAsia="ja-JP"/>
              </w:rPr>
            </w:pPr>
            <w:r w:rsidRPr="00F63FE2">
              <w:rPr>
                <w:sz w:val="18"/>
                <w:lang w:val="en-US"/>
              </w:rPr>
              <w:t>1 602 + 0.5625</w:t>
            </w:r>
            <w:r w:rsidRPr="000612A8">
              <w:rPr>
                <w:i/>
                <w:iCs/>
                <w:sz w:val="18"/>
                <w:lang w:val="en-US"/>
              </w:rPr>
              <w:t>K</w:t>
            </w:r>
            <w:r w:rsidRPr="00F63FE2">
              <w:rPr>
                <w:sz w:val="18"/>
                <w:lang w:val="en-US"/>
              </w:rPr>
              <w:t xml:space="preserve"> </w:t>
            </w:r>
            <w:r w:rsidRPr="00F63FE2">
              <w:rPr>
                <w:sz w:val="18"/>
                <w:lang w:val="en-US"/>
              </w:rPr>
              <w:br/>
              <w:t xml:space="preserve">± 5.11, </w:t>
            </w:r>
            <w:r>
              <w:rPr>
                <w:sz w:val="18"/>
              </w:rPr>
              <w:t>où</w:t>
            </w:r>
            <w:r w:rsidRPr="00F63FE2">
              <w:rPr>
                <w:sz w:val="18"/>
                <w:lang w:val="en-US"/>
              </w:rPr>
              <w:t xml:space="preserve"> </w:t>
            </w:r>
            <w:r w:rsidRPr="00F63FE2">
              <w:rPr>
                <w:sz w:val="18"/>
                <w:lang w:val="en-US"/>
              </w:rPr>
              <w:br/>
            </w:r>
            <w:r w:rsidRPr="000612A8">
              <w:rPr>
                <w:i/>
                <w:iCs/>
                <w:sz w:val="18"/>
                <w:lang w:val="en-US"/>
              </w:rPr>
              <w:t>K</w:t>
            </w:r>
            <w:r w:rsidRPr="00F63FE2">
              <w:rPr>
                <w:sz w:val="18"/>
                <w:lang w:val="en-US"/>
              </w:rPr>
              <w:t> = –7, …, +6</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rsidR="005D5DF0" w:rsidRPr="00F63FE2" w:rsidRDefault="005D5DF0" w:rsidP="00A715CF">
            <w:pPr>
              <w:pStyle w:val="Tabletext"/>
              <w:jc w:val="center"/>
              <w:rPr>
                <w:rFonts w:eastAsia="MS PGothic"/>
                <w:sz w:val="18"/>
                <w:lang w:val="en-US"/>
              </w:rPr>
            </w:pPr>
            <w:r w:rsidRPr="00F63FE2">
              <w:rPr>
                <w:sz w:val="18"/>
                <w:lang w:val="en-US" w:eastAsia="ja-JP"/>
              </w:rPr>
              <w:t xml:space="preserve">1 575.42 ± </w:t>
            </w:r>
            <w:r w:rsidRPr="00F63FE2">
              <w:rPr>
                <w:rFonts w:eastAsia="MS PGothic"/>
                <w:sz w:val="18"/>
                <w:lang w:val="en-US"/>
              </w:rPr>
              <w:t>15.345</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rsidR="005D5DF0" w:rsidRPr="00F63FE2" w:rsidRDefault="005D5DF0" w:rsidP="00A715CF">
            <w:pPr>
              <w:pStyle w:val="Tabletext"/>
              <w:jc w:val="center"/>
              <w:rPr>
                <w:rFonts w:eastAsia="MS PGothic"/>
                <w:sz w:val="18"/>
                <w:lang w:val="en-US"/>
              </w:rPr>
            </w:pPr>
            <w:r w:rsidRPr="00F63FE2">
              <w:rPr>
                <w:sz w:val="18"/>
                <w:lang w:val="en-US"/>
              </w:rPr>
              <w:t>1 602 +0.5625</w:t>
            </w:r>
            <w:r w:rsidRPr="000612A8">
              <w:rPr>
                <w:i/>
                <w:iCs/>
                <w:sz w:val="18"/>
                <w:lang w:val="en-US"/>
              </w:rPr>
              <w:t>K</w:t>
            </w:r>
            <w:r w:rsidRPr="00F63FE2">
              <w:rPr>
                <w:sz w:val="18"/>
                <w:lang w:val="en-US"/>
              </w:rPr>
              <w:br/>
              <w:t xml:space="preserve">± 5.11, </w:t>
            </w:r>
            <w:r>
              <w:rPr>
                <w:sz w:val="18"/>
              </w:rPr>
              <w:t>où</w:t>
            </w:r>
            <w:r w:rsidRPr="00F63FE2">
              <w:rPr>
                <w:sz w:val="18"/>
                <w:lang w:val="en-US"/>
              </w:rPr>
              <w:br/>
            </w:r>
            <w:r w:rsidRPr="000612A8">
              <w:rPr>
                <w:i/>
                <w:iCs/>
                <w:sz w:val="18"/>
                <w:lang w:val="en-US"/>
              </w:rPr>
              <w:t>K</w:t>
            </w:r>
            <w:r w:rsidRPr="00F63FE2">
              <w:rPr>
                <w:sz w:val="18"/>
                <w:lang w:val="en-US"/>
              </w:rPr>
              <w:t> = –7, …, +6</w:t>
            </w:r>
          </w:p>
        </w:tc>
      </w:tr>
      <w:tr w:rsidR="005D5DF0" w:rsidRPr="00F63FE2" w:rsidTr="00A715CF">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5D5DF0" w:rsidRPr="00804AC5" w:rsidRDefault="005D5DF0" w:rsidP="00C960E8">
            <w:pPr>
              <w:pStyle w:val="Tabletext"/>
              <w:jc w:val="left"/>
              <w:rPr>
                <w:rFonts w:eastAsia="MS PGothic"/>
                <w:sz w:val="18"/>
                <w:lang w:val="fr-CH"/>
              </w:rPr>
            </w:pPr>
            <w:r w:rsidRPr="00804AC5">
              <w:rPr>
                <w:rFonts w:eastAsia="MS PGothic"/>
                <w:sz w:val="18"/>
                <w:lang w:val="fr-CH"/>
              </w:rPr>
              <w:t>Gain maximal de l'antenne du récepteur dans l'hémisphère supérieur (dBi)</w:t>
            </w:r>
          </w:p>
        </w:tc>
        <w:tc>
          <w:tcPr>
            <w:tcW w:w="112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highlight w:val="green"/>
                <w:lang w:eastAsia="ja-JP"/>
              </w:rPr>
            </w:pPr>
            <w:r w:rsidRPr="00F63FE2">
              <w:rPr>
                <w:rFonts w:eastAsia="MS PGothic"/>
                <w:sz w:val="18"/>
              </w:rPr>
              <w:t>+3</w:t>
            </w:r>
            <w:r>
              <w:rPr>
                <w:rFonts w:eastAsia="MS PGothic"/>
                <w:sz w:val="18"/>
              </w:rPr>
              <w:t>,</w:t>
            </w:r>
            <w:r w:rsidRPr="00F63FE2">
              <w:rPr>
                <w:rFonts w:eastAsia="MS PGothic"/>
                <w:sz w:val="18"/>
              </w:rPr>
              <w:t>0</w:t>
            </w:r>
            <w:r w:rsidRPr="00F63FE2">
              <w:rPr>
                <w:rFonts w:eastAsia="MS PGothic"/>
                <w:sz w:val="18"/>
                <w:vertAlign w:val="superscript"/>
              </w:rPr>
              <w:br/>
            </w:r>
            <w:r w:rsidRPr="00F63FE2">
              <w:rPr>
                <w:rFonts w:eastAsia="MS PGothic"/>
                <w:sz w:val="18"/>
              </w:rPr>
              <w:t>(circula</w:t>
            </w:r>
            <w:r>
              <w:rPr>
                <w:rFonts w:eastAsia="MS PGothic"/>
                <w:sz w:val="18"/>
              </w:rPr>
              <w:t>i</w:t>
            </w:r>
            <w:r w:rsidRPr="00F63FE2">
              <w:rPr>
                <w:rFonts w:eastAsia="MS PGothic"/>
                <w:sz w:val="18"/>
              </w:rPr>
              <w:t>r</w:t>
            </w:r>
            <w:r>
              <w:rPr>
                <w:rFonts w:eastAsia="MS PGothic"/>
                <w:sz w:val="18"/>
              </w:rPr>
              <w:t>e</w:t>
            </w:r>
            <w:r w:rsidRPr="00F63FE2">
              <w:rPr>
                <w:rFonts w:eastAsia="MS PGothic"/>
                <w:sz w:val="18"/>
              </w:rPr>
              <w:t>)</w:t>
            </w:r>
            <w:r w:rsidRPr="00F63FE2">
              <w:rPr>
                <w:rFonts w:eastAsia="MS PGothic"/>
                <w:sz w:val="18"/>
              </w:rPr>
              <w:br/>
            </w:r>
            <w:r w:rsidRPr="00F63FE2">
              <w:rPr>
                <w:rFonts w:eastAsia="MS PGothic"/>
                <w:sz w:val="18"/>
                <w:lang w:eastAsia="ja-JP"/>
              </w:rPr>
              <w:t>(</w:t>
            </w:r>
            <w:r w:rsidRPr="00F63FE2">
              <w:rPr>
                <w:rFonts w:eastAsia="MS PGothic"/>
                <w:sz w:val="18"/>
              </w:rPr>
              <w:t xml:space="preserve">Note </w:t>
            </w:r>
            <w:r w:rsidRPr="00F63FE2">
              <w:rPr>
                <w:sz w:val="18"/>
              </w:rPr>
              <w:t>5</w:t>
            </w:r>
            <w:r w:rsidRPr="00F63FE2">
              <w:rPr>
                <w:rFonts w:eastAsia="MS PGothic"/>
                <w:sz w:val="18"/>
                <w:lang w:eastAsia="ja-JP"/>
              </w:rPr>
              <w:t>)</w:t>
            </w:r>
          </w:p>
        </w:tc>
        <w:tc>
          <w:tcPr>
            <w:tcW w:w="1361"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eastAsia="ja-JP"/>
              </w:rPr>
            </w:pPr>
            <w:r w:rsidRPr="00F63FE2">
              <w:rPr>
                <w:sz w:val="18"/>
              </w:rPr>
              <w:t>+7</w:t>
            </w:r>
            <w:r w:rsidRPr="00F63FE2">
              <w:rPr>
                <w:sz w:val="18"/>
                <w:vertAlign w:val="superscript"/>
              </w:rPr>
              <w:br/>
            </w:r>
            <w:r w:rsidRPr="00F63FE2">
              <w:rPr>
                <w:sz w:val="18"/>
                <w:lang w:eastAsia="ja-JP"/>
              </w:rPr>
              <w:t>(Note 1</w:t>
            </w:r>
            <w:r w:rsidRPr="00F63FE2">
              <w:rPr>
                <w:rFonts w:eastAsia="MS PGothic"/>
                <w:sz w:val="18"/>
                <w:lang w:eastAsia="ja-JP"/>
              </w:rPr>
              <w:t>3</w:t>
            </w:r>
            <w:r w:rsidRPr="00F63FE2">
              <w:rPr>
                <w:sz w:val="18"/>
                <w:lang w:eastAsia="ja-JP"/>
              </w:rPr>
              <w:t>)</w:t>
            </w:r>
            <w:r w:rsidRPr="00F63FE2">
              <w:rPr>
                <w:sz w:val="18"/>
                <w:lang w:eastAsia="ja-JP"/>
              </w:rPr>
              <w:br/>
            </w:r>
          </w:p>
        </w:tc>
        <w:tc>
          <w:tcPr>
            <w:tcW w:w="113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highlight w:val="green"/>
                <w:lang w:eastAsia="ja-JP"/>
              </w:rPr>
            </w:pPr>
            <w:r w:rsidRPr="00F63FE2">
              <w:rPr>
                <w:rFonts w:eastAsia="MS PGothic"/>
                <w:sz w:val="18"/>
              </w:rPr>
              <w:t>+3</w:t>
            </w:r>
            <w:r>
              <w:rPr>
                <w:rFonts w:eastAsia="MS PGothic"/>
                <w:sz w:val="18"/>
              </w:rPr>
              <w:t>,</w:t>
            </w:r>
            <w:r w:rsidRPr="00F63FE2">
              <w:rPr>
                <w:rFonts w:eastAsia="MS PGothic"/>
                <w:sz w:val="18"/>
              </w:rPr>
              <w:t>0</w:t>
            </w:r>
            <w:r w:rsidRPr="00F63FE2">
              <w:rPr>
                <w:rFonts w:eastAsia="MS PGothic"/>
                <w:sz w:val="18"/>
                <w:vertAlign w:val="superscript"/>
              </w:rPr>
              <w:br/>
            </w:r>
            <w:r w:rsidRPr="00F63FE2">
              <w:rPr>
                <w:rFonts w:eastAsia="MS PGothic"/>
                <w:sz w:val="18"/>
              </w:rPr>
              <w:t>(circula</w:t>
            </w:r>
            <w:r>
              <w:rPr>
                <w:rFonts w:eastAsia="MS PGothic"/>
                <w:sz w:val="18"/>
              </w:rPr>
              <w:t>i</w:t>
            </w:r>
            <w:r w:rsidRPr="00F63FE2">
              <w:rPr>
                <w:rFonts w:eastAsia="MS PGothic"/>
                <w:sz w:val="18"/>
              </w:rPr>
              <w:t>r</w:t>
            </w:r>
            <w:r>
              <w:rPr>
                <w:rFonts w:eastAsia="MS PGothic"/>
                <w:sz w:val="18"/>
              </w:rPr>
              <w:t>e</w:t>
            </w:r>
            <w:r w:rsidRPr="00F63FE2">
              <w:rPr>
                <w:rFonts w:eastAsia="MS PGothic"/>
                <w:sz w:val="18"/>
              </w:rPr>
              <w:t>)</w:t>
            </w:r>
            <w:r w:rsidRPr="00F63FE2">
              <w:rPr>
                <w:rFonts w:eastAsia="MS PGothic"/>
                <w:sz w:val="18"/>
              </w:rPr>
              <w:br/>
            </w:r>
            <w:r w:rsidRPr="00F63FE2">
              <w:rPr>
                <w:rFonts w:eastAsia="MS PGothic"/>
                <w:sz w:val="18"/>
                <w:lang w:eastAsia="ja-JP"/>
              </w:rPr>
              <w:t>(</w:t>
            </w:r>
            <w:r w:rsidRPr="00F63FE2">
              <w:rPr>
                <w:rFonts w:eastAsia="MS PGothic"/>
                <w:sz w:val="18"/>
              </w:rPr>
              <w:t xml:space="preserve">Note </w:t>
            </w:r>
            <w:r w:rsidRPr="00F63FE2">
              <w:rPr>
                <w:sz w:val="18"/>
              </w:rPr>
              <w:t>5</w:t>
            </w:r>
            <w:r w:rsidRPr="00F63FE2">
              <w:rPr>
                <w:rFonts w:eastAsia="MS PGothic"/>
                <w:sz w:val="18"/>
                <w:lang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bCs/>
                <w:sz w:val="18"/>
                <w:lang w:eastAsia="ja-JP"/>
              </w:rPr>
            </w:pPr>
            <w:r w:rsidRPr="00F63FE2">
              <w:rPr>
                <w:sz w:val="18"/>
              </w:rPr>
              <w:t>+7</w:t>
            </w:r>
            <w:r w:rsidRPr="00F63FE2">
              <w:rPr>
                <w:sz w:val="18"/>
                <w:vertAlign w:val="superscript"/>
              </w:rPr>
              <w:t xml:space="preserve"> </w:t>
            </w:r>
            <w:r w:rsidRPr="00F63FE2">
              <w:rPr>
                <w:sz w:val="18"/>
                <w:vertAlign w:val="superscript"/>
                <w:lang w:eastAsia="ja-JP"/>
              </w:rPr>
              <w:br/>
            </w:r>
            <w:r w:rsidRPr="00F63FE2">
              <w:rPr>
                <w:bCs/>
                <w:sz w:val="18"/>
                <w:lang w:eastAsia="ja-JP"/>
              </w:rPr>
              <w:t>(Notes 1</w:t>
            </w:r>
            <w:r w:rsidRPr="00F63FE2">
              <w:rPr>
                <w:rFonts w:eastAsia="MS PGothic"/>
                <w:sz w:val="18"/>
                <w:lang w:eastAsia="ja-JP"/>
              </w:rPr>
              <w:t>3</w:t>
            </w:r>
            <w:r w:rsidRPr="00F63FE2">
              <w:rPr>
                <w:bCs/>
                <w:sz w:val="18"/>
                <w:lang w:eastAsia="ja-JP"/>
              </w:rPr>
              <w:t xml:space="preserve"> </w:t>
            </w:r>
            <w:r>
              <w:rPr>
                <w:rFonts w:eastAsia="MS PGothic"/>
                <w:sz w:val="18"/>
                <w:lang w:val="en-US"/>
              </w:rPr>
              <w:t>et</w:t>
            </w:r>
            <w:r w:rsidRPr="00F63FE2">
              <w:rPr>
                <w:bCs/>
                <w:sz w:val="18"/>
                <w:lang w:eastAsia="ja-JP"/>
              </w:rPr>
              <w:t> 1</w:t>
            </w:r>
            <w:r w:rsidRPr="00F63FE2">
              <w:rPr>
                <w:rFonts w:eastAsia="MS PGothic"/>
                <w:sz w:val="18"/>
                <w:lang w:eastAsia="ja-JP"/>
              </w:rPr>
              <w:t>6</w:t>
            </w:r>
            <w:r w:rsidRPr="00F63FE2">
              <w:rPr>
                <w:bCs/>
                <w:sz w:val="18"/>
                <w:lang w:eastAsia="ja-JP"/>
              </w:rPr>
              <w:t>)</w:t>
            </w:r>
          </w:p>
        </w:tc>
        <w:tc>
          <w:tcPr>
            <w:tcW w:w="994"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eastAsia="ja-JP"/>
              </w:rPr>
            </w:pPr>
            <w:r w:rsidRPr="00F63FE2">
              <w:rPr>
                <w:rFonts w:eastAsia="MS PGothic"/>
                <w:sz w:val="18"/>
              </w:rPr>
              <w:t>−2</w:t>
            </w:r>
            <w:r>
              <w:rPr>
                <w:rFonts w:eastAsia="MS PGothic"/>
                <w:sz w:val="18"/>
              </w:rPr>
              <w:t>,</w:t>
            </w:r>
            <w:r w:rsidRPr="00F63FE2">
              <w:rPr>
                <w:rFonts w:eastAsia="MS PGothic"/>
                <w:sz w:val="18"/>
              </w:rPr>
              <w:t>0</w:t>
            </w:r>
            <w:r w:rsidRPr="00F63FE2">
              <w:rPr>
                <w:rFonts w:eastAsia="MS PGothic"/>
                <w:sz w:val="18"/>
                <w:vertAlign w:val="superscript"/>
              </w:rPr>
              <w:br/>
            </w:r>
            <w:r w:rsidRPr="00F63FE2">
              <w:rPr>
                <w:rFonts w:eastAsia="MS PGothic"/>
                <w:sz w:val="18"/>
              </w:rPr>
              <w:t>(circula</w:t>
            </w:r>
            <w:r>
              <w:rPr>
                <w:rFonts w:eastAsia="MS PGothic"/>
                <w:sz w:val="18"/>
              </w:rPr>
              <w:t>i</w:t>
            </w:r>
            <w:r w:rsidRPr="00F63FE2">
              <w:rPr>
                <w:rFonts w:eastAsia="MS PGothic"/>
                <w:sz w:val="18"/>
              </w:rPr>
              <w:t>r</w:t>
            </w:r>
            <w:r>
              <w:rPr>
                <w:rFonts w:eastAsia="MS PGothic"/>
                <w:sz w:val="18"/>
              </w:rPr>
              <w:t>e</w:t>
            </w:r>
            <w:r w:rsidRPr="00F63FE2">
              <w:rPr>
                <w:rFonts w:eastAsia="MS PGothic"/>
                <w:sz w:val="18"/>
              </w:rPr>
              <w:t>)</w:t>
            </w:r>
            <w:r w:rsidRPr="00F63FE2">
              <w:rPr>
                <w:rFonts w:eastAsia="MS PGothic"/>
                <w:sz w:val="18"/>
              </w:rPr>
              <w:br/>
            </w:r>
            <w:r w:rsidRPr="00F63FE2">
              <w:rPr>
                <w:rFonts w:eastAsia="MS PGothic"/>
                <w:sz w:val="18"/>
                <w:lang w:eastAsia="ja-JP"/>
              </w:rPr>
              <w:t>(</w:t>
            </w:r>
            <w:r w:rsidRPr="00F63FE2">
              <w:rPr>
                <w:rFonts w:eastAsia="MS PGothic"/>
                <w:sz w:val="18"/>
              </w:rPr>
              <w:t xml:space="preserve">Note </w:t>
            </w:r>
            <w:r w:rsidRPr="00F63FE2">
              <w:rPr>
                <w:sz w:val="18"/>
              </w:rPr>
              <w:t>6</w:t>
            </w:r>
            <w:r w:rsidRPr="00F63FE2">
              <w:rPr>
                <w:rFonts w:eastAsia="MS PGothic"/>
                <w:sz w:val="18"/>
                <w:lang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bCs/>
                <w:sz w:val="18"/>
                <w:lang w:eastAsia="ja-JP"/>
              </w:rPr>
            </w:pPr>
            <w:r w:rsidRPr="00F63FE2">
              <w:rPr>
                <w:sz w:val="18"/>
              </w:rPr>
              <w:t>+7</w:t>
            </w:r>
            <w:r w:rsidRPr="00F63FE2">
              <w:rPr>
                <w:sz w:val="18"/>
                <w:vertAlign w:val="superscript"/>
              </w:rPr>
              <w:t xml:space="preserve"> </w:t>
            </w:r>
            <w:r w:rsidRPr="00F63FE2">
              <w:rPr>
                <w:sz w:val="18"/>
                <w:vertAlign w:val="superscript"/>
                <w:lang w:eastAsia="ja-JP"/>
              </w:rPr>
              <w:br/>
            </w:r>
            <w:r w:rsidRPr="00F63FE2">
              <w:rPr>
                <w:bCs/>
                <w:sz w:val="18"/>
                <w:lang w:eastAsia="ja-JP"/>
              </w:rPr>
              <w:t>(Note 1</w:t>
            </w:r>
            <w:r w:rsidRPr="00F63FE2">
              <w:rPr>
                <w:rFonts w:eastAsia="MS PGothic"/>
                <w:sz w:val="18"/>
                <w:lang w:eastAsia="ja-JP"/>
              </w:rPr>
              <w:t>3</w:t>
            </w:r>
            <w:r w:rsidRPr="00F63FE2">
              <w:rPr>
                <w:bCs/>
                <w:sz w:val="18"/>
                <w:lang w:eastAsia="ja-JP"/>
              </w:rPr>
              <w:t>)</w:t>
            </w:r>
          </w:p>
        </w:tc>
        <w:tc>
          <w:tcPr>
            <w:tcW w:w="940"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highlight w:val="green"/>
              </w:rPr>
            </w:pPr>
            <w:r w:rsidRPr="00F63FE2">
              <w:rPr>
                <w:rFonts w:eastAsia="MS PGothic"/>
                <w:sz w:val="18"/>
              </w:rPr>
              <w:t>0</w:t>
            </w:r>
            <w:r>
              <w:rPr>
                <w:rFonts w:eastAsia="MS PGothic"/>
                <w:sz w:val="18"/>
              </w:rPr>
              <w:t>,</w:t>
            </w:r>
            <w:r w:rsidRPr="00F63FE2">
              <w:rPr>
                <w:rFonts w:eastAsia="MS PGothic"/>
                <w:sz w:val="18"/>
              </w:rPr>
              <w:t>0</w:t>
            </w:r>
          </w:p>
        </w:tc>
        <w:tc>
          <w:tcPr>
            <w:tcW w:w="1083" w:type="dxa"/>
            <w:gridSpan w:val="3"/>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sz w:val="18"/>
                <w:lang w:eastAsia="ja-JP"/>
              </w:rPr>
            </w:pPr>
            <w:r w:rsidRPr="00F63FE2">
              <w:rPr>
                <w:sz w:val="18"/>
                <w:lang w:eastAsia="ja-JP"/>
              </w:rPr>
              <w:t>6</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snapToGrid w:val="0"/>
                <w:sz w:val="18"/>
              </w:rPr>
            </w:pPr>
            <w:r w:rsidRPr="00F63FE2">
              <w:rPr>
                <w:snapToGrid w:val="0"/>
                <w:sz w:val="18"/>
                <w:lang w:eastAsia="zh-CN"/>
              </w:rPr>
              <w:t>3</w:t>
            </w:r>
          </w:p>
        </w:tc>
        <w:tc>
          <w:tcPr>
            <w:tcW w:w="119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sz w:val="18"/>
                <w:lang w:eastAsia="ja-JP"/>
              </w:rPr>
            </w:pPr>
            <w:r w:rsidRPr="00F63FE2">
              <w:rPr>
                <w:sz w:val="18"/>
                <w:lang w:eastAsia="ja-JP"/>
              </w:rPr>
              <w:t>6</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lang w:eastAsia="ja-JP"/>
              </w:rPr>
            </w:pPr>
            <w:r w:rsidRPr="00F63FE2">
              <w:rPr>
                <w:rFonts w:eastAsia="MS PGothic"/>
                <w:sz w:val="18"/>
              </w:rPr>
              <w:t>+3</w:t>
            </w:r>
            <w:r>
              <w:rPr>
                <w:rFonts w:eastAsia="MS PGothic"/>
                <w:sz w:val="18"/>
              </w:rPr>
              <w:t>,</w:t>
            </w:r>
            <w:r w:rsidRPr="00F63FE2">
              <w:rPr>
                <w:rFonts w:eastAsia="MS PGothic"/>
                <w:sz w:val="18"/>
              </w:rPr>
              <w:t>0</w:t>
            </w:r>
          </w:p>
        </w:tc>
      </w:tr>
      <w:tr w:rsidR="005D5DF0" w:rsidRPr="00F63FE2" w:rsidTr="00A715CF">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5D5DF0" w:rsidRPr="00804AC5" w:rsidRDefault="005D5DF0" w:rsidP="00C960E8">
            <w:pPr>
              <w:pStyle w:val="Tabletext"/>
              <w:jc w:val="left"/>
              <w:rPr>
                <w:rFonts w:eastAsia="MS PGothic"/>
                <w:sz w:val="18"/>
                <w:lang w:val="fr-CH"/>
              </w:rPr>
            </w:pPr>
            <w:r w:rsidRPr="00804AC5">
              <w:rPr>
                <w:rFonts w:eastAsia="MS PGothic"/>
                <w:sz w:val="18"/>
                <w:lang w:val="fr-CH"/>
              </w:rPr>
              <w:t xml:space="preserve">Gain maximal de l'antenne du récepteur dans l'hémisphère </w:t>
            </w:r>
            <w:r>
              <w:rPr>
                <w:rFonts w:eastAsia="MS PGothic"/>
                <w:sz w:val="18"/>
                <w:lang w:val="fr-CH"/>
              </w:rPr>
              <w:t>inf</w:t>
            </w:r>
            <w:r w:rsidRPr="00804AC5">
              <w:rPr>
                <w:rFonts w:eastAsia="MS PGothic"/>
                <w:sz w:val="18"/>
                <w:lang w:val="fr-CH"/>
              </w:rPr>
              <w:t>érieur (dBi)</w:t>
            </w:r>
          </w:p>
        </w:tc>
        <w:tc>
          <w:tcPr>
            <w:tcW w:w="112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highlight w:val="green"/>
                <w:lang w:eastAsia="ja-JP"/>
              </w:rPr>
            </w:pPr>
            <w:r w:rsidRPr="00F63FE2">
              <w:rPr>
                <w:rFonts w:eastAsia="MS PGothic"/>
                <w:sz w:val="18"/>
              </w:rPr>
              <w:t>−5</w:t>
            </w:r>
            <w:r>
              <w:rPr>
                <w:rFonts w:eastAsia="MS PGothic"/>
                <w:sz w:val="18"/>
              </w:rPr>
              <w:t>,</w:t>
            </w:r>
            <w:r w:rsidRPr="00F63FE2">
              <w:rPr>
                <w:rFonts w:eastAsia="MS PGothic"/>
                <w:sz w:val="18"/>
              </w:rPr>
              <w:t>0</w:t>
            </w:r>
            <w:r w:rsidRPr="00F63FE2">
              <w:rPr>
                <w:rFonts w:eastAsia="MS PGothic"/>
                <w:sz w:val="18"/>
                <w:vertAlign w:val="superscript"/>
              </w:rPr>
              <w:br/>
            </w:r>
            <w:r w:rsidRPr="00F63FE2">
              <w:rPr>
                <w:rFonts w:eastAsia="MS PGothic"/>
                <w:sz w:val="18"/>
              </w:rPr>
              <w:t>(</w:t>
            </w:r>
            <w:r>
              <w:rPr>
                <w:rFonts w:eastAsia="MS PGothic"/>
                <w:sz w:val="18"/>
              </w:rPr>
              <w:t>rectiligne</w:t>
            </w:r>
            <w:r w:rsidRPr="00F63FE2">
              <w:rPr>
                <w:rFonts w:eastAsia="MS PGothic"/>
                <w:sz w:val="18"/>
              </w:rPr>
              <w:t>)</w:t>
            </w:r>
            <w:r w:rsidRPr="00F63FE2">
              <w:rPr>
                <w:rFonts w:eastAsia="MS PGothic"/>
                <w:sz w:val="18"/>
              </w:rPr>
              <w:br/>
            </w:r>
            <w:r w:rsidRPr="00F63FE2">
              <w:rPr>
                <w:rFonts w:eastAsia="MS PGothic"/>
                <w:sz w:val="18"/>
                <w:lang w:eastAsia="ja-JP"/>
              </w:rPr>
              <w:t>(</w:t>
            </w:r>
            <w:r w:rsidRPr="00F63FE2">
              <w:rPr>
                <w:rFonts w:eastAsia="MS PGothic"/>
                <w:sz w:val="18"/>
              </w:rPr>
              <w:t>Note 7</w:t>
            </w:r>
            <w:r w:rsidRPr="00F63FE2">
              <w:rPr>
                <w:rFonts w:eastAsia="MS PGothic"/>
                <w:sz w:val="18"/>
                <w:lang w:eastAsia="ja-JP"/>
              </w:rPr>
              <w:t>)</w:t>
            </w:r>
          </w:p>
        </w:tc>
        <w:tc>
          <w:tcPr>
            <w:tcW w:w="1361"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eastAsia="ja-JP"/>
              </w:rPr>
            </w:pPr>
            <w:r w:rsidRPr="00F63FE2">
              <w:rPr>
                <w:rFonts w:eastAsia="MS PGothic"/>
                <w:sz w:val="18"/>
                <w:lang w:eastAsia="ja-JP"/>
              </w:rPr>
              <w:t>−10</w:t>
            </w:r>
            <w:r w:rsidRPr="00F63FE2">
              <w:rPr>
                <w:rFonts w:eastAsia="MS PGothic"/>
                <w:sz w:val="18"/>
                <w:lang w:eastAsia="ja-JP"/>
              </w:rPr>
              <w:br/>
            </w:r>
            <w:r w:rsidRPr="00F63FE2">
              <w:rPr>
                <w:rFonts w:eastAsia="MS PGothic"/>
                <w:sz w:val="18"/>
                <w:lang w:eastAsia="ja-JP"/>
              </w:rPr>
              <w:br/>
            </w:r>
          </w:p>
        </w:tc>
        <w:tc>
          <w:tcPr>
            <w:tcW w:w="113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highlight w:val="green"/>
                <w:lang w:eastAsia="ja-JP"/>
              </w:rPr>
            </w:pPr>
            <w:r w:rsidRPr="00F63FE2">
              <w:rPr>
                <w:rFonts w:eastAsia="MS PGothic"/>
                <w:sz w:val="18"/>
              </w:rPr>
              <w:t>−5</w:t>
            </w:r>
            <w:r>
              <w:rPr>
                <w:rFonts w:eastAsia="MS PGothic"/>
                <w:sz w:val="18"/>
              </w:rPr>
              <w:t>,</w:t>
            </w:r>
            <w:r w:rsidRPr="00F63FE2">
              <w:rPr>
                <w:rFonts w:eastAsia="MS PGothic"/>
                <w:sz w:val="18"/>
              </w:rPr>
              <w:t>0</w:t>
            </w:r>
            <w:r w:rsidRPr="00F63FE2">
              <w:rPr>
                <w:rFonts w:eastAsia="MS PGothic"/>
                <w:sz w:val="18"/>
                <w:vertAlign w:val="superscript"/>
              </w:rPr>
              <w:br/>
            </w:r>
            <w:r w:rsidRPr="00F63FE2">
              <w:rPr>
                <w:rFonts w:eastAsia="MS PGothic"/>
                <w:sz w:val="18"/>
              </w:rPr>
              <w:t>(</w:t>
            </w:r>
            <w:r>
              <w:rPr>
                <w:rFonts w:eastAsia="MS PGothic"/>
                <w:sz w:val="18"/>
              </w:rPr>
              <w:t>rectiligne</w:t>
            </w:r>
            <w:r w:rsidRPr="00F63FE2">
              <w:rPr>
                <w:rFonts w:eastAsia="MS PGothic"/>
                <w:sz w:val="18"/>
              </w:rPr>
              <w:t>)</w:t>
            </w:r>
            <w:r w:rsidRPr="00F63FE2">
              <w:rPr>
                <w:rFonts w:eastAsia="MS PGothic"/>
                <w:sz w:val="18"/>
              </w:rPr>
              <w:br/>
            </w:r>
            <w:r w:rsidRPr="00F63FE2">
              <w:rPr>
                <w:rFonts w:eastAsia="MS PGothic"/>
                <w:sz w:val="18"/>
                <w:lang w:eastAsia="ja-JP"/>
              </w:rPr>
              <w:t>(</w:t>
            </w:r>
            <w:r w:rsidRPr="00F63FE2">
              <w:rPr>
                <w:rFonts w:eastAsia="MS PGothic"/>
                <w:sz w:val="18"/>
              </w:rPr>
              <w:t xml:space="preserve">Note </w:t>
            </w:r>
            <w:r w:rsidRPr="00F63FE2">
              <w:rPr>
                <w:sz w:val="18"/>
              </w:rPr>
              <w:t>8</w:t>
            </w:r>
            <w:r w:rsidRPr="00F63FE2">
              <w:rPr>
                <w:rFonts w:eastAsia="MS PGothic"/>
                <w:sz w:val="18"/>
                <w:lang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eastAsia="ja-JP"/>
              </w:rPr>
            </w:pPr>
            <w:r w:rsidRPr="00F63FE2">
              <w:rPr>
                <w:rFonts w:eastAsia="MS PGothic"/>
                <w:sz w:val="18"/>
                <w:lang w:eastAsia="ja-JP"/>
              </w:rPr>
              <w:t>−10</w:t>
            </w:r>
            <w:r w:rsidRPr="00F63FE2">
              <w:rPr>
                <w:rFonts w:eastAsia="MS PGothic"/>
                <w:sz w:val="18"/>
                <w:lang w:eastAsia="ja-JP"/>
              </w:rPr>
              <w:br/>
            </w:r>
            <w:r w:rsidRPr="00F63FE2">
              <w:rPr>
                <w:rFonts w:eastAsia="MS PGothic"/>
                <w:sz w:val="18"/>
                <w:lang w:eastAsia="ja-JP"/>
              </w:rPr>
              <w:br/>
            </w:r>
          </w:p>
        </w:tc>
        <w:tc>
          <w:tcPr>
            <w:tcW w:w="994"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−9</w:t>
            </w:r>
            <w:r>
              <w:rPr>
                <w:rFonts w:eastAsia="MS PGothic"/>
                <w:sz w:val="18"/>
              </w:rPr>
              <w:t>,</w:t>
            </w:r>
            <w:r w:rsidRPr="00F63FE2">
              <w:rPr>
                <w:rFonts w:eastAsia="MS PGothic"/>
                <w:sz w:val="18"/>
              </w:rPr>
              <w:t>0</w:t>
            </w:r>
            <w:r w:rsidRPr="00F63FE2">
              <w:rPr>
                <w:rFonts w:eastAsia="MS PGothic"/>
                <w:sz w:val="18"/>
                <w:vertAlign w:val="superscript"/>
              </w:rPr>
              <w:t xml:space="preserve"> </w:t>
            </w:r>
            <w:r w:rsidRPr="00F63FE2">
              <w:rPr>
                <w:rFonts w:eastAsia="MS PGothic"/>
                <w:sz w:val="18"/>
                <w:vertAlign w:val="superscript"/>
              </w:rPr>
              <w:br/>
            </w:r>
            <w:r w:rsidRPr="00F63FE2">
              <w:rPr>
                <w:rFonts w:eastAsia="MS PGothic"/>
                <w:sz w:val="18"/>
                <w:lang w:eastAsia="ja-JP"/>
              </w:rPr>
              <w:t>(</w:t>
            </w:r>
            <w:r w:rsidRPr="00F63FE2">
              <w:rPr>
                <w:rFonts w:eastAsia="MS PGothic"/>
                <w:sz w:val="18"/>
              </w:rPr>
              <w:t xml:space="preserve">Note </w:t>
            </w:r>
            <w:r w:rsidRPr="00F63FE2">
              <w:rPr>
                <w:sz w:val="18"/>
              </w:rPr>
              <w:t>6</w:t>
            </w:r>
            <w:r w:rsidRPr="00F63FE2">
              <w:rPr>
                <w:rFonts w:eastAsia="MS PGothic"/>
                <w:sz w:val="18"/>
                <w:lang w:eastAsia="ja-JP"/>
              </w:rPr>
              <w:t>)</w:t>
            </w:r>
            <w:r w:rsidRPr="00F63FE2">
              <w:rPr>
                <w:rFonts w:eastAsia="MS PGothic"/>
                <w:sz w:val="18"/>
                <w:lang w:eastAsia="ja-JP"/>
              </w:rPr>
              <w:br/>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lang w:eastAsia="ja-JP"/>
              </w:rPr>
              <w:t>−10</w:t>
            </w:r>
            <w:r w:rsidRPr="00F63FE2">
              <w:rPr>
                <w:rFonts w:eastAsia="MS PGothic"/>
                <w:sz w:val="18"/>
                <w:lang w:eastAsia="ja-JP"/>
              </w:rPr>
              <w:br/>
            </w:r>
            <w:r w:rsidRPr="00F63FE2">
              <w:rPr>
                <w:rFonts w:eastAsia="MS PGothic"/>
                <w:sz w:val="18"/>
                <w:lang w:eastAsia="ja-JP"/>
              </w:rPr>
              <w:br/>
            </w:r>
          </w:p>
        </w:tc>
        <w:tc>
          <w:tcPr>
            <w:tcW w:w="940"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highlight w:val="green"/>
              </w:rPr>
            </w:pPr>
            <w:r w:rsidRPr="00F63FE2">
              <w:rPr>
                <w:rFonts w:eastAsia="MS PGothic"/>
                <w:sz w:val="18"/>
              </w:rPr>
              <w:t>0</w:t>
            </w:r>
            <w:r>
              <w:rPr>
                <w:rFonts w:eastAsia="MS PGothic"/>
                <w:sz w:val="18"/>
              </w:rPr>
              <w:t>,</w:t>
            </w:r>
            <w:r w:rsidRPr="00F63FE2">
              <w:rPr>
                <w:rFonts w:eastAsia="MS PGothic"/>
                <w:sz w:val="18"/>
              </w:rPr>
              <w:t>0</w:t>
            </w:r>
          </w:p>
        </w:tc>
        <w:tc>
          <w:tcPr>
            <w:tcW w:w="1083" w:type="dxa"/>
            <w:gridSpan w:val="3"/>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sz w:val="18"/>
                <w:lang w:val="en-US" w:eastAsia="ja-JP"/>
              </w:rPr>
            </w:pPr>
            <w:r w:rsidRPr="00F63FE2">
              <w:rPr>
                <w:sz w:val="18"/>
                <w:lang w:val="en-US" w:eastAsia="ja-JP"/>
              </w:rPr>
              <w:t>6</w:t>
            </w:r>
            <w:r w:rsidRPr="00F63FE2">
              <w:rPr>
                <w:sz w:val="18"/>
                <w:lang w:val="en-US" w:eastAsia="ja-JP"/>
              </w:rPr>
              <w:br/>
              <w:t>(Note 18)</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snapToGrid w:val="0"/>
                <w:sz w:val="18"/>
                <w:lang w:val="en-US"/>
              </w:rPr>
            </w:pPr>
            <w:r w:rsidRPr="00F63FE2">
              <w:rPr>
                <w:rFonts w:eastAsia="MS PGothic"/>
                <w:sz w:val="18"/>
                <w:lang w:val="en-US"/>
              </w:rPr>
              <w:t>−</w:t>
            </w:r>
            <w:r w:rsidRPr="00F63FE2">
              <w:rPr>
                <w:snapToGrid w:val="0"/>
                <w:sz w:val="18"/>
                <w:lang w:val="en-US" w:eastAsia="zh-CN"/>
              </w:rPr>
              <w:t>10</w:t>
            </w:r>
          </w:p>
        </w:tc>
        <w:tc>
          <w:tcPr>
            <w:tcW w:w="119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sz w:val="18"/>
                <w:lang w:val="en-US" w:eastAsia="ja-JP"/>
              </w:rPr>
            </w:pPr>
            <w:r w:rsidRPr="00F63FE2">
              <w:rPr>
                <w:sz w:val="18"/>
                <w:lang w:val="en-US" w:eastAsia="ja-JP"/>
              </w:rPr>
              <w:t>6</w:t>
            </w:r>
            <w:r>
              <w:rPr>
                <w:sz w:val="18"/>
                <w:lang w:val="en-US" w:eastAsia="ja-JP"/>
              </w:rPr>
              <w:br/>
            </w:r>
            <w:r w:rsidRPr="00F63FE2">
              <w:rPr>
                <w:sz w:val="18"/>
                <w:lang w:val="en-US" w:eastAsia="ja-JP"/>
              </w:rPr>
              <w:t>(Note 18)</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lang w:val="en-US"/>
              </w:rPr>
            </w:pPr>
            <w:r w:rsidRPr="00F63FE2">
              <w:rPr>
                <w:rFonts w:eastAsia="MS PGothic"/>
                <w:sz w:val="18"/>
                <w:lang w:val="en-US"/>
              </w:rPr>
              <w:t>−5</w:t>
            </w:r>
            <w:r>
              <w:rPr>
                <w:rFonts w:eastAsia="MS PGothic"/>
                <w:sz w:val="18"/>
                <w:lang w:val="en-US"/>
              </w:rPr>
              <w:t>,</w:t>
            </w:r>
            <w:r w:rsidRPr="00F63FE2">
              <w:rPr>
                <w:rFonts w:eastAsia="MS PGothic"/>
                <w:sz w:val="18"/>
                <w:lang w:val="en-US"/>
              </w:rPr>
              <w:t>0</w:t>
            </w:r>
            <w:r w:rsidRP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 </w:t>
            </w:r>
            <w:r w:rsidRPr="00F63FE2">
              <w:rPr>
                <w:sz w:val="18"/>
                <w:lang w:val="en-US"/>
              </w:rPr>
              <w:t>10</w:t>
            </w:r>
            <w:r w:rsidRPr="00F63FE2">
              <w:rPr>
                <w:rFonts w:eastAsia="MS PGothic"/>
                <w:sz w:val="18"/>
                <w:lang w:val="en-US" w:eastAsia="ja-JP"/>
              </w:rPr>
              <w:t>)</w:t>
            </w:r>
          </w:p>
        </w:tc>
      </w:tr>
      <w:tr w:rsidR="005D5DF0" w:rsidRPr="00F63FE2" w:rsidTr="00A715CF">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5D5DF0" w:rsidRPr="00D46FF1" w:rsidRDefault="005D5DF0" w:rsidP="00C960E8">
            <w:pPr>
              <w:pStyle w:val="Tabletext"/>
              <w:jc w:val="left"/>
              <w:rPr>
                <w:rFonts w:eastAsia="MS PGothic"/>
                <w:sz w:val="18"/>
                <w:lang w:val="fr-CH"/>
              </w:rPr>
            </w:pPr>
            <w:r w:rsidRPr="00D46FF1">
              <w:rPr>
                <w:rFonts w:eastAsia="MS PGothic"/>
                <w:sz w:val="18"/>
                <w:lang w:val="fr-CH"/>
              </w:rPr>
              <w:t xml:space="preserve">Largeur de bande </w:t>
            </w:r>
            <w:r>
              <w:rPr>
                <w:rFonts w:eastAsia="MS PGothic"/>
                <w:sz w:val="18"/>
                <w:lang w:val="fr-CH"/>
              </w:rPr>
              <w:t>à</w:t>
            </w:r>
            <w:r w:rsidRPr="00D46FF1">
              <w:rPr>
                <w:rFonts w:eastAsia="MS PGothic"/>
                <w:sz w:val="18"/>
                <w:lang w:val="fr-CH"/>
              </w:rPr>
              <w:t xml:space="preserve"> 3 dB </w:t>
            </w:r>
            <w:r>
              <w:rPr>
                <w:rFonts w:eastAsia="MS PGothic"/>
                <w:sz w:val="18"/>
                <w:lang w:val="fr-CH"/>
              </w:rPr>
              <w:t>du filtre RF</w:t>
            </w:r>
            <w:r w:rsidRPr="00D46FF1">
              <w:rPr>
                <w:rFonts w:eastAsia="MS PGothic"/>
                <w:sz w:val="18"/>
                <w:lang w:val="fr-CH"/>
              </w:rPr>
              <w:t xml:space="preserve"> (MHz)</w:t>
            </w:r>
          </w:p>
        </w:tc>
        <w:tc>
          <w:tcPr>
            <w:tcW w:w="112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rPr>
            </w:pPr>
            <w:r w:rsidRPr="00F63FE2">
              <w:rPr>
                <w:rFonts w:eastAsia="MS PGothic"/>
                <w:sz w:val="18"/>
                <w:lang w:val="en-US"/>
              </w:rPr>
              <w:t>24</w:t>
            </w:r>
            <w:r>
              <w:rPr>
                <w:rFonts w:eastAsia="MS PGothic"/>
                <w:sz w:val="18"/>
                <w:lang w:val="en-US"/>
              </w:rPr>
              <w:t>,</w:t>
            </w:r>
            <w:r w:rsidRPr="00F63FE2">
              <w:rPr>
                <w:rFonts w:eastAsia="MS PGothic"/>
                <w:sz w:val="18"/>
                <w:lang w:val="en-US"/>
              </w:rPr>
              <w:t>0</w:t>
            </w:r>
          </w:p>
        </w:tc>
        <w:tc>
          <w:tcPr>
            <w:tcW w:w="1361"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eastAsia="ja-JP"/>
              </w:rPr>
              <w:t>30</w:t>
            </w:r>
          </w:p>
        </w:tc>
        <w:tc>
          <w:tcPr>
            <w:tcW w:w="113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rPr>
            </w:pPr>
            <w:r w:rsidRPr="00F63FE2">
              <w:rPr>
                <w:rFonts w:eastAsia="MS PGothic"/>
                <w:sz w:val="18"/>
                <w:lang w:val="en-US"/>
              </w:rPr>
              <w:t>24</w:t>
            </w:r>
            <w:r>
              <w:rPr>
                <w:rFonts w:eastAsia="MS PGothic"/>
                <w:sz w:val="18"/>
                <w:lang w:val="en-US"/>
              </w:rPr>
              <w:t>,</w:t>
            </w:r>
            <w:r w:rsidRPr="00F63FE2">
              <w:rPr>
                <w:rFonts w:eastAsia="MS PGothic"/>
                <w:sz w:val="18"/>
                <w:lang w:val="en-US"/>
              </w:rPr>
              <w:t>0</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eastAsia="ja-JP"/>
              </w:rPr>
              <w:t>30</w:t>
            </w:r>
          </w:p>
        </w:tc>
        <w:tc>
          <w:tcPr>
            <w:tcW w:w="994"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rPr>
            </w:pPr>
            <w:r w:rsidRPr="00F63FE2">
              <w:rPr>
                <w:rFonts w:eastAsia="MS PGothic"/>
                <w:sz w:val="18"/>
                <w:lang w:val="en-US"/>
              </w:rPr>
              <w:t>24</w:t>
            </w:r>
            <w:r>
              <w:rPr>
                <w:rFonts w:eastAsia="MS PGothic"/>
                <w:sz w:val="18"/>
                <w:lang w:val="en-US"/>
              </w:rPr>
              <w:t>,</w:t>
            </w:r>
            <w:r w:rsidRPr="00F63FE2">
              <w:rPr>
                <w:rFonts w:eastAsia="MS PGothic"/>
                <w:sz w:val="18"/>
                <w:lang w:val="en-US"/>
              </w:rPr>
              <w:t>0</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rPr>
            </w:pPr>
            <w:r w:rsidRPr="00F63FE2">
              <w:rPr>
                <w:rFonts w:eastAsia="MS PGothic"/>
                <w:sz w:val="18"/>
                <w:lang w:val="en-US" w:eastAsia="ja-JP"/>
              </w:rPr>
              <w:t>30</w:t>
            </w:r>
          </w:p>
        </w:tc>
        <w:tc>
          <w:tcPr>
            <w:tcW w:w="940"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rPr>
            </w:pPr>
            <w:r w:rsidRPr="00F63FE2">
              <w:rPr>
                <w:rFonts w:eastAsia="MS PGothic"/>
                <w:sz w:val="18"/>
                <w:lang w:val="en-US"/>
              </w:rPr>
              <w:t>30</w:t>
            </w:r>
            <w:r>
              <w:rPr>
                <w:rFonts w:eastAsia="MS PGothic"/>
                <w:sz w:val="18"/>
                <w:lang w:val="en-US"/>
              </w:rPr>
              <w:t>,</w:t>
            </w:r>
            <w:r w:rsidRPr="00F63FE2">
              <w:rPr>
                <w:rFonts w:eastAsia="MS PGothic"/>
                <w:sz w:val="18"/>
                <w:lang w:val="en-US"/>
              </w:rPr>
              <w:t>69</w:t>
            </w:r>
          </w:p>
        </w:tc>
        <w:tc>
          <w:tcPr>
            <w:tcW w:w="1083" w:type="dxa"/>
            <w:gridSpan w:val="3"/>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sz w:val="18"/>
                <w:highlight w:val="yellow"/>
                <w:lang w:val="en-US" w:eastAsia="ja-JP"/>
              </w:rPr>
            </w:pPr>
            <w:r w:rsidRPr="00F63FE2">
              <w:rPr>
                <w:sz w:val="18"/>
                <w:lang w:val="en-US" w:eastAsia="ja-JP"/>
              </w:rPr>
              <w:t>32</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snapToGrid w:val="0"/>
                <w:sz w:val="18"/>
                <w:lang w:val="en-US"/>
              </w:rPr>
            </w:pPr>
            <w:r w:rsidRPr="00F63FE2">
              <w:rPr>
                <w:snapToGrid w:val="0"/>
                <w:sz w:val="18"/>
                <w:lang w:val="en-US" w:eastAsia="zh-CN"/>
              </w:rPr>
              <w:t>4</w:t>
            </w:r>
            <w:r>
              <w:rPr>
                <w:snapToGrid w:val="0"/>
                <w:sz w:val="18"/>
                <w:lang w:val="en-US" w:eastAsia="zh-CN"/>
              </w:rPr>
              <w:t>,</w:t>
            </w:r>
            <w:r w:rsidRPr="00F63FE2">
              <w:rPr>
                <w:snapToGrid w:val="0"/>
                <w:sz w:val="18"/>
                <w:lang w:val="en-US" w:eastAsia="zh-CN"/>
              </w:rPr>
              <w:t>196</w:t>
            </w:r>
          </w:p>
        </w:tc>
        <w:tc>
          <w:tcPr>
            <w:tcW w:w="119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lang w:val="en-US" w:eastAsia="ja-JP"/>
              </w:rPr>
            </w:pPr>
            <w:r w:rsidRPr="00F63FE2">
              <w:rPr>
                <w:sz w:val="18"/>
                <w:lang w:val="en-US" w:eastAsia="ja-JP"/>
              </w:rPr>
              <w:t>32</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highlight w:val="yellow"/>
                <w:lang w:val="en-US" w:eastAsia="ja-JP"/>
              </w:rPr>
            </w:pPr>
            <w:r w:rsidRPr="00F63FE2">
              <w:rPr>
                <w:rFonts w:eastAsia="MS PGothic"/>
                <w:sz w:val="18"/>
                <w:lang w:val="en-US"/>
              </w:rPr>
              <w:t>30</w:t>
            </w:r>
            <w:r>
              <w:rPr>
                <w:rFonts w:eastAsia="MS PGothic"/>
                <w:sz w:val="18"/>
                <w:lang w:val="en-US"/>
              </w:rPr>
              <w:t>,69 ou</w:t>
            </w:r>
            <w:r w:rsidRPr="00F63FE2">
              <w:rPr>
                <w:rFonts w:eastAsia="MS PGothic"/>
                <w:sz w:val="18"/>
                <w:lang w:val="en-US"/>
              </w:rPr>
              <w:t xml:space="preserve"> 32</w:t>
            </w:r>
          </w:p>
        </w:tc>
      </w:tr>
      <w:tr w:rsidR="005D5DF0" w:rsidRPr="00F63FE2" w:rsidTr="00A715CF">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C960E8">
            <w:pPr>
              <w:pStyle w:val="Tabletext"/>
              <w:jc w:val="left"/>
              <w:rPr>
                <w:rFonts w:eastAsia="MS PGothic"/>
                <w:sz w:val="18"/>
              </w:rPr>
            </w:pPr>
            <w:r w:rsidRPr="00D46FF1">
              <w:rPr>
                <w:rFonts w:eastAsia="MS PGothic"/>
                <w:sz w:val="18"/>
                <w:lang w:val="fr-CH"/>
              </w:rPr>
              <w:t xml:space="preserve">Largeur de bande </w:t>
            </w:r>
            <w:r>
              <w:rPr>
                <w:rFonts w:eastAsia="MS PGothic"/>
                <w:sz w:val="18"/>
                <w:lang w:val="fr-CH"/>
              </w:rPr>
              <w:t>à</w:t>
            </w:r>
            <w:r w:rsidRPr="00D46FF1">
              <w:rPr>
                <w:rFonts w:eastAsia="MS PGothic"/>
                <w:sz w:val="18"/>
                <w:lang w:val="fr-CH"/>
              </w:rPr>
              <w:t xml:space="preserve"> 3 dB </w:t>
            </w:r>
            <w:r>
              <w:rPr>
                <w:rFonts w:eastAsia="MS PGothic"/>
                <w:sz w:val="18"/>
                <w:lang w:val="fr-CH"/>
              </w:rPr>
              <w:t xml:space="preserve">du filtre de précorrélation </w:t>
            </w:r>
            <w:r w:rsidRPr="00F63FE2">
              <w:rPr>
                <w:rFonts w:eastAsia="MS PGothic"/>
                <w:sz w:val="18"/>
              </w:rPr>
              <w:t>(MHz)</w:t>
            </w:r>
          </w:p>
        </w:tc>
        <w:tc>
          <w:tcPr>
            <w:tcW w:w="112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20</w:t>
            </w:r>
            <w:r>
              <w:rPr>
                <w:rFonts w:eastAsia="MS PGothic"/>
                <w:sz w:val="18"/>
              </w:rPr>
              <w:t>,</w:t>
            </w:r>
            <w:r w:rsidRPr="00F63FE2">
              <w:rPr>
                <w:rFonts w:eastAsia="MS PGothic"/>
                <w:sz w:val="18"/>
              </w:rPr>
              <w:t>46</w:t>
            </w:r>
          </w:p>
        </w:tc>
        <w:tc>
          <w:tcPr>
            <w:tcW w:w="1361"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eastAsia="ja-JP"/>
              </w:rPr>
            </w:pPr>
            <w:r w:rsidRPr="00F63FE2">
              <w:rPr>
                <w:rFonts w:eastAsia="MS PGothic"/>
                <w:sz w:val="18"/>
                <w:lang w:eastAsia="ja-JP"/>
              </w:rPr>
              <w:t>22</w:t>
            </w:r>
          </w:p>
        </w:tc>
        <w:tc>
          <w:tcPr>
            <w:tcW w:w="113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20</w:t>
            </w:r>
            <w:r>
              <w:rPr>
                <w:rFonts w:eastAsia="MS PGothic"/>
                <w:sz w:val="18"/>
              </w:rPr>
              <w:t>,</w:t>
            </w:r>
            <w:r w:rsidRPr="00F63FE2">
              <w:rPr>
                <w:rFonts w:eastAsia="MS PGothic"/>
                <w:sz w:val="18"/>
              </w:rPr>
              <w:t>46</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eastAsia="ja-JP"/>
              </w:rPr>
            </w:pPr>
            <w:r w:rsidRPr="00F63FE2">
              <w:rPr>
                <w:rFonts w:eastAsia="MS PGothic"/>
                <w:sz w:val="18"/>
                <w:lang w:eastAsia="ja-JP"/>
              </w:rPr>
              <w:t>22</w:t>
            </w:r>
          </w:p>
        </w:tc>
        <w:tc>
          <w:tcPr>
            <w:tcW w:w="994"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20</w:t>
            </w:r>
            <w:r>
              <w:rPr>
                <w:rFonts w:eastAsia="MS PGothic"/>
                <w:sz w:val="18"/>
              </w:rPr>
              <w:t>,</w:t>
            </w:r>
            <w:r w:rsidRPr="00F63FE2">
              <w:rPr>
                <w:rFonts w:eastAsia="MS PGothic"/>
                <w:sz w:val="18"/>
              </w:rPr>
              <w:t>46</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lang w:eastAsia="ja-JP"/>
              </w:rPr>
              <w:t>22</w:t>
            </w:r>
          </w:p>
        </w:tc>
        <w:tc>
          <w:tcPr>
            <w:tcW w:w="940"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highlight w:val="lightGray"/>
              </w:rPr>
            </w:pPr>
            <w:r w:rsidRPr="00F63FE2">
              <w:rPr>
                <w:rFonts w:eastAsia="MS PGothic"/>
                <w:sz w:val="18"/>
              </w:rPr>
              <w:t>20</w:t>
            </w:r>
            <w:r>
              <w:rPr>
                <w:rFonts w:eastAsia="MS PGothic"/>
                <w:sz w:val="18"/>
              </w:rPr>
              <w:t>,</w:t>
            </w:r>
            <w:r w:rsidRPr="00F63FE2">
              <w:rPr>
                <w:rFonts w:eastAsia="MS PGothic"/>
                <w:sz w:val="18"/>
              </w:rPr>
              <w:t>46</w:t>
            </w:r>
          </w:p>
        </w:tc>
        <w:tc>
          <w:tcPr>
            <w:tcW w:w="513" w:type="dxa"/>
            <w:gridSpan w:val="2"/>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2</w:t>
            </w:r>
          </w:p>
        </w:tc>
        <w:tc>
          <w:tcPr>
            <w:tcW w:w="570"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22</w:t>
            </w:r>
          </w:p>
        </w:tc>
        <w:tc>
          <w:tcPr>
            <w:tcW w:w="920"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4</w:t>
            </w:r>
            <w:r>
              <w:rPr>
                <w:rFonts w:eastAsia="MS PGothic"/>
                <w:sz w:val="18"/>
              </w:rPr>
              <w:t>,</w:t>
            </w:r>
            <w:r w:rsidRPr="00F63FE2">
              <w:rPr>
                <w:rFonts w:eastAsia="MS PGothic"/>
                <w:sz w:val="18"/>
              </w:rPr>
              <w:t>096</w:t>
            </w:r>
          </w:p>
        </w:tc>
        <w:tc>
          <w:tcPr>
            <w:tcW w:w="603" w:type="dxa"/>
            <w:gridSpan w:val="2"/>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2</w:t>
            </w:r>
          </w:p>
        </w:tc>
        <w:tc>
          <w:tcPr>
            <w:tcW w:w="5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22</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highlight w:val="yellow"/>
              </w:rPr>
            </w:pPr>
            <w:r w:rsidRPr="00F63FE2">
              <w:rPr>
                <w:rFonts w:eastAsia="MS PGothic"/>
                <w:sz w:val="18"/>
              </w:rPr>
              <w:t>20.46</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highlight w:val="yellow"/>
              </w:rPr>
            </w:pPr>
            <w:r w:rsidRPr="00F63FE2">
              <w:rPr>
                <w:rFonts w:eastAsia="MS PGothic"/>
                <w:sz w:val="18"/>
              </w:rPr>
              <w:t>22</w:t>
            </w:r>
          </w:p>
        </w:tc>
      </w:tr>
      <w:tr w:rsidR="005D5DF0" w:rsidRPr="00F63FE2" w:rsidTr="00A715CF">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5D5DF0" w:rsidRPr="00F75828" w:rsidRDefault="005D5DF0" w:rsidP="00C960E8">
            <w:pPr>
              <w:pStyle w:val="Tabletext"/>
              <w:jc w:val="left"/>
              <w:rPr>
                <w:rFonts w:eastAsia="MS PGothic"/>
                <w:sz w:val="18"/>
                <w:lang w:val="fr-CH"/>
              </w:rPr>
            </w:pPr>
            <w:r w:rsidRPr="00F75828">
              <w:rPr>
                <w:rFonts w:eastAsia="MS PGothic"/>
                <w:sz w:val="18"/>
                <w:lang w:val="fr-CH"/>
              </w:rPr>
              <w:t>Température de bruit du système de réception (K)</w:t>
            </w:r>
          </w:p>
        </w:tc>
        <w:tc>
          <w:tcPr>
            <w:tcW w:w="112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513</w:t>
            </w:r>
          </w:p>
        </w:tc>
        <w:tc>
          <w:tcPr>
            <w:tcW w:w="1361"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eastAsia="ja-JP"/>
              </w:rPr>
            </w:pPr>
            <w:r w:rsidRPr="00F63FE2">
              <w:rPr>
                <w:rFonts w:eastAsia="MS PGothic"/>
                <w:sz w:val="18"/>
                <w:lang w:eastAsia="ja-JP"/>
              </w:rPr>
              <w:t>400</w:t>
            </w:r>
          </w:p>
        </w:tc>
        <w:tc>
          <w:tcPr>
            <w:tcW w:w="113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513</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eastAsia="ja-JP"/>
              </w:rPr>
            </w:pPr>
            <w:r w:rsidRPr="00F63FE2">
              <w:rPr>
                <w:rFonts w:eastAsia="MS PGothic"/>
                <w:sz w:val="18"/>
                <w:lang w:eastAsia="ja-JP"/>
              </w:rPr>
              <w:t>400</w:t>
            </w:r>
          </w:p>
        </w:tc>
        <w:tc>
          <w:tcPr>
            <w:tcW w:w="994"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513</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lang w:eastAsia="ja-JP"/>
              </w:rPr>
              <w:t>400</w:t>
            </w:r>
          </w:p>
        </w:tc>
        <w:tc>
          <w:tcPr>
            <w:tcW w:w="940"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highlight w:val="lightGray"/>
              </w:rPr>
            </w:pPr>
            <w:r w:rsidRPr="00F63FE2">
              <w:rPr>
                <w:rFonts w:eastAsia="MS PGothic"/>
                <w:sz w:val="18"/>
              </w:rPr>
              <w:t>513</w:t>
            </w:r>
          </w:p>
        </w:tc>
        <w:tc>
          <w:tcPr>
            <w:tcW w:w="1083" w:type="dxa"/>
            <w:gridSpan w:val="3"/>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highlight w:val="lightGray"/>
              </w:rPr>
            </w:pPr>
            <w:r w:rsidRPr="00F63FE2">
              <w:rPr>
                <w:sz w:val="18"/>
              </w:rPr>
              <w:t>645</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snapToGrid w:val="0"/>
                <w:sz w:val="18"/>
              </w:rPr>
            </w:pPr>
            <w:r w:rsidRPr="00F63FE2">
              <w:rPr>
                <w:snapToGrid w:val="0"/>
                <w:sz w:val="18"/>
                <w:lang w:eastAsia="zh-CN"/>
              </w:rPr>
              <w:t>330</w:t>
            </w:r>
          </w:p>
        </w:tc>
        <w:tc>
          <w:tcPr>
            <w:tcW w:w="119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sz w:val="18"/>
                <w:highlight w:val="lightGray"/>
                <w:lang w:eastAsia="ja-JP"/>
              </w:rPr>
            </w:pPr>
            <w:r w:rsidRPr="00F63FE2">
              <w:rPr>
                <w:sz w:val="18"/>
              </w:rPr>
              <w:t>645</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highlight w:val="yellow"/>
              </w:rPr>
            </w:pPr>
            <w:r w:rsidRPr="00F63FE2">
              <w:rPr>
                <w:rFonts w:eastAsia="MS PGothic"/>
                <w:sz w:val="18"/>
              </w:rPr>
              <w:t>513</w:t>
            </w:r>
          </w:p>
        </w:tc>
      </w:tr>
    </w:tbl>
    <w:p w:rsidR="005D5DF0" w:rsidRDefault="005D5DF0" w:rsidP="005D5DF0">
      <w:pPr>
        <w:pStyle w:val="Tablefin"/>
      </w:pPr>
    </w:p>
    <w:p w:rsidR="005D5DF0" w:rsidRPr="007E79DE" w:rsidRDefault="005D5DF0" w:rsidP="005D5DF0">
      <w:pPr>
        <w:pStyle w:val="TableNo"/>
        <w:spacing w:before="0"/>
        <w:rPr>
          <w:lang w:val="en-US"/>
        </w:rPr>
      </w:pPr>
      <w:r w:rsidRPr="007D54B6">
        <w:rPr>
          <w:lang w:val="en-US"/>
        </w:rPr>
        <w:lastRenderedPageBreak/>
        <w:t>TABLE</w:t>
      </w:r>
      <w:r>
        <w:rPr>
          <w:lang w:val="en-US"/>
        </w:rPr>
        <w:t>AU</w:t>
      </w:r>
      <w:r w:rsidRPr="007D54B6">
        <w:rPr>
          <w:lang w:val="en-US"/>
        </w:rPr>
        <w:t xml:space="preserve"> 2</w:t>
      </w:r>
      <w:r>
        <w:rPr>
          <w:lang w:val="en-US"/>
        </w:rPr>
        <w:t xml:space="preserve"> (</w:t>
      </w:r>
      <w:r>
        <w:rPr>
          <w:i/>
          <w:iCs/>
          <w:lang w:val="en-US"/>
        </w:rPr>
        <w:t>suite</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7"/>
        <w:gridCol w:w="1127"/>
        <w:gridCol w:w="1361"/>
        <w:gridCol w:w="1139"/>
        <w:gridCol w:w="1389"/>
        <w:gridCol w:w="994"/>
        <w:gridCol w:w="1389"/>
        <w:gridCol w:w="926"/>
        <w:gridCol w:w="1097"/>
        <w:gridCol w:w="920"/>
        <w:gridCol w:w="1196"/>
        <w:gridCol w:w="767"/>
        <w:gridCol w:w="677"/>
      </w:tblGrid>
      <w:tr w:rsidR="005D5DF0" w:rsidRPr="00F63FE2" w:rsidTr="00A715CF">
        <w:trPr>
          <w:cantSplit/>
          <w:tblHeader/>
          <w:jc w:val="center"/>
        </w:trPr>
        <w:tc>
          <w:tcPr>
            <w:tcW w:w="147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lang w:val="en-US"/>
              </w:rPr>
            </w:pPr>
          </w:p>
        </w:tc>
        <w:tc>
          <w:tcPr>
            <w:tcW w:w="112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1</w:t>
            </w:r>
          </w:p>
        </w:tc>
        <w:tc>
          <w:tcPr>
            <w:tcW w:w="1361"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2</w:t>
            </w:r>
          </w:p>
        </w:tc>
        <w:tc>
          <w:tcPr>
            <w:tcW w:w="113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3</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4</w:t>
            </w:r>
          </w:p>
        </w:tc>
        <w:tc>
          <w:tcPr>
            <w:tcW w:w="994"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5</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sz w:val="18"/>
              </w:rPr>
            </w:pPr>
            <w:r w:rsidRPr="00F63FE2">
              <w:rPr>
                <w:sz w:val="18"/>
              </w:rPr>
              <w:t>6</w:t>
            </w:r>
          </w:p>
        </w:tc>
        <w:tc>
          <w:tcPr>
            <w:tcW w:w="926"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7</w:t>
            </w:r>
          </w:p>
        </w:tc>
        <w:tc>
          <w:tcPr>
            <w:tcW w:w="109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8</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head"/>
              <w:rPr>
                <w:rFonts w:eastAsia="MS PGothic"/>
                <w:sz w:val="18"/>
              </w:rPr>
            </w:pPr>
            <w:r w:rsidRPr="00F63FE2">
              <w:rPr>
                <w:rFonts w:eastAsia="MS PGothic"/>
                <w:sz w:val="18"/>
              </w:rPr>
              <w:t>9</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head"/>
              <w:rPr>
                <w:rFonts w:eastAsia="MS PGothic"/>
                <w:sz w:val="18"/>
              </w:rPr>
            </w:pPr>
            <w:r w:rsidRPr="00F63FE2">
              <w:rPr>
                <w:rFonts w:eastAsia="MS PGothic"/>
                <w:sz w:val="18"/>
              </w:rPr>
              <w:t>10</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head"/>
              <w:rPr>
                <w:rFonts w:eastAsia="MS PGothic"/>
                <w:sz w:val="18"/>
              </w:rPr>
            </w:pPr>
            <w:r w:rsidRPr="00F63FE2">
              <w:rPr>
                <w:rFonts w:eastAsia="MS PGothic"/>
                <w:sz w:val="18"/>
              </w:rPr>
              <w:t>11</w:t>
            </w:r>
          </w:p>
        </w:tc>
      </w:tr>
      <w:tr w:rsidR="005D5DF0" w:rsidRPr="00F63FE2" w:rsidTr="00A715CF">
        <w:trPr>
          <w:cantSplit/>
          <w:jc w:val="center"/>
        </w:trPr>
        <w:tc>
          <w:tcPr>
            <w:tcW w:w="1477" w:type="dxa"/>
            <w:tcBorders>
              <w:top w:val="single" w:sz="4" w:space="0" w:color="auto"/>
              <w:left w:val="single" w:sz="4" w:space="0" w:color="auto"/>
              <w:bottom w:val="single" w:sz="4" w:space="0" w:color="auto"/>
              <w:right w:val="single" w:sz="4" w:space="0" w:color="auto"/>
            </w:tcBorders>
          </w:tcPr>
          <w:p w:rsidR="005D5DF0" w:rsidRPr="00F63FE2" w:rsidRDefault="005D5DF0" w:rsidP="00A715CF">
            <w:pPr>
              <w:pStyle w:val="Tablehead"/>
              <w:ind w:left="-57" w:right="-57"/>
              <w:rPr>
                <w:rFonts w:eastAsia="MS PGothic"/>
                <w:sz w:val="18"/>
                <w:lang w:val="en-US"/>
              </w:rPr>
            </w:pPr>
            <w:r w:rsidRPr="00F63FE2">
              <w:rPr>
                <w:rFonts w:eastAsia="MS PGothic"/>
                <w:sz w:val="18"/>
                <w:lang w:val="en-US"/>
              </w:rPr>
              <w:t>Application</w:t>
            </w:r>
            <w:r w:rsidRPr="00F63FE2">
              <w:rPr>
                <w:rFonts w:eastAsia="MS PGothic"/>
                <w:sz w:val="18"/>
                <w:lang w:val="en-US"/>
              </w:rPr>
              <w:br/>
              <w:t>(</w:t>
            </w:r>
            <w:r>
              <w:rPr>
                <w:rFonts w:eastAsia="MS PGothic"/>
                <w:sz w:val="18"/>
                <w:lang w:val="en-US"/>
              </w:rPr>
              <w:t>voir</w:t>
            </w:r>
            <w:r w:rsidRPr="00F63FE2">
              <w:rPr>
                <w:rFonts w:eastAsia="MS PGothic"/>
                <w:sz w:val="18"/>
                <w:lang w:val="en-US"/>
              </w:rPr>
              <w:t xml:space="preserve"> </w:t>
            </w:r>
            <w:r w:rsidRPr="00F63FE2">
              <w:rPr>
                <w:sz w:val="18"/>
                <w:lang w:val="en-US"/>
              </w:rPr>
              <w:t>§ 4</w:t>
            </w:r>
            <w:r w:rsidRPr="00F63FE2">
              <w:rPr>
                <w:rFonts w:eastAsia="MS PGothic"/>
                <w:sz w:val="18"/>
                <w:lang w:val="en-US"/>
              </w:rPr>
              <w:t>)</w:t>
            </w:r>
            <w:r w:rsidRPr="00F63FE2">
              <w:rPr>
                <w:rFonts w:eastAsia="MS PGothic"/>
                <w:sz w:val="18"/>
                <w:lang w:val="en-US"/>
              </w:rPr>
              <w:br/>
            </w:r>
            <w:r>
              <w:rPr>
                <w:rFonts w:eastAsia="MS PGothic"/>
                <w:sz w:val="18"/>
                <w:lang w:val="en-US"/>
              </w:rPr>
              <w:t>Paramètre</w:t>
            </w:r>
          </w:p>
        </w:tc>
        <w:tc>
          <w:tcPr>
            <w:tcW w:w="1127" w:type="dxa"/>
            <w:tcBorders>
              <w:top w:val="single" w:sz="4" w:space="0" w:color="auto"/>
              <w:left w:val="single" w:sz="4" w:space="0" w:color="auto"/>
              <w:bottom w:val="single" w:sz="4" w:space="0" w:color="auto"/>
              <w:right w:val="single" w:sz="4" w:space="0" w:color="auto"/>
            </w:tcBorders>
          </w:tcPr>
          <w:p w:rsidR="005D5DF0" w:rsidRPr="00F63FE2" w:rsidRDefault="005D5DF0" w:rsidP="00A715CF">
            <w:pPr>
              <w:pStyle w:val="Tablehead"/>
              <w:ind w:left="-57" w:right="-57"/>
              <w:rPr>
                <w:sz w:val="18"/>
                <w:lang w:val="en-US"/>
              </w:rPr>
            </w:pPr>
            <w:r w:rsidRPr="00F63FE2">
              <w:rPr>
                <w:rFonts w:eastAsia="MS PGothic"/>
                <w:sz w:val="18"/>
                <w:lang w:val="en-US"/>
              </w:rPr>
              <w:t xml:space="preserve">SBAS </w:t>
            </w:r>
            <w:r>
              <w:rPr>
                <w:rFonts w:eastAsia="MS PGothic"/>
                <w:sz w:val="18"/>
                <w:lang w:val="en-US"/>
              </w:rPr>
              <w:br/>
              <w:t>Catégorie</w:t>
            </w:r>
            <w:r w:rsidRPr="00F63FE2">
              <w:rPr>
                <w:rFonts w:eastAsia="MS PGothic"/>
                <w:sz w:val="18"/>
                <w:lang w:val="en-US"/>
              </w:rPr>
              <w:t> I</w:t>
            </w:r>
            <w:r>
              <w:rPr>
                <w:rFonts w:eastAsia="MS PGothic"/>
                <w:sz w:val="18"/>
                <w:lang w:val="en-US"/>
              </w:rPr>
              <w:br/>
            </w:r>
            <w:r w:rsidRPr="00F63FE2">
              <w:rPr>
                <w:sz w:val="18"/>
                <w:lang w:val="en-US"/>
              </w:rPr>
              <w:t>Type 1</w:t>
            </w:r>
          </w:p>
        </w:tc>
        <w:tc>
          <w:tcPr>
            <w:tcW w:w="1361" w:type="dxa"/>
            <w:tcBorders>
              <w:top w:val="single" w:sz="4" w:space="0" w:color="auto"/>
              <w:left w:val="single" w:sz="4" w:space="0" w:color="auto"/>
              <w:bottom w:val="single" w:sz="4" w:space="0" w:color="auto"/>
              <w:right w:val="single" w:sz="4" w:space="0" w:color="auto"/>
            </w:tcBorders>
          </w:tcPr>
          <w:p w:rsidR="005D5DF0" w:rsidRPr="00F63FE2" w:rsidRDefault="005D5DF0" w:rsidP="00A715CF">
            <w:pPr>
              <w:pStyle w:val="Tablehead"/>
              <w:ind w:left="-57" w:right="-57"/>
              <w:rPr>
                <w:rFonts w:eastAsia="MS PGothic"/>
                <w:sz w:val="18"/>
                <w:lang w:val="en-US"/>
              </w:rPr>
            </w:pPr>
            <w:r>
              <w:rPr>
                <w:rFonts w:eastAsia="MS PGothic"/>
                <w:sz w:val="18"/>
                <w:lang w:val="en-US"/>
              </w:rPr>
              <w:t xml:space="preserve">SBAS </w:t>
            </w:r>
            <w:r>
              <w:rPr>
                <w:rFonts w:eastAsia="MS PGothic"/>
                <w:sz w:val="18"/>
                <w:lang w:val="en-US"/>
              </w:rPr>
              <w:br/>
              <w:t>Catégorie</w:t>
            </w:r>
            <w:r w:rsidRPr="00F63FE2">
              <w:rPr>
                <w:rFonts w:eastAsia="MS PGothic"/>
                <w:sz w:val="18"/>
                <w:lang w:val="en-US"/>
              </w:rPr>
              <w:t> I</w:t>
            </w:r>
            <w:r>
              <w:rPr>
                <w:rFonts w:eastAsia="MS PGothic"/>
                <w:sz w:val="18"/>
                <w:lang w:val="en-US"/>
              </w:rPr>
              <w:br/>
            </w:r>
            <w:r w:rsidRPr="00F63FE2">
              <w:rPr>
                <w:sz w:val="18"/>
                <w:lang w:val="en-US"/>
              </w:rPr>
              <w:t>Type 2</w:t>
            </w:r>
          </w:p>
        </w:tc>
        <w:tc>
          <w:tcPr>
            <w:tcW w:w="1139" w:type="dxa"/>
            <w:tcBorders>
              <w:top w:val="single" w:sz="4" w:space="0" w:color="auto"/>
              <w:left w:val="single" w:sz="4" w:space="0" w:color="auto"/>
              <w:bottom w:val="single" w:sz="4" w:space="0" w:color="auto"/>
              <w:right w:val="single" w:sz="4" w:space="0" w:color="auto"/>
            </w:tcBorders>
          </w:tcPr>
          <w:p w:rsidR="005D5DF0" w:rsidRPr="00F15AA4" w:rsidRDefault="005D5DF0" w:rsidP="00A715CF">
            <w:pPr>
              <w:pStyle w:val="Tablehead"/>
              <w:ind w:left="-57" w:right="-57"/>
              <w:rPr>
                <w:sz w:val="18"/>
              </w:rPr>
            </w:pPr>
            <w:r w:rsidRPr="00F15AA4">
              <w:rPr>
                <w:rFonts w:eastAsia="MS PGothic"/>
                <w:sz w:val="18"/>
              </w:rPr>
              <w:t xml:space="preserve">GBAS </w:t>
            </w:r>
            <w:r w:rsidRPr="00F15AA4">
              <w:rPr>
                <w:rFonts w:eastAsia="MS PGothic"/>
                <w:sz w:val="18"/>
              </w:rPr>
              <w:br/>
              <w:t>Catégorie II/</w:t>
            </w:r>
            <w:r w:rsidRPr="00F15AA4">
              <w:rPr>
                <w:rFonts w:eastAsia="MS PGothic"/>
                <w:sz w:val="18"/>
              </w:rPr>
              <w:br/>
              <w:t>III</w:t>
            </w:r>
            <w:r w:rsidRPr="00F15AA4">
              <w:rPr>
                <w:rFonts w:eastAsia="MS PGothic"/>
                <w:sz w:val="18"/>
              </w:rPr>
              <w:br/>
            </w:r>
            <w:r w:rsidRPr="00F15AA4">
              <w:rPr>
                <w:sz w:val="18"/>
              </w:rPr>
              <w:t>Type 1</w:t>
            </w:r>
          </w:p>
        </w:tc>
        <w:tc>
          <w:tcPr>
            <w:tcW w:w="1389" w:type="dxa"/>
            <w:tcBorders>
              <w:top w:val="single" w:sz="4" w:space="0" w:color="auto"/>
              <w:left w:val="single" w:sz="4" w:space="0" w:color="auto"/>
              <w:bottom w:val="single" w:sz="4" w:space="0" w:color="auto"/>
              <w:right w:val="single" w:sz="4" w:space="0" w:color="auto"/>
            </w:tcBorders>
          </w:tcPr>
          <w:p w:rsidR="005D5DF0" w:rsidRPr="00F15AA4" w:rsidRDefault="005D5DF0" w:rsidP="00A715CF">
            <w:pPr>
              <w:pStyle w:val="Tablehead"/>
              <w:ind w:left="-57" w:right="-57"/>
              <w:rPr>
                <w:rFonts w:eastAsia="MS PGothic"/>
                <w:sz w:val="18"/>
              </w:rPr>
            </w:pPr>
            <w:r w:rsidRPr="00F15AA4">
              <w:rPr>
                <w:rFonts w:eastAsia="MS PGothic"/>
                <w:sz w:val="18"/>
              </w:rPr>
              <w:t xml:space="preserve">GBAS </w:t>
            </w:r>
            <w:r w:rsidRPr="00F15AA4">
              <w:rPr>
                <w:rFonts w:eastAsia="MS PGothic"/>
                <w:sz w:val="18"/>
              </w:rPr>
              <w:br/>
              <w:t>Catégorie II/III</w:t>
            </w:r>
            <w:r w:rsidRPr="00F15AA4">
              <w:rPr>
                <w:rFonts w:eastAsia="MS PGothic"/>
                <w:sz w:val="18"/>
              </w:rPr>
              <w:br/>
            </w:r>
            <w:r w:rsidRPr="00F15AA4">
              <w:rPr>
                <w:sz w:val="18"/>
              </w:rPr>
              <w:t>Type 2</w:t>
            </w:r>
          </w:p>
        </w:tc>
        <w:tc>
          <w:tcPr>
            <w:tcW w:w="994" w:type="dxa"/>
            <w:tcBorders>
              <w:top w:val="single" w:sz="4" w:space="0" w:color="auto"/>
              <w:left w:val="single" w:sz="4" w:space="0" w:color="auto"/>
              <w:bottom w:val="single" w:sz="4" w:space="0" w:color="auto"/>
              <w:right w:val="single" w:sz="4" w:space="0" w:color="auto"/>
            </w:tcBorders>
          </w:tcPr>
          <w:p w:rsidR="005D5DF0" w:rsidRPr="007B45AA" w:rsidRDefault="005D5DF0" w:rsidP="00A715CF">
            <w:pPr>
              <w:pStyle w:val="Tablehead"/>
              <w:ind w:left="-57" w:right="-57"/>
              <w:rPr>
                <w:rFonts w:eastAsia="MS PGothic"/>
                <w:sz w:val="18"/>
                <w:lang w:val="fr-CH"/>
              </w:rPr>
            </w:pPr>
            <w:r>
              <w:rPr>
                <w:rFonts w:eastAsia="MS PGothic"/>
                <w:sz w:val="18"/>
                <w:lang w:val="fr-CH"/>
              </w:rPr>
              <w:t>R</w:t>
            </w:r>
            <w:r w:rsidRPr="007B45AA">
              <w:rPr>
                <w:rFonts w:eastAsia="MS PGothic"/>
                <w:sz w:val="18"/>
                <w:lang w:val="fr-CH"/>
              </w:rPr>
              <w:t>écepteur de référence au sol</w:t>
            </w:r>
            <w:r>
              <w:rPr>
                <w:rFonts w:eastAsia="MS PGothic"/>
                <w:sz w:val="18"/>
                <w:lang w:val="fr-CH"/>
              </w:rPr>
              <w:br/>
              <w:t>SBAS</w:t>
            </w:r>
            <w:r w:rsidRPr="007B45AA">
              <w:rPr>
                <w:rFonts w:eastAsia="MS PGothic"/>
                <w:sz w:val="18"/>
                <w:lang w:val="fr-CH"/>
              </w:rPr>
              <w:t>*</w:t>
            </w:r>
          </w:p>
        </w:tc>
        <w:tc>
          <w:tcPr>
            <w:tcW w:w="1389" w:type="dxa"/>
            <w:tcBorders>
              <w:top w:val="single" w:sz="4" w:space="0" w:color="auto"/>
              <w:left w:val="single" w:sz="4" w:space="0" w:color="auto"/>
              <w:bottom w:val="single" w:sz="4" w:space="0" w:color="auto"/>
              <w:right w:val="single" w:sz="4" w:space="0" w:color="auto"/>
            </w:tcBorders>
          </w:tcPr>
          <w:p w:rsidR="005D5DF0" w:rsidRPr="00CA29E9" w:rsidRDefault="005D5DF0" w:rsidP="00A715CF">
            <w:pPr>
              <w:pStyle w:val="Tablehead"/>
              <w:ind w:left="-57" w:right="-57"/>
              <w:rPr>
                <w:rFonts w:eastAsia="MS PGothic"/>
                <w:sz w:val="18"/>
                <w:lang w:val="fr-CH"/>
              </w:rPr>
            </w:pPr>
            <w:r>
              <w:rPr>
                <w:sz w:val="18"/>
                <w:lang w:val="fr-CH"/>
              </w:rPr>
              <w:t>R</w:t>
            </w:r>
            <w:r w:rsidRPr="00CA29E9">
              <w:rPr>
                <w:sz w:val="18"/>
                <w:lang w:val="fr-CH"/>
              </w:rPr>
              <w:t xml:space="preserve">écepteur d'approche de précision </w:t>
            </w:r>
            <w:r>
              <w:rPr>
                <w:sz w:val="18"/>
                <w:lang w:val="fr-CH"/>
              </w:rPr>
              <w:t>utilisé</w:t>
            </w:r>
            <w:r w:rsidRPr="00CA29E9">
              <w:rPr>
                <w:sz w:val="18"/>
                <w:lang w:val="fr-CH"/>
              </w:rPr>
              <w:t xml:space="preserve"> </w:t>
            </w:r>
            <w:r>
              <w:rPr>
                <w:sz w:val="18"/>
                <w:lang w:val="fr-CH"/>
              </w:rPr>
              <w:t>en navigati</w:t>
            </w:r>
            <w:r w:rsidRPr="00CA29E9">
              <w:rPr>
                <w:sz w:val="18"/>
                <w:lang w:val="fr-CH"/>
              </w:rPr>
              <w:t>on aérienne</w:t>
            </w:r>
          </w:p>
        </w:tc>
        <w:tc>
          <w:tcPr>
            <w:tcW w:w="926" w:type="dxa"/>
            <w:tcBorders>
              <w:top w:val="single" w:sz="4" w:space="0" w:color="auto"/>
              <w:left w:val="single" w:sz="4" w:space="0" w:color="auto"/>
              <w:bottom w:val="single" w:sz="4" w:space="0" w:color="auto"/>
              <w:right w:val="single" w:sz="4" w:space="0" w:color="auto"/>
            </w:tcBorders>
          </w:tcPr>
          <w:p w:rsidR="005D5DF0" w:rsidRPr="00F63FE2" w:rsidRDefault="005D5DF0" w:rsidP="00A715CF">
            <w:pPr>
              <w:pStyle w:val="Tablehead"/>
              <w:ind w:left="-57" w:right="-57"/>
              <w:rPr>
                <w:rFonts w:eastAsia="MS PGothic"/>
                <w:sz w:val="18"/>
              </w:rPr>
            </w:pPr>
            <w:r>
              <w:rPr>
                <w:rFonts w:eastAsia="MS PGothic"/>
                <w:sz w:val="18"/>
              </w:rPr>
              <w:t>Récepteur assisté du SRNS</w:t>
            </w:r>
          </w:p>
        </w:tc>
        <w:tc>
          <w:tcPr>
            <w:tcW w:w="1097" w:type="dxa"/>
            <w:tcBorders>
              <w:top w:val="single" w:sz="4" w:space="0" w:color="auto"/>
              <w:left w:val="single" w:sz="4" w:space="0" w:color="auto"/>
              <w:bottom w:val="single" w:sz="4" w:space="0" w:color="auto"/>
              <w:right w:val="single" w:sz="4" w:space="0" w:color="auto"/>
            </w:tcBorders>
          </w:tcPr>
          <w:p w:rsidR="005D5DF0" w:rsidRPr="00F63FE2" w:rsidRDefault="005D5DF0" w:rsidP="00A715CF">
            <w:pPr>
              <w:pStyle w:val="Tablehead"/>
              <w:ind w:left="-57" w:right="-57"/>
              <w:rPr>
                <w:rFonts w:eastAsia="MS PGothic"/>
                <w:sz w:val="18"/>
              </w:rPr>
            </w:pPr>
            <w:r>
              <w:rPr>
                <w:rFonts w:eastAsia="MS PGothic"/>
                <w:sz w:val="18"/>
              </w:rPr>
              <w:t>Récepteur polyvalent N°</w:t>
            </w:r>
            <w:r w:rsidRPr="00F63FE2">
              <w:rPr>
                <w:rFonts w:eastAsia="MS PGothic"/>
                <w:sz w:val="18"/>
              </w:rPr>
              <w:t> 1</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D5DF0" w:rsidRPr="00F63FE2" w:rsidRDefault="005D5DF0" w:rsidP="00A715CF">
            <w:pPr>
              <w:pStyle w:val="Tablehead"/>
              <w:ind w:left="-57" w:right="-57"/>
              <w:rPr>
                <w:rFonts w:eastAsia="MS PGothic"/>
                <w:sz w:val="18"/>
              </w:rPr>
            </w:pPr>
            <w:r>
              <w:rPr>
                <w:rFonts w:eastAsia="MS PGothic"/>
                <w:sz w:val="18"/>
              </w:rPr>
              <w:t>Récepteur polyvalent</w:t>
            </w:r>
            <w:r w:rsidRPr="00F63FE2">
              <w:rPr>
                <w:rFonts w:eastAsia="MS PGothic"/>
                <w:sz w:val="18"/>
              </w:rPr>
              <w:t xml:space="preserve"> </w:t>
            </w:r>
            <w:r>
              <w:rPr>
                <w:rFonts w:eastAsia="MS PGothic"/>
                <w:sz w:val="18"/>
              </w:rPr>
              <w:t>N°</w:t>
            </w:r>
            <w:r w:rsidRPr="00F63FE2">
              <w:rPr>
                <w:rFonts w:eastAsia="MS PGothic"/>
                <w:sz w:val="18"/>
              </w:rPr>
              <w:t> 2</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D5DF0" w:rsidRPr="00F63FE2" w:rsidRDefault="005D5DF0" w:rsidP="00A715CF">
            <w:pPr>
              <w:pStyle w:val="Tablehead"/>
              <w:ind w:left="-57" w:right="-57"/>
              <w:rPr>
                <w:sz w:val="18"/>
              </w:rPr>
            </w:pPr>
            <w:r>
              <w:rPr>
                <w:rFonts w:eastAsia="MS PGothic"/>
                <w:sz w:val="18"/>
              </w:rPr>
              <w:t>Localisation à l'intérieur des bâtiments</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D5DF0" w:rsidRPr="00F63FE2" w:rsidRDefault="005D5DF0" w:rsidP="00A715CF">
            <w:pPr>
              <w:pStyle w:val="Tablehead"/>
              <w:ind w:left="-57" w:right="-57"/>
              <w:rPr>
                <w:rFonts w:eastAsia="MS PGothic"/>
                <w:sz w:val="18"/>
              </w:rPr>
            </w:pPr>
            <w:r>
              <w:rPr>
                <w:rFonts w:eastAsia="MS PGothic"/>
                <w:sz w:val="18"/>
              </w:rPr>
              <w:t>Haute précision</w:t>
            </w:r>
            <w:r w:rsidRPr="00F63FE2">
              <w:rPr>
                <w:rFonts w:eastAsia="MS PGothic"/>
                <w:sz w:val="18"/>
              </w:rPr>
              <w:t xml:space="preserve">* (Note </w:t>
            </w:r>
            <w:r w:rsidRPr="00F63FE2">
              <w:rPr>
                <w:sz w:val="18"/>
              </w:rPr>
              <w:t>11</w:t>
            </w:r>
            <w:r w:rsidRPr="00F63FE2">
              <w:rPr>
                <w:rFonts w:eastAsia="MS PGothic"/>
                <w:sz w:val="18"/>
              </w:rPr>
              <w:t>)</w:t>
            </w:r>
          </w:p>
        </w:tc>
      </w:tr>
      <w:tr w:rsidR="005D5DF0" w:rsidRPr="00F63FE2" w:rsidTr="00A715CF">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5D5DF0" w:rsidRPr="00E375C1" w:rsidRDefault="005D5DF0" w:rsidP="00C960E8">
            <w:pPr>
              <w:pStyle w:val="Tabletext"/>
              <w:jc w:val="left"/>
              <w:rPr>
                <w:rFonts w:eastAsia="MS PGothic"/>
                <w:sz w:val="18"/>
                <w:lang w:val="fr-CH"/>
              </w:rPr>
            </w:pPr>
            <w:r w:rsidRPr="00E375C1">
              <w:rPr>
                <w:rFonts w:eastAsia="MS PGothic"/>
                <w:sz w:val="18"/>
                <w:lang w:val="fr-CH"/>
              </w:rPr>
              <w:t>Niveau de puissance seuil du brouillage cumulatif à bande étroite à la sortie de l'antenne passive (dBW)</w:t>
            </w:r>
            <w:r>
              <w:rPr>
                <w:rFonts w:eastAsia="MS PGothic"/>
                <w:sz w:val="18"/>
                <w:lang w:val="fr-CH"/>
              </w:rPr>
              <w:t>, en mode poursuite</w:t>
            </w:r>
          </w:p>
        </w:tc>
        <w:tc>
          <w:tcPr>
            <w:tcW w:w="112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rPr>
              <w:t>−150</w:t>
            </w:r>
            <w:r>
              <w:rPr>
                <w:rFonts w:eastAsia="MS PGothic"/>
                <w:sz w:val="18"/>
                <w:lang w:val="en-US"/>
              </w:rPr>
              <w:t>,</w:t>
            </w:r>
            <w:r w:rsidRPr="00F63FE2">
              <w:rPr>
                <w:rFonts w:eastAsia="MS PGothic"/>
                <w:sz w:val="18"/>
                <w:lang w:val="en-US"/>
              </w:rPr>
              <w:t>5</w:t>
            </w:r>
            <w:r w:rsidRP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Notes 0 </w:t>
            </w:r>
            <w:r>
              <w:rPr>
                <w:rFonts w:eastAsia="MS PGothic"/>
                <w:sz w:val="18"/>
                <w:lang w:val="en-US"/>
              </w:rPr>
              <w:t>et</w:t>
            </w:r>
            <w:r w:rsidRPr="00F63FE2">
              <w:rPr>
                <w:rFonts w:eastAsia="MS PGothic"/>
                <w:sz w:val="18"/>
                <w:lang w:val="en-US"/>
              </w:rPr>
              <w:t> 1</w:t>
            </w:r>
            <w:r w:rsidRPr="00F63FE2">
              <w:rPr>
                <w:rFonts w:eastAsia="MS PGothic"/>
                <w:sz w:val="18"/>
                <w:lang w:val="en-US" w:eastAsia="ja-JP"/>
              </w:rPr>
              <w:t>)</w:t>
            </w:r>
          </w:p>
        </w:tc>
        <w:tc>
          <w:tcPr>
            <w:tcW w:w="1361"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rPr>
              <w:t>−149</w:t>
            </w:r>
            <w:r>
              <w:rPr>
                <w:rFonts w:eastAsia="MS PGothic"/>
                <w:sz w:val="18"/>
                <w:vertAlign w:val="superscript"/>
                <w:lang w:val="en-US" w:eastAsia="ja-JP"/>
              </w:rPr>
              <w:br/>
            </w:r>
            <w:r w:rsidRPr="00F63FE2">
              <w:rPr>
                <w:rFonts w:eastAsia="MS PGothic"/>
                <w:sz w:val="18"/>
                <w:lang w:val="en-US" w:eastAsia="ja-JP"/>
              </w:rPr>
              <w:t xml:space="preserve">(Notes 3 </w:t>
            </w:r>
            <w:r>
              <w:rPr>
                <w:rFonts w:eastAsia="MS PGothic"/>
                <w:sz w:val="18"/>
                <w:lang w:val="en-US"/>
              </w:rPr>
              <w:t>et</w:t>
            </w:r>
            <w:r w:rsidRPr="00F63FE2">
              <w:rPr>
                <w:rFonts w:eastAsia="MS PGothic"/>
                <w:sz w:val="18"/>
                <w:lang w:val="en-US" w:eastAsia="ja-JP"/>
              </w:rPr>
              <w:t> 14)</w:t>
            </w:r>
          </w:p>
        </w:tc>
        <w:tc>
          <w:tcPr>
            <w:tcW w:w="113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rPr>
              <w:t>−150</w:t>
            </w:r>
            <w:r>
              <w:rPr>
                <w:rFonts w:eastAsia="MS PGothic"/>
                <w:sz w:val="18"/>
                <w:lang w:val="en-US"/>
              </w:rPr>
              <w:t>,</w:t>
            </w:r>
            <w:r w:rsidRPr="00F63FE2">
              <w:rPr>
                <w:rFonts w:eastAsia="MS PGothic"/>
                <w:sz w:val="18"/>
                <w:lang w:val="en-US"/>
              </w:rPr>
              <w:t>5</w:t>
            </w:r>
            <w:r>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Notes 0 </w:t>
            </w:r>
            <w:r>
              <w:rPr>
                <w:rFonts w:eastAsia="MS PGothic"/>
                <w:sz w:val="18"/>
                <w:lang w:val="en-US"/>
              </w:rPr>
              <w:t>et</w:t>
            </w:r>
            <w:r w:rsidRPr="00F63FE2">
              <w:rPr>
                <w:rFonts w:eastAsia="MS PGothic"/>
                <w:sz w:val="18"/>
                <w:lang w:val="en-US"/>
              </w:rPr>
              <w:t> 1</w:t>
            </w:r>
            <w:r w:rsidRPr="00F63FE2">
              <w:rPr>
                <w:rFonts w:eastAsia="MS PGothic"/>
                <w:sz w:val="18"/>
                <w:lang w:val="en-US"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rPr>
              <w:t>−149</w:t>
            </w:r>
            <w:r>
              <w:rPr>
                <w:rFonts w:eastAsia="MS PGothic"/>
                <w:sz w:val="18"/>
                <w:vertAlign w:val="superscript"/>
                <w:lang w:val="en-US" w:eastAsia="ja-JP"/>
              </w:rPr>
              <w:br/>
            </w:r>
            <w:r w:rsidRPr="00F63FE2">
              <w:rPr>
                <w:rFonts w:eastAsia="MS PGothic"/>
                <w:sz w:val="18"/>
                <w:lang w:val="en-US" w:eastAsia="ja-JP"/>
              </w:rPr>
              <w:t xml:space="preserve">(Notes 3 </w:t>
            </w:r>
            <w:r>
              <w:rPr>
                <w:rFonts w:eastAsia="MS PGothic"/>
                <w:sz w:val="18"/>
                <w:lang w:val="en-US"/>
              </w:rPr>
              <w:t>et</w:t>
            </w:r>
            <w:r w:rsidRPr="00F63FE2">
              <w:rPr>
                <w:rFonts w:eastAsia="MS PGothic"/>
                <w:sz w:val="18"/>
                <w:lang w:val="en-US" w:eastAsia="ja-JP"/>
              </w:rPr>
              <w:t> 14)</w:t>
            </w:r>
          </w:p>
        </w:tc>
        <w:tc>
          <w:tcPr>
            <w:tcW w:w="994"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rPr>
            </w:pPr>
            <w:r w:rsidRPr="00F63FE2">
              <w:rPr>
                <w:rFonts w:eastAsia="MS PGothic"/>
                <w:sz w:val="18"/>
                <w:lang w:val="en-US"/>
              </w:rPr>
              <w:t>−160</w:t>
            </w:r>
            <w:r>
              <w:rPr>
                <w:rFonts w:eastAsia="MS PGothic"/>
                <w:sz w:val="18"/>
                <w:lang w:val="en-US"/>
              </w:rPr>
              <w:t>,</w:t>
            </w:r>
            <w:r w:rsidRPr="00F63FE2">
              <w:rPr>
                <w:rFonts w:eastAsia="MS PGothic"/>
                <w:sz w:val="18"/>
                <w:lang w:val="en-US"/>
              </w:rPr>
              <w:t>0</w:t>
            </w:r>
            <w:r w:rsidRP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 </w:t>
            </w:r>
            <w:r w:rsidRPr="00F63FE2">
              <w:rPr>
                <w:sz w:val="18"/>
                <w:lang w:val="en-US"/>
              </w:rPr>
              <w:t>9</w:t>
            </w:r>
            <w:r w:rsidRPr="00F63FE2">
              <w:rPr>
                <w:rFonts w:eastAsia="MS PGothic"/>
                <w:sz w:val="18"/>
                <w:lang w:val="en-US"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vertAlign w:val="superscript"/>
                <w:lang w:val="en-US" w:eastAsia="ja-JP"/>
              </w:rPr>
            </w:pPr>
            <w:r w:rsidRPr="00F63FE2">
              <w:rPr>
                <w:rFonts w:eastAsia="MS PGothic"/>
                <w:sz w:val="18"/>
                <w:lang w:val="en-US"/>
              </w:rPr>
              <w:t>−149</w:t>
            </w:r>
          </w:p>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eastAsia="ja-JP"/>
              </w:rPr>
              <w:t xml:space="preserve">(Notes 3 </w:t>
            </w:r>
            <w:r>
              <w:rPr>
                <w:rFonts w:eastAsia="MS PGothic"/>
                <w:sz w:val="18"/>
                <w:lang w:val="en-US"/>
              </w:rPr>
              <w:t>et</w:t>
            </w:r>
            <w:r w:rsidRPr="00F63FE2">
              <w:rPr>
                <w:rFonts w:eastAsia="MS PGothic"/>
                <w:sz w:val="18"/>
                <w:lang w:val="en-US" w:eastAsia="ja-JP"/>
              </w:rPr>
              <w:t xml:space="preserve"> 14)</w:t>
            </w:r>
          </w:p>
        </w:tc>
        <w:tc>
          <w:tcPr>
            <w:tcW w:w="926"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rPr>
              <w:t>−</w:t>
            </w:r>
            <w:r>
              <w:rPr>
                <w:rFonts w:eastAsia="MS PGothic"/>
                <w:sz w:val="18"/>
                <w:lang w:val="en-US"/>
              </w:rPr>
              <w:t>156,</w:t>
            </w:r>
            <w:r w:rsidRPr="00F63FE2">
              <w:rPr>
                <w:rFonts w:eastAsia="MS PGothic"/>
                <w:sz w:val="18"/>
                <w:lang w:val="en-US"/>
              </w:rPr>
              <w:t>9</w:t>
            </w:r>
            <w:r>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 1</w:t>
            </w:r>
            <w:r w:rsidRPr="00F63FE2">
              <w:rPr>
                <w:rFonts w:eastAsia="MS PGothic"/>
                <w:sz w:val="18"/>
                <w:lang w:val="en-US" w:eastAsia="ja-JP"/>
              </w:rPr>
              <w:t>)</w:t>
            </w:r>
          </w:p>
        </w:tc>
        <w:tc>
          <w:tcPr>
            <w:tcW w:w="109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sz w:val="18"/>
                <w:lang w:val="en-US" w:eastAsia="ja-JP"/>
              </w:rPr>
            </w:pPr>
            <w:r w:rsidRPr="00F63FE2">
              <w:rPr>
                <w:sz w:val="18"/>
                <w:lang w:val="en-US" w:eastAsia="ja-JP"/>
              </w:rPr>
              <w:t>−152</w:t>
            </w:r>
            <w:r>
              <w:rPr>
                <w:sz w:val="18"/>
                <w:lang w:val="en-US" w:eastAsia="ja-JP"/>
              </w:rPr>
              <w:br/>
            </w:r>
            <w:r w:rsidRPr="00F63FE2">
              <w:rPr>
                <w:sz w:val="18"/>
                <w:lang w:val="en-US" w:eastAsia="ja-JP"/>
              </w:rPr>
              <w:t xml:space="preserve">(Note 2, </w:t>
            </w:r>
            <w:r>
              <w:rPr>
                <w:sz w:val="18"/>
                <w:lang w:val="en-US" w:eastAsia="ja-JP"/>
              </w:rPr>
              <w:t>AMRC</w:t>
            </w:r>
            <w:r w:rsidRPr="00F63FE2">
              <w:rPr>
                <w:sz w:val="18"/>
                <w:lang w:val="en-US" w:eastAsia="ja-JP"/>
              </w:rPr>
              <w:t>)</w:t>
            </w:r>
            <w:r w:rsidRPr="00F63FE2">
              <w:rPr>
                <w:sz w:val="18"/>
                <w:lang w:val="en-US" w:eastAsia="ja-JP"/>
              </w:rPr>
              <w:br/>
              <w:t xml:space="preserve">(Note 3, </w:t>
            </w:r>
            <w:r>
              <w:rPr>
                <w:sz w:val="18"/>
                <w:lang w:val="en-US" w:eastAsia="ja-JP"/>
              </w:rPr>
              <w:t>AMRF</w:t>
            </w:r>
            <w:r w:rsidRPr="00F63FE2">
              <w:rPr>
                <w:sz w:val="18"/>
                <w:lang w:val="en-US" w:eastAsia="ja-JP"/>
              </w:rPr>
              <w:t>)</w:t>
            </w:r>
          </w:p>
        </w:tc>
        <w:tc>
          <w:tcPr>
            <w:tcW w:w="920"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snapToGrid w:val="0"/>
                <w:sz w:val="18"/>
                <w:lang w:val="en-US"/>
              </w:rPr>
            </w:pPr>
            <w:r w:rsidRPr="00F63FE2">
              <w:rPr>
                <w:rFonts w:eastAsia="MS PGothic"/>
                <w:sz w:val="18"/>
                <w:lang w:val="en-US"/>
              </w:rPr>
              <w:t>−</w:t>
            </w:r>
            <w:r w:rsidRPr="00F63FE2">
              <w:rPr>
                <w:snapToGrid w:val="0"/>
                <w:sz w:val="18"/>
                <w:lang w:val="en-US" w:eastAsia="zh-CN"/>
              </w:rPr>
              <w:t>150</w:t>
            </w:r>
            <w:r>
              <w:rPr>
                <w:snapToGrid w:val="0"/>
                <w:sz w:val="18"/>
                <w:lang w:val="en-US" w:eastAsia="zh-CN"/>
              </w:rPr>
              <w:br/>
            </w:r>
            <w:r w:rsidRPr="00F63FE2">
              <w:rPr>
                <w:snapToGrid w:val="0"/>
                <w:sz w:val="18"/>
                <w:lang w:val="en-US" w:eastAsia="zh-CN"/>
              </w:rPr>
              <w:t>(Note 4)</w:t>
            </w:r>
          </w:p>
        </w:tc>
        <w:tc>
          <w:tcPr>
            <w:tcW w:w="1196"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sz w:val="18"/>
                <w:lang w:val="en-US" w:eastAsia="ja-JP"/>
              </w:rPr>
            </w:pPr>
            <w:r w:rsidRPr="00F63FE2">
              <w:rPr>
                <w:sz w:val="18"/>
                <w:lang w:val="en-US" w:eastAsia="ja-JP"/>
              </w:rPr>
              <w:t>−184</w:t>
            </w:r>
            <w:r>
              <w:rPr>
                <w:sz w:val="18"/>
                <w:lang w:val="en-US" w:eastAsia="ja-JP"/>
              </w:rPr>
              <w:br/>
            </w:r>
            <w:r w:rsidRPr="00F63FE2">
              <w:rPr>
                <w:sz w:val="18"/>
                <w:lang w:val="en-US" w:eastAsia="ja-JP"/>
              </w:rPr>
              <w:t xml:space="preserve">(Note 2, </w:t>
            </w:r>
            <w:r>
              <w:rPr>
                <w:sz w:val="18"/>
                <w:lang w:val="en-US" w:eastAsia="ja-JP"/>
              </w:rPr>
              <w:t>AMRC</w:t>
            </w:r>
            <w:r w:rsidRPr="00F63FE2">
              <w:rPr>
                <w:sz w:val="18"/>
                <w:lang w:val="en-US" w:eastAsia="ja-JP"/>
              </w:rPr>
              <w:t>)</w:t>
            </w:r>
            <w:r w:rsidRPr="00F63FE2">
              <w:rPr>
                <w:sz w:val="18"/>
                <w:lang w:val="en-US" w:eastAsia="ja-JP"/>
              </w:rPr>
              <w:br/>
              <w:t xml:space="preserve">(Note 3, </w:t>
            </w:r>
            <w:r>
              <w:rPr>
                <w:sz w:val="18"/>
                <w:lang w:val="en-US" w:eastAsia="ja-JP"/>
              </w:rPr>
              <w:t>AMRF</w:t>
            </w:r>
            <w:r w:rsidRPr="00F63FE2">
              <w:rPr>
                <w:sz w:val="18"/>
                <w:lang w:val="en-US" w:eastAsia="ja-JP"/>
              </w:rPr>
              <w:t>)</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vertAlign w:val="superscript"/>
                <w:lang w:val="en-US"/>
              </w:rPr>
            </w:pPr>
            <w:r w:rsidRPr="00F63FE2">
              <w:rPr>
                <w:rFonts w:eastAsia="MS PGothic"/>
                <w:sz w:val="18"/>
                <w:lang w:val="en-US"/>
              </w:rPr>
              <w:t>−</w:t>
            </w:r>
            <w:r>
              <w:rPr>
                <w:rFonts w:eastAsia="MS PGothic"/>
                <w:sz w:val="18"/>
                <w:lang w:val="en-US"/>
              </w:rPr>
              <w:t>157,</w:t>
            </w:r>
            <w:r w:rsidRPr="00F63FE2">
              <w:rPr>
                <w:rFonts w:eastAsia="MS PGothic"/>
                <w:sz w:val="18"/>
                <w:lang w:val="en-US"/>
              </w:rPr>
              <w:t>4</w:t>
            </w:r>
            <w:r>
              <w:rPr>
                <w:rFonts w:eastAsia="MS PGothic"/>
                <w:sz w:val="18"/>
                <w:lang w:val="en-US"/>
              </w:rPr>
              <w:br/>
            </w:r>
            <w:r w:rsidRPr="00F63FE2">
              <w:rPr>
                <w:rFonts w:eastAsia="MS PGothic"/>
                <w:sz w:val="18"/>
                <w:lang w:val="en-US" w:eastAsia="ja-JP"/>
              </w:rPr>
              <w:t>(</w:t>
            </w:r>
            <w:r w:rsidRPr="00F63FE2">
              <w:rPr>
                <w:rFonts w:eastAsia="MS PGothic"/>
                <w:sz w:val="18"/>
                <w:lang w:val="en-US"/>
              </w:rPr>
              <w:t>Note 1</w:t>
            </w:r>
            <w:r w:rsidRPr="00F63FE2">
              <w:rPr>
                <w:rFonts w:eastAsia="MS PGothic"/>
                <w:sz w:val="18"/>
                <w:lang w:val="en-US" w:eastAsia="ja-JP"/>
              </w:rPr>
              <w:t>)</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rPr>
              <w:t>–157</w:t>
            </w:r>
            <w:r>
              <w:rPr>
                <w:rFonts w:eastAsia="MS PGothic"/>
                <w:sz w:val="18"/>
                <w:lang w:val="en-US"/>
              </w:rPr>
              <w:t>,</w:t>
            </w:r>
            <w:r w:rsidRPr="00F63FE2">
              <w:rPr>
                <w:rFonts w:eastAsia="MS PGothic"/>
                <w:sz w:val="18"/>
                <w:lang w:val="en-US"/>
              </w:rPr>
              <w:t>4</w:t>
            </w:r>
            <w:r>
              <w:rPr>
                <w:rFonts w:eastAsia="MS PGothic"/>
                <w:sz w:val="18"/>
                <w:lang w:val="en-US"/>
              </w:rPr>
              <w:br/>
            </w:r>
            <w:r w:rsidRPr="00F63FE2">
              <w:rPr>
                <w:rFonts w:eastAsia="MS PGothic"/>
                <w:sz w:val="18"/>
                <w:lang w:val="en-US"/>
              </w:rPr>
              <w:t>(Note 3)</w:t>
            </w:r>
          </w:p>
        </w:tc>
      </w:tr>
      <w:tr w:rsidR="005D5DF0" w:rsidRPr="00F63FE2" w:rsidTr="00A715CF">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5D5DF0" w:rsidRPr="00F70A16" w:rsidRDefault="005D5DF0" w:rsidP="00C960E8">
            <w:pPr>
              <w:pStyle w:val="Tabletext"/>
              <w:jc w:val="left"/>
              <w:rPr>
                <w:rFonts w:eastAsia="MS PGothic"/>
                <w:sz w:val="18"/>
                <w:lang w:val="fr-CH"/>
              </w:rPr>
            </w:pPr>
            <w:r w:rsidRPr="00E375C1">
              <w:rPr>
                <w:rFonts w:eastAsia="MS PGothic"/>
                <w:sz w:val="18"/>
                <w:lang w:val="fr-CH"/>
              </w:rPr>
              <w:t>Niveau de puissance seuil du brouillage cumulatif à bande étroite à la sortie de l'antenne passive (dBW)</w:t>
            </w:r>
            <w:r>
              <w:rPr>
                <w:rFonts w:eastAsia="MS PGothic"/>
                <w:sz w:val="18"/>
                <w:lang w:val="fr-CH"/>
              </w:rPr>
              <w:t>, en mode acquisition</w:t>
            </w:r>
          </w:p>
        </w:tc>
        <w:tc>
          <w:tcPr>
            <w:tcW w:w="112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rPr>
              <w:t>−156</w:t>
            </w:r>
            <w:r>
              <w:rPr>
                <w:rFonts w:eastAsia="MS PGothic"/>
                <w:sz w:val="18"/>
                <w:lang w:val="en-US"/>
              </w:rPr>
              <w:t>,</w:t>
            </w:r>
            <w:r w:rsidRPr="00F63FE2">
              <w:rPr>
                <w:rFonts w:eastAsia="MS PGothic"/>
                <w:sz w:val="18"/>
                <w:lang w:val="en-US"/>
              </w:rPr>
              <w:t>5</w:t>
            </w:r>
            <w:r>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Notes 0 </w:t>
            </w:r>
            <w:r>
              <w:rPr>
                <w:rFonts w:eastAsia="MS PGothic"/>
                <w:sz w:val="18"/>
                <w:lang w:val="en-US"/>
              </w:rPr>
              <w:t>et</w:t>
            </w:r>
            <w:r w:rsidRPr="00F63FE2">
              <w:rPr>
                <w:rFonts w:eastAsia="MS PGothic"/>
                <w:sz w:val="18"/>
                <w:lang w:val="en-US"/>
              </w:rPr>
              <w:t> 1</w:t>
            </w:r>
            <w:r w:rsidRPr="00F63FE2">
              <w:rPr>
                <w:rFonts w:eastAsia="MS PGothic"/>
                <w:sz w:val="18"/>
                <w:lang w:val="en-US" w:eastAsia="ja-JP"/>
              </w:rPr>
              <w:t>)</w:t>
            </w:r>
          </w:p>
        </w:tc>
        <w:tc>
          <w:tcPr>
            <w:tcW w:w="1361"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sz w:val="18"/>
                <w:lang w:val="en-US" w:eastAsia="ja-JP"/>
              </w:rPr>
            </w:pPr>
            <w:r w:rsidRPr="00F63FE2">
              <w:rPr>
                <w:rFonts w:eastAsia="MS PGothic"/>
                <w:sz w:val="18"/>
                <w:lang w:val="en-US"/>
              </w:rPr>
              <w:t>−155</w:t>
            </w:r>
            <w:r>
              <w:rPr>
                <w:rFonts w:eastAsia="MS PGothic"/>
                <w:sz w:val="18"/>
                <w:vertAlign w:val="superscript"/>
                <w:lang w:val="en-US" w:eastAsia="ja-JP"/>
              </w:rPr>
              <w:br/>
            </w:r>
            <w:r w:rsidRPr="00F63FE2">
              <w:rPr>
                <w:rFonts w:eastAsia="MS PGothic"/>
                <w:sz w:val="18"/>
                <w:lang w:val="en-US" w:eastAsia="ja-JP"/>
              </w:rPr>
              <w:t xml:space="preserve">(Notes 3 </w:t>
            </w:r>
            <w:r>
              <w:rPr>
                <w:rFonts w:eastAsia="MS PGothic"/>
                <w:sz w:val="18"/>
                <w:lang w:val="en-US"/>
              </w:rPr>
              <w:t>et</w:t>
            </w:r>
            <w:r w:rsidRPr="00F63FE2">
              <w:rPr>
                <w:rFonts w:eastAsia="MS PGothic"/>
                <w:sz w:val="18"/>
                <w:lang w:val="en-US" w:eastAsia="ja-JP"/>
              </w:rPr>
              <w:t> 14)</w:t>
            </w:r>
          </w:p>
        </w:tc>
        <w:tc>
          <w:tcPr>
            <w:tcW w:w="113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rPr>
            </w:pPr>
            <w:r w:rsidRPr="00F63FE2">
              <w:rPr>
                <w:rFonts w:eastAsia="MS PGothic"/>
                <w:sz w:val="18"/>
                <w:lang w:val="en-US"/>
              </w:rPr>
              <w:t>−156</w:t>
            </w:r>
            <w:r>
              <w:rPr>
                <w:rFonts w:eastAsia="MS PGothic"/>
                <w:sz w:val="18"/>
                <w:lang w:val="en-US"/>
              </w:rPr>
              <w:t>,</w:t>
            </w:r>
            <w:r w:rsidRPr="00F63FE2">
              <w:rPr>
                <w:rFonts w:eastAsia="MS PGothic"/>
                <w:sz w:val="18"/>
                <w:lang w:val="en-US"/>
              </w:rPr>
              <w:t>5</w:t>
            </w:r>
            <w:r>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Notes 0 </w:t>
            </w:r>
            <w:r>
              <w:rPr>
                <w:rFonts w:eastAsia="MS PGothic"/>
                <w:sz w:val="18"/>
                <w:lang w:val="en-US"/>
              </w:rPr>
              <w:t>et</w:t>
            </w:r>
            <w:r w:rsidRPr="00F63FE2">
              <w:rPr>
                <w:rFonts w:eastAsia="MS PGothic"/>
                <w:sz w:val="18"/>
                <w:lang w:val="en-US"/>
              </w:rPr>
              <w:t> 1</w:t>
            </w:r>
            <w:r w:rsidRPr="00F63FE2">
              <w:rPr>
                <w:rFonts w:eastAsia="MS PGothic"/>
                <w:sz w:val="18"/>
                <w:lang w:val="en-US"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sz w:val="18"/>
                <w:lang w:val="en-US" w:eastAsia="ja-JP"/>
              </w:rPr>
            </w:pPr>
            <w:r w:rsidRPr="00F63FE2">
              <w:rPr>
                <w:rFonts w:eastAsia="MS PGothic"/>
                <w:sz w:val="18"/>
                <w:lang w:val="en-US"/>
              </w:rPr>
              <w:t>−155</w:t>
            </w:r>
            <w:r>
              <w:rPr>
                <w:rFonts w:eastAsia="MS PGothic"/>
                <w:sz w:val="18"/>
                <w:vertAlign w:val="superscript"/>
                <w:lang w:val="en-US" w:eastAsia="ja-JP"/>
              </w:rPr>
              <w:br/>
            </w:r>
            <w:r w:rsidRPr="00F63FE2">
              <w:rPr>
                <w:rFonts w:eastAsia="MS PGothic"/>
                <w:sz w:val="18"/>
                <w:lang w:val="en-US" w:eastAsia="ja-JP"/>
              </w:rPr>
              <w:t xml:space="preserve">(Notes 3 </w:t>
            </w:r>
            <w:r>
              <w:rPr>
                <w:rFonts w:eastAsia="MS PGothic"/>
                <w:sz w:val="18"/>
                <w:lang w:val="en-US"/>
              </w:rPr>
              <w:t>et</w:t>
            </w:r>
            <w:r w:rsidRPr="00F63FE2">
              <w:rPr>
                <w:rFonts w:eastAsia="MS PGothic"/>
                <w:sz w:val="18"/>
                <w:lang w:val="en-US" w:eastAsia="ja-JP"/>
              </w:rPr>
              <w:t> 14)</w:t>
            </w:r>
          </w:p>
        </w:tc>
        <w:tc>
          <w:tcPr>
            <w:tcW w:w="994"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rPr>
            </w:pPr>
            <w:r w:rsidRPr="00F63FE2">
              <w:rPr>
                <w:rFonts w:eastAsia="MS PGothic"/>
                <w:sz w:val="18"/>
                <w:lang w:val="en-US"/>
              </w:rPr>
              <w:t>−157</w:t>
            </w:r>
            <w:r>
              <w:rPr>
                <w:rFonts w:eastAsia="MS PGothic"/>
                <w:sz w:val="18"/>
                <w:lang w:val="en-US"/>
              </w:rPr>
              <w:t>,</w:t>
            </w:r>
            <w:r w:rsidRPr="00F63FE2">
              <w:rPr>
                <w:rFonts w:eastAsia="MS PGothic"/>
                <w:sz w:val="18"/>
                <w:lang w:val="en-US"/>
              </w:rPr>
              <w:t>4</w:t>
            </w:r>
            <w:r>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 </w:t>
            </w:r>
            <w:r w:rsidRPr="00F63FE2">
              <w:rPr>
                <w:sz w:val="18"/>
                <w:lang w:val="en-US"/>
              </w:rPr>
              <w:t>9</w:t>
            </w:r>
            <w:r w:rsidRPr="00F63FE2">
              <w:rPr>
                <w:rFonts w:eastAsia="MS PGothic"/>
                <w:sz w:val="18"/>
                <w:lang w:val="en-US"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rPr>
              <w:t>−155</w:t>
            </w:r>
            <w:r>
              <w:rPr>
                <w:rFonts w:eastAsia="MS PGothic"/>
                <w:sz w:val="18"/>
                <w:vertAlign w:val="superscript"/>
                <w:lang w:val="en-US" w:eastAsia="ja-JP"/>
              </w:rPr>
              <w:br/>
            </w:r>
            <w:r w:rsidRPr="00F63FE2">
              <w:rPr>
                <w:rFonts w:eastAsia="MS PGothic"/>
                <w:sz w:val="18"/>
                <w:lang w:val="en-US" w:eastAsia="ja-JP"/>
              </w:rPr>
              <w:t xml:space="preserve">(Notes 3 </w:t>
            </w:r>
            <w:r>
              <w:rPr>
                <w:rFonts w:eastAsia="MS PGothic"/>
                <w:sz w:val="18"/>
                <w:lang w:val="en-US"/>
              </w:rPr>
              <w:t>et</w:t>
            </w:r>
            <w:r w:rsidRPr="00F63FE2">
              <w:rPr>
                <w:rFonts w:eastAsia="MS PGothic"/>
                <w:sz w:val="18"/>
                <w:lang w:val="en-US" w:eastAsia="ja-JP"/>
              </w:rPr>
              <w:t xml:space="preserve"> 14)</w:t>
            </w:r>
          </w:p>
        </w:tc>
        <w:tc>
          <w:tcPr>
            <w:tcW w:w="926"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rPr>
              <w:t>−</w:t>
            </w:r>
            <w:r>
              <w:rPr>
                <w:rFonts w:eastAsia="MS PGothic"/>
                <w:sz w:val="18"/>
                <w:lang w:val="en-US"/>
              </w:rPr>
              <w:t>156,</w:t>
            </w:r>
            <w:r w:rsidRPr="00F63FE2">
              <w:rPr>
                <w:rFonts w:eastAsia="MS PGothic"/>
                <w:sz w:val="18"/>
                <w:lang w:val="en-US"/>
              </w:rPr>
              <w:t>9</w:t>
            </w:r>
            <w:r>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 1</w:t>
            </w:r>
            <w:r w:rsidRPr="00F63FE2">
              <w:rPr>
                <w:rFonts w:eastAsia="MS PGothic"/>
                <w:sz w:val="18"/>
                <w:lang w:val="en-US" w:eastAsia="ja-JP"/>
              </w:rPr>
              <w:t>)</w:t>
            </w:r>
          </w:p>
        </w:tc>
        <w:tc>
          <w:tcPr>
            <w:tcW w:w="109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sz w:val="18"/>
                <w:lang w:val="en-US" w:eastAsia="ja-JP"/>
              </w:rPr>
            </w:pPr>
            <w:r w:rsidRPr="00F63FE2">
              <w:rPr>
                <w:sz w:val="18"/>
                <w:lang w:val="en-US" w:eastAsia="ja-JP"/>
              </w:rPr>
              <w:t>−158</w:t>
            </w:r>
            <w:r>
              <w:rPr>
                <w:sz w:val="18"/>
                <w:lang w:val="en-US" w:eastAsia="ja-JP"/>
              </w:rPr>
              <w:br/>
            </w:r>
            <w:r w:rsidRPr="00F63FE2">
              <w:rPr>
                <w:sz w:val="18"/>
                <w:lang w:val="en-US" w:eastAsia="ja-JP"/>
              </w:rPr>
              <w:t xml:space="preserve">(Note 2, </w:t>
            </w:r>
            <w:r>
              <w:rPr>
                <w:sz w:val="18"/>
                <w:lang w:val="en-US" w:eastAsia="ja-JP"/>
              </w:rPr>
              <w:t>AMRC</w:t>
            </w:r>
            <w:r w:rsidRPr="00F63FE2">
              <w:rPr>
                <w:sz w:val="18"/>
                <w:lang w:val="en-US" w:eastAsia="ja-JP"/>
              </w:rPr>
              <w:t>)</w:t>
            </w:r>
            <w:r w:rsidRPr="00F63FE2">
              <w:rPr>
                <w:sz w:val="18"/>
                <w:lang w:val="en-US" w:eastAsia="ja-JP"/>
              </w:rPr>
              <w:br/>
              <w:t xml:space="preserve">(Note 3, </w:t>
            </w:r>
            <w:r>
              <w:rPr>
                <w:sz w:val="18"/>
                <w:lang w:val="en-US" w:eastAsia="ja-JP"/>
              </w:rPr>
              <w:t>AMRF</w:t>
            </w:r>
            <w:r w:rsidRPr="00F63FE2">
              <w:rPr>
                <w:sz w:val="18"/>
                <w:lang w:val="en-US" w:eastAsia="ja-JP"/>
              </w:rPr>
              <w:t>)</w:t>
            </w:r>
          </w:p>
        </w:tc>
        <w:tc>
          <w:tcPr>
            <w:tcW w:w="920"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caps/>
                <w:snapToGrid w:val="0"/>
                <w:sz w:val="18"/>
                <w:lang w:val="en-US"/>
              </w:rPr>
            </w:pPr>
            <w:r w:rsidRPr="00F63FE2">
              <w:rPr>
                <w:rFonts w:eastAsia="MS PGothic"/>
                <w:sz w:val="18"/>
                <w:lang w:val="en-US"/>
              </w:rPr>
              <w:t>−</w:t>
            </w:r>
            <w:r w:rsidRPr="00F63FE2">
              <w:rPr>
                <w:caps/>
                <w:snapToGrid w:val="0"/>
                <w:sz w:val="18"/>
                <w:lang w:val="en-US" w:eastAsia="zh-CN"/>
              </w:rPr>
              <w:t>156</w:t>
            </w:r>
            <w:r>
              <w:rPr>
                <w:caps/>
                <w:snapToGrid w:val="0"/>
                <w:sz w:val="18"/>
                <w:lang w:val="en-US" w:eastAsia="zh-CN"/>
              </w:rPr>
              <w:br/>
            </w:r>
            <w:r w:rsidRPr="00F63FE2">
              <w:rPr>
                <w:snapToGrid w:val="0"/>
                <w:sz w:val="18"/>
                <w:lang w:val="en-US" w:eastAsia="zh-CN"/>
              </w:rPr>
              <w:t>(Note 4)</w:t>
            </w:r>
          </w:p>
        </w:tc>
        <w:tc>
          <w:tcPr>
            <w:tcW w:w="1196"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sz w:val="18"/>
                <w:lang w:val="en-US" w:eastAsia="ja-JP"/>
              </w:rPr>
            </w:pPr>
            <w:r w:rsidRPr="00F63FE2">
              <w:rPr>
                <w:sz w:val="18"/>
                <w:lang w:val="en-US" w:eastAsia="ja-JP"/>
              </w:rPr>
              <w:t>−190</w:t>
            </w:r>
            <w:r>
              <w:rPr>
                <w:sz w:val="18"/>
                <w:lang w:val="en-US" w:eastAsia="ja-JP"/>
              </w:rPr>
              <w:br/>
            </w:r>
            <w:r w:rsidRPr="00F63FE2">
              <w:rPr>
                <w:sz w:val="18"/>
                <w:lang w:val="en-US" w:eastAsia="ja-JP"/>
              </w:rPr>
              <w:t xml:space="preserve">(Note 2, </w:t>
            </w:r>
            <w:r>
              <w:rPr>
                <w:sz w:val="18"/>
                <w:lang w:val="en-US" w:eastAsia="ja-JP"/>
              </w:rPr>
              <w:t>AMRC</w:t>
            </w:r>
            <w:r w:rsidRPr="00F63FE2">
              <w:rPr>
                <w:sz w:val="18"/>
                <w:lang w:val="en-US" w:eastAsia="ja-JP"/>
              </w:rPr>
              <w:t>)</w:t>
            </w:r>
            <w:r w:rsidRPr="00F63FE2">
              <w:rPr>
                <w:sz w:val="18"/>
                <w:lang w:val="en-US" w:eastAsia="ja-JP"/>
              </w:rPr>
              <w:br/>
              <w:t xml:space="preserve">(Note 3, </w:t>
            </w:r>
            <w:r>
              <w:rPr>
                <w:sz w:val="18"/>
                <w:lang w:val="en-US" w:eastAsia="ja-JP"/>
              </w:rPr>
              <w:t>AMRF</w:t>
            </w:r>
            <w:r w:rsidRPr="00F63FE2">
              <w:rPr>
                <w:sz w:val="18"/>
                <w:lang w:val="en-US" w:eastAsia="ja-JP"/>
              </w:rPr>
              <w:t>)</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rPr>
              <w:t>−</w:t>
            </w:r>
            <w:r>
              <w:rPr>
                <w:rFonts w:eastAsia="MS PGothic"/>
                <w:sz w:val="18"/>
                <w:lang w:val="en-US"/>
              </w:rPr>
              <w:t>157,</w:t>
            </w:r>
            <w:r w:rsidRPr="00F63FE2">
              <w:rPr>
                <w:rFonts w:eastAsia="MS PGothic"/>
                <w:sz w:val="18"/>
                <w:lang w:val="en-US"/>
              </w:rPr>
              <w:t>4</w:t>
            </w:r>
            <w:r>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 1</w:t>
            </w:r>
            <w:r w:rsidRPr="00F63FE2">
              <w:rPr>
                <w:rFonts w:eastAsia="MS PGothic"/>
                <w:sz w:val="18"/>
                <w:lang w:val="en-US" w:eastAsia="ja-JP"/>
              </w:rPr>
              <w:t>)</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eastAsia="ja-JP"/>
              </w:rPr>
              <w:t>–157</w:t>
            </w:r>
            <w:r>
              <w:rPr>
                <w:rFonts w:eastAsia="MS PGothic"/>
                <w:sz w:val="18"/>
                <w:lang w:val="en-US" w:eastAsia="ja-JP"/>
              </w:rPr>
              <w:t>,</w:t>
            </w:r>
            <w:r w:rsidRPr="00F63FE2">
              <w:rPr>
                <w:rFonts w:eastAsia="MS PGothic"/>
                <w:sz w:val="18"/>
                <w:lang w:val="en-US" w:eastAsia="ja-JP"/>
              </w:rPr>
              <w:t>4</w:t>
            </w:r>
            <w:r>
              <w:rPr>
                <w:rFonts w:eastAsia="MS PGothic"/>
                <w:sz w:val="18"/>
                <w:lang w:val="en-US" w:eastAsia="ja-JP"/>
              </w:rPr>
              <w:br/>
            </w:r>
            <w:r w:rsidRPr="00F63FE2">
              <w:rPr>
                <w:rFonts w:eastAsia="MS PGothic"/>
                <w:sz w:val="18"/>
                <w:lang w:val="en-US"/>
              </w:rPr>
              <w:t>(Note 3)</w:t>
            </w:r>
          </w:p>
        </w:tc>
      </w:tr>
      <w:tr w:rsidR="005D5DF0" w:rsidRPr="00F63FE2" w:rsidTr="00A715CF">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5D5DF0" w:rsidRPr="00D736F2" w:rsidRDefault="005D5DF0" w:rsidP="00C960E8">
            <w:pPr>
              <w:pStyle w:val="Tabletext"/>
              <w:jc w:val="left"/>
              <w:rPr>
                <w:rFonts w:eastAsia="MS PGothic"/>
                <w:sz w:val="18"/>
              </w:rPr>
            </w:pPr>
            <w:r w:rsidRPr="00D736F2">
              <w:rPr>
                <w:rFonts w:eastAsia="MS PGothic"/>
                <w:sz w:val="18"/>
              </w:rPr>
              <w:t xml:space="preserve">Niveau </w:t>
            </w:r>
            <w:r>
              <w:rPr>
                <w:rFonts w:eastAsia="MS PGothic"/>
                <w:sz w:val="18"/>
              </w:rPr>
              <w:t>de densité de puissance seuil du</w:t>
            </w:r>
            <w:r w:rsidRPr="00D736F2">
              <w:rPr>
                <w:rFonts w:eastAsia="MS PGothic"/>
                <w:sz w:val="18"/>
              </w:rPr>
              <w:t xml:space="preserve"> brouillage cumulatif large bande à la sortie</w:t>
            </w:r>
            <w:r>
              <w:rPr>
                <w:rFonts w:eastAsia="MS PGothic"/>
                <w:sz w:val="18"/>
              </w:rPr>
              <w:t xml:space="preserve"> de l'antenne passive</w:t>
            </w:r>
            <w:r w:rsidRPr="00D736F2">
              <w:rPr>
                <w:rFonts w:eastAsia="MS PGothic"/>
                <w:sz w:val="18"/>
              </w:rPr>
              <w:t xml:space="preserve"> (dB(W/MHz))</w:t>
            </w:r>
            <w:r>
              <w:rPr>
                <w:rFonts w:eastAsia="MS PGothic"/>
                <w:sz w:val="18"/>
              </w:rPr>
              <w:t>, en mode poursuite</w:t>
            </w:r>
          </w:p>
        </w:tc>
        <w:tc>
          <w:tcPr>
            <w:tcW w:w="112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rPr>
            </w:pPr>
            <w:r w:rsidRPr="00F63FE2">
              <w:rPr>
                <w:rFonts w:eastAsia="MS PGothic"/>
                <w:sz w:val="18"/>
                <w:lang w:val="en-US"/>
              </w:rPr>
              <w:t>−140</w:t>
            </w:r>
            <w:r>
              <w:rPr>
                <w:rFonts w:eastAsia="MS PGothic"/>
                <w:sz w:val="18"/>
                <w:lang w:val="en-US"/>
              </w:rPr>
              <w:t>,</w:t>
            </w:r>
            <w:r w:rsidRPr="00F63FE2">
              <w:rPr>
                <w:rFonts w:eastAsia="MS PGothic"/>
                <w:sz w:val="18"/>
                <w:lang w:val="en-US"/>
              </w:rPr>
              <w:t>5</w:t>
            </w:r>
            <w:r w:rsidRP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Notes 0 </w:t>
            </w:r>
            <w:r>
              <w:rPr>
                <w:rFonts w:eastAsia="MS PGothic"/>
                <w:sz w:val="18"/>
                <w:lang w:val="en-US"/>
              </w:rPr>
              <w:t>et</w:t>
            </w:r>
            <w:r w:rsidRPr="00F63FE2">
              <w:rPr>
                <w:rFonts w:eastAsia="MS PGothic"/>
                <w:sz w:val="18"/>
                <w:lang w:val="en-US"/>
              </w:rPr>
              <w:t> 1</w:t>
            </w:r>
            <w:r w:rsidRPr="00F63FE2">
              <w:rPr>
                <w:rFonts w:eastAsia="MS PGothic"/>
                <w:sz w:val="18"/>
                <w:lang w:val="en-US" w:eastAsia="ja-JP"/>
              </w:rPr>
              <w:t>)</w:t>
            </w:r>
          </w:p>
        </w:tc>
        <w:tc>
          <w:tcPr>
            <w:tcW w:w="1361"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rPr>
              <w:t>−140</w:t>
            </w:r>
            <w:r w:rsidRPr="00F63FE2">
              <w:rPr>
                <w:rFonts w:eastAsia="MS PGothic"/>
                <w:sz w:val="18"/>
                <w:vertAlign w:val="superscript"/>
                <w:lang w:val="en-US" w:eastAsia="ja-JP"/>
              </w:rPr>
              <w:br/>
            </w:r>
            <w:r w:rsidRPr="00F63FE2">
              <w:rPr>
                <w:rFonts w:eastAsia="MS PGothic"/>
                <w:sz w:val="18"/>
                <w:lang w:val="en-US" w:eastAsia="ja-JP"/>
              </w:rPr>
              <w:t xml:space="preserve">(Notes 3 </w:t>
            </w:r>
            <w:r>
              <w:rPr>
                <w:rFonts w:eastAsia="MS PGothic"/>
                <w:sz w:val="18"/>
                <w:lang w:val="en-US"/>
              </w:rPr>
              <w:t>et</w:t>
            </w:r>
            <w:r w:rsidRPr="00F63FE2">
              <w:rPr>
                <w:rFonts w:eastAsia="MS PGothic"/>
                <w:sz w:val="18"/>
                <w:lang w:val="en-US" w:eastAsia="ja-JP"/>
              </w:rPr>
              <w:t> 14)</w:t>
            </w:r>
          </w:p>
        </w:tc>
        <w:tc>
          <w:tcPr>
            <w:tcW w:w="113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rPr>
            </w:pPr>
            <w:r w:rsidRPr="00F63FE2">
              <w:rPr>
                <w:rFonts w:eastAsia="MS PGothic"/>
                <w:sz w:val="18"/>
                <w:lang w:val="en-US"/>
              </w:rPr>
              <w:t>−140</w:t>
            </w:r>
            <w:r>
              <w:rPr>
                <w:rFonts w:eastAsia="MS PGothic"/>
                <w:sz w:val="18"/>
                <w:lang w:val="en-US"/>
              </w:rPr>
              <w:t>,</w:t>
            </w:r>
            <w:r w:rsidRPr="00F63FE2">
              <w:rPr>
                <w:rFonts w:eastAsia="MS PGothic"/>
                <w:sz w:val="18"/>
                <w:lang w:val="en-US"/>
              </w:rPr>
              <w:t>5</w:t>
            </w:r>
            <w:r w:rsidRP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Notes 0 </w:t>
            </w:r>
            <w:r>
              <w:rPr>
                <w:rFonts w:eastAsia="MS PGothic"/>
                <w:sz w:val="18"/>
                <w:lang w:val="en-US"/>
              </w:rPr>
              <w:t>et</w:t>
            </w:r>
            <w:r w:rsidRPr="00F63FE2">
              <w:rPr>
                <w:rFonts w:eastAsia="MS PGothic"/>
                <w:sz w:val="18"/>
                <w:lang w:val="en-US"/>
              </w:rPr>
              <w:t> 1</w:t>
            </w:r>
            <w:r w:rsidRPr="00F63FE2">
              <w:rPr>
                <w:rFonts w:eastAsia="MS PGothic"/>
                <w:sz w:val="18"/>
                <w:lang w:val="en-US"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rPr>
              <w:t>−140</w:t>
            </w:r>
            <w:r w:rsidRPr="00F63FE2">
              <w:rPr>
                <w:rFonts w:eastAsia="MS PGothic"/>
                <w:sz w:val="18"/>
                <w:vertAlign w:val="superscript"/>
                <w:lang w:val="en-US" w:eastAsia="ja-JP"/>
              </w:rPr>
              <w:br/>
            </w:r>
            <w:r w:rsidRPr="00F63FE2">
              <w:rPr>
                <w:rFonts w:eastAsia="MS PGothic"/>
                <w:sz w:val="18"/>
                <w:lang w:val="en-US" w:eastAsia="ja-JP"/>
              </w:rPr>
              <w:t xml:space="preserve">(Notes 3 </w:t>
            </w:r>
            <w:r>
              <w:rPr>
                <w:rFonts w:eastAsia="MS PGothic"/>
                <w:sz w:val="18"/>
                <w:lang w:val="en-US"/>
              </w:rPr>
              <w:t>et</w:t>
            </w:r>
            <w:r w:rsidRPr="00F63FE2">
              <w:rPr>
                <w:rFonts w:eastAsia="MS PGothic"/>
                <w:sz w:val="18"/>
                <w:lang w:val="en-US" w:eastAsia="ja-JP"/>
              </w:rPr>
              <w:t> 14)</w:t>
            </w:r>
          </w:p>
        </w:tc>
        <w:tc>
          <w:tcPr>
            <w:tcW w:w="994"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rPr>
              <w:t>−146</w:t>
            </w:r>
            <w:r>
              <w:rPr>
                <w:rFonts w:eastAsia="MS PGothic"/>
                <w:sz w:val="18"/>
                <w:lang w:val="en-US"/>
              </w:rPr>
              <w:t>,</w:t>
            </w:r>
            <w:r w:rsidRPr="00F63FE2">
              <w:rPr>
                <w:rFonts w:eastAsia="MS PGothic"/>
                <w:sz w:val="18"/>
                <w:lang w:val="en-US"/>
              </w:rPr>
              <w:t>0</w:t>
            </w:r>
            <w:r w:rsidRP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 </w:t>
            </w:r>
            <w:r w:rsidRPr="00F63FE2">
              <w:rPr>
                <w:sz w:val="18"/>
                <w:lang w:val="en-US"/>
              </w:rPr>
              <w:t>9</w:t>
            </w:r>
            <w:r w:rsidRPr="00F63FE2">
              <w:rPr>
                <w:rFonts w:eastAsia="MS PGothic"/>
                <w:sz w:val="18"/>
                <w:lang w:val="en-US"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rPr>
              <w:t>−140</w:t>
            </w:r>
            <w:r w:rsidRPr="00F63FE2">
              <w:rPr>
                <w:rFonts w:eastAsia="MS PGothic"/>
                <w:sz w:val="18"/>
                <w:vertAlign w:val="superscript"/>
                <w:lang w:val="en-US" w:eastAsia="ja-JP"/>
              </w:rPr>
              <w:br/>
            </w:r>
            <w:r w:rsidRPr="00F63FE2">
              <w:rPr>
                <w:rFonts w:eastAsia="MS PGothic"/>
                <w:sz w:val="18"/>
                <w:lang w:val="en-US" w:eastAsia="ja-JP"/>
              </w:rPr>
              <w:t xml:space="preserve">(Notes 3 </w:t>
            </w:r>
            <w:r>
              <w:rPr>
                <w:rFonts w:eastAsia="MS PGothic"/>
                <w:sz w:val="18"/>
                <w:lang w:val="en-US"/>
              </w:rPr>
              <w:t>et</w:t>
            </w:r>
            <w:r w:rsidRPr="00F63FE2">
              <w:rPr>
                <w:rFonts w:eastAsia="MS PGothic"/>
                <w:sz w:val="18"/>
                <w:lang w:val="en-US" w:eastAsia="ja-JP"/>
              </w:rPr>
              <w:t xml:space="preserve"> 14)</w:t>
            </w:r>
          </w:p>
        </w:tc>
        <w:tc>
          <w:tcPr>
            <w:tcW w:w="926"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rPr>
            </w:pPr>
            <w:r w:rsidRPr="00F63FE2">
              <w:rPr>
                <w:rFonts w:eastAsia="MS PGothic"/>
                <w:sz w:val="18"/>
                <w:lang w:val="en-US"/>
              </w:rPr>
              <w:t>−</w:t>
            </w:r>
            <w:r>
              <w:rPr>
                <w:rFonts w:eastAsia="MS PGothic"/>
                <w:sz w:val="18"/>
                <w:lang w:val="en-US"/>
              </w:rPr>
              <w:t>146,</w:t>
            </w:r>
            <w:r w:rsidRPr="00F63FE2">
              <w:rPr>
                <w:rFonts w:eastAsia="MS PGothic"/>
                <w:sz w:val="18"/>
                <w:lang w:val="en-US"/>
              </w:rPr>
              <w:t>9</w:t>
            </w:r>
            <w:r w:rsidRP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 1</w:t>
            </w:r>
            <w:r w:rsidRPr="00F63FE2">
              <w:rPr>
                <w:rFonts w:eastAsia="MS PGothic"/>
                <w:sz w:val="18"/>
                <w:lang w:val="en-US" w:eastAsia="ja-JP"/>
              </w:rPr>
              <w:t>)</w:t>
            </w:r>
          </w:p>
        </w:tc>
        <w:tc>
          <w:tcPr>
            <w:tcW w:w="109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sz w:val="18"/>
                <w:lang w:val="en-US" w:eastAsia="ja-JP"/>
              </w:rPr>
            </w:pPr>
            <w:r w:rsidRPr="00F63FE2">
              <w:rPr>
                <w:sz w:val="18"/>
                <w:lang w:val="en-US" w:eastAsia="ja-JP"/>
              </w:rPr>
              <w:t>−136</w:t>
            </w:r>
            <w:r w:rsidRPr="00F63FE2">
              <w:rPr>
                <w:sz w:val="18"/>
                <w:lang w:val="en-US" w:eastAsia="ja-JP"/>
              </w:rPr>
              <w:br/>
              <w:t xml:space="preserve">(Note 2, </w:t>
            </w:r>
            <w:r>
              <w:rPr>
                <w:sz w:val="18"/>
                <w:lang w:val="en-US" w:eastAsia="ja-JP"/>
              </w:rPr>
              <w:t>AMRC</w:t>
            </w:r>
            <w:r w:rsidRPr="00F63FE2">
              <w:rPr>
                <w:sz w:val="18"/>
                <w:lang w:val="en-US" w:eastAsia="ja-JP"/>
              </w:rPr>
              <w:t>)</w:t>
            </w:r>
            <w:r w:rsidRPr="00F63FE2">
              <w:rPr>
                <w:sz w:val="18"/>
                <w:lang w:val="en-US" w:eastAsia="ja-JP"/>
              </w:rPr>
              <w:br/>
              <w:t xml:space="preserve">(Note 3, </w:t>
            </w:r>
            <w:r>
              <w:rPr>
                <w:sz w:val="18"/>
                <w:lang w:val="en-US" w:eastAsia="ja-JP"/>
              </w:rPr>
              <w:t>AMRF</w:t>
            </w:r>
            <w:r w:rsidRPr="00F63FE2">
              <w:rPr>
                <w:sz w:val="18"/>
                <w:lang w:val="en-US" w:eastAsia="ja-JP"/>
              </w:rPr>
              <w:t>)</w:t>
            </w:r>
          </w:p>
        </w:tc>
        <w:tc>
          <w:tcPr>
            <w:tcW w:w="920"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snapToGrid w:val="0"/>
                <w:sz w:val="18"/>
                <w:lang w:val="en-US"/>
              </w:rPr>
            </w:pPr>
            <w:r w:rsidRPr="00F63FE2">
              <w:rPr>
                <w:rFonts w:eastAsia="MS PGothic"/>
                <w:sz w:val="18"/>
                <w:lang w:val="en-US"/>
              </w:rPr>
              <w:t>−</w:t>
            </w:r>
            <w:r w:rsidRPr="00F63FE2">
              <w:rPr>
                <w:snapToGrid w:val="0"/>
                <w:sz w:val="18"/>
                <w:lang w:val="en-US" w:eastAsia="zh-CN"/>
              </w:rPr>
              <w:t>140</w:t>
            </w:r>
            <w:r w:rsidRPr="00F63FE2">
              <w:rPr>
                <w:snapToGrid w:val="0"/>
                <w:sz w:val="18"/>
                <w:lang w:val="en-US" w:eastAsia="zh-CN"/>
              </w:rPr>
              <w:br/>
              <w:t>(Note 4)</w:t>
            </w:r>
          </w:p>
        </w:tc>
        <w:tc>
          <w:tcPr>
            <w:tcW w:w="1196"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sz w:val="18"/>
                <w:lang w:val="en-US" w:eastAsia="ja-JP"/>
              </w:rPr>
            </w:pPr>
            <w:r w:rsidRPr="00F63FE2">
              <w:rPr>
                <w:sz w:val="18"/>
                <w:lang w:val="en-US" w:eastAsia="ja-JP"/>
              </w:rPr>
              <w:t>−142</w:t>
            </w:r>
            <w:r w:rsidRPr="00F63FE2">
              <w:rPr>
                <w:sz w:val="18"/>
                <w:lang w:val="en-US" w:eastAsia="ja-JP"/>
              </w:rPr>
              <w:br/>
              <w:t xml:space="preserve">(Note 2, </w:t>
            </w:r>
            <w:r>
              <w:rPr>
                <w:sz w:val="18"/>
                <w:lang w:val="en-US" w:eastAsia="ja-JP"/>
              </w:rPr>
              <w:t>AMRC</w:t>
            </w:r>
            <w:r w:rsidRPr="00F63FE2">
              <w:rPr>
                <w:sz w:val="18"/>
                <w:lang w:val="en-US" w:eastAsia="ja-JP"/>
              </w:rPr>
              <w:t>)</w:t>
            </w:r>
            <w:r w:rsidRPr="00F63FE2">
              <w:rPr>
                <w:sz w:val="18"/>
                <w:lang w:val="en-US" w:eastAsia="ja-JP"/>
              </w:rPr>
              <w:br/>
              <w:t xml:space="preserve">(Note 3, </w:t>
            </w:r>
            <w:r>
              <w:rPr>
                <w:sz w:val="18"/>
                <w:lang w:val="en-US" w:eastAsia="ja-JP"/>
              </w:rPr>
              <w:t>AMRF</w:t>
            </w:r>
            <w:r w:rsidRPr="00F63FE2">
              <w:rPr>
                <w:sz w:val="18"/>
                <w:lang w:val="en-US" w:eastAsia="ja-JP"/>
              </w:rPr>
              <w:t>)</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vertAlign w:val="superscript"/>
                <w:lang w:val="en-US"/>
              </w:rPr>
            </w:pPr>
            <w:r w:rsidRPr="00F63FE2">
              <w:rPr>
                <w:rFonts w:eastAsia="MS PGothic"/>
                <w:sz w:val="18"/>
                <w:lang w:val="en-US"/>
              </w:rPr>
              <w:t>−</w:t>
            </w:r>
            <w:r>
              <w:rPr>
                <w:rFonts w:eastAsia="MS PGothic"/>
                <w:sz w:val="18"/>
                <w:lang w:val="en-US"/>
              </w:rPr>
              <w:t>147,</w:t>
            </w:r>
            <w:r w:rsidRPr="00F63FE2">
              <w:rPr>
                <w:rFonts w:eastAsia="MS PGothic"/>
                <w:sz w:val="18"/>
                <w:lang w:val="en-US"/>
              </w:rPr>
              <w:t>4</w:t>
            </w:r>
            <w:r w:rsidRPr="00F63FE2">
              <w:rPr>
                <w:rFonts w:eastAsia="MS PGothic"/>
                <w:sz w:val="18"/>
                <w:lang w:val="en-US"/>
              </w:rPr>
              <w:br/>
              <w:t>(Note 1)</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rPr>
              <w:t>–147</w:t>
            </w:r>
            <w:r>
              <w:rPr>
                <w:rFonts w:eastAsia="MS PGothic"/>
                <w:sz w:val="18"/>
                <w:lang w:val="en-US"/>
              </w:rPr>
              <w:t>,</w:t>
            </w:r>
            <w:r w:rsidRPr="00F63FE2">
              <w:rPr>
                <w:rFonts w:eastAsia="MS PGothic"/>
                <w:sz w:val="18"/>
                <w:lang w:val="en-US"/>
              </w:rPr>
              <w:t>4</w:t>
            </w:r>
            <w:r w:rsidRPr="00F63FE2">
              <w:rPr>
                <w:rFonts w:eastAsia="MS PGothic"/>
                <w:sz w:val="18"/>
                <w:lang w:val="en-US"/>
              </w:rPr>
              <w:br/>
              <w:t>(Note 3)</w:t>
            </w:r>
          </w:p>
        </w:tc>
      </w:tr>
    </w:tbl>
    <w:p w:rsidR="005D5DF0" w:rsidRDefault="005D5DF0" w:rsidP="005D5DF0">
      <w:pPr>
        <w:pStyle w:val="Tablefin"/>
      </w:pPr>
    </w:p>
    <w:p w:rsidR="005D5DF0" w:rsidRPr="007E79DE" w:rsidRDefault="005D5DF0" w:rsidP="005D5DF0">
      <w:pPr>
        <w:pStyle w:val="TableNo"/>
        <w:spacing w:before="0"/>
        <w:rPr>
          <w:lang w:val="en-US"/>
        </w:rPr>
      </w:pPr>
      <w:r w:rsidRPr="007D54B6">
        <w:rPr>
          <w:lang w:val="en-US"/>
        </w:rPr>
        <w:lastRenderedPageBreak/>
        <w:t>TABLE</w:t>
      </w:r>
      <w:r>
        <w:rPr>
          <w:lang w:val="en-US"/>
        </w:rPr>
        <w:t>AU</w:t>
      </w:r>
      <w:r w:rsidRPr="007D54B6">
        <w:rPr>
          <w:lang w:val="en-US"/>
        </w:rPr>
        <w:t xml:space="preserve"> 2</w:t>
      </w:r>
      <w:r>
        <w:rPr>
          <w:lang w:val="en-US"/>
        </w:rPr>
        <w:t xml:space="preserve"> (</w:t>
      </w:r>
      <w:r>
        <w:rPr>
          <w:i/>
          <w:iCs/>
          <w:lang w:val="en-US"/>
        </w:rPr>
        <w:t>fin</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7"/>
        <w:gridCol w:w="1127"/>
        <w:gridCol w:w="1361"/>
        <w:gridCol w:w="1139"/>
        <w:gridCol w:w="1389"/>
        <w:gridCol w:w="994"/>
        <w:gridCol w:w="1389"/>
        <w:gridCol w:w="926"/>
        <w:gridCol w:w="1097"/>
        <w:gridCol w:w="920"/>
        <w:gridCol w:w="1196"/>
        <w:gridCol w:w="767"/>
        <w:gridCol w:w="677"/>
      </w:tblGrid>
      <w:tr w:rsidR="005D5DF0" w:rsidRPr="00F63FE2" w:rsidTr="00A715CF">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lang w:val="en-US"/>
              </w:rPr>
            </w:pPr>
          </w:p>
        </w:tc>
        <w:tc>
          <w:tcPr>
            <w:tcW w:w="112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1</w:t>
            </w:r>
          </w:p>
        </w:tc>
        <w:tc>
          <w:tcPr>
            <w:tcW w:w="1361"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2</w:t>
            </w:r>
          </w:p>
        </w:tc>
        <w:tc>
          <w:tcPr>
            <w:tcW w:w="113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3</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4</w:t>
            </w:r>
          </w:p>
        </w:tc>
        <w:tc>
          <w:tcPr>
            <w:tcW w:w="994"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5</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sz w:val="18"/>
              </w:rPr>
            </w:pPr>
            <w:r w:rsidRPr="00F63FE2">
              <w:rPr>
                <w:sz w:val="18"/>
              </w:rPr>
              <w:t>6</w:t>
            </w:r>
          </w:p>
        </w:tc>
        <w:tc>
          <w:tcPr>
            <w:tcW w:w="926"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7</w:t>
            </w:r>
          </w:p>
        </w:tc>
        <w:tc>
          <w:tcPr>
            <w:tcW w:w="109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head"/>
              <w:rPr>
                <w:rFonts w:eastAsia="MS PGothic"/>
                <w:sz w:val="18"/>
              </w:rPr>
            </w:pPr>
            <w:r w:rsidRPr="00F63FE2">
              <w:rPr>
                <w:rFonts w:eastAsia="MS PGothic"/>
                <w:sz w:val="18"/>
              </w:rPr>
              <w:t>8</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head"/>
              <w:rPr>
                <w:rFonts w:eastAsia="MS PGothic"/>
                <w:sz w:val="18"/>
              </w:rPr>
            </w:pPr>
            <w:r w:rsidRPr="00F63FE2">
              <w:rPr>
                <w:rFonts w:eastAsia="MS PGothic"/>
                <w:sz w:val="18"/>
              </w:rPr>
              <w:t>9</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head"/>
              <w:rPr>
                <w:rFonts w:eastAsia="MS PGothic"/>
                <w:sz w:val="18"/>
              </w:rPr>
            </w:pPr>
            <w:r w:rsidRPr="00F63FE2">
              <w:rPr>
                <w:rFonts w:eastAsia="MS PGothic"/>
                <w:sz w:val="18"/>
              </w:rPr>
              <w:t>10</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head"/>
              <w:rPr>
                <w:rFonts w:eastAsia="MS PGothic"/>
                <w:sz w:val="18"/>
              </w:rPr>
            </w:pPr>
            <w:r w:rsidRPr="00F63FE2">
              <w:rPr>
                <w:rFonts w:eastAsia="MS PGothic"/>
                <w:sz w:val="18"/>
              </w:rPr>
              <w:t>11</w:t>
            </w:r>
          </w:p>
        </w:tc>
      </w:tr>
      <w:tr w:rsidR="005D5DF0" w:rsidRPr="00F63FE2" w:rsidTr="00A715CF">
        <w:trPr>
          <w:cantSplit/>
          <w:jc w:val="center"/>
        </w:trPr>
        <w:tc>
          <w:tcPr>
            <w:tcW w:w="1477" w:type="dxa"/>
            <w:tcBorders>
              <w:top w:val="single" w:sz="4" w:space="0" w:color="auto"/>
              <w:left w:val="single" w:sz="4" w:space="0" w:color="auto"/>
              <w:bottom w:val="single" w:sz="4" w:space="0" w:color="auto"/>
              <w:right w:val="single" w:sz="4" w:space="0" w:color="auto"/>
            </w:tcBorders>
          </w:tcPr>
          <w:p w:rsidR="005D5DF0" w:rsidRPr="00F63FE2" w:rsidRDefault="005D5DF0" w:rsidP="00A715CF">
            <w:pPr>
              <w:pStyle w:val="Tablehead"/>
              <w:ind w:left="-57" w:right="-57"/>
              <w:rPr>
                <w:rFonts w:eastAsia="MS PGothic"/>
                <w:sz w:val="18"/>
                <w:lang w:val="en-US"/>
              </w:rPr>
            </w:pPr>
            <w:r w:rsidRPr="00F63FE2">
              <w:rPr>
                <w:rFonts w:eastAsia="MS PGothic"/>
                <w:sz w:val="18"/>
                <w:lang w:val="en-US"/>
              </w:rPr>
              <w:t>Application</w:t>
            </w:r>
            <w:r w:rsidRPr="00F63FE2">
              <w:rPr>
                <w:rFonts w:eastAsia="MS PGothic"/>
                <w:sz w:val="18"/>
                <w:lang w:val="en-US"/>
              </w:rPr>
              <w:br/>
              <w:t>(</w:t>
            </w:r>
            <w:r>
              <w:rPr>
                <w:rFonts w:eastAsia="MS PGothic"/>
                <w:sz w:val="18"/>
                <w:lang w:val="en-US"/>
              </w:rPr>
              <w:t>voir</w:t>
            </w:r>
            <w:r w:rsidRPr="00F63FE2">
              <w:rPr>
                <w:rFonts w:eastAsia="MS PGothic"/>
                <w:sz w:val="18"/>
                <w:lang w:val="en-US"/>
              </w:rPr>
              <w:t xml:space="preserve"> </w:t>
            </w:r>
            <w:r w:rsidRPr="00F63FE2">
              <w:rPr>
                <w:sz w:val="18"/>
                <w:lang w:val="en-US"/>
              </w:rPr>
              <w:t>§ 4</w:t>
            </w:r>
            <w:r w:rsidRPr="00F63FE2">
              <w:rPr>
                <w:rFonts w:eastAsia="MS PGothic"/>
                <w:sz w:val="18"/>
                <w:lang w:val="en-US"/>
              </w:rPr>
              <w:t>)</w:t>
            </w:r>
            <w:r w:rsidRPr="00F63FE2">
              <w:rPr>
                <w:rFonts w:eastAsia="MS PGothic"/>
                <w:sz w:val="18"/>
                <w:lang w:val="en-US"/>
              </w:rPr>
              <w:br/>
            </w:r>
            <w:r>
              <w:rPr>
                <w:rFonts w:eastAsia="MS PGothic"/>
                <w:sz w:val="18"/>
                <w:lang w:val="en-US"/>
              </w:rPr>
              <w:t>Paramètre</w:t>
            </w:r>
          </w:p>
        </w:tc>
        <w:tc>
          <w:tcPr>
            <w:tcW w:w="1127" w:type="dxa"/>
            <w:tcBorders>
              <w:top w:val="single" w:sz="4" w:space="0" w:color="auto"/>
              <w:left w:val="single" w:sz="4" w:space="0" w:color="auto"/>
              <w:bottom w:val="single" w:sz="4" w:space="0" w:color="auto"/>
              <w:right w:val="single" w:sz="4" w:space="0" w:color="auto"/>
            </w:tcBorders>
          </w:tcPr>
          <w:p w:rsidR="005D5DF0" w:rsidRPr="00F63FE2" w:rsidRDefault="005D5DF0" w:rsidP="00A715CF">
            <w:pPr>
              <w:pStyle w:val="Tablehead"/>
              <w:ind w:left="-57" w:right="-57"/>
              <w:rPr>
                <w:sz w:val="18"/>
                <w:lang w:val="en-US"/>
              </w:rPr>
            </w:pPr>
            <w:r w:rsidRPr="00F63FE2">
              <w:rPr>
                <w:rFonts w:eastAsia="MS PGothic"/>
                <w:sz w:val="18"/>
                <w:lang w:val="en-US"/>
              </w:rPr>
              <w:t xml:space="preserve">SBAS </w:t>
            </w:r>
            <w:r>
              <w:rPr>
                <w:rFonts w:eastAsia="MS PGothic"/>
                <w:sz w:val="18"/>
                <w:lang w:val="en-US"/>
              </w:rPr>
              <w:br/>
              <w:t>Catégorie</w:t>
            </w:r>
            <w:r w:rsidRPr="00F63FE2">
              <w:rPr>
                <w:rFonts w:eastAsia="MS PGothic"/>
                <w:sz w:val="18"/>
                <w:lang w:val="en-US"/>
              </w:rPr>
              <w:t> I</w:t>
            </w:r>
            <w:r>
              <w:rPr>
                <w:rFonts w:eastAsia="MS PGothic"/>
                <w:sz w:val="18"/>
                <w:lang w:val="en-US"/>
              </w:rPr>
              <w:br/>
            </w:r>
            <w:r w:rsidRPr="00F63FE2">
              <w:rPr>
                <w:sz w:val="18"/>
                <w:lang w:val="en-US"/>
              </w:rPr>
              <w:t>Type 1</w:t>
            </w:r>
          </w:p>
        </w:tc>
        <w:tc>
          <w:tcPr>
            <w:tcW w:w="1361" w:type="dxa"/>
            <w:tcBorders>
              <w:top w:val="single" w:sz="4" w:space="0" w:color="auto"/>
              <w:left w:val="single" w:sz="4" w:space="0" w:color="auto"/>
              <w:bottom w:val="single" w:sz="4" w:space="0" w:color="auto"/>
              <w:right w:val="single" w:sz="4" w:space="0" w:color="auto"/>
            </w:tcBorders>
          </w:tcPr>
          <w:p w:rsidR="005D5DF0" w:rsidRPr="00F63FE2" w:rsidRDefault="005D5DF0" w:rsidP="00A715CF">
            <w:pPr>
              <w:pStyle w:val="Tablehead"/>
              <w:ind w:left="-57" w:right="-57"/>
              <w:rPr>
                <w:rFonts w:eastAsia="MS PGothic"/>
                <w:sz w:val="18"/>
                <w:lang w:val="en-US"/>
              </w:rPr>
            </w:pPr>
            <w:r>
              <w:rPr>
                <w:rFonts w:eastAsia="MS PGothic"/>
                <w:sz w:val="18"/>
                <w:lang w:val="en-US"/>
              </w:rPr>
              <w:t xml:space="preserve">SBAS </w:t>
            </w:r>
            <w:r>
              <w:rPr>
                <w:rFonts w:eastAsia="MS PGothic"/>
                <w:sz w:val="18"/>
                <w:lang w:val="en-US"/>
              </w:rPr>
              <w:br/>
              <w:t>Catégorie</w:t>
            </w:r>
            <w:r w:rsidRPr="00F63FE2">
              <w:rPr>
                <w:rFonts w:eastAsia="MS PGothic"/>
                <w:sz w:val="18"/>
                <w:lang w:val="en-US"/>
              </w:rPr>
              <w:t> I</w:t>
            </w:r>
            <w:r>
              <w:rPr>
                <w:rFonts w:eastAsia="MS PGothic"/>
                <w:sz w:val="18"/>
                <w:lang w:val="en-US"/>
              </w:rPr>
              <w:br/>
            </w:r>
            <w:r w:rsidRPr="00F63FE2">
              <w:rPr>
                <w:sz w:val="18"/>
                <w:lang w:val="en-US"/>
              </w:rPr>
              <w:t>Type 2</w:t>
            </w:r>
          </w:p>
        </w:tc>
        <w:tc>
          <w:tcPr>
            <w:tcW w:w="1139" w:type="dxa"/>
            <w:tcBorders>
              <w:top w:val="single" w:sz="4" w:space="0" w:color="auto"/>
              <w:left w:val="single" w:sz="4" w:space="0" w:color="auto"/>
              <w:bottom w:val="single" w:sz="4" w:space="0" w:color="auto"/>
              <w:right w:val="single" w:sz="4" w:space="0" w:color="auto"/>
            </w:tcBorders>
          </w:tcPr>
          <w:p w:rsidR="005D5DF0" w:rsidRPr="00F15AA4" w:rsidRDefault="005D5DF0" w:rsidP="00A715CF">
            <w:pPr>
              <w:pStyle w:val="Tablehead"/>
              <w:ind w:left="-57" w:right="-57"/>
              <w:rPr>
                <w:sz w:val="18"/>
              </w:rPr>
            </w:pPr>
            <w:r w:rsidRPr="00F15AA4">
              <w:rPr>
                <w:rFonts w:eastAsia="MS PGothic"/>
                <w:sz w:val="18"/>
              </w:rPr>
              <w:t xml:space="preserve">GBAS </w:t>
            </w:r>
            <w:r w:rsidRPr="00F15AA4">
              <w:rPr>
                <w:rFonts w:eastAsia="MS PGothic"/>
                <w:sz w:val="18"/>
              </w:rPr>
              <w:br/>
              <w:t>Catégorie II/</w:t>
            </w:r>
            <w:r w:rsidRPr="00F15AA4">
              <w:rPr>
                <w:rFonts w:eastAsia="MS PGothic"/>
                <w:sz w:val="18"/>
              </w:rPr>
              <w:br/>
              <w:t>III</w:t>
            </w:r>
            <w:r w:rsidRPr="00F15AA4">
              <w:rPr>
                <w:rFonts w:eastAsia="MS PGothic"/>
                <w:sz w:val="18"/>
              </w:rPr>
              <w:br/>
            </w:r>
            <w:r w:rsidRPr="00F15AA4">
              <w:rPr>
                <w:sz w:val="18"/>
              </w:rPr>
              <w:t>Type 1</w:t>
            </w:r>
          </w:p>
        </w:tc>
        <w:tc>
          <w:tcPr>
            <w:tcW w:w="1389" w:type="dxa"/>
            <w:tcBorders>
              <w:top w:val="single" w:sz="4" w:space="0" w:color="auto"/>
              <w:left w:val="single" w:sz="4" w:space="0" w:color="auto"/>
              <w:bottom w:val="single" w:sz="4" w:space="0" w:color="auto"/>
              <w:right w:val="single" w:sz="4" w:space="0" w:color="auto"/>
            </w:tcBorders>
          </w:tcPr>
          <w:p w:rsidR="005D5DF0" w:rsidRPr="00F15AA4" w:rsidRDefault="005D5DF0" w:rsidP="00A715CF">
            <w:pPr>
              <w:pStyle w:val="Tablehead"/>
              <w:ind w:left="-57" w:right="-57"/>
              <w:rPr>
                <w:rFonts w:eastAsia="MS PGothic"/>
                <w:sz w:val="18"/>
              </w:rPr>
            </w:pPr>
            <w:r w:rsidRPr="00F15AA4">
              <w:rPr>
                <w:rFonts w:eastAsia="MS PGothic"/>
                <w:sz w:val="18"/>
              </w:rPr>
              <w:t xml:space="preserve">GBAS </w:t>
            </w:r>
            <w:r w:rsidRPr="00F15AA4">
              <w:rPr>
                <w:rFonts w:eastAsia="MS PGothic"/>
                <w:sz w:val="18"/>
              </w:rPr>
              <w:br/>
              <w:t>Catégorie II/III</w:t>
            </w:r>
            <w:r w:rsidRPr="00F15AA4">
              <w:rPr>
                <w:rFonts w:eastAsia="MS PGothic"/>
                <w:sz w:val="18"/>
              </w:rPr>
              <w:br/>
            </w:r>
            <w:r w:rsidRPr="00F15AA4">
              <w:rPr>
                <w:sz w:val="18"/>
              </w:rPr>
              <w:t>Type 2</w:t>
            </w:r>
          </w:p>
        </w:tc>
        <w:tc>
          <w:tcPr>
            <w:tcW w:w="994" w:type="dxa"/>
            <w:tcBorders>
              <w:top w:val="single" w:sz="4" w:space="0" w:color="auto"/>
              <w:left w:val="single" w:sz="4" w:space="0" w:color="auto"/>
              <w:bottom w:val="single" w:sz="4" w:space="0" w:color="auto"/>
              <w:right w:val="single" w:sz="4" w:space="0" w:color="auto"/>
            </w:tcBorders>
          </w:tcPr>
          <w:p w:rsidR="005D5DF0" w:rsidRPr="007B45AA" w:rsidRDefault="005D5DF0" w:rsidP="00A715CF">
            <w:pPr>
              <w:pStyle w:val="Tablehead"/>
              <w:ind w:left="-57" w:right="-57"/>
              <w:rPr>
                <w:rFonts w:eastAsia="MS PGothic"/>
                <w:sz w:val="18"/>
                <w:lang w:val="fr-CH"/>
              </w:rPr>
            </w:pPr>
            <w:r>
              <w:rPr>
                <w:rFonts w:eastAsia="MS PGothic"/>
                <w:sz w:val="18"/>
                <w:lang w:val="fr-CH"/>
              </w:rPr>
              <w:t>R</w:t>
            </w:r>
            <w:r w:rsidRPr="007B45AA">
              <w:rPr>
                <w:rFonts w:eastAsia="MS PGothic"/>
                <w:sz w:val="18"/>
                <w:lang w:val="fr-CH"/>
              </w:rPr>
              <w:t>écepteur de référence au sol</w:t>
            </w:r>
            <w:r>
              <w:rPr>
                <w:rFonts w:eastAsia="MS PGothic"/>
                <w:sz w:val="18"/>
                <w:lang w:val="fr-CH"/>
              </w:rPr>
              <w:br/>
              <w:t>SBAS</w:t>
            </w:r>
            <w:r w:rsidRPr="007B45AA">
              <w:rPr>
                <w:rFonts w:eastAsia="MS PGothic"/>
                <w:sz w:val="18"/>
                <w:lang w:val="fr-CH"/>
              </w:rPr>
              <w:t>*</w:t>
            </w:r>
          </w:p>
        </w:tc>
        <w:tc>
          <w:tcPr>
            <w:tcW w:w="1389" w:type="dxa"/>
            <w:tcBorders>
              <w:top w:val="single" w:sz="4" w:space="0" w:color="auto"/>
              <w:left w:val="single" w:sz="4" w:space="0" w:color="auto"/>
              <w:bottom w:val="single" w:sz="4" w:space="0" w:color="auto"/>
              <w:right w:val="single" w:sz="4" w:space="0" w:color="auto"/>
            </w:tcBorders>
          </w:tcPr>
          <w:p w:rsidR="005D5DF0" w:rsidRPr="00CA29E9" w:rsidRDefault="005D5DF0" w:rsidP="00A715CF">
            <w:pPr>
              <w:pStyle w:val="Tablehead"/>
              <w:ind w:left="-57" w:right="-57"/>
              <w:rPr>
                <w:rFonts w:eastAsia="MS PGothic"/>
                <w:sz w:val="18"/>
                <w:lang w:val="fr-CH"/>
              </w:rPr>
            </w:pPr>
            <w:r>
              <w:rPr>
                <w:sz w:val="18"/>
                <w:lang w:val="fr-CH"/>
              </w:rPr>
              <w:t>R</w:t>
            </w:r>
            <w:r w:rsidRPr="00CA29E9">
              <w:rPr>
                <w:sz w:val="18"/>
                <w:lang w:val="fr-CH"/>
              </w:rPr>
              <w:t xml:space="preserve">écepteur d'approche de précision </w:t>
            </w:r>
            <w:r>
              <w:rPr>
                <w:sz w:val="18"/>
                <w:lang w:val="fr-CH"/>
              </w:rPr>
              <w:t>utilisé</w:t>
            </w:r>
            <w:r w:rsidRPr="00CA29E9">
              <w:rPr>
                <w:sz w:val="18"/>
                <w:lang w:val="fr-CH"/>
              </w:rPr>
              <w:t xml:space="preserve"> </w:t>
            </w:r>
            <w:r>
              <w:rPr>
                <w:sz w:val="18"/>
                <w:lang w:val="fr-CH"/>
              </w:rPr>
              <w:t>en navigati</w:t>
            </w:r>
            <w:r w:rsidRPr="00CA29E9">
              <w:rPr>
                <w:sz w:val="18"/>
                <w:lang w:val="fr-CH"/>
              </w:rPr>
              <w:t>on aérienne</w:t>
            </w:r>
          </w:p>
        </w:tc>
        <w:tc>
          <w:tcPr>
            <w:tcW w:w="926" w:type="dxa"/>
            <w:tcBorders>
              <w:top w:val="single" w:sz="4" w:space="0" w:color="auto"/>
              <w:left w:val="single" w:sz="4" w:space="0" w:color="auto"/>
              <w:bottom w:val="single" w:sz="4" w:space="0" w:color="auto"/>
              <w:right w:val="single" w:sz="4" w:space="0" w:color="auto"/>
            </w:tcBorders>
          </w:tcPr>
          <w:p w:rsidR="005D5DF0" w:rsidRPr="00F63FE2" w:rsidRDefault="005D5DF0" w:rsidP="00A715CF">
            <w:pPr>
              <w:pStyle w:val="Tablehead"/>
              <w:ind w:left="-57" w:right="-57"/>
              <w:rPr>
                <w:rFonts w:eastAsia="MS PGothic"/>
                <w:sz w:val="18"/>
              </w:rPr>
            </w:pPr>
            <w:r>
              <w:rPr>
                <w:rFonts w:eastAsia="MS PGothic"/>
                <w:sz w:val="18"/>
              </w:rPr>
              <w:t>Récepteur assisté du SRNS</w:t>
            </w:r>
          </w:p>
        </w:tc>
        <w:tc>
          <w:tcPr>
            <w:tcW w:w="1097" w:type="dxa"/>
            <w:tcBorders>
              <w:top w:val="single" w:sz="4" w:space="0" w:color="auto"/>
              <w:left w:val="single" w:sz="4" w:space="0" w:color="auto"/>
              <w:bottom w:val="single" w:sz="4" w:space="0" w:color="auto"/>
              <w:right w:val="single" w:sz="4" w:space="0" w:color="auto"/>
            </w:tcBorders>
          </w:tcPr>
          <w:p w:rsidR="005D5DF0" w:rsidRPr="00F63FE2" w:rsidRDefault="005D5DF0" w:rsidP="00A715CF">
            <w:pPr>
              <w:pStyle w:val="Tablehead"/>
              <w:ind w:left="-57" w:right="-57"/>
              <w:rPr>
                <w:rFonts w:eastAsia="MS PGothic"/>
                <w:sz w:val="18"/>
              </w:rPr>
            </w:pPr>
            <w:r>
              <w:rPr>
                <w:rFonts w:eastAsia="MS PGothic"/>
                <w:sz w:val="18"/>
              </w:rPr>
              <w:t>Récepteur polyvalent N°</w:t>
            </w:r>
            <w:r w:rsidRPr="00F63FE2">
              <w:rPr>
                <w:rFonts w:eastAsia="MS PGothic"/>
                <w:sz w:val="18"/>
              </w:rPr>
              <w:t> 1</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D5DF0" w:rsidRPr="00F63FE2" w:rsidRDefault="005D5DF0" w:rsidP="00A715CF">
            <w:pPr>
              <w:pStyle w:val="Tablehead"/>
              <w:ind w:left="-57" w:right="-57"/>
              <w:rPr>
                <w:rFonts w:eastAsia="MS PGothic"/>
                <w:sz w:val="18"/>
              </w:rPr>
            </w:pPr>
            <w:r>
              <w:rPr>
                <w:rFonts w:eastAsia="MS PGothic"/>
                <w:sz w:val="18"/>
              </w:rPr>
              <w:t>Récepteur polyvalent</w:t>
            </w:r>
            <w:r w:rsidRPr="00F63FE2">
              <w:rPr>
                <w:rFonts w:eastAsia="MS PGothic"/>
                <w:sz w:val="18"/>
              </w:rPr>
              <w:t xml:space="preserve"> </w:t>
            </w:r>
            <w:r>
              <w:rPr>
                <w:rFonts w:eastAsia="MS PGothic"/>
                <w:sz w:val="18"/>
              </w:rPr>
              <w:t>N°</w:t>
            </w:r>
            <w:r w:rsidRPr="00F63FE2">
              <w:rPr>
                <w:rFonts w:eastAsia="MS PGothic"/>
                <w:sz w:val="18"/>
              </w:rPr>
              <w:t> 2</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D5DF0" w:rsidRPr="00F63FE2" w:rsidRDefault="005D5DF0" w:rsidP="00A715CF">
            <w:pPr>
              <w:pStyle w:val="Tablehead"/>
              <w:ind w:left="-57" w:right="-57"/>
              <w:rPr>
                <w:sz w:val="18"/>
              </w:rPr>
            </w:pPr>
            <w:r>
              <w:rPr>
                <w:rFonts w:eastAsia="MS PGothic"/>
                <w:sz w:val="18"/>
              </w:rPr>
              <w:t>Localisation à l'intérieur des bâtiments</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D5DF0" w:rsidRPr="00F63FE2" w:rsidRDefault="005D5DF0" w:rsidP="00A715CF">
            <w:pPr>
              <w:pStyle w:val="Tablehead"/>
              <w:ind w:left="-57" w:right="-57"/>
              <w:rPr>
                <w:rFonts w:eastAsia="MS PGothic"/>
                <w:sz w:val="18"/>
              </w:rPr>
            </w:pPr>
            <w:r>
              <w:rPr>
                <w:rFonts w:eastAsia="MS PGothic"/>
                <w:sz w:val="18"/>
              </w:rPr>
              <w:t>Haute précision</w:t>
            </w:r>
            <w:r w:rsidRPr="00F63FE2">
              <w:rPr>
                <w:rFonts w:eastAsia="MS PGothic"/>
                <w:sz w:val="18"/>
              </w:rPr>
              <w:t xml:space="preserve">* (Note </w:t>
            </w:r>
            <w:r w:rsidRPr="00F63FE2">
              <w:rPr>
                <w:sz w:val="18"/>
              </w:rPr>
              <w:t>11</w:t>
            </w:r>
            <w:r w:rsidRPr="00F63FE2">
              <w:rPr>
                <w:rFonts w:eastAsia="MS PGothic"/>
                <w:sz w:val="18"/>
              </w:rPr>
              <w:t>)</w:t>
            </w:r>
          </w:p>
        </w:tc>
      </w:tr>
      <w:tr w:rsidR="005D5DF0" w:rsidRPr="000917FA" w:rsidTr="00A715CF">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5D5DF0" w:rsidRPr="001E3484" w:rsidRDefault="005D5DF0" w:rsidP="00C960E8">
            <w:pPr>
              <w:pStyle w:val="Tabletext"/>
              <w:jc w:val="left"/>
              <w:rPr>
                <w:rFonts w:eastAsia="MS PGothic"/>
                <w:sz w:val="18"/>
                <w:lang w:val="fr-CH"/>
              </w:rPr>
            </w:pPr>
            <w:r w:rsidRPr="00D736F2">
              <w:rPr>
                <w:rFonts w:eastAsia="MS PGothic"/>
                <w:sz w:val="18"/>
              </w:rPr>
              <w:t>Niveau de densit</w:t>
            </w:r>
            <w:r>
              <w:rPr>
                <w:rFonts w:eastAsia="MS PGothic"/>
                <w:sz w:val="18"/>
              </w:rPr>
              <w:t>é de puissance seuil du</w:t>
            </w:r>
            <w:r w:rsidRPr="00D736F2">
              <w:rPr>
                <w:rFonts w:eastAsia="MS PGothic"/>
                <w:sz w:val="18"/>
              </w:rPr>
              <w:t xml:space="preserve"> brouillage cumulatif large bande à la sortie</w:t>
            </w:r>
            <w:r>
              <w:rPr>
                <w:rFonts w:eastAsia="MS PGothic"/>
                <w:sz w:val="18"/>
              </w:rPr>
              <w:t xml:space="preserve"> de l'antenne passive</w:t>
            </w:r>
            <w:r w:rsidRPr="00D736F2">
              <w:rPr>
                <w:rFonts w:eastAsia="MS PGothic"/>
                <w:sz w:val="18"/>
              </w:rPr>
              <w:t xml:space="preserve"> (dB(W/MHz))</w:t>
            </w:r>
            <w:r>
              <w:rPr>
                <w:rFonts w:eastAsia="MS PGothic"/>
                <w:sz w:val="18"/>
              </w:rPr>
              <w:t>, en mode acquisition</w:t>
            </w:r>
          </w:p>
        </w:tc>
        <w:tc>
          <w:tcPr>
            <w:tcW w:w="112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rPr>
            </w:pPr>
            <w:r w:rsidRPr="00F63FE2">
              <w:rPr>
                <w:rFonts w:eastAsia="MS PGothic"/>
                <w:sz w:val="18"/>
                <w:lang w:val="en-US"/>
              </w:rPr>
              <w:t>−146</w:t>
            </w:r>
            <w:r>
              <w:rPr>
                <w:rFonts w:eastAsia="MS PGothic"/>
                <w:sz w:val="18"/>
                <w:lang w:val="en-US"/>
              </w:rPr>
              <w:t>,</w:t>
            </w:r>
            <w:r w:rsidRPr="00F63FE2">
              <w:rPr>
                <w:rFonts w:eastAsia="MS PGothic"/>
                <w:sz w:val="18"/>
                <w:lang w:val="en-US"/>
              </w:rPr>
              <w:t>5</w:t>
            </w:r>
            <w:r w:rsidRP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Notes 0 </w:t>
            </w:r>
            <w:r>
              <w:rPr>
                <w:rFonts w:eastAsia="MS PGothic"/>
                <w:sz w:val="18"/>
                <w:lang w:val="en-US"/>
              </w:rPr>
              <w:t>et</w:t>
            </w:r>
            <w:r w:rsidRPr="00F63FE2">
              <w:rPr>
                <w:rFonts w:eastAsia="MS PGothic"/>
                <w:sz w:val="18"/>
                <w:lang w:val="en-US"/>
              </w:rPr>
              <w:t> 1</w:t>
            </w:r>
            <w:r w:rsidRPr="00F63FE2">
              <w:rPr>
                <w:rFonts w:eastAsia="MS PGothic"/>
                <w:sz w:val="18"/>
                <w:lang w:val="en-US" w:eastAsia="ja-JP"/>
              </w:rPr>
              <w:t>)</w:t>
            </w:r>
          </w:p>
        </w:tc>
        <w:tc>
          <w:tcPr>
            <w:tcW w:w="1361"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rPr>
            </w:pPr>
            <w:r w:rsidRPr="00F63FE2">
              <w:rPr>
                <w:rFonts w:eastAsia="MS PGothic"/>
                <w:sz w:val="18"/>
                <w:lang w:val="en-US"/>
              </w:rPr>
              <w:t>−146</w:t>
            </w:r>
            <w:r>
              <w:rPr>
                <w:rFonts w:eastAsia="MS PGothic"/>
                <w:sz w:val="18"/>
                <w:lang w:val="en-US" w:eastAsia="ja-JP"/>
              </w:rPr>
              <w:br/>
            </w:r>
            <w:r w:rsidRPr="00F63FE2">
              <w:rPr>
                <w:rFonts w:eastAsia="MS PGothic"/>
                <w:sz w:val="18"/>
                <w:lang w:val="en-US" w:eastAsia="ja-JP"/>
              </w:rPr>
              <w:t xml:space="preserve">(Notes 3 </w:t>
            </w:r>
            <w:r>
              <w:rPr>
                <w:rFonts w:eastAsia="MS PGothic"/>
                <w:sz w:val="18"/>
                <w:lang w:val="en-US"/>
              </w:rPr>
              <w:t>et</w:t>
            </w:r>
            <w:r w:rsidRPr="00F63FE2">
              <w:rPr>
                <w:rFonts w:eastAsia="MS PGothic"/>
                <w:sz w:val="18"/>
                <w:lang w:val="en-US" w:eastAsia="ja-JP"/>
              </w:rPr>
              <w:t> 14)</w:t>
            </w:r>
          </w:p>
        </w:tc>
        <w:tc>
          <w:tcPr>
            <w:tcW w:w="113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rPr>
            </w:pPr>
            <w:r w:rsidRPr="00F63FE2">
              <w:rPr>
                <w:rFonts w:eastAsia="MS PGothic"/>
                <w:sz w:val="18"/>
                <w:lang w:val="en-US"/>
              </w:rPr>
              <w:t>−146</w:t>
            </w:r>
            <w:r>
              <w:rPr>
                <w:rFonts w:eastAsia="MS PGothic"/>
                <w:sz w:val="18"/>
                <w:lang w:val="en-US"/>
              </w:rPr>
              <w:t>,</w:t>
            </w:r>
            <w:r w:rsidRPr="00F63FE2">
              <w:rPr>
                <w:rFonts w:eastAsia="MS PGothic"/>
                <w:sz w:val="18"/>
                <w:lang w:val="en-US"/>
              </w:rPr>
              <w:t>5</w:t>
            </w:r>
            <w:r>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Notes 0 </w:t>
            </w:r>
            <w:r>
              <w:rPr>
                <w:rFonts w:eastAsia="MS PGothic"/>
                <w:sz w:val="18"/>
                <w:lang w:val="en-US"/>
              </w:rPr>
              <w:t>et</w:t>
            </w:r>
            <w:r w:rsidRPr="00F63FE2">
              <w:rPr>
                <w:rFonts w:eastAsia="MS PGothic"/>
                <w:sz w:val="18"/>
                <w:lang w:val="en-US"/>
              </w:rPr>
              <w:t> 1</w:t>
            </w:r>
            <w:r w:rsidRPr="00F63FE2">
              <w:rPr>
                <w:rFonts w:eastAsia="MS PGothic"/>
                <w:sz w:val="18"/>
                <w:lang w:val="en-US"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rPr>
              <w:t>−146</w:t>
            </w:r>
            <w:r>
              <w:rPr>
                <w:rFonts w:eastAsia="MS PGothic"/>
                <w:sz w:val="18"/>
                <w:vertAlign w:val="superscript"/>
                <w:lang w:val="en-US" w:eastAsia="ja-JP"/>
              </w:rPr>
              <w:br/>
            </w:r>
            <w:r w:rsidRPr="00F63FE2">
              <w:rPr>
                <w:rFonts w:eastAsia="MS PGothic"/>
                <w:sz w:val="18"/>
                <w:lang w:val="en-US" w:eastAsia="ja-JP"/>
              </w:rPr>
              <w:t xml:space="preserve">(Notes 3 </w:t>
            </w:r>
            <w:r>
              <w:rPr>
                <w:rFonts w:eastAsia="MS PGothic"/>
                <w:sz w:val="18"/>
                <w:lang w:val="en-US"/>
              </w:rPr>
              <w:t>et</w:t>
            </w:r>
            <w:r w:rsidRPr="00F63FE2">
              <w:rPr>
                <w:rFonts w:eastAsia="MS PGothic"/>
                <w:sz w:val="18"/>
                <w:lang w:val="en-US" w:eastAsia="ja-JP"/>
              </w:rPr>
              <w:t> 14)</w:t>
            </w:r>
          </w:p>
        </w:tc>
        <w:tc>
          <w:tcPr>
            <w:tcW w:w="994"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rPr>
            </w:pPr>
            <w:r w:rsidRPr="00F63FE2">
              <w:rPr>
                <w:rFonts w:eastAsia="MS PGothic"/>
                <w:sz w:val="18"/>
                <w:lang w:val="en-US"/>
              </w:rPr>
              <w:t>−147</w:t>
            </w:r>
            <w:r>
              <w:rPr>
                <w:rFonts w:eastAsia="MS PGothic"/>
                <w:sz w:val="18"/>
                <w:lang w:val="en-US"/>
              </w:rPr>
              <w:t>,</w:t>
            </w:r>
            <w:r w:rsidRPr="00F63FE2">
              <w:rPr>
                <w:rFonts w:eastAsia="MS PGothic"/>
                <w:sz w:val="18"/>
                <w:lang w:val="en-US"/>
              </w:rPr>
              <w:t>4</w:t>
            </w:r>
            <w:r>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 </w:t>
            </w:r>
            <w:r w:rsidRPr="00F63FE2">
              <w:rPr>
                <w:sz w:val="18"/>
                <w:lang w:val="en-US"/>
              </w:rPr>
              <w:t>9</w:t>
            </w:r>
            <w:r w:rsidRPr="00F63FE2">
              <w:rPr>
                <w:rFonts w:eastAsia="MS PGothic"/>
                <w:sz w:val="18"/>
                <w:lang w:val="en-US"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eastAsia="ja-JP"/>
              </w:rPr>
            </w:pPr>
            <w:r w:rsidRPr="00F63FE2">
              <w:rPr>
                <w:rFonts w:eastAsia="MS PGothic"/>
                <w:sz w:val="18"/>
                <w:lang w:val="en-US"/>
              </w:rPr>
              <w:t>−146</w:t>
            </w:r>
            <w:r>
              <w:rPr>
                <w:rFonts w:eastAsia="MS PGothic"/>
                <w:sz w:val="18"/>
                <w:vertAlign w:val="superscript"/>
                <w:lang w:val="en-US" w:eastAsia="ja-JP"/>
              </w:rPr>
              <w:br/>
            </w:r>
            <w:r w:rsidRPr="00F63FE2">
              <w:rPr>
                <w:rFonts w:eastAsia="MS PGothic"/>
                <w:sz w:val="18"/>
                <w:lang w:val="en-US" w:eastAsia="ja-JP"/>
              </w:rPr>
              <w:t xml:space="preserve">(Notes 3 </w:t>
            </w:r>
            <w:r>
              <w:rPr>
                <w:rFonts w:eastAsia="MS PGothic"/>
                <w:sz w:val="18"/>
                <w:lang w:val="en-US"/>
              </w:rPr>
              <w:t>et</w:t>
            </w:r>
            <w:r w:rsidRPr="00F63FE2">
              <w:rPr>
                <w:rFonts w:eastAsia="MS PGothic"/>
                <w:sz w:val="18"/>
                <w:lang w:val="en-US" w:eastAsia="ja-JP"/>
              </w:rPr>
              <w:t xml:space="preserve"> 14)</w:t>
            </w:r>
          </w:p>
        </w:tc>
        <w:tc>
          <w:tcPr>
            <w:tcW w:w="926"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lang w:val="en-US"/>
              </w:rPr>
            </w:pPr>
            <w:r w:rsidRPr="00F63FE2">
              <w:rPr>
                <w:rFonts w:eastAsia="MS PGothic"/>
                <w:sz w:val="18"/>
                <w:lang w:val="en-US"/>
              </w:rPr>
              <w:t>−146</w:t>
            </w:r>
            <w:r>
              <w:rPr>
                <w:rFonts w:eastAsia="MS PGothic"/>
                <w:sz w:val="18"/>
                <w:lang w:val="en-US"/>
              </w:rPr>
              <w:t>,</w:t>
            </w:r>
            <w:r w:rsidRPr="00F63FE2">
              <w:rPr>
                <w:rFonts w:eastAsia="MS PGothic"/>
                <w:sz w:val="18"/>
                <w:lang w:val="en-US"/>
              </w:rPr>
              <w:t>9</w:t>
            </w:r>
            <w:r>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 1</w:t>
            </w:r>
            <w:r w:rsidRPr="00F63FE2">
              <w:rPr>
                <w:rFonts w:eastAsia="MS PGothic"/>
                <w:sz w:val="18"/>
                <w:lang w:val="en-US" w:eastAsia="ja-JP"/>
              </w:rPr>
              <w:t>)</w:t>
            </w:r>
          </w:p>
        </w:tc>
        <w:tc>
          <w:tcPr>
            <w:tcW w:w="1097" w:type="dxa"/>
            <w:tcBorders>
              <w:top w:val="single" w:sz="4" w:space="0" w:color="auto"/>
              <w:left w:val="single" w:sz="4" w:space="0" w:color="auto"/>
              <w:bottom w:val="single" w:sz="4" w:space="0" w:color="auto"/>
              <w:right w:val="single" w:sz="4" w:space="0" w:color="auto"/>
            </w:tcBorders>
            <w:vAlign w:val="center"/>
          </w:tcPr>
          <w:p w:rsidR="005D5DF0" w:rsidRPr="000917FA" w:rsidRDefault="005D5DF0" w:rsidP="00A715CF">
            <w:pPr>
              <w:pStyle w:val="Tabletext"/>
              <w:ind w:left="-57" w:right="-57"/>
              <w:jc w:val="center"/>
              <w:rPr>
                <w:sz w:val="18"/>
                <w:lang w:val="en-US" w:eastAsia="ja-JP"/>
              </w:rPr>
            </w:pPr>
            <w:r w:rsidRPr="00F63FE2">
              <w:rPr>
                <w:sz w:val="18"/>
                <w:lang w:val="en-US" w:eastAsia="ja-JP"/>
              </w:rPr>
              <w:t>−142</w:t>
            </w:r>
            <w:r>
              <w:rPr>
                <w:sz w:val="18"/>
                <w:lang w:val="en-US" w:eastAsia="ja-JP"/>
              </w:rPr>
              <w:br/>
            </w:r>
            <w:r w:rsidRPr="00F63FE2">
              <w:rPr>
                <w:sz w:val="18"/>
                <w:lang w:val="en-US" w:eastAsia="ja-JP"/>
              </w:rPr>
              <w:t>(</w:t>
            </w:r>
            <w:r w:rsidRPr="000917FA">
              <w:rPr>
                <w:sz w:val="18"/>
                <w:lang w:val="en-US" w:eastAsia="ja-JP"/>
              </w:rPr>
              <w:t xml:space="preserve">Note 2, </w:t>
            </w:r>
            <w:r>
              <w:rPr>
                <w:sz w:val="18"/>
                <w:lang w:val="en-US" w:eastAsia="ja-JP"/>
              </w:rPr>
              <w:t>AMRC</w:t>
            </w:r>
            <w:r w:rsidRPr="000917FA">
              <w:rPr>
                <w:sz w:val="18"/>
                <w:lang w:val="en-US" w:eastAsia="ja-JP"/>
              </w:rPr>
              <w:t>)</w:t>
            </w:r>
            <w:r w:rsidRPr="000917FA">
              <w:rPr>
                <w:sz w:val="18"/>
                <w:lang w:val="en-US" w:eastAsia="ja-JP"/>
              </w:rPr>
              <w:br/>
              <w:t xml:space="preserve">(Note 3, </w:t>
            </w:r>
            <w:r>
              <w:rPr>
                <w:sz w:val="18"/>
                <w:lang w:val="en-US" w:eastAsia="ja-JP"/>
              </w:rPr>
              <w:t>AMRF</w:t>
            </w:r>
            <w:r w:rsidRPr="000917FA">
              <w:rPr>
                <w:sz w:val="18"/>
                <w:lang w:val="en-US" w:eastAsia="ja-JP"/>
              </w:rPr>
              <w:t>)</w:t>
            </w:r>
          </w:p>
        </w:tc>
        <w:tc>
          <w:tcPr>
            <w:tcW w:w="920" w:type="dxa"/>
            <w:tcBorders>
              <w:top w:val="single" w:sz="4" w:space="0" w:color="auto"/>
              <w:left w:val="single" w:sz="4" w:space="0" w:color="auto"/>
              <w:bottom w:val="single" w:sz="4" w:space="0" w:color="auto"/>
              <w:right w:val="single" w:sz="4" w:space="0" w:color="auto"/>
            </w:tcBorders>
            <w:vAlign w:val="center"/>
          </w:tcPr>
          <w:p w:rsidR="005D5DF0" w:rsidRPr="000917FA" w:rsidRDefault="005D5DF0" w:rsidP="00A715CF">
            <w:pPr>
              <w:pStyle w:val="Tabletext"/>
              <w:ind w:left="-57" w:right="-57"/>
              <w:jc w:val="center"/>
              <w:rPr>
                <w:snapToGrid w:val="0"/>
                <w:sz w:val="18"/>
                <w:lang w:val="en-US"/>
              </w:rPr>
            </w:pPr>
            <w:r w:rsidRPr="000917FA">
              <w:rPr>
                <w:rFonts w:eastAsia="MS PGothic"/>
                <w:sz w:val="18"/>
                <w:lang w:val="en-US"/>
              </w:rPr>
              <w:t>−</w:t>
            </w:r>
            <w:r w:rsidRPr="000917FA">
              <w:rPr>
                <w:snapToGrid w:val="0"/>
                <w:sz w:val="18"/>
                <w:lang w:val="en-US" w:eastAsia="zh-CN"/>
              </w:rPr>
              <w:t>146</w:t>
            </w:r>
            <w:r>
              <w:rPr>
                <w:snapToGrid w:val="0"/>
                <w:sz w:val="18"/>
                <w:lang w:val="en-US" w:eastAsia="zh-CN"/>
              </w:rPr>
              <w:br/>
            </w:r>
            <w:r w:rsidRPr="000917FA">
              <w:rPr>
                <w:snapToGrid w:val="0"/>
                <w:sz w:val="18"/>
                <w:lang w:val="en-US" w:eastAsia="zh-CN"/>
              </w:rPr>
              <w:t>(Note 4)</w:t>
            </w:r>
          </w:p>
        </w:tc>
        <w:tc>
          <w:tcPr>
            <w:tcW w:w="1196" w:type="dxa"/>
            <w:tcBorders>
              <w:top w:val="single" w:sz="4" w:space="0" w:color="auto"/>
              <w:left w:val="single" w:sz="4" w:space="0" w:color="auto"/>
              <w:bottom w:val="single" w:sz="4" w:space="0" w:color="auto"/>
              <w:right w:val="single" w:sz="4" w:space="0" w:color="auto"/>
            </w:tcBorders>
            <w:vAlign w:val="center"/>
          </w:tcPr>
          <w:p w:rsidR="005D5DF0" w:rsidRPr="000917FA" w:rsidRDefault="005D5DF0" w:rsidP="00A715CF">
            <w:pPr>
              <w:pStyle w:val="Tabletext"/>
              <w:ind w:left="-57" w:right="-57"/>
              <w:jc w:val="center"/>
              <w:rPr>
                <w:sz w:val="18"/>
                <w:lang w:val="en-US" w:eastAsia="ja-JP"/>
              </w:rPr>
            </w:pPr>
            <w:r w:rsidRPr="000917FA">
              <w:rPr>
                <w:sz w:val="18"/>
                <w:lang w:val="en-US" w:eastAsia="ja-JP"/>
              </w:rPr>
              <w:t>−148</w:t>
            </w:r>
            <w:r>
              <w:rPr>
                <w:sz w:val="18"/>
                <w:lang w:val="en-US" w:eastAsia="ja-JP"/>
              </w:rPr>
              <w:br/>
            </w:r>
            <w:r w:rsidRPr="000917FA">
              <w:rPr>
                <w:sz w:val="18"/>
                <w:lang w:val="en-US" w:eastAsia="ja-JP"/>
              </w:rPr>
              <w:t xml:space="preserve">(Note 2, </w:t>
            </w:r>
            <w:r>
              <w:rPr>
                <w:sz w:val="18"/>
                <w:lang w:val="en-US" w:eastAsia="ja-JP"/>
              </w:rPr>
              <w:t>AMRC</w:t>
            </w:r>
            <w:r w:rsidRPr="000917FA">
              <w:rPr>
                <w:sz w:val="18"/>
                <w:lang w:val="en-US" w:eastAsia="ja-JP"/>
              </w:rPr>
              <w:t>)</w:t>
            </w:r>
            <w:r w:rsidRPr="000917FA">
              <w:rPr>
                <w:sz w:val="18"/>
                <w:lang w:val="en-US" w:eastAsia="ja-JP"/>
              </w:rPr>
              <w:br/>
              <w:t xml:space="preserve">(Note 3, </w:t>
            </w:r>
            <w:r>
              <w:rPr>
                <w:sz w:val="18"/>
                <w:lang w:val="en-US" w:eastAsia="ja-JP"/>
              </w:rPr>
              <w:t>AMRF</w:t>
            </w:r>
            <w:r w:rsidRPr="000917FA">
              <w:rPr>
                <w:sz w:val="18"/>
                <w:lang w:val="en-US" w:eastAsia="ja-JP"/>
              </w:rPr>
              <w:t>)</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0917FA" w:rsidRDefault="005D5DF0" w:rsidP="00A715CF">
            <w:pPr>
              <w:pStyle w:val="Tabletext"/>
              <w:ind w:left="-57" w:right="-57"/>
              <w:jc w:val="center"/>
              <w:rPr>
                <w:rFonts w:eastAsia="MS PGothic"/>
                <w:sz w:val="18"/>
                <w:lang w:val="en-US" w:eastAsia="ja-JP"/>
              </w:rPr>
            </w:pPr>
            <w:r w:rsidRPr="000917FA">
              <w:rPr>
                <w:rFonts w:eastAsia="MS PGothic"/>
                <w:sz w:val="18"/>
                <w:lang w:val="en-US"/>
              </w:rPr>
              <w:t>−147</w:t>
            </w:r>
            <w:r>
              <w:rPr>
                <w:rFonts w:eastAsia="MS PGothic"/>
                <w:sz w:val="18"/>
                <w:lang w:val="en-US"/>
              </w:rPr>
              <w:t>,</w:t>
            </w:r>
            <w:r w:rsidRPr="000917FA">
              <w:rPr>
                <w:rFonts w:eastAsia="MS PGothic"/>
                <w:sz w:val="18"/>
                <w:lang w:val="en-US"/>
              </w:rPr>
              <w:t>4</w:t>
            </w:r>
            <w:r>
              <w:rPr>
                <w:rFonts w:eastAsia="MS PGothic"/>
                <w:sz w:val="18"/>
                <w:vertAlign w:val="superscript"/>
                <w:lang w:val="en-US"/>
              </w:rPr>
              <w:br/>
            </w:r>
            <w:r w:rsidRPr="000917FA">
              <w:rPr>
                <w:rFonts w:eastAsia="MS PGothic"/>
                <w:sz w:val="18"/>
                <w:lang w:val="en-US" w:eastAsia="ja-JP"/>
              </w:rPr>
              <w:t>(</w:t>
            </w:r>
            <w:r w:rsidRPr="000917FA">
              <w:rPr>
                <w:rFonts w:eastAsia="MS PGothic"/>
                <w:sz w:val="18"/>
                <w:lang w:val="en-US"/>
              </w:rPr>
              <w:t>Note 1</w:t>
            </w:r>
            <w:r w:rsidRPr="000917FA">
              <w:rPr>
                <w:rFonts w:eastAsia="MS PGothic"/>
                <w:sz w:val="18"/>
                <w:lang w:val="en-US" w:eastAsia="ja-JP"/>
              </w:rPr>
              <w:t>)</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0917FA" w:rsidRDefault="005D5DF0" w:rsidP="00A715CF">
            <w:pPr>
              <w:pStyle w:val="Tabletext"/>
              <w:ind w:left="-57" w:right="-57"/>
              <w:jc w:val="center"/>
              <w:rPr>
                <w:rFonts w:eastAsia="MS PGothic"/>
                <w:sz w:val="18"/>
                <w:lang w:val="en-US" w:eastAsia="ja-JP"/>
              </w:rPr>
            </w:pPr>
            <w:r w:rsidRPr="000917FA">
              <w:rPr>
                <w:rFonts w:eastAsia="MS PGothic"/>
                <w:sz w:val="18"/>
                <w:lang w:val="en-US" w:eastAsia="ja-JP"/>
              </w:rPr>
              <w:t>–147</w:t>
            </w:r>
            <w:r>
              <w:rPr>
                <w:rFonts w:eastAsia="MS PGothic"/>
                <w:sz w:val="18"/>
                <w:lang w:val="en-US" w:eastAsia="ja-JP"/>
              </w:rPr>
              <w:t>,</w:t>
            </w:r>
            <w:r w:rsidRPr="000917FA">
              <w:rPr>
                <w:rFonts w:eastAsia="MS PGothic"/>
                <w:sz w:val="18"/>
                <w:lang w:val="en-US" w:eastAsia="ja-JP"/>
              </w:rPr>
              <w:t>4</w:t>
            </w:r>
            <w:r>
              <w:rPr>
                <w:rFonts w:eastAsia="MS PGothic"/>
                <w:sz w:val="18"/>
                <w:lang w:val="en-US" w:eastAsia="ja-JP"/>
              </w:rPr>
              <w:br/>
            </w:r>
            <w:r w:rsidRPr="000917FA">
              <w:rPr>
                <w:rFonts w:eastAsia="MS PGothic"/>
                <w:sz w:val="18"/>
                <w:lang w:val="en-US"/>
              </w:rPr>
              <w:t>(Note 3)</w:t>
            </w:r>
          </w:p>
        </w:tc>
      </w:tr>
      <w:tr w:rsidR="005D5DF0" w:rsidRPr="000917FA" w:rsidTr="00A715CF">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5D5DF0" w:rsidRPr="00B3008E" w:rsidRDefault="005D5DF0" w:rsidP="00C960E8">
            <w:pPr>
              <w:pStyle w:val="Tabletext"/>
              <w:jc w:val="left"/>
              <w:rPr>
                <w:rFonts w:eastAsia="MS PGothic"/>
                <w:sz w:val="18"/>
                <w:lang w:val="fr-CH"/>
              </w:rPr>
            </w:pPr>
            <w:r w:rsidRPr="00FE3030">
              <w:rPr>
                <w:sz w:val="18"/>
                <w:lang w:val="fr-CH"/>
              </w:rPr>
              <w:t>Niveau de compression à l'entrée du récepteur (dBW)</w:t>
            </w:r>
            <w:r>
              <w:rPr>
                <w:sz w:val="18"/>
                <w:lang w:val="fr-CH"/>
              </w:rPr>
              <w:br/>
            </w:r>
            <w:r w:rsidRPr="00B3008E">
              <w:rPr>
                <w:sz w:val="18"/>
                <w:lang w:val="fr-CH"/>
              </w:rPr>
              <w:t>(Note 19)</w:t>
            </w:r>
          </w:p>
        </w:tc>
        <w:tc>
          <w:tcPr>
            <w:tcW w:w="1127" w:type="dxa"/>
            <w:tcBorders>
              <w:top w:val="single" w:sz="4" w:space="0" w:color="auto"/>
              <w:left w:val="single" w:sz="4" w:space="0" w:color="auto"/>
              <w:bottom w:val="single" w:sz="4" w:space="0" w:color="auto"/>
              <w:right w:val="single" w:sz="4" w:space="0" w:color="auto"/>
            </w:tcBorders>
            <w:vAlign w:val="center"/>
          </w:tcPr>
          <w:p w:rsidR="005D5DF0" w:rsidRPr="00B3008E" w:rsidRDefault="005D5DF0" w:rsidP="00A715CF">
            <w:pPr>
              <w:pStyle w:val="Tabletext"/>
              <w:ind w:left="-57" w:right="-57"/>
              <w:jc w:val="center"/>
              <w:rPr>
                <w:rFonts w:eastAsia="MS PGothic"/>
                <w:sz w:val="18"/>
                <w:lang w:val="fr-CH"/>
              </w:rPr>
            </w:pPr>
            <w:r w:rsidRPr="00B3008E">
              <w:rPr>
                <w:rFonts w:eastAsia="MS PGothic"/>
                <w:sz w:val="18"/>
                <w:lang w:val="fr-CH"/>
              </w:rPr>
              <w:t>−135</w:t>
            </w:r>
          </w:p>
        </w:tc>
        <w:tc>
          <w:tcPr>
            <w:tcW w:w="1361" w:type="dxa"/>
            <w:tcBorders>
              <w:top w:val="single" w:sz="4" w:space="0" w:color="auto"/>
              <w:left w:val="single" w:sz="4" w:space="0" w:color="auto"/>
              <w:bottom w:val="single" w:sz="4" w:space="0" w:color="auto"/>
              <w:right w:val="single" w:sz="4" w:space="0" w:color="auto"/>
            </w:tcBorders>
            <w:vAlign w:val="center"/>
          </w:tcPr>
          <w:p w:rsidR="005D5DF0" w:rsidRPr="00B3008E" w:rsidRDefault="005D5DF0" w:rsidP="00A715CF">
            <w:pPr>
              <w:pStyle w:val="Tabletext"/>
              <w:ind w:left="-57" w:right="-57"/>
              <w:jc w:val="center"/>
              <w:rPr>
                <w:rFonts w:eastAsia="MS PGothic"/>
                <w:sz w:val="18"/>
                <w:lang w:val="fr-CH"/>
              </w:rPr>
            </w:pPr>
            <w:r w:rsidRPr="00B3008E">
              <w:rPr>
                <w:rFonts w:eastAsia="MS PGothic"/>
                <w:sz w:val="18"/>
                <w:lang w:val="fr-CH"/>
              </w:rPr>
              <w:t>−80</w:t>
            </w:r>
          </w:p>
        </w:tc>
        <w:tc>
          <w:tcPr>
            <w:tcW w:w="1139" w:type="dxa"/>
            <w:tcBorders>
              <w:top w:val="single" w:sz="4" w:space="0" w:color="auto"/>
              <w:left w:val="single" w:sz="4" w:space="0" w:color="auto"/>
              <w:bottom w:val="single" w:sz="4" w:space="0" w:color="auto"/>
              <w:right w:val="single" w:sz="4" w:space="0" w:color="auto"/>
            </w:tcBorders>
            <w:vAlign w:val="center"/>
          </w:tcPr>
          <w:p w:rsidR="005D5DF0" w:rsidRPr="00B3008E" w:rsidRDefault="005D5DF0" w:rsidP="00A715CF">
            <w:pPr>
              <w:pStyle w:val="Tabletext"/>
              <w:ind w:left="-57" w:right="-57"/>
              <w:jc w:val="center"/>
              <w:rPr>
                <w:rFonts w:eastAsia="MS PGothic"/>
                <w:sz w:val="18"/>
                <w:lang w:val="fr-CH"/>
              </w:rPr>
            </w:pPr>
            <w:r w:rsidRPr="00B3008E">
              <w:rPr>
                <w:rFonts w:eastAsia="MS PGothic"/>
                <w:sz w:val="18"/>
                <w:lang w:val="fr-CH"/>
              </w:rPr>
              <w:t>−135</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B3008E" w:rsidRDefault="005D5DF0" w:rsidP="00A715CF">
            <w:pPr>
              <w:pStyle w:val="Tabletext"/>
              <w:ind w:left="-57" w:right="-57"/>
              <w:jc w:val="center"/>
              <w:rPr>
                <w:rFonts w:eastAsia="MS PGothic"/>
                <w:sz w:val="18"/>
                <w:lang w:val="fr-CH"/>
              </w:rPr>
            </w:pPr>
            <w:r w:rsidRPr="00B3008E">
              <w:rPr>
                <w:rFonts w:eastAsia="MS PGothic"/>
                <w:sz w:val="18"/>
                <w:lang w:val="fr-CH"/>
              </w:rPr>
              <w:t>−80</w:t>
            </w:r>
          </w:p>
        </w:tc>
        <w:tc>
          <w:tcPr>
            <w:tcW w:w="994" w:type="dxa"/>
            <w:tcBorders>
              <w:top w:val="single" w:sz="4" w:space="0" w:color="auto"/>
              <w:left w:val="single" w:sz="4" w:space="0" w:color="auto"/>
              <w:bottom w:val="single" w:sz="4" w:space="0" w:color="auto"/>
              <w:right w:val="single" w:sz="4" w:space="0" w:color="auto"/>
            </w:tcBorders>
            <w:vAlign w:val="center"/>
          </w:tcPr>
          <w:p w:rsidR="005D5DF0" w:rsidRPr="00B3008E" w:rsidRDefault="005D5DF0" w:rsidP="00A715CF">
            <w:pPr>
              <w:pStyle w:val="Tabletext"/>
              <w:ind w:left="-57" w:right="-57"/>
              <w:jc w:val="center"/>
              <w:rPr>
                <w:rFonts w:eastAsia="MS PGothic"/>
                <w:sz w:val="18"/>
                <w:lang w:val="fr-CH"/>
              </w:rPr>
            </w:pPr>
            <w:r w:rsidRPr="00B3008E">
              <w:rPr>
                <w:rFonts w:eastAsia="MS PGothic"/>
                <w:sz w:val="18"/>
                <w:lang w:val="fr-CH"/>
              </w:rPr>
              <w:t>−135</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B3008E" w:rsidRDefault="005D5DF0" w:rsidP="00A715CF">
            <w:pPr>
              <w:pStyle w:val="Tabletext"/>
              <w:ind w:left="-57" w:right="-57"/>
              <w:jc w:val="center"/>
              <w:rPr>
                <w:rFonts w:eastAsia="MS PGothic"/>
                <w:sz w:val="18"/>
                <w:lang w:val="fr-CH"/>
              </w:rPr>
            </w:pPr>
            <w:r w:rsidRPr="00B3008E">
              <w:rPr>
                <w:rFonts w:eastAsia="MS PGothic"/>
                <w:sz w:val="18"/>
                <w:lang w:val="fr-CH"/>
              </w:rPr>
              <w:t>−80</w:t>
            </w:r>
          </w:p>
        </w:tc>
        <w:tc>
          <w:tcPr>
            <w:tcW w:w="926" w:type="dxa"/>
            <w:tcBorders>
              <w:top w:val="single" w:sz="4" w:space="0" w:color="auto"/>
              <w:left w:val="single" w:sz="4" w:space="0" w:color="auto"/>
              <w:bottom w:val="single" w:sz="4" w:space="0" w:color="auto"/>
              <w:right w:val="single" w:sz="4" w:space="0" w:color="auto"/>
            </w:tcBorders>
            <w:vAlign w:val="center"/>
          </w:tcPr>
          <w:p w:rsidR="005D5DF0" w:rsidRPr="00B3008E" w:rsidRDefault="005D5DF0" w:rsidP="00A715CF">
            <w:pPr>
              <w:pStyle w:val="Tabletext"/>
              <w:ind w:left="-57" w:right="-57"/>
              <w:jc w:val="center"/>
              <w:rPr>
                <w:rFonts w:eastAsia="MS PGothic"/>
                <w:sz w:val="18"/>
                <w:lang w:val="fr-CH"/>
              </w:rPr>
            </w:pPr>
          </w:p>
        </w:tc>
        <w:tc>
          <w:tcPr>
            <w:tcW w:w="1097" w:type="dxa"/>
            <w:tcBorders>
              <w:top w:val="single" w:sz="4" w:space="0" w:color="auto"/>
              <w:left w:val="single" w:sz="4" w:space="0" w:color="auto"/>
              <w:bottom w:val="single" w:sz="4" w:space="0" w:color="auto"/>
              <w:right w:val="single" w:sz="4" w:space="0" w:color="auto"/>
            </w:tcBorders>
            <w:vAlign w:val="center"/>
          </w:tcPr>
          <w:p w:rsidR="005D5DF0" w:rsidRPr="00B3008E" w:rsidRDefault="005D5DF0" w:rsidP="00A715CF">
            <w:pPr>
              <w:pStyle w:val="Tabletext"/>
              <w:ind w:left="-57" w:right="-57"/>
              <w:jc w:val="center"/>
              <w:rPr>
                <w:sz w:val="18"/>
                <w:lang w:val="fr-CH" w:eastAsia="ja-JP"/>
              </w:rPr>
            </w:pPr>
            <w:r w:rsidRPr="00B3008E">
              <w:rPr>
                <w:sz w:val="18"/>
                <w:lang w:val="fr-CH"/>
              </w:rPr>
              <w:t>−70</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B3008E" w:rsidRDefault="005D5DF0" w:rsidP="00A715CF">
            <w:pPr>
              <w:pStyle w:val="Tabletext"/>
              <w:ind w:left="-57" w:right="-57"/>
              <w:jc w:val="center"/>
              <w:rPr>
                <w:rFonts w:eastAsia="MS PGothic"/>
                <w:sz w:val="18"/>
                <w:lang w:val="fr-CH"/>
              </w:rPr>
            </w:pPr>
            <w:r w:rsidRPr="00B3008E">
              <w:rPr>
                <w:sz w:val="18"/>
                <w:lang w:val="fr-CH"/>
              </w:rPr>
              <w:t>−70</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B3008E" w:rsidRDefault="005D5DF0" w:rsidP="00A715CF">
            <w:pPr>
              <w:pStyle w:val="Tabletext"/>
              <w:ind w:left="-57" w:right="-57"/>
              <w:jc w:val="center"/>
              <w:rPr>
                <w:sz w:val="18"/>
                <w:lang w:val="fr-CH" w:eastAsia="ja-JP"/>
              </w:rPr>
            </w:pPr>
            <w:r w:rsidRPr="00B3008E">
              <w:rPr>
                <w:rFonts w:eastAsia="MS PGothic"/>
                <w:sz w:val="18"/>
                <w:lang w:val="fr-CH"/>
              </w:rPr>
              <w:t>−</w:t>
            </w:r>
            <w:r w:rsidRPr="00B3008E">
              <w:rPr>
                <w:snapToGrid w:val="0"/>
                <w:sz w:val="18"/>
                <w:lang w:val="fr-CH" w:eastAsia="zh-CN"/>
              </w:rPr>
              <w:t>100</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B3008E" w:rsidRDefault="005D5DF0" w:rsidP="00A715CF">
            <w:pPr>
              <w:pStyle w:val="Tabletext"/>
              <w:ind w:left="-57" w:right="-57"/>
              <w:jc w:val="center"/>
              <w:rPr>
                <w:rFonts w:eastAsia="MS PGothic"/>
                <w:sz w:val="18"/>
                <w:lang w:val="fr-CH"/>
              </w:rPr>
            </w:pPr>
          </w:p>
        </w:tc>
      </w:tr>
      <w:tr w:rsidR="005D5DF0" w:rsidRPr="00F63FE2" w:rsidTr="00A715CF">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C960E8">
            <w:pPr>
              <w:pStyle w:val="Tabletext"/>
              <w:jc w:val="left"/>
              <w:rPr>
                <w:rFonts w:eastAsia="MS PGothic"/>
                <w:sz w:val="18"/>
              </w:rPr>
            </w:pPr>
            <w:r w:rsidRPr="00FE3030">
              <w:rPr>
                <w:sz w:val="18"/>
                <w:lang w:val="fr-CH"/>
              </w:rPr>
              <w:t>Niveau de survie du récepteur</w:t>
            </w:r>
            <w:r w:rsidRPr="00F63FE2">
              <w:rPr>
                <w:sz w:val="18"/>
              </w:rPr>
              <w:t xml:space="preserve"> (dBW)</w:t>
            </w:r>
          </w:p>
        </w:tc>
        <w:tc>
          <w:tcPr>
            <w:tcW w:w="112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−10</w:t>
            </w:r>
          </w:p>
        </w:tc>
        <w:tc>
          <w:tcPr>
            <w:tcW w:w="1361"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−1</w:t>
            </w:r>
          </w:p>
        </w:tc>
        <w:tc>
          <w:tcPr>
            <w:tcW w:w="113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−10</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−1</w:t>
            </w:r>
          </w:p>
        </w:tc>
        <w:tc>
          <w:tcPr>
            <w:tcW w:w="994"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−10</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−1</w:t>
            </w:r>
          </w:p>
        </w:tc>
        <w:tc>
          <w:tcPr>
            <w:tcW w:w="926"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p>
        </w:tc>
        <w:tc>
          <w:tcPr>
            <w:tcW w:w="109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sz w:val="18"/>
                <w:lang w:eastAsia="ja-JP"/>
              </w:rPr>
            </w:pPr>
            <w:r w:rsidRPr="00F63FE2">
              <w:rPr>
                <w:sz w:val="18"/>
              </w:rPr>
              <w:t>−20</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rPr>
            </w:pPr>
            <w:r w:rsidRPr="00F63FE2">
              <w:rPr>
                <w:sz w:val="18"/>
              </w:rPr>
              <w:t>−20</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sz w:val="18"/>
                <w:lang w:eastAsia="ja-JP"/>
              </w:rPr>
            </w:pPr>
            <w:r w:rsidRPr="00F63FE2">
              <w:rPr>
                <w:rFonts w:eastAsia="MS PGothic"/>
                <w:sz w:val="18"/>
              </w:rPr>
              <w:t>−</w:t>
            </w:r>
            <w:r w:rsidRPr="00F63FE2">
              <w:rPr>
                <w:snapToGrid w:val="0"/>
                <w:sz w:val="18"/>
                <w:lang w:eastAsia="zh-CN"/>
              </w:rPr>
              <w:t>17</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rPr>
            </w:pPr>
          </w:p>
        </w:tc>
      </w:tr>
      <w:tr w:rsidR="005D5DF0" w:rsidRPr="00F63FE2" w:rsidTr="00A715CF">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C960E8">
            <w:pPr>
              <w:pStyle w:val="Tabletext"/>
              <w:jc w:val="left"/>
              <w:rPr>
                <w:rFonts w:eastAsia="MS PGothic"/>
                <w:sz w:val="18"/>
              </w:rPr>
            </w:pPr>
            <w:r>
              <w:rPr>
                <w:sz w:val="18"/>
              </w:rPr>
              <w:t xml:space="preserve">Temps de rétablissement après surcharge </w:t>
            </w:r>
            <w:r w:rsidRPr="00F63FE2">
              <w:rPr>
                <w:sz w:val="18"/>
              </w:rPr>
              <w:t>(s)</w:t>
            </w:r>
          </w:p>
        </w:tc>
        <w:tc>
          <w:tcPr>
            <w:tcW w:w="112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25</w:t>
            </w:r>
            <w:r>
              <w:rPr>
                <w:rFonts w:eastAsia="MS PGothic"/>
                <w:sz w:val="18"/>
              </w:rPr>
              <w:t>,</w:t>
            </w:r>
            <w:r w:rsidRPr="00F63FE2">
              <w:rPr>
                <w:rFonts w:eastAsia="MS PGothic"/>
                <w:sz w:val="18"/>
              </w:rPr>
              <w:t>0 × 10</w:t>
            </w:r>
            <w:r w:rsidRPr="00F63FE2">
              <w:rPr>
                <w:rFonts w:eastAsia="MS PGothic"/>
                <w:sz w:val="18"/>
                <w:vertAlign w:val="superscript"/>
              </w:rPr>
              <w:t>−6</w:t>
            </w:r>
          </w:p>
        </w:tc>
        <w:tc>
          <w:tcPr>
            <w:tcW w:w="1361"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sz w:val="18"/>
              </w:rPr>
              <w:t xml:space="preserve">(1 </w:t>
            </w:r>
            <w:r>
              <w:rPr>
                <w:sz w:val="18"/>
              </w:rPr>
              <w:t>à</w:t>
            </w:r>
            <w:r w:rsidRPr="00F63FE2">
              <w:rPr>
                <w:sz w:val="18"/>
              </w:rPr>
              <w:t xml:space="preserve"> 5)</w:t>
            </w:r>
            <w:r w:rsidRPr="00F63FE2">
              <w:rPr>
                <w:rFonts w:eastAsia="MS PGothic"/>
                <w:sz w:val="18"/>
              </w:rPr>
              <w:t xml:space="preserve"> ×</w:t>
            </w:r>
            <w:r>
              <w:rPr>
                <w:rFonts w:eastAsia="MS PGothic"/>
                <w:sz w:val="18"/>
              </w:rPr>
              <w:t xml:space="preserve"> </w:t>
            </w:r>
            <w:r w:rsidRPr="00F63FE2">
              <w:rPr>
                <w:sz w:val="18"/>
              </w:rPr>
              <w:t>10</w:t>
            </w:r>
            <w:r w:rsidRPr="00F63FE2">
              <w:rPr>
                <w:sz w:val="18"/>
                <w:vertAlign w:val="superscript"/>
              </w:rPr>
              <w:t>−6</w:t>
            </w:r>
          </w:p>
        </w:tc>
        <w:tc>
          <w:tcPr>
            <w:tcW w:w="113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25</w:t>
            </w:r>
            <w:r>
              <w:rPr>
                <w:rFonts w:eastAsia="MS PGothic"/>
                <w:sz w:val="18"/>
              </w:rPr>
              <w:t>,</w:t>
            </w:r>
            <w:r w:rsidRPr="00F63FE2">
              <w:rPr>
                <w:rFonts w:eastAsia="MS PGothic"/>
                <w:sz w:val="18"/>
              </w:rPr>
              <w:t>0 × 10</w:t>
            </w:r>
            <w:r w:rsidRPr="00F63FE2">
              <w:rPr>
                <w:rFonts w:eastAsia="MS PGothic"/>
                <w:sz w:val="18"/>
                <w:vertAlign w:val="superscript"/>
              </w:rPr>
              <w:t>−6</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sz w:val="18"/>
              </w:rPr>
              <w:t xml:space="preserve">(1 </w:t>
            </w:r>
            <w:r>
              <w:rPr>
                <w:sz w:val="18"/>
              </w:rPr>
              <w:t>à</w:t>
            </w:r>
            <w:r w:rsidRPr="00F63FE2">
              <w:rPr>
                <w:sz w:val="18"/>
              </w:rPr>
              <w:t xml:space="preserve"> 5)</w:t>
            </w:r>
            <w:r w:rsidRPr="00F63FE2">
              <w:rPr>
                <w:rFonts w:eastAsia="MS PGothic"/>
                <w:sz w:val="18"/>
              </w:rPr>
              <w:t xml:space="preserve"> ×</w:t>
            </w:r>
            <w:r>
              <w:rPr>
                <w:rFonts w:eastAsia="MS PGothic"/>
                <w:sz w:val="18"/>
              </w:rPr>
              <w:t xml:space="preserve"> </w:t>
            </w:r>
            <w:r w:rsidRPr="00F63FE2">
              <w:rPr>
                <w:sz w:val="18"/>
              </w:rPr>
              <w:t>10</w:t>
            </w:r>
            <w:r w:rsidRPr="00F63FE2">
              <w:rPr>
                <w:sz w:val="18"/>
                <w:vertAlign w:val="superscript"/>
              </w:rPr>
              <w:t>−6</w:t>
            </w:r>
          </w:p>
        </w:tc>
        <w:tc>
          <w:tcPr>
            <w:tcW w:w="99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D5DF0" w:rsidRPr="00F63FE2" w:rsidRDefault="005D5DF0" w:rsidP="00A715CF">
            <w:pPr>
              <w:pStyle w:val="Tabletext"/>
              <w:ind w:left="-57" w:right="-57"/>
              <w:jc w:val="center"/>
              <w:rPr>
                <w:rFonts w:eastAsia="MS PGothic"/>
                <w:sz w:val="18"/>
              </w:rPr>
            </w:pPr>
            <w:r w:rsidRPr="00F63FE2">
              <w:rPr>
                <w:rFonts w:eastAsia="MS PGothic"/>
                <w:sz w:val="18"/>
              </w:rPr>
              <w:t>25</w:t>
            </w:r>
            <w:r>
              <w:rPr>
                <w:rFonts w:eastAsia="MS PGothic"/>
                <w:sz w:val="18"/>
              </w:rPr>
              <w:t>,</w:t>
            </w:r>
            <w:r w:rsidRPr="00F63FE2">
              <w:rPr>
                <w:rFonts w:eastAsia="MS PGothic"/>
                <w:sz w:val="18"/>
              </w:rPr>
              <w:t>0 × 10</w:t>
            </w:r>
            <w:r w:rsidRPr="00F63FE2">
              <w:rPr>
                <w:rFonts w:eastAsia="MS PGothic"/>
                <w:sz w:val="18"/>
                <w:vertAlign w:val="superscript"/>
              </w:rPr>
              <w:t>−6</w:t>
            </w:r>
          </w:p>
        </w:tc>
        <w:tc>
          <w:tcPr>
            <w:tcW w:w="1389"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r w:rsidRPr="00F63FE2">
              <w:rPr>
                <w:sz w:val="18"/>
              </w:rPr>
              <w:t xml:space="preserve">(1 </w:t>
            </w:r>
            <w:r>
              <w:rPr>
                <w:sz w:val="18"/>
              </w:rPr>
              <w:t>à</w:t>
            </w:r>
            <w:r w:rsidRPr="00F63FE2">
              <w:rPr>
                <w:sz w:val="18"/>
              </w:rPr>
              <w:t xml:space="preserve"> 5)</w:t>
            </w:r>
            <w:r w:rsidRPr="00F63FE2">
              <w:rPr>
                <w:rFonts w:eastAsia="MS PGothic"/>
                <w:sz w:val="18"/>
              </w:rPr>
              <w:t xml:space="preserve"> ×</w:t>
            </w:r>
            <w:r>
              <w:rPr>
                <w:rFonts w:eastAsia="MS PGothic"/>
                <w:sz w:val="18"/>
              </w:rPr>
              <w:t xml:space="preserve"> </w:t>
            </w:r>
            <w:r w:rsidRPr="00F63FE2">
              <w:rPr>
                <w:sz w:val="18"/>
              </w:rPr>
              <w:t>10</w:t>
            </w:r>
            <w:r w:rsidRPr="00F63FE2">
              <w:rPr>
                <w:sz w:val="18"/>
                <w:vertAlign w:val="superscript"/>
              </w:rPr>
              <w:t>−6</w:t>
            </w:r>
          </w:p>
        </w:tc>
        <w:tc>
          <w:tcPr>
            <w:tcW w:w="926"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rFonts w:eastAsia="MS PGothic"/>
                <w:sz w:val="18"/>
              </w:rPr>
            </w:pPr>
          </w:p>
        </w:tc>
        <w:tc>
          <w:tcPr>
            <w:tcW w:w="1097" w:type="dxa"/>
            <w:tcBorders>
              <w:top w:val="single" w:sz="4" w:space="0" w:color="auto"/>
              <w:left w:val="single" w:sz="4" w:space="0" w:color="auto"/>
              <w:bottom w:val="single" w:sz="4" w:space="0" w:color="auto"/>
              <w:right w:val="single" w:sz="4" w:space="0" w:color="auto"/>
            </w:tcBorders>
            <w:vAlign w:val="center"/>
          </w:tcPr>
          <w:p w:rsidR="005D5DF0" w:rsidRPr="00F63FE2" w:rsidRDefault="005D5DF0" w:rsidP="00A715CF">
            <w:pPr>
              <w:pStyle w:val="Tabletext"/>
              <w:ind w:left="-57" w:right="-57"/>
              <w:jc w:val="center"/>
              <w:rPr>
                <w:sz w:val="18"/>
                <w:lang w:eastAsia="ja-JP"/>
              </w:rPr>
            </w:pPr>
            <w:r w:rsidRPr="00F63FE2">
              <w:rPr>
                <w:snapToGrid w:val="0"/>
                <w:sz w:val="18"/>
              </w:rPr>
              <w:t>30 </w:t>
            </w:r>
            <w:r w:rsidRPr="00F63FE2">
              <w:rPr>
                <w:rFonts w:eastAsia="MS PGothic"/>
                <w:sz w:val="18"/>
              </w:rPr>
              <w:t>×</w:t>
            </w:r>
            <w:r w:rsidRPr="00F63FE2">
              <w:rPr>
                <w:snapToGrid w:val="0"/>
                <w:sz w:val="18"/>
              </w:rPr>
              <w:t> 10</w:t>
            </w:r>
            <w:r w:rsidRPr="00F63FE2">
              <w:rPr>
                <w:snapToGrid w:val="0"/>
                <w:sz w:val="18"/>
                <w:vertAlign w:val="superscript"/>
              </w:rPr>
              <w:t>−6</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rPr>
            </w:pPr>
            <w:r w:rsidRPr="00F63FE2">
              <w:rPr>
                <w:snapToGrid w:val="0"/>
                <w:sz w:val="18"/>
              </w:rPr>
              <w:t>30 </w:t>
            </w:r>
            <w:r w:rsidRPr="00F63FE2">
              <w:rPr>
                <w:rFonts w:eastAsia="MS PGothic"/>
                <w:sz w:val="18"/>
              </w:rPr>
              <w:t>×</w:t>
            </w:r>
            <w:r w:rsidRPr="00F63FE2">
              <w:rPr>
                <w:snapToGrid w:val="0"/>
                <w:sz w:val="18"/>
              </w:rPr>
              <w:t> 10</w:t>
            </w:r>
            <w:r w:rsidRPr="00F63FE2">
              <w:rPr>
                <w:snapToGrid w:val="0"/>
                <w:sz w:val="18"/>
                <w:vertAlign w:val="superscript"/>
              </w:rPr>
              <w:t>−6</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sz w:val="18"/>
                <w:lang w:eastAsia="ja-JP"/>
              </w:rPr>
            </w:pPr>
            <w:r w:rsidRPr="00F63FE2">
              <w:rPr>
                <w:snapToGrid w:val="0"/>
                <w:sz w:val="18"/>
              </w:rPr>
              <w:t>30 </w:t>
            </w:r>
            <w:r w:rsidRPr="00F63FE2">
              <w:rPr>
                <w:rFonts w:eastAsia="MS PGothic"/>
                <w:sz w:val="18"/>
              </w:rPr>
              <w:t>×</w:t>
            </w:r>
            <w:r w:rsidRPr="00F63FE2">
              <w:rPr>
                <w:snapToGrid w:val="0"/>
                <w:sz w:val="18"/>
              </w:rPr>
              <w:t> 10</w:t>
            </w:r>
            <w:r w:rsidRPr="00F63FE2">
              <w:rPr>
                <w:snapToGrid w:val="0"/>
                <w:sz w:val="18"/>
                <w:vertAlign w:val="superscript"/>
              </w:rPr>
              <w:t>−6</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D5DF0" w:rsidRPr="00F63FE2" w:rsidRDefault="005D5DF0" w:rsidP="00A715CF">
            <w:pPr>
              <w:pStyle w:val="Tabletext"/>
              <w:ind w:left="-57" w:right="-57"/>
              <w:jc w:val="center"/>
              <w:rPr>
                <w:rFonts w:eastAsia="MS PGothic"/>
                <w:sz w:val="18"/>
              </w:rPr>
            </w:pPr>
            <w:r w:rsidRPr="00F63FE2">
              <w:rPr>
                <w:snapToGrid w:val="0"/>
                <w:sz w:val="18"/>
              </w:rPr>
              <w:t>30 </w:t>
            </w:r>
            <w:r w:rsidRPr="00F63FE2">
              <w:rPr>
                <w:rFonts w:eastAsia="MS PGothic"/>
                <w:sz w:val="18"/>
              </w:rPr>
              <w:t>×</w:t>
            </w:r>
            <w:r w:rsidRPr="00F63FE2">
              <w:rPr>
                <w:snapToGrid w:val="0"/>
                <w:sz w:val="18"/>
              </w:rPr>
              <w:t> 10</w:t>
            </w:r>
            <w:r w:rsidRPr="00F63FE2">
              <w:rPr>
                <w:snapToGrid w:val="0"/>
                <w:sz w:val="18"/>
                <w:vertAlign w:val="superscript"/>
              </w:rPr>
              <w:t>−6</w:t>
            </w:r>
          </w:p>
        </w:tc>
      </w:tr>
      <w:tr w:rsidR="005D5DF0" w:rsidRPr="00F63FE2" w:rsidTr="00A715CF">
        <w:trPr>
          <w:cantSplit/>
          <w:jc w:val="center"/>
        </w:trPr>
        <w:tc>
          <w:tcPr>
            <w:tcW w:w="14459" w:type="dxa"/>
            <w:gridSpan w:val="13"/>
            <w:tcBorders>
              <w:top w:val="single" w:sz="4" w:space="0" w:color="auto"/>
              <w:left w:val="nil"/>
              <w:bottom w:val="nil"/>
              <w:right w:val="nil"/>
            </w:tcBorders>
            <w:vAlign w:val="center"/>
          </w:tcPr>
          <w:p w:rsidR="005D5DF0" w:rsidRPr="00287284" w:rsidRDefault="005D5DF0" w:rsidP="00A715CF">
            <w:pPr>
              <w:tabs>
                <w:tab w:val="left" w:pos="289"/>
              </w:tabs>
              <w:ind w:left="289" w:hanging="289"/>
              <w:rPr>
                <w:sz w:val="18"/>
                <w:szCs w:val="18"/>
                <w:lang w:val="fr-CH"/>
              </w:rPr>
            </w:pPr>
            <w:r w:rsidRPr="00287284">
              <w:rPr>
                <w:rFonts w:eastAsia="MS PGothic"/>
                <w:sz w:val="18"/>
                <w:szCs w:val="18"/>
                <w:lang w:val="fr-CH"/>
              </w:rPr>
              <w:t>*</w:t>
            </w:r>
            <w:r w:rsidRPr="00287284">
              <w:rPr>
                <w:sz w:val="18"/>
                <w:szCs w:val="18"/>
                <w:lang w:val="fr-CH"/>
              </w:rPr>
              <w:tab/>
              <w:t>Ces colonnes du tableau couvrent les caractéristiques et les seuils pour les récepteurs fonctionnant dans la bande 1 559-1 610 MHz (les récepteurs AMRC de ce type fonctionnent avec les signaux décrits dans l'Annexe 2 de la Recommandation UIT</w:t>
            </w:r>
            <w:r w:rsidRPr="00287284">
              <w:rPr>
                <w:sz w:val="18"/>
                <w:szCs w:val="18"/>
                <w:lang w:val="fr-CH"/>
              </w:rPr>
              <w:noBreakHyphen/>
              <w:t>R </w:t>
            </w:r>
            <w:r w:rsidRPr="00287284">
              <w:rPr>
                <w:sz w:val="18"/>
                <w:szCs w:val="18"/>
              </w:rPr>
              <w:t>М</w:t>
            </w:r>
            <w:r w:rsidRPr="00287284">
              <w:rPr>
                <w:sz w:val="18"/>
                <w:szCs w:val="18"/>
                <w:lang w:val="fr-CH"/>
              </w:rPr>
              <w:t>.1787). Pour les caractéristiques et les seuils applicables aux récepteurs qui effectuent l'acquisition et la pour</w:t>
            </w:r>
            <w:r>
              <w:rPr>
                <w:sz w:val="18"/>
                <w:szCs w:val="18"/>
                <w:lang w:val="fr-CH"/>
              </w:rPr>
              <w:t>suite des signaux du </w:t>
            </w:r>
            <w:r w:rsidRPr="00287284">
              <w:rPr>
                <w:sz w:val="18"/>
                <w:szCs w:val="18"/>
                <w:lang w:val="fr-CH"/>
              </w:rPr>
              <w:t>SRNS dans les bandes 1 215-1 300 MHz et/ou 1 164</w:t>
            </w:r>
            <w:r w:rsidRPr="00287284">
              <w:rPr>
                <w:sz w:val="18"/>
                <w:szCs w:val="18"/>
                <w:lang w:val="fr-CH"/>
              </w:rPr>
              <w:noBreakHyphen/>
              <w:t>1 215 MHz, voir également les Recommandations UIT</w:t>
            </w:r>
            <w:r w:rsidRPr="00287284">
              <w:rPr>
                <w:sz w:val="18"/>
                <w:szCs w:val="18"/>
                <w:lang w:val="fr-CH"/>
              </w:rPr>
              <w:noBreakHyphen/>
              <w:t>R M.1902 et/ou UIT</w:t>
            </w:r>
            <w:r w:rsidRPr="00287284">
              <w:rPr>
                <w:sz w:val="18"/>
                <w:szCs w:val="18"/>
                <w:lang w:val="fr-CH"/>
              </w:rPr>
              <w:noBreakHyphen/>
              <w:t>R M.1905.</w:t>
            </w:r>
          </w:p>
          <w:p w:rsidR="0099407E" w:rsidRDefault="0099407E" w:rsidP="00A715CF">
            <w:pPr>
              <w:rPr>
                <w:sz w:val="18"/>
                <w:szCs w:val="18"/>
                <w:lang w:val="fr-CH"/>
              </w:rPr>
            </w:pPr>
            <w:r w:rsidRPr="0099407E">
              <w:rPr>
                <w:rFonts w:asciiTheme="majorBidi" w:hAnsiTheme="majorBidi" w:cstheme="majorBidi"/>
                <w:i/>
                <w:iCs/>
                <w:sz w:val="18"/>
                <w:szCs w:val="18"/>
                <w:lang w:val="fr-CH"/>
              </w:rPr>
              <w:t>Notes relatives au Tableau 2</w:t>
            </w:r>
            <w:r>
              <w:rPr>
                <w:rFonts w:asciiTheme="majorBidi" w:hAnsiTheme="majorBidi" w:cstheme="majorBidi"/>
                <w:i/>
                <w:iCs/>
                <w:sz w:val="18"/>
                <w:szCs w:val="18"/>
                <w:lang w:val="fr-CH"/>
              </w:rPr>
              <w:t>:</w:t>
            </w:r>
          </w:p>
          <w:p w:rsidR="005D5DF0" w:rsidRPr="00287284" w:rsidRDefault="005D5DF0" w:rsidP="00A715CF">
            <w:pPr>
              <w:rPr>
                <w:sz w:val="18"/>
                <w:szCs w:val="18"/>
                <w:lang w:val="fr-CH"/>
              </w:rPr>
            </w:pPr>
            <w:r w:rsidRPr="00287284">
              <w:rPr>
                <w:sz w:val="18"/>
                <w:szCs w:val="18"/>
                <w:lang w:val="fr-CH"/>
              </w:rPr>
              <w:t>NOTE 0 – Lorsqu'elle est utilisée dans le modèle d'évaluation des brouillages de la Recommandation UIT</w:t>
            </w:r>
            <w:r w:rsidRPr="00287284">
              <w:rPr>
                <w:sz w:val="18"/>
                <w:szCs w:val="18"/>
                <w:lang w:val="fr-CH"/>
              </w:rPr>
              <w:noBreakHyphen/>
              <w:t>R M.1318-1, la valeur seuil est insérée dans la Ligne (a) et 6 dB (marge de sécurité, telle que décrite dans l'Annexe 1) est insérée dans la ligne (b) du gabarit d'évaluation.</w:t>
            </w:r>
          </w:p>
          <w:p w:rsidR="005D5DF0" w:rsidRPr="00287284" w:rsidRDefault="005D5DF0" w:rsidP="00A715CF">
            <w:pPr>
              <w:rPr>
                <w:snapToGrid w:val="0"/>
                <w:sz w:val="18"/>
                <w:szCs w:val="18"/>
              </w:rPr>
            </w:pPr>
            <w:r w:rsidRPr="00287284">
              <w:rPr>
                <w:sz w:val="18"/>
                <w:szCs w:val="18"/>
                <w:lang w:val="fr-CH"/>
              </w:rPr>
              <w:t xml:space="preserve">NOTE 1 – Le brouillage continu à bande étroite est réputé avoir une largeur de bande de moins de 700 Hz. Le brouillage continu large bande est réputé avoir une largeur de bande de plus de 1 MHz. Les valeurs seuils pour des largeurs de bande de brouillage comprises entre 700 Hz et 1 MHz sont </w:t>
            </w:r>
            <w:r>
              <w:rPr>
                <w:sz w:val="18"/>
                <w:szCs w:val="18"/>
                <w:lang w:val="fr-CH"/>
              </w:rPr>
              <w:t>données dans le § 3 (voir Fig.</w:t>
            </w:r>
            <w:r w:rsidRPr="00287284">
              <w:rPr>
                <w:sz w:val="18"/>
                <w:szCs w:val="18"/>
                <w:lang w:val="fr-CH"/>
              </w:rPr>
              <w:t> 1 et Tableau 1). Ces valeurs sont pour les signaux L1 à code C/A et ne sont pas destinées à être util</w:t>
            </w:r>
            <w:r>
              <w:rPr>
                <w:sz w:val="18"/>
                <w:szCs w:val="18"/>
                <w:lang w:val="fr-CH"/>
              </w:rPr>
              <w:t>isées dans des environnements où</w:t>
            </w:r>
            <w:r w:rsidRPr="00287284">
              <w:rPr>
                <w:sz w:val="18"/>
                <w:szCs w:val="18"/>
                <w:lang w:val="fr-CH"/>
              </w:rPr>
              <w:t xml:space="preserve"> le brouillage par impulsions est important.</w:t>
            </w:r>
          </w:p>
        </w:tc>
      </w:tr>
      <w:tr w:rsidR="005D5DF0" w:rsidRPr="00F63FE2" w:rsidTr="00A715CF">
        <w:trPr>
          <w:cantSplit/>
          <w:jc w:val="center"/>
        </w:trPr>
        <w:tc>
          <w:tcPr>
            <w:tcW w:w="14459" w:type="dxa"/>
            <w:gridSpan w:val="13"/>
            <w:tcBorders>
              <w:top w:val="nil"/>
              <w:left w:val="nil"/>
              <w:bottom w:val="nil"/>
              <w:right w:val="nil"/>
            </w:tcBorders>
            <w:vAlign w:val="center"/>
          </w:tcPr>
          <w:p w:rsidR="0099407E" w:rsidRPr="0099407E" w:rsidRDefault="0099407E" w:rsidP="00A715CF">
            <w:pPr>
              <w:rPr>
                <w:rFonts w:asciiTheme="majorBidi" w:hAnsiTheme="majorBidi" w:cstheme="majorBidi"/>
                <w:i/>
                <w:iCs/>
                <w:sz w:val="18"/>
                <w:szCs w:val="18"/>
                <w:lang w:val="fr-CH"/>
              </w:rPr>
            </w:pPr>
            <w:r>
              <w:rPr>
                <w:rFonts w:asciiTheme="majorBidi" w:hAnsiTheme="majorBidi" w:cstheme="majorBidi"/>
                <w:i/>
                <w:iCs/>
                <w:sz w:val="18"/>
                <w:szCs w:val="18"/>
                <w:lang w:val="fr-CH"/>
              </w:rPr>
              <w:lastRenderedPageBreak/>
              <w:t>Notes relatives au Tableau 2</w:t>
            </w:r>
            <w:r w:rsidRPr="0099407E">
              <w:rPr>
                <w:rFonts w:asciiTheme="majorBidi" w:hAnsiTheme="majorBidi" w:cstheme="majorBidi"/>
                <w:i/>
                <w:iCs/>
                <w:sz w:val="18"/>
                <w:szCs w:val="18"/>
                <w:lang w:val="fr-CH"/>
              </w:rPr>
              <w:t>:</w:t>
            </w:r>
          </w:p>
          <w:p w:rsidR="005D5DF0" w:rsidRPr="00287284" w:rsidRDefault="005D5DF0" w:rsidP="00A715CF">
            <w:pPr>
              <w:rPr>
                <w:rFonts w:asciiTheme="majorBidi" w:hAnsiTheme="majorBidi" w:cstheme="majorBidi"/>
                <w:sz w:val="18"/>
                <w:szCs w:val="18"/>
                <w:lang w:val="fr-CH"/>
              </w:rPr>
            </w:pPr>
            <w:r w:rsidRPr="00287284">
              <w:rPr>
                <w:rFonts w:asciiTheme="majorBidi" w:hAnsiTheme="majorBidi" w:cstheme="majorBidi"/>
                <w:sz w:val="18"/>
                <w:szCs w:val="18"/>
                <w:lang w:val="fr-CH"/>
              </w:rPr>
              <w:t>NOTE 2 –</w:t>
            </w:r>
            <w:r w:rsidRPr="00287284">
              <w:rPr>
                <w:rFonts w:asciiTheme="majorBidi" w:hAnsiTheme="majorBidi" w:cstheme="majorBidi"/>
                <w:i/>
                <w:sz w:val="18"/>
                <w:szCs w:val="18"/>
                <w:lang w:val="fr-CH"/>
              </w:rPr>
              <w:t> </w:t>
            </w:r>
            <w:r w:rsidRPr="00287284">
              <w:rPr>
                <w:rFonts w:asciiTheme="majorBidi" w:hAnsiTheme="majorBidi" w:cstheme="majorBidi"/>
                <w:sz w:val="18"/>
                <w:szCs w:val="18"/>
                <w:lang w:val="fr-CH"/>
              </w:rPr>
              <w:t>Le brouillage continu à bande étroite est réputé avoir une largeur de bande de moins de 700 Hz. Le brouillage continu large bande est réputé avoir une largeur de bande de plus de</w:t>
            </w:r>
            <w:r>
              <w:rPr>
                <w:rFonts w:asciiTheme="majorBidi" w:hAnsiTheme="majorBidi" w:cstheme="majorBidi"/>
                <w:sz w:val="18"/>
                <w:szCs w:val="18"/>
                <w:lang w:val="fr-CH"/>
              </w:rPr>
              <w:t> 1 MHz.</w:t>
            </w:r>
            <w:r w:rsidRPr="00287284">
              <w:rPr>
                <w:rFonts w:asciiTheme="majorBidi" w:hAnsiTheme="majorBidi" w:cstheme="majorBidi"/>
                <w:sz w:val="18"/>
                <w:szCs w:val="18"/>
                <w:lang w:val="fr-CH"/>
              </w:rPr>
              <w:t xml:space="preserve"> Ces valeurs sont pour les signaux L1 à code C/A et ne sont pas destinées à être utilisées dans des environnements </w:t>
            </w:r>
            <w:r>
              <w:rPr>
                <w:sz w:val="18"/>
                <w:szCs w:val="18"/>
                <w:lang w:val="fr-CH"/>
              </w:rPr>
              <w:t>où</w:t>
            </w:r>
            <w:r w:rsidRPr="00287284">
              <w:rPr>
                <w:rFonts w:asciiTheme="majorBidi" w:hAnsiTheme="majorBidi" w:cstheme="majorBidi"/>
                <w:sz w:val="18"/>
                <w:szCs w:val="18"/>
                <w:lang w:val="fr-CH"/>
              </w:rPr>
              <w:t xml:space="preserve"> le brouillage par impulsions est important.</w:t>
            </w:r>
          </w:p>
          <w:p w:rsidR="005D5DF0" w:rsidRPr="00287284" w:rsidRDefault="005D5DF0" w:rsidP="00A715CF">
            <w:pPr>
              <w:rPr>
                <w:rFonts w:asciiTheme="majorBidi" w:hAnsiTheme="majorBidi" w:cstheme="majorBidi"/>
                <w:sz w:val="18"/>
                <w:szCs w:val="18"/>
                <w:lang w:val="fr-CH"/>
              </w:rPr>
            </w:pPr>
            <w:r w:rsidRPr="00287284">
              <w:rPr>
                <w:rFonts w:asciiTheme="majorBidi" w:hAnsiTheme="majorBidi" w:cstheme="majorBidi"/>
                <w:sz w:val="18"/>
                <w:szCs w:val="18"/>
                <w:lang w:val="fr-CH"/>
              </w:rPr>
              <w:t xml:space="preserve">NOTE 3 – Pour le traitement des signaux AMRF, le brouillage continu à bande étroite est réputé avoir une largeur de bande de moins de 1 kHz. Le brouillage continu large bande est réputé avoir une largeur de bande de plus de 500 kHz. </w:t>
            </w:r>
          </w:p>
          <w:p w:rsidR="005D5DF0" w:rsidRPr="00287284" w:rsidRDefault="005D5DF0" w:rsidP="00A715CF">
            <w:pPr>
              <w:rPr>
                <w:rFonts w:asciiTheme="majorBidi" w:hAnsiTheme="majorBidi" w:cstheme="majorBidi"/>
                <w:sz w:val="18"/>
                <w:szCs w:val="18"/>
                <w:lang w:val="fr-CH"/>
              </w:rPr>
            </w:pPr>
            <w:r w:rsidRPr="00287284">
              <w:rPr>
                <w:rFonts w:asciiTheme="majorBidi" w:hAnsiTheme="majorBidi" w:cstheme="majorBidi"/>
                <w:sz w:val="18"/>
                <w:szCs w:val="18"/>
                <w:lang w:val="fr-CH"/>
              </w:rPr>
              <w:t>NOTE 4 – Le brouillage continu à bande étroite est réputé avoir une largeur de bande de moins de 700 Hz. Le brouillage continu large bande est réputé avoir une largeur de bande de plus de 1 MHz.</w:t>
            </w:r>
          </w:p>
          <w:p w:rsidR="005D5DF0" w:rsidRPr="00287284" w:rsidRDefault="005D5DF0" w:rsidP="00A715CF">
            <w:pPr>
              <w:rPr>
                <w:rFonts w:asciiTheme="majorBidi" w:hAnsiTheme="majorBidi" w:cstheme="majorBidi"/>
                <w:sz w:val="18"/>
                <w:szCs w:val="18"/>
                <w:lang w:val="fr-CH"/>
              </w:rPr>
            </w:pPr>
            <w:r w:rsidRPr="00287284">
              <w:rPr>
                <w:rFonts w:asciiTheme="majorBidi" w:hAnsiTheme="majorBidi" w:cstheme="majorBidi"/>
                <w:sz w:val="18"/>
                <w:szCs w:val="18"/>
                <w:lang w:val="fr-CH"/>
              </w:rPr>
              <w:t>NOTE 5 – Le gain maximal de l'antenne de réception dans l'hémisphère supérieur s'applique pour des angles d'élévation de d'au moins 75° par rapport au plan horizontal de l'antenne.</w:t>
            </w:r>
          </w:p>
          <w:p w:rsidR="005D5DF0" w:rsidRPr="00287284" w:rsidRDefault="005D5DF0" w:rsidP="00A715CF">
            <w:pPr>
              <w:rPr>
                <w:rFonts w:asciiTheme="majorBidi" w:hAnsiTheme="majorBidi" w:cstheme="majorBidi"/>
                <w:sz w:val="18"/>
                <w:szCs w:val="18"/>
                <w:lang w:val="fr-CH"/>
              </w:rPr>
            </w:pPr>
            <w:r w:rsidRPr="00287284">
              <w:rPr>
                <w:rFonts w:asciiTheme="majorBidi" w:hAnsiTheme="majorBidi" w:cstheme="majorBidi"/>
                <w:sz w:val="18"/>
                <w:szCs w:val="18"/>
                <w:lang w:val="fr-CH"/>
              </w:rPr>
              <w:t>NOTE 6 – La valeur du gain maximal dans l'hémisphère supérieur indiquée s'applique à un angle d'élévation de 30° (angle arrivée où le brouillage RFI attendu est maximal). La valeur du gain maximal dans l'hémisphère inférieur indiquée s'applique à un angle d'élévation de 0° (horizon).</w:t>
            </w:r>
          </w:p>
          <w:p w:rsidR="005D5DF0" w:rsidRPr="00287284" w:rsidRDefault="005D5DF0" w:rsidP="00A715CF">
            <w:pPr>
              <w:rPr>
                <w:rFonts w:asciiTheme="majorBidi" w:hAnsiTheme="majorBidi" w:cstheme="majorBidi"/>
                <w:sz w:val="18"/>
                <w:szCs w:val="18"/>
                <w:lang w:val="fr-CH"/>
              </w:rPr>
            </w:pPr>
            <w:r w:rsidRPr="00287284">
              <w:rPr>
                <w:rFonts w:asciiTheme="majorBidi" w:hAnsiTheme="majorBidi" w:cstheme="majorBidi"/>
                <w:sz w:val="18"/>
                <w:szCs w:val="18"/>
                <w:lang w:val="fr-CH"/>
              </w:rPr>
              <w:t>NOTE 7 – La valeur du gain maximal indiquée s'applique à un angle d'élévation de 0°. Pour des angles d'élévation compris entre 0° et −30° le gain maximal chut</w:t>
            </w:r>
            <w:r>
              <w:rPr>
                <w:rFonts w:asciiTheme="majorBidi" w:hAnsiTheme="majorBidi" w:cstheme="majorBidi"/>
                <w:sz w:val="18"/>
                <w:szCs w:val="18"/>
                <w:lang w:val="fr-CH"/>
              </w:rPr>
              <w:t>e à −10 dBi et reste constant à </w:t>
            </w:r>
            <w:r w:rsidRPr="00287284">
              <w:rPr>
                <w:rFonts w:asciiTheme="majorBidi" w:hAnsiTheme="majorBidi" w:cstheme="majorBidi"/>
                <w:sz w:val="18"/>
                <w:szCs w:val="18"/>
                <w:lang w:val="fr-CH"/>
              </w:rPr>
              <w:t>−10 dBi pour des angles d'élévation compris entre −30° et −90°.</w:t>
            </w:r>
          </w:p>
          <w:p w:rsidR="005D5DF0" w:rsidRPr="00287284" w:rsidRDefault="005D5DF0" w:rsidP="00A715CF">
            <w:pPr>
              <w:rPr>
                <w:rFonts w:asciiTheme="majorBidi" w:hAnsiTheme="majorBidi" w:cstheme="majorBidi"/>
                <w:sz w:val="18"/>
                <w:szCs w:val="18"/>
                <w:lang w:val="fr-CH"/>
              </w:rPr>
            </w:pPr>
            <w:r w:rsidRPr="00287284">
              <w:rPr>
                <w:rFonts w:asciiTheme="majorBidi" w:hAnsiTheme="majorBidi" w:cstheme="majorBidi"/>
                <w:sz w:val="18"/>
                <w:szCs w:val="18"/>
                <w:lang w:val="fr-CH"/>
              </w:rPr>
              <w:t>NOTE 8 – La valeur du gain maximal dans l'hémisphère inférieur indiquée s'applique à un angle d'élévation de 0°. Pour des angles d'élé</w:t>
            </w:r>
            <w:r>
              <w:rPr>
                <w:rFonts w:asciiTheme="majorBidi" w:hAnsiTheme="majorBidi" w:cstheme="majorBidi"/>
                <w:sz w:val="18"/>
                <w:szCs w:val="18"/>
                <w:lang w:val="fr-CH"/>
              </w:rPr>
              <w:t>vation compris entre 0° et</w:t>
            </w:r>
            <w:r w:rsidRPr="00287284">
              <w:rPr>
                <w:rFonts w:asciiTheme="majorBidi" w:hAnsiTheme="majorBidi" w:cstheme="majorBidi"/>
                <w:sz w:val="18"/>
                <w:szCs w:val="18"/>
                <w:lang w:val="fr-CH"/>
              </w:rPr>
              <w:t xml:space="preserve"> −30° le gain maximal chute </w:t>
            </w:r>
            <w:r>
              <w:rPr>
                <w:rFonts w:asciiTheme="majorBidi" w:hAnsiTheme="majorBidi" w:cstheme="majorBidi"/>
                <w:sz w:val="18"/>
                <w:szCs w:val="18"/>
                <w:lang w:val="fr-CH"/>
              </w:rPr>
              <w:t> </w:t>
            </w:r>
            <w:r w:rsidRPr="00287284">
              <w:rPr>
                <w:rFonts w:asciiTheme="majorBidi" w:hAnsiTheme="majorBidi" w:cstheme="majorBidi"/>
                <w:sz w:val="18"/>
                <w:szCs w:val="18"/>
                <w:lang w:val="fr-CH"/>
              </w:rPr>
              <w:t>−10 dBi et reste constant à −10 dBi pour des angles d'élévation compris entre −30° et −45°. Pour des angles d'élévation compris entre −45° et −90° la limite du gain maximal est −13 dBi.</w:t>
            </w:r>
          </w:p>
          <w:p w:rsidR="005D5DF0" w:rsidRPr="00287284" w:rsidRDefault="005D5DF0" w:rsidP="00A715CF">
            <w:pPr>
              <w:rPr>
                <w:rFonts w:asciiTheme="majorBidi" w:hAnsiTheme="majorBidi" w:cstheme="majorBidi"/>
                <w:sz w:val="18"/>
                <w:szCs w:val="18"/>
                <w:lang w:val="fr-CH"/>
              </w:rPr>
            </w:pPr>
            <w:r w:rsidRPr="00287284">
              <w:rPr>
                <w:rFonts w:asciiTheme="majorBidi" w:hAnsiTheme="majorBidi" w:cstheme="majorBidi"/>
                <w:sz w:val="18"/>
                <w:szCs w:val="18"/>
                <w:lang w:val="fr-CH"/>
              </w:rPr>
              <w:t xml:space="preserve">NOTE 9 – Les valeurs de poursuite s'appliquent au signal L1 SBAS. Les seuils de poursuite sont basés sur la spécification </w:t>
            </w:r>
            <w:r>
              <w:rPr>
                <w:rFonts w:asciiTheme="majorBidi" w:hAnsiTheme="majorBidi" w:cstheme="majorBidi"/>
                <w:sz w:val="18"/>
                <w:szCs w:val="18"/>
                <w:lang w:val="fr-CH"/>
              </w:rPr>
              <w:t>FAA FAA-E-2892B, Modification N°</w:t>
            </w:r>
            <w:r w:rsidRPr="00287284">
              <w:rPr>
                <w:rFonts w:asciiTheme="majorBidi" w:hAnsiTheme="majorBidi" w:cstheme="majorBidi"/>
                <w:sz w:val="18"/>
                <w:szCs w:val="18"/>
                <w:lang w:val="fr-CH"/>
              </w:rPr>
              <w:t xml:space="preserve"> 0012. Les valeurs d'acquisition s'appliquent au signal L1 C/A avec un rapport </w:t>
            </w:r>
            <w:r w:rsidRPr="00287284">
              <w:rPr>
                <w:rFonts w:asciiTheme="majorBidi" w:hAnsiTheme="majorBidi" w:cstheme="majorBidi"/>
                <w:i/>
                <w:iCs/>
                <w:sz w:val="18"/>
                <w:szCs w:val="18"/>
                <w:lang w:val="fr-CH"/>
              </w:rPr>
              <w:t>I</w:t>
            </w:r>
            <w:r w:rsidRPr="00287284">
              <w:rPr>
                <w:rFonts w:asciiTheme="majorBidi" w:hAnsiTheme="majorBidi" w:cstheme="majorBidi"/>
                <w:sz w:val="18"/>
                <w:szCs w:val="18"/>
                <w:lang w:val="fr-CH"/>
              </w:rPr>
              <w:t>/</w:t>
            </w:r>
            <w:r w:rsidRPr="00287284">
              <w:rPr>
                <w:rFonts w:asciiTheme="majorBidi" w:hAnsiTheme="majorBidi" w:cstheme="majorBidi"/>
                <w:i/>
                <w:iCs/>
                <w:sz w:val="18"/>
                <w:szCs w:val="18"/>
                <w:lang w:val="fr-CH"/>
              </w:rPr>
              <w:t>N</w:t>
            </w:r>
            <w:r w:rsidRPr="00287284">
              <w:rPr>
                <w:rFonts w:asciiTheme="majorBidi" w:hAnsiTheme="majorBidi" w:cstheme="majorBidi"/>
                <w:sz w:val="18"/>
                <w:szCs w:val="18"/>
                <w:lang w:val="fr-CH"/>
              </w:rPr>
              <w:t xml:space="preserve"> de −6 dB. Les limites de largeur de bande pour le brouillage continu à bande étroite et large bande sont respectivement de 700 Hz (max.) et 1 MHz (min.). Les valeurs seuils des largeurs de bande de brouillage entre ces limites ne sont pas spécifiées.</w:t>
            </w:r>
          </w:p>
          <w:p w:rsidR="005D5DF0" w:rsidRPr="00287284" w:rsidRDefault="005D5DF0" w:rsidP="00A715CF">
            <w:pPr>
              <w:rPr>
                <w:rFonts w:asciiTheme="majorBidi" w:hAnsiTheme="majorBidi" w:cstheme="majorBidi"/>
                <w:sz w:val="18"/>
                <w:szCs w:val="18"/>
                <w:lang w:val="fr-CH"/>
              </w:rPr>
            </w:pPr>
            <w:r w:rsidRPr="00287284">
              <w:rPr>
                <w:rFonts w:asciiTheme="majorBidi" w:hAnsiTheme="majorBidi" w:cstheme="majorBidi"/>
                <w:sz w:val="18"/>
                <w:szCs w:val="18"/>
                <w:lang w:val="fr-CH"/>
              </w:rPr>
              <w:t>NOTE 10 – La valeur du gain maximal dans l'hémisphère inférieur indiquée s'applique à des angle</w:t>
            </w:r>
            <w:r>
              <w:rPr>
                <w:rFonts w:asciiTheme="majorBidi" w:hAnsiTheme="majorBidi" w:cstheme="majorBidi"/>
                <w:sz w:val="18"/>
                <w:szCs w:val="18"/>
                <w:lang w:val="fr-CH"/>
              </w:rPr>
              <w:t>s d'élévation inférieurs à +10°.</w:t>
            </w:r>
          </w:p>
          <w:p w:rsidR="005D5DF0" w:rsidRPr="00287284" w:rsidRDefault="005D5DF0" w:rsidP="00A715CF">
            <w:pPr>
              <w:rPr>
                <w:rFonts w:asciiTheme="majorBidi" w:hAnsiTheme="majorBidi" w:cstheme="majorBidi"/>
                <w:sz w:val="18"/>
                <w:szCs w:val="18"/>
                <w:lang w:val="fr-CH"/>
              </w:rPr>
            </w:pPr>
            <w:r w:rsidRPr="00287284">
              <w:rPr>
                <w:rFonts w:asciiTheme="majorBidi" w:hAnsiTheme="majorBidi" w:cstheme="majorBidi"/>
                <w:sz w:val="18"/>
                <w:szCs w:val="18"/>
                <w:lang w:val="fr-CH"/>
              </w:rPr>
              <w:t xml:space="preserve">NOTE 11 – Les caractéristiques et les niveaux de protection indiqués dans cette colonne s'appliquent aussi aux récepteurs du SRNS qui sont conçus pour fonctionner pour des applications du SRNS spécialisées (par exemple. réseaux au sol monofréquence, navigation de précision) </w:t>
            </w:r>
            <w:r w:rsidRPr="00287284">
              <w:rPr>
                <w:rFonts w:asciiTheme="majorBidi" w:eastAsia="MS PGothic" w:hAnsiTheme="majorBidi" w:cstheme="majorBidi"/>
                <w:sz w:val="18"/>
                <w:szCs w:val="18"/>
                <w:lang w:val="fr-CH"/>
              </w:rPr>
              <w:t xml:space="preserve">(voir </w:t>
            </w:r>
            <w:r w:rsidRPr="00287284">
              <w:rPr>
                <w:rFonts w:asciiTheme="majorBidi" w:hAnsiTheme="majorBidi" w:cstheme="majorBidi"/>
                <w:sz w:val="18"/>
                <w:szCs w:val="18"/>
                <w:lang w:val="fr-CH"/>
              </w:rPr>
              <w:t>§</w:t>
            </w:r>
            <w:r w:rsidRPr="00287284">
              <w:rPr>
                <w:rFonts w:asciiTheme="majorBidi" w:eastAsia="MS PGothic" w:hAnsiTheme="majorBidi" w:cstheme="majorBidi"/>
                <w:sz w:val="18"/>
                <w:szCs w:val="18"/>
                <w:lang w:val="fr-CH"/>
              </w:rPr>
              <w:t> 2.2 définition des récepteurs de haute précision.)</w:t>
            </w:r>
            <w:r w:rsidRPr="00287284">
              <w:rPr>
                <w:rFonts w:asciiTheme="majorBidi" w:hAnsiTheme="majorBidi" w:cstheme="majorBidi"/>
                <w:sz w:val="18"/>
                <w:szCs w:val="18"/>
                <w:lang w:val="fr-CH"/>
              </w:rPr>
              <w:t xml:space="preserve"> Les paramètres de réponse impulsionnelle pour ce type de récepteur nécessitent un complément d'étude parallèlement aux travaux de l'UIT-R sur une méthode générale d'évaluation des brouillages RFI par impulsions.</w:t>
            </w:r>
          </w:p>
          <w:p w:rsidR="005D5DF0" w:rsidRPr="00287284" w:rsidRDefault="005D5DF0" w:rsidP="00A715CF">
            <w:pPr>
              <w:rPr>
                <w:rFonts w:asciiTheme="majorBidi" w:hAnsiTheme="majorBidi" w:cstheme="majorBidi"/>
                <w:b/>
                <w:bCs/>
                <w:i/>
                <w:iCs/>
                <w:sz w:val="18"/>
                <w:szCs w:val="18"/>
                <w:highlight w:val="yellow"/>
                <w:lang w:val="fr-CH"/>
              </w:rPr>
            </w:pPr>
            <w:r w:rsidRPr="00287284">
              <w:rPr>
                <w:rFonts w:asciiTheme="majorBidi" w:eastAsia="MS PGothic" w:hAnsiTheme="majorBidi" w:cstheme="majorBidi"/>
                <w:sz w:val="18"/>
                <w:szCs w:val="18"/>
                <w:lang w:val="fr-CH" w:eastAsia="ja-JP"/>
              </w:rPr>
              <w:t>NOTE 12</w:t>
            </w:r>
            <w:r w:rsidRPr="00287284">
              <w:rPr>
                <w:rFonts w:asciiTheme="majorBidi" w:eastAsia="MS PGothic" w:hAnsiTheme="majorBidi" w:cstheme="majorBidi"/>
                <w:sz w:val="18"/>
                <w:szCs w:val="18"/>
                <w:lang w:val="fr-CH"/>
              </w:rPr>
              <w:t xml:space="preserve"> – Ce type de récepteur fonctionne simultanément sur plusieurs fréquences porteuses. Ces fréquences sont définies par la relation </w:t>
            </w:r>
            <w:r w:rsidRPr="00287284">
              <w:rPr>
                <w:rFonts w:asciiTheme="majorBidi" w:eastAsia="MS PGothic" w:hAnsiTheme="majorBidi" w:cstheme="majorBidi"/>
                <w:i/>
                <w:sz w:val="18"/>
                <w:szCs w:val="18"/>
                <w:lang w:val="fr-CH"/>
              </w:rPr>
              <w:t>f</w:t>
            </w:r>
            <w:r w:rsidRPr="00287284">
              <w:rPr>
                <w:rFonts w:asciiTheme="majorBidi" w:eastAsia="MS PGothic" w:hAnsiTheme="majorBidi" w:cstheme="majorBidi"/>
                <w:i/>
                <w:sz w:val="18"/>
                <w:szCs w:val="18"/>
                <w:vertAlign w:val="subscript"/>
                <w:lang w:val="fr-CH"/>
              </w:rPr>
              <w:t>c</w:t>
            </w:r>
            <w:r>
              <w:rPr>
                <w:rFonts w:asciiTheme="majorBidi" w:eastAsia="MS PGothic" w:hAnsiTheme="majorBidi" w:cstheme="majorBidi"/>
                <w:sz w:val="18"/>
                <w:szCs w:val="18"/>
                <w:lang w:val="fr-CH"/>
              </w:rPr>
              <w:t> (MHz) = 1 602 + 0,</w:t>
            </w:r>
            <w:r w:rsidRPr="00287284">
              <w:rPr>
                <w:rFonts w:asciiTheme="majorBidi" w:eastAsia="MS PGothic" w:hAnsiTheme="majorBidi" w:cstheme="majorBidi"/>
                <w:sz w:val="18"/>
                <w:szCs w:val="18"/>
                <w:lang w:val="fr-CH"/>
              </w:rPr>
              <w:t>5625</w:t>
            </w:r>
            <w:r w:rsidRPr="00287284">
              <w:rPr>
                <w:rFonts w:asciiTheme="majorBidi" w:eastAsia="MS PGothic" w:hAnsiTheme="majorBidi" w:cstheme="majorBidi"/>
                <w:i/>
                <w:iCs/>
                <w:sz w:val="18"/>
                <w:szCs w:val="18"/>
                <w:lang w:val="fr-CH"/>
              </w:rPr>
              <w:t>K</w:t>
            </w:r>
            <w:r w:rsidRPr="00287284">
              <w:rPr>
                <w:rFonts w:asciiTheme="majorBidi" w:eastAsia="MS PGothic" w:hAnsiTheme="majorBidi" w:cstheme="majorBidi"/>
                <w:sz w:val="18"/>
                <w:szCs w:val="18"/>
                <w:lang w:val="fr-CH"/>
              </w:rPr>
              <w:t>, o</w:t>
            </w:r>
            <w:r>
              <w:rPr>
                <w:rFonts w:asciiTheme="majorBidi" w:eastAsia="MS PGothic" w:hAnsiTheme="majorBidi" w:cstheme="majorBidi"/>
                <w:sz w:val="18"/>
                <w:szCs w:val="18"/>
                <w:lang w:val="fr-CH"/>
              </w:rPr>
              <w:t>ù</w:t>
            </w:r>
            <w:r w:rsidRPr="00287284">
              <w:rPr>
                <w:rFonts w:asciiTheme="majorBidi" w:eastAsia="MS PGothic" w:hAnsiTheme="majorBidi" w:cstheme="majorBidi"/>
                <w:sz w:val="18"/>
                <w:szCs w:val="18"/>
                <w:lang w:val="fr-CH"/>
              </w:rPr>
              <w:t xml:space="preserve"> </w:t>
            </w:r>
            <w:r w:rsidRPr="00287284">
              <w:rPr>
                <w:rFonts w:asciiTheme="majorBidi" w:hAnsiTheme="majorBidi" w:cstheme="majorBidi"/>
                <w:i/>
                <w:sz w:val="18"/>
                <w:szCs w:val="18"/>
                <w:lang w:val="fr-CH"/>
              </w:rPr>
              <w:t>K</w:t>
            </w:r>
            <w:r w:rsidRPr="00287284">
              <w:rPr>
                <w:rFonts w:asciiTheme="majorBidi" w:hAnsiTheme="majorBidi" w:cstheme="majorBidi"/>
                <w:sz w:val="18"/>
                <w:szCs w:val="18"/>
                <w:lang w:val="fr-CH"/>
              </w:rPr>
              <w:t> </w:t>
            </w:r>
            <w:r>
              <w:rPr>
                <w:rFonts w:asciiTheme="majorBidi" w:hAnsiTheme="majorBidi" w:cstheme="majorBidi"/>
                <w:sz w:val="18"/>
                <w:szCs w:val="18"/>
              </w:rPr>
              <w:t>=</w:t>
            </w:r>
            <w:r w:rsidRPr="00287284">
              <w:rPr>
                <w:rFonts w:asciiTheme="majorBidi" w:hAnsiTheme="majorBidi" w:cstheme="majorBidi"/>
                <w:sz w:val="18"/>
                <w:szCs w:val="18"/>
                <w:lang w:val="fr-CH"/>
              </w:rPr>
              <w:t xml:space="preserve"> −7, ..., +6 (signaux du SRNS) et </w:t>
            </w:r>
            <w:r w:rsidRPr="00287284">
              <w:rPr>
                <w:rFonts w:asciiTheme="majorBidi" w:eastAsia="MS PGothic" w:hAnsiTheme="majorBidi" w:cstheme="majorBidi"/>
                <w:i/>
                <w:sz w:val="18"/>
                <w:szCs w:val="18"/>
                <w:lang w:val="fr-CH"/>
              </w:rPr>
              <w:t>f</w:t>
            </w:r>
            <w:r w:rsidRPr="00287284">
              <w:rPr>
                <w:rFonts w:asciiTheme="majorBidi" w:eastAsia="MS PGothic" w:hAnsiTheme="majorBidi" w:cstheme="majorBidi"/>
                <w:i/>
                <w:sz w:val="18"/>
                <w:szCs w:val="18"/>
                <w:vertAlign w:val="subscript"/>
                <w:lang w:val="fr-CH"/>
              </w:rPr>
              <w:t>c</w:t>
            </w:r>
            <w:r w:rsidRPr="00287284">
              <w:rPr>
                <w:rFonts w:asciiTheme="majorBidi" w:eastAsia="MS PGothic" w:hAnsiTheme="majorBidi" w:cstheme="majorBidi"/>
                <w:i/>
                <w:sz w:val="18"/>
                <w:szCs w:val="18"/>
                <w:lang w:val="fr-CH"/>
              </w:rPr>
              <w:t> </w:t>
            </w:r>
            <w:r>
              <w:rPr>
                <w:rFonts w:asciiTheme="majorBidi" w:eastAsia="MS PGothic" w:hAnsiTheme="majorBidi" w:cstheme="majorBidi"/>
                <w:sz w:val="18"/>
                <w:szCs w:val="18"/>
                <w:lang w:val="fr-CH"/>
              </w:rPr>
              <w:t>(MHz) = 1 602 + 0,</w:t>
            </w:r>
            <w:r w:rsidRPr="00287284">
              <w:rPr>
                <w:rFonts w:asciiTheme="majorBidi" w:eastAsia="MS PGothic" w:hAnsiTheme="majorBidi" w:cstheme="majorBidi"/>
                <w:sz w:val="18"/>
                <w:szCs w:val="18"/>
                <w:lang w:val="fr-CH"/>
              </w:rPr>
              <w:t>5625</w:t>
            </w:r>
            <w:r w:rsidRPr="00287284">
              <w:rPr>
                <w:rFonts w:asciiTheme="majorBidi" w:eastAsia="MS PGothic" w:hAnsiTheme="majorBidi" w:cstheme="majorBidi"/>
                <w:i/>
                <w:sz w:val="18"/>
                <w:szCs w:val="18"/>
                <w:lang w:val="fr-CH"/>
              </w:rPr>
              <w:t>N</w:t>
            </w:r>
            <w:r w:rsidRPr="00287284">
              <w:rPr>
                <w:rFonts w:asciiTheme="majorBidi" w:eastAsia="MS PGothic" w:hAnsiTheme="majorBidi" w:cstheme="majorBidi"/>
                <w:sz w:val="18"/>
                <w:szCs w:val="18"/>
                <w:lang w:val="fr-CH"/>
              </w:rPr>
              <w:t xml:space="preserve">, </w:t>
            </w:r>
            <w:r>
              <w:rPr>
                <w:rFonts w:asciiTheme="majorBidi" w:eastAsia="MS PGothic" w:hAnsiTheme="majorBidi" w:cstheme="majorBidi"/>
                <w:sz w:val="18"/>
                <w:szCs w:val="18"/>
                <w:lang w:val="fr-CH"/>
              </w:rPr>
              <w:t>où</w:t>
            </w:r>
            <w:r w:rsidRPr="00287284">
              <w:rPr>
                <w:rFonts w:asciiTheme="majorBidi" w:eastAsia="MS PGothic" w:hAnsiTheme="majorBidi" w:cstheme="majorBidi"/>
                <w:sz w:val="18"/>
                <w:szCs w:val="18"/>
                <w:lang w:val="fr-CH"/>
              </w:rPr>
              <w:t xml:space="preserve"> </w:t>
            </w:r>
            <w:r w:rsidRPr="00287284">
              <w:rPr>
                <w:rFonts w:asciiTheme="majorBidi" w:hAnsiTheme="majorBidi" w:cstheme="majorBidi"/>
                <w:i/>
                <w:iCs/>
                <w:sz w:val="18"/>
                <w:szCs w:val="18"/>
                <w:lang w:val="fr-CH"/>
              </w:rPr>
              <w:t>N</w:t>
            </w:r>
            <w:r w:rsidRPr="00287284">
              <w:rPr>
                <w:rFonts w:asciiTheme="majorBidi" w:hAnsiTheme="majorBidi" w:cstheme="majorBidi"/>
                <w:sz w:val="18"/>
                <w:szCs w:val="18"/>
                <w:lang w:val="fr-CH"/>
              </w:rPr>
              <w:t> </w:t>
            </w:r>
            <w:r>
              <w:rPr>
                <w:rFonts w:asciiTheme="majorBidi" w:hAnsiTheme="majorBidi" w:cstheme="majorBidi"/>
                <w:sz w:val="18"/>
                <w:szCs w:val="18"/>
              </w:rPr>
              <w:t>=</w:t>
            </w:r>
            <w:r w:rsidRPr="00287284">
              <w:rPr>
                <w:rFonts w:asciiTheme="majorBidi" w:hAnsiTheme="majorBidi" w:cstheme="majorBidi"/>
                <w:sz w:val="18"/>
                <w:szCs w:val="18"/>
                <w:lang w:val="fr-CH"/>
              </w:rPr>
              <w:t> +7, ..., +12 (signaux SBAS).</w:t>
            </w:r>
          </w:p>
          <w:p w:rsidR="005D5DF0" w:rsidRPr="00287284" w:rsidRDefault="005D5DF0" w:rsidP="00A715CF">
            <w:pPr>
              <w:rPr>
                <w:rFonts w:asciiTheme="majorBidi" w:hAnsiTheme="majorBidi" w:cstheme="majorBidi"/>
                <w:b/>
                <w:bCs/>
                <w:i/>
                <w:iCs/>
                <w:sz w:val="18"/>
                <w:szCs w:val="18"/>
                <w:lang w:val="fr-CH"/>
              </w:rPr>
            </w:pPr>
            <w:r w:rsidRPr="00287284">
              <w:rPr>
                <w:rFonts w:asciiTheme="majorBidi" w:eastAsia="MS PGothic" w:hAnsiTheme="majorBidi" w:cstheme="majorBidi"/>
                <w:sz w:val="18"/>
                <w:szCs w:val="18"/>
                <w:lang w:val="fr-CH" w:eastAsia="ja-JP"/>
              </w:rPr>
              <w:t>NOTE 13</w:t>
            </w:r>
            <w:r w:rsidRPr="00287284">
              <w:rPr>
                <w:rFonts w:asciiTheme="majorBidi" w:eastAsia="MS PGothic" w:hAnsiTheme="majorBidi" w:cstheme="majorBidi"/>
                <w:sz w:val="18"/>
                <w:szCs w:val="18"/>
                <w:lang w:val="fr-CH"/>
              </w:rPr>
              <w:t> – Le gain minimal de l'antenne de réception pour un angle d'élévation de 5° est de</w:t>
            </w:r>
            <w:r w:rsidRPr="00287284">
              <w:rPr>
                <w:rFonts w:asciiTheme="majorBidi" w:hAnsiTheme="majorBidi" w:cstheme="majorBidi"/>
                <w:sz w:val="18"/>
                <w:szCs w:val="18"/>
                <w:lang w:val="fr-CH"/>
              </w:rPr>
              <w:t xml:space="preserve"> −4,5 dBi</w:t>
            </w:r>
            <w:r w:rsidRPr="00287284">
              <w:rPr>
                <w:rFonts w:asciiTheme="majorBidi" w:eastAsia="MS PGothic" w:hAnsiTheme="majorBidi" w:cstheme="majorBidi"/>
                <w:sz w:val="18"/>
                <w:szCs w:val="18"/>
                <w:lang w:val="fr-CH"/>
              </w:rPr>
              <w:t>.</w:t>
            </w:r>
          </w:p>
          <w:p w:rsidR="005D5DF0" w:rsidRPr="00287284" w:rsidRDefault="005D5DF0" w:rsidP="00A715CF">
            <w:pPr>
              <w:rPr>
                <w:rFonts w:asciiTheme="majorBidi" w:hAnsiTheme="majorBidi" w:cstheme="majorBidi"/>
                <w:sz w:val="18"/>
                <w:szCs w:val="18"/>
                <w:lang w:val="fr-CH" w:eastAsia="ja-JP"/>
              </w:rPr>
            </w:pPr>
            <w:r w:rsidRPr="00287284">
              <w:rPr>
                <w:rFonts w:asciiTheme="majorBidi" w:eastAsia="MS PGothic" w:hAnsiTheme="majorBidi" w:cstheme="majorBidi"/>
                <w:sz w:val="18"/>
                <w:szCs w:val="18"/>
                <w:lang w:val="fr-CH" w:eastAsia="ja-JP"/>
              </w:rPr>
              <w:t>NOTE 14</w:t>
            </w:r>
            <w:r w:rsidRPr="00287284">
              <w:rPr>
                <w:rFonts w:asciiTheme="majorBidi" w:eastAsia="MS PGothic" w:hAnsiTheme="majorBidi" w:cstheme="majorBidi"/>
                <w:sz w:val="18"/>
                <w:szCs w:val="18"/>
                <w:lang w:val="fr-CH"/>
              </w:rPr>
              <w:t xml:space="preserve"> – Ce seuil devrait tenir compte de tous les brouillages cumulatifs. La valeur seuil n'inclut pas de marge de sécurité. </w:t>
            </w:r>
          </w:p>
          <w:p w:rsidR="005D5DF0" w:rsidRPr="00287284" w:rsidRDefault="005D5DF0" w:rsidP="00A715CF">
            <w:pPr>
              <w:rPr>
                <w:rFonts w:asciiTheme="majorBidi" w:hAnsiTheme="majorBidi" w:cstheme="majorBidi"/>
                <w:sz w:val="18"/>
                <w:szCs w:val="18"/>
                <w:lang w:val="fr-CH"/>
              </w:rPr>
            </w:pPr>
            <w:r w:rsidRPr="00287284">
              <w:rPr>
                <w:rFonts w:asciiTheme="majorBidi" w:eastAsia="MS PGothic" w:hAnsiTheme="majorBidi" w:cstheme="majorBidi"/>
                <w:sz w:val="18"/>
                <w:szCs w:val="18"/>
                <w:lang w:val="fr-CH" w:eastAsia="ja-JP"/>
              </w:rPr>
              <w:t>NOTE 15</w:t>
            </w:r>
            <w:r w:rsidRPr="00287284">
              <w:rPr>
                <w:rFonts w:asciiTheme="majorBidi" w:eastAsia="MS PGothic" w:hAnsiTheme="majorBidi" w:cstheme="majorBidi"/>
                <w:sz w:val="18"/>
                <w:szCs w:val="18"/>
                <w:lang w:val="fr-CH"/>
              </w:rPr>
              <w:t xml:space="preserve"> – Ce type de récepteur fonctionne simultanément sur plusieurs fréquences porteuses. Ces fréquences sont définies par la relation </w:t>
            </w:r>
            <w:r w:rsidRPr="00287284">
              <w:rPr>
                <w:rFonts w:asciiTheme="majorBidi" w:eastAsia="MS PGothic" w:hAnsiTheme="majorBidi" w:cstheme="majorBidi"/>
                <w:i/>
                <w:sz w:val="18"/>
                <w:szCs w:val="18"/>
                <w:lang w:val="fr-CH"/>
              </w:rPr>
              <w:t>f</w:t>
            </w:r>
            <w:r w:rsidRPr="00287284">
              <w:rPr>
                <w:rFonts w:asciiTheme="majorBidi" w:eastAsia="MS PGothic" w:hAnsiTheme="majorBidi" w:cstheme="majorBidi"/>
                <w:i/>
                <w:sz w:val="18"/>
                <w:szCs w:val="18"/>
                <w:vertAlign w:val="subscript"/>
                <w:lang w:val="fr-CH"/>
              </w:rPr>
              <w:t>c</w:t>
            </w:r>
            <w:r w:rsidRPr="00287284">
              <w:rPr>
                <w:rFonts w:asciiTheme="majorBidi" w:eastAsia="MS PGothic" w:hAnsiTheme="majorBidi" w:cstheme="majorBidi"/>
                <w:sz w:val="18"/>
                <w:szCs w:val="18"/>
                <w:lang w:val="fr-CH"/>
              </w:rPr>
              <w:t> (MHz</w:t>
            </w:r>
            <w:r>
              <w:rPr>
                <w:rFonts w:asciiTheme="majorBidi" w:eastAsia="MS PGothic" w:hAnsiTheme="majorBidi" w:cstheme="majorBidi"/>
                <w:sz w:val="18"/>
                <w:szCs w:val="18"/>
                <w:lang w:val="fr-CH"/>
              </w:rPr>
              <w:t>) = 1 602 + 0,</w:t>
            </w:r>
            <w:r w:rsidRPr="00287284">
              <w:rPr>
                <w:rFonts w:asciiTheme="majorBidi" w:eastAsia="MS PGothic" w:hAnsiTheme="majorBidi" w:cstheme="majorBidi"/>
                <w:sz w:val="18"/>
                <w:szCs w:val="18"/>
                <w:lang w:val="fr-CH"/>
              </w:rPr>
              <w:t>5625</w:t>
            </w:r>
            <w:r w:rsidRPr="00287284">
              <w:rPr>
                <w:rFonts w:asciiTheme="majorBidi" w:eastAsia="MS PGothic" w:hAnsiTheme="majorBidi" w:cstheme="majorBidi"/>
                <w:i/>
                <w:iCs/>
                <w:sz w:val="18"/>
                <w:szCs w:val="18"/>
                <w:lang w:val="fr-CH"/>
              </w:rPr>
              <w:t>K</w:t>
            </w:r>
            <w:r w:rsidRPr="00287284">
              <w:rPr>
                <w:rFonts w:asciiTheme="majorBidi" w:eastAsia="MS PGothic" w:hAnsiTheme="majorBidi" w:cstheme="majorBidi"/>
                <w:sz w:val="18"/>
                <w:szCs w:val="18"/>
                <w:lang w:val="fr-CH"/>
              </w:rPr>
              <w:t xml:space="preserve">, </w:t>
            </w:r>
            <w:r w:rsidRPr="00287284">
              <w:rPr>
                <w:rFonts w:asciiTheme="majorBidi" w:hAnsiTheme="majorBidi" w:cstheme="majorBidi"/>
                <w:i/>
                <w:sz w:val="18"/>
                <w:szCs w:val="18"/>
                <w:lang w:val="fr-CH"/>
              </w:rPr>
              <w:t>K</w:t>
            </w:r>
            <w:r w:rsidRPr="00287284">
              <w:rPr>
                <w:rFonts w:asciiTheme="majorBidi" w:hAnsiTheme="majorBidi" w:cstheme="majorBidi"/>
                <w:sz w:val="18"/>
                <w:szCs w:val="18"/>
                <w:lang w:val="fr-CH"/>
              </w:rPr>
              <w:t> </w:t>
            </w:r>
            <w:r>
              <w:rPr>
                <w:rFonts w:asciiTheme="majorBidi" w:hAnsiTheme="majorBidi" w:cstheme="majorBidi"/>
                <w:sz w:val="18"/>
                <w:szCs w:val="18"/>
              </w:rPr>
              <w:t>=</w:t>
            </w:r>
            <w:r>
              <w:rPr>
                <w:rFonts w:asciiTheme="majorBidi" w:hAnsiTheme="majorBidi" w:cstheme="majorBidi"/>
                <w:sz w:val="18"/>
                <w:szCs w:val="18"/>
                <w:lang w:val="fr-CH"/>
              </w:rPr>
              <w:t> −7, ..., +6 (signaux du </w:t>
            </w:r>
            <w:r w:rsidRPr="00287284">
              <w:rPr>
                <w:rFonts w:asciiTheme="majorBidi" w:hAnsiTheme="majorBidi" w:cstheme="majorBidi"/>
                <w:sz w:val="18"/>
                <w:szCs w:val="18"/>
                <w:lang w:val="fr-CH"/>
              </w:rPr>
              <w:t xml:space="preserve">SRNS) et </w:t>
            </w:r>
            <w:r w:rsidRPr="00287284">
              <w:rPr>
                <w:rFonts w:asciiTheme="majorBidi" w:eastAsia="MS PGothic" w:hAnsiTheme="majorBidi" w:cstheme="majorBidi"/>
                <w:i/>
                <w:sz w:val="18"/>
                <w:szCs w:val="18"/>
                <w:lang w:val="fr-CH"/>
              </w:rPr>
              <w:t>f</w:t>
            </w:r>
            <w:r w:rsidRPr="00287284">
              <w:rPr>
                <w:rFonts w:asciiTheme="majorBidi" w:eastAsia="MS PGothic" w:hAnsiTheme="majorBidi" w:cstheme="majorBidi"/>
                <w:i/>
                <w:sz w:val="18"/>
                <w:szCs w:val="18"/>
                <w:vertAlign w:val="subscript"/>
                <w:lang w:val="fr-CH"/>
              </w:rPr>
              <w:t>c</w:t>
            </w:r>
            <w:r>
              <w:rPr>
                <w:rFonts w:asciiTheme="majorBidi" w:eastAsia="MS PGothic" w:hAnsiTheme="majorBidi" w:cstheme="majorBidi"/>
                <w:sz w:val="18"/>
                <w:szCs w:val="18"/>
                <w:lang w:val="fr-CH"/>
              </w:rPr>
              <w:t> (MHz) = 1 602 + 0,</w:t>
            </w:r>
            <w:r w:rsidRPr="00287284">
              <w:rPr>
                <w:rFonts w:asciiTheme="majorBidi" w:eastAsia="MS PGothic" w:hAnsiTheme="majorBidi" w:cstheme="majorBidi"/>
                <w:sz w:val="18"/>
                <w:szCs w:val="18"/>
                <w:lang w:val="fr-CH"/>
              </w:rPr>
              <w:t>5625</w:t>
            </w:r>
            <w:r w:rsidRPr="00287284">
              <w:rPr>
                <w:rFonts w:asciiTheme="majorBidi" w:eastAsia="MS PGothic" w:hAnsiTheme="majorBidi" w:cstheme="majorBidi"/>
                <w:i/>
                <w:sz w:val="18"/>
                <w:szCs w:val="18"/>
                <w:lang w:val="fr-CH"/>
              </w:rPr>
              <w:t>N</w:t>
            </w:r>
            <w:r w:rsidRPr="00287284">
              <w:rPr>
                <w:rFonts w:asciiTheme="majorBidi" w:eastAsia="MS PGothic" w:hAnsiTheme="majorBidi" w:cstheme="majorBidi"/>
                <w:sz w:val="18"/>
                <w:szCs w:val="18"/>
                <w:lang w:val="fr-CH"/>
              </w:rPr>
              <w:t>, o</w:t>
            </w:r>
            <w:r>
              <w:rPr>
                <w:rFonts w:asciiTheme="majorBidi" w:eastAsia="MS PGothic" w:hAnsiTheme="majorBidi" w:cstheme="majorBidi"/>
                <w:sz w:val="18"/>
                <w:szCs w:val="18"/>
                <w:lang w:val="fr-CH"/>
              </w:rPr>
              <w:t>ù</w:t>
            </w:r>
            <w:r w:rsidRPr="00287284">
              <w:rPr>
                <w:rFonts w:asciiTheme="majorBidi" w:eastAsia="MS PGothic" w:hAnsiTheme="majorBidi" w:cstheme="majorBidi"/>
                <w:sz w:val="18"/>
                <w:szCs w:val="18"/>
                <w:lang w:val="fr-CH"/>
              </w:rPr>
              <w:t xml:space="preserve"> </w:t>
            </w:r>
            <w:r w:rsidRPr="00287284">
              <w:rPr>
                <w:rFonts w:asciiTheme="majorBidi" w:hAnsiTheme="majorBidi" w:cstheme="majorBidi"/>
                <w:i/>
                <w:iCs/>
                <w:sz w:val="18"/>
                <w:szCs w:val="18"/>
                <w:lang w:val="fr-CH"/>
              </w:rPr>
              <w:t>N</w:t>
            </w:r>
            <w:r w:rsidRPr="00287284">
              <w:rPr>
                <w:rFonts w:asciiTheme="majorBidi" w:hAnsiTheme="majorBidi" w:cstheme="majorBidi"/>
                <w:sz w:val="18"/>
                <w:szCs w:val="18"/>
                <w:lang w:val="fr-CH"/>
              </w:rPr>
              <w:t> </w:t>
            </w:r>
            <w:r>
              <w:rPr>
                <w:rFonts w:asciiTheme="majorBidi" w:hAnsiTheme="majorBidi" w:cstheme="majorBidi"/>
                <w:sz w:val="18"/>
                <w:szCs w:val="18"/>
                <w:lang w:val="fr-CH"/>
              </w:rPr>
              <w:t>=</w:t>
            </w:r>
            <w:r w:rsidRPr="00287284">
              <w:rPr>
                <w:rFonts w:asciiTheme="majorBidi" w:hAnsiTheme="majorBidi" w:cstheme="majorBidi"/>
                <w:sz w:val="18"/>
                <w:szCs w:val="18"/>
                <w:lang w:val="fr-CH"/>
              </w:rPr>
              <w:t> −12, ..., −8 (signaux de pseudolites).</w:t>
            </w:r>
          </w:p>
          <w:p w:rsidR="005D5DF0" w:rsidRPr="00287284" w:rsidRDefault="005D5DF0" w:rsidP="00A715CF">
            <w:pPr>
              <w:rPr>
                <w:rFonts w:asciiTheme="majorBidi" w:hAnsiTheme="majorBidi" w:cstheme="majorBidi"/>
                <w:b/>
                <w:bCs/>
                <w:i/>
                <w:iCs/>
                <w:sz w:val="18"/>
                <w:szCs w:val="18"/>
                <w:lang w:val="fr-CH"/>
              </w:rPr>
            </w:pPr>
            <w:r w:rsidRPr="00287284">
              <w:rPr>
                <w:rFonts w:asciiTheme="majorBidi" w:eastAsia="MS PGothic" w:hAnsiTheme="majorBidi" w:cstheme="majorBidi"/>
                <w:sz w:val="18"/>
                <w:szCs w:val="18"/>
                <w:lang w:val="fr-CH" w:eastAsia="ja-JP"/>
              </w:rPr>
              <w:t>NOTE 16</w:t>
            </w:r>
            <w:r w:rsidRPr="00287284">
              <w:rPr>
                <w:rFonts w:asciiTheme="majorBidi" w:eastAsia="MS PGothic" w:hAnsiTheme="majorBidi" w:cstheme="majorBidi"/>
                <w:sz w:val="18"/>
                <w:szCs w:val="18"/>
                <w:lang w:val="fr-CH"/>
              </w:rPr>
              <w:t> – Le gain minimal de l'antenne de réception pour un angle d'élévation de 5° est de</w:t>
            </w:r>
            <w:r w:rsidRPr="00287284">
              <w:rPr>
                <w:rFonts w:asciiTheme="majorBidi" w:hAnsiTheme="majorBidi" w:cstheme="majorBidi"/>
                <w:sz w:val="18"/>
                <w:szCs w:val="18"/>
                <w:lang w:val="fr-CH"/>
              </w:rPr>
              <w:t xml:space="preserve"> −21 dBi (signaux de pseudolites).</w:t>
            </w:r>
          </w:p>
          <w:p w:rsidR="005D5DF0" w:rsidRPr="00287284" w:rsidRDefault="005D5DF0" w:rsidP="00A715CF">
            <w:pPr>
              <w:rPr>
                <w:rFonts w:asciiTheme="majorBidi" w:hAnsiTheme="majorBidi" w:cstheme="majorBidi"/>
                <w:sz w:val="18"/>
                <w:szCs w:val="18"/>
                <w:lang w:val="fr-CH"/>
              </w:rPr>
            </w:pPr>
            <w:r w:rsidRPr="00287284">
              <w:rPr>
                <w:rFonts w:asciiTheme="majorBidi" w:eastAsia="MS PGothic" w:hAnsiTheme="majorBidi" w:cstheme="majorBidi"/>
                <w:sz w:val="18"/>
                <w:szCs w:val="18"/>
                <w:lang w:val="fr-CH" w:eastAsia="ja-JP"/>
              </w:rPr>
              <w:t>NOTE 17</w:t>
            </w:r>
            <w:r w:rsidRPr="00287284">
              <w:rPr>
                <w:rFonts w:asciiTheme="majorBidi" w:eastAsia="MS PGothic" w:hAnsiTheme="majorBidi" w:cstheme="majorBidi"/>
                <w:sz w:val="18"/>
                <w:szCs w:val="18"/>
                <w:lang w:val="fr-CH"/>
              </w:rPr>
              <w:t> –</w:t>
            </w:r>
            <w:r w:rsidRPr="00287284">
              <w:rPr>
                <w:rFonts w:asciiTheme="majorBidi" w:eastAsia="MS PGothic" w:hAnsiTheme="majorBidi" w:cstheme="majorBidi"/>
                <w:b/>
                <w:sz w:val="18"/>
                <w:szCs w:val="18"/>
                <w:lang w:val="fr-CH"/>
              </w:rPr>
              <w:t> </w:t>
            </w:r>
            <w:r w:rsidRPr="00287284">
              <w:rPr>
                <w:rFonts w:asciiTheme="majorBidi" w:eastAsia="MS PGothic" w:hAnsiTheme="majorBidi" w:cstheme="majorBidi"/>
                <w:sz w:val="18"/>
                <w:szCs w:val="18"/>
                <w:lang w:val="fr-CH"/>
              </w:rPr>
              <w:t xml:space="preserve">Ce type de récepteur fonctionne simultanément sur plusieurs fréquences porteuses. Ces fréquences sont définies par la relation </w:t>
            </w:r>
            <w:r w:rsidRPr="00287284">
              <w:rPr>
                <w:rFonts w:asciiTheme="majorBidi" w:eastAsia="MS PGothic" w:hAnsiTheme="majorBidi" w:cstheme="majorBidi"/>
                <w:i/>
                <w:sz w:val="18"/>
                <w:szCs w:val="18"/>
                <w:lang w:val="fr-CH"/>
              </w:rPr>
              <w:t>f</w:t>
            </w:r>
            <w:r w:rsidRPr="00287284">
              <w:rPr>
                <w:rFonts w:asciiTheme="majorBidi" w:eastAsia="MS PGothic" w:hAnsiTheme="majorBidi" w:cstheme="majorBidi"/>
                <w:i/>
                <w:sz w:val="18"/>
                <w:szCs w:val="18"/>
                <w:vertAlign w:val="subscript"/>
                <w:lang w:val="fr-CH"/>
              </w:rPr>
              <w:t>c</w:t>
            </w:r>
            <w:r>
              <w:rPr>
                <w:rFonts w:asciiTheme="majorBidi" w:eastAsia="MS PGothic" w:hAnsiTheme="majorBidi" w:cstheme="majorBidi"/>
                <w:sz w:val="18"/>
                <w:szCs w:val="18"/>
                <w:lang w:val="fr-CH"/>
              </w:rPr>
              <w:t> (MHz) = 1 602 + 0,</w:t>
            </w:r>
            <w:r w:rsidRPr="00287284">
              <w:rPr>
                <w:rFonts w:asciiTheme="majorBidi" w:eastAsia="MS PGothic" w:hAnsiTheme="majorBidi" w:cstheme="majorBidi"/>
                <w:sz w:val="18"/>
                <w:szCs w:val="18"/>
                <w:lang w:val="fr-CH"/>
              </w:rPr>
              <w:t>5625</w:t>
            </w:r>
            <w:r w:rsidRPr="00287284">
              <w:rPr>
                <w:rFonts w:asciiTheme="majorBidi" w:eastAsia="MS PGothic" w:hAnsiTheme="majorBidi" w:cstheme="majorBidi"/>
                <w:i/>
                <w:iCs/>
                <w:sz w:val="18"/>
                <w:szCs w:val="18"/>
                <w:lang w:val="fr-CH"/>
              </w:rPr>
              <w:t>K</w:t>
            </w:r>
            <w:r w:rsidRPr="00287284">
              <w:rPr>
                <w:rFonts w:asciiTheme="majorBidi" w:eastAsia="MS PGothic" w:hAnsiTheme="majorBidi" w:cstheme="majorBidi"/>
                <w:sz w:val="18"/>
                <w:szCs w:val="18"/>
                <w:lang w:val="fr-CH"/>
              </w:rPr>
              <w:t>, o</w:t>
            </w:r>
            <w:r>
              <w:rPr>
                <w:rFonts w:asciiTheme="majorBidi" w:eastAsia="MS PGothic" w:hAnsiTheme="majorBidi" w:cstheme="majorBidi"/>
                <w:sz w:val="18"/>
                <w:szCs w:val="18"/>
                <w:lang w:val="fr-CH"/>
              </w:rPr>
              <w:t>ù</w:t>
            </w:r>
            <w:r w:rsidRPr="00287284">
              <w:rPr>
                <w:rFonts w:asciiTheme="majorBidi" w:eastAsia="MS PGothic" w:hAnsiTheme="majorBidi" w:cstheme="majorBidi"/>
                <w:sz w:val="18"/>
                <w:szCs w:val="18"/>
                <w:lang w:val="fr-CH"/>
              </w:rPr>
              <w:t xml:space="preserve"> </w:t>
            </w:r>
            <w:r w:rsidRPr="00287284">
              <w:rPr>
                <w:rFonts w:asciiTheme="majorBidi" w:eastAsia="MS PGothic" w:hAnsiTheme="majorBidi" w:cstheme="majorBidi"/>
                <w:i/>
                <w:iCs/>
                <w:sz w:val="18"/>
                <w:szCs w:val="18"/>
                <w:lang w:val="fr-CH"/>
              </w:rPr>
              <w:t>K</w:t>
            </w:r>
            <w:r w:rsidRPr="00287284">
              <w:rPr>
                <w:rFonts w:asciiTheme="majorBidi" w:eastAsia="MS PGothic" w:hAnsiTheme="majorBidi" w:cstheme="majorBidi"/>
                <w:sz w:val="18"/>
                <w:szCs w:val="18"/>
                <w:lang w:val="fr-CH"/>
              </w:rPr>
              <w:t> = −7</w:t>
            </w:r>
            <w:r>
              <w:rPr>
                <w:rFonts w:asciiTheme="majorBidi" w:eastAsia="MS PGothic" w:hAnsiTheme="majorBidi" w:cstheme="majorBidi"/>
                <w:sz w:val="18"/>
                <w:szCs w:val="18"/>
                <w:lang w:val="fr-CH"/>
              </w:rPr>
              <w:t>,</w:t>
            </w:r>
            <w:r w:rsidRPr="00287284">
              <w:rPr>
                <w:rFonts w:asciiTheme="majorBidi" w:eastAsia="MS PGothic" w:hAnsiTheme="majorBidi" w:cstheme="majorBidi"/>
                <w:sz w:val="18"/>
                <w:szCs w:val="18"/>
                <w:lang w:val="fr-CH"/>
              </w:rPr>
              <w:t xml:space="preserve"> </w:t>
            </w:r>
            <w:r w:rsidRPr="00287284">
              <w:rPr>
                <w:rFonts w:asciiTheme="majorBidi" w:hAnsiTheme="majorBidi" w:cstheme="majorBidi"/>
                <w:sz w:val="18"/>
                <w:szCs w:val="18"/>
                <w:lang w:val="fr-CH"/>
              </w:rPr>
              <w:t>..., +6</w:t>
            </w:r>
            <w:r w:rsidRPr="00287284">
              <w:rPr>
                <w:rFonts w:asciiTheme="majorBidi" w:eastAsia="MS PGothic" w:hAnsiTheme="majorBidi" w:cstheme="majorBidi"/>
                <w:sz w:val="18"/>
                <w:szCs w:val="18"/>
                <w:lang w:val="fr-CH"/>
              </w:rPr>
              <w:t>. Les récepteurs de navigation fabriqués avant</w:t>
            </w:r>
            <w:r w:rsidRPr="00287284">
              <w:rPr>
                <w:rFonts w:asciiTheme="majorBidi" w:hAnsiTheme="majorBidi" w:cstheme="majorBidi"/>
                <w:sz w:val="18"/>
                <w:szCs w:val="18"/>
                <w:lang w:val="fr-CH"/>
              </w:rPr>
              <w:t> 2006 peuvent fonctionner avec des signaux de navigation ayant des fréquences porteuses pour lesquelles (</w:t>
            </w:r>
            <w:r w:rsidRPr="00287284">
              <w:rPr>
                <w:rFonts w:asciiTheme="majorBidi" w:hAnsiTheme="majorBidi" w:cstheme="majorBidi"/>
                <w:sz w:val="18"/>
                <w:szCs w:val="18"/>
              </w:rPr>
              <w:t>К</w:t>
            </w:r>
            <w:r w:rsidRPr="00287284">
              <w:rPr>
                <w:rFonts w:asciiTheme="majorBidi" w:hAnsiTheme="majorBidi" w:cstheme="majorBidi"/>
                <w:sz w:val="18"/>
                <w:szCs w:val="18"/>
                <w:lang w:val="fr-CH"/>
              </w:rPr>
              <w:t>) est compris entre −7 et +12.</w:t>
            </w:r>
          </w:p>
          <w:p w:rsidR="005D5DF0" w:rsidRPr="00287284" w:rsidRDefault="005D5DF0" w:rsidP="00A715CF">
            <w:pPr>
              <w:rPr>
                <w:rFonts w:asciiTheme="majorBidi" w:hAnsiTheme="majorBidi" w:cstheme="majorBidi"/>
                <w:sz w:val="18"/>
                <w:szCs w:val="18"/>
                <w:lang w:val="fr-CH" w:eastAsia="ja-JP"/>
              </w:rPr>
            </w:pPr>
            <w:r w:rsidRPr="00287284">
              <w:rPr>
                <w:rFonts w:asciiTheme="majorBidi" w:hAnsiTheme="majorBidi" w:cstheme="majorBidi"/>
                <w:sz w:val="18"/>
                <w:szCs w:val="18"/>
                <w:lang w:val="fr-CH" w:eastAsia="ja-JP"/>
              </w:rPr>
              <w:t>NOTE 18 – Etant donné que l'antenne, dans certaines applications de récepteurs du SRNS pourraient être pointées pratiquement dans n'importe quelle direction, le gain maximal de l'antenne dans l'hémisphère inférieur pourrait (dans le cas le plus défavorable) être égal au gain maximal dans l'hémisphère supérieur.</w:t>
            </w:r>
          </w:p>
          <w:p w:rsidR="005D5DF0" w:rsidRPr="00287284" w:rsidRDefault="005D5DF0" w:rsidP="00A715CF">
            <w:pPr>
              <w:rPr>
                <w:snapToGrid w:val="0"/>
                <w:szCs w:val="18"/>
              </w:rPr>
            </w:pPr>
            <w:r w:rsidRPr="00287284">
              <w:rPr>
                <w:rFonts w:asciiTheme="majorBidi" w:hAnsiTheme="majorBidi" w:cstheme="majorBidi"/>
                <w:sz w:val="18"/>
                <w:szCs w:val="18"/>
                <w:lang w:val="fr-CH" w:eastAsia="ja-JP"/>
              </w:rPr>
              <w:t xml:space="preserve">NOTE 19 – Les niveaux de compression à l'entrée des récepteurs indiqués dans cette colonne s'appliquent sur la largeur de bande à 3dB du filtre RF correspondant, (colonne 4 de ce tableau), à condition que la largeur de bande à </w:t>
            </w:r>
            <w:r w:rsidRPr="006008B5">
              <w:rPr>
                <w:rFonts w:asciiTheme="majorBidi" w:hAnsiTheme="majorBidi" w:cstheme="majorBidi"/>
                <w:sz w:val="18"/>
                <w:szCs w:val="18"/>
                <w:lang w:val="fr-CH" w:eastAsia="ja-JP"/>
              </w:rPr>
              <w:t>–</w:t>
            </w:r>
            <w:r w:rsidRPr="00287284">
              <w:rPr>
                <w:rFonts w:asciiTheme="majorBidi" w:hAnsiTheme="majorBidi" w:cstheme="majorBidi"/>
                <w:sz w:val="18"/>
                <w:szCs w:val="18"/>
                <w:lang w:val="fr-CH" w:eastAsia="ja-JP"/>
              </w:rPr>
              <w:t>3dB du filtre RF du récepteur ne s'étende pas au-delà de la bande 1 559-1 610 MHz.</w:t>
            </w:r>
          </w:p>
        </w:tc>
      </w:tr>
    </w:tbl>
    <w:p w:rsidR="005D5DF0" w:rsidRPr="000039B1" w:rsidRDefault="005D5DF0" w:rsidP="005D5DF0">
      <w:pPr>
        <w:spacing w:before="0"/>
        <w:jc w:val="right"/>
        <w:rPr>
          <w:rFonts w:eastAsia="MS PGothic"/>
          <w:sz w:val="8"/>
          <w:szCs w:val="8"/>
        </w:rPr>
      </w:pPr>
    </w:p>
    <w:p w:rsidR="005D5DF0" w:rsidRPr="005D5DF0" w:rsidRDefault="005D5DF0" w:rsidP="001A26F2">
      <w:pPr>
        <w:jc w:val="center"/>
        <w:rPr>
          <w:lang w:val="fr-CH"/>
        </w:rPr>
      </w:pPr>
      <w:r>
        <w:t>______________</w:t>
      </w:r>
    </w:p>
    <w:sectPr w:rsidR="005D5DF0" w:rsidRPr="005D5DF0" w:rsidSect="001A26F2">
      <w:headerReference w:type="even" r:id="rId23"/>
      <w:headerReference w:type="default" r:id="rId24"/>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DF0" w:rsidRDefault="005D5DF0">
      <w:r>
        <w:separator/>
      </w:r>
    </w:p>
  </w:endnote>
  <w:endnote w:type="continuationSeparator" w:id="0">
    <w:p w:rsidR="005D5DF0" w:rsidRDefault="005D5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00022FF" w:usb1="C000205B" w:usb2="00000009" w:usb3="00000000" w:csb0="000001D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F0" w:rsidRPr="00690514" w:rsidRDefault="005D5DF0" w:rsidP="006905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F0" w:rsidRPr="00690514" w:rsidRDefault="005D5DF0" w:rsidP="006905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DF0" w:rsidRDefault="005D5DF0">
      <w:r>
        <w:separator/>
      </w:r>
    </w:p>
  </w:footnote>
  <w:footnote w:type="continuationSeparator" w:id="0">
    <w:p w:rsidR="005D5DF0" w:rsidRDefault="005D5DF0">
      <w:r>
        <w:continuationSeparator/>
      </w:r>
    </w:p>
  </w:footnote>
  <w:footnote w:id="1">
    <w:p w:rsidR="005D5DF0" w:rsidRPr="00070D9C" w:rsidRDefault="005D5DF0" w:rsidP="005D5DF0">
      <w:pPr>
        <w:pStyle w:val="FootnoteText"/>
        <w:rPr>
          <w:lang w:val="fr-CH"/>
        </w:rPr>
      </w:pPr>
      <w:r w:rsidRPr="007E146E">
        <w:rPr>
          <w:position w:val="6"/>
          <w:sz w:val="18"/>
          <w:szCs w:val="18"/>
        </w:rPr>
        <w:footnoteRef/>
      </w:r>
      <w:r w:rsidRPr="00070D9C">
        <w:rPr>
          <w:lang w:val="fr-CH"/>
        </w:rPr>
        <w:t xml:space="preserve"> </w:t>
      </w:r>
      <w:r w:rsidRPr="00070D9C">
        <w:rPr>
          <w:lang w:val="fr-CH"/>
        </w:rPr>
        <w:tab/>
        <w:t>Aux fins de la présente Recommandation, les références au service de radionavigation aéronautique (SRNA) couvrent uniquement les émetteurs de Terre qui émettent un signal de type SRNS destiné à être reçu par des récepteurs qui reçoivent aussi des signaux SRNS. Les critères prescrits dans la présente Recommandation pour les récepteurs du SRNS s'appliquent donc aussi à ces récepteurs du SRNA.</w:t>
      </w:r>
    </w:p>
  </w:footnote>
  <w:footnote w:id="2">
    <w:p w:rsidR="005D5DF0" w:rsidRPr="009A14DB" w:rsidRDefault="005D5DF0" w:rsidP="005D5DF0">
      <w:pPr>
        <w:pStyle w:val="FootnoteText"/>
        <w:rPr>
          <w:lang w:val="fr-CH"/>
        </w:rPr>
      </w:pPr>
      <w:r>
        <w:rPr>
          <w:rStyle w:val="FootnoteReference"/>
        </w:rPr>
        <w:footnoteRef/>
      </w:r>
      <w:r>
        <w:t xml:space="preserve"> </w:t>
      </w:r>
      <w:r>
        <w:rPr>
          <w:lang w:val="fr-CH"/>
        </w:rPr>
        <w:tab/>
        <w:t>Ce texte figurait dans l'Annexe 5 de l'ancienne Recommandation UIT-R M.1477 (Genève, 2000).</w:t>
      </w:r>
    </w:p>
  </w:footnote>
  <w:footnote w:id="3">
    <w:p w:rsidR="005D5DF0" w:rsidRPr="005025FB" w:rsidRDefault="005D5DF0" w:rsidP="005D5DF0">
      <w:pPr>
        <w:pStyle w:val="FootnoteText"/>
        <w:rPr>
          <w:lang w:val="fr-CH"/>
        </w:rPr>
      </w:pPr>
      <w:r>
        <w:rPr>
          <w:rStyle w:val="FootnoteReference"/>
        </w:rPr>
        <w:footnoteRef/>
      </w:r>
      <w:r w:rsidRPr="005025FB">
        <w:rPr>
          <w:lang w:val="fr-CH"/>
        </w:rPr>
        <w:tab/>
      </w:r>
      <w:r>
        <w:rPr>
          <w:lang w:val="fr-CH"/>
        </w:rPr>
        <w:t xml:space="preserve">Le </w:t>
      </w:r>
      <w:r w:rsidRPr="005025FB">
        <w:rPr>
          <w:lang w:val="fr-CH"/>
        </w:rPr>
        <w:t xml:space="preserve">GNSS </w:t>
      </w:r>
      <w:r>
        <w:rPr>
          <w:lang w:val="fr-CH"/>
        </w:rPr>
        <w:t>est</w:t>
      </w:r>
      <w:r w:rsidRPr="005025FB">
        <w:rPr>
          <w:lang w:val="fr-CH"/>
        </w:rPr>
        <w:t xml:space="preserve"> un système mondial de navigation par satellite, ensemble de systèmes du SRNS fournissant des signaux</w:t>
      </w:r>
      <w:r>
        <w:rPr>
          <w:lang w:val="fr-CH"/>
        </w:rPr>
        <w:t xml:space="preserve"> de satellite de radionavigation aéronautique, normalisés par l'OACI.</w:t>
      </w:r>
    </w:p>
  </w:footnote>
  <w:footnote w:id="4">
    <w:p w:rsidR="005D5DF0" w:rsidRPr="00CE55DC" w:rsidRDefault="005D5DF0" w:rsidP="005D5DF0">
      <w:pPr>
        <w:pStyle w:val="FootnoteText"/>
        <w:rPr>
          <w:lang w:val="fr-CH"/>
        </w:rPr>
      </w:pPr>
      <w:r>
        <w:rPr>
          <w:rStyle w:val="FootnoteReference"/>
        </w:rPr>
        <w:footnoteRef/>
      </w:r>
      <w:r>
        <w:t xml:space="preserve"> </w:t>
      </w:r>
      <w:r>
        <w:tab/>
      </w:r>
      <w:r>
        <w:rPr>
          <w:lang w:val="fr-CH"/>
        </w:rPr>
        <w:t>Par brouillage non aéronautique on entend un brouillage provenant de sources autres que l'équipement de mesure de distance (DME), du système de navigation aérienne tactique (TACAN) ou l'équipement installé à bord de l'aéronef doté d'un récepteur GNSS.</w:t>
      </w:r>
    </w:p>
  </w:footnote>
  <w:footnote w:id="5">
    <w:p w:rsidR="005D5DF0" w:rsidRPr="00EE3755" w:rsidRDefault="005D5DF0" w:rsidP="005D5DF0">
      <w:pPr>
        <w:pStyle w:val="FootnoteText"/>
        <w:rPr>
          <w:lang w:val="fr-CH"/>
        </w:rPr>
      </w:pPr>
      <w:r w:rsidRPr="007E146E">
        <w:rPr>
          <w:position w:val="6"/>
          <w:sz w:val="18"/>
        </w:rPr>
        <w:footnoteRef/>
      </w:r>
      <w:r w:rsidRPr="00216A5D">
        <w:rPr>
          <w:lang w:val="fr-CH"/>
        </w:rPr>
        <w:tab/>
        <w:t xml:space="preserve">L'expression </w:t>
      </w:r>
      <w:r>
        <w:rPr>
          <w:lang w:val="fr-CH"/>
        </w:rPr>
        <w:t>«</w:t>
      </w:r>
      <w:r w:rsidRPr="00216A5D">
        <w:rPr>
          <w:lang w:val="fr-CH"/>
        </w:rPr>
        <w:t xml:space="preserve">signaux L1 C/A du SRNS et </w:t>
      </w:r>
      <w:r>
        <w:rPr>
          <w:lang w:val="fr-CH"/>
        </w:rPr>
        <w:t>L1 AMRC SBAS»</w:t>
      </w:r>
      <w:r w:rsidRPr="00216A5D">
        <w:rPr>
          <w:lang w:val="fr-CH"/>
        </w:rPr>
        <w:t xml:space="preserve"> renvoie à l'utilisation d'une technique</w:t>
      </w:r>
      <w:r>
        <w:rPr>
          <w:lang w:val="fr-CH"/>
        </w:rPr>
        <w:t xml:space="preserve"> dans laquelle tous les satellites SRNS et</w:t>
      </w:r>
      <w:r w:rsidRPr="00216A5D">
        <w:rPr>
          <w:lang w:val="fr-CH"/>
        </w:rPr>
        <w:t xml:space="preserve"> SBAS </w:t>
      </w:r>
      <w:r>
        <w:rPr>
          <w:lang w:val="fr-CH"/>
        </w:rPr>
        <w:t>émettent sur la même fréquence porteuse mais avec des codes de modulation différents. D'autres pré</w:t>
      </w:r>
      <w:r w:rsidRPr="00EE3755">
        <w:rPr>
          <w:lang w:val="fr-CH"/>
        </w:rPr>
        <w:t xml:space="preserve">cisions concernant les signaux sont données dans l'Annexe 2 (GPS) </w:t>
      </w:r>
      <w:r>
        <w:rPr>
          <w:lang w:val="fr-CH"/>
        </w:rPr>
        <w:t>de la Recomma</w:t>
      </w:r>
      <w:r w:rsidRPr="00EE3755">
        <w:rPr>
          <w:lang w:val="fr-CH"/>
        </w:rPr>
        <w:t xml:space="preserve">ndation </w:t>
      </w:r>
      <w:r>
        <w:rPr>
          <w:lang w:val="fr-CH"/>
        </w:rPr>
        <w:t>UIT</w:t>
      </w:r>
      <w:r w:rsidRPr="00EE3755">
        <w:rPr>
          <w:lang w:val="fr-CH"/>
        </w:rPr>
        <w:noBreakHyphen/>
        <w:t>R M.1787.</w:t>
      </w:r>
    </w:p>
  </w:footnote>
  <w:footnote w:id="6">
    <w:p w:rsidR="005D5DF0" w:rsidRPr="00263B3F" w:rsidRDefault="005D5DF0" w:rsidP="005D5DF0">
      <w:pPr>
        <w:pStyle w:val="FootnoteText"/>
        <w:rPr>
          <w:lang w:val="fr-CH"/>
        </w:rPr>
      </w:pPr>
      <w:r w:rsidRPr="007E146E">
        <w:rPr>
          <w:position w:val="6"/>
          <w:sz w:val="18"/>
        </w:rPr>
        <w:footnoteRef/>
      </w:r>
      <w:r w:rsidRPr="004F17A3">
        <w:rPr>
          <w:lang w:val="fr-CH"/>
        </w:rPr>
        <w:tab/>
        <w:t xml:space="preserve">L'expression </w:t>
      </w:r>
      <w:r>
        <w:rPr>
          <w:lang w:val="fr-CH"/>
        </w:rPr>
        <w:t>«signaux AMRF du SRNS»</w:t>
      </w:r>
      <w:r w:rsidRPr="004F17A3">
        <w:rPr>
          <w:lang w:val="fr-CH"/>
        </w:rPr>
        <w:t xml:space="preserve"> renvoie à une technique dans </w:t>
      </w:r>
      <w:r>
        <w:rPr>
          <w:lang w:val="fr-CH"/>
        </w:rPr>
        <w:t>laquelle tous les satellites du </w:t>
      </w:r>
      <w:r w:rsidRPr="004F17A3">
        <w:rPr>
          <w:lang w:val="fr-CH"/>
        </w:rPr>
        <w:t>SRNS utilisent le m</w:t>
      </w:r>
      <w:r>
        <w:rPr>
          <w:lang w:val="fr-CH"/>
        </w:rPr>
        <w:t>ême code de modulation mais chaque satellite émet sur une fréquence porteuse différente</w:t>
      </w:r>
      <w:r w:rsidRPr="004F17A3">
        <w:rPr>
          <w:lang w:val="fr-CH"/>
        </w:rPr>
        <w:t xml:space="preserve">. </w:t>
      </w:r>
      <w:r>
        <w:rPr>
          <w:lang w:val="fr-CH"/>
        </w:rPr>
        <w:t>D'autres pré</w:t>
      </w:r>
      <w:r w:rsidRPr="00EE3755">
        <w:rPr>
          <w:lang w:val="fr-CH"/>
        </w:rPr>
        <w:t>cisions concernant les sign</w:t>
      </w:r>
      <w:r>
        <w:rPr>
          <w:lang w:val="fr-CH"/>
        </w:rPr>
        <w:t>aux sont données dans l'Annexe 1</w:t>
      </w:r>
      <w:r w:rsidRPr="00EE3755">
        <w:rPr>
          <w:lang w:val="fr-CH"/>
        </w:rPr>
        <w:t xml:space="preserve"> (G</w:t>
      </w:r>
      <w:r>
        <w:rPr>
          <w:lang w:val="fr-CH"/>
        </w:rPr>
        <w:t>LONASS</w:t>
      </w:r>
      <w:r w:rsidRPr="00EE3755">
        <w:rPr>
          <w:lang w:val="fr-CH"/>
        </w:rPr>
        <w:t xml:space="preserve">) </w:t>
      </w:r>
      <w:r>
        <w:rPr>
          <w:lang w:val="fr-CH"/>
        </w:rPr>
        <w:t>de la Recomma</w:t>
      </w:r>
      <w:r w:rsidRPr="00EE3755">
        <w:rPr>
          <w:lang w:val="fr-CH"/>
        </w:rPr>
        <w:t xml:space="preserve">ndation </w:t>
      </w:r>
      <w:r>
        <w:rPr>
          <w:lang w:val="fr-CH"/>
        </w:rPr>
        <w:t>UIT</w:t>
      </w:r>
      <w:r w:rsidRPr="00EE3755">
        <w:rPr>
          <w:lang w:val="fr-CH"/>
        </w:rPr>
        <w:noBreakHyphen/>
        <w:t>R M.1787</w:t>
      </w:r>
      <w:r w:rsidRPr="00263B3F">
        <w:rPr>
          <w:lang w:val="fr-CH"/>
        </w:rPr>
        <w:t>.</w:t>
      </w:r>
    </w:p>
  </w:footnote>
  <w:footnote w:id="7">
    <w:p w:rsidR="005D5DF0" w:rsidRPr="009A422D" w:rsidRDefault="005D5DF0" w:rsidP="005D5DF0">
      <w:pPr>
        <w:pStyle w:val="FootnoteText"/>
        <w:rPr>
          <w:lang w:val="fr-CH"/>
        </w:rPr>
      </w:pPr>
      <w:r w:rsidRPr="007E146E">
        <w:rPr>
          <w:position w:val="6"/>
          <w:sz w:val="18"/>
        </w:rPr>
        <w:footnoteRef/>
      </w:r>
      <w:r w:rsidRPr="009A422D">
        <w:rPr>
          <w:lang w:val="fr-CH"/>
        </w:rPr>
        <w:tab/>
        <w:t xml:space="preserve">Les pseudolites sont des émetteurs de Terre qui émettent des signaux </w:t>
      </w:r>
      <w:r>
        <w:rPr>
          <w:lang w:val="fr-CH"/>
        </w:rPr>
        <w:t xml:space="preserve">similaires à ceux des satellites du SRNS mais qui sont exploités dans le SRNA. </w:t>
      </w:r>
    </w:p>
  </w:footnote>
  <w:footnote w:id="8">
    <w:p w:rsidR="005D5DF0" w:rsidRPr="008C3BE3" w:rsidRDefault="005D5DF0" w:rsidP="005D5DF0">
      <w:pPr>
        <w:pStyle w:val="FootnoteText"/>
        <w:rPr>
          <w:lang w:val="fr-CH"/>
        </w:rPr>
      </w:pPr>
      <w:r w:rsidRPr="007E146E">
        <w:rPr>
          <w:position w:val="6"/>
          <w:sz w:val="18"/>
        </w:rPr>
        <w:footnoteRef/>
      </w:r>
      <w:r w:rsidRPr="00C254A2">
        <w:rPr>
          <w:lang w:val="fr-CH"/>
        </w:rPr>
        <w:tab/>
        <w:t>Les signaux</w:t>
      </w:r>
      <w:r w:rsidRPr="00C254A2">
        <w:rPr>
          <w:color w:val="000000"/>
          <w:lang w:val="fr-CH"/>
        </w:rPr>
        <w:t xml:space="preserve"> L1 C/A et</w:t>
      </w:r>
      <w:r w:rsidRPr="00C254A2">
        <w:rPr>
          <w:lang w:val="fr-CH"/>
        </w:rPr>
        <w:t xml:space="preserve">L1 P(Y) sont dans la bande de fréquences 1 559-1 610 MHz </w:t>
      </w:r>
      <w:r>
        <w:rPr>
          <w:lang w:val="fr-CH"/>
        </w:rPr>
        <w:t>du SRNS tandis que les signaux</w:t>
      </w:r>
      <w:r w:rsidRPr="00C254A2">
        <w:rPr>
          <w:lang w:val="fr-CH"/>
        </w:rPr>
        <w:t xml:space="preserve"> L2 P(Y) </w:t>
      </w:r>
      <w:r>
        <w:rPr>
          <w:lang w:val="fr-CH"/>
        </w:rPr>
        <w:t>sont dans la bande</w:t>
      </w:r>
      <w:r w:rsidRPr="00C254A2">
        <w:rPr>
          <w:lang w:val="fr-CH"/>
        </w:rPr>
        <w:t xml:space="preserve"> 1 215-1 300 MHz </w:t>
      </w:r>
      <w:r>
        <w:rPr>
          <w:lang w:val="fr-CH"/>
        </w:rPr>
        <w:t>du SRNS.</w:t>
      </w:r>
      <w:r w:rsidRPr="008C3BE3">
        <w:rPr>
          <w:lang w:val="fr-CH"/>
        </w:rPr>
        <w:t xml:space="preserve"> </w:t>
      </w:r>
      <w:r>
        <w:rPr>
          <w:lang w:val="fr-CH"/>
        </w:rPr>
        <w:t>D'autres pré</w:t>
      </w:r>
      <w:r w:rsidRPr="00EE3755">
        <w:rPr>
          <w:lang w:val="fr-CH"/>
        </w:rPr>
        <w:t xml:space="preserve">cisions concernant les signaux sont données dans l'Annexe 2 (GPS) </w:t>
      </w:r>
      <w:r>
        <w:rPr>
          <w:lang w:val="fr-CH"/>
        </w:rPr>
        <w:t>de la Recomma</w:t>
      </w:r>
      <w:r w:rsidRPr="00EE3755">
        <w:rPr>
          <w:lang w:val="fr-CH"/>
        </w:rPr>
        <w:t xml:space="preserve">ndation </w:t>
      </w:r>
      <w:r>
        <w:rPr>
          <w:lang w:val="fr-CH"/>
        </w:rPr>
        <w:t>UIT</w:t>
      </w:r>
      <w:r w:rsidRPr="00EE3755">
        <w:rPr>
          <w:lang w:val="fr-CH"/>
        </w:rPr>
        <w:noBreakHyphen/>
        <w:t>R M.1787</w:t>
      </w:r>
      <w:r w:rsidRPr="008C3BE3">
        <w:rPr>
          <w:lang w:val="fr-CH"/>
        </w:rPr>
        <w:t>.</w:t>
      </w:r>
    </w:p>
  </w:footnote>
  <w:footnote w:id="9">
    <w:p w:rsidR="005D5DF0" w:rsidRPr="008C3BE3" w:rsidRDefault="005D5DF0" w:rsidP="005D5DF0">
      <w:pPr>
        <w:pStyle w:val="FootnoteText"/>
        <w:rPr>
          <w:lang w:val="fr-CH"/>
        </w:rPr>
      </w:pPr>
      <w:r w:rsidRPr="007E146E">
        <w:rPr>
          <w:position w:val="6"/>
          <w:sz w:val="18"/>
        </w:rPr>
        <w:footnoteRef/>
      </w:r>
      <w:r w:rsidRPr="008C3BE3">
        <w:rPr>
          <w:lang w:val="fr-CH"/>
        </w:rPr>
        <w:t xml:space="preserve"> </w:t>
      </w:r>
      <w:r w:rsidRPr="008C3BE3">
        <w:rPr>
          <w:lang w:val="fr-CH"/>
        </w:rPr>
        <w:tab/>
        <w:t>Le code Y est un code P modifié et crypté, ayant le m</w:t>
      </w:r>
      <w:r>
        <w:rPr>
          <w:lang w:val="fr-CH"/>
        </w:rPr>
        <w:t>ême débit d'éléments et les mêmes caractéristiques de modulation que le code</w:t>
      </w:r>
      <w:r w:rsidRPr="008C3BE3">
        <w:rPr>
          <w:lang w:val="fr-CH"/>
        </w:rPr>
        <w:t xml:space="preserve"> P.</w:t>
      </w:r>
    </w:p>
  </w:footnote>
  <w:footnote w:id="10">
    <w:p w:rsidR="005D5DF0" w:rsidRPr="0000691F" w:rsidRDefault="005D5DF0" w:rsidP="005D5DF0">
      <w:pPr>
        <w:pStyle w:val="FootnoteText"/>
        <w:rPr>
          <w:lang w:val="fr-CH"/>
        </w:rPr>
      </w:pPr>
      <w:r w:rsidRPr="007E146E">
        <w:rPr>
          <w:position w:val="6"/>
          <w:sz w:val="18"/>
        </w:rPr>
        <w:footnoteRef/>
      </w:r>
      <w:r w:rsidRPr="0000691F">
        <w:rPr>
          <w:lang w:val="fr-CH"/>
        </w:rPr>
        <w:tab/>
        <w:t xml:space="preserve">D'autres précisions concernant le signal L2C sont données dans l'Annexe 2 (GPS) </w:t>
      </w:r>
      <w:r>
        <w:rPr>
          <w:lang w:val="fr-CH"/>
        </w:rPr>
        <w:t>de la Recommandation UIT</w:t>
      </w:r>
      <w:r w:rsidRPr="0000691F">
        <w:rPr>
          <w:lang w:val="fr-CH"/>
        </w:rPr>
        <w:noBreakHyphen/>
        <w:t>R M.1787.</w:t>
      </w:r>
    </w:p>
  </w:footnote>
  <w:footnote w:id="11">
    <w:p w:rsidR="005D5DF0" w:rsidRPr="002D25FA" w:rsidRDefault="005D5DF0" w:rsidP="005D5DF0">
      <w:pPr>
        <w:pStyle w:val="FootnoteText"/>
      </w:pPr>
      <w:r w:rsidRPr="002928A1">
        <w:rPr>
          <w:position w:val="6"/>
          <w:sz w:val="18"/>
        </w:rPr>
        <w:footnoteRef/>
      </w:r>
      <w:r w:rsidRPr="002D25FA">
        <w:tab/>
        <w:t>D'autres précisions concernant</w:t>
      </w:r>
      <w:r>
        <w:t xml:space="preserve"> le signal</w:t>
      </w:r>
      <w:r w:rsidRPr="002D25FA">
        <w:t xml:space="preserve"> B1-C sont données dans l'Annexe 7 (COMPASS) de la Recommandation </w:t>
      </w:r>
      <w:r>
        <w:t>UIT</w:t>
      </w:r>
      <w:r w:rsidRPr="002D25FA">
        <w:noBreakHyphen/>
        <w:t>R M.1787.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F0" w:rsidRDefault="005D5DF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F0" w:rsidRDefault="005D5DF0" w:rsidP="00C668C8">
    <w:pPr>
      <w:pStyle w:val="Header"/>
      <w:ind w:right="360" w:firstLine="360"/>
    </w:pPr>
    <w:r>
      <w:rPr>
        <w:noProof/>
        <w:lang w:val="en-US" w:eastAsia="zh-CN"/>
      </w:rPr>
      <w:drawing>
        <wp:anchor distT="0" distB="0" distL="114300" distR="114300" simplePos="0" relativeHeight="251659264" behindDoc="1" locked="0" layoutInCell="1" allowOverlap="1" wp14:anchorId="733CDAE6" wp14:editId="00A6A7F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F0" w:rsidRPr="00837CB5" w:rsidRDefault="005D5DF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F5FD7">
      <w:rPr>
        <w:rStyle w:val="PageNumber"/>
        <w:b/>
        <w:bCs/>
        <w:noProof/>
      </w:rPr>
      <w:t>ii</w:t>
    </w:r>
    <w:r>
      <w:rPr>
        <w:rStyle w:val="PageNumber"/>
        <w:b/>
        <w:bCs/>
      </w:rPr>
      <w:fldChar w:fldCharType="end"/>
    </w:r>
    <w:r w:rsidRPr="00837CB5">
      <w:tab/>
    </w:r>
    <w:fldSimple w:instr=" DOCPROPERTY &quot;Header&quot; \* MERGEFORMAT ">
      <w:r w:rsidR="00DF5FD7" w:rsidRPr="00DF5FD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F5FD7">
      <w:rPr>
        <w:b/>
        <w:bCs/>
        <w:noProof/>
      </w:rPr>
      <w:t>UIT-R  M.1903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F0" w:rsidRDefault="005D5DF0">
    <w:pPr>
      <w:pStyle w:val="Header"/>
    </w:pPr>
    <w:r>
      <w:tab/>
    </w:r>
    <w:fldSimple w:instr=" DOCPROPERTY &quot;Header&quot; \* MERGEFORMAT ">
      <w:r w:rsidR="00DF5FD7" w:rsidRPr="00DF5FD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F5FD7">
      <w:rPr>
        <w:b/>
        <w:bCs/>
        <w:noProof/>
      </w:rPr>
      <w:t>UIT-R  M.1903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F0" w:rsidRPr="00690514" w:rsidRDefault="00690514" w:rsidP="0069051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F5FD7">
      <w:rPr>
        <w:rStyle w:val="PageNumber"/>
        <w:b/>
        <w:bCs/>
        <w:noProof/>
      </w:rPr>
      <w:t>14</w:t>
    </w:r>
    <w:r>
      <w:rPr>
        <w:rStyle w:val="PageNumber"/>
        <w:b/>
        <w:bCs/>
      </w:rPr>
      <w:fldChar w:fldCharType="end"/>
    </w:r>
    <w:r w:rsidRPr="00837CB5">
      <w:tab/>
    </w:r>
    <w:fldSimple w:instr=" DOCPROPERTY &quot;Header&quot; \* MERGEFORMAT ">
      <w:r w:rsidR="00DF5FD7" w:rsidRPr="00DF5FD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F5FD7">
      <w:rPr>
        <w:b/>
        <w:bCs/>
        <w:noProof/>
      </w:rPr>
      <w:t>UIT-R  M.1903</w:t>
    </w:r>
    <w:r>
      <w:rPr>
        <w:b/>
        <w:bCs/>
      </w:rPr>
      <w:fldChar w:fldCharType="end"/>
    </w:r>
    <w:r>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F0" w:rsidRPr="00690514" w:rsidRDefault="00690514" w:rsidP="00690514">
    <w:pPr>
      <w:pStyle w:val="Header"/>
      <w:jc w:val="left"/>
    </w:pPr>
    <w:r w:rsidRPr="00837CB5">
      <w:tab/>
    </w:r>
    <w:fldSimple w:instr=" DOCPROPERTY &quot;Header&quot; \* MERGEFORMAT ">
      <w:r w:rsidR="00DF5FD7" w:rsidRPr="00DF5FD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F5FD7">
      <w:rPr>
        <w:b/>
        <w:bCs/>
        <w:noProof/>
      </w:rPr>
      <w:t>UIT-R  M.1903</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DF5FD7">
      <w:rPr>
        <w:rStyle w:val="PageNumber"/>
        <w:b/>
        <w:bCs/>
        <w:noProof/>
      </w:rPr>
      <w:t>13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514" w:rsidRDefault="00690514" w:rsidP="00690514">
    <w:pPr>
      <w:pStyle w:val="Header"/>
      <w:jc w:val="left"/>
    </w:pPr>
    <w:r w:rsidRPr="00837CB5">
      <w:tab/>
    </w:r>
    <w:fldSimple w:instr=" DOCPROPERTY &quot;Header&quot; \* MERGEFORMAT ">
      <w:r w:rsidR="00DF5FD7" w:rsidRPr="00DF5FD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F5FD7">
      <w:rPr>
        <w:b/>
        <w:bCs/>
        <w:noProof/>
      </w:rPr>
      <w:t>UIT-R  M.1903</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DF5FD7">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296659">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F5FD7">
      <w:rPr>
        <w:rStyle w:val="PageNumber"/>
        <w:b/>
        <w:bCs/>
        <w:noProof/>
        <w:lang w:val="en-US"/>
      </w:rPr>
      <w:t>18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F5FD7" w:rsidRPr="00DF5FD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F5FD7">
      <w:rPr>
        <w:b/>
        <w:bCs/>
        <w:noProof/>
      </w:rPr>
      <w:t>UIT-R  M.1903</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3E2102" w:rsidP="003E2102">
    <w:pPr>
      <w:pStyle w:val="Header"/>
      <w:tabs>
        <w:tab w:val="clear" w:pos="4848"/>
        <w:tab w:val="clear" w:pos="9696"/>
        <w:tab w:val="center" w:pos="7088"/>
      </w:tabs>
    </w:pPr>
    <w:r>
      <w:ptab w:relativeTo="margin" w:alignment="left" w:leader="none"/>
    </w:r>
    <w:r>
      <w:tab/>
    </w:r>
    <w:fldSimple w:instr=" DOCPROPERTY &quot;Header&quot; \* MERGEFORMAT ">
      <w:r w:rsidR="00DF5FD7" w:rsidRPr="00DF5FD7">
        <w:rPr>
          <w:b/>
          <w:bCs/>
        </w:rPr>
        <w:t xml:space="preserve">Rec. </w:t>
      </w:r>
    </w:fldSimple>
    <w:r w:rsidR="00607D68">
      <w:rPr>
        <w:b/>
        <w:bCs/>
      </w:rPr>
      <w:t xml:space="preserve"> </w:t>
    </w:r>
    <w:r w:rsidR="00607D68">
      <w:rPr>
        <w:b/>
        <w:bCs/>
      </w:rPr>
      <w:fldChar w:fldCharType="begin"/>
    </w:r>
    <w:r w:rsidR="00607D68">
      <w:rPr>
        <w:b/>
        <w:bCs/>
      </w:rPr>
      <w:instrText>styleref href</w:instrText>
    </w:r>
    <w:r w:rsidR="00607D68">
      <w:rPr>
        <w:b/>
        <w:bCs/>
      </w:rPr>
      <w:fldChar w:fldCharType="separate"/>
    </w:r>
    <w:r w:rsidR="00DF5FD7">
      <w:rPr>
        <w:b/>
        <w:bCs/>
        <w:noProof/>
      </w:rPr>
      <w:t>UIT-R  M.1903</w:t>
    </w:r>
    <w:r w:rsidR="00607D68">
      <w:rPr>
        <w:b/>
        <w:bCs/>
      </w:rPr>
      <w:fldChar w:fldCharType="end"/>
    </w:r>
    <w:r>
      <w:rPr>
        <w:b/>
        <w:bCs/>
      </w:rPr>
      <w:ptab w:relativeTo="margin" w:alignment="right" w:leader="none"/>
    </w:r>
    <w:r w:rsidR="00607D68">
      <w:rPr>
        <w:rStyle w:val="PageNumber"/>
        <w:b/>
        <w:bCs/>
      </w:rPr>
      <w:fldChar w:fldCharType="begin"/>
    </w:r>
    <w:r w:rsidR="00607D68">
      <w:rPr>
        <w:rStyle w:val="PageNumber"/>
        <w:b/>
        <w:bCs/>
      </w:rPr>
      <w:instrText xml:space="preserve"> PAGE </w:instrText>
    </w:r>
    <w:r w:rsidR="00607D68">
      <w:rPr>
        <w:rStyle w:val="PageNumber"/>
        <w:b/>
        <w:bCs/>
      </w:rPr>
      <w:fldChar w:fldCharType="separate"/>
    </w:r>
    <w:r w:rsidR="00DF5FD7">
      <w:rPr>
        <w:rStyle w:val="PageNumber"/>
        <w:b/>
        <w:bCs/>
        <w:noProof/>
      </w:rPr>
      <w:t>17</w:t>
    </w:r>
    <w:r w:rsidR="00607D68">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DF0"/>
    <w:rsid w:val="001A26F2"/>
    <w:rsid w:val="001B3604"/>
    <w:rsid w:val="00217EBF"/>
    <w:rsid w:val="00242AEE"/>
    <w:rsid w:val="00296659"/>
    <w:rsid w:val="002D76C4"/>
    <w:rsid w:val="003E2102"/>
    <w:rsid w:val="0052529D"/>
    <w:rsid w:val="005D5DF0"/>
    <w:rsid w:val="00607D68"/>
    <w:rsid w:val="00690514"/>
    <w:rsid w:val="007468DA"/>
    <w:rsid w:val="0099407E"/>
    <w:rsid w:val="009E00A8"/>
    <w:rsid w:val="00A16581"/>
    <w:rsid w:val="00A6617B"/>
    <w:rsid w:val="00A80541"/>
    <w:rsid w:val="00AB0DC8"/>
    <w:rsid w:val="00B44E24"/>
    <w:rsid w:val="00C960E8"/>
    <w:rsid w:val="00DF4176"/>
    <w:rsid w:val="00DF5FD7"/>
    <w:rsid w:val="00E06EFC"/>
    <w:rsid w:val="00F127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5DF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D5DF0"/>
    <w:rPr>
      <w:b/>
      <w:sz w:val="24"/>
      <w:lang w:val="fr-FR" w:eastAsia="en-US"/>
    </w:rPr>
  </w:style>
  <w:style w:type="character" w:customStyle="1" w:styleId="HeaderChar">
    <w:name w:val="Header Char"/>
    <w:basedOn w:val="DefaultParagraphFont"/>
    <w:link w:val="Header"/>
    <w:rsid w:val="005D5DF0"/>
    <w:rPr>
      <w:sz w:val="24"/>
      <w:lang w:val="fr-FR" w:eastAsia="en-US"/>
    </w:rPr>
  </w:style>
  <w:style w:type="character" w:styleId="Hyperlink">
    <w:name w:val="Hyperlink"/>
    <w:basedOn w:val="DefaultParagraphFont"/>
    <w:rsid w:val="005D5DF0"/>
    <w:rPr>
      <w:color w:val="0000FF"/>
      <w:u w:val="single"/>
    </w:rPr>
  </w:style>
  <w:style w:type="character" w:customStyle="1" w:styleId="FootnoteTextChar">
    <w:name w:val="Footnote Text Char"/>
    <w:basedOn w:val="DefaultParagraphFont"/>
    <w:link w:val="FootnoteText"/>
    <w:rsid w:val="005D5DF0"/>
    <w:rPr>
      <w:sz w:val="22"/>
      <w:lang w:val="fr-FR" w:eastAsia="en-US"/>
    </w:rPr>
  </w:style>
  <w:style w:type="character" w:customStyle="1" w:styleId="Heading2Char">
    <w:name w:val="Heading 2 Char"/>
    <w:basedOn w:val="DefaultParagraphFont"/>
    <w:link w:val="Heading2"/>
    <w:rsid w:val="005D5DF0"/>
    <w:rPr>
      <w:b/>
      <w:sz w:val="24"/>
      <w:lang w:val="fr-FR" w:eastAsia="en-US"/>
    </w:rPr>
  </w:style>
  <w:style w:type="character" w:customStyle="1" w:styleId="Heading3Char">
    <w:name w:val="Heading 3 Char"/>
    <w:basedOn w:val="DefaultParagraphFont"/>
    <w:link w:val="Heading3"/>
    <w:rsid w:val="005D5DF0"/>
    <w:rPr>
      <w:b/>
      <w:sz w:val="24"/>
      <w:lang w:val="fr-FR" w:eastAsia="en-US"/>
    </w:rPr>
  </w:style>
  <w:style w:type="character" w:customStyle="1" w:styleId="Heading4Char">
    <w:name w:val="Heading 4 Char"/>
    <w:basedOn w:val="DefaultParagraphFont"/>
    <w:link w:val="Heading4"/>
    <w:rsid w:val="005D5DF0"/>
    <w:rPr>
      <w:b/>
      <w:sz w:val="24"/>
      <w:lang w:val="fr-FR" w:eastAsia="en-US"/>
    </w:rPr>
  </w:style>
  <w:style w:type="character" w:customStyle="1" w:styleId="Heading5Char">
    <w:name w:val="Heading 5 Char"/>
    <w:basedOn w:val="DefaultParagraphFont"/>
    <w:link w:val="Heading5"/>
    <w:rsid w:val="005D5DF0"/>
    <w:rPr>
      <w:b/>
      <w:sz w:val="24"/>
      <w:lang w:val="fr-FR" w:eastAsia="en-US"/>
    </w:rPr>
  </w:style>
  <w:style w:type="character" w:customStyle="1" w:styleId="Heading6Char">
    <w:name w:val="Heading 6 Char"/>
    <w:basedOn w:val="DefaultParagraphFont"/>
    <w:link w:val="Heading6"/>
    <w:rsid w:val="005D5DF0"/>
    <w:rPr>
      <w:b/>
      <w:sz w:val="24"/>
      <w:lang w:val="fr-FR" w:eastAsia="en-US"/>
    </w:rPr>
  </w:style>
  <w:style w:type="character" w:customStyle="1" w:styleId="Heading7Char">
    <w:name w:val="Heading 7 Char"/>
    <w:basedOn w:val="DefaultParagraphFont"/>
    <w:link w:val="Heading7"/>
    <w:rsid w:val="005D5DF0"/>
    <w:rPr>
      <w:b/>
      <w:sz w:val="24"/>
      <w:lang w:val="fr-FR" w:eastAsia="en-US"/>
    </w:rPr>
  </w:style>
  <w:style w:type="character" w:customStyle="1" w:styleId="Heading8Char">
    <w:name w:val="Heading 8 Char"/>
    <w:basedOn w:val="DefaultParagraphFont"/>
    <w:link w:val="Heading8"/>
    <w:rsid w:val="005D5DF0"/>
    <w:rPr>
      <w:b/>
      <w:sz w:val="24"/>
      <w:lang w:val="fr-FR" w:eastAsia="en-US"/>
    </w:rPr>
  </w:style>
  <w:style w:type="character" w:customStyle="1" w:styleId="Heading9Char">
    <w:name w:val="Heading 9 Char"/>
    <w:basedOn w:val="DefaultParagraphFont"/>
    <w:link w:val="Heading9"/>
    <w:rsid w:val="005D5DF0"/>
    <w:rPr>
      <w:b/>
      <w:sz w:val="24"/>
      <w:lang w:val="fr-FR" w:eastAsia="en-US"/>
    </w:rPr>
  </w:style>
  <w:style w:type="character" w:customStyle="1" w:styleId="FooterChar">
    <w:name w:val="Footer Char"/>
    <w:basedOn w:val="DefaultParagraphFont"/>
    <w:link w:val="Footer"/>
    <w:rsid w:val="005D5DF0"/>
    <w:rPr>
      <w:noProof/>
      <w:sz w:val="18"/>
      <w:lang w:val="fr-FR" w:eastAsia="en-US"/>
    </w:rPr>
  </w:style>
  <w:style w:type="character" w:customStyle="1" w:styleId="enumlev10">
    <w:name w:val="enumlev1 Знак"/>
    <w:link w:val="enumlev1"/>
    <w:locked/>
    <w:rsid w:val="005D5DF0"/>
    <w:rPr>
      <w:sz w:val="24"/>
      <w:lang w:val="fr-FR" w:eastAsia="en-US"/>
    </w:rPr>
  </w:style>
  <w:style w:type="character" w:customStyle="1" w:styleId="HeadingbChar">
    <w:name w:val="Heading_b Char"/>
    <w:link w:val="Headingb"/>
    <w:locked/>
    <w:rsid w:val="005D5DF0"/>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5DF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D5DF0"/>
    <w:rPr>
      <w:b/>
      <w:sz w:val="24"/>
      <w:lang w:val="fr-FR" w:eastAsia="en-US"/>
    </w:rPr>
  </w:style>
  <w:style w:type="character" w:customStyle="1" w:styleId="HeaderChar">
    <w:name w:val="Header Char"/>
    <w:basedOn w:val="DefaultParagraphFont"/>
    <w:link w:val="Header"/>
    <w:rsid w:val="005D5DF0"/>
    <w:rPr>
      <w:sz w:val="24"/>
      <w:lang w:val="fr-FR" w:eastAsia="en-US"/>
    </w:rPr>
  </w:style>
  <w:style w:type="character" w:styleId="Hyperlink">
    <w:name w:val="Hyperlink"/>
    <w:basedOn w:val="DefaultParagraphFont"/>
    <w:rsid w:val="005D5DF0"/>
    <w:rPr>
      <w:color w:val="0000FF"/>
      <w:u w:val="single"/>
    </w:rPr>
  </w:style>
  <w:style w:type="character" w:customStyle="1" w:styleId="FootnoteTextChar">
    <w:name w:val="Footnote Text Char"/>
    <w:basedOn w:val="DefaultParagraphFont"/>
    <w:link w:val="FootnoteText"/>
    <w:rsid w:val="005D5DF0"/>
    <w:rPr>
      <w:sz w:val="22"/>
      <w:lang w:val="fr-FR" w:eastAsia="en-US"/>
    </w:rPr>
  </w:style>
  <w:style w:type="character" w:customStyle="1" w:styleId="Heading2Char">
    <w:name w:val="Heading 2 Char"/>
    <w:basedOn w:val="DefaultParagraphFont"/>
    <w:link w:val="Heading2"/>
    <w:rsid w:val="005D5DF0"/>
    <w:rPr>
      <w:b/>
      <w:sz w:val="24"/>
      <w:lang w:val="fr-FR" w:eastAsia="en-US"/>
    </w:rPr>
  </w:style>
  <w:style w:type="character" w:customStyle="1" w:styleId="Heading3Char">
    <w:name w:val="Heading 3 Char"/>
    <w:basedOn w:val="DefaultParagraphFont"/>
    <w:link w:val="Heading3"/>
    <w:rsid w:val="005D5DF0"/>
    <w:rPr>
      <w:b/>
      <w:sz w:val="24"/>
      <w:lang w:val="fr-FR" w:eastAsia="en-US"/>
    </w:rPr>
  </w:style>
  <w:style w:type="character" w:customStyle="1" w:styleId="Heading4Char">
    <w:name w:val="Heading 4 Char"/>
    <w:basedOn w:val="DefaultParagraphFont"/>
    <w:link w:val="Heading4"/>
    <w:rsid w:val="005D5DF0"/>
    <w:rPr>
      <w:b/>
      <w:sz w:val="24"/>
      <w:lang w:val="fr-FR" w:eastAsia="en-US"/>
    </w:rPr>
  </w:style>
  <w:style w:type="character" w:customStyle="1" w:styleId="Heading5Char">
    <w:name w:val="Heading 5 Char"/>
    <w:basedOn w:val="DefaultParagraphFont"/>
    <w:link w:val="Heading5"/>
    <w:rsid w:val="005D5DF0"/>
    <w:rPr>
      <w:b/>
      <w:sz w:val="24"/>
      <w:lang w:val="fr-FR" w:eastAsia="en-US"/>
    </w:rPr>
  </w:style>
  <w:style w:type="character" w:customStyle="1" w:styleId="Heading6Char">
    <w:name w:val="Heading 6 Char"/>
    <w:basedOn w:val="DefaultParagraphFont"/>
    <w:link w:val="Heading6"/>
    <w:rsid w:val="005D5DF0"/>
    <w:rPr>
      <w:b/>
      <w:sz w:val="24"/>
      <w:lang w:val="fr-FR" w:eastAsia="en-US"/>
    </w:rPr>
  </w:style>
  <w:style w:type="character" w:customStyle="1" w:styleId="Heading7Char">
    <w:name w:val="Heading 7 Char"/>
    <w:basedOn w:val="DefaultParagraphFont"/>
    <w:link w:val="Heading7"/>
    <w:rsid w:val="005D5DF0"/>
    <w:rPr>
      <w:b/>
      <w:sz w:val="24"/>
      <w:lang w:val="fr-FR" w:eastAsia="en-US"/>
    </w:rPr>
  </w:style>
  <w:style w:type="character" w:customStyle="1" w:styleId="Heading8Char">
    <w:name w:val="Heading 8 Char"/>
    <w:basedOn w:val="DefaultParagraphFont"/>
    <w:link w:val="Heading8"/>
    <w:rsid w:val="005D5DF0"/>
    <w:rPr>
      <w:b/>
      <w:sz w:val="24"/>
      <w:lang w:val="fr-FR" w:eastAsia="en-US"/>
    </w:rPr>
  </w:style>
  <w:style w:type="character" w:customStyle="1" w:styleId="Heading9Char">
    <w:name w:val="Heading 9 Char"/>
    <w:basedOn w:val="DefaultParagraphFont"/>
    <w:link w:val="Heading9"/>
    <w:rsid w:val="005D5DF0"/>
    <w:rPr>
      <w:b/>
      <w:sz w:val="24"/>
      <w:lang w:val="fr-FR" w:eastAsia="en-US"/>
    </w:rPr>
  </w:style>
  <w:style w:type="character" w:customStyle="1" w:styleId="FooterChar">
    <w:name w:val="Footer Char"/>
    <w:basedOn w:val="DefaultParagraphFont"/>
    <w:link w:val="Footer"/>
    <w:rsid w:val="005D5DF0"/>
    <w:rPr>
      <w:noProof/>
      <w:sz w:val="18"/>
      <w:lang w:val="fr-FR" w:eastAsia="en-US"/>
    </w:rPr>
  </w:style>
  <w:style w:type="character" w:customStyle="1" w:styleId="enumlev10">
    <w:name w:val="enumlev1 Знак"/>
    <w:link w:val="enumlev1"/>
    <w:locked/>
    <w:rsid w:val="005D5DF0"/>
    <w:rPr>
      <w:sz w:val="24"/>
      <w:lang w:val="fr-FR" w:eastAsia="en-US"/>
    </w:rPr>
  </w:style>
  <w:style w:type="character" w:customStyle="1" w:styleId="HeadingbChar">
    <w:name w:val="Heading_b Char"/>
    <w:link w:val="Headingb"/>
    <w:locked/>
    <w:rsid w:val="005D5DF0"/>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8.xml"/><Relationship Id="rId10" Type="http://schemas.openxmlformats.org/officeDocument/2006/relationships/hyperlink" Target="http://www.itu.int/ITU-R/go/patents/fr"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40</TotalTime>
  <Pages>20</Pages>
  <Words>8734</Words>
  <Characters>45556</Characters>
  <Application>Microsoft Office Word</Application>
  <DocSecurity>0</DocSecurity>
  <Lines>379</Lines>
  <Paragraphs>108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Brice, Corinne</cp:lastModifiedBy>
  <cp:revision>13</cp:revision>
  <cp:lastPrinted>2005-02-10T15:54:00Z</cp:lastPrinted>
  <dcterms:created xsi:type="dcterms:W3CDTF">2012-06-22T06:26:00Z</dcterms:created>
  <dcterms:modified xsi:type="dcterms:W3CDTF">2012-06-22T14:25:00Z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