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1231E" w14:textId="77777777" w:rsidR="00EF5BF3" w:rsidRDefault="00EF5BF3">
      <w:pPr>
        <w:rPr>
          <w:lang w:val="en-GB"/>
        </w:rPr>
      </w:pPr>
    </w:p>
    <w:p w14:paraId="3F4CDD63" w14:textId="77777777" w:rsidR="00EF5BF3" w:rsidRDefault="00EF5BF3">
      <w:pPr>
        <w:rPr>
          <w:lang w:val="en-GB"/>
        </w:rPr>
      </w:pPr>
    </w:p>
    <w:p w14:paraId="02D5EE3E" w14:textId="77777777" w:rsidR="00EF5BF3" w:rsidRDefault="00EF5BF3">
      <w:pPr>
        <w:rPr>
          <w:lang w:val="en-GB"/>
        </w:rPr>
      </w:pPr>
    </w:p>
    <w:p w14:paraId="64217ABE" w14:textId="77777777" w:rsidR="00EF5BF3" w:rsidRDefault="00EF5BF3">
      <w:pPr>
        <w:rPr>
          <w:lang w:val="en-GB"/>
        </w:rPr>
      </w:pPr>
    </w:p>
    <w:p w14:paraId="736EAA08" w14:textId="77777777" w:rsidR="00EF5BF3" w:rsidRDefault="00EF5BF3">
      <w:pPr>
        <w:rPr>
          <w:lang w:val="en-GB"/>
        </w:rPr>
      </w:pPr>
    </w:p>
    <w:p w14:paraId="777DF209" w14:textId="77777777" w:rsidR="00EF5BF3" w:rsidRDefault="00EF5BF3">
      <w:pPr>
        <w:rPr>
          <w:lang w:val="en-GB"/>
        </w:rPr>
      </w:pPr>
    </w:p>
    <w:p w14:paraId="35BB2A4C" w14:textId="77777777" w:rsidR="00EF5BF3" w:rsidRDefault="00EF5BF3">
      <w:pPr>
        <w:rPr>
          <w:lang w:val="en-GB"/>
        </w:rPr>
      </w:pPr>
    </w:p>
    <w:p w14:paraId="68527628" w14:textId="77777777" w:rsidR="00EF5BF3" w:rsidRDefault="00EF5BF3">
      <w:pPr>
        <w:rPr>
          <w:lang w:val="en-GB"/>
        </w:rPr>
      </w:pPr>
    </w:p>
    <w:p w14:paraId="3E8BC07C" w14:textId="77777777" w:rsidR="00EF5BF3" w:rsidRDefault="00EF5BF3">
      <w:pPr>
        <w:rPr>
          <w:lang w:val="en-GB"/>
        </w:rPr>
      </w:pPr>
    </w:p>
    <w:p w14:paraId="12643ABA" w14:textId="77777777" w:rsidR="00EF5BF3" w:rsidRDefault="00EF5BF3">
      <w:pPr>
        <w:rPr>
          <w:lang w:val="en-GB"/>
        </w:rPr>
      </w:pPr>
    </w:p>
    <w:p w14:paraId="2A2DB7B4" w14:textId="77777777" w:rsidR="00EF5BF3" w:rsidRDefault="00EF5BF3">
      <w:pPr>
        <w:rPr>
          <w:lang w:val="en-GB"/>
        </w:rPr>
      </w:pPr>
    </w:p>
    <w:p w14:paraId="36ED4ED4" w14:textId="77777777" w:rsidR="00EF5BF3" w:rsidRDefault="00EF5BF3">
      <w:pPr>
        <w:rPr>
          <w:lang w:val="en-GB"/>
        </w:rPr>
      </w:pPr>
    </w:p>
    <w:p w14:paraId="48F5FE12" w14:textId="77777777" w:rsidR="00EF5BF3" w:rsidRDefault="00EF5BF3">
      <w:pPr>
        <w:rPr>
          <w:lang w:val="en-GB"/>
        </w:rPr>
      </w:pPr>
    </w:p>
    <w:tbl>
      <w:tblPr>
        <w:tblW w:w="10089" w:type="dxa"/>
        <w:tblLook w:val="04A0" w:firstRow="1" w:lastRow="0" w:firstColumn="1" w:lastColumn="0" w:noHBand="0" w:noVBand="1"/>
      </w:tblPr>
      <w:tblGrid>
        <w:gridCol w:w="10089"/>
      </w:tblGrid>
      <w:tr w:rsidR="00EF5BF3" w14:paraId="59DC9D3E" w14:textId="77777777">
        <w:tc>
          <w:tcPr>
            <w:tcW w:w="10089" w:type="dxa"/>
          </w:tcPr>
          <w:p w14:paraId="2020D753" w14:textId="77777777" w:rsidR="00EF5BF3" w:rsidRDefault="00EF5BF3">
            <w:pPr>
              <w:spacing w:before="380" w:line="280" w:lineRule="exact"/>
              <w:jc w:val="right"/>
              <w:rPr>
                <w:rFonts w:ascii="Tahoma" w:hAnsi="Tahoma" w:cs="Tahoma"/>
                <w:b/>
                <w:bCs/>
                <w:iCs/>
                <w:color w:val="243285"/>
                <w:sz w:val="32"/>
                <w:szCs w:val="32"/>
                <w:lang w:val="en-GB"/>
              </w:rPr>
            </w:pPr>
          </w:p>
          <w:p w14:paraId="26F15C60" w14:textId="5B39D88E" w:rsidR="00EF5BF3" w:rsidRDefault="00551D2B">
            <w:pPr>
              <w:spacing w:before="380" w:line="280" w:lineRule="exact"/>
              <w:jc w:val="right"/>
              <w:rPr>
                <w:rFonts w:ascii="Tahoma" w:hAnsi="Tahoma" w:cs="Tahoma"/>
                <w:b/>
                <w:bCs/>
                <w:iCs/>
                <w:color w:val="243285"/>
                <w:sz w:val="36"/>
                <w:szCs w:val="36"/>
                <w:lang w:val="en-GB"/>
              </w:rPr>
            </w:pPr>
            <w:r>
              <w:rPr>
                <w:rFonts w:ascii="Tahoma" w:hAnsi="Tahoma" w:cs="Tahoma"/>
                <w:b/>
                <w:bCs/>
                <w:iCs/>
                <w:color w:val="243285"/>
                <w:sz w:val="36"/>
                <w:szCs w:val="36"/>
              </w:rPr>
              <w:t xml:space="preserve">ITU-R  </w:t>
            </w:r>
            <w:r>
              <w:rPr>
                <w:rFonts w:ascii="Tahoma" w:hAnsi="Tahoma" w:cs="Tahoma"/>
                <w:b/>
                <w:bCs/>
                <w:iCs/>
                <w:color w:val="243285"/>
                <w:sz w:val="36"/>
                <w:szCs w:val="36"/>
                <w:lang w:eastAsia="zh-CN"/>
              </w:rPr>
              <w:t>M</w:t>
            </w:r>
            <w:r>
              <w:rPr>
                <w:rFonts w:ascii="Tahoma" w:hAnsi="Tahoma" w:cs="Tahoma"/>
                <w:b/>
                <w:bCs/>
                <w:iCs/>
                <w:color w:val="243285"/>
                <w:sz w:val="36"/>
                <w:szCs w:val="36"/>
              </w:rPr>
              <w:t>.</w:t>
            </w:r>
            <w:r>
              <w:rPr>
                <w:rFonts w:ascii="Tahoma" w:eastAsia="SimHei" w:hAnsi="Tahoma" w:cs="Tahoma"/>
                <w:b/>
                <w:bCs/>
                <w:iCs/>
                <w:color w:val="243285"/>
                <w:sz w:val="36"/>
                <w:szCs w:val="36"/>
              </w:rPr>
              <w:t>1902</w:t>
            </w:r>
            <w:r w:rsidR="0047509A">
              <w:rPr>
                <w:rFonts w:ascii="Tahoma" w:eastAsia="SimHei" w:hAnsi="Tahoma" w:cs="Tahoma"/>
                <w:b/>
                <w:bCs/>
                <w:iCs/>
                <w:color w:val="243285"/>
                <w:sz w:val="36"/>
                <w:szCs w:val="36"/>
              </w:rPr>
              <w:t>-2</w:t>
            </w:r>
            <w:r>
              <w:rPr>
                <w:rFonts w:ascii="Tahoma" w:hAnsi="Tahoma" w:cs="Tahoma"/>
                <w:b/>
                <w:bCs/>
                <w:iCs/>
                <w:color w:val="243285"/>
                <w:sz w:val="36"/>
                <w:szCs w:val="36"/>
                <w:lang w:eastAsia="zh-CN"/>
              </w:rPr>
              <w:t xml:space="preserve"> </w:t>
            </w:r>
            <w:r>
              <w:rPr>
                <w:rFonts w:ascii="SimHei" w:eastAsia="SimHei" w:hAnsi="Tahoma" w:cs="Tahoma" w:hint="eastAsia"/>
                <w:b/>
                <w:bCs/>
                <w:iCs/>
                <w:color w:val="243285"/>
                <w:sz w:val="36"/>
                <w:szCs w:val="36"/>
                <w:lang w:eastAsia="zh-CN"/>
              </w:rPr>
              <w:t>建议书</w:t>
            </w:r>
          </w:p>
          <w:p w14:paraId="1471A4D2" w14:textId="77777777" w:rsidR="00EF5BF3" w:rsidRDefault="00551D2B">
            <w:pPr>
              <w:spacing w:before="80" w:line="280" w:lineRule="exact"/>
              <w:jc w:val="right"/>
              <w:rPr>
                <w:rFonts w:ascii="Tahoma" w:hAnsi="Tahoma" w:cs="Tahoma"/>
                <w:b/>
                <w:bCs/>
                <w:iCs/>
                <w:color w:val="243285"/>
                <w:szCs w:val="24"/>
                <w:lang w:val="en-GB"/>
              </w:rPr>
            </w:pPr>
            <w:r>
              <w:rPr>
                <w:rFonts w:ascii="Tahoma" w:hAnsi="Tahoma" w:cs="Tahoma"/>
                <w:b/>
                <w:bCs/>
                <w:iCs/>
                <w:color w:val="243285"/>
                <w:szCs w:val="24"/>
                <w:lang w:val="en-GB"/>
              </w:rPr>
              <w:t>(01/2022)</w:t>
            </w:r>
          </w:p>
          <w:p w14:paraId="66CCCCE0" w14:textId="77777777" w:rsidR="00EF5BF3" w:rsidRDefault="00EF5BF3">
            <w:pPr>
              <w:spacing w:before="80" w:line="280" w:lineRule="exact"/>
              <w:jc w:val="right"/>
              <w:rPr>
                <w:rFonts w:ascii="Tahoma" w:hAnsi="Tahoma" w:cs="Tahoma"/>
                <w:b/>
                <w:bCs/>
                <w:iCs/>
                <w:color w:val="243285"/>
                <w:szCs w:val="24"/>
                <w:lang w:val="en-GB"/>
              </w:rPr>
            </w:pPr>
          </w:p>
        </w:tc>
      </w:tr>
      <w:tr w:rsidR="00EF5BF3" w14:paraId="4DB4EDE9" w14:textId="77777777">
        <w:tc>
          <w:tcPr>
            <w:tcW w:w="10089" w:type="dxa"/>
          </w:tcPr>
          <w:p w14:paraId="7F8934A0" w14:textId="56DB29E8" w:rsidR="00EF5BF3" w:rsidRDefault="00551D2B">
            <w:pPr>
              <w:spacing w:before="80" w:line="500" w:lineRule="exact"/>
              <w:jc w:val="right"/>
              <w:rPr>
                <w:rFonts w:ascii="Tahoma" w:hAnsi="Tahoma" w:cs="Tahoma"/>
                <w:b/>
                <w:bCs/>
                <w:iCs/>
                <w:color w:val="243285"/>
                <w:sz w:val="44"/>
                <w:szCs w:val="44"/>
                <w:lang w:val="en-GB" w:eastAsia="zh-CN"/>
              </w:rPr>
            </w:pPr>
            <w:r>
              <w:rPr>
                <w:rFonts w:ascii="Tahoma" w:eastAsia="SimHei" w:hAnsi="Tahoma" w:cs="Tahoma"/>
                <w:b/>
                <w:bCs/>
                <w:iCs/>
                <w:color w:val="243285"/>
                <w:sz w:val="44"/>
                <w:szCs w:val="44"/>
                <w:lang w:val="en-US" w:eastAsia="zh-CN"/>
              </w:rPr>
              <w:t>在</w:t>
            </w:r>
            <w:r>
              <w:rPr>
                <w:rFonts w:ascii="Tahoma" w:eastAsia="SimHei" w:hAnsi="Tahoma" w:cs="Tahoma"/>
                <w:b/>
                <w:bCs/>
                <w:iCs/>
                <w:color w:val="243285"/>
                <w:sz w:val="44"/>
                <w:szCs w:val="44"/>
                <w:lang w:val="en-US" w:eastAsia="zh-CN"/>
              </w:rPr>
              <w:t>1 215-1 300 MHz</w:t>
            </w:r>
            <w:r>
              <w:rPr>
                <w:rFonts w:ascii="Tahoma" w:eastAsia="SimHei" w:hAnsi="Tahoma" w:cs="Tahoma"/>
                <w:b/>
                <w:bCs/>
                <w:iCs/>
                <w:color w:val="243285"/>
                <w:sz w:val="44"/>
                <w:szCs w:val="44"/>
                <w:lang w:val="en-US" w:eastAsia="zh-CN"/>
              </w:rPr>
              <w:t>频段</w:t>
            </w:r>
            <w:r>
              <w:rPr>
                <w:rFonts w:ascii="Tahoma" w:eastAsia="SimHei" w:hAnsi="Tahoma" w:cs="Tahoma"/>
                <w:b/>
                <w:bCs/>
                <w:iCs/>
                <w:color w:val="243285"/>
                <w:sz w:val="44"/>
                <w:szCs w:val="44"/>
                <w:lang w:val="en-GB" w:eastAsia="zh-CN"/>
              </w:rPr>
              <w:t>内运行</w:t>
            </w:r>
            <w:r>
              <w:rPr>
                <w:rFonts w:ascii="Tahoma" w:eastAsia="SimHei" w:hAnsi="Tahoma" w:cs="Tahoma"/>
                <w:b/>
                <w:bCs/>
                <w:iCs/>
                <w:color w:val="243285"/>
                <w:sz w:val="44"/>
                <w:szCs w:val="44"/>
                <w:lang w:val="en-US" w:eastAsia="zh-CN"/>
              </w:rPr>
              <w:t>的</w:t>
            </w:r>
            <w:r>
              <w:rPr>
                <w:rFonts w:ascii="Tahoma" w:eastAsia="SimHei" w:hAnsi="Tahoma" w:cs="Tahoma"/>
                <w:b/>
                <w:bCs/>
                <w:iCs/>
                <w:color w:val="243285"/>
                <w:sz w:val="44"/>
                <w:szCs w:val="44"/>
                <w:lang w:val="en-US" w:eastAsia="zh-CN"/>
              </w:rPr>
              <w:br/>
            </w:r>
            <w:r>
              <w:rPr>
                <w:rFonts w:ascii="Tahoma" w:eastAsia="SimHei" w:hAnsi="Tahoma" w:cs="Tahoma"/>
                <w:b/>
                <w:bCs/>
                <w:iCs/>
                <w:color w:val="243285"/>
                <w:sz w:val="44"/>
                <w:szCs w:val="44"/>
                <w:lang w:val="en-US" w:eastAsia="zh-CN"/>
              </w:rPr>
              <w:t>卫星无线电导航业务</w:t>
            </w:r>
            <w:r w:rsidR="00F21BD6">
              <w:rPr>
                <w:rFonts w:ascii="Tahoma" w:eastAsia="SimHei" w:hAnsi="Tahoma" w:cs="Tahoma" w:hint="eastAsia"/>
                <w:b/>
                <w:bCs/>
                <w:iCs/>
                <w:color w:val="243285"/>
                <w:sz w:val="44"/>
                <w:szCs w:val="44"/>
                <w:lang w:val="en-US" w:eastAsia="zh-CN"/>
              </w:rPr>
              <w:t>（</w:t>
            </w:r>
            <w:r>
              <w:rPr>
                <w:rFonts w:ascii="Tahoma" w:eastAsia="SimHei" w:hAnsi="Tahoma" w:cs="Tahoma"/>
                <w:b/>
                <w:bCs/>
                <w:iCs/>
                <w:color w:val="243285"/>
                <w:sz w:val="44"/>
                <w:szCs w:val="44"/>
                <w:lang w:val="en-US" w:eastAsia="zh-CN"/>
              </w:rPr>
              <w:t>空对地</w:t>
            </w:r>
            <w:r w:rsidR="00F21BD6">
              <w:rPr>
                <w:rFonts w:ascii="Tahoma" w:eastAsia="SimHei" w:hAnsi="Tahoma" w:cs="Tahoma" w:hint="eastAsia"/>
                <w:b/>
                <w:bCs/>
                <w:iCs/>
                <w:color w:val="243285"/>
                <w:sz w:val="44"/>
                <w:szCs w:val="44"/>
                <w:lang w:val="en-US" w:eastAsia="zh-CN"/>
              </w:rPr>
              <w:t>）</w:t>
            </w:r>
            <w:r>
              <w:rPr>
                <w:rFonts w:ascii="Tahoma" w:eastAsia="SimHei" w:hAnsi="Tahoma" w:cs="Tahoma"/>
                <w:b/>
                <w:bCs/>
                <w:iCs/>
                <w:color w:val="243285"/>
                <w:sz w:val="44"/>
                <w:szCs w:val="44"/>
                <w:lang w:val="en-US" w:eastAsia="zh-CN"/>
              </w:rPr>
              <w:br/>
            </w:r>
            <w:r>
              <w:rPr>
                <w:rFonts w:ascii="Tahoma" w:eastAsia="SimHei" w:hAnsi="Tahoma" w:cs="Tahoma"/>
                <w:b/>
                <w:bCs/>
                <w:iCs/>
                <w:color w:val="243285"/>
                <w:sz w:val="44"/>
                <w:szCs w:val="44"/>
                <w:lang w:val="en-US" w:eastAsia="zh-CN"/>
              </w:rPr>
              <w:t>接收地球站的特性和保护标准</w:t>
            </w:r>
          </w:p>
        </w:tc>
      </w:tr>
      <w:tr w:rsidR="00EF5BF3" w14:paraId="10ECEA4F" w14:textId="77777777">
        <w:tc>
          <w:tcPr>
            <w:tcW w:w="10089" w:type="dxa"/>
          </w:tcPr>
          <w:p w14:paraId="3117F35D" w14:textId="79D3ADF2" w:rsidR="00EF5BF3" w:rsidRDefault="00EF5BF3">
            <w:pPr>
              <w:spacing w:before="80" w:after="180" w:line="360" w:lineRule="exact"/>
              <w:ind w:right="720"/>
              <w:rPr>
                <w:rFonts w:ascii="Tahoma" w:hAnsi="Tahoma" w:cs="Tahoma"/>
                <w:b/>
                <w:bCs/>
                <w:iCs/>
                <w:color w:val="243285"/>
                <w:sz w:val="36"/>
                <w:szCs w:val="36"/>
                <w:lang w:val="en-GB" w:eastAsia="zh-CN"/>
              </w:rPr>
            </w:pPr>
          </w:p>
          <w:p w14:paraId="48C5286E" w14:textId="6AC20D12" w:rsidR="0047509A" w:rsidRDefault="0047509A">
            <w:pPr>
              <w:spacing w:before="80" w:after="180" w:line="360" w:lineRule="exact"/>
              <w:ind w:right="720"/>
              <w:rPr>
                <w:rFonts w:ascii="Tahoma" w:hAnsi="Tahoma" w:cs="Tahoma"/>
                <w:b/>
                <w:bCs/>
                <w:iCs/>
                <w:color w:val="243285"/>
                <w:sz w:val="36"/>
                <w:szCs w:val="36"/>
                <w:lang w:val="en-GB" w:eastAsia="zh-CN"/>
              </w:rPr>
            </w:pPr>
          </w:p>
          <w:p w14:paraId="317C66A6" w14:textId="13FA0E67" w:rsidR="0047509A" w:rsidRDefault="0047509A">
            <w:pPr>
              <w:spacing w:before="80" w:after="180" w:line="360" w:lineRule="exact"/>
              <w:ind w:right="720"/>
              <w:rPr>
                <w:rFonts w:ascii="Tahoma" w:hAnsi="Tahoma" w:cs="Tahoma"/>
                <w:b/>
                <w:bCs/>
                <w:iCs/>
                <w:color w:val="243285"/>
                <w:sz w:val="36"/>
                <w:szCs w:val="36"/>
                <w:lang w:val="en-GB" w:eastAsia="zh-CN"/>
              </w:rPr>
            </w:pPr>
          </w:p>
          <w:p w14:paraId="7B073D9C" w14:textId="77777777" w:rsidR="0047509A" w:rsidRDefault="0047509A">
            <w:pPr>
              <w:spacing w:before="80" w:after="180" w:line="360" w:lineRule="exact"/>
              <w:ind w:right="720"/>
              <w:rPr>
                <w:rFonts w:ascii="Tahoma" w:hAnsi="Tahoma" w:cs="Tahoma"/>
                <w:b/>
                <w:bCs/>
                <w:iCs/>
                <w:color w:val="243285"/>
                <w:sz w:val="36"/>
                <w:szCs w:val="36"/>
                <w:lang w:val="en-GB" w:eastAsia="zh-CN"/>
              </w:rPr>
            </w:pPr>
          </w:p>
          <w:p w14:paraId="7EE009F4" w14:textId="77777777" w:rsidR="00EF5BF3" w:rsidRDefault="00551D2B">
            <w:pPr>
              <w:spacing w:after="180"/>
              <w:jc w:val="right"/>
              <w:rPr>
                <w:rFonts w:ascii="Tahoma" w:eastAsiaTheme="minorEastAsia" w:hAnsi="Tahoma" w:cs="Tahoma"/>
                <w:b/>
                <w:bCs/>
                <w:iCs/>
                <w:color w:val="243285"/>
                <w:sz w:val="36"/>
                <w:szCs w:val="36"/>
                <w:lang w:val="en-US" w:eastAsia="zh-CN"/>
              </w:rPr>
            </w:pPr>
            <w:r>
              <w:rPr>
                <w:rFonts w:ascii="Tahoma" w:eastAsiaTheme="minorEastAsia" w:hAnsi="Tahoma" w:cs="Tahoma"/>
                <w:b/>
                <w:bCs/>
                <w:iCs/>
                <w:color w:val="243285"/>
                <w:sz w:val="36"/>
                <w:szCs w:val="36"/>
                <w:lang w:val="en-US" w:eastAsia="zh-CN"/>
              </w:rPr>
              <w:t>M</w:t>
            </w:r>
            <w:r>
              <w:rPr>
                <w:rFonts w:ascii="SimHei" w:hAnsi="Tahoma" w:cs="Tahoma" w:hint="eastAsia"/>
                <w:b/>
                <w:bCs/>
                <w:iCs/>
                <w:color w:val="243285"/>
                <w:sz w:val="36"/>
                <w:szCs w:val="36"/>
                <w:lang w:val="en-US" w:eastAsia="zh-CN"/>
              </w:rPr>
              <w:t>系列</w:t>
            </w:r>
          </w:p>
          <w:p w14:paraId="73EAC74E" w14:textId="77777777" w:rsidR="00EF5BF3" w:rsidRDefault="00551D2B">
            <w:pPr>
              <w:spacing w:before="80" w:line="360" w:lineRule="exact"/>
              <w:jc w:val="right"/>
              <w:rPr>
                <w:rFonts w:ascii="Tahoma" w:hAnsi="Tahoma" w:cs="Tahoma"/>
                <w:b/>
                <w:bCs/>
                <w:iCs/>
                <w:color w:val="243285"/>
                <w:sz w:val="36"/>
                <w:szCs w:val="36"/>
                <w:lang w:val="en-GB" w:eastAsia="zh-CN"/>
              </w:rPr>
            </w:pPr>
            <w:r>
              <w:rPr>
                <w:rFonts w:ascii="SimHei" w:hAnsi="Tahoma" w:cs="Tahoma" w:hint="eastAsia"/>
                <w:b/>
                <w:bCs/>
                <w:iCs/>
                <w:color w:val="243285"/>
                <w:sz w:val="36"/>
                <w:szCs w:val="36"/>
                <w:lang w:val="en-US" w:eastAsia="zh-CN"/>
              </w:rPr>
              <w:t>移动、无线电测定、业余</w:t>
            </w:r>
            <w:r>
              <w:rPr>
                <w:rFonts w:ascii="SimHei" w:hAnsi="Tahoma" w:cs="Tahoma"/>
                <w:b/>
                <w:bCs/>
                <w:iCs/>
                <w:color w:val="243285"/>
                <w:sz w:val="36"/>
                <w:szCs w:val="36"/>
                <w:lang w:val="en-US" w:eastAsia="zh-CN"/>
              </w:rPr>
              <w:br/>
            </w:r>
            <w:r>
              <w:rPr>
                <w:rFonts w:ascii="SimHei" w:hAnsi="Tahoma" w:cs="Tahoma" w:hint="eastAsia"/>
                <w:b/>
                <w:bCs/>
                <w:iCs/>
                <w:color w:val="243285"/>
                <w:sz w:val="36"/>
                <w:szCs w:val="36"/>
                <w:lang w:val="en-US" w:eastAsia="zh-CN"/>
              </w:rPr>
              <w:t>无线电以及相关卫星业务</w:t>
            </w:r>
          </w:p>
        </w:tc>
      </w:tr>
    </w:tbl>
    <w:p w14:paraId="6BE58C9F" w14:textId="77777777" w:rsidR="00EF5BF3" w:rsidRDefault="00EF5BF3">
      <w:pPr>
        <w:spacing w:before="80"/>
        <w:rPr>
          <w:i/>
          <w:sz w:val="22"/>
          <w:lang w:val="en-GB" w:eastAsia="zh-CN"/>
        </w:rPr>
      </w:pPr>
    </w:p>
    <w:p w14:paraId="6050AB3E" w14:textId="77777777" w:rsidR="00EF5BF3" w:rsidRDefault="00EF5BF3">
      <w:pPr>
        <w:spacing w:before="80"/>
        <w:rPr>
          <w:i/>
          <w:sz w:val="22"/>
          <w:lang w:val="en-GB" w:eastAsia="zh-CN"/>
        </w:rPr>
      </w:pPr>
    </w:p>
    <w:p w14:paraId="11C6508E" w14:textId="77777777" w:rsidR="00EF5BF3" w:rsidRDefault="00EF5BF3">
      <w:pPr>
        <w:spacing w:before="80"/>
        <w:rPr>
          <w:i/>
          <w:sz w:val="22"/>
          <w:lang w:val="en-GB" w:eastAsia="zh-CN"/>
        </w:rPr>
      </w:pPr>
    </w:p>
    <w:p w14:paraId="000D01B3" w14:textId="77777777" w:rsidR="00EF5BF3" w:rsidRDefault="00EF5BF3">
      <w:pPr>
        <w:spacing w:before="80"/>
        <w:rPr>
          <w:i/>
          <w:sz w:val="22"/>
          <w:lang w:val="en-GB" w:eastAsia="zh-CN"/>
        </w:rPr>
      </w:pPr>
    </w:p>
    <w:p w14:paraId="0E06E6A7" w14:textId="77777777" w:rsidR="00EF5BF3" w:rsidRDefault="00EF5BF3">
      <w:pPr>
        <w:spacing w:before="80"/>
        <w:rPr>
          <w:i/>
          <w:sz w:val="22"/>
          <w:lang w:val="en-GB" w:eastAsia="zh-CN"/>
        </w:rPr>
      </w:pPr>
    </w:p>
    <w:p w14:paraId="39CB581B" w14:textId="77777777" w:rsidR="00EF5BF3" w:rsidRDefault="00EF5BF3">
      <w:pPr>
        <w:spacing w:before="80"/>
        <w:rPr>
          <w:i/>
          <w:sz w:val="22"/>
          <w:lang w:val="en-GB" w:eastAsia="zh-CN"/>
        </w:rPr>
      </w:pPr>
    </w:p>
    <w:p w14:paraId="48FFD739" w14:textId="77777777" w:rsidR="00EF5BF3" w:rsidRDefault="00EF5BF3">
      <w:pPr>
        <w:rPr>
          <w:rFonts w:ascii="Palatino Linotype" w:hAnsi="Palatino Linotype"/>
          <w:lang w:val="en-GB" w:eastAsia="zh-CN"/>
        </w:rPr>
        <w:sectPr w:rsidR="00EF5BF3">
          <w:headerReference w:type="even" r:id="rId8"/>
          <w:headerReference w:type="default" r:id="rId9"/>
          <w:headerReference w:type="first" r:id="rId10"/>
          <w:pgSz w:w="11907" w:h="16840"/>
          <w:pgMar w:top="1089" w:right="1089" w:bottom="284" w:left="1089" w:header="567" w:footer="284" w:gutter="0"/>
          <w:pgNumType w:start="1"/>
          <w:cols w:space="720"/>
        </w:sectPr>
      </w:pPr>
    </w:p>
    <w:p w14:paraId="19F07E0D" w14:textId="77777777" w:rsidR="00EF5BF3" w:rsidRDefault="00551D2B" w:rsidP="0047509A">
      <w:pPr>
        <w:pStyle w:val="Heading1"/>
        <w:jc w:val="center"/>
        <w:rPr>
          <w:rFonts w:eastAsiaTheme="minorEastAsia"/>
          <w:b w:val="0"/>
          <w:szCs w:val="24"/>
          <w:lang w:val="en-US" w:eastAsia="zh-CN"/>
        </w:rPr>
      </w:pPr>
      <w:bookmarkStart w:id="0" w:name="c2tope"/>
      <w:bookmarkEnd w:id="0"/>
      <w:r>
        <w:rPr>
          <w:rFonts w:eastAsiaTheme="minorEastAsia" w:hint="eastAsia"/>
          <w:szCs w:val="24"/>
          <w:lang w:val="fr-CH" w:eastAsia="zh-CN"/>
        </w:rPr>
        <w:lastRenderedPageBreak/>
        <w:t>前言</w:t>
      </w:r>
    </w:p>
    <w:p w14:paraId="3A20721E" w14:textId="77777777" w:rsidR="00EF5BF3" w:rsidRDefault="00551D2B">
      <w:pPr>
        <w:spacing w:before="240"/>
        <w:ind w:firstLineChars="200" w:firstLine="400"/>
        <w:jc w:val="left"/>
        <w:rPr>
          <w:rFonts w:eastAsiaTheme="minorEastAsia"/>
          <w:sz w:val="20"/>
          <w:lang w:val="en-US" w:eastAsia="zh-CN"/>
        </w:rPr>
      </w:pPr>
      <w:r>
        <w:rPr>
          <w:rFonts w:eastAsiaTheme="minorEastAsia"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09C6C7FC" w14:textId="77777777" w:rsidR="00EF5BF3" w:rsidRDefault="00551D2B">
      <w:pPr>
        <w:spacing w:before="240"/>
        <w:ind w:firstLineChars="200" w:firstLine="400"/>
        <w:jc w:val="left"/>
        <w:rPr>
          <w:rFonts w:eastAsiaTheme="minorEastAsia"/>
          <w:sz w:val="20"/>
          <w:lang w:val="en-US" w:eastAsia="zh-CN"/>
        </w:rPr>
      </w:pPr>
      <w:r>
        <w:rPr>
          <w:rFonts w:eastAsiaTheme="minorEastAsia" w:hint="eastAsia"/>
          <w:sz w:val="20"/>
          <w:lang w:val="en-US" w:eastAsia="zh-CN"/>
        </w:rPr>
        <w:t>无线电通信部门的规则和政策职能由世界或区域无线电通信大会以及无线电通信全会在研究组的支持下履行。</w:t>
      </w:r>
    </w:p>
    <w:p w14:paraId="29F2D548" w14:textId="77777777" w:rsidR="00EF5BF3" w:rsidRDefault="00551D2B" w:rsidP="0047509A">
      <w:pPr>
        <w:pStyle w:val="Heading1"/>
        <w:jc w:val="center"/>
        <w:rPr>
          <w:rFonts w:eastAsiaTheme="minorEastAsia"/>
          <w:b w:val="0"/>
          <w:szCs w:val="24"/>
          <w:lang w:val="fr-CH" w:eastAsia="zh-CN"/>
        </w:rPr>
      </w:pPr>
      <w:r>
        <w:rPr>
          <w:rFonts w:eastAsiaTheme="minorEastAsia" w:hint="eastAsia"/>
          <w:szCs w:val="24"/>
          <w:lang w:val="fr-CH" w:eastAsia="zh-CN"/>
        </w:rPr>
        <w:t>知识产权政策（</w:t>
      </w:r>
      <w:r>
        <w:rPr>
          <w:rFonts w:eastAsiaTheme="minorEastAsia"/>
          <w:szCs w:val="24"/>
          <w:lang w:val="fr-CH" w:eastAsia="zh-CN"/>
        </w:rPr>
        <w:t>IPR</w:t>
      </w:r>
      <w:r>
        <w:rPr>
          <w:rFonts w:eastAsiaTheme="minorEastAsia" w:hint="eastAsia"/>
          <w:szCs w:val="24"/>
          <w:lang w:val="fr-CH" w:eastAsia="zh-CN"/>
        </w:rPr>
        <w:t>）</w:t>
      </w:r>
    </w:p>
    <w:p w14:paraId="63ECF09D" w14:textId="1CA9FC82" w:rsidR="00EF5BF3" w:rsidRDefault="00551D2B">
      <w:pPr>
        <w:spacing w:before="240"/>
        <w:ind w:firstLineChars="200" w:firstLine="400"/>
        <w:jc w:val="left"/>
        <w:rPr>
          <w:sz w:val="22"/>
          <w:lang w:val="fr-CH" w:eastAsia="zh-CN"/>
        </w:rPr>
      </w:pPr>
      <w:r>
        <w:rPr>
          <w:rFonts w:eastAsiaTheme="minorEastAsia"/>
          <w:sz w:val="20"/>
          <w:lang w:val="fr-CH"/>
        </w:rPr>
        <w:t>ITU-R</w:t>
      </w:r>
      <w:r>
        <w:rPr>
          <w:rFonts w:eastAsiaTheme="minorEastAsia" w:hint="eastAsia"/>
          <w:sz w:val="20"/>
          <w:lang w:val="en-US" w:eastAsia="zh-CN"/>
        </w:rPr>
        <w:t>的</w:t>
      </w:r>
      <w:r>
        <w:rPr>
          <w:rFonts w:eastAsiaTheme="minorEastAsia"/>
          <w:sz w:val="20"/>
          <w:lang w:val="fr-CH"/>
        </w:rPr>
        <w:t>IPR</w:t>
      </w:r>
      <w:r>
        <w:rPr>
          <w:rFonts w:eastAsiaTheme="minorEastAsia" w:hint="eastAsia"/>
          <w:sz w:val="20"/>
          <w:lang w:val="en-US" w:eastAsia="zh-CN"/>
        </w:rPr>
        <w:t>政策述于</w:t>
      </w:r>
      <w:r>
        <w:rPr>
          <w:rFonts w:eastAsiaTheme="minorEastAsia"/>
          <w:sz w:val="20"/>
          <w:lang w:val="fr-CH"/>
        </w:rPr>
        <w:t>ITU-R</w:t>
      </w:r>
      <w:r>
        <w:rPr>
          <w:rFonts w:eastAsiaTheme="minorEastAsia" w:hint="eastAsia"/>
          <w:sz w:val="20"/>
          <w:lang w:val="en-US" w:eastAsia="zh-CN"/>
        </w:rPr>
        <w:t>第</w:t>
      </w:r>
      <w:r>
        <w:rPr>
          <w:rFonts w:eastAsiaTheme="minorEastAsia"/>
          <w:sz w:val="20"/>
          <w:lang w:val="fr-CH" w:eastAsia="zh-CN"/>
        </w:rPr>
        <w:t>1</w:t>
      </w:r>
      <w:r>
        <w:rPr>
          <w:rFonts w:eastAsiaTheme="minorEastAsia" w:hint="eastAsia"/>
          <w:sz w:val="20"/>
          <w:lang w:val="en-US" w:eastAsia="zh-CN"/>
        </w:rPr>
        <w:t>号决议中所参引的《</w:t>
      </w:r>
      <w:r>
        <w:rPr>
          <w:rFonts w:eastAsiaTheme="minorEastAsia"/>
          <w:sz w:val="20"/>
          <w:lang w:val="fr-CH" w:eastAsia="zh-CN"/>
        </w:rPr>
        <w:t>ITU-T/ITU-R/ISO/IEC</w:t>
      </w:r>
      <w:r>
        <w:rPr>
          <w:rFonts w:eastAsiaTheme="minorEastAsia" w:hint="eastAsia"/>
          <w:sz w:val="20"/>
          <w:lang w:val="en-US" w:eastAsia="zh-CN"/>
        </w:rPr>
        <w:t>的通用专利政策》。专利持有人用于提交专利声明和许可声明的表格可从</w:t>
      </w:r>
      <w:r w:rsidR="00B02881">
        <w:fldChar w:fldCharType="begin"/>
      </w:r>
      <w:r w:rsidR="0047509A">
        <w:rPr>
          <w:lang w:eastAsia="zh-CN"/>
        </w:rPr>
        <w:instrText>HYPERLINK "http://www.itu.int/ITU-R/go/patents/zh"</w:instrText>
      </w:r>
      <w:r w:rsidR="00B02881">
        <w:fldChar w:fldCharType="separate"/>
      </w:r>
      <w:r w:rsidR="0047509A">
        <w:rPr>
          <w:rFonts w:eastAsiaTheme="minorEastAsia"/>
          <w:color w:val="0000FF"/>
          <w:sz w:val="20"/>
          <w:u w:val="single"/>
          <w:lang w:val="fr-CH" w:eastAsia="zh-CN"/>
        </w:rPr>
        <w:t>http://www.itu.int/ITU-R/go/patents/zh</w:t>
      </w:r>
      <w:r w:rsidR="00B02881">
        <w:rPr>
          <w:rFonts w:eastAsiaTheme="minorEastAsia"/>
          <w:color w:val="0000FF"/>
          <w:sz w:val="20"/>
          <w:u w:val="single"/>
          <w:lang w:val="fr-CH" w:eastAsia="zh-CN"/>
        </w:rPr>
        <w:fldChar w:fldCharType="end"/>
      </w:r>
      <w:r>
        <w:rPr>
          <w:rFonts w:eastAsiaTheme="minorEastAsia" w:hint="eastAsia"/>
          <w:sz w:val="20"/>
          <w:lang w:eastAsia="zh-CN"/>
        </w:rPr>
        <w:t>获得</w:t>
      </w:r>
      <w:r>
        <w:rPr>
          <w:rFonts w:eastAsiaTheme="minorEastAsia" w:hint="eastAsia"/>
          <w:sz w:val="20"/>
          <w:lang w:val="fr-CH" w:eastAsia="zh-CN"/>
        </w:rPr>
        <w:t>，</w:t>
      </w:r>
      <w:r>
        <w:rPr>
          <w:rFonts w:eastAsiaTheme="minorEastAsia" w:hint="eastAsia"/>
          <w:sz w:val="20"/>
          <w:lang w:eastAsia="zh-CN"/>
        </w:rPr>
        <w:t>在此处也可获取</w:t>
      </w:r>
      <w:r>
        <w:rPr>
          <w:rFonts w:eastAsiaTheme="minorEastAsia" w:hint="eastAsia"/>
          <w:sz w:val="20"/>
          <w:lang w:val="en-US" w:eastAsia="zh-CN"/>
        </w:rPr>
        <w:t>《</w:t>
      </w:r>
      <w:r>
        <w:rPr>
          <w:rFonts w:eastAsiaTheme="minorEastAsia"/>
          <w:sz w:val="20"/>
          <w:lang w:val="fr-CH" w:eastAsia="zh-CN"/>
        </w:rPr>
        <w:t>ITU-T/ITU-R/ISO/IEC</w:t>
      </w:r>
      <w:r>
        <w:rPr>
          <w:rFonts w:eastAsiaTheme="minorEastAsia" w:hint="eastAsia"/>
          <w:sz w:val="20"/>
          <w:lang w:val="en-US" w:eastAsia="zh-CN"/>
        </w:rPr>
        <w:t>的通用专利政策实施指南》和</w:t>
      </w:r>
      <w:r>
        <w:rPr>
          <w:rFonts w:eastAsiaTheme="minorEastAsia"/>
          <w:sz w:val="20"/>
          <w:lang w:val="fr-CH" w:eastAsia="zh-CN"/>
        </w:rPr>
        <w:t>ITU-R</w:t>
      </w:r>
      <w:r>
        <w:rPr>
          <w:rFonts w:eastAsiaTheme="minorEastAsia" w:hint="eastAsia"/>
          <w:sz w:val="20"/>
          <w:lang w:val="en-US" w:eastAsia="zh-CN"/>
        </w:rPr>
        <w:t>专利信息数据库。</w:t>
      </w:r>
    </w:p>
    <w:p w14:paraId="13D79F7D" w14:textId="77777777" w:rsidR="00EF5BF3" w:rsidRDefault="00EF5BF3">
      <w:pPr>
        <w:jc w:val="center"/>
        <w:rPr>
          <w:sz w:val="22"/>
          <w:lang w:val="fr-CH" w:eastAsia="zh-CN"/>
        </w:rPr>
      </w:pPr>
    </w:p>
    <w:tbl>
      <w:tblPr>
        <w:tblW w:w="0" w:type="auto"/>
        <w:tblInd w:w="80"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57"/>
        <w:gridCol w:w="8572"/>
      </w:tblGrid>
      <w:tr w:rsidR="00EF5BF3" w14:paraId="0E532785" w14:textId="77777777">
        <w:tc>
          <w:tcPr>
            <w:tcW w:w="9529" w:type="dxa"/>
            <w:gridSpan w:val="2"/>
            <w:tcBorders>
              <w:top w:val="single" w:sz="12" w:space="0" w:color="000000"/>
            </w:tcBorders>
          </w:tcPr>
          <w:p w14:paraId="520E39D4" w14:textId="77777777" w:rsidR="00EF5BF3" w:rsidRDefault="00551D2B">
            <w:pPr>
              <w:keepNext/>
              <w:spacing w:after="40"/>
              <w:jc w:val="center"/>
              <w:rPr>
                <w:rFonts w:eastAsiaTheme="minorEastAsia"/>
                <w:b/>
                <w:bCs/>
                <w:sz w:val="20"/>
                <w:lang w:val="en-US" w:eastAsia="zh-CN"/>
              </w:rPr>
            </w:pPr>
            <w:r>
              <w:rPr>
                <w:rFonts w:eastAsiaTheme="minorEastAsia"/>
                <w:b/>
                <w:bCs/>
                <w:sz w:val="20"/>
                <w:lang w:val="en-US" w:eastAsia="zh-CN"/>
              </w:rPr>
              <w:t>ITU-R</w:t>
            </w:r>
            <w:r>
              <w:rPr>
                <w:rFonts w:eastAsiaTheme="minorEastAsia" w:hint="eastAsia"/>
                <w:b/>
                <w:bCs/>
                <w:sz w:val="20"/>
                <w:lang w:val="en-US" w:eastAsia="zh-CN"/>
              </w:rPr>
              <w:t xml:space="preserve"> </w:t>
            </w:r>
            <w:r>
              <w:rPr>
                <w:rFonts w:eastAsiaTheme="minorEastAsia" w:hint="eastAsia"/>
                <w:b/>
                <w:bCs/>
                <w:sz w:val="20"/>
                <w:lang w:val="en-US" w:eastAsia="zh-CN"/>
              </w:rPr>
              <w:t>系列建议书</w:t>
            </w:r>
          </w:p>
          <w:p w14:paraId="06CD556F" w14:textId="2B0301FD" w:rsidR="00EF5BF3" w:rsidRDefault="00551D2B">
            <w:pPr>
              <w:jc w:val="center"/>
              <w:rPr>
                <w:rFonts w:eastAsiaTheme="minorEastAsia"/>
                <w:sz w:val="18"/>
                <w:szCs w:val="18"/>
                <w:lang w:val="en-US" w:eastAsia="zh-CN"/>
              </w:rPr>
            </w:pPr>
            <w:r>
              <w:rPr>
                <w:rFonts w:eastAsiaTheme="minorEastAsia" w:hint="eastAsia"/>
                <w:sz w:val="18"/>
                <w:szCs w:val="18"/>
                <w:lang w:val="en-US" w:eastAsia="zh-CN"/>
              </w:rPr>
              <w:t>（也可在线查询</w:t>
            </w:r>
            <w:r>
              <w:rPr>
                <w:rFonts w:eastAsiaTheme="minorEastAsia"/>
                <w:sz w:val="18"/>
                <w:szCs w:val="18"/>
                <w:lang w:val="en-US" w:eastAsia="zh-CN"/>
              </w:rPr>
              <w:t xml:space="preserve"> </w:t>
            </w:r>
            <w:hyperlink r:id="rId11" w:history="1">
              <w:r w:rsidR="0047509A">
                <w:rPr>
                  <w:rFonts w:eastAsiaTheme="minorEastAsia"/>
                  <w:bCs/>
                  <w:color w:val="0000FF"/>
                  <w:sz w:val="18"/>
                  <w:szCs w:val="18"/>
                  <w:u w:val="single"/>
                  <w:lang w:val="en-US" w:eastAsia="zh-CN"/>
                </w:rPr>
                <w:t>http://www.itu.int/publ/R-REC/zh</w:t>
              </w:r>
            </w:hyperlink>
            <w:r>
              <w:rPr>
                <w:rFonts w:eastAsiaTheme="minorEastAsia" w:hint="eastAsia"/>
                <w:sz w:val="18"/>
                <w:szCs w:val="18"/>
                <w:lang w:val="en-US" w:eastAsia="zh-CN"/>
              </w:rPr>
              <w:t>）</w:t>
            </w:r>
          </w:p>
        </w:tc>
      </w:tr>
      <w:tr w:rsidR="00EF5BF3" w14:paraId="46C48C3D" w14:textId="77777777">
        <w:tc>
          <w:tcPr>
            <w:tcW w:w="957" w:type="dxa"/>
          </w:tcPr>
          <w:p w14:paraId="271FC287" w14:textId="77777777" w:rsidR="00EF5BF3" w:rsidRDefault="00551D2B">
            <w:pPr>
              <w:spacing w:after="40"/>
              <w:ind w:left="57"/>
              <w:rPr>
                <w:rFonts w:eastAsiaTheme="minorEastAsia"/>
                <w:b/>
                <w:bCs/>
                <w:sz w:val="20"/>
                <w:lang w:val="en-US"/>
              </w:rPr>
            </w:pPr>
            <w:r>
              <w:rPr>
                <w:rFonts w:ascii="SimSun" w:eastAsiaTheme="minorEastAsia" w:hAnsi="SimSun" w:hint="eastAsia"/>
                <w:b/>
                <w:bCs/>
                <w:sz w:val="20"/>
                <w:lang w:val="en-US" w:eastAsia="zh-CN"/>
              </w:rPr>
              <w:t>系列</w:t>
            </w:r>
          </w:p>
        </w:tc>
        <w:tc>
          <w:tcPr>
            <w:tcW w:w="8572" w:type="dxa"/>
          </w:tcPr>
          <w:p w14:paraId="08768B24" w14:textId="77777777" w:rsidR="00EF5BF3" w:rsidRDefault="00551D2B">
            <w:pPr>
              <w:keepNext/>
              <w:spacing w:after="40"/>
              <w:ind w:hanging="1040"/>
              <w:jc w:val="center"/>
              <w:rPr>
                <w:rFonts w:eastAsiaTheme="minorEastAsia"/>
                <w:b/>
                <w:bCs/>
                <w:sz w:val="20"/>
                <w:lang w:val="en-US"/>
              </w:rPr>
            </w:pPr>
            <w:r>
              <w:rPr>
                <w:rFonts w:ascii="SimSun" w:eastAsiaTheme="minorEastAsia" w:hAnsi="SimSun" w:hint="eastAsia"/>
                <w:b/>
                <w:bCs/>
                <w:sz w:val="20"/>
                <w:lang w:val="en-US" w:eastAsia="zh-CN"/>
              </w:rPr>
              <w:t>标题</w:t>
            </w:r>
          </w:p>
        </w:tc>
      </w:tr>
      <w:tr w:rsidR="00EF5BF3" w14:paraId="6E71D2E7" w14:textId="77777777">
        <w:tc>
          <w:tcPr>
            <w:tcW w:w="957" w:type="dxa"/>
          </w:tcPr>
          <w:p w14:paraId="7D44E7C8" w14:textId="77777777" w:rsidR="00EF5BF3" w:rsidRDefault="00551D2B">
            <w:pPr>
              <w:spacing w:before="30" w:after="30"/>
              <w:ind w:left="57"/>
              <w:jc w:val="left"/>
              <w:rPr>
                <w:rFonts w:eastAsiaTheme="minorEastAsia"/>
                <w:b/>
                <w:bCs/>
                <w:sz w:val="20"/>
                <w:lang w:val="en-US"/>
              </w:rPr>
            </w:pPr>
            <w:r>
              <w:rPr>
                <w:rFonts w:eastAsiaTheme="minorEastAsia"/>
                <w:b/>
                <w:bCs/>
                <w:sz w:val="20"/>
                <w:lang w:val="en-US"/>
              </w:rPr>
              <w:t>BO</w:t>
            </w:r>
          </w:p>
        </w:tc>
        <w:tc>
          <w:tcPr>
            <w:tcW w:w="8572" w:type="dxa"/>
          </w:tcPr>
          <w:p w14:paraId="577CEBE0" w14:textId="77777777" w:rsidR="00EF5BF3" w:rsidRDefault="00551D2B">
            <w:pPr>
              <w:keepNext/>
              <w:spacing w:before="30" w:after="30"/>
              <w:jc w:val="left"/>
              <w:rPr>
                <w:rFonts w:eastAsiaTheme="minorEastAsia"/>
                <w:bCs/>
                <w:sz w:val="20"/>
                <w:lang w:val="en-US"/>
              </w:rPr>
            </w:pPr>
            <w:r>
              <w:rPr>
                <w:rFonts w:eastAsiaTheme="minorEastAsia" w:hint="eastAsia"/>
                <w:bCs/>
                <w:sz w:val="20"/>
                <w:lang w:val="en-US" w:eastAsia="zh-CN"/>
              </w:rPr>
              <w:t>卫星传送</w:t>
            </w:r>
          </w:p>
        </w:tc>
      </w:tr>
      <w:tr w:rsidR="00EF5BF3" w14:paraId="22503DF0" w14:textId="77777777">
        <w:tc>
          <w:tcPr>
            <w:tcW w:w="957" w:type="dxa"/>
          </w:tcPr>
          <w:p w14:paraId="1FB4E2A7" w14:textId="77777777" w:rsidR="00EF5BF3" w:rsidRDefault="00551D2B">
            <w:pPr>
              <w:spacing w:before="30" w:after="30"/>
              <w:ind w:left="57"/>
              <w:jc w:val="left"/>
              <w:rPr>
                <w:rFonts w:eastAsiaTheme="minorEastAsia"/>
                <w:b/>
                <w:bCs/>
                <w:sz w:val="20"/>
                <w:lang w:val="en-US"/>
              </w:rPr>
            </w:pPr>
            <w:r>
              <w:rPr>
                <w:rFonts w:eastAsiaTheme="minorEastAsia"/>
                <w:b/>
                <w:bCs/>
                <w:sz w:val="20"/>
                <w:lang w:val="en-US"/>
              </w:rPr>
              <w:t>BR</w:t>
            </w:r>
          </w:p>
        </w:tc>
        <w:tc>
          <w:tcPr>
            <w:tcW w:w="8572" w:type="dxa"/>
          </w:tcPr>
          <w:p w14:paraId="7967E885" w14:textId="77777777" w:rsidR="00EF5BF3" w:rsidRDefault="00551D2B">
            <w:pPr>
              <w:keepNext/>
              <w:spacing w:before="30" w:after="30"/>
              <w:jc w:val="left"/>
              <w:rPr>
                <w:rFonts w:eastAsiaTheme="minorEastAsia"/>
                <w:sz w:val="20"/>
                <w:lang w:val="en-US" w:eastAsia="zh-CN"/>
              </w:rPr>
            </w:pPr>
            <w:r>
              <w:rPr>
                <w:rFonts w:eastAsiaTheme="minorEastAsia" w:hint="eastAsia"/>
                <w:sz w:val="20"/>
                <w:lang w:val="en-US" w:eastAsia="zh-CN"/>
              </w:rPr>
              <w:t>用于制作、存档和播出的录制；电视电影</w:t>
            </w:r>
          </w:p>
        </w:tc>
      </w:tr>
      <w:tr w:rsidR="00EF5BF3" w14:paraId="7B050C33" w14:textId="77777777">
        <w:tc>
          <w:tcPr>
            <w:tcW w:w="957" w:type="dxa"/>
          </w:tcPr>
          <w:p w14:paraId="7B64F155" w14:textId="77777777" w:rsidR="00EF5BF3" w:rsidRDefault="00551D2B">
            <w:pPr>
              <w:spacing w:before="30" w:after="30"/>
              <w:ind w:left="57"/>
              <w:jc w:val="left"/>
              <w:rPr>
                <w:rFonts w:eastAsiaTheme="minorEastAsia"/>
                <w:b/>
                <w:bCs/>
                <w:sz w:val="20"/>
                <w:lang w:val="en-US"/>
              </w:rPr>
            </w:pPr>
            <w:r>
              <w:rPr>
                <w:rFonts w:eastAsiaTheme="minorEastAsia"/>
                <w:b/>
                <w:bCs/>
                <w:sz w:val="20"/>
                <w:lang w:val="en-US"/>
              </w:rPr>
              <w:t>BS</w:t>
            </w:r>
          </w:p>
        </w:tc>
        <w:tc>
          <w:tcPr>
            <w:tcW w:w="8572" w:type="dxa"/>
          </w:tcPr>
          <w:p w14:paraId="6A8B3F37" w14:textId="77777777" w:rsidR="00EF5BF3" w:rsidRDefault="00551D2B">
            <w:pPr>
              <w:keepNext/>
              <w:spacing w:before="30" w:after="30"/>
              <w:jc w:val="left"/>
              <w:rPr>
                <w:rFonts w:eastAsiaTheme="minorEastAsia"/>
                <w:sz w:val="20"/>
                <w:lang w:val="en-US"/>
              </w:rPr>
            </w:pPr>
            <w:r>
              <w:rPr>
                <w:rFonts w:eastAsiaTheme="minorEastAsia" w:hint="eastAsia"/>
                <w:sz w:val="20"/>
                <w:lang w:val="en-US" w:eastAsia="zh-CN"/>
              </w:rPr>
              <w:t>广播业务（声音）</w:t>
            </w:r>
          </w:p>
        </w:tc>
      </w:tr>
      <w:tr w:rsidR="00EF5BF3" w14:paraId="317EA07C" w14:textId="77777777">
        <w:tc>
          <w:tcPr>
            <w:tcW w:w="957" w:type="dxa"/>
          </w:tcPr>
          <w:p w14:paraId="0BB1FDF6" w14:textId="77777777" w:rsidR="00EF5BF3" w:rsidRDefault="00551D2B">
            <w:pPr>
              <w:spacing w:before="30" w:after="30"/>
              <w:ind w:left="57"/>
              <w:jc w:val="left"/>
              <w:rPr>
                <w:rFonts w:eastAsiaTheme="minorEastAsia"/>
                <w:b/>
                <w:bCs/>
                <w:sz w:val="20"/>
                <w:lang w:val="en-US"/>
              </w:rPr>
            </w:pPr>
            <w:r>
              <w:rPr>
                <w:rFonts w:eastAsiaTheme="minorEastAsia"/>
                <w:b/>
                <w:bCs/>
                <w:sz w:val="20"/>
                <w:lang w:val="en-US"/>
              </w:rPr>
              <w:t>BT</w:t>
            </w:r>
          </w:p>
        </w:tc>
        <w:tc>
          <w:tcPr>
            <w:tcW w:w="8572" w:type="dxa"/>
          </w:tcPr>
          <w:p w14:paraId="46687C8A" w14:textId="77777777" w:rsidR="00EF5BF3" w:rsidRDefault="00551D2B">
            <w:pPr>
              <w:keepNext/>
              <w:spacing w:before="30" w:after="30"/>
              <w:jc w:val="left"/>
              <w:rPr>
                <w:rFonts w:eastAsiaTheme="minorEastAsia"/>
                <w:sz w:val="20"/>
                <w:lang w:val="en-US"/>
              </w:rPr>
            </w:pPr>
            <w:r>
              <w:rPr>
                <w:rFonts w:eastAsiaTheme="minorEastAsia" w:hint="eastAsia"/>
                <w:sz w:val="20"/>
                <w:lang w:val="en-US" w:eastAsia="zh-CN"/>
              </w:rPr>
              <w:t>广播业务（电视）</w:t>
            </w:r>
          </w:p>
        </w:tc>
      </w:tr>
      <w:tr w:rsidR="00EF5BF3" w14:paraId="7A43F952" w14:textId="77777777">
        <w:tc>
          <w:tcPr>
            <w:tcW w:w="957" w:type="dxa"/>
            <w:tcBorders>
              <w:bottom w:val="nil"/>
            </w:tcBorders>
          </w:tcPr>
          <w:p w14:paraId="61DF9388" w14:textId="77777777" w:rsidR="00EF5BF3" w:rsidRDefault="00551D2B">
            <w:pPr>
              <w:spacing w:before="30" w:after="30"/>
              <w:ind w:left="57"/>
              <w:jc w:val="left"/>
              <w:rPr>
                <w:rFonts w:eastAsiaTheme="minorEastAsia"/>
                <w:b/>
                <w:bCs/>
                <w:sz w:val="20"/>
                <w:lang w:val="fr-CH"/>
              </w:rPr>
            </w:pPr>
            <w:r>
              <w:rPr>
                <w:rFonts w:eastAsiaTheme="minorEastAsia"/>
                <w:b/>
                <w:bCs/>
                <w:sz w:val="20"/>
                <w:lang w:val="fr-CH"/>
              </w:rPr>
              <w:t>F</w:t>
            </w:r>
          </w:p>
        </w:tc>
        <w:tc>
          <w:tcPr>
            <w:tcW w:w="8572" w:type="dxa"/>
            <w:tcBorders>
              <w:bottom w:val="nil"/>
            </w:tcBorders>
          </w:tcPr>
          <w:p w14:paraId="592BA41E" w14:textId="77777777" w:rsidR="00EF5BF3" w:rsidRDefault="00551D2B">
            <w:pPr>
              <w:spacing w:before="30" w:after="30"/>
              <w:rPr>
                <w:rFonts w:eastAsiaTheme="minorEastAsia"/>
                <w:sz w:val="20"/>
                <w:lang w:val="fr-CH"/>
              </w:rPr>
            </w:pPr>
            <w:r>
              <w:rPr>
                <w:rFonts w:eastAsiaTheme="minorEastAsia" w:hint="eastAsia"/>
                <w:sz w:val="20"/>
                <w:lang w:val="fr-CH" w:eastAsia="zh-CN"/>
              </w:rPr>
              <w:t>固定业务</w:t>
            </w:r>
          </w:p>
        </w:tc>
      </w:tr>
      <w:tr w:rsidR="00EF5BF3" w14:paraId="7055E518" w14:textId="77777777">
        <w:tc>
          <w:tcPr>
            <w:tcW w:w="957" w:type="dxa"/>
            <w:tcBorders>
              <w:top w:val="nil"/>
              <w:bottom w:val="nil"/>
            </w:tcBorders>
            <w:shd w:val="clear" w:color="auto" w:fill="F3F3F3"/>
          </w:tcPr>
          <w:p w14:paraId="1CC0CA9C" w14:textId="77777777" w:rsidR="00EF5BF3" w:rsidRDefault="00551D2B">
            <w:pPr>
              <w:spacing w:before="30" w:after="30"/>
              <w:ind w:left="57"/>
              <w:jc w:val="left"/>
              <w:rPr>
                <w:rFonts w:eastAsiaTheme="minorEastAsia"/>
                <w:b/>
                <w:bCs/>
                <w:sz w:val="20"/>
                <w:lang w:val="en-US"/>
              </w:rPr>
            </w:pPr>
            <w:r>
              <w:rPr>
                <w:rFonts w:eastAsiaTheme="minorEastAsia"/>
                <w:b/>
                <w:bCs/>
                <w:color w:val="000080"/>
                <w:sz w:val="20"/>
                <w:lang w:val="en-US"/>
              </w:rPr>
              <w:t>M</w:t>
            </w:r>
          </w:p>
        </w:tc>
        <w:tc>
          <w:tcPr>
            <w:tcW w:w="8572" w:type="dxa"/>
            <w:tcBorders>
              <w:top w:val="nil"/>
              <w:bottom w:val="nil"/>
            </w:tcBorders>
            <w:shd w:val="clear" w:color="auto" w:fill="F3F3F3"/>
          </w:tcPr>
          <w:p w14:paraId="2B29740D" w14:textId="77777777" w:rsidR="00EF5BF3" w:rsidRDefault="00551D2B">
            <w:pPr>
              <w:spacing w:before="30" w:after="30"/>
              <w:jc w:val="left"/>
              <w:rPr>
                <w:rFonts w:eastAsiaTheme="minorEastAsia"/>
                <w:b/>
                <w:bCs/>
                <w:color w:val="000080"/>
                <w:sz w:val="20"/>
                <w:lang w:val="en-US" w:eastAsia="zh-CN"/>
              </w:rPr>
            </w:pPr>
            <w:r>
              <w:rPr>
                <w:rFonts w:eastAsiaTheme="minorEastAsia" w:hint="eastAsia"/>
                <w:b/>
                <w:bCs/>
                <w:color w:val="000080"/>
                <w:sz w:val="20"/>
                <w:lang w:val="en-US" w:eastAsia="zh-CN"/>
              </w:rPr>
              <w:t>移动、无线电定位、业余和相关卫星业务</w:t>
            </w:r>
          </w:p>
        </w:tc>
      </w:tr>
      <w:tr w:rsidR="00EF5BF3" w14:paraId="39E25F43" w14:textId="77777777">
        <w:tc>
          <w:tcPr>
            <w:tcW w:w="957" w:type="dxa"/>
            <w:tcBorders>
              <w:top w:val="nil"/>
            </w:tcBorders>
          </w:tcPr>
          <w:p w14:paraId="2A42C9C6" w14:textId="77777777" w:rsidR="00EF5BF3" w:rsidRDefault="00551D2B">
            <w:pPr>
              <w:spacing w:before="30" w:after="30"/>
              <w:ind w:left="57"/>
              <w:jc w:val="left"/>
              <w:rPr>
                <w:rFonts w:eastAsiaTheme="minorEastAsia"/>
                <w:b/>
                <w:bCs/>
                <w:sz w:val="20"/>
                <w:lang w:val="fr-CH"/>
              </w:rPr>
            </w:pPr>
            <w:r>
              <w:rPr>
                <w:rFonts w:eastAsiaTheme="minorEastAsia"/>
                <w:b/>
                <w:bCs/>
                <w:sz w:val="20"/>
                <w:lang w:val="fr-CH"/>
              </w:rPr>
              <w:t>P</w:t>
            </w:r>
          </w:p>
        </w:tc>
        <w:tc>
          <w:tcPr>
            <w:tcW w:w="8572" w:type="dxa"/>
            <w:tcBorders>
              <w:top w:val="nil"/>
            </w:tcBorders>
          </w:tcPr>
          <w:p w14:paraId="5F4374BD" w14:textId="77777777" w:rsidR="00EF5BF3" w:rsidRDefault="00551D2B">
            <w:pPr>
              <w:spacing w:before="30" w:after="30"/>
              <w:jc w:val="left"/>
              <w:rPr>
                <w:rFonts w:eastAsiaTheme="minorEastAsia"/>
                <w:sz w:val="20"/>
                <w:lang w:val="fr-CH"/>
              </w:rPr>
            </w:pPr>
            <w:r>
              <w:rPr>
                <w:rFonts w:eastAsiaTheme="minorEastAsia" w:hint="eastAsia"/>
                <w:sz w:val="20"/>
                <w:lang w:val="fr-CH" w:eastAsia="zh-CN"/>
              </w:rPr>
              <w:t>无线电波传播</w:t>
            </w:r>
          </w:p>
        </w:tc>
      </w:tr>
      <w:tr w:rsidR="00EF5BF3" w14:paraId="29B6860C" w14:textId="77777777">
        <w:tc>
          <w:tcPr>
            <w:tcW w:w="957" w:type="dxa"/>
          </w:tcPr>
          <w:p w14:paraId="3C6D56B2" w14:textId="77777777" w:rsidR="00EF5BF3" w:rsidRDefault="00551D2B">
            <w:pPr>
              <w:spacing w:before="30" w:after="30"/>
              <w:ind w:left="57"/>
              <w:jc w:val="left"/>
              <w:rPr>
                <w:rFonts w:eastAsiaTheme="minorEastAsia"/>
                <w:b/>
                <w:bCs/>
                <w:sz w:val="20"/>
                <w:lang w:val="en-US"/>
              </w:rPr>
            </w:pPr>
            <w:r>
              <w:rPr>
                <w:rFonts w:eastAsiaTheme="minorEastAsia"/>
                <w:b/>
                <w:bCs/>
                <w:sz w:val="20"/>
                <w:lang w:val="en-US"/>
              </w:rPr>
              <w:t>RA</w:t>
            </w:r>
          </w:p>
        </w:tc>
        <w:tc>
          <w:tcPr>
            <w:tcW w:w="8572" w:type="dxa"/>
          </w:tcPr>
          <w:p w14:paraId="49A3BDD6" w14:textId="77777777" w:rsidR="00EF5BF3" w:rsidRDefault="00551D2B">
            <w:pPr>
              <w:spacing w:before="30" w:after="30"/>
              <w:rPr>
                <w:rFonts w:eastAsiaTheme="minorEastAsia"/>
                <w:sz w:val="20"/>
                <w:lang w:val="en-US"/>
              </w:rPr>
            </w:pPr>
            <w:r>
              <w:rPr>
                <w:rFonts w:eastAsiaTheme="minorEastAsia" w:hint="eastAsia"/>
                <w:sz w:val="20"/>
                <w:lang w:val="en-US" w:eastAsia="zh-CN"/>
              </w:rPr>
              <w:t>射电天文</w:t>
            </w:r>
          </w:p>
        </w:tc>
      </w:tr>
      <w:tr w:rsidR="00EF5BF3" w14:paraId="3DCCC32D" w14:textId="77777777">
        <w:tc>
          <w:tcPr>
            <w:tcW w:w="957" w:type="dxa"/>
            <w:tcBorders>
              <w:bottom w:val="nil"/>
            </w:tcBorders>
          </w:tcPr>
          <w:p w14:paraId="5A4142E4" w14:textId="77777777" w:rsidR="00EF5BF3" w:rsidRDefault="00551D2B">
            <w:pPr>
              <w:spacing w:before="30" w:after="30"/>
              <w:ind w:left="57"/>
              <w:jc w:val="left"/>
              <w:rPr>
                <w:rFonts w:eastAsiaTheme="minorEastAsia"/>
                <w:b/>
                <w:bCs/>
                <w:sz w:val="20"/>
                <w:lang w:val="en-US"/>
              </w:rPr>
            </w:pPr>
            <w:r>
              <w:rPr>
                <w:rFonts w:eastAsiaTheme="minorEastAsia"/>
                <w:b/>
                <w:bCs/>
                <w:sz w:val="20"/>
                <w:lang w:val="en-US"/>
              </w:rPr>
              <w:t>RS</w:t>
            </w:r>
          </w:p>
        </w:tc>
        <w:tc>
          <w:tcPr>
            <w:tcW w:w="8572" w:type="dxa"/>
            <w:tcBorders>
              <w:bottom w:val="nil"/>
            </w:tcBorders>
          </w:tcPr>
          <w:p w14:paraId="14AFF814" w14:textId="77777777" w:rsidR="00EF5BF3" w:rsidRDefault="00551D2B">
            <w:pPr>
              <w:spacing w:before="30" w:after="30"/>
              <w:rPr>
                <w:rFonts w:eastAsiaTheme="minorEastAsia"/>
                <w:sz w:val="20"/>
                <w:lang w:val="en-US"/>
              </w:rPr>
            </w:pPr>
            <w:r>
              <w:rPr>
                <w:rFonts w:eastAsiaTheme="minorEastAsia" w:hint="eastAsia"/>
                <w:sz w:val="20"/>
                <w:lang w:val="en-US" w:eastAsia="zh-CN"/>
              </w:rPr>
              <w:t>遥感系统</w:t>
            </w:r>
          </w:p>
        </w:tc>
      </w:tr>
      <w:tr w:rsidR="00EF5BF3" w14:paraId="3F0FFCD5" w14:textId="77777777">
        <w:tc>
          <w:tcPr>
            <w:tcW w:w="957" w:type="dxa"/>
            <w:tcBorders>
              <w:top w:val="nil"/>
              <w:bottom w:val="nil"/>
            </w:tcBorders>
            <w:shd w:val="clear" w:color="auto" w:fill="FFFFFF"/>
          </w:tcPr>
          <w:p w14:paraId="736859C1" w14:textId="77777777" w:rsidR="00EF5BF3" w:rsidRDefault="00551D2B">
            <w:pPr>
              <w:spacing w:before="30" w:after="30"/>
              <w:ind w:left="57"/>
              <w:jc w:val="left"/>
              <w:rPr>
                <w:rFonts w:eastAsiaTheme="minorEastAsia"/>
                <w:b/>
                <w:bCs/>
                <w:color w:val="000080"/>
                <w:sz w:val="20"/>
                <w:lang w:val="en-US"/>
              </w:rPr>
            </w:pPr>
            <w:r>
              <w:rPr>
                <w:rFonts w:eastAsiaTheme="minorEastAsia"/>
                <w:b/>
                <w:bCs/>
                <w:sz w:val="20"/>
                <w:lang w:val="en-US"/>
              </w:rPr>
              <w:t>S</w:t>
            </w:r>
          </w:p>
        </w:tc>
        <w:tc>
          <w:tcPr>
            <w:tcW w:w="8572" w:type="dxa"/>
            <w:tcBorders>
              <w:top w:val="nil"/>
              <w:bottom w:val="nil"/>
            </w:tcBorders>
            <w:shd w:val="clear" w:color="auto" w:fill="FFFFFF"/>
          </w:tcPr>
          <w:p w14:paraId="05483B1A" w14:textId="77777777" w:rsidR="00EF5BF3" w:rsidRDefault="00551D2B">
            <w:pPr>
              <w:spacing w:before="30" w:after="30"/>
              <w:jc w:val="left"/>
              <w:rPr>
                <w:rFonts w:eastAsiaTheme="minorEastAsia"/>
                <w:sz w:val="20"/>
                <w:lang w:val="fr-CH" w:eastAsia="zh-CN"/>
              </w:rPr>
            </w:pPr>
            <w:r>
              <w:rPr>
                <w:rFonts w:eastAsiaTheme="minorEastAsia" w:hint="eastAsia"/>
                <w:sz w:val="20"/>
                <w:lang w:val="fr-CH" w:eastAsia="zh-CN"/>
              </w:rPr>
              <w:t>卫星固定业务</w:t>
            </w:r>
          </w:p>
        </w:tc>
      </w:tr>
      <w:tr w:rsidR="00EF5BF3" w14:paraId="47136533" w14:textId="77777777">
        <w:tc>
          <w:tcPr>
            <w:tcW w:w="957" w:type="dxa"/>
            <w:tcBorders>
              <w:top w:val="nil"/>
            </w:tcBorders>
          </w:tcPr>
          <w:p w14:paraId="63634D8B" w14:textId="77777777" w:rsidR="00EF5BF3" w:rsidRDefault="00551D2B">
            <w:pPr>
              <w:spacing w:before="30" w:after="30"/>
              <w:ind w:left="57"/>
              <w:jc w:val="left"/>
              <w:rPr>
                <w:rFonts w:eastAsiaTheme="minorEastAsia"/>
                <w:b/>
                <w:bCs/>
                <w:sz w:val="20"/>
                <w:lang w:val="en-US"/>
              </w:rPr>
            </w:pPr>
            <w:r>
              <w:rPr>
                <w:rFonts w:eastAsiaTheme="minorEastAsia"/>
                <w:b/>
                <w:bCs/>
                <w:sz w:val="20"/>
                <w:lang w:val="en-US"/>
              </w:rPr>
              <w:t>SA</w:t>
            </w:r>
          </w:p>
        </w:tc>
        <w:tc>
          <w:tcPr>
            <w:tcW w:w="8572" w:type="dxa"/>
            <w:tcBorders>
              <w:top w:val="nil"/>
            </w:tcBorders>
          </w:tcPr>
          <w:p w14:paraId="73A2C95A" w14:textId="77777777" w:rsidR="00EF5BF3" w:rsidRDefault="00551D2B">
            <w:pPr>
              <w:spacing w:before="30" w:after="30"/>
              <w:jc w:val="left"/>
              <w:rPr>
                <w:rFonts w:eastAsiaTheme="minorEastAsia"/>
                <w:sz w:val="20"/>
                <w:lang w:val="en-US"/>
              </w:rPr>
            </w:pPr>
            <w:r>
              <w:rPr>
                <w:rFonts w:eastAsiaTheme="minorEastAsia" w:hint="eastAsia"/>
                <w:sz w:val="20"/>
                <w:lang w:val="en-US" w:eastAsia="zh-CN"/>
              </w:rPr>
              <w:t>空间应用和气象</w:t>
            </w:r>
          </w:p>
        </w:tc>
      </w:tr>
      <w:tr w:rsidR="00EF5BF3" w14:paraId="6070776E" w14:textId="77777777">
        <w:tc>
          <w:tcPr>
            <w:tcW w:w="957" w:type="dxa"/>
          </w:tcPr>
          <w:p w14:paraId="4E1E37C2" w14:textId="77777777" w:rsidR="00EF5BF3" w:rsidRDefault="00551D2B">
            <w:pPr>
              <w:spacing w:before="30" w:after="30"/>
              <w:ind w:left="57"/>
              <w:jc w:val="left"/>
              <w:rPr>
                <w:rFonts w:eastAsiaTheme="minorEastAsia"/>
                <w:b/>
                <w:bCs/>
                <w:sz w:val="20"/>
                <w:lang w:val="en-US"/>
              </w:rPr>
            </w:pPr>
            <w:r>
              <w:rPr>
                <w:rFonts w:eastAsiaTheme="minorEastAsia"/>
                <w:b/>
                <w:bCs/>
                <w:sz w:val="20"/>
                <w:lang w:val="en-US"/>
              </w:rPr>
              <w:t>SF</w:t>
            </w:r>
          </w:p>
        </w:tc>
        <w:tc>
          <w:tcPr>
            <w:tcW w:w="8572" w:type="dxa"/>
          </w:tcPr>
          <w:p w14:paraId="784DEC55" w14:textId="77777777" w:rsidR="00EF5BF3" w:rsidRDefault="00551D2B">
            <w:pPr>
              <w:spacing w:before="30" w:after="30"/>
              <w:jc w:val="left"/>
              <w:rPr>
                <w:rFonts w:eastAsiaTheme="minorEastAsia"/>
                <w:sz w:val="20"/>
                <w:lang w:val="en-US" w:eastAsia="zh-CN"/>
              </w:rPr>
            </w:pPr>
            <w:r>
              <w:rPr>
                <w:rFonts w:eastAsiaTheme="minorEastAsia" w:hint="eastAsia"/>
                <w:sz w:val="20"/>
                <w:lang w:val="en-US" w:eastAsia="zh-CN"/>
              </w:rPr>
              <w:t>卫星固定业务和固定业务系统间的频率共用和协调</w:t>
            </w:r>
          </w:p>
        </w:tc>
      </w:tr>
      <w:tr w:rsidR="00EF5BF3" w14:paraId="04FE8672" w14:textId="77777777">
        <w:tc>
          <w:tcPr>
            <w:tcW w:w="957" w:type="dxa"/>
          </w:tcPr>
          <w:p w14:paraId="55A2AF38" w14:textId="77777777" w:rsidR="00EF5BF3" w:rsidRDefault="00551D2B">
            <w:pPr>
              <w:spacing w:before="30" w:after="30"/>
              <w:ind w:left="57"/>
              <w:jc w:val="left"/>
              <w:rPr>
                <w:rFonts w:eastAsiaTheme="minorEastAsia"/>
                <w:b/>
                <w:bCs/>
                <w:sz w:val="20"/>
                <w:lang w:val="en-US"/>
              </w:rPr>
            </w:pPr>
            <w:r>
              <w:rPr>
                <w:rFonts w:eastAsiaTheme="minorEastAsia"/>
                <w:b/>
                <w:bCs/>
                <w:sz w:val="20"/>
                <w:lang w:val="en-US"/>
              </w:rPr>
              <w:t>SM</w:t>
            </w:r>
          </w:p>
        </w:tc>
        <w:tc>
          <w:tcPr>
            <w:tcW w:w="8572" w:type="dxa"/>
          </w:tcPr>
          <w:p w14:paraId="5D28E5A3" w14:textId="77777777" w:rsidR="00EF5BF3" w:rsidRDefault="00551D2B">
            <w:pPr>
              <w:spacing w:before="30" w:after="30"/>
              <w:rPr>
                <w:rFonts w:eastAsiaTheme="minorEastAsia"/>
                <w:sz w:val="20"/>
                <w:lang w:val="en-US"/>
              </w:rPr>
            </w:pPr>
            <w:r>
              <w:rPr>
                <w:rFonts w:eastAsiaTheme="minorEastAsia" w:hint="eastAsia"/>
                <w:sz w:val="20"/>
                <w:lang w:val="en-US" w:eastAsia="zh-CN"/>
              </w:rPr>
              <w:t>频谱管理</w:t>
            </w:r>
          </w:p>
        </w:tc>
      </w:tr>
      <w:tr w:rsidR="00EF5BF3" w14:paraId="51B6AACE" w14:textId="77777777">
        <w:tc>
          <w:tcPr>
            <w:tcW w:w="957" w:type="dxa"/>
          </w:tcPr>
          <w:p w14:paraId="337869EE" w14:textId="77777777" w:rsidR="00EF5BF3" w:rsidRDefault="00551D2B">
            <w:pPr>
              <w:spacing w:before="30" w:after="30"/>
              <w:ind w:left="57"/>
              <w:jc w:val="left"/>
              <w:rPr>
                <w:rFonts w:eastAsiaTheme="minorEastAsia"/>
                <w:b/>
                <w:bCs/>
                <w:sz w:val="20"/>
                <w:lang w:val="en-US"/>
              </w:rPr>
            </w:pPr>
            <w:r>
              <w:rPr>
                <w:rFonts w:eastAsiaTheme="minorEastAsia"/>
                <w:b/>
                <w:bCs/>
                <w:sz w:val="20"/>
                <w:lang w:val="en-US"/>
              </w:rPr>
              <w:t>SNG</w:t>
            </w:r>
          </w:p>
        </w:tc>
        <w:tc>
          <w:tcPr>
            <w:tcW w:w="8572" w:type="dxa"/>
          </w:tcPr>
          <w:p w14:paraId="2D8490E0" w14:textId="77777777" w:rsidR="00EF5BF3" w:rsidRDefault="00551D2B">
            <w:pPr>
              <w:spacing w:before="30" w:after="30"/>
              <w:jc w:val="left"/>
              <w:rPr>
                <w:rFonts w:eastAsiaTheme="minorEastAsia"/>
                <w:sz w:val="20"/>
                <w:lang w:val="en-US"/>
              </w:rPr>
            </w:pPr>
            <w:r>
              <w:rPr>
                <w:rFonts w:eastAsiaTheme="minorEastAsia" w:hint="eastAsia"/>
                <w:sz w:val="20"/>
                <w:lang w:val="en-US" w:eastAsia="zh-CN"/>
              </w:rPr>
              <w:t>卫星新闻采集</w:t>
            </w:r>
          </w:p>
        </w:tc>
      </w:tr>
      <w:tr w:rsidR="00EF5BF3" w14:paraId="410E3F45" w14:textId="77777777">
        <w:tc>
          <w:tcPr>
            <w:tcW w:w="957" w:type="dxa"/>
          </w:tcPr>
          <w:p w14:paraId="67C37AF9" w14:textId="77777777" w:rsidR="00EF5BF3" w:rsidRDefault="00551D2B">
            <w:pPr>
              <w:spacing w:before="30" w:after="30"/>
              <w:ind w:left="57"/>
              <w:jc w:val="left"/>
              <w:rPr>
                <w:rFonts w:eastAsiaTheme="minorEastAsia"/>
                <w:b/>
                <w:bCs/>
                <w:sz w:val="20"/>
                <w:lang w:val="en-US"/>
              </w:rPr>
            </w:pPr>
            <w:r>
              <w:rPr>
                <w:rFonts w:eastAsiaTheme="minorEastAsia"/>
                <w:b/>
                <w:bCs/>
                <w:sz w:val="20"/>
                <w:lang w:val="en-US"/>
              </w:rPr>
              <w:t>TF</w:t>
            </w:r>
          </w:p>
        </w:tc>
        <w:tc>
          <w:tcPr>
            <w:tcW w:w="8572" w:type="dxa"/>
          </w:tcPr>
          <w:p w14:paraId="51519000" w14:textId="77777777" w:rsidR="00EF5BF3" w:rsidRDefault="00551D2B">
            <w:pPr>
              <w:spacing w:before="30" w:after="30"/>
              <w:jc w:val="left"/>
              <w:rPr>
                <w:rFonts w:eastAsiaTheme="minorEastAsia"/>
                <w:sz w:val="20"/>
                <w:lang w:val="en-US" w:eastAsia="zh-CN"/>
              </w:rPr>
            </w:pPr>
            <w:r>
              <w:rPr>
                <w:rFonts w:eastAsiaTheme="minorEastAsia" w:hint="eastAsia"/>
                <w:sz w:val="20"/>
                <w:lang w:val="en-US" w:eastAsia="zh-CN"/>
              </w:rPr>
              <w:t>时间信号和频率标准发射</w:t>
            </w:r>
          </w:p>
        </w:tc>
      </w:tr>
      <w:tr w:rsidR="00EF5BF3" w14:paraId="6B9A9ECA" w14:textId="77777777">
        <w:tc>
          <w:tcPr>
            <w:tcW w:w="957" w:type="dxa"/>
            <w:tcBorders>
              <w:bottom w:val="single" w:sz="12" w:space="0" w:color="000000"/>
            </w:tcBorders>
          </w:tcPr>
          <w:p w14:paraId="5A9E09CA" w14:textId="77777777" w:rsidR="00EF5BF3" w:rsidRDefault="00551D2B">
            <w:pPr>
              <w:spacing w:before="30" w:after="30"/>
              <w:ind w:left="57"/>
              <w:jc w:val="left"/>
              <w:rPr>
                <w:rFonts w:eastAsiaTheme="minorEastAsia"/>
                <w:b/>
                <w:bCs/>
                <w:sz w:val="20"/>
                <w:lang w:val="en-US"/>
              </w:rPr>
            </w:pPr>
            <w:r>
              <w:rPr>
                <w:rFonts w:eastAsiaTheme="minorEastAsia"/>
                <w:b/>
                <w:bCs/>
                <w:sz w:val="20"/>
                <w:lang w:val="en-US"/>
              </w:rPr>
              <w:t>V</w:t>
            </w:r>
          </w:p>
        </w:tc>
        <w:tc>
          <w:tcPr>
            <w:tcW w:w="8572" w:type="dxa"/>
            <w:tcBorders>
              <w:bottom w:val="single" w:sz="12" w:space="0" w:color="000000"/>
            </w:tcBorders>
          </w:tcPr>
          <w:p w14:paraId="7BEA6E69" w14:textId="77777777" w:rsidR="00EF5BF3" w:rsidRDefault="00551D2B">
            <w:pPr>
              <w:spacing w:before="30" w:after="180"/>
              <w:jc w:val="left"/>
              <w:rPr>
                <w:rFonts w:eastAsiaTheme="minorEastAsia"/>
                <w:sz w:val="20"/>
                <w:lang w:val="en-US"/>
              </w:rPr>
            </w:pPr>
            <w:r>
              <w:rPr>
                <w:rFonts w:eastAsiaTheme="minorEastAsia" w:hint="eastAsia"/>
                <w:sz w:val="20"/>
                <w:lang w:val="en-US" w:eastAsia="zh-CN"/>
              </w:rPr>
              <w:t>词汇和相关问题</w:t>
            </w:r>
          </w:p>
        </w:tc>
      </w:tr>
    </w:tbl>
    <w:p w14:paraId="25CA93E9" w14:textId="77777777" w:rsidR="00EF5BF3" w:rsidRDefault="00EF5BF3">
      <w:pPr>
        <w:spacing w:before="30" w:after="30"/>
        <w:jc w:val="center"/>
        <w:rPr>
          <w:sz w:val="20"/>
          <w:lang w:val="en-GB"/>
        </w:rPr>
      </w:pPr>
    </w:p>
    <w:tbl>
      <w:tblPr>
        <w:tblpPr w:leftFromText="180" w:rightFromText="180" w:vertAnchor="text" w:tblpX="-5771" w:tblpY="-4031"/>
        <w:tblW w:w="0" w:type="auto"/>
        <w:tblLook w:val="04A0" w:firstRow="1" w:lastRow="0" w:firstColumn="1" w:lastColumn="0" w:noHBand="0" w:noVBand="1"/>
      </w:tblPr>
      <w:tblGrid>
        <w:gridCol w:w="720"/>
      </w:tblGrid>
      <w:tr w:rsidR="00EF5BF3" w14:paraId="76A52E11" w14:textId="77777777">
        <w:tc>
          <w:tcPr>
            <w:tcW w:w="720" w:type="dxa"/>
          </w:tcPr>
          <w:p w14:paraId="6799141B" w14:textId="77777777" w:rsidR="00EF5BF3" w:rsidRDefault="00EF5BF3">
            <w:pPr>
              <w:jc w:val="center"/>
              <w:rPr>
                <w:sz w:val="22"/>
                <w:lang w:val="en-GB"/>
              </w:rPr>
            </w:pPr>
          </w:p>
        </w:tc>
      </w:tr>
    </w:tbl>
    <w:tbl>
      <w:tblPr>
        <w:tblStyle w:val="TableGrid"/>
        <w:tblW w:w="9497"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97"/>
      </w:tblGrid>
      <w:tr w:rsidR="00EF5BF3" w14:paraId="285635D6" w14:textId="77777777">
        <w:tc>
          <w:tcPr>
            <w:tcW w:w="9497" w:type="dxa"/>
          </w:tcPr>
          <w:p w14:paraId="39E52F59" w14:textId="77777777" w:rsidR="00EF5BF3" w:rsidRDefault="00551D2B">
            <w:pPr>
              <w:spacing w:after="120"/>
              <w:rPr>
                <w:rFonts w:eastAsia="STKaiti"/>
                <w:sz w:val="20"/>
                <w:lang w:eastAsia="zh-CN"/>
              </w:rPr>
            </w:pPr>
            <w:r>
              <w:rPr>
                <w:rFonts w:eastAsia="STKaiti" w:hint="eastAsia"/>
                <w:b/>
                <w:sz w:val="20"/>
                <w:lang w:eastAsia="zh-CN"/>
              </w:rPr>
              <w:t>说明：</w:t>
            </w:r>
            <w:r>
              <w:rPr>
                <w:rFonts w:eastAsia="STKaiti" w:hint="eastAsia"/>
                <w:sz w:val="20"/>
                <w:lang w:eastAsia="zh-CN"/>
              </w:rPr>
              <w:t>该</w:t>
            </w:r>
            <w:r>
              <w:rPr>
                <w:rFonts w:eastAsia="STKaiti"/>
                <w:sz w:val="20"/>
                <w:lang w:eastAsia="zh-CN"/>
              </w:rPr>
              <w:t>ITU-R</w:t>
            </w:r>
            <w:r>
              <w:rPr>
                <w:rFonts w:eastAsia="STKaiti" w:hint="eastAsia"/>
                <w:sz w:val="20"/>
                <w:lang w:eastAsia="zh-CN"/>
              </w:rPr>
              <w:t>建议书的英文版本根据</w:t>
            </w:r>
            <w:r>
              <w:rPr>
                <w:rFonts w:eastAsia="STKaiti"/>
                <w:sz w:val="20"/>
                <w:lang w:eastAsia="zh-CN"/>
              </w:rPr>
              <w:t>ITU-R</w:t>
            </w:r>
            <w:r>
              <w:rPr>
                <w:rFonts w:eastAsia="STKaiti" w:hint="eastAsia"/>
                <w:sz w:val="20"/>
                <w:lang w:eastAsia="zh-CN"/>
              </w:rPr>
              <w:t>第</w:t>
            </w:r>
            <w:r>
              <w:rPr>
                <w:rFonts w:eastAsia="STKaiti"/>
                <w:sz w:val="20"/>
                <w:lang w:eastAsia="zh-CN"/>
              </w:rPr>
              <w:t>1</w:t>
            </w:r>
            <w:r>
              <w:rPr>
                <w:rFonts w:eastAsia="STKaiti" w:hint="eastAsia"/>
                <w:sz w:val="20"/>
                <w:lang w:eastAsia="zh-CN"/>
              </w:rPr>
              <w:t>号决议详述的程序予以批准。</w:t>
            </w:r>
          </w:p>
        </w:tc>
      </w:tr>
    </w:tbl>
    <w:p w14:paraId="0E5C17AE" w14:textId="77777777" w:rsidR="00EF5BF3" w:rsidRDefault="00EF5BF3">
      <w:pPr>
        <w:spacing w:before="0"/>
        <w:jc w:val="center"/>
        <w:rPr>
          <w:sz w:val="22"/>
          <w:lang w:eastAsia="zh-CN"/>
        </w:rPr>
      </w:pPr>
    </w:p>
    <w:p w14:paraId="7E0525E1" w14:textId="77777777" w:rsidR="00EF5BF3" w:rsidRDefault="00EF5BF3">
      <w:pPr>
        <w:spacing w:before="0"/>
        <w:jc w:val="center"/>
        <w:rPr>
          <w:sz w:val="22"/>
          <w:lang w:val="en-GB" w:eastAsia="zh-CN"/>
        </w:rPr>
      </w:pPr>
    </w:p>
    <w:p w14:paraId="268B275E" w14:textId="77777777" w:rsidR="00EF5BF3" w:rsidRDefault="00551D2B">
      <w:pPr>
        <w:spacing w:before="0"/>
        <w:jc w:val="right"/>
        <w:rPr>
          <w:i/>
          <w:iCs/>
          <w:sz w:val="20"/>
          <w:lang w:val="en-GB" w:eastAsia="zh-CN"/>
        </w:rPr>
      </w:pPr>
      <w:r>
        <w:rPr>
          <w:rFonts w:ascii="STKaiti" w:eastAsia="STKaiti" w:hAnsi="STKaiti" w:hint="eastAsia"/>
          <w:sz w:val="20"/>
          <w:lang w:eastAsia="zh-CN"/>
        </w:rPr>
        <w:t>电子出版</w:t>
      </w:r>
    </w:p>
    <w:p w14:paraId="43721A17" w14:textId="77777777" w:rsidR="00EF5BF3" w:rsidRDefault="00551D2B">
      <w:pPr>
        <w:spacing w:before="0"/>
        <w:jc w:val="right"/>
        <w:rPr>
          <w:sz w:val="20"/>
          <w:lang w:val="en-GB" w:eastAsia="zh-CN"/>
        </w:rPr>
      </w:pPr>
      <w:r>
        <w:rPr>
          <w:rFonts w:hint="eastAsia"/>
          <w:sz w:val="20"/>
          <w:lang w:val="en-GB" w:eastAsia="zh-CN"/>
        </w:rPr>
        <w:t>2022</w:t>
      </w:r>
      <w:r>
        <w:rPr>
          <w:rFonts w:hint="eastAsia"/>
          <w:sz w:val="20"/>
          <w:lang w:val="en-GB" w:eastAsia="zh-CN"/>
        </w:rPr>
        <w:t>年，日内瓦</w:t>
      </w:r>
    </w:p>
    <w:p w14:paraId="0B5FAF23" w14:textId="77777777" w:rsidR="00EF5BF3" w:rsidRDefault="00EF5BF3">
      <w:pPr>
        <w:jc w:val="center"/>
        <w:rPr>
          <w:sz w:val="22"/>
          <w:lang w:val="en-GB" w:eastAsia="zh-CN"/>
        </w:rPr>
      </w:pPr>
    </w:p>
    <w:p w14:paraId="70CE8FD4" w14:textId="77777777" w:rsidR="00EF5BF3" w:rsidRDefault="00551D2B">
      <w:pPr>
        <w:spacing w:before="240"/>
        <w:jc w:val="center"/>
        <w:rPr>
          <w:sz w:val="20"/>
          <w:lang w:val="en-US" w:eastAsia="zh-CN"/>
        </w:rPr>
      </w:pPr>
      <w:r>
        <w:rPr>
          <w:sz w:val="20"/>
          <w:lang w:val="en-US"/>
        </w:rPr>
        <w:sym w:font="Symbol" w:char="F0E3"/>
      </w:r>
      <w:r>
        <w:rPr>
          <w:sz w:val="20"/>
          <w:lang w:val="en-US" w:eastAsia="zh-CN"/>
        </w:rPr>
        <w:t xml:space="preserve"> </w:t>
      </w:r>
      <w:r>
        <w:rPr>
          <w:rFonts w:hint="eastAsia"/>
          <w:sz w:val="20"/>
          <w:lang w:val="en-US" w:eastAsia="zh-CN"/>
        </w:rPr>
        <w:t>国际电联</w:t>
      </w:r>
      <w:r>
        <w:rPr>
          <w:sz w:val="20"/>
          <w:lang w:val="en-US" w:eastAsia="zh-CN"/>
        </w:rPr>
        <w:t xml:space="preserve"> </w:t>
      </w:r>
      <w:bookmarkStart w:id="1" w:name="iiannee"/>
      <w:bookmarkEnd w:id="1"/>
      <w:r>
        <w:rPr>
          <w:sz w:val="20"/>
          <w:lang w:val="en-US" w:eastAsia="zh-CN"/>
        </w:rPr>
        <w:t>20</w:t>
      </w:r>
      <w:r>
        <w:rPr>
          <w:rFonts w:hint="eastAsia"/>
          <w:sz w:val="20"/>
          <w:lang w:val="en-US" w:eastAsia="zh-CN"/>
        </w:rPr>
        <w:t>22</w:t>
      </w:r>
    </w:p>
    <w:p w14:paraId="3F70A81C" w14:textId="77777777" w:rsidR="00EF5BF3" w:rsidRDefault="00551D2B">
      <w:pPr>
        <w:ind w:firstLineChars="200" w:firstLine="360"/>
        <w:jc w:val="left"/>
        <w:rPr>
          <w:lang w:val="en-US" w:eastAsia="zh-CN"/>
        </w:rPr>
      </w:pPr>
      <w:r>
        <w:rPr>
          <w:rFonts w:ascii="SimSun" w:hAnsi="SimSun" w:hint="eastAsia"/>
          <w:sz w:val="18"/>
          <w:szCs w:val="18"/>
          <w:lang w:val="en-US" w:eastAsia="zh-CN"/>
        </w:rPr>
        <w:t>版权所有。</w:t>
      </w:r>
      <w:r>
        <w:rPr>
          <w:rFonts w:ascii="SimSun" w:hAnsi="SimSun" w:hint="eastAsia"/>
          <w:sz w:val="18"/>
          <w:szCs w:val="18"/>
          <w:lang w:eastAsia="zh-CN"/>
        </w:rPr>
        <w:t>未经国际电联书面许可，不得以任何手段复制本出版物的任何部分。</w:t>
      </w:r>
    </w:p>
    <w:p w14:paraId="5FEE09D2" w14:textId="77777777" w:rsidR="00EF5BF3" w:rsidRDefault="00EF5BF3">
      <w:pPr>
        <w:spacing w:before="160"/>
        <w:rPr>
          <w:i/>
          <w:sz w:val="20"/>
          <w:lang w:val="en-US" w:eastAsia="zh-CN"/>
        </w:rPr>
        <w:sectPr w:rsidR="00EF5BF3">
          <w:headerReference w:type="even" r:id="rId12"/>
          <w:headerReference w:type="default" r:id="rId13"/>
          <w:pgSz w:w="11907" w:h="16834"/>
          <w:pgMar w:top="1418" w:right="1134" w:bottom="1134" w:left="1134" w:header="720" w:footer="482" w:gutter="0"/>
          <w:paperSrc w:first="15" w:other="15"/>
          <w:pgNumType w:fmt="lowerRoman" w:start="2"/>
          <w:cols w:space="720"/>
        </w:sectPr>
      </w:pPr>
    </w:p>
    <w:p w14:paraId="49FB9A5A" w14:textId="77777777" w:rsidR="00EF5BF3" w:rsidRDefault="00551D2B" w:rsidP="0047509A">
      <w:pPr>
        <w:pStyle w:val="RecNo"/>
        <w:rPr>
          <w:rFonts w:eastAsiaTheme="minorEastAsia"/>
          <w:szCs w:val="28"/>
          <w:lang w:eastAsia="zh-CN"/>
        </w:rPr>
      </w:pPr>
      <w:r>
        <w:rPr>
          <w:rStyle w:val="href"/>
          <w:szCs w:val="28"/>
          <w:lang w:eastAsia="zh-CN"/>
        </w:rPr>
        <w:lastRenderedPageBreak/>
        <w:t>ITU-R  M.1902</w:t>
      </w:r>
      <w:r>
        <w:rPr>
          <w:rStyle w:val="href"/>
          <w:rFonts w:hint="eastAsia"/>
          <w:szCs w:val="28"/>
          <w:lang w:eastAsia="zh-CN"/>
        </w:rPr>
        <w:t>-2</w:t>
      </w:r>
      <w:r>
        <w:rPr>
          <w:rFonts w:eastAsiaTheme="minorEastAsia" w:hint="eastAsia"/>
          <w:szCs w:val="28"/>
          <w:lang w:eastAsia="zh-CN"/>
        </w:rPr>
        <w:t xml:space="preserve"> </w:t>
      </w:r>
      <w:r>
        <w:rPr>
          <w:rFonts w:eastAsiaTheme="minorEastAsia" w:hint="eastAsia"/>
          <w:szCs w:val="28"/>
          <w:lang w:eastAsia="zh-CN"/>
        </w:rPr>
        <w:t>建议书</w:t>
      </w:r>
    </w:p>
    <w:p w14:paraId="545D3919" w14:textId="0FFC12AD" w:rsidR="00EF5BF3" w:rsidRDefault="00551D2B" w:rsidP="0047509A">
      <w:pPr>
        <w:pStyle w:val="Rectitle"/>
        <w:rPr>
          <w:rFonts w:eastAsiaTheme="minorEastAsia"/>
          <w:b w:val="0"/>
          <w:lang w:val="en-US" w:eastAsia="zh-CN"/>
        </w:rPr>
      </w:pPr>
      <w:r>
        <w:rPr>
          <w:rFonts w:eastAsiaTheme="minorEastAsia" w:hint="eastAsia"/>
          <w:lang w:val="en-US" w:eastAsia="zh-CN"/>
        </w:rPr>
        <w:t>在</w:t>
      </w:r>
      <w:r>
        <w:rPr>
          <w:rFonts w:eastAsiaTheme="minorEastAsia"/>
          <w:lang w:val="en-US" w:eastAsia="zh-CN"/>
        </w:rPr>
        <w:t>1 215-1 300</w:t>
      </w:r>
      <w:r>
        <w:rPr>
          <w:rFonts w:eastAsiaTheme="minorEastAsia" w:hint="eastAsia"/>
          <w:lang w:val="en-US" w:eastAsia="zh-CN"/>
        </w:rPr>
        <w:t xml:space="preserve"> MHz</w:t>
      </w:r>
      <w:r>
        <w:rPr>
          <w:rFonts w:eastAsiaTheme="minorEastAsia" w:hint="eastAsia"/>
          <w:lang w:val="en-US" w:eastAsia="zh-CN"/>
        </w:rPr>
        <w:t>频段</w:t>
      </w:r>
      <w:r>
        <w:rPr>
          <w:rFonts w:eastAsiaTheme="minorEastAsia" w:hint="eastAsia"/>
          <w:lang w:val="en-GB" w:eastAsia="zh-CN"/>
        </w:rPr>
        <w:t>内运行</w:t>
      </w:r>
      <w:r>
        <w:rPr>
          <w:rFonts w:eastAsiaTheme="minorEastAsia" w:hint="eastAsia"/>
          <w:lang w:val="en-US" w:eastAsia="zh-CN"/>
        </w:rPr>
        <w:t>的卫星无线电</w:t>
      </w:r>
      <w:r w:rsidR="0047509A">
        <w:rPr>
          <w:rFonts w:eastAsiaTheme="minorEastAsia"/>
          <w:b w:val="0"/>
          <w:lang w:val="en-US" w:eastAsia="zh-CN"/>
        </w:rPr>
        <w:br/>
      </w:r>
      <w:r>
        <w:rPr>
          <w:rFonts w:eastAsiaTheme="minorEastAsia" w:hint="eastAsia"/>
          <w:lang w:val="en-US" w:eastAsia="zh-CN"/>
        </w:rPr>
        <w:t>导航业务（空对地）接收地球站的</w:t>
      </w:r>
      <w:r w:rsidR="0047509A">
        <w:rPr>
          <w:rFonts w:eastAsiaTheme="minorEastAsia"/>
          <w:b w:val="0"/>
          <w:lang w:val="en-US" w:eastAsia="zh-CN"/>
        </w:rPr>
        <w:br/>
      </w:r>
      <w:r>
        <w:rPr>
          <w:rFonts w:eastAsiaTheme="minorEastAsia" w:hint="eastAsia"/>
          <w:lang w:val="en-US" w:eastAsia="zh-CN"/>
        </w:rPr>
        <w:t>特性和保护标准</w:t>
      </w:r>
    </w:p>
    <w:p w14:paraId="17645C16" w14:textId="77777777" w:rsidR="00EF5BF3" w:rsidRDefault="00551D2B" w:rsidP="0047509A">
      <w:pPr>
        <w:pStyle w:val="Recref"/>
        <w:rPr>
          <w:rFonts w:eastAsiaTheme="minorEastAsia"/>
          <w:lang w:val="en-US" w:eastAsia="zh-CN"/>
        </w:rPr>
      </w:pPr>
      <w:r>
        <w:rPr>
          <w:rFonts w:eastAsiaTheme="minorEastAsia" w:hint="eastAsia"/>
          <w:lang w:val="en-US" w:eastAsia="zh-CN"/>
        </w:rPr>
        <w:t>（</w:t>
      </w:r>
      <w:r>
        <w:rPr>
          <w:rFonts w:eastAsiaTheme="minorEastAsia"/>
          <w:lang w:val="en-US" w:eastAsia="zh-CN"/>
        </w:rPr>
        <w:t>ITU-R 217-2/4</w:t>
      </w:r>
      <w:r>
        <w:rPr>
          <w:rFonts w:eastAsiaTheme="minorEastAsia" w:hint="eastAsia"/>
          <w:lang w:val="en-US" w:eastAsia="zh-CN"/>
        </w:rPr>
        <w:t>和</w:t>
      </w:r>
      <w:r>
        <w:rPr>
          <w:rFonts w:eastAsiaTheme="minorEastAsia"/>
          <w:lang w:val="en-US" w:eastAsia="zh-CN"/>
        </w:rPr>
        <w:t>ITU-R 288/4</w:t>
      </w:r>
      <w:r>
        <w:rPr>
          <w:rFonts w:eastAsiaTheme="minorEastAsia" w:hint="eastAsia"/>
          <w:lang w:val="en-US" w:eastAsia="zh-CN"/>
        </w:rPr>
        <w:t>号研究课题）</w:t>
      </w:r>
    </w:p>
    <w:p w14:paraId="002D6FF8" w14:textId="3F975761" w:rsidR="00EF5BF3" w:rsidRDefault="0047509A">
      <w:pPr>
        <w:pStyle w:val="Recdate"/>
        <w:rPr>
          <w:lang w:val="en-GB" w:eastAsia="zh-CN"/>
        </w:rPr>
      </w:pPr>
      <w:r>
        <w:rPr>
          <w:rFonts w:hint="eastAsia"/>
          <w:lang w:val="en-GB" w:eastAsia="zh-CN"/>
        </w:rPr>
        <w:t>（</w:t>
      </w:r>
      <w:r w:rsidR="00551D2B">
        <w:rPr>
          <w:lang w:val="en-GB" w:eastAsia="zh-CN"/>
        </w:rPr>
        <w:t>2012-2019-2022</w:t>
      </w:r>
      <w:r w:rsidR="00551D2B">
        <w:rPr>
          <w:rFonts w:hint="eastAsia"/>
          <w:lang w:val="en-GB" w:eastAsia="zh-CN"/>
        </w:rPr>
        <w:t>年</w:t>
      </w:r>
      <w:r>
        <w:rPr>
          <w:rFonts w:hint="eastAsia"/>
          <w:lang w:val="en-GB" w:eastAsia="zh-CN"/>
        </w:rPr>
        <w:t>）</w:t>
      </w:r>
    </w:p>
    <w:p w14:paraId="6A2D2481" w14:textId="77777777" w:rsidR="00EF5BF3" w:rsidRPr="0047509A" w:rsidRDefault="00551D2B" w:rsidP="0047509A">
      <w:pPr>
        <w:pStyle w:val="HeadingSum"/>
        <w:spacing w:before="360"/>
        <w:outlineLvl w:val="0"/>
        <w:rPr>
          <w:sz w:val="24"/>
          <w:szCs w:val="24"/>
          <w:lang w:val="en-US" w:eastAsia="zh-CN"/>
        </w:rPr>
      </w:pPr>
      <w:r w:rsidRPr="0047509A">
        <w:rPr>
          <w:rFonts w:hint="eastAsia"/>
          <w:sz w:val="24"/>
          <w:szCs w:val="24"/>
          <w:lang w:val="en-US" w:eastAsia="zh-CN"/>
        </w:rPr>
        <w:t>范围</w:t>
      </w:r>
    </w:p>
    <w:p w14:paraId="60DE5788" w14:textId="77777777" w:rsidR="00EF5BF3" w:rsidRDefault="00551D2B" w:rsidP="0047509A">
      <w:pPr>
        <w:pStyle w:val="Summary"/>
        <w:spacing w:after="360"/>
        <w:ind w:firstLineChars="200" w:firstLine="480"/>
        <w:rPr>
          <w:lang w:val="en-GB"/>
        </w:rPr>
      </w:pPr>
      <w:r w:rsidRPr="0047509A">
        <w:rPr>
          <w:rFonts w:hint="eastAsia"/>
        </w:rPr>
        <w:t>本建议书给出了在</w:t>
      </w:r>
      <w:r w:rsidRPr="0047509A">
        <w:t>1 215-1 300</w:t>
      </w:r>
      <w:r w:rsidRPr="0047509A">
        <w:rPr>
          <w:rFonts w:hint="eastAsia"/>
        </w:rPr>
        <w:t xml:space="preserve"> MHz</w:t>
      </w:r>
      <w:r w:rsidRPr="0047509A">
        <w:rPr>
          <w:rFonts w:hint="eastAsia"/>
        </w:rPr>
        <w:t>频段内运行的卫星无线电导航业务（</w:t>
      </w:r>
      <w:r w:rsidRPr="0047509A">
        <w:t>RNSS</w:t>
      </w:r>
      <w:r w:rsidRPr="0047509A">
        <w:rPr>
          <w:rFonts w:hint="eastAsia"/>
        </w:rPr>
        <w:t>）接收地球站的特性和保护标准。这些资料拟用于</w:t>
      </w:r>
      <w:r w:rsidRPr="0047509A">
        <w:rPr>
          <w:rFonts w:hint="eastAsia"/>
          <w:snapToGrid w:val="0"/>
        </w:rPr>
        <w:t>对在</w:t>
      </w:r>
      <w:r w:rsidRPr="0047509A">
        <w:t>1 215-1 300 MHz</w:t>
      </w:r>
      <w:r w:rsidRPr="0047509A">
        <w:rPr>
          <w:rFonts w:hint="eastAsia"/>
        </w:rPr>
        <w:t>频段</w:t>
      </w:r>
      <w:r w:rsidRPr="0047509A">
        <w:rPr>
          <w:rFonts w:hint="eastAsia"/>
          <w:caps/>
        </w:rPr>
        <w:t>内运行</w:t>
      </w:r>
      <w:r w:rsidRPr="0047509A">
        <w:rPr>
          <w:rFonts w:hint="eastAsia"/>
        </w:rPr>
        <w:t>的卫星无线电导航业务</w:t>
      </w:r>
      <w:r w:rsidRPr="0047509A">
        <w:rPr>
          <w:snapToGrid w:val="0"/>
        </w:rPr>
        <w:t>（</w:t>
      </w:r>
      <w:r w:rsidRPr="0047509A">
        <w:rPr>
          <w:rFonts w:hint="eastAsia"/>
          <w:snapToGrid w:val="0"/>
        </w:rPr>
        <w:t>空对地</w:t>
      </w:r>
      <w:r w:rsidRPr="0047509A">
        <w:rPr>
          <w:snapToGrid w:val="0"/>
        </w:rPr>
        <w:t>）</w:t>
      </w:r>
      <w:r w:rsidRPr="0047509A">
        <w:rPr>
          <w:rFonts w:hint="eastAsia"/>
          <w:snapToGrid w:val="0"/>
        </w:rPr>
        <w:t>接收机</w:t>
      </w:r>
      <w:r w:rsidRPr="0047509A">
        <w:rPr>
          <w:rFonts w:hint="eastAsia"/>
        </w:rPr>
        <w:t>受到的卫星无线电导航业务</w:t>
      </w:r>
      <w:r w:rsidRPr="0047509A">
        <w:rPr>
          <w:rFonts w:hint="eastAsia"/>
          <w:snapToGrid w:val="0"/>
        </w:rPr>
        <w:t>以外无线电干扰源的射频干扰影响进行性能分析。</w:t>
      </w:r>
      <w:r w:rsidRPr="0047509A">
        <w:rPr>
          <w:rFonts w:hint="eastAsia"/>
          <w:snapToGrid w:val="0"/>
          <w:lang w:val="en-GB"/>
        </w:rPr>
        <w:t>值得一提的是，本建议书有望用于民用目的。</w:t>
      </w:r>
    </w:p>
    <w:p w14:paraId="4CD0EF7F" w14:textId="77777777" w:rsidR="00EF5BF3" w:rsidRDefault="00551D2B" w:rsidP="0047509A">
      <w:pPr>
        <w:pStyle w:val="Headingb"/>
        <w:spacing w:before="360"/>
        <w:rPr>
          <w:lang w:val="en-GB" w:eastAsia="zh-CN"/>
        </w:rPr>
      </w:pPr>
      <w:r>
        <w:rPr>
          <w:rFonts w:hint="eastAsia"/>
          <w:lang w:val="en-US" w:eastAsia="zh-CN"/>
        </w:rPr>
        <w:t>关键词</w:t>
      </w:r>
    </w:p>
    <w:p w14:paraId="0680B4FB" w14:textId="77777777" w:rsidR="00EF5BF3" w:rsidRDefault="00551D2B" w:rsidP="00F21BD6">
      <w:pPr>
        <w:ind w:firstLineChars="200" w:firstLine="480"/>
        <w:rPr>
          <w:lang w:val="en-GB" w:eastAsia="zh-CN"/>
        </w:rPr>
      </w:pPr>
      <w:r>
        <w:rPr>
          <w:rFonts w:hint="eastAsia"/>
          <w:lang w:eastAsia="zh-CN"/>
        </w:rPr>
        <w:t>卫星无线电导航业务（</w:t>
      </w:r>
      <w:r>
        <w:rPr>
          <w:lang w:eastAsia="zh-CN"/>
        </w:rPr>
        <w:t>RNSS</w:t>
      </w:r>
      <w:r>
        <w:rPr>
          <w:rFonts w:hint="eastAsia"/>
          <w:lang w:eastAsia="zh-CN"/>
        </w:rPr>
        <w:t>）、</w:t>
      </w:r>
      <w:r>
        <w:rPr>
          <w:rFonts w:hint="eastAsia"/>
          <w:lang w:val="en-GB" w:eastAsia="zh-CN"/>
        </w:rPr>
        <w:t>保护标准、射频干扰影响</w:t>
      </w:r>
    </w:p>
    <w:p w14:paraId="12ABAC7F" w14:textId="77777777" w:rsidR="00EF5BF3" w:rsidRDefault="00551D2B" w:rsidP="0047509A">
      <w:pPr>
        <w:pStyle w:val="Headingb"/>
        <w:spacing w:before="360"/>
        <w:rPr>
          <w:b w:val="0"/>
          <w:lang w:val="en-GB" w:eastAsia="zh-CN"/>
        </w:rPr>
      </w:pPr>
      <w:bookmarkStart w:id="2" w:name="_Hlk98918043"/>
      <w:r>
        <w:rPr>
          <w:rFonts w:hint="eastAsia"/>
          <w:lang w:val="en-GB" w:eastAsia="zh-CN"/>
        </w:rPr>
        <w:t>缩写词</w:t>
      </w:r>
      <w:r>
        <w:rPr>
          <w:rFonts w:hint="eastAsia"/>
          <w:lang w:val="en-GB" w:eastAsia="zh-CN"/>
        </w:rPr>
        <w:t>/</w:t>
      </w:r>
      <w:r>
        <w:rPr>
          <w:rFonts w:hint="eastAsia"/>
          <w:lang w:val="en-GB" w:eastAsia="zh-CN"/>
        </w:rPr>
        <w:t>词汇表</w:t>
      </w:r>
    </w:p>
    <w:p w14:paraId="5F053729" w14:textId="77777777" w:rsidR="00EF5BF3" w:rsidRDefault="00551D2B">
      <w:pPr>
        <w:rPr>
          <w:lang w:val="en-GB" w:eastAsia="zh-CN"/>
        </w:rPr>
      </w:pPr>
      <w:r>
        <w:rPr>
          <w:lang w:val="en-GB" w:eastAsia="zh-CN"/>
        </w:rPr>
        <w:t>AWGN</w:t>
      </w:r>
      <w:r>
        <w:rPr>
          <w:lang w:val="en-GB" w:eastAsia="zh-CN"/>
        </w:rPr>
        <w:tab/>
      </w:r>
      <w:r>
        <w:rPr>
          <w:lang w:val="en-GB" w:eastAsia="zh-CN"/>
        </w:rPr>
        <w:tab/>
      </w:r>
      <w:r>
        <w:rPr>
          <w:rFonts w:hint="eastAsia"/>
          <w:lang w:val="en-GB" w:eastAsia="zh-CN"/>
        </w:rPr>
        <w:t>加性高斯白噪声</w:t>
      </w:r>
    </w:p>
    <w:p w14:paraId="6622147B" w14:textId="77777777" w:rsidR="00EF5BF3" w:rsidRDefault="00551D2B">
      <w:pPr>
        <w:rPr>
          <w:lang w:val="en-GB" w:eastAsia="zh-CN"/>
        </w:rPr>
      </w:pPr>
      <w:r>
        <w:rPr>
          <w:lang w:val="en-GB" w:eastAsia="zh-CN"/>
        </w:rPr>
        <w:t>PDC</w:t>
      </w:r>
      <w:r>
        <w:rPr>
          <w:lang w:val="en-GB" w:eastAsia="zh-CN"/>
        </w:rPr>
        <w:tab/>
      </w:r>
      <w:r>
        <w:rPr>
          <w:lang w:val="en-GB" w:eastAsia="zh-CN"/>
        </w:rPr>
        <w:tab/>
      </w:r>
      <w:r>
        <w:rPr>
          <w:rFonts w:hint="eastAsia"/>
          <w:lang w:val="en-GB" w:eastAsia="zh-CN"/>
        </w:rPr>
        <w:t>脉冲占空比</w:t>
      </w:r>
    </w:p>
    <w:p w14:paraId="4478A4CD" w14:textId="77777777" w:rsidR="00EF5BF3" w:rsidRDefault="00551D2B">
      <w:pPr>
        <w:rPr>
          <w:lang w:val="en-GB" w:eastAsia="zh-CN"/>
        </w:rPr>
      </w:pPr>
      <w:r>
        <w:rPr>
          <w:lang w:val="en-GB" w:eastAsia="zh-CN"/>
        </w:rPr>
        <w:t>PNT</w:t>
      </w:r>
      <w:r>
        <w:rPr>
          <w:lang w:val="en-GB" w:eastAsia="zh-CN"/>
        </w:rPr>
        <w:tab/>
      </w:r>
      <w:r>
        <w:rPr>
          <w:lang w:val="en-GB" w:eastAsia="zh-CN"/>
        </w:rPr>
        <w:tab/>
      </w:r>
      <w:r>
        <w:rPr>
          <w:rFonts w:hint="eastAsia"/>
          <w:lang w:val="en-GB" w:eastAsia="zh-CN"/>
        </w:rPr>
        <w:t>位置、导航和计时</w:t>
      </w:r>
    </w:p>
    <w:p w14:paraId="63571873" w14:textId="77777777" w:rsidR="00EF5BF3" w:rsidRDefault="00551D2B">
      <w:pPr>
        <w:rPr>
          <w:lang w:val="en-GB" w:eastAsia="zh-CN"/>
        </w:rPr>
      </w:pPr>
      <w:r>
        <w:rPr>
          <w:lang w:val="en-GB" w:eastAsia="zh-CN"/>
        </w:rPr>
        <w:t>PRF</w:t>
      </w:r>
      <w:r>
        <w:rPr>
          <w:lang w:val="en-GB" w:eastAsia="zh-CN"/>
        </w:rPr>
        <w:tab/>
      </w:r>
      <w:r>
        <w:rPr>
          <w:lang w:val="en-GB" w:eastAsia="zh-CN"/>
        </w:rPr>
        <w:tab/>
      </w:r>
      <w:r>
        <w:rPr>
          <w:rFonts w:hint="eastAsia"/>
          <w:lang w:val="en-GB" w:eastAsia="zh-CN"/>
        </w:rPr>
        <w:t>脉冲重复频率</w:t>
      </w:r>
    </w:p>
    <w:p w14:paraId="1F51D4A9" w14:textId="77777777" w:rsidR="00EF5BF3" w:rsidRDefault="00551D2B">
      <w:pPr>
        <w:rPr>
          <w:lang w:val="en-GB" w:eastAsia="zh-CN"/>
        </w:rPr>
      </w:pPr>
      <w:r>
        <w:rPr>
          <w:lang w:val="en-GB" w:eastAsia="zh-CN"/>
        </w:rPr>
        <w:t>RHCP</w:t>
      </w:r>
      <w:r>
        <w:rPr>
          <w:lang w:val="en-GB" w:eastAsia="zh-CN"/>
        </w:rPr>
        <w:tab/>
      </w:r>
      <w:r>
        <w:rPr>
          <w:lang w:val="en-GB" w:eastAsia="zh-CN"/>
        </w:rPr>
        <w:tab/>
      </w:r>
      <w:r>
        <w:rPr>
          <w:rFonts w:hint="eastAsia"/>
          <w:lang w:val="en-GB" w:eastAsia="zh-CN"/>
        </w:rPr>
        <w:t>右旋圆极化</w:t>
      </w:r>
    </w:p>
    <w:p w14:paraId="21582BEA" w14:textId="77777777" w:rsidR="00EF5BF3" w:rsidRDefault="00551D2B">
      <w:pPr>
        <w:rPr>
          <w:lang w:val="en-GB" w:eastAsia="zh-CN"/>
        </w:rPr>
      </w:pPr>
      <w:r>
        <w:rPr>
          <w:lang w:val="en-GB" w:eastAsia="zh-CN"/>
        </w:rPr>
        <w:t>SQPN</w:t>
      </w:r>
      <w:r>
        <w:rPr>
          <w:lang w:val="en-GB" w:eastAsia="zh-CN"/>
        </w:rPr>
        <w:tab/>
      </w:r>
      <w:r>
        <w:rPr>
          <w:lang w:val="en-GB" w:eastAsia="zh-CN"/>
        </w:rPr>
        <w:tab/>
      </w:r>
      <w:r>
        <w:rPr>
          <w:rFonts w:hint="eastAsia"/>
          <w:lang w:val="en-GB" w:eastAsia="zh-CN"/>
        </w:rPr>
        <w:t>交错正交伪随机噪声</w:t>
      </w:r>
    </w:p>
    <w:p w14:paraId="4E9985A6" w14:textId="77777777" w:rsidR="00EF5BF3" w:rsidRDefault="00551D2B">
      <w:pPr>
        <w:rPr>
          <w:lang w:val="en-GB" w:eastAsia="zh-CN"/>
        </w:rPr>
      </w:pPr>
      <w:r>
        <w:rPr>
          <w:lang w:val="en-GB" w:eastAsia="zh-CN"/>
        </w:rPr>
        <w:t>SQPSK</w:t>
      </w:r>
      <w:r>
        <w:rPr>
          <w:lang w:val="en-GB" w:eastAsia="zh-CN"/>
        </w:rPr>
        <w:tab/>
      </w:r>
      <w:r>
        <w:rPr>
          <w:lang w:val="en-GB" w:eastAsia="zh-CN"/>
        </w:rPr>
        <w:tab/>
      </w:r>
      <w:r>
        <w:rPr>
          <w:rFonts w:hint="eastAsia"/>
          <w:lang w:val="en-GB" w:eastAsia="zh-CN"/>
        </w:rPr>
        <w:t>交错正交相移键控</w:t>
      </w:r>
    </w:p>
    <w:p w14:paraId="72A922BE" w14:textId="77777777" w:rsidR="00EF5BF3" w:rsidRDefault="00551D2B">
      <w:pPr>
        <w:rPr>
          <w:lang w:val="en-GB" w:eastAsia="zh-CN"/>
        </w:rPr>
      </w:pPr>
      <w:r>
        <w:rPr>
          <w:lang w:val="en-GB" w:eastAsia="zh-CN"/>
        </w:rPr>
        <w:t>SSC</w:t>
      </w:r>
      <w:r>
        <w:rPr>
          <w:lang w:val="en-GB" w:eastAsia="zh-CN"/>
        </w:rPr>
        <w:tab/>
      </w:r>
      <w:r>
        <w:rPr>
          <w:lang w:val="en-GB" w:eastAsia="zh-CN"/>
        </w:rPr>
        <w:tab/>
      </w:r>
      <w:r>
        <w:rPr>
          <w:rFonts w:hint="eastAsia"/>
          <w:lang w:val="en-GB" w:eastAsia="zh-CN"/>
        </w:rPr>
        <w:t>光谱分离系数</w:t>
      </w:r>
      <w:bookmarkEnd w:id="2"/>
    </w:p>
    <w:p w14:paraId="5DA6D360" w14:textId="77777777" w:rsidR="00EF5BF3" w:rsidRDefault="00551D2B" w:rsidP="00DF3FA7">
      <w:pPr>
        <w:pStyle w:val="Headingb"/>
        <w:spacing w:before="360"/>
        <w:rPr>
          <w:b w:val="0"/>
          <w:lang w:val="en-GB" w:eastAsia="zh-CN"/>
        </w:rPr>
      </w:pPr>
      <w:r>
        <w:rPr>
          <w:rFonts w:hint="eastAsia"/>
          <w:lang w:val="en-GB" w:eastAsia="zh-CN"/>
        </w:rPr>
        <w:t>相关的国际电联建议书和报告</w:t>
      </w:r>
    </w:p>
    <w:p w14:paraId="6407E98E" w14:textId="547219DA" w:rsidR="00EF5BF3" w:rsidRDefault="00B02881">
      <w:pPr>
        <w:tabs>
          <w:tab w:val="left" w:pos="3678"/>
        </w:tabs>
        <w:ind w:left="3623" w:hanging="3623"/>
        <w:rPr>
          <w:lang w:val="en-GB" w:eastAsia="zh-CN"/>
        </w:rPr>
      </w:pPr>
      <w:hyperlink r:id="rId14" w:history="1">
        <w:r w:rsidR="00551D2B">
          <w:rPr>
            <w:lang w:val="en-GB" w:eastAsia="zh-CN"/>
          </w:rPr>
          <w:t>ITU-R M.1318-1</w:t>
        </w:r>
      </w:hyperlink>
      <w:r w:rsidR="00551D2B">
        <w:rPr>
          <w:rFonts w:hint="eastAsia"/>
          <w:lang w:val="en-US" w:eastAsia="zh-CN"/>
        </w:rPr>
        <w:t>建议书</w:t>
      </w:r>
      <w:r w:rsidR="00551D2B">
        <w:rPr>
          <w:lang w:val="en-GB" w:eastAsia="zh-CN"/>
        </w:rPr>
        <w:tab/>
      </w:r>
      <w:r w:rsidR="00551D2B">
        <w:rPr>
          <w:rFonts w:hint="eastAsia"/>
          <w:lang w:eastAsia="zh-CN"/>
        </w:rPr>
        <w:t>卫星无线电导航业务以外的无线电源对在</w:t>
      </w:r>
      <w:r w:rsidR="00551D2B">
        <w:rPr>
          <w:rFonts w:hint="eastAsia"/>
          <w:lang w:eastAsia="zh-CN"/>
        </w:rPr>
        <w:t>1</w:t>
      </w:r>
      <w:r w:rsidR="00F21BD6" w:rsidRPr="00F21BD6">
        <w:rPr>
          <w:lang w:val="en-GB" w:eastAsia="zh-CN"/>
        </w:rPr>
        <w:t> </w:t>
      </w:r>
      <w:r w:rsidR="00551D2B">
        <w:rPr>
          <w:rFonts w:hint="eastAsia"/>
          <w:lang w:eastAsia="zh-CN"/>
        </w:rPr>
        <w:t>164-1</w:t>
      </w:r>
      <w:r w:rsidR="00F21BD6" w:rsidRPr="00F21BD6">
        <w:rPr>
          <w:lang w:val="en-GB" w:eastAsia="zh-CN"/>
        </w:rPr>
        <w:t> </w:t>
      </w:r>
      <w:r w:rsidR="00551D2B">
        <w:rPr>
          <w:rFonts w:hint="eastAsia"/>
          <w:lang w:eastAsia="zh-CN"/>
        </w:rPr>
        <w:t>215</w:t>
      </w:r>
      <w:r w:rsidR="00F21BD6" w:rsidRPr="00F21BD6">
        <w:rPr>
          <w:lang w:val="en-GB" w:eastAsia="zh-CN"/>
        </w:rPr>
        <w:t> </w:t>
      </w:r>
      <w:r w:rsidR="00551D2B">
        <w:rPr>
          <w:rFonts w:hint="eastAsia"/>
          <w:lang w:eastAsia="zh-CN"/>
        </w:rPr>
        <w:t>MHz</w:t>
      </w:r>
      <w:r w:rsidR="00551D2B">
        <w:rPr>
          <w:rFonts w:hint="eastAsia"/>
          <w:lang w:eastAsia="zh-CN"/>
        </w:rPr>
        <w:t>、</w:t>
      </w:r>
      <w:r w:rsidR="00551D2B">
        <w:rPr>
          <w:rFonts w:hint="eastAsia"/>
          <w:lang w:eastAsia="zh-CN"/>
        </w:rPr>
        <w:t>1</w:t>
      </w:r>
      <w:r w:rsidR="00F21BD6" w:rsidRPr="00F21BD6">
        <w:rPr>
          <w:lang w:val="en-GB" w:eastAsia="zh-CN"/>
        </w:rPr>
        <w:t> </w:t>
      </w:r>
      <w:r w:rsidR="00551D2B">
        <w:rPr>
          <w:rFonts w:hint="eastAsia"/>
          <w:lang w:eastAsia="zh-CN"/>
        </w:rPr>
        <w:t>215-1</w:t>
      </w:r>
      <w:r w:rsidR="00F21BD6" w:rsidRPr="00F21BD6">
        <w:rPr>
          <w:lang w:val="en-GB" w:eastAsia="zh-CN"/>
        </w:rPr>
        <w:t> </w:t>
      </w:r>
      <w:r w:rsidR="00551D2B">
        <w:rPr>
          <w:rFonts w:hint="eastAsia"/>
          <w:lang w:eastAsia="zh-CN"/>
        </w:rPr>
        <w:t>300</w:t>
      </w:r>
      <w:r w:rsidR="00F21BD6" w:rsidRPr="00F21BD6">
        <w:rPr>
          <w:lang w:val="en-GB" w:eastAsia="zh-CN"/>
        </w:rPr>
        <w:t> </w:t>
      </w:r>
      <w:r w:rsidR="00551D2B">
        <w:rPr>
          <w:rFonts w:hint="eastAsia"/>
          <w:lang w:eastAsia="zh-CN"/>
        </w:rPr>
        <w:t>MHz</w:t>
      </w:r>
      <w:r w:rsidR="00551D2B">
        <w:rPr>
          <w:rFonts w:hint="eastAsia"/>
          <w:lang w:eastAsia="zh-CN"/>
        </w:rPr>
        <w:t>、</w:t>
      </w:r>
      <w:r w:rsidR="00551D2B">
        <w:rPr>
          <w:rFonts w:hint="eastAsia"/>
          <w:lang w:eastAsia="zh-CN"/>
        </w:rPr>
        <w:t>1</w:t>
      </w:r>
      <w:r w:rsidR="00F21BD6" w:rsidRPr="00F21BD6">
        <w:rPr>
          <w:lang w:val="en-GB" w:eastAsia="zh-CN"/>
        </w:rPr>
        <w:t> </w:t>
      </w:r>
      <w:r w:rsidR="00551D2B">
        <w:rPr>
          <w:rFonts w:hint="eastAsia"/>
          <w:lang w:eastAsia="zh-CN"/>
        </w:rPr>
        <w:t>559</w:t>
      </w:r>
      <w:r w:rsidR="00DF3FA7">
        <w:rPr>
          <w:rFonts w:hint="eastAsia"/>
          <w:lang w:eastAsia="zh-CN"/>
        </w:rPr>
        <w:t>-</w:t>
      </w:r>
      <w:r w:rsidR="00551D2B">
        <w:rPr>
          <w:rFonts w:hint="eastAsia"/>
          <w:lang w:eastAsia="zh-CN"/>
        </w:rPr>
        <w:t>1</w:t>
      </w:r>
      <w:r w:rsidR="00F21BD6" w:rsidRPr="00F21BD6">
        <w:rPr>
          <w:lang w:val="en-GB" w:eastAsia="zh-CN"/>
        </w:rPr>
        <w:t> </w:t>
      </w:r>
      <w:r w:rsidR="00551D2B">
        <w:rPr>
          <w:rFonts w:hint="eastAsia"/>
          <w:lang w:eastAsia="zh-CN"/>
        </w:rPr>
        <w:t>610</w:t>
      </w:r>
      <w:r w:rsidR="00F21BD6" w:rsidRPr="00F21BD6">
        <w:rPr>
          <w:lang w:val="en-GB" w:eastAsia="zh-CN"/>
        </w:rPr>
        <w:t> </w:t>
      </w:r>
      <w:r w:rsidR="00551D2B">
        <w:rPr>
          <w:rFonts w:hint="eastAsia"/>
          <w:lang w:eastAsia="zh-CN"/>
        </w:rPr>
        <w:t>MHz</w:t>
      </w:r>
      <w:r w:rsidR="00551D2B">
        <w:rPr>
          <w:rFonts w:hint="eastAsia"/>
          <w:lang w:eastAsia="zh-CN"/>
        </w:rPr>
        <w:t>和</w:t>
      </w:r>
      <w:r w:rsidR="00551D2B">
        <w:rPr>
          <w:rFonts w:hint="eastAsia"/>
          <w:lang w:eastAsia="zh-CN"/>
        </w:rPr>
        <w:t>5</w:t>
      </w:r>
      <w:r w:rsidR="00F21BD6" w:rsidRPr="00F21BD6">
        <w:rPr>
          <w:lang w:val="en-GB" w:eastAsia="zh-CN"/>
        </w:rPr>
        <w:t> </w:t>
      </w:r>
      <w:r w:rsidR="00551D2B">
        <w:rPr>
          <w:rFonts w:hint="eastAsia"/>
          <w:lang w:eastAsia="zh-CN"/>
        </w:rPr>
        <w:t>010-5</w:t>
      </w:r>
      <w:r w:rsidR="00F21BD6" w:rsidRPr="00F21BD6">
        <w:rPr>
          <w:lang w:val="en-GB" w:eastAsia="zh-CN"/>
        </w:rPr>
        <w:t> </w:t>
      </w:r>
      <w:r w:rsidR="00551D2B">
        <w:rPr>
          <w:rFonts w:hint="eastAsia"/>
          <w:lang w:eastAsia="zh-CN"/>
        </w:rPr>
        <w:t>030</w:t>
      </w:r>
      <w:r w:rsidR="00F21BD6" w:rsidRPr="00F21BD6">
        <w:rPr>
          <w:lang w:val="en-GB" w:eastAsia="zh-CN"/>
        </w:rPr>
        <w:t> </w:t>
      </w:r>
      <w:r w:rsidR="00551D2B">
        <w:rPr>
          <w:rFonts w:hint="eastAsia"/>
          <w:lang w:eastAsia="zh-CN"/>
        </w:rPr>
        <w:t>MHz</w:t>
      </w:r>
      <w:r w:rsidR="00551D2B">
        <w:rPr>
          <w:rFonts w:hint="eastAsia"/>
          <w:lang w:eastAsia="zh-CN"/>
        </w:rPr>
        <w:t>频段</w:t>
      </w:r>
      <w:r w:rsidR="00551D2B">
        <w:rPr>
          <w:rFonts w:hint="eastAsia"/>
          <w:lang w:val="en-US" w:eastAsia="zh-CN"/>
        </w:rPr>
        <w:t>内运行</w:t>
      </w:r>
      <w:r w:rsidR="00551D2B">
        <w:rPr>
          <w:rFonts w:hint="eastAsia"/>
          <w:lang w:eastAsia="zh-CN"/>
        </w:rPr>
        <w:t>的卫星无线电导航业务系统和网络的连续干扰的评估模型</w:t>
      </w:r>
    </w:p>
    <w:p w14:paraId="1E97EB11" w14:textId="3A69323A" w:rsidR="00EF5BF3" w:rsidRDefault="00B02881">
      <w:pPr>
        <w:tabs>
          <w:tab w:val="left" w:pos="3678"/>
        </w:tabs>
        <w:ind w:left="3623" w:hanging="3623"/>
        <w:rPr>
          <w:lang w:val="en-GB" w:eastAsia="zh-CN"/>
        </w:rPr>
      </w:pPr>
      <w:hyperlink r:id="rId15" w:history="1">
        <w:r w:rsidR="00551D2B">
          <w:rPr>
            <w:lang w:val="en-GB" w:eastAsia="zh-CN"/>
          </w:rPr>
          <w:t>ITU-R M.1787-4</w:t>
        </w:r>
      </w:hyperlink>
      <w:r w:rsidR="00551D2B">
        <w:rPr>
          <w:rFonts w:hint="eastAsia"/>
          <w:lang w:val="en-US" w:eastAsia="zh-CN"/>
        </w:rPr>
        <w:t>建议书</w:t>
      </w:r>
      <w:r w:rsidR="00551D2B">
        <w:rPr>
          <w:lang w:val="en-GB" w:eastAsia="zh-CN"/>
        </w:rPr>
        <w:tab/>
      </w:r>
      <w:r w:rsidR="00551D2B">
        <w:rPr>
          <w:rFonts w:hint="eastAsia"/>
          <w:lang w:eastAsia="zh-CN"/>
        </w:rPr>
        <w:t>卫星无线电导航业务（空</w:t>
      </w:r>
      <w:r w:rsidR="00551D2B">
        <w:rPr>
          <w:rFonts w:hint="eastAsia"/>
          <w:lang w:val="en-US" w:eastAsia="zh-CN"/>
        </w:rPr>
        <w:t>对</w:t>
      </w:r>
      <w:r w:rsidR="00551D2B">
        <w:rPr>
          <w:rFonts w:hint="eastAsia"/>
          <w:lang w:eastAsia="zh-CN"/>
        </w:rPr>
        <w:t>地和空</w:t>
      </w:r>
      <w:r w:rsidR="00551D2B">
        <w:rPr>
          <w:rFonts w:hint="eastAsia"/>
          <w:lang w:val="en-US" w:eastAsia="zh-CN"/>
        </w:rPr>
        <w:t>对</w:t>
      </w:r>
      <w:r w:rsidR="00551D2B">
        <w:rPr>
          <w:rFonts w:hint="eastAsia"/>
          <w:lang w:eastAsia="zh-CN"/>
        </w:rPr>
        <w:t>空）中的系统和网络的描述以及在</w:t>
      </w:r>
      <w:r w:rsidR="00551D2B">
        <w:rPr>
          <w:rFonts w:hint="eastAsia"/>
          <w:lang w:eastAsia="zh-CN"/>
        </w:rPr>
        <w:t>1 164-1 215 MHz</w:t>
      </w:r>
      <w:r w:rsidR="00551D2B">
        <w:rPr>
          <w:rFonts w:hint="eastAsia"/>
          <w:lang w:eastAsia="zh-CN"/>
        </w:rPr>
        <w:t>、</w:t>
      </w:r>
      <w:r w:rsidR="00551D2B">
        <w:rPr>
          <w:rFonts w:hint="eastAsia"/>
          <w:lang w:eastAsia="zh-CN"/>
        </w:rPr>
        <w:t>1 215-1 300 MHz</w:t>
      </w:r>
      <w:r w:rsidR="00551D2B">
        <w:rPr>
          <w:rFonts w:hint="eastAsia"/>
          <w:lang w:eastAsia="zh-CN"/>
        </w:rPr>
        <w:t>和</w:t>
      </w:r>
      <w:r w:rsidR="00551D2B">
        <w:rPr>
          <w:rFonts w:hint="eastAsia"/>
          <w:lang w:eastAsia="zh-CN"/>
        </w:rPr>
        <w:t>1</w:t>
      </w:r>
      <w:r w:rsidR="00F21BD6" w:rsidRPr="00F21BD6">
        <w:rPr>
          <w:lang w:val="en-GB" w:eastAsia="zh-CN"/>
        </w:rPr>
        <w:t> </w:t>
      </w:r>
      <w:r w:rsidR="00551D2B">
        <w:rPr>
          <w:rFonts w:hint="eastAsia"/>
          <w:lang w:eastAsia="zh-CN"/>
        </w:rPr>
        <w:t>559-1</w:t>
      </w:r>
      <w:r w:rsidR="00F21BD6" w:rsidRPr="00F21BD6">
        <w:rPr>
          <w:lang w:val="en-GB" w:eastAsia="zh-CN"/>
        </w:rPr>
        <w:t> </w:t>
      </w:r>
      <w:r w:rsidR="00551D2B">
        <w:rPr>
          <w:rFonts w:hint="eastAsia"/>
          <w:lang w:eastAsia="zh-CN"/>
        </w:rPr>
        <w:t>610</w:t>
      </w:r>
      <w:r w:rsidR="00F21BD6" w:rsidRPr="00F21BD6">
        <w:rPr>
          <w:lang w:val="en-GB" w:eastAsia="zh-CN"/>
        </w:rPr>
        <w:t> </w:t>
      </w:r>
      <w:r w:rsidR="00551D2B">
        <w:rPr>
          <w:rFonts w:hint="eastAsia"/>
          <w:lang w:eastAsia="zh-CN"/>
        </w:rPr>
        <w:t>MHz</w:t>
      </w:r>
      <w:r w:rsidR="00551D2B">
        <w:rPr>
          <w:rFonts w:hint="eastAsia"/>
          <w:lang w:eastAsia="zh-CN"/>
        </w:rPr>
        <w:t>频段</w:t>
      </w:r>
      <w:r w:rsidR="00551D2B">
        <w:rPr>
          <w:rFonts w:hint="eastAsia"/>
          <w:lang w:val="en-US" w:eastAsia="zh-CN"/>
        </w:rPr>
        <w:t>内运行</w:t>
      </w:r>
      <w:r w:rsidR="00551D2B">
        <w:rPr>
          <w:rFonts w:hint="eastAsia"/>
          <w:lang w:eastAsia="zh-CN"/>
        </w:rPr>
        <w:t>的发射空间站的技术特性</w:t>
      </w:r>
    </w:p>
    <w:p w14:paraId="402F792D" w14:textId="77777777" w:rsidR="0047509A" w:rsidRDefault="0047509A">
      <w:pPr>
        <w:tabs>
          <w:tab w:val="clear" w:pos="794"/>
          <w:tab w:val="clear" w:pos="1191"/>
          <w:tab w:val="clear" w:pos="1588"/>
          <w:tab w:val="clear" w:pos="1985"/>
        </w:tabs>
        <w:overflowPunct/>
        <w:autoSpaceDE/>
        <w:autoSpaceDN/>
        <w:adjustRightInd/>
        <w:spacing w:before="0"/>
        <w:jc w:val="left"/>
        <w:textAlignment w:val="auto"/>
      </w:pPr>
      <w:r>
        <w:br w:type="page"/>
      </w:r>
    </w:p>
    <w:p w14:paraId="4521B607" w14:textId="2D39DCF7" w:rsidR="00EF5BF3" w:rsidRDefault="00B02881">
      <w:pPr>
        <w:tabs>
          <w:tab w:val="left" w:pos="3678"/>
        </w:tabs>
        <w:ind w:left="3623" w:hanging="3623"/>
        <w:rPr>
          <w:lang w:val="en-GB" w:eastAsia="zh-CN"/>
        </w:rPr>
      </w:pPr>
      <w:hyperlink r:id="rId16" w:history="1">
        <w:r w:rsidR="00551D2B">
          <w:rPr>
            <w:lang w:val="en-GB" w:eastAsia="zh-CN"/>
          </w:rPr>
          <w:t>ITU-R M.1901-</w:t>
        </w:r>
      </w:hyperlink>
      <w:r w:rsidR="00551D2B">
        <w:rPr>
          <w:lang w:val="en-GB" w:eastAsia="zh-CN"/>
        </w:rPr>
        <w:t>3</w:t>
      </w:r>
      <w:r w:rsidR="00551D2B">
        <w:rPr>
          <w:rFonts w:hint="eastAsia"/>
          <w:lang w:val="en-US" w:eastAsia="zh-CN"/>
        </w:rPr>
        <w:t>建议书</w:t>
      </w:r>
      <w:r w:rsidR="00551D2B">
        <w:rPr>
          <w:lang w:val="en-GB" w:eastAsia="zh-CN"/>
        </w:rPr>
        <w:tab/>
      </w:r>
      <w:r w:rsidR="00551D2B">
        <w:rPr>
          <w:rFonts w:hint="eastAsia"/>
          <w:lang w:val="en-US" w:eastAsia="zh-CN"/>
        </w:rPr>
        <w:t>与</w:t>
      </w:r>
      <w:r w:rsidR="00551D2B">
        <w:rPr>
          <w:rFonts w:hint="eastAsia"/>
          <w:lang w:eastAsia="zh-CN"/>
        </w:rPr>
        <w:t>在</w:t>
      </w:r>
      <w:r w:rsidR="00551D2B">
        <w:rPr>
          <w:rFonts w:hint="eastAsia"/>
          <w:lang w:eastAsia="zh-CN"/>
        </w:rPr>
        <w:t>1 164-1 215 MHz</w:t>
      </w:r>
      <w:r w:rsidR="00551D2B">
        <w:rPr>
          <w:rFonts w:hint="eastAsia"/>
          <w:lang w:eastAsia="zh-CN"/>
        </w:rPr>
        <w:t>、</w:t>
      </w:r>
      <w:r w:rsidR="00551D2B">
        <w:rPr>
          <w:rFonts w:hint="eastAsia"/>
          <w:lang w:eastAsia="zh-CN"/>
        </w:rPr>
        <w:t>1 215</w:t>
      </w:r>
      <w:r w:rsidR="00DF3FA7">
        <w:rPr>
          <w:rFonts w:hint="eastAsia"/>
          <w:lang w:eastAsia="zh-CN"/>
        </w:rPr>
        <w:t>-</w:t>
      </w:r>
      <w:r w:rsidR="00551D2B">
        <w:rPr>
          <w:rFonts w:hint="eastAsia"/>
          <w:lang w:eastAsia="zh-CN"/>
        </w:rPr>
        <w:t>1 300 MHz</w:t>
      </w:r>
      <w:r w:rsidR="00551D2B">
        <w:rPr>
          <w:rFonts w:hint="eastAsia"/>
          <w:lang w:eastAsia="zh-CN"/>
        </w:rPr>
        <w:t>、</w:t>
      </w:r>
      <w:r w:rsidR="00551D2B">
        <w:rPr>
          <w:rFonts w:hint="eastAsia"/>
          <w:lang w:eastAsia="zh-CN"/>
        </w:rPr>
        <w:t>1</w:t>
      </w:r>
      <w:r w:rsidR="00F21BD6" w:rsidRPr="00F21BD6">
        <w:rPr>
          <w:lang w:val="en-GB" w:eastAsia="zh-CN"/>
        </w:rPr>
        <w:t> </w:t>
      </w:r>
      <w:r w:rsidR="00551D2B">
        <w:rPr>
          <w:rFonts w:hint="eastAsia"/>
          <w:lang w:eastAsia="zh-CN"/>
        </w:rPr>
        <w:t>559-1</w:t>
      </w:r>
      <w:r w:rsidR="00F21BD6" w:rsidRPr="00F21BD6">
        <w:rPr>
          <w:lang w:val="en-GB" w:eastAsia="zh-CN"/>
        </w:rPr>
        <w:t> </w:t>
      </w:r>
      <w:r w:rsidR="00551D2B">
        <w:rPr>
          <w:rFonts w:hint="eastAsia"/>
          <w:lang w:eastAsia="zh-CN"/>
        </w:rPr>
        <w:t>610</w:t>
      </w:r>
      <w:r w:rsidR="00F21BD6" w:rsidRPr="00F21BD6">
        <w:rPr>
          <w:lang w:val="en-GB" w:eastAsia="zh-CN"/>
        </w:rPr>
        <w:t> </w:t>
      </w:r>
      <w:r w:rsidR="00551D2B">
        <w:rPr>
          <w:rFonts w:hint="eastAsia"/>
          <w:lang w:eastAsia="zh-CN"/>
        </w:rPr>
        <w:t>MHz</w:t>
      </w:r>
      <w:r w:rsidR="00551D2B">
        <w:rPr>
          <w:rFonts w:hint="eastAsia"/>
          <w:lang w:eastAsia="zh-CN"/>
        </w:rPr>
        <w:t>、</w:t>
      </w:r>
      <w:r w:rsidR="00551D2B">
        <w:rPr>
          <w:rFonts w:hint="eastAsia"/>
          <w:lang w:eastAsia="zh-CN"/>
        </w:rPr>
        <w:t>5 000-5 010 MHz</w:t>
      </w:r>
      <w:r w:rsidR="00551D2B">
        <w:rPr>
          <w:rFonts w:hint="eastAsia"/>
          <w:lang w:eastAsia="zh-CN"/>
        </w:rPr>
        <w:t>和</w:t>
      </w:r>
      <w:r w:rsidR="00551D2B">
        <w:rPr>
          <w:rFonts w:hint="eastAsia"/>
          <w:lang w:eastAsia="zh-CN"/>
        </w:rPr>
        <w:t>5 010-5 030 MHz</w:t>
      </w:r>
      <w:r w:rsidR="00551D2B">
        <w:rPr>
          <w:rFonts w:hint="eastAsia"/>
          <w:lang w:eastAsia="zh-CN"/>
        </w:rPr>
        <w:t>频段</w:t>
      </w:r>
      <w:r w:rsidR="00551D2B">
        <w:rPr>
          <w:rFonts w:hint="eastAsia"/>
          <w:lang w:val="en-US" w:eastAsia="zh-CN"/>
        </w:rPr>
        <w:t>内</w:t>
      </w:r>
      <w:r w:rsidR="00551D2B">
        <w:rPr>
          <w:rFonts w:hint="eastAsia"/>
          <w:lang w:eastAsia="zh-CN"/>
        </w:rPr>
        <w:t>运行的卫星无线电导航业务系统和网络</w:t>
      </w:r>
      <w:r w:rsidR="00551D2B">
        <w:rPr>
          <w:rFonts w:hint="eastAsia"/>
          <w:lang w:val="en-US" w:eastAsia="zh-CN"/>
        </w:rPr>
        <w:t>相关的</w:t>
      </w:r>
      <w:r w:rsidR="00551D2B">
        <w:rPr>
          <w:lang w:val="en-GB" w:eastAsia="zh-CN"/>
        </w:rPr>
        <w:t>ITU-R</w:t>
      </w:r>
      <w:r w:rsidR="00551D2B">
        <w:rPr>
          <w:rFonts w:hint="eastAsia"/>
          <w:lang w:eastAsia="zh-CN"/>
        </w:rPr>
        <w:t>建议</w:t>
      </w:r>
      <w:r w:rsidR="00551D2B">
        <w:rPr>
          <w:rFonts w:hint="eastAsia"/>
          <w:lang w:val="en-US" w:eastAsia="zh-CN"/>
        </w:rPr>
        <w:t>书</w:t>
      </w:r>
      <w:r w:rsidR="00551D2B">
        <w:rPr>
          <w:rFonts w:hint="eastAsia"/>
          <w:lang w:eastAsia="zh-CN"/>
        </w:rPr>
        <w:t>指南</w:t>
      </w:r>
    </w:p>
    <w:p w14:paraId="395115FE" w14:textId="77777777" w:rsidR="00EF5BF3" w:rsidRDefault="00B02881">
      <w:pPr>
        <w:tabs>
          <w:tab w:val="left" w:pos="3678"/>
        </w:tabs>
        <w:ind w:left="3623" w:hanging="3623"/>
        <w:rPr>
          <w:lang w:val="en-GB" w:eastAsia="zh-CN"/>
        </w:rPr>
      </w:pPr>
      <w:hyperlink r:id="rId17" w:history="1">
        <w:r w:rsidR="00551D2B">
          <w:rPr>
            <w:lang w:val="en-GB" w:eastAsia="zh-CN"/>
          </w:rPr>
          <w:t>ITU-R M.1903-1</w:t>
        </w:r>
      </w:hyperlink>
      <w:r w:rsidR="00551D2B">
        <w:rPr>
          <w:rFonts w:hint="eastAsia"/>
          <w:lang w:val="en-US" w:eastAsia="zh-CN"/>
        </w:rPr>
        <w:t>建议书</w:t>
      </w:r>
      <w:r w:rsidR="00551D2B">
        <w:rPr>
          <w:lang w:val="en-GB" w:eastAsia="zh-CN"/>
        </w:rPr>
        <w:tab/>
      </w:r>
      <w:r w:rsidR="00551D2B">
        <w:rPr>
          <w:rFonts w:hint="eastAsia"/>
          <w:lang w:eastAsia="zh-CN"/>
        </w:rPr>
        <w:t>在</w:t>
      </w:r>
      <w:r w:rsidR="00551D2B">
        <w:rPr>
          <w:rFonts w:hint="eastAsia"/>
          <w:lang w:eastAsia="zh-CN"/>
        </w:rPr>
        <w:t>1 559-1 610 MHz</w:t>
      </w:r>
      <w:r w:rsidR="00551D2B">
        <w:rPr>
          <w:rFonts w:hint="eastAsia"/>
          <w:lang w:eastAsia="zh-CN"/>
        </w:rPr>
        <w:t>频段</w:t>
      </w:r>
      <w:r w:rsidR="00551D2B">
        <w:rPr>
          <w:rFonts w:hint="eastAsia"/>
          <w:lang w:val="en-US" w:eastAsia="zh-CN"/>
        </w:rPr>
        <w:t>内运行</w:t>
      </w:r>
      <w:r w:rsidR="00551D2B">
        <w:rPr>
          <w:rFonts w:hint="eastAsia"/>
          <w:lang w:eastAsia="zh-CN"/>
        </w:rPr>
        <w:t>的卫星无线电导航业务（空对地）接收</w:t>
      </w:r>
      <w:r w:rsidR="00551D2B">
        <w:rPr>
          <w:rFonts w:hint="eastAsia"/>
          <w:lang w:val="en-US" w:eastAsia="zh-CN"/>
        </w:rPr>
        <w:t>地球</w:t>
      </w:r>
      <w:r w:rsidR="00551D2B">
        <w:rPr>
          <w:rFonts w:hint="eastAsia"/>
          <w:lang w:eastAsia="zh-CN"/>
        </w:rPr>
        <w:t>站和航空无线电导航业务接收机的特性和保护标准</w:t>
      </w:r>
    </w:p>
    <w:p w14:paraId="76C576E1" w14:textId="77777777" w:rsidR="00EF5BF3" w:rsidRDefault="00B02881">
      <w:pPr>
        <w:tabs>
          <w:tab w:val="left" w:pos="3678"/>
        </w:tabs>
        <w:ind w:left="3623" w:hanging="3623"/>
        <w:rPr>
          <w:lang w:val="en-GB" w:eastAsia="zh-CN"/>
        </w:rPr>
      </w:pPr>
      <w:hyperlink r:id="rId18" w:history="1">
        <w:r w:rsidR="00551D2B">
          <w:rPr>
            <w:lang w:val="en-GB" w:eastAsia="zh-CN"/>
          </w:rPr>
          <w:t>ITU-R M.1904-1</w:t>
        </w:r>
      </w:hyperlink>
      <w:r w:rsidR="00551D2B">
        <w:rPr>
          <w:rFonts w:hint="eastAsia"/>
          <w:lang w:val="en-US" w:eastAsia="zh-CN"/>
        </w:rPr>
        <w:t>建议书</w:t>
      </w:r>
      <w:r w:rsidR="00551D2B">
        <w:rPr>
          <w:lang w:val="en-GB" w:eastAsia="zh-CN"/>
        </w:rPr>
        <w:tab/>
      </w:r>
      <w:r w:rsidR="00551D2B">
        <w:rPr>
          <w:rFonts w:hint="eastAsia"/>
          <w:lang w:eastAsia="zh-CN"/>
        </w:rPr>
        <w:t>在</w:t>
      </w:r>
      <w:r w:rsidR="00551D2B">
        <w:rPr>
          <w:rFonts w:hint="eastAsia"/>
          <w:lang w:eastAsia="zh-CN"/>
        </w:rPr>
        <w:t>1 164-1 215 MHz</w:t>
      </w:r>
      <w:r w:rsidR="00551D2B">
        <w:rPr>
          <w:rFonts w:hint="eastAsia"/>
          <w:lang w:eastAsia="zh-CN"/>
        </w:rPr>
        <w:t>、</w:t>
      </w:r>
      <w:r w:rsidR="00551D2B">
        <w:rPr>
          <w:rFonts w:hint="eastAsia"/>
          <w:lang w:eastAsia="zh-CN"/>
        </w:rPr>
        <w:t>1 215-1 300 MHz</w:t>
      </w:r>
      <w:r w:rsidR="00551D2B">
        <w:rPr>
          <w:rFonts w:hint="eastAsia"/>
          <w:lang w:eastAsia="zh-CN"/>
        </w:rPr>
        <w:t>和</w:t>
      </w:r>
      <w:r w:rsidR="00551D2B">
        <w:rPr>
          <w:rFonts w:hint="eastAsia"/>
          <w:lang w:eastAsia="zh-CN"/>
        </w:rPr>
        <w:t>1 559-1 610 MHz</w:t>
      </w:r>
      <w:r w:rsidR="00551D2B">
        <w:rPr>
          <w:rFonts w:hint="eastAsia"/>
          <w:lang w:eastAsia="zh-CN"/>
        </w:rPr>
        <w:t>频段</w:t>
      </w:r>
      <w:r w:rsidR="00551D2B">
        <w:rPr>
          <w:rFonts w:hint="eastAsia"/>
          <w:lang w:val="en-US" w:eastAsia="zh-CN"/>
        </w:rPr>
        <w:t>内运行</w:t>
      </w:r>
      <w:r w:rsidR="00551D2B">
        <w:rPr>
          <w:rFonts w:hint="eastAsia"/>
          <w:lang w:eastAsia="zh-CN"/>
        </w:rPr>
        <w:t>的卫星无线电导航业务（空</w:t>
      </w:r>
      <w:r w:rsidR="00551D2B">
        <w:rPr>
          <w:rFonts w:hint="eastAsia"/>
          <w:lang w:val="en-US" w:eastAsia="zh-CN"/>
        </w:rPr>
        <w:t>对</w:t>
      </w:r>
      <w:r w:rsidR="00551D2B">
        <w:rPr>
          <w:rFonts w:hint="eastAsia"/>
          <w:lang w:eastAsia="zh-CN"/>
        </w:rPr>
        <w:t>空）接收站的特性、性能要求和保护标准</w:t>
      </w:r>
    </w:p>
    <w:p w14:paraId="106E8C21" w14:textId="77777777" w:rsidR="00EF5BF3" w:rsidRDefault="00B02881">
      <w:pPr>
        <w:tabs>
          <w:tab w:val="left" w:pos="3678"/>
        </w:tabs>
        <w:ind w:left="3623" w:hanging="3623"/>
        <w:rPr>
          <w:lang w:val="en-GB" w:eastAsia="zh-CN"/>
        </w:rPr>
      </w:pPr>
      <w:hyperlink r:id="rId19" w:history="1">
        <w:r w:rsidR="00551D2B">
          <w:rPr>
            <w:lang w:val="en-GB" w:eastAsia="zh-CN"/>
          </w:rPr>
          <w:t>ITU-R M.1905-1</w:t>
        </w:r>
      </w:hyperlink>
      <w:r w:rsidR="00551D2B">
        <w:rPr>
          <w:rFonts w:hint="eastAsia"/>
          <w:lang w:val="en-US" w:eastAsia="zh-CN"/>
        </w:rPr>
        <w:t>建议书</w:t>
      </w:r>
      <w:r w:rsidR="00551D2B">
        <w:rPr>
          <w:lang w:val="en-GB" w:eastAsia="zh-CN"/>
        </w:rPr>
        <w:tab/>
      </w:r>
      <w:r w:rsidR="00551D2B">
        <w:rPr>
          <w:rFonts w:hint="eastAsia"/>
          <w:lang w:eastAsia="zh-CN"/>
        </w:rPr>
        <w:t>在</w:t>
      </w:r>
      <w:r w:rsidR="00551D2B">
        <w:rPr>
          <w:rFonts w:hint="eastAsia"/>
          <w:lang w:eastAsia="zh-CN"/>
        </w:rPr>
        <w:t>1 164-1 215 MHz</w:t>
      </w:r>
      <w:r w:rsidR="00551D2B">
        <w:rPr>
          <w:rFonts w:hint="eastAsia"/>
          <w:lang w:eastAsia="zh-CN"/>
        </w:rPr>
        <w:t>频段</w:t>
      </w:r>
      <w:r w:rsidR="00551D2B">
        <w:rPr>
          <w:rFonts w:hint="eastAsia"/>
          <w:lang w:val="en-US" w:eastAsia="zh-CN"/>
        </w:rPr>
        <w:t>内运行</w:t>
      </w:r>
      <w:r w:rsidR="00551D2B">
        <w:rPr>
          <w:rFonts w:hint="eastAsia"/>
          <w:lang w:eastAsia="zh-CN"/>
        </w:rPr>
        <w:t>的卫星无线电导航业务（空对地）接收地</w:t>
      </w:r>
      <w:r w:rsidR="00551D2B">
        <w:rPr>
          <w:rFonts w:hint="eastAsia"/>
          <w:lang w:val="en-US" w:eastAsia="zh-CN"/>
        </w:rPr>
        <w:t>球</w:t>
      </w:r>
      <w:r w:rsidR="00551D2B">
        <w:rPr>
          <w:rFonts w:hint="eastAsia"/>
          <w:lang w:eastAsia="zh-CN"/>
        </w:rPr>
        <w:t>站的特性和保护标准</w:t>
      </w:r>
    </w:p>
    <w:p w14:paraId="7C028129" w14:textId="77777777" w:rsidR="00EF5BF3" w:rsidRDefault="00B02881">
      <w:pPr>
        <w:tabs>
          <w:tab w:val="left" w:pos="3678"/>
        </w:tabs>
        <w:ind w:left="3623" w:hanging="3623"/>
        <w:rPr>
          <w:lang w:val="en-US" w:eastAsia="zh-CN"/>
        </w:rPr>
      </w:pPr>
      <w:hyperlink r:id="rId20" w:history="1">
        <w:r w:rsidR="00551D2B">
          <w:rPr>
            <w:lang w:val="en-GB" w:eastAsia="zh-CN"/>
          </w:rPr>
          <w:t>ITU-R M.1906-1</w:t>
        </w:r>
      </w:hyperlink>
      <w:r w:rsidR="00551D2B">
        <w:rPr>
          <w:rFonts w:hint="eastAsia"/>
          <w:lang w:val="en-US" w:eastAsia="zh-CN"/>
        </w:rPr>
        <w:t>建议书</w:t>
      </w:r>
      <w:r w:rsidR="00551D2B">
        <w:rPr>
          <w:lang w:val="en-GB" w:eastAsia="zh-CN"/>
        </w:rPr>
        <w:tab/>
      </w:r>
      <w:r w:rsidR="00551D2B">
        <w:rPr>
          <w:rFonts w:hint="eastAsia"/>
          <w:lang w:val="en-US" w:eastAsia="zh-CN"/>
        </w:rPr>
        <w:t>在</w:t>
      </w:r>
      <w:r w:rsidR="00551D2B">
        <w:rPr>
          <w:rFonts w:hint="eastAsia"/>
          <w:lang w:val="en-US" w:eastAsia="zh-CN"/>
        </w:rPr>
        <w:t>5 000-5 010 MHz</w:t>
      </w:r>
      <w:r w:rsidR="00551D2B">
        <w:rPr>
          <w:rFonts w:hint="eastAsia"/>
          <w:lang w:val="en-US" w:eastAsia="zh-CN"/>
        </w:rPr>
        <w:t>频段内运行的卫星无线电导航业务（地对空）中接收空间站的特性和保护标准以及发射地球站的特性</w:t>
      </w:r>
    </w:p>
    <w:p w14:paraId="0722046C" w14:textId="11BB1CDA" w:rsidR="00EF5BF3" w:rsidRDefault="00B02881">
      <w:pPr>
        <w:tabs>
          <w:tab w:val="left" w:pos="3678"/>
        </w:tabs>
        <w:ind w:left="3623" w:hanging="3623"/>
        <w:rPr>
          <w:lang w:val="en-GB" w:eastAsia="zh-CN"/>
        </w:rPr>
      </w:pPr>
      <w:hyperlink r:id="rId21" w:history="1">
        <w:r w:rsidR="00551D2B">
          <w:rPr>
            <w:lang w:val="en-GB" w:eastAsia="zh-CN"/>
          </w:rPr>
          <w:t>ITU-R M.2030-0</w:t>
        </w:r>
      </w:hyperlink>
      <w:r w:rsidR="00551D2B">
        <w:rPr>
          <w:rFonts w:hint="eastAsia"/>
          <w:lang w:val="en-US" w:eastAsia="zh-CN"/>
        </w:rPr>
        <w:t>建议书</w:t>
      </w:r>
      <w:r w:rsidR="00551D2B">
        <w:rPr>
          <w:lang w:val="en-GB" w:eastAsia="zh-CN"/>
        </w:rPr>
        <w:tab/>
      </w:r>
      <w:r w:rsidR="00551D2B">
        <w:rPr>
          <w:rFonts w:hint="eastAsia"/>
          <w:lang w:eastAsia="zh-CN"/>
        </w:rPr>
        <w:t>在</w:t>
      </w:r>
      <w:r w:rsidR="00551D2B">
        <w:rPr>
          <w:rFonts w:hint="eastAsia"/>
          <w:lang w:eastAsia="zh-CN"/>
        </w:rPr>
        <w:t>1 164-1 215 MHz</w:t>
      </w:r>
      <w:r w:rsidR="00551D2B">
        <w:rPr>
          <w:rFonts w:hint="eastAsia"/>
          <w:lang w:eastAsia="zh-CN"/>
        </w:rPr>
        <w:t>、</w:t>
      </w:r>
      <w:r w:rsidR="00551D2B">
        <w:rPr>
          <w:rFonts w:hint="eastAsia"/>
          <w:lang w:eastAsia="zh-CN"/>
        </w:rPr>
        <w:t>1 215</w:t>
      </w:r>
      <w:r w:rsidR="00DF3FA7">
        <w:rPr>
          <w:rFonts w:hint="eastAsia"/>
          <w:lang w:eastAsia="zh-CN"/>
        </w:rPr>
        <w:t>-</w:t>
      </w:r>
      <w:r w:rsidR="00551D2B">
        <w:rPr>
          <w:rFonts w:hint="eastAsia"/>
          <w:lang w:eastAsia="zh-CN"/>
        </w:rPr>
        <w:t>1 300 MHz</w:t>
      </w:r>
      <w:r w:rsidR="00551D2B">
        <w:rPr>
          <w:rFonts w:hint="eastAsia"/>
          <w:lang w:eastAsia="zh-CN"/>
        </w:rPr>
        <w:t>和</w:t>
      </w:r>
      <w:r w:rsidR="00551D2B">
        <w:rPr>
          <w:rFonts w:hint="eastAsia"/>
          <w:lang w:eastAsia="zh-CN"/>
        </w:rPr>
        <w:t>1 559-1 610 MHz</w:t>
      </w:r>
      <w:r w:rsidR="00551D2B">
        <w:rPr>
          <w:rFonts w:hint="eastAsia"/>
          <w:lang w:eastAsia="zh-CN"/>
        </w:rPr>
        <w:t>频</w:t>
      </w:r>
      <w:r w:rsidR="00551D2B">
        <w:rPr>
          <w:rFonts w:hint="eastAsia"/>
          <w:lang w:val="en-US" w:eastAsia="zh-CN"/>
        </w:rPr>
        <w:t>段内</w:t>
      </w:r>
      <w:r w:rsidR="00551D2B">
        <w:rPr>
          <w:rFonts w:hint="eastAsia"/>
          <w:lang w:eastAsia="zh-CN"/>
        </w:rPr>
        <w:t>运行的卫星无线电导航业务系统和网络中来自卫星无线电导航业务以外的相关无线电源的脉冲干扰的评估方法</w:t>
      </w:r>
    </w:p>
    <w:p w14:paraId="3F1066E5" w14:textId="77777777" w:rsidR="00EF5BF3" w:rsidRDefault="00B02881">
      <w:pPr>
        <w:tabs>
          <w:tab w:val="left" w:pos="3678"/>
        </w:tabs>
        <w:ind w:left="3623" w:hanging="3623"/>
        <w:rPr>
          <w:lang w:eastAsia="zh-CN"/>
        </w:rPr>
      </w:pPr>
      <w:hyperlink r:id="rId22" w:history="1">
        <w:r w:rsidR="00551D2B">
          <w:rPr>
            <w:lang w:val="en-GB" w:eastAsia="zh-CN"/>
          </w:rPr>
          <w:t>ITU-R M.2031-1</w:t>
        </w:r>
      </w:hyperlink>
      <w:r w:rsidR="00551D2B">
        <w:rPr>
          <w:rFonts w:hint="eastAsia"/>
          <w:lang w:val="en-US" w:eastAsia="zh-CN"/>
        </w:rPr>
        <w:t>建议书</w:t>
      </w:r>
      <w:r w:rsidR="00551D2B">
        <w:rPr>
          <w:lang w:val="en-GB" w:eastAsia="zh-CN"/>
        </w:rPr>
        <w:tab/>
      </w:r>
      <w:r w:rsidR="00551D2B">
        <w:rPr>
          <w:rFonts w:hint="eastAsia"/>
          <w:lang w:eastAsia="zh-CN"/>
        </w:rPr>
        <w:t>在</w:t>
      </w:r>
      <w:r w:rsidR="00551D2B">
        <w:rPr>
          <w:rFonts w:hint="eastAsia"/>
          <w:lang w:eastAsia="zh-CN"/>
        </w:rPr>
        <w:t>5 010-5 030 MHz</w:t>
      </w:r>
      <w:r w:rsidR="00551D2B">
        <w:rPr>
          <w:rFonts w:hint="eastAsia"/>
          <w:lang w:eastAsia="zh-CN"/>
        </w:rPr>
        <w:t>频段</w:t>
      </w:r>
      <w:r w:rsidR="00551D2B">
        <w:rPr>
          <w:rFonts w:hint="eastAsia"/>
          <w:lang w:val="en-US" w:eastAsia="zh-CN"/>
        </w:rPr>
        <w:t>内运行</w:t>
      </w:r>
      <w:r w:rsidR="00551D2B">
        <w:rPr>
          <w:rFonts w:hint="eastAsia"/>
          <w:lang w:eastAsia="zh-CN"/>
        </w:rPr>
        <w:t>的卫星无线电导航业务（空对地）的接收地球站的特性和保护标准以及发射空间站的特性</w:t>
      </w:r>
    </w:p>
    <w:p w14:paraId="734839DA" w14:textId="4CAAEF7E" w:rsidR="00EF5BF3" w:rsidRDefault="00B02881">
      <w:pPr>
        <w:tabs>
          <w:tab w:val="left" w:pos="3678"/>
        </w:tabs>
        <w:overflowPunct/>
        <w:autoSpaceDE/>
        <w:autoSpaceDN/>
        <w:adjustRightInd/>
        <w:spacing w:line="259" w:lineRule="auto"/>
        <w:ind w:left="3623" w:hanging="3623"/>
        <w:textAlignment w:val="auto"/>
        <w:rPr>
          <w:i/>
          <w:iCs/>
          <w:szCs w:val="24"/>
          <w:lang w:val="en-US" w:eastAsia="zh-CN"/>
        </w:rPr>
      </w:pPr>
      <w:hyperlink r:id="rId23" w:history="1">
        <w:r w:rsidR="00551D2B">
          <w:rPr>
            <w:rStyle w:val="Hyperlink"/>
            <w:color w:val="auto"/>
            <w:szCs w:val="24"/>
            <w:u w:val="none"/>
            <w:lang w:val="en-GB" w:eastAsia="zh-CN"/>
          </w:rPr>
          <w:t>ITU-R M.2220</w:t>
        </w:r>
      </w:hyperlink>
      <w:r w:rsidR="00551D2B">
        <w:rPr>
          <w:szCs w:val="24"/>
          <w:lang w:val="en-GB" w:eastAsia="zh-CN"/>
        </w:rPr>
        <w:t>-</w:t>
      </w:r>
      <w:r w:rsidR="00DF3FA7">
        <w:rPr>
          <w:rFonts w:hint="eastAsia"/>
          <w:szCs w:val="24"/>
          <w:lang w:val="en-GB" w:eastAsia="zh-CN"/>
        </w:rPr>
        <w:t>1</w:t>
      </w:r>
      <w:r w:rsidR="00551D2B">
        <w:rPr>
          <w:rFonts w:hint="eastAsia"/>
          <w:szCs w:val="24"/>
          <w:lang w:val="en-US" w:eastAsia="zh-CN"/>
        </w:rPr>
        <w:t>报告</w:t>
      </w:r>
      <w:r w:rsidR="00551D2B">
        <w:rPr>
          <w:szCs w:val="24"/>
          <w:lang w:val="en-GB" w:eastAsia="zh-CN"/>
        </w:rPr>
        <w:tab/>
      </w:r>
      <w:r w:rsidR="00551D2B">
        <w:rPr>
          <w:rFonts w:hint="eastAsia"/>
          <w:szCs w:val="24"/>
          <w:lang w:val="en-US" w:eastAsia="zh-CN"/>
        </w:rPr>
        <w:t>确定在</w:t>
      </w:r>
      <w:r w:rsidR="00551D2B">
        <w:rPr>
          <w:rFonts w:hint="eastAsia"/>
          <w:szCs w:val="24"/>
          <w:lang w:val="en-US" w:eastAsia="zh-CN"/>
        </w:rPr>
        <w:t>1 164-1 215 MHz</w:t>
      </w:r>
      <w:r w:rsidR="00551D2B">
        <w:rPr>
          <w:rFonts w:hint="eastAsia"/>
          <w:szCs w:val="24"/>
          <w:lang w:val="en-US" w:eastAsia="zh-CN"/>
        </w:rPr>
        <w:t>和</w:t>
      </w:r>
      <w:r w:rsidR="00551D2B">
        <w:rPr>
          <w:rFonts w:hint="eastAsia"/>
          <w:szCs w:val="24"/>
          <w:lang w:val="en-US" w:eastAsia="zh-CN"/>
        </w:rPr>
        <w:t>1 215</w:t>
      </w:r>
      <w:r w:rsidR="00DF3FA7">
        <w:rPr>
          <w:rFonts w:hint="eastAsia"/>
          <w:szCs w:val="24"/>
          <w:lang w:val="en-US" w:eastAsia="zh-CN"/>
        </w:rPr>
        <w:t>-</w:t>
      </w:r>
      <w:r w:rsidR="00551D2B">
        <w:rPr>
          <w:rFonts w:hint="eastAsia"/>
          <w:szCs w:val="24"/>
          <w:lang w:val="en-US" w:eastAsia="zh-CN"/>
        </w:rPr>
        <w:t>1 300 MHz</w:t>
      </w:r>
      <w:r w:rsidR="00551D2B">
        <w:rPr>
          <w:rFonts w:hint="eastAsia"/>
          <w:szCs w:val="24"/>
          <w:lang w:val="en-US" w:eastAsia="zh-CN"/>
        </w:rPr>
        <w:t>频段内及其附近运行的脉冲射频系统的总干扰参数的计算方法，这些参数可能会影响在这些频段内运行的卫星无线电导航业务机载和地面接收机</w:t>
      </w:r>
    </w:p>
    <w:p w14:paraId="34E05828" w14:textId="75F42EEC" w:rsidR="00EF5BF3" w:rsidRDefault="00B02881">
      <w:pPr>
        <w:ind w:left="3600" w:hanging="3600"/>
        <w:textAlignment w:val="auto"/>
        <w:rPr>
          <w:i/>
          <w:iCs/>
          <w:lang w:val="en-GB" w:eastAsia="zh-CN"/>
        </w:rPr>
      </w:pPr>
      <w:hyperlink r:id="rId24" w:history="1">
        <w:r w:rsidR="00551D2B">
          <w:rPr>
            <w:rStyle w:val="Hyperlink"/>
            <w:color w:val="auto"/>
            <w:u w:val="none"/>
            <w:lang w:val="en-GB" w:eastAsia="zh-CN"/>
          </w:rPr>
          <w:t>ITU-R M.2458</w:t>
        </w:r>
      </w:hyperlink>
      <w:r w:rsidR="00551D2B">
        <w:rPr>
          <w:lang w:val="en-GB" w:eastAsia="zh-CN"/>
        </w:rPr>
        <w:t>-0</w:t>
      </w:r>
      <w:r w:rsidR="00551D2B">
        <w:rPr>
          <w:rFonts w:hint="eastAsia"/>
          <w:szCs w:val="24"/>
          <w:lang w:val="en-US" w:eastAsia="zh-CN"/>
        </w:rPr>
        <w:t>报告</w:t>
      </w:r>
      <w:r w:rsidR="00551D2B">
        <w:rPr>
          <w:lang w:val="en-GB" w:eastAsia="zh-CN"/>
        </w:rPr>
        <w:tab/>
        <w:t>1 164</w:t>
      </w:r>
      <w:r w:rsidR="00DF3FA7">
        <w:rPr>
          <w:rFonts w:hint="eastAsia"/>
          <w:lang w:val="en-GB" w:eastAsia="zh-CN"/>
        </w:rPr>
        <w:t>-</w:t>
      </w:r>
      <w:r w:rsidR="00551D2B">
        <w:rPr>
          <w:lang w:val="en-GB" w:eastAsia="zh-CN"/>
        </w:rPr>
        <w:t>1 215 MHz</w:t>
      </w:r>
      <w:r w:rsidR="00551D2B">
        <w:rPr>
          <w:lang w:val="en-GB" w:eastAsia="zh-CN"/>
        </w:rPr>
        <w:t>、</w:t>
      </w:r>
      <w:r w:rsidR="00551D2B">
        <w:rPr>
          <w:lang w:val="en-GB" w:eastAsia="zh-CN"/>
        </w:rPr>
        <w:t>1 215-1 300 MHz</w:t>
      </w:r>
      <w:r w:rsidR="00551D2B">
        <w:rPr>
          <w:rFonts w:hint="eastAsia"/>
          <w:lang w:val="en-GB" w:eastAsia="zh-CN"/>
        </w:rPr>
        <w:t>和</w:t>
      </w:r>
      <w:r w:rsidR="00551D2B">
        <w:rPr>
          <w:lang w:val="en-GB" w:eastAsia="zh-CN"/>
        </w:rPr>
        <w:t>1 559-1 610 MHz</w:t>
      </w:r>
      <w:r w:rsidR="00551D2B">
        <w:rPr>
          <w:rFonts w:hint="eastAsia"/>
          <w:lang w:val="en-GB" w:eastAsia="zh-CN"/>
        </w:rPr>
        <w:t>频段内的卫星无线电导航业务应用</w:t>
      </w:r>
    </w:p>
    <w:p w14:paraId="1DA2C908" w14:textId="5DDF7948" w:rsidR="00EF5BF3" w:rsidRDefault="00551D2B">
      <w:pPr>
        <w:tabs>
          <w:tab w:val="left" w:pos="3678"/>
        </w:tabs>
        <w:overflowPunct/>
        <w:autoSpaceDE/>
        <w:autoSpaceDN/>
        <w:adjustRightInd/>
        <w:spacing w:line="259" w:lineRule="auto"/>
        <w:ind w:left="3623" w:hanging="3623"/>
        <w:textAlignment w:val="auto"/>
        <w:rPr>
          <w:szCs w:val="24"/>
          <w:lang w:val="en-US" w:eastAsia="zh-CN"/>
        </w:rPr>
      </w:pPr>
      <w:r>
        <w:rPr>
          <w:rFonts w:eastAsia="Calibri"/>
          <w:szCs w:val="24"/>
          <w:lang w:val="en-GB" w:eastAsia="ja-JP"/>
        </w:rPr>
        <w:t xml:space="preserve">ITU-R </w:t>
      </w:r>
      <w:hyperlink r:id="rId25" w:history="1">
        <w:r>
          <w:rPr>
            <w:rStyle w:val="Hyperlink"/>
            <w:rFonts w:eastAsia="Calibri"/>
            <w:color w:val="auto"/>
            <w:szCs w:val="24"/>
            <w:u w:val="none"/>
            <w:lang w:val="en-GB" w:eastAsia="ja-JP"/>
          </w:rPr>
          <w:t>M.2496</w:t>
        </w:r>
      </w:hyperlink>
      <w:r>
        <w:rPr>
          <w:rFonts w:hint="eastAsia"/>
          <w:szCs w:val="24"/>
          <w:lang w:val="en-US" w:eastAsia="zh-CN"/>
        </w:rPr>
        <w:t>报告</w:t>
      </w:r>
      <w:r>
        <w:rPr>
          <w:rFonts w:hint="eastAsia"/>
          <w:szCs w:val="24"/>
          <w:lang w:val="en-US" w:eastAsia="zh-CN"/>
        </w:rPr>
        <w:tab/>
      </w:r>
      <w:r>
        <w:rPr>
          <w:rFonts w:eastAsia="Calibri"/>
          <w:szCs w:val="24"/>
          <w:lang w:val="en-GB" w:eastAsia="ja-JP"/>
        </w:rPr>
        <w:tab/>
      </w:r>
      <w:r>
        <w:rPr>
          <w:rFonts w:hint="eastAsia"/>
          <w:lang w:val="en-US" w:eastAsia="zh-CN"/>
        </w:rPr>
        <w:t>使用</w:t>
      </w:r>
      <w:r>
        <w:rPr>
          <w:rFonts w:hint="eastAsia"/>
          <w:lang w:val="en-US" w:eastAsia="zh-CN"/>
        </w:rPr>
        <w:t>RNSS</w:t>
      </w:r>
      <w:r>
        <w:rPr>
          <w:rFonts w:hint="eastAsia"/>
          <w:lang w:val="en-US" w:eastAsia="zh-CN"/>
        </w:rPr>
        <w:t>接收机特性评估</w:t>
      </w:r>
      <w:r>
        <w:rPr>
          <w:rFonts w:hint="eastAsia"/>
          <w:lang w:val="en-US" w:eastAsia="zh-CN"/>
        </w:rPr>
        <w:t>1 164-1 215 MHz</w:t>
      </w:r>
      <w:r>
        <w:rPr>
          <w:rFonts w:hint="eastAsia"/>
          <w:lang w:val="en-US" w:eastAsia="zh-CN"/>
        </w:rPr>
        <w:t>、</w:t>
      </w:r>
      <w:r>
        <w:rPr>
          <w:rFonts w:hint="eastAsia"/>
          <w:lang w:val="en-US" w:eastAsia="zh-CN"/>
        </w:rPr>
        <w:t>1</w:t>
      </w:r>
      <w:r w:rsidR="00F21BD6" w:rsidRPr="00F21BD6">
        <w:rPr>
          <w:lang w:val="en-GB" w:eastAsia="zh-CN"/>
        </w:rPr>
        <w:t> </w:t>
      </w:r>
      <w:r>
        <w:rPr>
          <w:rFonts w:hint="eastAsia"/>
          <w:lang w:val="en-US" w:eastAsia="zh-CN"/>
        </w:rPr>
        <w:t>215-1</w:t>
      </w:r>
      <w:r w:rsidR="00F21BD6" w:rsidRPr="00F21BD6">
        <w:rPr>
          <w:lang w:val="en-GB" w:eastAsia="zh-CN"/>
        </w:rPr>
        <w:t> </w:t>
      </w:r>
      <w:r>
        <w:rPr>
          <w:rFonts w:hint="eastAsia"/>
          <w:lang w:val="en-US" w:eastAsia="zh-CN"/>
        </w:rPr>
        <w:t>300</w:t>
      </w:r>
      <w:r w:rsidR="00F21BD6" w:rsidRPr="00F21BD6">
        <w:rPr>
          <w:lang w:val="en-GB" w:eastAsia="zh-CN"/>
        </w:rPr>
        <w:t> </w:t>
      </w:r>
      <w:r>
        <w:rPr>
          <w:rFonts w:hint="eastAsia"/>
          <w:lang w:val="en-US" w:eastAsia="zh-CN"/>
        </w:rPr>
        <w:t>MHz</w:t>
      </w:r>
      <w:r>
        <w:rPr>
          <w:rFonts w:hint="eastAsia"/>
          <w:lang w:val="en-US" w:eastAsia="zh-CN"/>
        </w:rPr>
        <w:t>和</w:t>
      </w:r>
      <w:r>
        <w:rPr>
          <w:rFonts w:hint="eastAsia"/>
          <w:lang w:val="en-US" w:eastAsia="zh-CN"/>
        </w:rPr>
        <w:t>1 559-1 610 MHz</w:t>
      </w:r>
      <w:r>
        <w:rPr>
          <w:rFonts w:hint="eastAsia"/>
          <w:lang w:val="en-US" w:eastAsia="zh-CN"/>
        </w:rPr>
        <w:t>频段内脉冲源的干扰</w:t>
      </w:r>
    </w:p>
    <w:p w14:paraId="0906EADC" w14:textId="77777777" w:rsidR="00EF5BF3" w:rsidRDefault="00551D2B" w:rsidP="0047509A">
      <w:pPr>
        <w:spacing w:before="360"/>
        <w:rPr>
          <w:rFonts w:eastAsiaTheme="minorEastAsia"/>
          <w:szCs w:val="24"/>
          <w:lang w:val="en-US" w:eastAsia="zh-CN"/>
        </w:rPr>
      </w:pPr>
      <w:r>
        <w:rPr>
          <w:rFonts w:eastAsiaTheme="minorEastAsia" w:hint="eastAsia"/>
          <w:szCs w:val="24"/>
          <w:lang w:val="en-US" w:eastAsia="zh-CN"/>
        </w:rPr>
        <w:t>国际电联无线电通信全会</w:t>
      </w:r>
      <w:r>
        <w:rPr>
          <w:rFonts w:eastAsiaTheme="minorEastAsia"/>
          <w:szCs w:val="24"/>
          <w:lang w:val="en-US" w:eastAsia="zh-CN"/>
        </w:rPr>
        <w:t>，</w:t>
      </w:r>
    </w:p>
    <w:p w14:paraId="696CC12D" w14:textId="77777777" w:rsidR="00EF5BF3" w:rsidRDefault="00551D2B" w:rsidP="0047509A">
      <w:pPr>
        <w:pStyle w:val="Call"/>
        <w:spacing w:before="240"/>
        <w:rPr>
          <w:rFonts w:ascii="STKaiti" w:eastAsia="STKaiti" w:hAnsi="STKaiti"/>
          <w:i w:val="0"/>
          <w:lang w:val="en-US" w:eastAsia="zh-CN"/>
        </w:rPr>
      </w:pPr>
      <w:r>
        <w:rPr>
          <w:rFonts w:ascii="STKaiti" w:eastAsia="STKaiti" w:hAnsi="STKaiti" w:hint="eastAsia"/>
          <w:i w:val="0"/>
          <w:lang w:val="en-US" w:eastAsia="zh-CN"/>
        </w:rPr>
        <w:t>考虑到</w:t>
      </w:r>
    </w:p>
    <w:p w14:paraId="0C3BD197" w14:textId="77777777" w:rsidR="00EF5BF3" w:rsidRDefault="00551D2B">
      <w:pPr>
        <w:rPr>
          <w:rFonts w:eastAsiaTheme="minorEastAsia"/>
          <w:szCs w:val="24"/>
          <w:lang w:val="en-US" w:eastAsia="zh-CN"/>
        </w:rPr>
      </w:pPr>
      <w:r>
        <w:rPr>
          <w:rFonts w:eastAsiaTheme="minorEastAsia"/>
          <w:i/>
          <w:szCs w:val="24"/>
          <w:lang w:val="en-US" w:eastAsia="zh-CN"/>
        </w:rPr>
        <w:t>a)</w:t>
      </w:r>
      <w:r>
        <w:rPr>
          <w:rFonts w:eastAsiaTheme="minorEastAsia"/>
          <w:szCs w:val="24"/>
          <w:lang w:val="en-US" w:eastAsia="zh-CN"/>
        </w:rPr>
        <w:tab/>
      </w:r>
      <w:r>
        <w:rPr>
          <w:rFonts w:eastAsiaTheme="minorEastAsia" w:hint="eastAsia"/>
          <w:szCs w:val="24"/>
          <w:lang w:val="en-US" w:eastAsia="zh-CN"/>
        </w:rPr>
        <w:t>卫星无线电导航业务（</w:t>
      </w:r>
      <w:r>
        <w:rPr>
          <w:rFonts w:eastAsiaTheme="minorEastAsia" w:hint="eastAsia"/>
          <w:szCs w:val="24"/>
          <w:lang w:val="en-US" w:eastAsia="zh-CN"/>
        </w:rPr>
        <w:t>RNSS</w:t>
      </w:r>
      <w:r>
        <w:rPr>
          <w:rFonts w:eastAsiaTheme="minorEastAsia" w:hint="eastAsia"/>
          <w:szCs w:val="24"/>
          <w:lang w:val="en-US" w:eastAsia="zh-CN"/>
        </w:rPr>
        <w:t>）的系统和网络在全球范围内为许多定位、导航和定时应用提供准确信息，包括某些频段的安全性能以及在某些环境和应用情况下的安全性能；</w:t>
      </w:r>
    </w:p>
    <w:p w14:paraId="6DE43318" w14:textId="77777777" w:rsidR="00EF5BF3" w:rsidRDefault="00551D2B">
      <w:pPr>
        <w:rPr>
          <w:rFonts w:eastAsiaTheme="minorEastAsia"/>
          <w:szCs w:val="24"/>
          <w:lang w:val="en-US" w:eastAsia="zh-CN"/>
        </w:rPr>
      </w:pPr>
      <w:r>
        <w:rPr>
          <w:rFonts w:eastAsiaTheme="minorEastAsia"/>
          <w:i/>
          <w:szCs w:val="24"/>
          <w:lang w:val="en-US" w:eastAsia="ja-JP"/>
        </w:rPr>
        <w:t>b)</w:t>
      </w:r>
      <w:r>
        <w:rPr>
          <w:rFonts w:eastAsiaTheme="minorEastAsia"/>
          <w:szCs w:val="24"/>
          <w:lang w:val="en-US" w:eastAsia="zh-CN"/>
        </w:rPr>
        <w:tab/>
      </w:r>
      <w:r>
        <w:rPr>
          <w:rFonts w:eastAsiaTheme="minorEastAsia" w:hint="eastAsia"/>
          <w:szCs w:val="24"/>
          <w:lang w:val="en-US" w:eastAsia="zh-CN"/>
        </w:rPr>
        <w:t>任何适当装备的地球站都可在全球范围内收到卫星无线电导航业务的系统和网络的导航信息；</w:t>
      </w:r>
    </w:p>
    <w:p w14:paraId="2AE5497C" w14:textId="77777777" w:rsidR="0047509A" w:rsidRDefault="0047509A">
      <w:pPr>
        <w:tabs>
          <w:tab w:val="clear" w:pos="794"/>
          <w:tab w:val="clear" w:pos="1191"/>
          <w:tab w:val="clear" w:pos="1588"/>
          <w:tab w:val="clear" w:pos="1985"/>
        </w:tabs>
        <w:overflowPunct/>
        <w:autoSpaceDE/>
        <w:autoSpaceDN/>
        <w:adjustRightInd/>
        <w:spacing w:before="0"/>
        <w:jc w:val="left"/>
        <w:textAlignment w:val="auto"/>
        <w:rPr>
          <w:rFonts w:eastAsiaTheme="minorEastAsia"/>
          <w:i/>
          <w:szCs w:val="24"/>
          <w:lang w:val="en-US" w:eastAsia="ja-JP"/>
        </w:rPr>
      </w:pPr>
      <w:r>
        <w:rPr>
          <w:rFonts w:eastAsiaTheme="minorEastAsia"/>
          <w:i/>
          <w:szCs w:val="24"/>
          <w:lang w:val="en-US" w:eastAsia="ja-JP"/>
        </w:rPr>
        <w:br w:type="page"/>
      </w:r>
    </w:p>
    <w:p w14:paraId="6689041F" w14:textId="573BC444" w:rsidR="00EF5BF3" w:rsidRDefault="00551D2B">
      <w:pPr>
        <w:rPr>
          <w:rFonts w:eastAsiaTheme="minorEastAsia"/>
          <w:szCs w:val="24"/>
          <w:lang w:val="en-US" w:eastAsia="zh-CN"/>
        </w:rPr>
      </w:pPr>
      <w:r>
        <w:rPr>
          <w:rFonts w:eastAsiaTheme="minorEastAsia"/>
          <w:i/>
          <w:szCs w:val="24"/>
          <w:lang w:val="en-US" w:eastAsia="ja-JP"/>
        </w:rPr>
        <w:lastRenderedPageBreak/>
        <w:t>c)</w:t>
      </w:r>
      <w:r>
        <w:rPr>
          <w:rFonts w:eastAsiaTheme="minorEastAsia"/>
          <w:szCs w:val="24"/>
          <w:lang w:val="en-US" w:eastAsia="zh-CN"/>
        </w:rPr>
        <w:tab/>
      </w:r>
      <w:r>
        <w:rPr>
          <w:rFonts w:eastAsiaTheme="minorEastAsia" w:hint="eastAsia"/>
          <w:szCs w:val="24"/>
          <w:lang w:val="en-US" w:eastAsia="zh-CN"/>
        </w:rPr>
        <w:t>ITU-R M.1787</w:t>
      </w:r>
      <w:r>
        <w:rPr>
          <w:rFonts w:eastAsiaTheme="minorEastAsia" w:hint="eastAsia"/>
          <w:szCs w:val="24"/>
          <w:lang w:val="en-US" w:eastAsia="zh-CN"/>
        </w:rPr>
        <w:t>建议书提供了卫星无线电导航业务的系统和网络的技术说明以及在</w:t>
      </w:r>
      <w:r>
        <w:rPr>
          <w:rFonts w:eastAsiaTheme="minorEastAsia" w:hint="eastAsia"/>
          <w:szCs w:val="24"/>
          <w:lang w:val="en-US" w:eastAsia="zh-CN"/>
        </w:rPr>
        <w:t>1</w:t>
      </w:r>
      <w:r>
        <w:rPr>
          <w:rFonts w:eastAsiaTheme="minorEastAsia"/>
          <w:szCs w:val="24"/>
          <w:lang w:val="en-US" w:eastAsia="zh-CN"/>
        </w:rPr>
        <w:t> </w:t>
      </w:r>
      <w:r>
        <w:rPr>
          <w:rFonts w:eastAsiaTheme="minorEastAsia" w:hint="eastAsia"/>
          <w:szCs w:val="24"/>
          <w:lang w:val="en-US" w:eastAsia="zh-CN"/>
        </w:rPr>
        <w:t>164-1 215 MHz</w:t>
      </w:r>
      <w:r>
        <w:rPr>
          <w:rFonts w:eastAsiaTheme="minorEastAsia" w:hint="eastAsia"/>
          <w:szCs w:val="24"/>
          <w:lang w:val="en-US" w:eastAsia="zh-CN"/>
        </w:rPr>
        <w:t>、</w:t>
      </w:r>
      <w:r>
        <w:rPr>
          <w:rFonts w:eastAsiaTheme="minorEastAsia" w:hint="eastAsia"/>
          <w:szCs w:val="24"/>
          <w:lang w:val="en-US" w:eastAsia="zh-CN"/>
        </w:rPr>
        <w:t>1 215-1 300 MHz</w:t>
      </w:r>
      <w:r>
        <w:rPr>
          <w:rFonts w:eastAsiaTheme="minorEastAsia" w:hint="eastAsia"/>
          <w:szCs w:val="24"/>
          <w:lang w:val="en-US" w:eastAsia="zh-CN"/>
        </w:rPr>
        <w:t>和</w:t>
      </w:r>
      <w:r>
        <w:rPr>
          <w:rFonts w:eastAsiaTheme="minorEastAsia" w:hint="eastAsia"/>
          <w:szCs w:val="24"/>
          <w:lang w:val="en-US" w:eastAsia="zh-CN"/>
        </w:rPr>
        <w:t>1 559</w:t>
      </w:r>
      <w:r>
        <w:rPr>
          <w:rFonts w:eastAsiaTheme="minorEastAsia"/>
          <w:szCs w:val="24"/>
          <w:lang w:val="en-US" w:eastAsia="zh-CN"/>
        </w:rPr>
        <w:t>-</w:t>
      </w:r>
      <w:r>
        <w:rPr>
          <w:rFonts w:eastAsiaTheme="minorEastAsia" w:hint="eastAsia"/>
          <w:szCs w:val="24"/>
          <w:lang w:val="en-US" w:eastAsia="zh-CN"/>
        </w:rPr>
        <w:t>1 610 MHz</w:t>
      </w:r>
      <w:r>
        <w:rPr>
          <w:rFonts w:eastAsiaTheme="minorEastAsia" w:hint="eastAsia"/>
          <w:szCs w:val="24"/>
          <w:lang w:val="en-US" w:eastAsia="zh-CN"/>
        </w:rPr>
        <w:t>频段内运行的发射空间电台的技术特性；</w:t>
      </w:r>
      <w:r>
        <w:rPr>
          <w:rFonts w:eastAsiaTheme="minorEastAsia"/>
          <w:szCs w:val="24"/>
          <w:lang w:val="en-US" w:eastAsia="zh-CN"/>
        </w:rPr>
        <w:t xml:space="preserve"> </w:t>
      </w:r>
    </w:p>
    <w:p w14:paraId="31700263" w14:textId="77777777" w:rsidR="00EF5BF3" w:rsidRDefault="00551D2B">
      <w:pPr>
        <w:rPr>
          <w:rFonts w:eastAsiaTheme="minorEastAsia"/>
          <w:szCs w:val="24"/>
          <w:lang w:val="en-US" w:eastAsia="zh-CN"/>
        </w:rPr>
      </w:pPr>
      <w:r>
        <w:rPr>
          <w:rFonts w:eastAsiaTheme="minorEastAsia"/>
          <w:i/>
          <w:szCs w:val="24"/>
          <w:lang w:val="en-US" w:eastAsia="ja-JP"/>
        </w:rPr>
        <w:t>d)</w:t>
      </w:r>
      <w:r>
        <w:rPr>
          <w:rFonts w:eastAsiaTheme="minorEastAsia"/>
          <w:szCs w:val="24"/>
          <w:lang w:val="en-US" w:eastAsia="zh-CN"/>
        </w:rPr>
        <w:tab/>
        <w:t>ITU-R </w:t>
      </w:r>
      <w:r>
        <w:rPr>
          <w:rFonts w:eastAsiaTheme="minorEastAsia"/>
          <w:szCs w:val="24"/>
          <w:lang w:eastAsia="zh-CN"/>
        </w:rPr>
        <w:t>М</w:t>
      </w:r>
      <w:r>
        <w:rPr>
          <w:rFonts w:eastAsiaTheme="minorEastAsia"/>
          <w:szCs w:val="24"/>
          <w:lang w:val="en-US" w:eastAsia="zh-CN"/>
        </w:rPr>
        <w:t>.1904</w:t>
      </w:r>
      <w:r>
        <w:rPr>
          <w:rFonts w:eastAsiaTheme="minorEastAsia" w:hint="eastAsia"/>
          <w:szCs w:val="24"/>
          <w:lang w:val="en-US" w:eastAsia="zh-CN"/>
        </w:rPr>
        <w:t>建议书提供了在</w:t>
      </w:r>
      <w:r>
        <w:rPr>
          <w:rFonts w:eastAsiaTheme="minorEastAsia"/>
          <w:szCs w:val="24"/>
          <w:lang w:val="en-US" w:eastAsia="zh-CN"/>
        </w:rPr>
        <w:t>1 164-1 215 MHz</w:t>
      </w:r>
      <w:r>
        <w:rPr>
          <w:rFonts w:eastAsiaTheme="minorEastAsia" w:hint="eastAsia"/>
          <w:szCs w:val="24"/>
          <w:lang w:val="en-US" w:eastAsia="zh-CN"/>
        </w:rPr>
        <w:t>、</w:t>
      </w:r>
      <w:r>
        <w:rPr>
          <w:rFonts w:eastAsiaTheme="minorEastAsia"/>
          <w:szCs w:val="24"/>
          <w:lang w:val="en-US" w:eastAsia="zh-CN"/>
        </w:rPr>
        <w:t>1 215-1 300 MHz</w:t>
      </w:r>
      <w:r>
        <w:rPr>
          <w:rFonts w:eastAsiaTheme="minorEastAsia" w:hint="eastAsia"/>
          <w:szCs w:val="24"/>
          <w:lang w:val="en-US" w:eastAsia="zh-CN"/>
        </w:rPr>
        <w:t>及</w:t>
      </w:r>
      <w:r>
        <w:rPr>
          <w:rFonts w:eastAsiaTheme="minorEastAsia"/>
          <w:szCs w:val="24"/>
          <w:lang w:val="en-US" w:eastAsia="zh-CN"/>
        </w:rPr>
        <w:t>1 559</w:t>
      </w:r>
      <w:r>
        <w:rPr>
          <w:rFonts w:eastAsiaTheme="minorEastAsia" w:hint="eastAsia"/>
          <w:szCs w:val="24"/>
          <w:lang w:val="en-US" w:eastAsia="zh-CN"/>
        </w:rPr>
        <w:t>-</w:t>
      </w:r>
      <w:r>
        <w:rPr>
          <w:rFonts w:eastAsiaTheme="minorEastAsia"/>
          <w:szCs w:val="24"/>
          <w:lang w:val="en-US" w:eastAsia="zh-CN"/>
        </w:rPr>
        <w:t>1 610 MHz</w:t>
      </w:r>
      <w:r>
        <w:rPr>
          <w:rFonts w:eastAsiaTheme="minorEastAsia" w:hint="eastAsia"/>
          <w:szCs w:val="24"/>
          <w:lang w:val="en-US" w:eastAsia="zh-CN"/>
        </w:rPr>
        <w:t>频段内运行的卫星无线电导航业务（空对空）接收空间电台的技术特性和保护标准；</w:t>
      </w:r>
    </w:p>
    <w:p w14:paraId="311863BC" w14:textId="77777777" w:rsidR="00EF5BF3" w:rsidRDefault="00551D2B">
      <w:pPr>
        <w:rPr>
          <w:rFonts w:eastAsiaTheme="minorEastAsia"/>
          <w:szCs w:val="24"/>
          <w:lang w:val="en-US" w:eastAsia="zh-CN"/>
        </w:rPr>
      </w:pPr>
      <w:r>
        <w:rPr>
          <w:rFonts w:eastAsiaTheme="minorEastAsia"/>
          <w:i/>
          <w:szCs w:val="24"/>
          <w:lang w:val="en-US" w:eastAsia="ja-JP"/>
        </w:rPr>
        <w:t>e)</w:t>
      </w:r>
      <w:r>
        <w:rPr>
          <w:rFonts w:eastAsiaTheme="minorEastAsia"/>
          <w:szCs w:val="24"/>
          <w:lang w:val="en-US" w:eastAsia="zh-CN"/>
        </w:rPr>
        <w:tab/>
        <w:t>ITU-R M.1463</w:t>
      </w:r>
      <w:r>
        <w:rPr>
          <w:rFonts w:eastAsiaTheme="minorEastAsia" w:hint="eastAsia"/>
          <w:szCs w:val="24"/>
          <w:lang w:val="en-US" w:eastAsia="zh-CN"/>
        </w:rPr>
        <w:t>建议书包括了在</w:t>
      </w:r>
      <w:r>
        <w:rPr>
          <w:rFonts w:eastAsiaTheme="minorEastAsia"/>
          <w:szCs w:val="24"/>
          <w:lang w:val="en-US" w:eastAsia="zh-CN"/>
        </w:rPr>
        <w:t>1 215-1 400 MHz</w:t>
      </w:r>
      <w:r>
        <w:rPr>
          <w:rFonts w:eastAsiaTheme="minorEastAsia" w:hint="eastAsia"/>
          <w:szCs w:val="24"/>
          <w:lang w:val="en-US" w:eastAsia="zh-CN"/>
        </w:rPr>
        <w:t>频段内运行的无线电测定系统的系统特性；</w:t>
      </w:r>
    </w:p>
    <w:p w14:paraId="0FB6FFFD" w14:textId="77777777" w:rsidR="00EF5BF3" w:rsidRDefault="00551D2B">
      <w:pPr>
        <w:rPr>
          <w:lang w:val="en-GB" w:eastAsia="zh-CN"/>
        </w:rPr>
      </w:pPr>
      <w:r>
        <w:rPr>
          <w:rFonts w:eastAsiaTheme="minorEastAsia"/>
          <w:i/>
          <w:szCs w:val="24"/>
          <w:lang w:val="en-US" w:eastAsia="ja-JP"/>
        </w:rPr>
        <w:t>f)</w:t>
      </w:r>
      <w:r>
        <w:rPr>
          <w:rFonts w:eastAsiaTheme="minorEastAsia"/>
          <w:szCs w:val="24"/>
          <w:lang w:val="en-US" w:eastAsia="ja-JP"/>
        </w:rPr>
        <w:tab/>
        <w:t>ITU-R M.1901</w:t>
      </w:r>
      <w:r>
        <w:rPr>
          <w:rFonts w:eastAsiaTheme="minorEastAsia" w:hint="eastAsia"/>
          <w:szCs w:val="24"/>
          <w:lang w:val="en-US" w:eastAsia="zh-CN"/>
        </w:rPr>
        <w:t>建议书为本建议书及其他与在</w:t>
      </w:r>
      <w:r>
        <w:rPr>
          <w:rFonts w:eastAsiaTheme="minorEastAsia"/>
          <w:szCs w:val="24"/>
          <w:lang w:val="en-US" w:eastAsia="zh-CN"/>
        </w:rPr>
        <w:t>1 164-1 215 MHz</w:t>
      </w:r>
      <w:r>
        <w:rPr>
          <w:rFonts w:eastAsiaTheme="minorEastAsia" w:hint="eastAsia"/>
          <w:szCs w:val="24"/>
          <w:lang w:val="en-US" w:eastAsia="zh-CN"/>
        </w:rPr>
        <w:t>、</w:t>
      </w:r>
      <w:r>
        <w:rPr>
          <w:rFonts w:eastAsiaTheme="minorEastAsia"/>
          <w:szCs w:val="24"/>
          <w:lang w:val="en-US" w:eastAsia="zh-CN"/>
        </w:rPr>
        <w:t>1 215-1 300 MHz</w:t>
      </w:r>
      <w:r>
        <w:rPr>
          <w:rFonts w:eastAsiaTheme="minorEastAsia" w:hint="eastAsia"/>
          <w:szCs w:val="24"/>
          <w:lang w:val="en-US" w:eastAsia="zh-CN"/>
        </w:rPr>
        <w:t>、</w:t>
      </w:r>
      <w:r>
        <w:rPr>
          <w:rFonts w:eastAsiaTheme="minorEastAsia"/>
          <w:szCs w:val="24"/>
          <w:lang w:val="en-US" w:eastAsia="zh-CN"/>
        </w:rPr>
        <w:t>1 559-1 610 MHz</w:t>
      </w:r>
      <w:r>
        <w:rPr>
          <w:rFonts w:eastAsiaTheme="minorEastAsia" w:hint="eastAsia"/>
          <w:szCs w:val="24"/>
          <w:lang w:val="en-US" w:eastAsia="zh-CN"/>
        </w:rPr>
        <w:t>、</w:t>
      </w:r>
      <w:r>
        <w:rPr>
          <w:rFonts w:eastAsiaTheme="minorEastAsia"/>
          <w:szCs w:val="24"/>
          <w:lang w:val="en-US" w:eastAsia="zh-CN"/>
        </w:rPr>
        <w:t>5 000-5 010 MHz</w:t>
      </w:r>
      <w:r>
        <w:rPr>
          <w:rFonts w:eastAsiaTheme="minorEastAsia" w:hint="eastAsia"/>
          <w:szCs w:val="24"/>
          <w:lang w:val="en-US" w:eastAsia="zh-CN"/>
        </w:rPr>
        <w:t>和</w:t>
      </w:r>
      <w:r>
        <w:rPr>
          <w:rFonts w:eastAsiaTheme="minorEastAsia"/>
          <w:szCs w:val="24"/>
          <w:lang w:val="en-US" w:eastAsia="zh-CN"/>
        </w:rPr>
        <w:t>5 010-5 030 MHz</w:t>
      </w:r>
      <w:r>
        <w:rPr>
          <w:rFonts w:eastAsiaTheme="minorEastAsia" w:hint="eastAsia"/>
          <w:szCs w:val="24"/>
          <w:lang w:val="en-US" w:eastAsia="zh-CN"/>
        </w:rPr>
        <w:t>频段内运行的卫星无线电导航业务系统和网络相关的</w:t>
      </w:r>
      <w:r>
        <w:rPr>
          <w:rFonts w:eastAsiaTheme="minorEastAsia"/>
          <w:szCs w:val="24"/>
          <w:lang w:val="en-US" w:eastAsia="zh-CN"/>
        </w:rPr>
        <w:t>ITU-R</w:t>
      </w:r>
      <w:r>
        <w:rPr>
          <w:rFonts w:eastAsiaTheme="minorEastAsia" w:hint="eastAsia"/>
          <w:szCs w:val="24"/>
          <w:lang w:val="en-US" w:eastAsia="zh-CN"/>
        </w:rPr>
        <w:t>建议书提供了指导，</w:t>
      </w:r>
    </w:p>
    <w:p w14:paraId="7A873478" w14:textId="0265E7A8" w:rsidR="00EF5BF3" w:rsidRDefault="00551D2B">
      <w:pPr>
        <w:rPr>
          <w:lang w:val="en-US" w:eastAsia="zh-CN"/>
        </w:rPr>
      </w:pPr>
      <w:r>
        <w:rPr>
          <w:rFonts w:eastAsia="Calibri"/>
          <w:i/>
          <w:iCs/>
          <w:lang w:val="en-GB" w:eastAsia="zh-CN"/>
        </w:rPr>
        <w:t>g)</w:t>
      </w:r>
      <w:r>
        <w:rPr>
          <w:rFonts w:eastAsia="Calibri"/>
          <w:i/>
          <w:iCs/>
          <w:lang w:val="en-GB" w:eastAsia="zh-CN"/>
        </w:rPr>
        <w:tab/>
      </w:r>
      <w:r>
        <w:rPr>
          <w:rFonts w:hint="eastAsia"/>
          <w:lang w:val="en-US" w:eastAsia="zh-CN"/>
        </w:rPr>
        <w:t>ITU-R M.2220</w:t>
      </w:r>
      <w:r>
        <w:rPr>
          <w:rFonts w:hint="eastAsia"/>
          <w:lang w:val="en-US" w:eastAsia="zh-CN"/>
        </w:rPr>
        <w:t>报告提供了用于确定在</w:t>
      </w:r>
      <w:r>
        <w:rPr>
          <w:rFonts w:hint="eastAsia"/>
          <w:lang w:val="en-US" w:eastAsia="zh-CN"/>
        </w:rPr>
        <w:t>1 164-1 215 MHz</w:t>
      </w:r>
      <w:r>
        <w:rPr>
          <w:rFonts w:hint="eastAsia"/>
          <w:lang w:val="en-US" w:eastAsia="zh-CN"/>
        </w:rPr>
        <w:t>和</w:t>
      </w:r>
      <w:r>
        <w:rPr>
          <w:rFonts w:hint="eastAsia"/>
          <w:lang w:val="en-US" w:eastAsia="zh-CN"/>
        </w:rPr>
        <w:t>1 215</w:t>
      </w:r>
      <w:r w:rsidR="00DF3FA7">
        <w:rPr>
          <w:rFonts w:hint="eastAsia"/>
          <w:lang w:val="en-US" w:eastAsia="zh-CN"/>
        </w:rPr>
        <w:t>-</w:t>
      </w:r>
      <w:r>
        <w:rPr>
          <w:rFonts w:hint="eastAsia"/>
          <w:lang w:val="en-US" w:eastAsia="zh-CN"/>
        </w:rPr>
        <w:t>1 300 MHz</w:t>
      </w:r>
      <w:r>
        <w:rPr>
          <w:rFonts w:hint="eastAsia"/>
          <w:lang w:val="en-US" w:eastAsia="zh-CN"/>
        </w:rPr>
        <w:t>频段内及其附近运行的脉冲射频系统的总干扰参数的一种计算方法，这些参数可能会影响在这些频段内运行的卫星无线电导航业务机载和地面接收机；</w:t>
      </w:r>
    </w:p>
    <w:p w14:paraId="2FF4DC33" w14:textId="1167AB51" w:rsidR="00EF5BF3" w:rsidRDefault="00551D2B">
      <w:pPr>
        <w:rPr>
          <w:rFonts w:eastAsia="Calibri"/>
          <w:lang w:val="en-GB" w:eastAsia="zh-CN"/>
        </w:rPr>
      </w:pPr>
      <w:r>
        <w:rPr>
          <w:rFonts w:eastAsia="Calibri"/>
          <w:i/>
          <w:iCs/>
          <w:lang w:val="en-GB" w:eastAsia="zh-CN"/>
        </w:rPr>
        <w:t>h)</w:t>
      </w:r>
      <w:r>
        <w:rPr>
          <w:rFonts w:eastAsia="Calibri"/>
          <w:i/>
          <w:iCs/>
          <w:lang w:val="en-GB" w:eastAsia="zh-CN"/>
        </w:rPr>
        <w:tab/>
      </w:r>
      <w:r>
        <w:rPr>
          <w:rFonts w:eastAsia="Calibri" w:hint="eastAsia"/>
          <w:lang w:val="en-GB" w:eastAsia="zh-CN"/>
        </w:rPr>
        <w:t>ITU-R</w:t>
      </w:r>
      <w:r>
        <w:rPr>
          <w:rFonts w:hint="eastAsia"/>
          <w:lang w:val="en-US" w:eastAsia="zh-CN"/>
        </w:rPr>
        <w:t xml:space="preserve"> </w:t>
      </w:r>
      <w:r>
        <w:rPr>
          <w:rFonts w:eastAsia="Calibri" w:hint="eastAsia"/>
          <w:lang w:val="en-GB" w:eastAsia="zh-CN"/>
        </w:rPr>
        <w:t>M.2458</w:t>
      </w:r>
      <w:r>
        <w:rPr>
          <w:rFonts w:eastAsia="Calibri" w:hint="eastAsia"/>
          <w:lang w:val="en-GB" w:eastAsia="zh-CN"/>
        </w:rPr>
        <w:t>报告描述了</w:t>
      </w:r>
      <w:r>
        <w:rPr>
          <w:rFonts w:eastAsia="Calibri" w:hint="eastAsia"/>
          <w:lang w:val="en-GB" w:eastAsia="zh-CN"/>
        </w:rPr>
        <w:t>1</w:t>
      </w:r>
      <w:r>
        <w:rPr>
          <w:rFonts w:hint="eastAsia"/>
          <w:lang w:val="en-US" w:eastAsia="zh-CN"/>
        </w:rPr>
        <w:t xml:space="preserve"> </w:t>
      </w:r>
      <w:r>
        <w:rPr>
          <w:rFonts w:eastAsia="Calibri" w:hint="eastAsia"/>
          <w:lang w:val="en-GB" w:eastAsia="zh-CN"/>
        </w:rPr>
        <w:t>164-1</w:t>
      </w:r>
      <w:r>
        <w:rPr>
          <w:rFonts w:hint="eastAsia"/>
          <w:lang w:val="en-US" w:eastAsia="zh-CN"/>
        </w:rPr>
        <w:t xml:space="preserve"> </w:t>
      </w:r>
      <w:r>
        <w:rPr>
          <w:rFonts w:eastAsia="Calibri" w:hint="eastAsia"/>
          <w:lang w:val="en-GB" w:eastAsia="zh-CN"/>
        </w:rPr>
        <w:t>215MHz</w:t>
      </w:r>
      <w:r>
        <w:rPr>
          <w:rFonts w:eastAsia="Calibri" w:hint="eastAsia"/>
          <w:lang w:val="en-GB" w:eastAsia="zh-CN"/>
        </w:rPr>
        <w:t>、</w:t>
      </w:r>
      <w:r>
        <w:rPr>
          <w:rFonts w:eastAsia="Calibri" w:hint="eastAsia"/>
          <w:lang w:val="en-GB" w:eastAsia="zh-CN"/>
        </w:rPr>
        <w:t>1</w:t>
      </w:r>
      <w:r>
        <w:rPr>
          <w:rFonts w:hint="eastAsia"/>
          <w:lang w:val="en-US" w:eastAsia="zh-CN"/>
        </w:rPr>
        <w:t xml:space="preserve"> </w:t>
      </w:r>
      <w:r>
        <w:rPr>
          <w:rFonts w:eastAsia="Calibri" w:hint="eastAsia"/>
          <w:lang w:val="en-GB" w:eastAsia="zh-CN"/>
        </w:rPr>
        <w:t>215</w:t>
      </w:r>
      <w:r>
        <w:rPr>
          <w:rFonts w:hint="eastAsia"/>
          <w:lang w:val="en-US" w:eastAsia="zh-CN"/>
        </w:rPr>
        <w:t>-</w:t>
      </w:r>
      <w:r>
        <w:rPr>
          <w:rFonts w:eastAsia="Calibri" w:hint="eastAsia"/>
          <w:lang w:val="en-GB" w:eastAsia="zh-CN"/>
        </w:rPr>
        <w:t>1</w:t>
      </w:r>
      <w:r>
        <w:rPr>
          <w:rFonts w:hint="eastAsia"/>
          <w:lang w:val="en-US" w:eastAsia="zh-CN"/>
        </w:rPr>
        <w:t xml:space="preserve"> </w:t>
      </w:r>
      <w:r>
        <w:rPr>
          <w:rFonts w:eastAsia="Calibri" w:hint="eastAsia"/>
          <w:lang w:val="en-GB" w:eastAsia="zh-CN"/>
        </w:rPr>
        <w:t>300MHz</w:t>
      </w:r>
      <w:r>
        <w:rPr>
          <w:rFonts w:eastAsia="Calibri" w:hint="eastAsia"/>
          <w:lang w:val="en-GB" w:eastAsia="zh-CN"/>
        </w:rPr>
        <w:t>和</w:t>
      </w:r>
      <w:r>
        <w:rPr>
          <w:rFonts w:eastAsia="Calibri" w:hint="eastAsia"/>
          <w:lang w:val="en-GB" w:eastAsia="zh-CN"/>
        </w:rPr>
        <w:t>1</w:t>
      </w:r>
      <w:r>
        <w:rPr>
          <w:rFonts w:hint="eastAsia"/>
          <w:lang w:val="en-US" w:eastAsia="zh-CN"/>
        </w:rPr>
        <w:t xml:space="preserve"> </w:t>
      </w:r>
      <w:r>
        <w:rPr>
          <w:rFonts w:eastAsia="Calibri" w:hint="eastAsia"/>
          <w:lang w:val="en-GB" w:eastAsia="zh-CN"/>
        </w:rPr>
        <w:t>559-1</w:t>
      </w:r>
      <w:r>
        <w:rPr>
          <w:rFonts w:hint="eastAsia"/>
          <w:lang w:val="en-US" w:eastAsia="zh-CN"/>
        </w:rPr>
        <w:t xml:space="preserve"> </w:t>
      </w:r>
      <w:r>
        <w:rPr>
          <w:rFonts w:eastAsia="Calibri" w:hint="eastAsia"/>
          <w:lang w:val="en-GB" w:eastAsia="zh-CN"/>
        </w:rPr>
        <w:t>610MHz</w:t>
      </w:r>
      <w:r>
        <w:rPr>
          <w:rFonts w:eastAsia="Calibri" w:hint="eastAsia"/>
          <w:lang w:val="en-GB" w:eastAsia="zh-CN"/>
        </w:rPr>
        <w:t>频段</w:t>
      </w:r>
      <w:r>
        <w:rPr>
          <w:rFonts w:hint="eastAsia"/>
          <w:lang w:val="en-US" w:eastAsia="zh-CN"/>
        </w:rPr>
        <w:t>内</w:t>
      </w:r>
      <w:r>
        <w:rPr>
          <w:rFonts w:eastAsia="Calibri" w:hint="eastAsia"/>
          <w:lang w:val="en-GB" w:eastAsia="zh-CN"/>
        </w:rPr>
        <w:t>的</w:t>
      </w:r>
      <w:r>
        <w:rPr>
          <w:rFonts w:eastAsia="Calibri" w:hint="eastAsia"/>
          <w:lang w:val="en-GB" w:eastAsia="zh-CN"/>
        </w:rPr>
        <w:t>RNSS</w:t>
      </w:r>
      <w:r>
        <w:rPr>
          <w:rFonts w:eastAsia="Calibri" w:hint="eastAsia"/>
          <w:lang w:val="en-GB" w:eastAsia="zh-CN"/>
        </w:rPr>
        <w:t>应用；</w:t>
      </w:r>
    </w:p>
    <w:p w14:paraId="5FB06D10" w14:textId="77777777" w:rsidR="00EF5BF3" w:rsidRDefault="00551D2B">
      <w:pPr>
        <w:rPr>
          <w:lang w:val="en-GB" w:eastAsia="ja-JP"/>
        </w:rPr>
      </w:pPr>
      <w:proofErr w:type="spellStart"/>
      <w:r>
        <w:rPr>
          <w:rFonts w:eastAsia="Calibri"/>
          <w:i/>
          <w:iCs/>
          <w:szCs w:val="24"/>
          <w:lang w:val="en-GB" w:eastAsia="zh-CN"/>
        </w:rPr>
        <w:t>i</w:t>
      </w:r>
      <w:proofErr w:type="spellEnd"/>
      <w:r>
        <w:rPr>
          <w:rFonts w:eastAsia="Calibri"/>
          <w:i/>
          <w:iCs/>
          <w:szCs w:val="24"/>
          <w:lang w:val="en-GB" w:eastAsia="zh-CN"/>
        </w:rPr>
        <w:t>)</w:t>
      </w:r>
      <w:r>
        <w:rPr>
          <w:rFonts w:eastAsia="Calibri"/>
          <w:i/>
          <w:iCs/>
          <w:szCs w:val="24"/>
          <w:lang w:val="en-GB" w:eastAsia="zh-CN"/>
        </w:rPr>
        <w:tab/>
      </w:r>
      <w:r>
        <w:rPr>
          <w:rFonts w:hint="eastAsia"/>
          <w:lang w:val="en-GB" w:eastAsia="zh-CN"/>
        </w:rPr>
        <w:t>ITU-R M.2496</w:t>
      </w:r>
      <w:r>
        <w:rPr>
          <w:rFonts w:hint="eastAsia"/>
          <w:lang w:val="en-GB" w:eastAsia="zh-CN"/>
        </w:rPr>
        <w:t>报告提供了有关</w:t>
      </w:r>
      <w:r>
        <w:rPr>
          <w:rFonts w:hint="eastAsia"/>
          <w:lang w:val="en-GB" w:eastAsia="zh-CN"/>
        </w:rPr>
        <w:t>RNSS</w:t>
      </w:r>
      <w:r>
        <w:rPr>
          <w:rFonts w:hint="eastAsia"/>
          <w:lang w:val="en-GB" w:eastAsia="zh-CN"/>
        </w:rPr>
        <w:t>接收机前端特性的信息，</w:t>
      </w:r>
      <w:r>
        <w:rPr>
          <w:rFonts w:hint="eastAsia"/>
          <w:lang w:val="en-US" w:eastAsia="zh-CN"/>
        </w:rPr>
        <w:t>其中</w:t>
      </w:r>
      <w:r>
        <w:rPr>
          <w:rFonts w:hint="eastAsia"/>
          <w:lang w:val="en-GB" w:eastAsia="zh-CN"/>
        </w:rPr>
        <w:t>包括这些参数在干扰评估中的正确使用，</w:t>
      </w:r>
      <w:r>
        <w:rPr>
          <w:rFonts w:hint="eastAsia"/>
          <w:lang w:val="en-US" w:eastAsia="zh-CN"/>
        </w:rPr>
        <w:t>并</w:t>
      </w:r>
      <w:r>
        <w:rPr>
          <w:rFonts w:hint="eastAsia"/>
          <w:lang w:val="en-GB" w:eastAsia="zh-CN"/>
        </w:rPr>
        <w:t>提供了</w:t>
      </w:r>
      <w:r>
        <w:rPr>
          <w:rFonts w:hint="eastAsia"/>
          <w:lang w:val="en-GB" w:eastAsia="zh-CN"/>
        </w:rPr>
        <w:t>RNSS</w:t>
      </w:r>
      <w:r>
        <w:rPr>
          <w:rFonts w:hint="eastAsia"/>
          <w:lang w:val="en-GB" w:eastAsia="zh-CN"/>
        </w:rPr>
        <w:t>接收机脉冲干扰模型的相关考虑</w:t>
      </w:r>
      <w:r>
        <w:rPr>
          <w:rFonts w:hint="eastAsia"/>
          <w:lang w:val="en-US" w:eastAsia="zh-CN"/>
        </w:rPr>
        <w:t>因素</w:t>
      </w:r>
      <w:r>
        <w:rPr>
          <w:rFonts w:hint="eastAsia"/>
          <w:lang w:val="en-GB" w:eastAsia="zh-CN"/>
        </w:rPr>
        <w:t>，</w:t>
      </w:r>
    </w:p>
    <w:p w14:paraId="0E54E52B" w14:textId="77777777" w:rsidR="00EF5BF3" w:rsidRDefault="00551D2B" w:rsidP="0047509A">
      <w:pPr>
        <w:pStyle w:val="Call"/>
        <w:spacing w:before="240"/>
        <w:rPr>
          <w:rFonts w:ascii="STKaiti" w:eastAsia="STKaiti" w:hAnsi="STKaiti"/>
          <w:i w:val="0"/>
          <w:lang w:val="en-US" w:eastAsia="zh-CN"/>
        </w:rPr>
      </w:pPr>
      <w:r>
        <w:rPr>
          <w:rFonts w:ascii="STKaiti" w:eastAsia="STKaiti" w:hAnsi="STKaiti" w:hint="eastAsia"/>
          <w:i w:val="0"/>
          <w:lang w:val="en-US" w:eastAsia="zh-CN"/>
        </w:rPr>
        <w:t>认识到</w:t>
      </w:r>
    </w:p>
    <w:p w14:paraId="69E85ABD" w14:textId="77777777" w:rsidR="00EF5BF3" w:rsidRDefault="00551D2B">
      <w:pPr>
        <w:rPr>
          <w:rFonts w:eastAsiaTheme="minorEastAsia"/>
          <w:szCs w:val="24"/>
          <w:lang w:val="en-US" w:eastAsia="zh-CN"/>
        </w:rPr>
      </w:pPr>
      <w:r>
        <w:rPr>
          <w:rFonts w:eastAsiaTheme="minorEastAsia"/>
          <w:i/>
          <w:szCs w:val="24"/>
          <w:lang w:val="en-US" w:eastAsia="zh-CN"/>
        </w:rPr>
        <w:t>a)</w:t>
      </w:r>
      <w:r>
        <w:rPr>
          <w:rFonts w:eastAsiaTheme="minorEastAsia"/>
          <w:szCs w:val="24"/>
          <w:lang w:val="en-US" w:eastAsia="zh-CN"/>
        </w:rPr>
        <w:tab/>
        <w:t>1 215-1 300 MHz</w:t>
      </w:r>
      <w:r>
        <w:rPr>
          <w:rFonts w:eastAsiaTheme="minorEastAsia" w:hint="eastAsia"/>
          <w:szCs w:val="24"/>
          <w:lang w:val="en-US" w:eastAsia="zh-CN"/>
        </w:rPr>
        <w:t>频段在所有三个区域内划分给作为主要业务的卫星地球探测业务（</w:t>
      </w:r>
      <w:r>
        <w:rPr>
          <w:rFonts w:eastAsiaTheme="minorEastAsia"/>
          <w:szCs w:val="24"/>
          <w:lang w:val="en-US" w:eastAsia="zh-CN"/>
        </w:rPr>
        <w:t>EESS</w:t>
      </w:r>
      <w:r>
        <w:rPr>
          <w:rFonts w:eastAsiaTheme="minorEastAsia" w:hint="eastAsia"/>
          <w:szCs w:val="24"/>
          <w:lang w:val="en-US" w:eastAsia="zh-CN"/>
        </w:rPr>
        <w:t>）（有源）、无线电定位业务、卫星无线电导航业务（空对地和空对空）以及空间研究业务（有源）；</w:t>
      </w:r>
    </w:p>
    <w:p w14:paraId="11EE06BD" w14:textId="77777777" w:rsidR="00EF5BF3" w:rsidRDefault="00551D2B">
      <w:pPr>
        <w:rPr>
          <w:rFonts w:eastAsiaTheme="minorEastAsia"/>
          <w:szCs w:val="24"/>
          <w:lang w:val="en-US" w:eastAsia="ja-JP"/>
        </w:rPr>
      </w:pPr>
      <w:r>
        <w:rPr>
          <w:rFonts w:eastAsiaTheme="minorEastAsia"/>
          <w:i/>
          <w:szCs w:val="24"/>
          <w:lang w:val="en-US" w:eastAsia="ja-JP"/>
        </w:rPr>
        <w:t>b</w:t>
      </w:r>
      <w:r>
        <w:rPr>
          <w:rFonts w:eastAsiaTheme="minorEastAsia"/>
          <w:i/>
          <w:szCs w:val="24"/>
          <w:lang w:val="en-US" w:eastAsia="zh-CN"/>
        </w:rPr>
        <w:t>)</w:t>
      </w:r>
      <w:r>
        <w:rPr>
          <w:rFonts w:eastAsiaTheme="minorEastAsia"/>
          <w:szCs w:val="24"/>
          <w:lang w:val="en-US" w:eastAsia="zh-CN"/>
        </w:rPr>
        <w:tab/>
      </w:r>
      <w:r>
        <w:rPr>
          <w:rFonts w:eastAsiaTheme="minorEastAsia" w:hint="eastAsia"/>
          <w:szCs w:val="24"/>
          <w:lang w:val="en-US" w:eastAsia="zh-CN"/>
        </w:rPr>
        <w:t>在一些国家，</w:t>
      </w:r>
      <w:r>
        <w:rPr>
          <w:rFonts w:eastAsiaTheme="minorEastAsia"/>
          <w:szCs w:val="24"/>
          <w:lang w:val="en-US" w:eastAsia="zh-CN"/>
        </w:rPr>
        <w:t>1 215-1 300 MHz</w:t>
      </w:r>
      <w:r>
        <w:rPr>
          <w:rFonts w:eastAsiaTheme="minorEastAsia" w:hint="eastAsia"/>
          <w:szCs w:val="24"/>
          <w:lang w:val="en-US" w:eastAsia="zh-CN"/>
        </w:rPr>
        <w:t>频段还包括对固定与移动业务和</w:t>
      </w:r>
      <w:r>
        <w:rPr>
          <w:rFonts w:eastAsiaTheme="minorEastAsia"/>
          <w:szCs w:val="24"/>
          <w:lang w:val="en-US" w:eastAsia="zh-CN"/>
        </w:rPr>
        <w:t>/</w:t>
      </w:r>
      <w:r>
        <w:rPr>
          <w:rFonts w:eastAsiaTheme="minorEastAsia" w:hint="eastAsia"/>
          <w:szCs w:val="24"/>
          <w:lang w:val="en-US" w:eastAsia="zh-CN"/>
        </w:rPr>
        <w:t>或对无线电导航业务（在某些情况下限于在该频段某一部分使用的航空无线电导航应用</w:t>
      </w:r>
      <w:r>
        <w:rPr>
          <w:rFonts w:eastAsiaTheme="minorEastAsia"/>
          <w:szCs w:val="24"/>
          <w:lang w:val="en-US" w:eastAsia="zh-CN"/>
        </w:rPr>
        <w:t>）</w:t>
      </w:r>
      <w:r>
        <w:rPr>
          <w:rFonts w:eastAsiaTheme="minorEastAsia" w:hint="eastAsia"/>
          <w:szCs w:val="24"/>
          <w:lang w:val="en-US" w:eastAsia="zh-CN"/>
        </w:rPr>
        <w:t>的主要划分；</w:t>
      </w:r>
    </w:p>
    <w:p w14:paraId="738540B9" w14:textId="77777777" w:rsidR="00EF5BF3" w:rsidRDefault="00551D2B">
      <w:pPr>
        <w:rPr>
          <w:rFonts w:eastAsiaTheme="minorEastAsia"/>
          <w:szCs w:val="24"/>
          <w:lang w:val="en-US" w:eastAsia="zh-CN"/>
        </w:rPr>
      </w:pPr>
      <w:r>
        <w:rPr>
          <w:rFonts w:eastAsiaTheme="minorEastAsia"/>
          <w:i/>
          <w:szCs w:val="24"/>
          <w:lang w:val="en-US" w:eastAsia="zh-CN"/>
        </w:rPr>
        <w:t>c)</w:t>
      </w:r>
      <w:r>
        <w:rPr>
          <w:rFonts w:eastAsiaTheme="minorEastAsia"/>
          <w:szCs w:val="24"/>
          <w:lang w:val="en-US" w:eastAsia="zh-CN"/>
        </w:rPr>
        <w:tab/>
      </w:r>
      <w:r>
        <w:rPr>
          <w:rFonts w:eastAsiaTheme="minorEastAsia" w:hint="eastAsia"/>
          <w:szCs w:val="24"/>
          <w:lang w:val="en-US" w:eastAsia="zh-CN"/>
        </w:rPr>
        <w:t>《无线电规则》（</w:t>
      </w:r>
      <w:r>
        <w:rPr>
          <w:rFonts w:eastAsiaTheme="minorEastAsia"/>
          <w:szCs w:val="24"/>
          <w:lang w:val="en-US" w:eastAsia="zh-CN"/>
        </w:rPr>
        <w:t>RR</w:t>
      </w:r>
      <w:r>
        <w:rPr>
          <w:rFonts w:eastAsiaTheme="minorEastAsia" w:hint="eastAsia"/>
          <w:szCs w:val="24"/>
          <w:lang w:val="en-US" w:eastAsia="zh-CN"/>
        </w:rPr>
        <w:t>）第</w:t>
      </w:r>
      <w:r>
        <w:rPr>
          <w:rFonts w:eastAsiaTheme="minorEastAsia"/>
          <w:b/>
          <w:szCs w:val="24"/>
          <w:lang w:val="en-US" w:eastAsia="zh-CN"/>
        </w:rPr>
        <w:t>5.329</w:t>
      </w:r>
      <w:r>
        <w:rPr>
          <w:rFonts w:eastAsiaTheme="minorEastAsia" w:hint="eastAsia"/>
          <w:szCs w:val="24"/>
          <w:lang w:val="en-US" w:eastAsia="zh-CN"/>
        </w:rPr>
        <w:t>款规定</w:t>
      </w:r>
      <w:proofErr w:type="gramStart"/>
      <w:r>
        <w:rPr>
          <w:rFonts w:eastAsiaTheme="minorEastAsia" w:hint="eastAsia"/>
          <w:szCs w:val="24"/>
          <w:lang w:val="en-US" w:eastAsia="zh-CN"/>
        </w:rPr>
        <w:t>：“</w:t>
      </w:r>
      <w:proofErr w:type="gramEnd"/>
      <w:r>
        <w:rPr>
          <w:rFonts w:eastAsiaTheme="minorEastAsia" w:hint="eastAsia"/>
          <w:szCs w:val="24"/>
          <w:lang w:val="en-US" w:eastAsia="zh-CN"/>
        </w:rPr>
        <w:t>使用</w:t>
      </w:r>
      <w:r>
        <w:rPr>
          <w:rFonts w:eastAsiaTheme="minorEastAsia"/>
          <w:szCs w:val="24"/>
          <w:lang w:val="en-US" w:eastAsia="zh-CN"/>
        </w:rPr>
        <w:t>1 215-1 300 MHz</w:t>
      </w:r>
      <w:r>
        <w:rPr>
          <w:rFonts w:eastAsiaTheme="minorEastAsia" w:hint="eastAsia"/>
          <w:szCs w:val="24"/>
          <w:lang w:val="en-US" w:eastAsia="zh-CN"/>
        </w:rPr>
        <w:t>频段内的卫星无线电导航业务须符合的条件是不对按照《无线电规则》第</w:t>
      </w:r>
      <w:r>
        <w:rPr>
          <w:rFonts w:eastAsiaTheme="minorEastAsia"/>
          <w:b/>
          <w:szCs w:val="24"/>
          <w:lang w:val="en-US" w:eastAsia="zh-CN"/>
        </w:rPr>
        <w:t>5.331</w:t>
      </w:r>
      <w:r>
        <w:rPr>
          <w:rFonts w:eastAsiaTheme="minorEastAsia" w:hint="eastAsia"/>
          <w:szCs w:val="24"/>
          <w:lang w:val="en-US" w:eastAsia="zh-CN"/>
        </w:rPr>
        <w:t>款核准的无线电导航业务产生有害干扰或提出保护要求。而且，使用</w:t>
      </w:r>
      <w:r>
        <w:rPr>
          <w:rFonts w:eastAsiaTheme="minorEastAsia"/>
          <w:szCs w:val="24"/>
          <w:lang w:val="en-US" w:eastAsia="zh-CN"/>
        </w:rPr>
        <w:t>1 215-1 300 </w:t>
      </w:r>
      <w:r>
        <w:rPr>
          <w:rFonts w:eastAsiaTheme="minorEastAsia" w:hint="eastAsia"/>
          <w:szCs w:val="24"/>
          <w:lang w:val="en-US" w:eastAsia="zh-CN"/>
        </w:rPr>
        <w:t>MHz</w:t>
      </w:r>
      <w:r>
        <w:rPr>
          <w:rFonts w:eastAsiaTheme="minorEastAsia" w:hint="eastAsia"/>
          <w:szCs w:val="24"/>
          <w:lang w:val="en-US" w:eastAsia="zh-CN"/>
        </w:rPr>
        <w:t>频段内的卫星无线电导航业务须符合的条件是不对无线电定位业务产生有害干扰。《无线电规则》第</w:t>
      </w:r>
      <w:r>
        <w:rPr>
          <w:rFonts w:eastAsiaTheme="minorEastAsia"/>
          <w:b/>
          <w:szCs w:val="24"/>
          <w:lang w:val="en-US" w:eastAsia="zh-CN"/>
        </w:rPr>
        <w:t>5.43</w:t>
      </w:r>
      <w:r>
        <w:rPr>
          <w:rFonts w:eastAsiaTheme="minorEastAsia" w:hint="eastAsia"/>
          <w:szCs w:val="24"/>
          <w:lang w:val="en-US" w:eastAsia="zh-CN"/>
        </w:rPr>
        <w:t>款对无线电定位业务不适用。第</w:t>
      </w:r>
      <w:r>
        <w:rPr>
          <w:rFonts w:eastAsiaTheme="minorEastAsia"/>
          <w:b/>
          <w:szCs w:val="24"/>
          <w:lang w:val="en-US" w:eastAsia="zh-CN"/>
        </w:rPr>
        <w:t>608</w:t>
      </w:r>
      <w:r>
        <w:rPr>
          <w:rFonts w:eastAsiaTheme="minorEastAsia" w:hint="eastAsia"/>
          <w:szCs w:val="24"/>
          <w:lang w:val="en-US" w:eastAsia="zh-CN"/>
        </w:rPr>
        <w:t>号决议（</w:t>
      </w:r>
      <w:r>
        <w:rPr>
          <w:rFonts w:eastAsiaTheme="minorEastAsia"/>
          <w:b/>
          <w:szCs w:val="24"/>
          <w:lang w:val="en-US" w:eastAsia="zh-CN"/>
        </w:rPr>
        <w:t>WRC</w:t>
      </w:r>
      <w:r>
        <w:rPr>
          <w:rFonts w:eastAsiaTheme="minorEastAsia" w:hint="eastAsia"/>
          <w:b/>
          <w:szCs w:val="24"/>
          <w:lang w:val="en-US" w:eastAsia="zh-CN"/>
        </w:rPr>
        <w:t>-</w:t>
      </w:r>
      <w:r>
        <w:rPr>
          <w:rFonts w:eastAsiaTheme="minorEastAsia"/>
          <w:b/>
          <w:szCs w:val="24"/>
          <w:lang w:val="en-US" w:eastAsia="zh-CN"/>
        </w:rPr>
        <w:t>03</w:t>
      </w:r>
      <w:r>
        <w:rPr>
          <w:rFonts w:eastAsiaTheme="minorEastAsia" w:hint="eastAsia"/>
          <w:szCs w:val="24"/>
          <w:lang w:val="en-US" w:eastAsia="zh-CN"/>
        </w:rPr>
        <w:t>）适用”；</w:t>
      </w:r>
    </w:p>
    <w:p w14:paraId="5A10DEA9" w14:textId="77777777" w:rsidR="00EF5BF3" w:rsidRDefault="00551D2B">
      <w:pPr>
        <w:rPr>
          <w:rFonts w:eastAsiaTheme="minorEastAsia"/>
          <w:i/>
          <w:szCs w:val="24"/>
          <w:lang w:val="en-US" w:eastAsia="zh-CN"/>
        </w:rPr>
      </w:pPr>
      <w:r>
        <w:rPr>
          <w:rFonts w:eastAsiaTheme="minorEastAsia"/>
          <w:i/>
          <w:szCs w:val="24"/>
          <w:lang w:val="en-US" w:eastAsia="zh-CN"/>
        </w:rPr>
        <w:t>d)</w:t>
      </w:r>
      <w:r>
        <w:rPr>
          <w:rFonts w:eastAsiaTheme="minorEastAsia"/>
          <w:szCs w:val="24"/>
          <w:lang w:val="en-US" w:eastAsia="zh-CN"/>
        </w:rPr>
        <w:tab/>
      </w:r>
      <w:r>
        <w:rPr>
          <w:rFonts w:eastAsiaTheme="minorEastAsia" w:hint="eastAsia"/>
          <w:szCs w:val="24"/>
          <w:lang w:val="en-US" w:eastAsia="zh-CN"/>
        </w:rPr>
        <w:t>《无线电规则》第</w:t>
      </w:r>
      <w:r>
        <w:rPr>
          <w:rFonts w:eastAsiaTheme="minorEastAsia"/>
          <w:b/>
          <w:szCs w:val="24"/>
          <w:lang w:val="en-US" w:eastAsia="zh-CN"/>
        </w:rPr>
        <w:t>5.332</w:t>
      </w:r>
      <w:r>
        <w:rPr>
          <w:rFonts w:eastAsiaTheme="minorEastAsia" w:hint="eastAsia"/>
          <w:szCs w:val="24"/>
          <w:lang w:val="en-US" w:eastAsia="zh-CN"/>
        </w:rPr>
        <w:t>款规定，在</w:t>
      </w:r>
      <w:r>
        <w:rPr>
          <w:rFonts w:eastAsiaTheme="minorEastAsia"/>
          <w:szCs w:val="24"/>
          <w:lang w:val="en-US" w:eastAsia="zh-CN"/>
        </w:rPr>
        <w:t>1 215-1 260 MHz</w:t>
      </w:r>
      <w:r>
        <w:rPr>
          <w:rFonts w:eastAsiaTheme="minorEastAsia" w:hint="eastAsia"/>
          <w:szCs w:val="24"/>
          <w:lang w:val="en-US" w:eastAsia="zh-CN"/>
        </w:rPr>
        <w:t>频段内的卫星地球探测（有源）不应对卫星无线电导航业务产生有害干扰，</w:t>
      </w:r>
    </w:p>
    <w:p w14:paraId="543AD122" w14:textId="77777777" w:rsidR="00EF5BF3" w:rsidRDefault="00551D2B" w:rsidP="0047509A">
      <w:pPr>
        <w:pStyle w:val="Call"/>
        <w:spacing w:before="240"/>
        <w:rPr>
          <w:rFonts w:ascii="STKaiti" w:eastAsia="STKaiti" w:hAnsi="STKaiti"/>
          <w:i w:val="0"/>
          <w:lang w:val="en-US" w:eastAsia="zh-CN"/>
        </w:rPr>
      </w:pPr>
      <w:r>
        <w:rPr>
          <w:rFonts w:ascii="STKaiti" w:eastAsia="STKaiti" w:hAnsi="STKaiti" w:hint="eastAsia"/>
          <w:i w:val="0"/>
          <w:lang w:val="en-US" w:eastAsia="zh-CN"/>
        </w:rPr>
        <w:t>注意到</w:t>
      </w:r>
    </w:p>
    <w:p w14:paraId="6F75FA16" w14:textId="77777777" w:rsidR="00EF5BF3" w:rsidRDefault="00551D2B">
      <w:pPr>
        <w:ind w:firstLineChars="200" w:firstLine="480"/>
        <w:rPr>
          <w:rFonts w:eastAsiaTheme="minorEastAsia"/>
          <w:szCs w:val="24"/>
          <w:lang w:val="en-US" w:eastAsia="ja-JP"/>
        </w:rPr>
      </w:pPr>
      <w:r>
        <w:rPr>
          <w:rFonts w:eastAsiaTheme="minorEastAsia"/>
          <w:szCs w:val="24"/>
          <w:lang w:val="en-US" w:eastAsia="ja-JP"/>
        </w:rPr>
        <w:t>ITU-R RS.1749</w:t>
      </w:r>
      <w:r>
        <w:rPr>
          <w:rFonts w:eastAsiaTheme="minorEastAsia" w:hint="eastAsia"/>
          <w:szCs w:val="24"/>
          <w:lang w:val="en-US" w:eastAsia="zh-CN"/>
        </w:rPr>
        <w:t>建议书包括各种在</w:t>
      </w:r>
      <w:r>
        <w:rPr>
          <w:rFonts w:eastAsiaTheme="minorEastAsia"/>
          <w:szCs w:val="24"/>
          <w:lang w:val="en-US" w:eastAsia="ja-JP"/>
        </w:rPr>
        <w:t>1 215-1 300 MHz</w:t>
      </w:r>
      <w:r>
        <w:rPr>
          <w:rFonts w:eastAsiaTheme="minorEastAsia" w:hint="eastAsia"/>
          <w:szCs w:val="24"/>
          <w:lang w:val="en-US" w:eastAsia="zh-CN"/>
        </w:rPr>
        <w:t>频段内的星载合成孔径雷达的特性，而</w:t>
      </w:r>
      <w:r>
        <w:rPr>
          <w:rFonts w:eastAsiaTheme="minorEastAsia"/>
          <w:szCs w:val="24"/>
          <w:lang w:val="en-US" w:eastAsia="ja-JP"/>
        </w:rPr>
        <w:t>ITU-R RS.1347</w:t>
      </w:r>
      <w:r>
        <w:rPr>
          <w:rFonts w:eastAsiaTheme="minorEastAsia" w:hint="eastAsia"/>
          <w:szCs w:val="24"/>
          <w:lang w:val="en-US" w:eastAsia="zh-CN"/>
        </w:rPr>
        <w:t>建议书建议，根据包括地面兼容性测试的证实，认为在</w:t>
      </w:r>
      <w:r>
        <w:rPr>
          <w:rFonts w:eastAsiaTheme="minorEastAsia"/>
          <w:szCs w:val="24"/>
          <w:lang w:val="en-US" w:eastAsia="ja-JP"/>
        </w:rPr>
        <w:t>1 215-1 </w:t>
      </w:r>
      <w:r>
        <w:rPr>
          <w:rFonts w:eastAsiaTheme="minorEastAsia"/>
          <w:szCs w:val="24"/>
          <w:lang w:val="en-US" w:eastAsia="zh-CN"/>
        </w:rPr>
        <w:t>260</w:t>
      </w:r>
      <w:r>
        <w:rPr>
          <w:rFonts w:eastAsiaTheme="minorEastAsia"/>
          <w:szCs w:val="24"/>
          <w:lang w:val="en-US" w:eastAsia="ja-JP"/>
        </w:rPr>
        <w:t xml:space="preserve"> MHz</w:t>
      </w:r>
      <w:r>
        <w:rPr>
          <w:rFonts w:eastAsiaTheme="minorEastAsia" w:hint="eastAsia"/>
          <w:szCs w:val="24"/>
          <w:lang w:val="en-US" w:eastAsia="zh-CN"/>
        </w:rPr>
        <w:t>频段内星载合成孔径雷达与</w:t>
      </w:r>
      <w:r>
        <w:rPr>
          <w:rFonts w:eastAsiaTheme="minorEastAsia"/>
          <w:szCs w:val="24"/>
          <w:lang w:val="en-US" w:eastAsia="zh-CN"/>
        </w:rPr>
        <w:t>RNSS</w:t>
      </w:r>
      <w:r>
        <w:rPr>
          <w:rFonts w:eastAsiaTheme="minorEastAsia" w:hint="eastAsia"/>
          <w:szCs w:val="24"/>
          <w:lang w:val="en-US" w:eastAsia="zh-CN"/>
        </w:rPr>
        <w:t>的共享被是可行的，</w:t>
      </w:r>
    </w:p>
    <w:p w14:paraId="6E491935" w14:textId="77777777" w:rsidR="0047509A" w:rsidRDefault="0047509A">
      <w:pPr>
        <w:tabs>
          <w:tab w:val="clear" w:pos="794"/>
          <w:tab w:val="clear" w:pos="1191"/>
          <w:tab w:val="clear" w:pos="1588"/>
          <w:tab w:val="clear" w:pos="1985"/>
        </w:tabs>
        <w:overflowPunct/>
        <w:autoSpaceDE/>
        <w:autoSpaceDN/>
        <w:adjustRightInd/>
        <w:spacing w:before="0"/>
        <w:jc w:val="left"/>
        <w:textAlignment w:val="auto"/>
        <w:rPr>
          <w:rFonts w:ascii="STKaiti" w:eastAsia="STKaiti" w:hAnsi="STKaiti"/>
          <w:lang w:val="en-US" w:eastAsia="zh-CN"/>
        </w:rPr>
      </w:pPr>
      <w:r>
        <w:rPr>
          <w:rFonts w:ascii="STKaiti" w:eastAsia="STKaiti" w:hAnsi="STKaiti"/>
          <w:i/>
          <w:lang w:val="en-US" w:eastAsia="zh-CN"/>
        </w:rPr>
        <w:br w:type="page"/>
      </w:r>
    </w:p>
    <w:p w14:paraId="1C081E0C" w14:textId="051413D2" w:rsidR="00EF5BF3" w:rsidRDefault="00551D2B" w:rsidP="0047509A">
      <w:pPr>
        <w:pStyle w:val="Call"/>
        <w:spacing w:before="240"/>
        <w:rPr>
          <w:rFonts w:ascii="STKaiti" w:eastAsia="STKaiti" w:hAnsi="STKaiti"/>
          <w:i w:val="0"/>
          <w:lang w:val="en-US" w:eastAsia="zh-CN"/>
        </w:rPr>
      </w:pPr>
      <w:r>
        <w:rPr>
          <w:rFonts w:ascii="STKaiti" w:eastAsia="STKaiti" w:hAnsi="STKaiti" w:hint="eastAsia"/>
          <w:i w:val="0"/>
          <w:lang w:val="en-US" w:eastAsia="zh-CN"/>
        </w:rPr>
        <w:lastRenderedPageBreak/>
        <w:t>建议</w:t>
      </w:r>
    </w:p>
    <w:p w14:paraId="7E75762A" w14:textId="77777777" w:rsidR="00EF5BF3" w:rsidRDefault="00551D2B">
      <w:pPr>
        <w:ind w:firstLineChars="200" w:firstLine="480"/>
        <w:rPr>
          <w:rFonts w:eastAsiaTheme="minorEastAsia"/>
          <w:szCs w:val="24"/>
          <w:lang w:val="en-US" w:eastAsia="zh-CN"/>
        </w:rPr>
      </w:pPr>
      <w:r>
        <w:rPr>
          <w:rFonts w:eastAsiaTheme="minorEastAsia" w:hint="eastAsia"/>
          <w:snapToGrid w:val="0"/>
          <w:szCs w:val="24"/>
          <w:lang w:val="en-US" w:eastAsia="zh-CN"/>
        </w:rPr>
        <w:t>应采用附件</w:t>
      </w:r>
      <w:r>
        <w:rPr>
          <w:rFonts w:eastAsiaTheme="minorEastAsia"/>
          <w:snapToGrid w:val="0"/>
          <w:szCs w:val="24"/>
          <w:lang w:val="en-US" w:eastAsia="zh-CN"/>
        </w:rPr>
        <w:t>1</w:t>
      </w:r>
      <w:r>
        <w:rPr>
          <w:rFonts w:eastAsiaTheme="minorEastAsia" w:hint="eastAsia"/>
          <w:snapToGrid w:val="0"/>
          <w:szCs w:val="24"/>
          <w:lang w:val="en-US" w:eastAsia="zh-CN"/>
        </w:rPr>
        <w:t>中给出的接收地球站的特性和保护标准对在</w:t>
      </w:r>
      <w:r>
        <w:rPr>
          <w:rFonts w:eastAsiaTheme="minorEastAsia"/>
          <w:szCs w:val="24"/>
          <w:lang w:val="en-US" w:eastAsia="zh-CN"/>
        </w:rPr>
        <w:t>1 215-1 300 MHz</w:t>
      </w:r>
      <w:r>
        <w:rPr>
          <w:rFonts w:eastAsiaTheme="minorEastAsia" w:hint="eastAsia"/>
          <w:szCs w:val="24"/>
          <w:lang w:val="en-US" w:eastAsia="zh-CN"/>
        </w:rPr>
        <w:t>频段</w:t>
      </w:r>
      <w:r>
        <w:rPr>
          <w:rFonts w:eastAsiaTheme="minorEastAsia" w:hint="eastAsia"/>
          <w:caps/>
          <w:szCs w:val="24"/>
          <w:lang w:val="en-US" w:eastAsia="zh-CN"/>
        </w:rPr>
        <w:t>内运行</w:t>
      </w:r>
      <w:r>
        <w:rPr>
          <w:rFonts w:eastAsiaTheme="minorEastAsia" w:hint="eastAsia"/>
          <w:szCs w:val="24"/>
          <w:lang w:val="en-US" w:eastAsia="zh-CN"/>
        </w:rPr>
        <w:t>的卫星无线电导航业务</w:t>
      </w:r>
      <w:r>
        <w:rPr>
          <w:rFonts w:eastAsiaTheme="minorEastAsia"/>
          <w:snapToGrid w:val="0"/>
          <w:szCs w:val="24"/>
          <w:lang w:val="en-US" w:eastAsia="zh-CN"/>
        </w:rPr>
        <w:t>（</w:t>
      </w:r>
      <w:r>
        <w:rPr>
          <w:rFonts w:eastAsiaTheme="minorEastAsia" w:hint="eastAsia"/>
          <w:snapToGrid w:val="0"/>
          <w:szCs w:val="24"/>
          <w:lang w:val="en-US" w:eastAsia="zh-CN"/>
        </w:rPr>
        <w:t>空对地</w:t>
      </w:r>
      <w:r>
        <w:rPr>
          <w:rFonts w:eastAsiaTheme="minorEastAsia"/>
          <w:snapToGrid w:val="0"/>
          <w:szCs w:val="24"/>
          <w:lang w:val="en-US" w:eastAsia="zh-CN"/>
        </w:rPr>
        <w:t>）</w:t>
      </w:r>
      <w:r>
        <w:rPr>
          <w:rFonts w:eastAsiaTheme="minorEastAsia" w:hint="eastAsia"/>
          <w:snapToGrid w:val="0"/>
          <w:szCs w:val="24"/>
          <w:lang w:val="en-US" w:eastAsia="zh-CN"/>
        </w:rPr>
        <w:t>接收机</w:t>
      </w:r>
      <w:r>
        <w:rPr>
          <w:rFonts w:eastAsiaTheme="minorEastAsia" w:hint="eastAsia"/>
          <w:szCs w:val="24"/>
          <w:lang w:val="en-US" w:eastAsia="zh-CN"/>
        </w:rPr>
        <w:t>受到的卫星无线电导航业务</w:t>
      </w:r>
      <w:r>
        <w:rPr>
          <w:rFonts w:eastAsiaTheme="minorEastAsia" w:hint="eastAsia"/>
          <w:snapToGrid w:val="0"/>
          <w:szCs w:val="24"/>
          <w:lang w:val="en-US" w:eastAsia="zh-CN"/>
        </w:rPr>
        <w:t>以外无线电干扰源的干扰影响进行性能分析。</w:t>
      </w:r>
    </w:p>
    <w:p w14:paraId="7B433838" w14:textId="77777777" w:rsidR="00EF5BF3" w:rsidRDefault="00EF5BF3">
      <w:pPr>
        <w:rPr>
          <w:rFonts w:eastAsia="MS Mincho"/>
          <w:szCs w:val="24"/>
          <w:lang w:val="en-US" w:eastAsia="zh-CN"/>
        </w:rPr>
      </w:pPr>
    </w:p>
    <w:p w14:paraId="5CD0AC0F" w14:textId="77777777" w:rsidR="00EF5BF3" w:rsidRDefault="00EF5BF3">
      <w:pPr>
        <w:rPr>
          <w:rFonts w:eastAsia="MS Mincho"/>
          <w:szCs w:val="24"/>
          <w:lang w:val="en-GB" w:eastAsia="zh-CN"/>
        </w:rPr>
      </w:pPr>
    </w:p>
    <w:p w14:paraId="4C65B50F" w14:textId="4B90F665" w:rsidR="00EF5BF3" w:rsidRDefault="00551D2B">
      <w:pPr>
        <w:pStyle w:val="AnnexNoTitle"/>
        <w:rPr>
          <w:lang w:val="en-GB" w:eastAsia="zh-CN"/>
        </w:rPr>
      </w:pPr>
      <w:r>
        <w:rPr>
          <w:lang w:val="en-GB" w:eastAsia="zh-CN"/>
        </w:rPr>
        <w:t>附件</w:t>
      </w:r>
      <w:r>
        <w:rPr>
          <w:lang w:val="en-GB" w:eastAsia="zh-CN"/>
        </w:rPr>
        <w:t>1</w:t>
      </w:r>
      <w:r>
        <w:rPr>
          <w:lang w:val="en-GB" w:eastAsia="zh-CN"/>
        </w:rPr>
        <w:br/>
      </w:r>
      <w:r>
        <w:rPr>
          <w:lang w:val="en-GB" w:eastAsia="zh-CN"/>
        </w:rPr>
        <w:br/>
      </w:r>
      <w:r>
        <w:rPr>
          <w:lang w:val="en-GB" w:eastAsia="zh-CN"/>
        </w:rPr>
        <w:t>在</w:t>
      </w:r>
      <w:r>
        <w:rPr>
          <w:lang w:val="en-GB" w:eastAsia="zh-CN"/>
        </w:rPr>
        <w:t>1 215-1 300 MHz</w:t>
      </w:r>
      <w:r>
        <w:rPr>
          <w:lang w:val="en-GB" w:eastAsia="zh-CN"/>
        </w:rPr>
        <w:t>频段内运行的卫星无线电导航</w:t>
      </w:r>
      <w:r w:rsidR="0047509A">
        <w:rPr>
          <w:lang w:val="en-GB" w:eastAsia="zh-CN"/>
        </w:rPr>
        <w:br/>
      </w:r>
      <w:r>
        <w:rPr>
          <w:lang w:val="en-GB" w:eastAsia="zh-CN"/>
        </w:rPr>
        <w:t>业务（空对地）接收地球站的技术特性和保护标准</w:t>
      </w:r>
    </w:p>
    <w:p w14:paraId="74DFD2B8" w14:textId="77777777" w:rsidR="00EF5BF3" w:rsidRDefault="00551D2B">
      <w:pPr>
        <w:pStyle w:val="Heading1"/>
        <w:rPr>
          <w:lang w:val="en-US" w:eastAsia="zh-CN"/>
        </w:rPr>
      </w:pPr>
      <w:r>
        <w:rPr>
          <w:lang w:val="en-US" w:eastAsia="zh-CN"/>
        </w:rPr>
        <w:t>1</w:t>
      </w:r>
      <w:r>
        <w:rPr>
          <w:lang w:val="en-US" w:eastAsia="zh-CN"/>
        </w:rPr>
        <w:tab/>
      </w:r>
      <w:r>
        <w:rPr>
          <w:rFonts w:hint="eastAsia"/>
          <w:lang w:eastAsia="zh-CN"/>
        </w:rPr>
        <w:t>引言</w:t>
      </w:r>
    </w:p>
    <w:p w14:paraId="49A3C79E" w14:textId="77777777" w:rsidR="00EF5BF3" w:rsidRDefault="00551D2B">
      <w:pPr>
        <w:ind w:firstLineChars="200" w:firstLine="480"/>
        <w:rPr>
          <w:rFonts w:eastAsiaTheme="minorEastAsia"/>
          <w:szCs w:val="24"/>
          <w:lang w:val="en-US" w:eastAsia="zh-CN"/>
        </w:rPr>
      </w:pPr>
      <w:r>
        <w:rPr>
          <w:rFonts w:eastAsiaTheme="minorEastAsia" w:hint="eastAsia"/>
          <w:szCs w:val="24"/>
          <w:lang w:val="en-US" w:eastAsia="zh-CN"/>
        </w:rPr>
        <w:t>多个在功能和性能上不同的接收机等级很可能采用在</w:t>
      </w:r>
      <w:r>
        <w:rPr>
          <w:rFonts w:eastAsiaTheme="minorEastAsia"/>
          <w:szCs w:val="24"/>
          <w:lang w:val="en-US" w:eastAsia="zh-CN"/>
        </w:rPr>
        <w:t>1 215-1 300 MHz</w:t>
      </w:r>
      <w:r>
        <w:rPr>
          <w:rFonts w:eastAsiaTheme="minorEastAsia" w:hint="eastAsia"/>
          <w:szCs w:val="24"/>
          <w:lang w:val="en-US" w:eastAsia="zh-CN"/>
        </w:rPr>
        <w:t>频段的</w:t>
      </w:r>
      <w:r>
        <w:rPr>
          <w:rFonts w:eastAsiaTheme="minorEastAsia"/>
          <w:szCs w:val="24"/>
          <w:lang w:val="en-US" w:eastAsia="zh-CN"/>
        </w:rPr>
        <w:t>RNSS</w:t>
      </w:r>
      <w:r>
        <w:rPr>
          <w:rFonts w:eastAsiaTheme="minorEastAsia" w:hint="eastAsia"/>
          <w:szCs w:val="24"/>
          <w:lang w:val="en-US" w:eastAsia="zh-CN"/>
        </w:rPr>
        <w:t>卫星信号。以下各节包括对每种</w:t>
      </w:r>
      <w:r>
        <w:rPr>
          <w:rFonts w:eastAsiaTheme="minorEastAsia"/>
          <w:szCs w:val="24"/>
          <w:lang w:val="en-US" w:eastAsia="zh-CN"/>
        </w:rPr>
        <w:t>RNSS</w:t>
      </w:r>
      <w:r>
        <w:rPr>
          <w:rFonts w:eastAsiaTheme="minorEastAsia" w:hint="eastAsia"/>
          <w:szCs w:val="24"/>
          <w:lang w:val="en-US" w:eastAsia="zh-CN"/>
        </w:rPr>
        <w:t>接收机的一般描述和对接收机特性和保护标准的描述。所描述的多种接收机是将</w:t>
      </w:r>
      <w:r>
        <w:rPr>
          <w:rFonts w:eastAsiaTheme="minorEastAsia"/>
          <w:szCs w:val="24"/>
          <w:lang w:val="en-US" w:eastAsia="zh-CN"/>
        </w:rPr>
        <w:t>RNSS</w:t>
      </w:r>
      <w:r>
        <w:rPr>
          <w:rFonts w:eastAsiaTheme="minorEastAsia" w:hint="eastAsia"/>
          <w:szCs w:val="24"/>
          <w:lang w:val="en-US" w:eastAsia="zh-CN"/>
        </w:rPr>
        <w:t>信号用于或计划同时用于这个及一个或多个其他</w:t>
      </w:r>
      <w:r>
        <w:rPr>
          <w:rFonts w:eastAsiaTheme="minorEastAsia"/>
          <w:szCs w:val="24"/>
          <w:lang w:val="en-US" w:eastAsia="zh-CN"/>
        </w:rPr>
        <w:t>RNSS</w:t>
      </w:r>
      <w:r>
        <w:rPr>
          <w:rFonts w:eastAsiaTheme="minorEastAsia" w:hint="eastAsia"/>
          <w:szCs w:val="24"/>
          <w:lang w:val="en-US" w:eastAsia="zh-CN"/>
        </w:rPr>
        <w:t>频段的多频段接收机类型。</w:t>
      </w:r>
    </w:p>
    <w:p w14:paraId="2B2DCC18" w14:textId="77777777" w:rsidR="00EF5BF3" w:rsidRDefault="00551D2B">
      <w:pPr>
        <w:pStyle w:val="Heading1"/>
        <w:rPr>
          <w:rFonts w:eastAsiaTheme="minorEastAsia"/>
          <w:lang w:val="en-US" w:eastAsia="zh-CN"/>
        </w:rPr>
      </w:pPr>
      <w:r>
        <w:rPr>
          <w:rFonts w:eastAsiaTheme="minorEastAsia"/>
          <w:lang w:val="en-US" w:eastAsia="zh-CN"/>
        </w:rPr>
        <w:t>2</w:t>
      </w:r>
      <w:r>
        <w:rPr>
          <w:rFonts w:eastAsiaTheme="minorEastAsia"/>
          <w:lang w:val="en-US" w:eastAsia="zh-CN"/>
        </w:rPr>
        <w:tab/>
        <w:t>RNSS</w:t>
      </w:r>
      <w:r>
        <w:rPr>
          <w:rFonts w:eastAsiaTheme="minorEastAsia" w:hint="eastAsia"/>
          <w:lang w:val="en-US" w:eastAsia="zh-CN"/>
        </w:rPr>
        <w:t>接收机应用描述</w:t>
      </w:r>
    </w:p>
    <w:p w14:paraId="16FB8A71" w14:textId="77777777" w:rsidR="00EF5BF3" w:rsidRDefault="00551D2B">
      <w:pPr>
        <w:ind w:firstLineChars="200" w:firstLine="480"/>
        <w:rPr>
          <w:rFonts w:eastAsiaTheme="minorEastAsia"/>
          <w:szCs w:val="24"/>
          <w:lang w:val="en-US" w:eastAsia="zh-CN"/>
        </w:rPr>
      </w:pPr>
      <w:r>
        <w:rPr>
          <w:rFonts w:eastAsiaTheme="minorEastAsia" w:hint="eastAsia"/>
          <w:szCs w:val="24"/>
          <w:lang w:val="en-US" w:eastAsia="zh-CN"/>
        </w:rPr>
        <w:t>本节描述了当前和预期的多种</w:t>
      </w:r>
      <w:r>
        <w:rPr>
          <w:rFonts w:eastAsiaTheme="minorEastAsia"/>
          <w:szCs w:val="24"/>
          <w:lang w:val="en-US" w:eastAsia="zh-CN"/>
        </w:rPr>
        <w:t>RNSS</w:t>
      </w:r>
      <w:r>
        <w:rPr>
          <w:rFonts w:eastAsiaTheme="minorEastAsia" w:hint="eastAsia"/>
          <w:szCs w:val="24"/>
          <w:lang w:val="en-US" w:eastAsia="zh-CN"/>
        </w:rPr>
        <w:t>接收机。</w:t>
      </w:r>
    </w:p>
    <w:p w14:paraId="4AFABCBC" w14:textId="77777777" w:rsidR="00EF5BF3" w:rsidRDefault="00551D2B">
      <w:pPr>
        <w:pStyle w:val="Heading2"/>
        <w:rPr>
          <w:lang w:val="en-US" w:eastAsia="zh-CN"/>
        </w:rPr>
      </w:pPr>
      <w:r>
        <w:rPr>
          <w:lang w:val="en-US" w:eastAsia="zh-CN"/>
        </w:rPr>
        <w:t>2.1</w:t>
      </w:r>
      <w:r>
        <w:rPr>
          <w:lang w:val="en-US" w:eastAsia="zh-CN"/>
        </w:rPr>
        <w:tab/>
      </w:r>
      <w:r>
        <w:rPr>
          <w:rFonts w:hint="eastAsia"/>
          <w:lang w:val="en-US" w:eastAsia="zh-CN"/>
        </w:rPr>
        <w:t>星基增强系统</w:t>
      </w:r>
      <w:r>
        <w:rPr>
          <w:position w:val="6"/>
          <w:sz w:val="20"/>
        </w:rPr>
        <w:footnoteReference w:id="1"/>
      </w:r>
      <w:r>
        <w:rPr>
          <w:rFonts w:hint="eastAsia"/>
          <w:lang w:val="en-US" w:eastAsia="zh-CN"/>
        </w:rPr>
        <w:t>地面参考接收机</w:t>
      </w:r>
    </w:p>
    <w:p w14:paraId="10274E2B" w14:textId="6EF066E7" w:rsidR="00EF5BF3" w:rsidRDefault="00551D2B">
      <w:pPr>
        <w:ind w:firstLineChars="200" w:firstLine="480"/>
        <w:rPr>
          <w:rFonts w:eastAsiaTheme="minorEastAsia"/>
          <w:szCs w:val="24"/>
          <w:lang w:val="en-US" w:eastAsia="zh-CN"/>
        </w:rPr>
      </w:pPr>
      <w:r>
        <w:rPr>
          <w:rFonts w:eastAsiaTheme="minorEastAsia" w:hint="eastAsia"/>
          <w:szCs w:val="24"/>
          <w:lang w:val="en-US" w:eastAsia="zh-CN"/>
        </w:rPr>
        <w:t>此陆基接收机类型被用在</w:t>
      </w:r>
      <w:proofErr w:type="gramStart"/>
      <w:r>
        <w:rPr>
          <w:rFonts w:eastAsiaTheme="minorEastAsia" w:hint="eastAsia"/>
          <w:szCs w:val="24"/>
          <w:lang w:val="en-US" w:eastAsia="zh-CN"/>
        </w:rPr>
        <w:t>星基增强</w:t>
      </w:r>
      <w:proofErr w:type="gramEnd"/>
      <w:r>
        <w:rPr>
          <w:rFonts w:eastAsiaTheme="minorEastAsia" w:hint="eastAsia"/>
          <w:szCs w:val="24"/>
          <w:lang w:val="en-US" w:eastAsia="zh-CN"/>
        </w:rPr>
        <w:t>系统</w:t>
      </w:r>
      <w:r>
        <w:rPr>
          <w:rFonts w:eastAsiaTheme="minorEastAsia" w:hint="eastAsia"/>
          <w:szCs w:val="24"/>
          <w:lang w:val="en-US" w:eastAsia="zh-CN"/>
        </w:rPr>
        <w:t>(</w:t>
      </w:r>
      <w:r>
        <w:rPr>
          <w:rFonts w:eastAsiaTheme="minorEastAsia"/>
          <w:szCs w:val="24"/>
          <w:lang w:val="en-US" w:eastAsia="zh-CN"/>
        </w:rPr>
        <w:t>SBAS</w:t>
      </w:r>
      <w:r>
        <w:rPr>
          <w:rFonts w:eastAsiaTheme="minorEastAsia" w:hint="eastAsia"/>
          <w:szCs w:val="24"/>
          <w:lang w:val="en-US" w:eastAsia="zh-CN"/>
        </w:rPr>
        <w:t>)</w:t>
      </w:r>
      <w:r>
        <w:rPr>
          <w:rFonts w:eastAsiaTheme="minorEastAsia" w:hint="eastAsia"/>
          <w:szCs w:val="24"/>
          <w:lang w:val="en-US" w:eastAsia="zh-CN"/>
        </w:rPr>
        <w:t>地面网络的运行中，用于测量电离层时延和</w:t>
      </w:r>
      <w:r>
        <w:rPr>
          <w:rFonts w:eastAsiaTheme="minorEastAsia"/>
          <w:szCs w:val="24"/>
          <w:lang w:val="en-US" w:eastAsia="zh-CN"/>
        </w:rPr>
        <w:t>RNSS</w:t>
      </w:r>
      <w:r>
        <w:rPr>
          <w:rFonts w:eastAsiaTheme="minorEastAsia" w:hint="eastAsia"/>
          <w:szCs w:val="24"/>
          <w:lang w:val="en-US" w:eastAsia="zh-CN"/>
        </w:rPr>
        <w:t>信号的完整性。该接收机采用一种半无码技术</w:t>
      </w:r>
      <w:r>
        <w:rPr>
          <w:rFonts w:eastAsiaTheme="minorEastAsia" w:hint="eastAsia"/>
          <w:szCs w:val="24"/>
          <w:lang w:eastAsia="zh-CN"/>
        </w:rPr>
        <w:t>，该技术具有一种由特殊</w:t>
      </w:r>
      <w:r>
        <w:rPr>
          <w:rFonts w:eastAsiaTheme="minorEastAsia"/>
          <w:szCs w:val="24"/>
          <w:lang w:eastAsia="zh-CN"/>
        </w:rPr>
        <w:t>RNSS</w:t>
      </w:r>
      <w:r>
        <w:rPr>
          <w:rFonts w:eastAsiaTheme="minorEastAsia" w:hint="eastAsia"/>
          <w:szCs w:val="24"/>
          <w:lang w:eastAsia="zh-CN"/>
        </w:rPr>
        <w:t>信号架构支持的独特功能，在获知了从</w:t>
      </w:r>
      <w:r>
        <w:rPr>
          <w:rFonts w:eastAsiaTheme="minorEastAsia"/>
          <w:szCs w:val="24"/>
          <w:lang w:val="en-US" w:eastAsia="zh-CN"/>
        </w:rPr>
        <w:t>L1 C/A</w:t>
      </w:r>
      <w:r>
        <w:rPr>
          <w:rFonts w:eastAsiaTheme="minorEastAsia"/>
          <w:position w:val="6"/>
          <w:sz w:val="20"/>
        </w:rPr>
        <w:footnoteReference w:id="2"/>
      </w:r>
      <w:r>
        <w:rPr>
          <w:rFonts w:eastAsiaTheme="minorEastAsia"/>
          <w:sz w:val="20"/>
          <w:lang w:val="en-US" w:eastAsia="zh-CN"/>
        </w:rPr>
        <w:t xml:space="preserve"> </w:t>
      </w:r>
      <w:r>
        <w:rPr>
          <w:rFonts w:eastAsiaTheme="minorEastAsia" w:hint="eastAsia"/>
          <w:szCs w:val="24"/>
          <w:lang w:eastAsia="zh-CN"/>
        </w:rPr>
        <w:t>编码和载波跟踪得到的动态载波相位，且得知了平均加密时钟速率之</w:t>
      </w:r>
      <w:r>
        <w:rPr>
          <w:rFonts w:ascii="Tahoma" w:eastAsiaTheme="minorEastAsia" w:hAnsi="Tahoma" w:cs="Tahoma" w:hint="eastAsia"/>
          <w:szCs w:val="24"/>
          <w:lang w:eastAsia="zh-CN"/>
        </w:rPr>
        <w:t>后，</w:t>
      </w:r>
      <w:r>
        <w:rPr>
          <w:rFonts w:eastAsiaTheme="minorEastAsia" w:hint="eastAsia"/>
          <w:szCs w:val="24"/>
          <w:lang w:eastAsia="zh-CN"/>
        </w:rPr>
        <w:t>就可以跟踪</w:t>
      </w:r>
      <w:r>
        <w:rPr>
          <w:rFonts w:eastAsiaTheme="minorEastAsia"/>
          <w:szCs w:val="24"/>
          <w:lang w:eastAsia="zh-CN"/>
        </w:rPr>
        <w:t>L1</w:t>
      </w:r>
      <w:r>
        <w:rPr>
          <w:rFonts w:eastAsiaTheme="minorEastAsia" w:hint="eastAsia"/>
          <w:szCs w:val="24"/>
          <w:lang w:eastAsia="zh-CN"/>
        </w:rPr>
        <w:t>和</w:t>
      </w:r>
      <w:r>
        <w:rPr>
          <w:rFonts w:eastAsiaTheme="minorEastAsia"/>
          <w:szCs w:val="24"/>
          <w:lang w:eastAsia="zh-CN"/>
        </w:rPr>
        <w:t xml:space="preserve">L2 </w:t>
      </w:r>
      <w:r>
        <w:rPr>
          <w:rFonts w:eastAsiaTheme="minorEastAsia"/>
          <w:szCs w:val="24"/>
          <w:lang w:val="en-US" w:eastAsia="zh-CN"/>
        </w:rPr>
        <w:t>P(Y)</w:t>
      </w:r>
      <w:r>
        <w:rPr>
          <w:rFonts w:eastAsiaTheme="minorEastAsia" w:hint="eastAsia"/>
          <w:szCs w:val="24"/>
          <w:lang w:eastAsia="zh-CN"/>
        </w:rPr>
        <w:t>信号。这种交叉关联技术提供了测量</w:t>
      </w:r>
      <w:r>
        <w:rPr>
          <w:rFonts w:eastAsiaTheme="minorEastAsia"/>
          <w:szCs w:val="24"/>
          <w:lang w:eastAsia="zh-CN"/>
        </w:rPr>
        <w:t>L2</w:t>
      </w:r>
      <w:r>
        <w:rPr>
          <w:rFonts w:eastAsiaTheme="minorEastAsia" w:hint="eastAsia"/>
          <w:szCs w:val="24"/>
          <w:lang w:eastAsia="zh-CN"/>
        </w:rPr>
        <w:t>信号延迟的能力，因此使得测量因为电离层而导致的信号延迟的变化成为可能。互相</w:t>
      </w:r>
      <w:proofErr w:type="gramStart"/>
      <w:r>
        <w:rPr>
          <w:rFonts w:eastAsiaTheme="minorEastAsia" w:hint="eastAsia"/>
          <w:szCs w:val="24"/>
          <w:lang w:eastAsia="zh-CN"/>
        </w:rPr>
        <w:t>关方案</w:t>
      </w:r>
      <w:proofErr w:type="gramEnd"/>
      <w:r>
        <w:rPr>
          <w:rFonts w:eastAsiaTheme="minorEastAsia" w:hint="eastAsia"/>
          <w:szCs w:val="24"/>
          <w:lang w:eastAsia="zh-CN"/>
        </w:rPr>
        <w:t>可行，部分是因为</w:t>
      </w:r>
      <w:r>
        <w:rPr>
          <w:rFonts w:eastAsiaTheme="minorEastAsia"/>
          <w:szCs w:val="24"/>
          <w:lang w:eastAsia="zh-CN"/>
        </w:rPr>
        <w:t>L1</w:t>
      </w:r>
      <w:r>
        <w:rPr>
          <w:rFonts w:eastAsiaTheme="minorEastAsia" w:hint="eastAsia"/>
          <w:szCs w:val="24"/>
          <w:lang w:eastAsia="zh-CN"/>
        </w:rPr>
        <w:t>和</w:t>
      </w:r>
      <w:r>
        <w:rPr>
          <w:rFonts w:eastAsiaTheme="minorEastAsia"/>
          <w:szCs w:val="24"/>
          <w:lang w:val="en-US" w:eastAsia="zh-CN"/>
        </w:rPr>
        <w:t>L2 P(Y)</w:t>
      </w:r>
      <w:r>
        <w:rPr>
          <w:rFonts w:eastAsiaTheme="minorEastAsia" w:hint="eastAsia"/>
          <w:szCs w:val="24"/>
          <w:lang w:eastAsia="zh-CN"/>
        </w:rPr>
        <w:t>信号的编码相同。这种型号的接收设备必须捕获和跟踪与</w:t>
      </w:r>
      <w:r>
        <w:rPr>
          <w:rFonts w:eastAsiaTheme="minorEastAsia"/>
          <w:szCs w:val="24"/>
          <w:lang w:val="en-US" w:eastAsia="zh-CN"/>
        </w:rPr>
        <w:t>L1 C/A</w:t>
      </w:r>
      <w:r>
        <w:rPr>
          <w:rFonts w:eastAsiaTheme="minorEastAsia" w:hint="eastAsia"/>
          <w:szCs w:val="24"/>
          <w:lang w:eastAsia="zh-CN"/>
        </w:rPr>
        <w:t>的载波频率相同的</w:t>
      </w:r>
      <w:r>
        <w:rPr>
          <w:rFonts w:eastAsiaTheme="minorEastAsia"/>
          <w:szCs w:val="24"/>
          <w:lang w:val="en-US" w:eastAsia="zh-CN"/>
        </w:rPr>
        <w:t>SBAS</w:t>
      </w:r>
      <w:r>
        <w:rPr>
          <w:rFonts w:eastAsiaTheme="minorEastAsia" w:hint="eastAsia"/>
          <w:szCs w:val="24"/>
          <w:lang w:eastAsia="zh-CN"/>
        </w:rPr>
        <w:t>卫星信号。半无码接收接收机对干扰更为敏感，这是因为半无码接收设备在操作时并不知晓</w:t>
      </w:r>
      <w:r>
        <w:rPr>
          <w:rFonts w:eastAsiaTheme="minorEastAsia"/>
          <w:szCs w:val="24"/>
          <w:lang w:eastAsia="zh-CN"/>
        </w:rPr>
        <w:t>Y</w:t>
      </w:r>
      <w:r>
        <w:rPr>
          <w:rFonts w:eastAsiaTheme="minorEastAsia" w:hint="eastAsia"/>
          <w:szCs w:val="24"/>
          <w:lang w:eastAsia="zh-CN"/>
        </w:rPr>
        <w:t>代码</w:t>
      </w:r>
      <w:r>
        <w:rPr>
          <w:rFonts w:eastAsiaTheme="minorEastAsia"/>
          <w:color w:val="000000"/>
          <w:position w:val="6"/>
          <w:sz w:val="20"/>
        </w:rPr>
        <w:footnoteReference w:id="3"/>
      </w:r>
      <w:r>
        <w:rPr>
          <w:rFonts w:eastAsiaTheme="minorEastAsia" w:hint="eastAsia"/>
          <w:szCs w:val="24"/>
          <w:lang w:eastAsia="zh-CN"/>
        </w:rPr>
        <w:t>。捕获是采用</w:t>
      </w:r>
      <w:r>
        <w:rPr>
          <w:rFonts w:eastAsiaTheme="minorEastAsia"/>
          <w:szCs w:val="24"/>
          <w:lang w:eastAsia="zh-CN"/>
        </w:rPr>
        <w:t xml:space="preserve">L1 </w:t>
      </w:r>
      <w:r>
        <w:rPr>
          <w:rFonts w:eastAsiaTheme="minorEastAsia" w:hint="eastAsia"/>
          <w:szCs w:val="24"/>
          <w:lang w:eastAsia="zh-CN"/>
        </w:rPr>
        <w:t>C</w:t>
      </w:r>
      <w:r>
        <w:rPr>
          <w:rFonts w:eastAsiaTheme="minorEastAsia"/>
          <w:szCs w:val="24"/>
          <w:lang w:eastAsia="zh-CN"/>
        </w:rPr>
        <w:t>/A</w:t>
      </w:r>
      <w:r>
        <w:rPr>
          <w:rFonts w:eastAsiaTheme="minorEastAsia" w:hint="eastAsia"/>
          <w:szCs w:val="24"/>
          <w:lang w:eastAsia="zh-CN"/>
        </w:rPr>
        <w:t>编码信号来完成的。</w:t>
      </w:r>
      <w:r>
        <w:rPr>
          <w:rFonts w:eastAsiaTheme="minorEastAsia" w:hint="eastAsia"/>
          <w:szCs w:val="24"/>
          <w:lang w:val="en-US" w:eastAsia="zh-CN"/>
        </w:rPr>
        <w:t>在</w:t>
      </w:r>
      <w:r>
        <w:rPr>
          <w:rFonts w:eastAsiaTheme="minorEastAsia"/>
          <w:szCs w:val="24"/>
          <w:lang w:val="en-US" w:eastAsia="zh-CN"/>
        </w:rPr>
        <w:t>L2</w:t>
      </w:r>
      <w:r>
        <w:rPr>
          <w:rFonts w:eastAsiaTheme="minorEastAsia" w:hint="eastAsia"/>
          <w:szCs w:val="24"/>
          <w:lang w:val="en-US" w:eastAsia="zh-CN"/>
        </w:rPr>
        <w:t>的捕获不适用于这种接收机类型。这种接收机的特性和保护标准提供在表</w:t>
      </w:r>
      <w:r>
        <w:rPr>
          <w:rFonts w:eastAsiaTheme="minorEastAsia"/>
          <w:szCs w:val="24"/>
          <w:lang w:val="en-US" w:eastAsia="zh-CN"/>
        </w:rPr>
        <w:t>1</w:t>
      </w:r>
      <w:r>
        <w:rPr>
          <w:rFonts w:eastAsiaTheme="minorEastAsia" w:hint="eastAsia"/>
          <w:szCs w:val="24"/>
          <w:lang w:val="en-US" w:eastAsia="zh-CN"/>
        </w:rPr>
        <w:t>的第一列中。因为该接收机同时采用了</w:t>
      </w:r>
      <w:r>
        <w:rPr>
          <w:rFonts w:eastAsiaTheme="minorEastAsia"/>
          <w:szCs w:val="24"/>
          <w:lang w:val="en-US" w:eastAsia="zh-CN"/>
        </w:rPr>
        <w:t>L1 C/A</w:t>
      </w:r>
      <w:r>
        <w:rPr>
          <w:rFonts w:eastAsiaTheme="minorEastAsia" w:hint="eastAsia"/>
          <w:szCs w:val="24"/>
          <w:lang w:val="en-US" w:eastAsia="zh-CN"/>
        </w:rPr>
        <w:t>和</w:t>
      </w:r>
      <w:r>
        <w:rPr>
          <w:rFonts w:eastAsiaTheme="minorEastAsia"/>
          <w:color w:val="000000"/>
          <w:szCs w:val="24"/>
          <w:lang w:val="en-US" w:eastAsia="zh-CN"/>
        </w:rPr>
        <w:t>P(</w:t>
      </w:r>
      <w:r>
        <w:rPr>
          <w:rFonts w:eastAsiaTheme="minorEastAsia"/>
          <w:szCs w:val="24"/>
          <w:lang w:val="en-US" w:eastAsia="zh-CN"/>
        </w:rPr>
        <w:t>Y)</w:t>
      </w:r>
      <w:r>
        <w:rPr>
          <w:rFonts w:eastAsiaTheme="minorEastAsia" w:hint="eastAsia"/>
          <w:szCs w:val="24"/>
          <w:lang w:val="en-US" w:eastAsia="zh-CN"/>
        </w:rPr>
        <w:t>信号与</w:t>
      </w:r>
      <w:r>
        <w:rPr>
          <w:rFonts w:eastAsiaTheme="minorEastAsia"/>
          <w:szCs w:val="24"/>
          <w:lang w:val="en-US" w:eastAsia="zh-CN"/>
        </w:rPr>
        <w:t>L2</w:t>
      </w:r>
      <w:r>
        <w:rPr>
          <w:rFonts w:eastAsiaTheme="minorEastAsia"/>
          <w:color w:val="000000"/>
          <w:szCs w:val="24"/>
          <w:lang w:val="en-US" w:eastAsia="zh-CN"/>
        </w:rPr>
        <w:t xml:space="preserve"> P(</w:t>
      </w:r>
      <w:r>
        <w:rPr>
          <w:rFonts w:eastAsiaTheme="minorEastAsia"/>
          <w:szCs w:val="24"/>
          <w:lang w:val="en-US" w:eastAsia="zh-CN"/>
        </w:rPr>
        <w:t>Y)</w:t>
      </w:r>
      <w:r>
        <w:rPr>
          <w:rFonts w:eastAsiaTheme="minorEastAsia" w:hint="eastAsia"/>
          <w:szCs w:val="24"/>
          <w:lang w:val="en-US" w:eastAsia="zh-CN"/>
        </w:rPr>
        <w:t>，因此在</w:t>
      </w:r>
      <w:r>
        <w:rPr>
          <w:rFonts w:eastAsiaTheme="minorEastAsia"/>
          <w:szCs w:val="24"/>
          <w:lang w:val="en-US" w:eastAsia="zh-CN"/>
        </w:rPr>
        <w:t>1 559-1 610 MHz</w:t>
      </w:r>
      <w:r>
        <w:rPr>
          <w:rFonts w:eastAsiaTheme="minorEastAsia" w:hint="eastAsia"/>
          <w:szCs w:val="24"/>
          <w:lang w:val="en-US" w:eastAsia="zh-CN"/>
        </w:rPr>
        <w:t>频段内很容易受干扰的影响。</w:t>
      </w:r>
      <w:r>
        <w:rPr>
          <w:rFonts w:eastAsiaTheme="minorEastAsia"/>
          <w:szCs w:val="24"/>
          <w:lang w:val="en-US" w:eastAsia="zh-CN"/>
        </w:rPr>
        <w:t>SBAS</w:t>
      </w:r>
      <w:r>
        <w:rPr>
          <w:rFonts w:eastAsiaTheme="minorEastAsia" w:hint="eastAsia"/>
          <w:szCs w:val="24"/>
          <w:lang w:val="en-US" w:eastAsia="zh-CN"/>
        </w:rPr>
        <w:t>地面参考接收机在那个频段内的保护标准和其他特性在</w:t>
      </w:r>
      <w:r>
        <w:rPr>
          <w:rFonts w:eastAsiaTheme="minorEastAsia"/>
          <w:szCs w:val="24"/>
          <w:lang w:val="en-US" w:eastAsia="zh-CN"/>
        </w:rPr>
        <w:t>ITU-R M.1903</w:t>
      </w:r>
      <w:r>
        <w:rPr>
          <w:rFonts w:eastAsiaTheme="minorEastAsia" w:hint="eastAsia"/>
          <w:szCs w:val="24"/>
          <w:lang w:val="en-US" w:eastAsia="zh-CN"/>
        </w:rPr>
        <w:t>建议书规定。</w:t>
      </w:r>
    </w:p>
    <w:p w14:paraId="4EEE813E" w14:textId="77777777" w:rsidR="00EF5BF3" w:rsidRDefault="00551D2B">
      <w:pPr>
        <w:ind w:firstLineChars="200" w:firstLine="480"/>
        <w:rPr>
          <w:rFonts w:eastAsiaTheme="minorEastAsia"/>
          <w:szCs w:val="24"/>
          <w:lang w:val="en-US" w:eastAsia="zh-CN"/>
        </w:rPr>
      </w:pPr>
      <w:r>
        <w:rPr>
          <w:rFonts w:eastAsiaTheme="minorEastAsia"/>
          <w:szCs w:val="24"/>
          <w:lang w:val="en-US" w:eastAsia="zh-CN"/>
        </w:rPr>
        <w:lastRenderedPageBreak/>
        <w:t>SBAS</w:t>
      </w:r>
      <w:r>
        <w:rPr>
          <w:rFonts w:eastAsiaTheme="minorEastAsia" w:hint="eastAsia"/>
          <w:szCs w:val="24"/>
          <w:lang w:val="en-US" w:eastAsia="zh-CN"/>
        </w:rPr>
        <w:t>地面参考接收机起着非常关键的作用，例如对在处于已知位置的</w:t>
      </w:r>
      <w:r>
        <w:rPr>
          <w:rFonts w:eastAsiaTheme="minorEastAsia"/>
          <w:szCs w:val="24"/>
          <w:lang w:val="en-US" w:eastAsia="zh-CN"/>
        </w:rPr>
        <w:t>SBAS</w:t>
      </w:r>
      <w:r>
        <w:rPr>
          <w:rFonts w:eastAsiaTheme="minorEastAsia" w:hint="eastAsia"/>
          <w:szCs w:val="24"/>
          <w:lang w:val="en-US" w:eastAsia="zh-CN"/>
        </w:rPr>
        <w:t>地面站中</w:t>
      </w:r>
      <w:r>
        <w:rPr>
          <w:rFonts w:eastAsiaTheme="minorEastAsia"/>
          <w:szCs w:val="24"/>
          <w:lang w:val="en-US" w:eastAsia="zh-CN"/>
        </w:rPr>
        <w:t>RNSS</w:t>
      </w:r>
      <w:r>
        <w:rPr>
          <w:rFonts w:eastAsiaTheme="minorEastAsia" w:hint="eastAsia"/>
          <w:szCs w:val="24"/>
          <w:lang w:val="en-US" w:eastAsia="zh-CN"/>
        </w:rPr>
        <w:t>系统的完整性监视。因此，对这些接收机存在着为确保对</w:t>
      </w:r>
      <w:r>
        <w:rPr>
          <w:rFonts w:eastAsiaTheme="minorEastAsia"/>
          <w:szCs w:val="24"/>
          <w:lang w:val="en-US" w:eastAsia="zh-CN"/>
        </w:rPr>
        <w:t>RNSS</w:t>
      </w:r>
      <w:r>
        <w:rPr>
          <w:rFonts w:eastAsiaTheme="minorEastAsia" w:hint="eastAsia"/>
          <w:szCs w:val="24"/>
          <w:lang w:val="en-US" w:eastAsia="zh-CN"/>
        </w:rPr>
        <w:t>信号连续无间断接收的适当保护，例如，但不限于，物理缓存器区。</w:t>
      </w:r>
    </w:p>
    <w:p w14:paraId="2EE0F527" w14:textId="77777777" w:rsidR="00EF5BF3" w:rsidRDefault="00551D2B" w:rsidP="0047509A">
      <w:pPr>
        <w:pStyle w:val="Heading2"/>
        <w:rPr>
          <w:rFonts w:eastAsiaTheme="minorEastAsia"/>
          <w:b w:val="0"/>
          <w:lang w:val="en-US" w:eastAsia="zh-CN"/>
        </w:rPr>
      </w:pPr>
      <w:r>
        <w:rPr>
          <w:rFonts w:eastAsiaTheme="minorEastAsia"/>
          <w:lang w:val="en-US" w:eastAsia="zh-CN"/>
        </w:rPr>
        <w:t>2.2</w:t>
      </w:r>
      <w:r>
        <w:rPr>
          <w:rFonts w:eastAsiaTheme="minorEastAsia"/>
          <w:lang w:val="en-US" w:eastAsia="zh-CN"/>
        </w:rPr>
        <w:tab/>
      </w:r>
      <w:r>
        <w:rPr>
          <w:rFonts w:eastAsiaTheme="minorEastAsia"/>
          <w:lang w:eastAsia="zh-CN"/>
        </w:rPr>
        <w:t>RNSS</w:t>
      </w:r>
      <w:r>
        <w:rPr>
          <w:rFonts w:eastAsiaTheme="minorEastAsia" w:hint="eastAsia"/>
          <w:lang w:val="en-US" w:eastAsia="zh-CN"/>
        </w:rPr>
        <w:t>半无码接收机</w:t>
      </w:r>
    </w:p>
    <w:p w14:paraId="0729938A" w14:textId="77777777" w:rsidR="00EF5BF3" w:rsidRDefault="00551D2B" w:rsidP="0047509A">
      <w:pPr>
        <w:pStyle w:val="Heading3"/>
        <w:rPr>
          <w:lang w:val="en-US" w:eastAsia="zh-CN"/>
        </w:rPr>
      </w:pPr>
      <w:r>
        <w:rPr>
          <w:lang w:val="en-US" w:eastAsia="zh-CN"/>
        </w:rPr>
        <w:t>2.2.1</w:t>
      </w:r>
      <w:r>
        <w:rPr>
          <w:lang w:val="en-US" w:eastAsia="zh-CN"/>
        </w:rPr>
        <w:tab/>
      </w:r>
      <w:r>
        <w:rPr>
          <w:rFonts w:hint="eastAsia"/>
          <w:lang w:val="en-US" w:eastAsia="zh-CN"/>
        </w:rPr>
        <w:t>高精度半无码接收机</w:t>
      </w:r>
    </w:p>
    <w:p w14:paraId="610DDBB7" w14:textId="1E2A774C" w:rsidR="00EF5BF3" w:rsidRDefault="00551D2B" w:rsidP="00F21BD6">
      <w:pPr>
        <w:keepNext/>
        <w:keepLines/>
        <w:ind w:firstLineChars="200" w:firstLine="480"/>
        <w:rPr>
          <w:rFonts w:eastAsiaTheme="minorEastAsia"/>
          <w:szCs w:val="24"/>
          <w:lang w:val="en-US" w:eastAsia="zh-CN"/>
        </w:rPr>
      </w:pPr>
      <w:r>
        <w:rPr>
          <w:rFonts w:eastAsiaTheme="minorEastAsia" w:hint="eastAsia"/>
          <w:szCs w:val="24"/>
          <w:lang w:val="en-US" w:eastAsia="zh-CN"/>
        </w:rPr>
        <w:t>高精度半无码接收机主要被用于测量和其他精确定位应用之中（例如，精确农业、科学），在其中需要测量电离层时延。类似于以上的</w:t>
      </w:r>
      <w:r>
        <w:rPr>
          <w:rFonts w:eastAsiaTheme="minorEastAsia"/>
          <w:szCs w:val="24"/>
          <w:lang w:val="en-US" w:eastAsia="zh-CN"/>
        </w:rPr>
        <w:t>SBAS</w:t>
      </w:r>
      <w:r>
        <w:rPr>
          <w:rFonts w:eastAsiaTheme="minorEastAsia" w:hint="eastAsia"/>
          <w:szCs w:val="24"/>
          <w:lang w:val="en-US" w:eastAsia="zh-CN"/>
        </w:rPr>
        <w:t>地面参考接收机，这些半无码接收机采用了一种技术，</w:t>
      </w:r>
      <w:r>
        <w:rPr>
          <w:rFonts w:eastAsiaTheme="minorEastAsia" w:hint="eastAsia"/>
          <w:szCs w:val="24"/>
          <w:lang w:eastAsia="zh-CN"/>
        </w:rPr>
        <w:t>在获知了通过</w:t>
      </w:r>
      <w:r>
        <w:rPr>
          <w:rFonts w:eastAsiaTheme="minorEastAsia"/>
          <w:szCs w:val="24"/>
          <w:lang w:val="en-US" w:eastAsia="zh-CN"/>
        </w:rPr>
        <w:t>L1 C/A</w:t>
      </w:r>
      <w:r>
        <w:rPr>
          <w:rFonts w:eastAsiaTheme="minorEastAsia" w:hint="eastAsia"/>
          <w:szCs w:val="24"/>
          <w:lang w:eastAsia="zh-CN"/>
        </w:rPr>
        <w:t>编码跟踪得到的动态载波相位后，就可以跟踪</w:t>
      </w:r>
      <w:r>
        <w:rPr>
          <w:rFonts w:eastAsiaTheme="minorEastAsia"/>
          <w:szCs w:val="24"/>
          <w:lang w:eastAsia="zh-CN"/>
        </w:rPr>
        <w:t>L1</w:t>
      </w:r>
      <w:r>
        <w:rPr>
          <w:rFonts w:eastAsiaTheme="minorEastAsia" w:hint="eastAsia"/>
          <w:szCs w:val="24"/>
          <w:lang w:eastAsia="zh-CN"/>
        </w:rPr>
        <w:t>和</w:t>
      </w:r>
      <w:r>
        <w:rPr>
          <w:rFonts w:eastAsiaTheme="minorEastAsia"/>
          <w:szCs w:val="24"/>
          <w:lang w:eastAsia="zh-CN"/>
        </w:rPr>
        <w:t xml:space="preserve">L2 </w:t>
      </w:r>
      <w:r>
        <w:rPr>
          <w:rFonts w:eastAsiaTheme="minorEastAsia"/>
          <w:szCs w:val="24"/>
          <w:lang w:val="en-US" w:eastAsia="zh-CN"/>
        </w:rPr>
        <w:t>P(Y)</w:t>
      </w:r>
      <w:r>
        <w:rPr>
          <w:rFonts w:eastAsiaTheme="minorEastAsia" w:hint="eastAsia"/>
          <w:szCs w:val="24"/>
          <w:lang w:eastAsia="zh-CN"/>
        </w:rPr>
        <w:t>信号。</w:t>
      </w:r>
      <w:r>
        <w:rPr>
          <w:rFonts w:eastAsiaTheme="minorEastAsia" w:hint="eastAsia"/>
          <w:szCs w:val="24"/>
          <w:lang w:val="en-US" w:eastAsia="zh-CN"/>
        </w:rPr>
        <w:t>对此有二种基本方法：</w:t>
      </w:r>
      <w:r>
        <w:rPr>
          <w:rFonts w:eastAsiaTheme="minorEastAsia"/>
          <w:szCs w:val="24"/>
          <w:lang w:val="en-US" w:eastAsia="zh-CN"/>
        </w:rPr>
        <w:t>1)</w:t>
      </w:r>
      <w:r w:rsidR="00DF3FA7">
        <w:rPr>
          <w:rFonts w:eastAsiaTheme="minorEastAsia"/>
          <w:szCs w:val="24"/>
          <w:lang w:val="en-US" w:eastAsia="zh-CN"/>
        </w:rPr>
        <w:t xml:space="preserve"> </w:t>
      </w:r>
      <w:r>
        <w:rPr>
          <w:rFonts w:eastAsiaTheme="minorEastAsia"/>
          <w:szCs w:val="24"/>
          <w:lang w:val="en-US" w:eastAsia="zh-CN"/>
        </w:rPr>
        <w:t>L1</w:t>
      </w:r>
      <w:r>
        <w:rPr>
          <w:rFonts w:eastAsiaTheme="minorEastAsia" w:hint="eastAsia"/>
          <w:szCs w:val="24"/>
          <w:lang w:val="en-US" w:eastAsia="zh-CN"/>
        </w:rPr>
        <w:t>和</w:t>
      </w:r>
      <w:r>
        <w:rPr>
          <w:rFonts w:eastAsiaTheme="minorEastAsia"/>
          <w:szCs w:val="24"/>
          <w:lang w:val="en-US" w:eastAsia="zh-CN"/>
        </w:rPr>
        <w:t>L2 P(Y)</w:t>
      </w:r>
      <w:r>
        <w:rPr>
          <w:rFonts w:eastAsiaTheme="minorEastAsia" w:hint="eastAsia"/>
          <w:szCs w:val="24"/>
          <w:lang w:val="en-US" w:eastAsia="zh-CN"/>
        </w:rPr>
        <w:t>信号是互相关的，或者</w:t>
      </w:r>
      <w:r>
        <w:rPr>
          <w:rFonts w:eastAsiaTheme="minorEastAsia"/>
          <w:szCs w:val="24"/>
          <w:lang w:val="en-US" w:eastAsia="zh-CN"/>
        </w:rPr>
        <w:t>2)</w:t>
      </w:r>
      <w:r w:rsidR="00DF3FA7">
        <w:rPr>
          <w:rFonts w:eastAsiaTheme="minorEastAsia"/>
          <w:szCs w:val="24"/>
          <w:lang w:val="en-US" w:eastAsia="zh-CN"/>
        </w:rPr>
        <w:t xml:space="preserve"> </w:t>
      </w:r>
      <w:r>
        <w:rPr>
          <w:rFonts w:eastAsiaTheme="minorEastAsia" w:hint="eastAsia"/>
          <w:szCs w:val="24"/>
          <w:lang w:val="en-US" w:eastAsia="zh-CN"/>
        </w:rPr>
        <w:t>信号实际上被独立跟踪。为了正确的运行，高精度接收机在二或三个频段内捕获并跟踪</w:t>
      </w:r>
      <w:r>
        <w:rPr>
          <w:rFonts w:eastAsiaTheme="minorEastAsia"/>
          <w:szCs w:val="24"/>
          <w:lang w:val="en-US" w:eastAsia="zh-CN"/>
        </w:rPr>
        <w:t>RNSS</w:t>
      </w:r>
      <w:r>
        <w:rPr>
          <w:rFonts w:eastAsiaTheme="minorEastAsia" w:hint="eastAsia"/>
          <w:szCs w:val="24"/>
          <w:lang w:val="en-US" w:eastAsia="zh-CN"/>
        </w:rPr>
        <w:t>信号，并在所有采用的频段内要求保护。</w:t>
      </w:r>
    </w:p>
    <w:p w14:paraId="6BB2D95D" w14:textId="77777777" w:rsidR="00EF5BF3" w:rsidRDefault="00551D2B">
      <w:pPr>
        <w:ind w:firstLineChars="200" w:firstLine="480"/>
        <w:rPr>
          <w:rFonts w:eastAsiaTheme="minorEastAsia"/>
          <w:lang w:val="en-US" w:eastAsia="zh-CN"/>
        </w:rPr>
      </w:pPr>
      <w:r>
        <w:rPr>
          <w:rFonts w:eastAsiaTheme="minorEastAsia" w:hint="eastAsia"/>
          <w:szCs w:val="24"/>
          <w:lang w:val="en-US" w:eastAsia="zh-CN"/>
        </w:rPr>
        <w:t>这两种方法可以根据情况灵活调整，也可以两种方法结合使用。两种方法的目的都是提供一个电离层延迟的估计值或是一系列独立的载波相位测量值，以便于快速消除波长的模糊度，甚至当该接收机处于运动中也是如此。这个过程可以改善定位的准确性。如果</w:t>
      </w:r>
      <w:r>
        <w:rPr>
          <w:rFonts w:eastAsiaTheme="minorEastAsia"/>
          <w:szCs w:val="24"/>
          <w:lang w:val="en-US" w:eastAsia="zh-CN"/>
        </w:rPr>
        <w:t>L1</w:t>
      </w:r>
      <w:r>
        <w:rPr>
          <w:rFonts w:eastAsiaTheme="minorEastAsia" w:hint="eastAsia"/>
          <w:szCs w:val="24"/>
          <w:lang w:val="en-US" w:eastAsia="zh-CN"/>
        </w:rPr>
        <w:t>和</w:t>
      </w:r>
      <w:r>
        <w:rPr>
          <w:rFonts w:eastAsiaTheme="minorEastAsia"/>
          <w:szCs w:val="24"/>
          <w:lang w:val="en-US" w:eastAsia="zh-CN"/>
        </w:rPr>
        <w:t>L2</w:t>
      </w:r>
      <w:r>
        <w:rPr>
          <w:rFonts w:eastAsiaTheme="minorEastAsia" w:hint="eastAsia"/>
          <w:szCs w:val="24"/>
          <w:lang w:val="en-US" w:eastAsia="zh-CN"/>
        </w:rPr>
        <w:t>具有相同且几乎是同步的</w:t>
      </w:r>
      <w:r>
        <w:rPr>
          <w:rFonts w:eastAsiaTheme="minorEastAsia"/>
          <w:szCs w:val="24"/>
          <w:lang w:val="en-US" w:eastAsia="zh-CN"/>
        </w:rPr>
        <w:t>P(Y)</w:t>
      </w:r>
      <w:r>
        <w:rPr>
          <w:rFonts w:eastAsiaTheme="minorEastAsia" w:hint="eastAsia"/>
          <w:szCs w:val="24"/>
          <w:lang w:val="en-US" w:eastAsia="zh-CN"/>
        </w:rPr>
        <w:t>的代码，那么互相</w:t>
      </w:r>
      <w:proofErr w:type="gramStart"/>
      <w:r>
        <w:rPr>
          <w:rFonts w:eastAsiaTheme="minorEastAsia" w:hint="eastAsia"/>
          <w:szCs w:val="24"/>
          <w:lang w:val="en-US" w:eastAsia="zh-CN"/>
        </w:rPr>
        <w:t>关方案</w:t>
      </w:r>
      <w:proofErr w:type="gramEnd"/>
      <w:r>
        <w:rPr>
          <w:rFonts w:eastAsiaTheme="minorEastAsia" w:hint="eastAsia"/>
          <w:szCs w:val="24"/>
          <w:lang w:val="en-US" w:eastAsia="zh-CN"/>
        </w:rPr>
        <w:t>就可以实施。</w:t>
      </w:r>
      <w:r>
        <w:rPr>
          <w:rFonts w:eastAsiaTheme="minorEastAsia"/>
          <w:szCs w:val="24"/>
          <w:lang w:val="en-US" w:eastAsia="zh-CN"/>
        </w:rPr>
        <w:t>L2 P(Y)</w:t>
      </w:r>
      <w:r>
        <w:rPr>
          <w:rFonts w:eastAsiaTheme="minorEastAsia" w:hint="eastAsia"/>
          <w:szCs w:val="24"/>
          <w:lang w:val="en-US" w:eastAsia="zh-CN"/>
        </w:rPr>
        <w:t>信号代码在通过电离层会发生相对于</w:t>
      </w:r>
      <w:r>
        <w:rPr>
          <w:rFonts w:eastAsiaTheme="minorEastAsia"/>
          <w:szCs w:val="24"/>
          <w:lang w:val="en-US" w:eastAsia="zh-CN"/>
        </w:rPr>
        <w:t>L1 P(Y)</w:t>
      </w:r>
      <w:r>
        <w:rPr>
          <w:rFonts w:eastAsiaTheme="minorEastAsia" w:hint="eastAsia"/>
          <w:szCs w:val="24"/>
          <w:lang w:val="en-US" w:eastAsia="zh-CN"/>
        </w:rPr>
        <w:t>信号代码的延迟，且伴随有载波相位的提前。</w:t>
      </w:r>
      <w:r>
        <w:rPr>
          <w:rFonts w:eastAsiaTheme="minorEastAsia"/>
          <w:szCs w:val="24"/>
          <w:lang w:val="en-US" w:eastAsia="zh-CN"/>
        </w:rPr>
        <w:t>L1 P(Y)</w:t>
      </w:r>
      <w:r>
        <w:rPr>
          <w:rFonts w:eastAsiaTheme="minorEastAsia" w:hint="eastAsia"/>
          <w:szCs w:val="24"/>
          <w:lang w:val="en-US" w:eastAsia="zh-CN"/>
        </w:rPr>
        <w:t>信号具有与</w:t>
      </w:r>
      <w:r>
        <w:rPr>
          <w:rFonts w:eastAsiaTheme="minorEastAsia"/>
          <w:szCs w:val="24"/>
          <w:lang w:val="en-US" w:eastAsia="zh-CN"/>
        </w:rPr>
        <w:t>L1 C/A</w:t>
      </w:r>
      <w:r>
        <w:rPr>
          <w:rFonts w:eastAsiaTheme="minorEastAsia" w:hint="eastAsia"/>
          <w:szCs w:val="24"/>
          <w:lang w:val="en-US" w:eastAsia="zh-CN"/>
        </w:rPr>
        <w:t>信号相同的代码和载波多普勒，使其具有采用非常窄带宽跟踪环帮助半无码跟踪的能力。该接收机将具有类似于以上所描述的</w:t>
      </w:r>
      <w:r>
        <w:rPr>
          <w:rFonts w:eastAsiaTheme="minorEastAsia"/>
          <w:szCs w:val="24"/>
          <w:lang w:val="en-US" w:eastAsia="zh-CN"/>
        </w:rPr>
        <w:t>SBAS</w:t>
      </w:r>
      <w:r>
        <w:rPr>
          <w:rFonts w:eastAsiaTheme="minorEastAsia" w:hint="eastAsia"/>
          <w:szCs w:val="24"/>
          <w:lang w:val="en-US" w:eastAsia="zh-CN"/>
        </w:rPr>
        <w:t>地面参考接收机的特性，但在其对干扰的易感受性上有所不同。这种类型接收机的特性在表</w:t>
      </w:r>
      <w:r>
        <w:rPr>
          <w:rFonts w:eastAsiaTheme="minorEastAsia"/>
          <w:szCs w:val="24"/>
          <w:lang w:val="en-US" w:eastAsia="zh-CN"/>
        </w:rPr>
        <w:t>1</w:t>
      </w:r>
      <w:r>
        <w:rPr>
          <w:rFonts w:eastAsiaTheme="minorEastAsia" w:hint="eastAsia"/>
          <w:szCs w:val="24"/>
          <w:lang w:val="en-US" w:eastAsia="zh-CN"/>
        </w:rPr>
        <w:t>第</w:t>
      </w:r>
      <w:r>
        <w:rPr>
          <w:rFonts w:eastAsiaTheme="minorEastAsia"/>
          <w:szCs w:val="24"/>
          <w:lang w:val="en-US" w:eastAsia="zh-CN"/>
        </w:rPr>
        <w:t>2</w:t>
      </w:r>
      <w:r>
        <w:rPr>
          <w:rFonts w:eastAsiaTheme="minorEastAsia" w:hint="eastAsia"/>
          <w:szCs w:val="24"/>
          <w:lang w:val="en-US" w:eastAsia="zh-CN"/>
        </w:rPr>
        <w:t>列中给出。因为此接收机也采用</w:t>
      </w:r>
      <w:r>
        <w:rPr>
          <w:rFonts w:eastAsiaTheme="minorEastAsia"/>
          <w:szCs w:val="24"/>
          <w:lang w:val="en-US" w:eastAsia="zh-CN"/>
        </w:rPr>
        <w:t>1 559-1 610 MHz</w:t>
      </w:r>
      <w:r>
        <w:rPr>
          <w:rFonts w:eastAsiaTheme="minorEastAsia" w:hint="eastAsia"/>
          <w:szCs w:val="24"/>
          <w:lang w:val="en-US" w:eastAsia="zh-CN"/>
        </w:rPr>
        <w:t>频段信号，所以它易于受该频段内干扰的影响。在</w:t>
      </w:r>
      <w:r>
        <w:rPr>
          <w:rFonts w:eastAsiaTheme="minorEastAsia"/>
          <w:szCs w:val="24"/>
          <w:lang w:val="en-US" w:eastAsia="zh-CN"/>
        </w:rPr>
        <w:t>ITU-R M.1903</w:t>
      </w:r>
      <w:r>
        <w:rPr>
          <w:rFonts w:eastAsiaTheme="minorEastAsia" w:hint="eastAsia"/>
          <w:szCs w:val="24"/>
          <w:lang w:val="en-US" w:eastAsia="zh-CN"/>
        </w:rPr>
        <w:t>建议书中可以找到在为</w:t>
      </w:r>
      <w:r>
        <w:rPr>
          <w:rFonts w:eastAsiaTheme="minorEastAsia"/>
          <w:szCs w:val="24"/>
          <w:lang w:val="en-US" w:eastAsia="zh-CN"/>
        </w:rPr>
        <w:t>CDMA</w:t>
      </w:r>
      <w:r>
        <w:rPr>
          <w:rFonts w:eastAsiaTheme="minorEastAsia" w:hint="eastAsia"/>
          <w:szCs w:val="24"/>
          <w:lang w:val="en-US" w:eastAsia="zh-CN"/>
        </w:rPr>
        <w:t>型高精度接收机指定的</w:t>
      </w:r>
      <w:r>
        <w:rPr>
          <w:rFonts w:eastAsiaTheme="minorEastAsia"/>
          <w:szCs w:val="24"/>
          <w:lang w:val="en-US" w:eastAsia="zh-CN"/>
        </w:rPr>
        <w:t>1 559-1 610 MHz</w:t>
      </w:r>
      <w:r>
        <w:rPr>
          <w:rFonts w:eastAsiaTheme="minorEastAsia" w:hint="eastAsia"/>
          <w:szCs w:val="24"/>
          <w:lang w:val="en-US" w:eastAsia="zh-CN"/>
        </w:rPr>
        <w:t>频段内的保护标准和其他特性。</w:t>
      </w:r>
    </w:p>
    <w:p w14:paraId="4749B57A" w14:textId="77777777" w:rsidR="00EF5BF3" w:rsidRDefault="00551D2B" w:rsidP="0047509A">
      <w:pPr>
        <w:pStyle w:val="Heading3"/>
        <w:rPr>
          <w:rFonts w:eastAsiaTheme="minorEastAsia"/>
          <w:b w:val="0"/>
          <w:lang w:eastAsia="zh-CN"/>
        </w:rPr>
      </w:pPr>
      <w:r>
        <w:rPr>
          <w:rFonts w:eastAsiaTheme="minorEastAsia"/>
          <w:lang w:eastAsia="zh-CN"/>
        </w:rPr>
        <w:t>2.2.2</w:t>
      </w:r>
      <w:r>
        <w:rPr>
          <w:rFonts w:eastAsiaTheme="minorEastAsia"/>
          <w:lang w:eastAsia="zh-CN"/>
        </w:rPr>
        <w:tab/>
        <w:t>L2C</w:t>
      </w:r>
      <w:r>
        <w:rPr>
          <w:rFonts w:eastAsiaTheme="minorEastAsia" w:hint="eastAsia"/>
          <w:lang w:eastAsia="zh-CN"/>
        </w:rPr>
        <w:t>过渡高精度半无码接收机</w:t>
      </w:r>
    </w:p>
    <w:p w14:paraId="71C3EA5A" w14:textId="77777777" w:rsidR="00EF5BF3" w:rsidRDefault="00551D2B">
      <w:pPr>
        <w:ind w:firstLineChars="200" w:firstLine="480"/>
        <w:rPr>
          <w:rFonts w:eastAsiaTheme="minorEastAsia"/>
          <w:szCs w:val="24"/>
          <w:lang w:val="en-US" w:eastAsia="zh-CN"/>
        </w:rPr>
      </w:pPr>
      <w:r>
        <w:rPr>
          <w:rFonts w:eastAsiaTheme="minorEastAsia" w:hint="eastAsia"/>
          <w:szCs w:val="24"/>
          <w:lang w:val="en-US" w:eastAsia="zh-CN"/>
        </w:rPr>
        <w:t>此接收机具有第</w:t>
      </w:r>
      <w:r>
        <w:rPr>
          <w:rFonts w:eastAsiaTheme="minorEastAsia"/>
          <w:szCs w:val="24"/>
          <w:lang w:val="en-US" w:eastAsia="zh-CN"/>
        </w:rPr>
        <w:t>2.2.1</w:t>
      </w:r>
      <w:r>
        <w:rPr>
          <w:rFonts w:eastAsiaTheme="minorEastAsia" w:hint="eastAsia"/>
          <w:szCs w:val="24"/>
          <w:lang w:val="en-US" w:eastAsia="zh-CN"/>
        </w:rPr>
        <w:t>节中的高精度半无码接收机的所有特性，而且还捕获和跟踪从可用的新一代卫星接收到的</w:t>
      </w:r>
      <w:r>
        <w:rPr>
          <w:rFonts w:eastAsiaTheme="minorEastAsia"/>
          <w:szCs w:val="24"/>
          <w:lang w:val="en-US" w:eastAsia="zh-CN"/>
        </w:rPr>
        <w:t>L2</w:t>
      </w:r>
      <w:r>
        <w:rPr>
          <w:rFonts w:eastAsiaTheme="minorEastAsia" w:hint="eastAsia"/>
          <w:szCs w:val="24"/>
          <w:lang w:val="en-US" w:eastAsia="zh-CN"/>
        </w:rPr>
        <w:t>载波上的新</w:t>
      </w:r>
      <w:r>
        <w:rPr>
          <w:rFonts w:eastAsiaTheme="minorEastAsia"/>
          <w:szCs w:val="24"/>
          <w:lang w:val="en-US" w:eastAsia="zh-CN"/>
        </w:rPr>
        <w:t>L2C</w:t>
      </w:r>
      <w:r>
        <w:rPr>
          <w:rFonts w:eastAsiaTheme="minorEastAsia" w:hint="eastAsia"/>
          <w:szCs w:val="24"/>
          <w:lang w:val="en-US" w:eastAsia="zh-CN"/>
        </w:rPr>
        <w:t>信号</w:t>
      </w:r>
      <w:r>
        <w:rPr>
          <w:rFonts w:eastAsiaTheme="minorEastAsia"/>
          <w:position w:val="6"/>
          <w:sz w:val="20"/>
        </w:rPr>
        <w:footnoteReference w:id="4"/>
      </w:r>
      <w:r>
        <w:rPr>
          <w:rFonts w:eastAsiaTheme="minorEastAsia" w:hint="eastAsia"/>
          <w:szCs w:val="24"/>
          <w:lang w:val="en-US" w:eastAsia="zh-CN"/>
        </w:rPr>
        <w:t>。此接收机将采用上述半无</w:t>
      </w:r>
      <w:proofErr w:type="gramStart"/>
      <w:r>
        <w:rPr>
          <w:rFonts w:eastAsiaTheme="minorEastAsia" w:hint="eastAsia"/>
          <w:szCs w:val="24"/>
          <w:lang w:val="en-US" w:eastAsia="zh-CN"/>
        </w:rPr>
        <w:t>码技术</w:t>
      </w:r>
      <w:proofErr w:type="gramEnd"/>
      <w:r>
        <w:rPr>
          <w:rFonts w:eastAsiaTheme="minorEastAsia" w:hint="eastAsia"/>
          <w:szCs w:val="24"/>
          <w:lang w:val="en-US" w:eastAsia="zh-CN"/>
        </w:rPr>
        <w:t>来捕获和跟踪在其他早期卫星上的</w:t>
      </w:r>
      <w:r>
        <w:rPr>
          <w:rFonts w:eastAsiaTheme="minorEastAsia"/>
          <w:szCs w:val="24"/>
          <w:lang w:val="en-US" w:eastAsia="zh-CN"/>
        </w:rPr>
        <w:t>L2 P(Y)</w:t>
      </w:r>
      <w:r>
        <w:rPr>
          <w:rFonts w:eastAsiaTheme="minorEastAsia" w:hint="eastAsia"/>
          <w:szCs w:val="24"/>
          <w:lang w:val="en-US" w:eastAsia="zh-CN"/>
        </w:rPr>
        <w:t>信号，并且可同样将这种技术用于从新一代卫星接收到的</w:t>
      </w:r>
      <w:r>
        <w:rPr>
          <w:rFonts w:eastAsiaTheme="minorEastAsia"/>
          <w:szCs w:val="24"/>
          <w:lang w:val="en-US" w:eastAsia="zh-CN"/>
        </w:rPr>
        <w:t>L2 P(Y)</w:t>
      </w:r>
      <w:r>
        <w:rPr>
          <w:rFonts w:eastAsiaTheme="minorEastAsia" w:hint="eastAsia"/>
          <w:szCs w:val="24"/>
          <w:lang w:val="en-US" w:eastAsia="zh-CN"/>
        </w:rPr>
        <w:t>信号上，至少为混合</w:t>
      </w:r>
      <w:r>
        <w:rPr>
          <w:rFonts w:eastAsiaTheme="minorEastAsia"/>
          <w:szCs w:val="24"/>
          <w:lang w:val="en-US" w:eastAsia="zh-CN"/>
        </w:rPr>
        <w:t>L2C/L2 P(Y)</w:t>
      </w:r>
      <w:r>
        <w:rPr>
          <w:rFonts w:eastAsiaTheme="minorEastAsia" w:hint="eastAsia"/>
          <w:szCs w:val="24"/>
          <w:lang w:val="en-US" w:eastAsia="zh-CN"/>
        </w:rPr>
        <w:t>运行提供校准信息。此混合运行要求</w:t>
      </w:r>
      <w:r>
        <w:rPr>
          <w:rFonts w:eastAsiaTheme="minorEastAsia"/>
          <w:szCs w:val="24"/>
          <w:lang w:val="en-US" w:eastAsia="zh-CN"/>
        </w:rPr>
        <w:t>L2C</w:t>
      </w:r>
      <w:r>
        <w:rPr>
          <w:rFonts w:eastAsiaTheme="minorEastAsia" w:hint="eastAsia"/>
          <w:szCs w:val="24"/>
          <w:lang w:val="en-US" w:eastAsia="zh-CN"/>
        </w:rPr>
        <w:t>和</w:t>
      </w:r>
      <w:r>
        <w:rPr>
          <w:rFonts w:eastAsiaTheme="minorEastAsia"/>
          <w:szCs w:val="24"/>
          <w:lang w:val="en-US" w:eastAsia="zh-CN"/>
        </w:rPr>
        <w:t>L2 P(Y)</w:t>
      </w:r>
      <w:r>
        <w:rPr>
          <w:rFonts w:eastAsiaTheme="minorEastAsia" w:hint="eastAsia"/>
          <w:szCs w:val="24"/>
          <w:lang w:val="en-US" w:eastAsia="zh-CN"/>
        </w:rPr>
        <w:t>信号之间的相位差是已知的。</w:t>
      </w:r>
      <w:r>
        <w:rPr>
          <w:rFonts w:eastAsiaTheme="minorEastAsia"/>
          <w:szCs w:val="24"/>
          <w:lang w:val="en-US" w:eastAsia="zh-CN"/>
        </w:rPr>
        <w:t>L2C</w:t>
      </w:r>
      <w:r>
        <w:rPr>
          <w:rFonts w:eastAsiaTheme="minorEastAsia" w:hint="eastAsia"/>
          <w:szCs w:val="24"/>
          <w:lang w:val="en-US" w:eastAsia="zh-CN"/>
        </w:rPr>
        <w:t>信号提供比采用</w:t>
      </w:r>
      <w:r>
        <w:rPr>
          <w:rFonts w:eastAsiaTheme="minorEastAsia"/>
          <w:szCs w:val="24"/>
          <w:lang w:val="en-US" w:eastAsia="zh-CN"/>
        </w:rPr>
        <w:t>L2 P(Y)</w:t>
      </w:r>
      <w:r>
        <w:rPr>
          <w:rFonts w:eastAsiaTheme="minorEastAsia" w:hint="eastAsia"/>
          <w:szCs w:val="24"/>
          <w:lang w:val="en-US" w:eastAsia="zh-CN"/>
        </w:rPr>
        <w:t>半无码操作所能得到更高的强壮性，使得在更为困难的环境中受益。但是，因为具有这种能力的接收机被用于也采用已有</w:t>
      </w:r>
      <w:r>
        <w:rPr>
          <w:rFonts w:eastAsiaTheme="minorEastAsia"/>
          <w:szCs w:val="24"/>
          <w:lang w:val="en-US" w:eastAsia="zh-CN"/>
        </w:rPr>
        <w:t>L2 P(Y)</w:t>
      </w:r>
      <w:r>
        <w:rPr>
          <w:rFonts w:eastAsiaTheme="minorEastAsia" w:hint="eastAsia"/>
          <w:szCs w:val="24"/>
          <w:lang w:val="en-US" w:eastAsia="zh-CN"/>
        </w:rPr>
        <w:t>半无码接收机的系统应用中，通常，这个额外的强壮性并不总是可用的。因此，在表</w:t>
      </w:r>
      <w:r>
        <w:rPr>
          <w:rFonts w:eastAsiaTheme="minorEastAsia"/>
          <w:szCs w:val="24"/>
          <w:lang w:val="en-US" w:eastAsia="zh-CN"/>
        </w:rPr>
        <w:t>1</w:t>
      </w:r>
      <w:r>
        <w:rPr>
          <w:rFonts w:eastAsiaTheme="minorEastAsia" w:hint="eastAsia"/>
          <w:szCs w:val="24"/>
          <w:lang w:val="en-US" w:eastAsia="zh-CN"/>
        </w:rPr>
        <w:t>第</w:t>
      </w:r>
      <w:r>
        <w:rPr>
          <w:rFonts w:eastAsiaTheme="minorEastAsia"/>
          <w:szCs w:val="24"/>
          <w:lang w:val="en-US" w:eastAsia="zh-CN"/>
        </w:rPr>
        <w:t>2</w:t>
      </w:r>
      <w:r>
        <w:rPr>
          <w:rFonts w:eastAsiaTheme="minorEastAsia" w:hint="eastAsia"/>
          <w:szCs w:val="24"/>
          <w:lang w:val="en-US" w:eastAsia="zh-CN"/>
        </w:rPr>
        <w:t>列中所规定的门限干扰功率电平仍然适用。</w:t>
      </w:r>
    </w:p>
    <w:p w14:paraId="04026128" w14:textId="77777777" w:rsidR="00EF5BF3" w:rsidRDefault="00551D2B" w:rsidP="0047509A">
      <w:pPr>
        <w:pStyle w:val="Heading2"/>
        <w:rPr>
          <w:rFonts w:eastAsiaTheme="minorEastAsia"/>
          <w:b w:val="0"/>
          <w:lang w:val="en-US" w:eastAsia="zh-CN"/>
        </w:rPr>
      </w:pPr>
      <w:r>
        <w:rPr>
          <w:rFonts w:eastAsiaTheme="minorEastAsia"/>
          <w:lang w:val="en-US" w:eastAsia="zh-CN"/>
        </w:rPr>
        <w:t>2.3</w:t>
      </w:r>
      <w:r>
        <w:rPr>
          <w:rFonts w:eastAsiaTheme="minorEastAsia"/>
          <w:lang w:val="en-US" w:eastAsia="zh-CN"/>
        </w:rPr>
        <w:tab/>
      </w:r>
      <w:r>
        <w:rPr>
          <w:rFonts w:eastAsiaTheme="minorEastAsia" w:hint="eastAsia"/>
          <w:lang w:val="en-US" w:eastAsia="zh-CN"/>
        </w:rPr>
        <w:t>高精度接收机</w:t>
      </w:r>
    </w:p>
    <w:p w14:paraId="6A55E2B7" w14:textId="77777777" w:rsidR="00EF5BF3" w:rsidRDefault="00551D2B">
      <w:pPr>
        <w:ind w:firstLineChars="200" w:firstLine="480"/>
        <w:rPr>
          <w:color w:val="000000"/>
          <w:lang w:val="en-GB" w:eastAsia="zh-CN"/>
        </w:rPr>
      </w:pPr>
      <w:bookmarkStart w:id="3" w:name="_Hlk98409323"/>
      <w:r>
        <w:rPr>
          <w:rFonts w:hint="eastAsia"/>
          <w:szCs w:val="28"/>
          <w:lang w:val="en-US" w:eastAsia="zh-CN"/>
        </w:rPr>
        <w:t>此高精度类代表在本建议书范围内用于要求高定位精度的应用（如测量、科学及农业应用）的</w:t>
      </w:r>
      <w:r>
        <w:rPr>
          <w:rFonts w:hint="eastAsia"/>
          <w:szCs w:val="28"/>
          <w:lang w:val="en-US" w:eastAsia="zh-CN"/>
        </w:rPr>
        <w:t>RNSS</w:t>
      </w:r>
      <w:r>
        <w:rPr>
          <w:rFonts w:hint="eastAsia"/>
          <w:szCs w:val="28"/>
          <w:lang w:val="en-US" w:eastAsia="zh-CN"/>
        </w:rPr>
        <w:t>接收机。高精度接收机采用各种技术</w:t>
      </w:r>
      <w:r>
        <w:rPr>
          <w:lang w:val="en-US" w:eastAsia="zh-CN"/>
        </w:rPr>
        <w:t>（</w:t>
      </w:r>
      <w:r>
        <w:rPr>
          <w:rFonts w:hint="eastAsia"/>
          <w:lang w:val="en-US" w:eastAsia="zh-CN"/>
        </w:rPr>
        <w:t>例如，半无码技术</w:t>
      </w:r>
      <w:r>
        <w:rPr>
          <w:lang w:val="en-US" w:eastAsia="zh-CN"/>
        </w:rPr>
        <w:t>）</w:t>
      </w:r>
      <w:r>
        <w:rPr>
          <w:rFonts w:hint="eastAsia"/>
          <w:lang w:val="en-US" w:eastAsia="zh-CN"/>
        </w:rPr>
        <w:t>来捕获和跟踪在两个或三个</w:t>
      </w:r>
      <w:r>
        <w:rPr>
          <w:lang w:val="en-US" w:eastAsia="zh-CN"/>
        </w:rPr>
        <w:t>RNSS</w:t>
      </w:r>
      <w:r>
        <w:rPr>
          <w:rFonts w:hint="eastAsia"/>
          <w:lang w:val="en-US" w:eastAsia="zh-CN"/>
        </w:rPr>
        <w:t>频段内用于消除载波相位不确定性的</w:t>
      </w:r>
      <w:r>
        <w:rPr>
          <w:lang w:val="en-US" w:eastAsia="zh-CN"/>
        </w:rPr>
        <w:t>RNSS</w:t>
      </w:r>
      <w:r>
        <w:rPr>
          <w:rFonts w:hint="eastAsia"/>
          <w:lang w:val="en-US" w:eastAsia="zh-CN"/>
        </w:rPr>
        <w:t>信号，并要求在所有使用频段内的保护。高精度接收机的特性和保护级别也应用于为工作于特定</w:t>
      </w:r>
      <w:r>
        <w:rPr>
          <w:lang w:val="en-US" w:eastAsia="zh-CN"/>
        </w:rPr>
        <w:t>RNSS</w:t>
      </w:r>
      <w:r>
        <w:rPr>
          <w:rFonts w:hint="eastAsia"/>
          <w:lang w:val="en-US" w:eastAsia="zh-CN"/>
        </w:rPr>
        <w:t>应用（例如，单频地面网络和精确导航）中而设计的</w:t>
      </w:r>
      <w:r>
        <w:rPr>
          <w:lang w:val="en-US" w:eastAsia="zh-CN"/>
        </w:rPr>
        <w:t>RNSS</w:t>
      </w:r>
      <w:r>
        <w:rPr>
          <w:rFonts w:hint="eastAsia"/>
          <w:lang w:val="en-US" w:eastAsia="zh-CN"/>
        </w:rPr>
        <w:t>接收机</w:t>
      </w:r>
      <w:r>
        <w:rPr>
          <w:rFonts w:hint="eastAsia"/>
          <w:color w:val="000000"/>
          <w:lang w:val="en-US" w:eastAsia="zh-CN"/>
        </w:rPr>
        <w:t>。</w:t>
      </w:r>
    </w:p>
    <w:bookmarkEnd w:id="3"/>
    <w:p w14:paraId="7BE7869B" w14:textId="77777777" w:rsidR="00EF5BF3" w:rsidRDefault="00551D2B">
      <w:pPr>
        <w:ind w:firstLineChars="200" w:firstLine="480"/>
        <w:rPr>
          <w:rFonts w:eastAsiaTheme="minorEastAsia"/>
          <w:szCs w:val="24"/>
          <w:lang w:val="en-US" w:eastAsia="zh-CN"/>
        </w:rPr>
      </w:pPr>
      <w:r>
        <w:rPr>
          <w:rFonts w:hint="eastAsia"/>
          <w:lang w:val="en-US" w:eastAsia="zh-CN"/>
        </w:rPr>
        <w:lastRenderedPageBreak/>
        <w:t>高精度</w:t>
      </w:r>
      <w:r>
        <w:rPr>
          <w:lang w:val="en-US" w:eastAsia="zh-CN"/>
        </w:rPr>
        <w:t>RNSS</w:t>
      </w:r>
      <w:r>
        <w:rPr>
          <w:rFonts w:hint="eastAsia"/>
          <w:lang w:val="en-US" w:eastAsia="zh-CN"/>
        </w:rPr>
        <w:t>接收机和为在特定</w:t>
      </w:r>
      <w:r>
        <w:rPr>
          <w:lang w:val="en-US" w:eastAsia="zh-CN"/>
        </w:rPr>
        <w:t>RNSS</w:t>
      </w:r>
      <w:r>
        <w:rPr>
          <w:rFonts w:hint="eastAsia"/>
          <w:lang w:val="en-US" w:eastAsia="zh-CN"/>
        </w:rPr>
        <w:t>应用中工作而设计的接收机亦能工作在恶劣环境中</w:t>
      </w:r>
      <w:r>
        <w:rPr>
          <w:lang w:val="en-US" w:eastAsia="zh-CN"/>
        </w:rPr>
        <w:t>（</w:t>
      </w:r>
      <w:r>
        <w:rPr>
          <w:rFonts w:hint="eastAsia"/>
          <w:lang w:val="en-US" w:eastAsia="zh-CN"/>
        </w:rPr>
        <w:t>例如，在树叶下</w:t>
      </w:r>
      <w:r>
        <w:rPr>
          <w:lang w:val="en-US" w:eastAsia="zh-CN"/>
        </w:rPr>
        <w:t>）</w:t>
      </w:r>
      <w:r>
        <w:rPr>
          <w:rFonts w:hint="eastAsia"/>
          <w:lang w:val="en-US" w:eastAsia="zh-CN"/>
        </w:rPr>
        <w:t>。在表</w:t>
      </w:r>
      <w:r>
        <w:rPr>
          <w:lang w:val="en-US" w:eastAsia="zh-CN"/>
        </w:rPr>
        <w:t>1</w:t>
      </w:r>
      <w:r>
        <w:rPr>
          <w:rFonts w:hint="eastAsia"/>
          <w:lang w:val="en-US" w:eastAsia="zh-CN"/>
        </w:rPr>
        <w:t>的第</w:t>
      </w:r>
      <w:r>
        <w:rPr>
          <w:lang w:val="en-US" w:eastAsia="zh-CN"/>
        </w:rPr>
        <w:t>3</w:t>
      </w:r>
      <w:r>
        <w:rPr>
          <w:rFonts w:hint="eastAsia"/>
          <w:lang w:val="en-US" w:eastAsia="zh-CN"/>
        </w:rPr>
        <w:t>列和第</w:t>
      </w:r>
      <w:r>
        <w:rPr>
          <w:rFonts w:hint="eastAsia"/>
          <w:lang w:val="en-US" w:eastAsia="zh-CN"/>
        </w:rPr>
        <w:t>3a</w:t>
      </w:r>
      <w:r>
        <w:rPr>
          <w:rFonts w:hint="eastAsia"/>
          <w:lang w:val="en-US" w:eastAsia="zh-CN"/>
        </w:rPr>
        <w:t>列中列出了两种接收机类型；它们每一种采用不同的</w:t>
      </w:r>
      <w:r>
        <w:rPr>
          <w:lang w:val="en-US" w:eastAsia="zh-CN"/>
        </w:rPr>
        <w:t>RNSS</w:t>
      </w:r>
      <w:r>
        <w:rPr>
          <w:rFonts w:hint="eastAsia"/>
          <w:lang w:val="en-US" w:eastAsia="zh-CN"/>
        </w:rPr>
        <w:t>卫星信号类型</w:t>
      </w:r>
      <w:r>
        <w:rPr>
          <w:lang w:val="en-US" w:eastAsia="ja-JP"/>
        </w:rPr>
        <w:t>（</w:t>
      </w:r>
      <w:r>
        <w:rPr>
          <w:rFonts w:hint="eastAsia"/>
          <w:lang w:val="en-US" w:eastAsia="zh-CN"/>
        </w:rPr>
        <w:t>用于</w:t>
      </w:r>
      <w:r>
        <w:rPr>
          <w:rFonts w:hint="eastAsia"/>
          <w:lang w:val="en-US" w:eastAsia="zh-CN"/>
        </w:rPr>
        <w:t>L2C</w:t>
      </w:r>
      <w:r>
        <w:rPr>
          <w:rFonts w:hint="eastAsia"/>
          <w:lang w:val="en-US" w:eastAsia="zh-CN"/>
        </w:rPr>
        <w:t>信号；或者用于</w:t>
      </w:r>
      <w:r>
        <w:rPr>
          <w:rFonts w:hint="eastAsia"/>
          <w:lang w:val="en-US" w:eastAsia="zh-CN"/>
        </w:rPr>
        <w:t>B3</w:t>
      </w:r>
      <w:r>
        <w:rPr>
          <w:rFonts w:hint="eastAsia"/>
          <w:lang w:val="en-US" w:eastAsia="zh-CN"/>
        </w:rPr>
        <w:t>和</w:t>
      </w:r>
      <w:r>
        <w:rPr>
          <w:rFonts w:hint="eastAsia"/>
          <w:lang w:val="en-US" w:eastAsia="zh-CN"/>
        </w:rPr>
        <w:t>B3A</w:t>
      </w:r>
      <w:r>
        <w:rPr>
          <w:rFonts w:hint="eastAsia"/>
          <w:lang w:val="en-US" w:eastAsia="zh-CN"/>
        </w:rPr>
        <w:t>信号</w:t>
      </w:r>
      <w:r>
        <w:rPr>
          <w:lang w:val="en-US" w:eastAsia="ja-JP"/>
        </w:rPr>
        <w:t>）</w:t>
      </w:r>
      <w:r>
        <w:rPr>
          <w:rFonts w:hint="eastAsia"/>
          <w:lang w:val="en-US" w:eastAsia="zh-CN"/>
        </w:rPr>
        <w:t>。</w:t>
      </w:r>
    </w:p>
    <w:p w14:paraId="7C23D95F" w14:textId="77777777" w:rsidR="00EF5BF3" w:rsidRDefault="00551D2B" w:rsidP="0047509A">
      <w:pPr>
        <w:ind w:firstLineChars="200" w:firstLine="480"/>
        <w:rPr>
          <w:rFonts w:eastAsiaTheme="minorEastAsia"/>
          <w:szCs w:val="24"/>
          <w:lang w:val="en-US" w:eastAsia="zh-CN"/>
        </w:rPr>
      </w:pPr>
      <w:r>
        <w:rPr>
          <w:rFonts w:eastAsiaTheme="minorEastAsia" w:hint="eastAsia"/>
          <w:szCs w:val="24"/>
          <w:lang w:val="en-US" w:eastAsia="zh-CN"/>
        </w:rPr>
        <w:t>第一种接收机类型是一种陆基接收机，它将捕获和跟踪</w:t>
      </w:r>
      <w:r>
        <w:rPr>
          <w:rFonts w:eastAsiaTheme="minorEastAsia"/>
          <w:szCs w:val="24"/>
          <w:lang w:val="en-US" w:eastAsia="zh-CN"/>
        </w:rPr>
        <w:t>L2C</w:t>
      </w:r>
      <w:r>
        <w:rPr>
          <w:rFonts w:eastAsiaTheme="minorEastAsia" w:hint="eastAsia"/>
          <w:szCs w:val="24"/>
          <w:lang w:val="en-US" w:eastAsia="zh-CN"/>
        </w:rPr>
        <w:t>信号，但对</w:t>
      </w:r>
      <w:r>
        <w:rPr>
          <w:rFonts w:eastAsiaTheme="minorEastAsia"/>
          <w:szCs w:val="24"/>
          <w:lang w:val="en-US" w:eastAsia="zh-CN"/>
        </w:rPr>
        <w:t>L2 P(Y)</w:t>
      </w:r>
      <w:r>
        <w:rPr>
          <w:rFonts w:eastAsiaTheme="minorEastAsia" w:hint="eastAsia"/>
          <w:szCs w:val="24"/>
          <w:lang w:val="en-US" w:eastAsia="zh-CN"/>
        </w:rPr>
        <w:t>信号不是必须的。此接收机的功能与上述高精度半无码接收机的功能相同，但通过捕获和跟踪</w:t>
      </w:r>
      <w:r>
        <w:rPr>
          <w:rFonts w:eastAsiaTheme="minorEastAsia"/>
          <w:szCs w:val="24"/>
          <w:lang w:val="en-US" w:eastAsia="zh-CN"/>
        </w:rPr>
        <w:t>L2C</w:t>
      </w:r>
      <w:r>
        <w:rPr>
          <w:rFonts w:eastAsiaTheme="minorEastAsia" w:hint="eastAsia"/>
          <w:szCs w:val="24"/>
          <w:lang w:val="en-US" w:eastAsia="zh-CN"/>
        </w:rPr>
        <w:t>信号获得了更高的强壮性。</w:t>
      </w:r>
      <w:r>
        <w:rPr>
          <w:rFonts w:eastAsiaTheme="minorEastAsia" w:hint="eastAsia"/>
          <w:szCs w:val="24"/>
          <w:lang w:val="en-US" w:eastAsia="zh-CN"/>
        </w:rPr>
        <w:t xml:space="preserve"> </w:t>
      </w:r>
    </w:p>
    <w:p w14:paraId="06571577" w14:textId="77777777" w:rsidR="00EF5BF3" w:rsidRDefault="00551D2B">
      <w:pPr>
        <w:ind w:firstLineChars="200" w:firstLine="480"/>
        <w:rPr>
          <w:rFonts w:eastAsiaTheme="minorEastAsia"/>
          <w:szCs w:val="24"/>
          <w:lang w:val="en-US" w:eastAsia="zh-CN"/>
        </w:rPr>
      </w:pPr>
      <w:r>
        <w:rPr>
          <w:rFonts w:eastAsiaTheme="minorEastAsia" w:hint="eastAsia"/>
          <w:szCs w:val="24"/>
          <w:lang w:val="en-US" w:eastAsia="zh-CN"/>
        </w:rPr>
        <w:t>此接收机类型捕获并跟踪从某些新一代卫星接收到的新</w:t>
      </w:r>
      <w:r>
        <w:rPr>
          <w:rFonts w:eastAsiaTheme="minorEastAsia"/>
          <w:szCs w:val="24"/>
          <w:lang w:val="en-US" w:eastAsia="zh-CN"/>
        </w:rPr>
        <w:t>L2C</w:t>
      </w:r>
      <w:r>
        <w:rPr>
          <w:rFonts w:eastAsiaTheme="minorEastAsia" w:hint="eastAsia"/>
          <w:szCs w:val="24"/>
          <w:lang w:val="en-US" w:eastAsia="zh-CN"/>
        </w:rPr>
        <w:t>代码。此接收机还可以采用上述半无</w:t>
      </w:r>
      <w:proofErr w:type="gramStart"/>
      <w:r>
        <w:rPr>
          <w:rFonts w:eastAsiaTheme="minorEastAsia" w:hint="eastAsia"/>
          <w:szCs w:val="24"/>
          <w:lang w:val="en-US" w:eastAsia="zh-CN"/>
        </w:rPr>
        <w:t>码技术</w:t>
      </w:r>
      <w:proofErr w:type="gramEnd"/>
      <w:r>
        <w:rPr>
          <w:rFonts w:eastAsiaTheme="minorEastAsia" w:hint="eastAsia"/>
          <w:szCs w:val="24"/>
          <w:lang w:val="en-US" w:eastAsia="zh-CN"/>
        </w:rPr>
        <w:t>捕获和跟踪来自这些及其他卫星的</w:t>
      </w:r>
      <w:r>
        <w:rPr>
          <w:rFonts w:eastAsiaTheme="minorEastAsia"/>
          <w:szCs w:val="24"/>
          <w:lang w:val="en-US" w:eastAsia="zh-CN"/>
        </w:rPr>
        <w:t>L2 P(Y)</w:t>
      </w:r>
      <w:r>
        <w:rPr>
          <w:rFonts w:eastAsiaTheme="minorEastAsia" w:hint="eastAsia"/>
          <w:szCs w:val="24"/>
          <w:lang w:val="en-US" w:eastAsia="zh-CN"/>
        </w:rPr>
        <w:t>信号，至少为混合的</w:t>
      </w:r>
      <w:r>
        <w:rPr>
          <w:rFonts w:eastAsiaTheme="minorEastAsia"/>
          <w:szCs w:val="24"/>
          <w:lang w:val="en-US" w:eastAsia="zh-CN"/>
        </w:rPr>
        <w:t>L2C/L2P(Y)</w:t>
      </w:r>
      <w:r>
        <w:rPr>
          <w:rFonts w:eastAsiaTheme="minorEastAsia" w:hint="eastAsia"/>
          <w:szCs w:val="24"/>
          <w:lang w:val="en-US" w:eastAsia="zh-CN"/>
        </w:rPr>
        <w:t>运行提供校准信息。此混合运行要求，</w:t>
      </w:r>
      <w:r>
        <w:rPr>
          <w:rFonts w:eastAsiaTheme="minorEastAsia"/>
          <w:szCs w:val="24"/>
          <w:lang w:val="en-US" w:eastAsia="zh-CN"/>
        </w:rPr>
        <w:t>L2C</w:t>
      </w:r>
      <w:r>
        <w:rPr>
          <w:rFonts w:eastAsiaTheme="minorEastAsia" w:hint="eastAsia"/>
          <w:szCs w:val="24"/>
          <w:lang w:val="en-US" w:eastAsia="zh-CN"/>
        </w:rPr>
        <w:t>和</w:t>
      </w:r>
      <w:r>
        <w:rPr>
          <w:rFonts w:eastAsiaTheme="minorEastAsia"/>
          <w:szCs w:val="24"/>
          <w:lang w:val="en-US" w:eastAsia="zh-CN"/>
        </w:rPr>
        <w:t>L2 P(Y)</w:t>
      </w:r>
      <w:r>
        <w:rPr>
          <w:rFonts w:eastAsiaTheme="minorEastAsia" w:hint="eastAsia"/>
          <w:szCs w:val="24"/>
          <w:lang w:val="en-US" w:eastAsia="zh-CN"/>
        </w:rPr>
        <w:t>信号之间的相位差是已知的。捕获和跟踪</w:t>
      </w:r>
      <w:r>
        <w:rPr>
          <w:rFonts w:eastAsiaTheme="minorEastAsia"/>
          <w:szCs w:val="24"/>
          <w:lang w:val="en-US" w:eastAsia="zh-CN"/>
        </w:rPr>
        <w:t>L2C</w:t>
      </w:r>
      <w:r>
        <w:rPr>
          <w:rFonts w:eastAsiaTheme="minorEastAsia" w:hint="eastAsia"/>
          <w:szCs w:val="24"/>
          <w:lang w:val="en-US" w:eastAsia="zh-CN"/>
        </w:rPr>
        <w:t>信号的这种类型接收机的特性在表</w:t>
      </w:r>
      <w:r>
        <w:rPr>
          <w:rFonts w:eastAsiaTheme="minorEastAsia"/>
          <w:szCs w:val="24"/>
          <w:lang w:val="en-US" w:eastAsia="zh-CN"/>
        </w:rPr>
        <w:t>1</w:t>
      </w:r>
      <w:r>
        <w:rPr>
          <w:rFonts w:eastAsiaTheme="minorEastAsia" w:hint="eastAsia"/>
          <w:szCs w:val="24"/>
          <w:lang w:val="en-US" w:eastAsia="zh-CN"/>
        </w:rPr>
        <w:t>第</w:t>
      </w:r>
      <w:r>
        <w:rPr>
          <w:rFonts w:eastAsiaTheme="minorEastAsia"/>
          <w:szCs w:val="24"/>
          <w:lang w:val="en-US" w:eastAsia="zh-CN"/>
        </w:rPr>
        <w:t>3</w:t>
      </w:r>
      <w:r>
        <w:rPr>
          <w:rFonts w:eastAsiaTheme="minorEastAsia" w:hint="eastAsia"/>
          <w:szCs w:val="24"/>
          <w:lang w:val="en-US" w:eastAsia="zh-CN"/>
        </w:rPr>
        <w:t>列中给出。</w:t>
      </w:r>
      <w:r>
        <w:rPr>
          <w:rFonts w:eastAsiaTheme="minorEastAsia"/>
          <w:szCs w:val="24"/>
          <w:lang w:val="en-US" w:eastAsia="zh-CN"/>
        </w:rPr>
        <w:t>L2C</w:t>
      </w:r>
      <w:r>
        <w:rPr>
          <w:rFonts w:eastAsiaTheme="minorEastAsia" w:hint="eastAsia"/>
          <w:szCs w:val="24"/>
          <w:lang w:val="en-US" w:eastAsia="zh-CN"/>
        </w:rPr>
        <w:t>信号提供比采用</w:t>
      </w:r>
      <w:r>
        <w:rPr>
          <w:rFonts w:eastAsiaTheme="minorEastAsia"/>
          <w:szCs w:val="24"/>
          <w:lang w:val="en-US" w:eastAsia="zh-CN"/>
        </w:rPr>
        <w:t>L2 P(Y)</w:t>
      </w:r>
      <w:r>
        <w:rPr>
          <w:rFonts w:eastAsiaTheme="minorEastAsia" w:hint="eastAsia"/>
          <w:szCs w:val="24"/>
          <w:lang w:val="en-US" w:eastAsia="zh-CN"/>
        </w:rPr>
        <w:t>半无码操作所能得到的更高强壮性，使得在更为困难的环境中受益。但是，因为具有这种能力的接收机被用于也采用已有</w:t>
      </w:r>
      <w:r>
        <w:rPr>
          <w:rFonts w:eastAsiaTheme="minorEastAsia"/>
          <w:szCs w:val="24"/>
          <w:lang w:val="en-US" w:eastAsia="zh-CN"/>
        </w:rPr>
        <w:t>L2 P(Y)</w:t>
      </w:r>
      <w:r>
        <w:rPr>
          <w:rFonts w:eastAsiaTheme="minorEastAsia" w:hint="eastAsia"/>
          <w:szCs w:val="24"/>
          <w:lang w:val="en-US" w:eastAsia="zh-CN"/>
        </w:rPr>
        <w:t>半无码接收机的系统应用中，通常，这个额外的强壮性并不总是可用的。因此，在表</w:t>
      </w:r>
      <w:r>
        <w:rPr>
          <w:rFonts w:eastAsiaTheme="minorEastAsia"/>
          <w:szCs w:val="24"/>
          <w:lang w:val="en-US" w:eastAsia="zh-CN"/>
        </w:rPr>
        <w:t>1</w:t>
      </w:r>
      <w:r>
        <w:rPr>
          <w:rFonts w:eastAsiaTheme="minorEastAsia" w:hint="eastAsia"/>
          <w:szCs w:val="24"/>
          <w:lang w:val="en-US" w:eastAsia="zh-CN"/>
        </w:rPr>
        <w:t>第</w:t>
      </w:r>
      <w:r>
        <w:rPr>
          <w:rFonts w:eastAsiaTheme="minorEastAsia"/>
          <w:szCs w:val="24"/>
          <w:lang w:val="en-US" w:eastAsia="zh-CN"/>
        </w:rPr>
        <w:t>2</w:t>
      </w:r>
      <w:r>
        <w:rPr>
          <w:rFonts w:eastAsiaTheme="minorEastAsia" w:hint="eastAsia"/>
          <w:szCs w:val="24"/>
          <w:lang w:val="en-US" w:eastAsia="zh-CN"/>
        </w:rPr>
        <w:t>列中所规定的门限干扰功率电平仍然适用。</w:t>
      </w:r>
    </w:p>
    <w:p w14:paraId="55DF24C3" w14:textId="4F4DB927" w:rsidR="00EF5BF3" w:rsidRDefault="00551D2B">
      <w:pPr>
        <w:ind w:firstLineChars="200" w:firstLine="480"/>
        <w:rPr>
          <w:lang w:val="en-US" w:eastAsia="zh-CN"/>
        </w:rPr>
      </w:pPr>
      <w:r>
        <w:rPr>
          <w:rFonts w:hint="eastAsia"/>
          <w:lang w:val="en-US" w:eastAsia="zh-CN"/>
        </w:rPr>
        <w:t>第二种接收机类型是</w:t>
      </w:r>
      <w:r>
        <w:rPr>
          <w:rFonts w:eastAsiaTheme="minorEastAsia" w:hint="eastAsia"/>
          <w:szCs w:val="24"/>
          <w:lang w:val="en-US" w:eastAsia="zh-CN"/>
        </w:rPr>
        <w:t>一种陆基接收机</w:t>
      </w:r>
      <w:r>
        <w:rPr>
          <w:rFonts w:hint="eastAsia"/>
          <w:lang w:val="en-US" w:eastAsia="zh-CN"/>
        </w:rPr>
        <w:t>，它将捕获和跟踪</w:t>
      </w:r>
      <w:r>
        <w:rPr>
          <w:rFonts w:hint="eastAsia"/>
          <w:lang w:val="en-US" w:eastAsia="zh-CN"/>
        </w:rPr>
        <w:t>B3</w:t>
      </w:r>
      <w:r>
        <w:rPr>
          <w:rFonts w:hint="eastAsia"/>
          <w:lang w:val="en-US" w:eastAsia="zh-CN"/>
        </w:rPr>
        <w:t>和</w:t>
      </w:r>
      <w:r>
        <w:rPr>
          <w:rFonts w:hint="eastAsia"/>
          <w:lang w:val="en-US" w:eastAsia="zh-CN"/>
        </w:rPr>
        <w:t>B3A</w:t>
      </w:r>
      <w:r>
        <w:rPr>
          <w:rFonts w:hint="eastAsia"/>
          <w:lang w:val="en-US" w:eastAsia="zh-CN"/>
        </w:rPr>
        <w:t>信号</w:t>
      </w:r>
      <w:r>
        <w:rPr>
          <w:position w:val="6"/>
          <w:sz w:val="18"/>
          <w:lang w:val="en-GB"/>
        </w:rPr>
        <w:footnoteReference w:id="5"/>
      </w:r>
      <w:r>
        <w:rPr>
          <w:rFonts w:hint="eastAsia"/>
          <w:lang w:val="en-US" w:eastAsia="zh-CN"/>
        </w:rPr>
        <w:t>。这种接收机类型的特性和保护标准见表</w:t>
      </w:r>
      <w:r>
        <w:rPr>
          <w:rFonts w:hint="eastAsia"/>
          <w:lang w:val="en-US" w:eastAsia="zh-CN"/>
        </w:rPr>
        <w:t>1</w:t>
      </w:r>
      <w:r>
        <w:rPr>
          <w:rFonts w:hint="eastAsia"/>
          <w:lang w:val="en-US" w:eastAsia="zh-CN"/>
        </w:rPr>
        <w:t>第</w:t>
      </w:r>
      <w:r>
        <w:rPr>
          <w:rFonts w:hint="eastAsia"/>
          <w:lang w:val="en-US" w:eastAsia="zh-CN"/>
        </w:rPr>
        <w:t>3a</w:t>
      </w:r>
      <w:r>
        <w:rPr>
          <w:rFonts w:hint="eastAsia"/>
          <w:lang w:val="en-US" w:eastAsia="zh-CN"/>
        </w:rPr>
        <w:t>列中的规定。</w:t>
      </w:r>
    </w:p>
    <w:p w14:paraId="6C921EF5" w14:textId="77777777" w:rsidR="00EF5BF3" w:rsidRDefault="00551D2B">
      <w:pPr>
        <w:pStyle w:val="Heading2"/>
        <w:rPr>
          <w:lang w:val="en-GB" w:eastAsia="zh-CN"/>
        </w:rPr>
      </w:pPr>
      <w:r>
        <w:rPr>
          <w:lang w:val="en-GB" w:eastAsia="zh-CN"/>
        </w:rPr>
        <w:t>2.4</w:t>
      </w:r>
      <w:r>
        <w:rPr>
          <w:lang w:val="en-GB" w:eastAsia="zh-CN"/>
        </w:rPr>
        <w:tab/>
      </w:r>
      <w:r>
        <w:rPr>
          <w:rFonts w:hint="eastAsia"/>
          <w:lang w:val="en-US" w:eastAsia="zh-CN"/>
        </w:rPr>
        <w:t>采用</w:t>
      </w:r>
      <w:r>
        <w:rPr>
          <w:rFonts w:hint="eastAsia"/>
          <w:lang w:val="en-GB" w:eastAsia="zh-CN"/>
        </w:rPr>
        <w:t>E6-BC</w:t>
      </w:r>
      <w:r>
        <w:rPr>
          <w:rFonts w:hint="eastAsia"/>
          <w:lang w:val="en-GB" w:eastAsia="zh-CN"/>
        </w:rPr>
        <w:t>和</w:t>
      </w:r>
      <w:r>
        <w:rPr>
          <w:rFonts w:hint="eastAsia"/>
          <w:lang w:val="en-GB" w:eastAsia="zh-CN"/>
        </w:rPr>
        <w:t>L6</w:t>
      </w:r>
      <w:r>
        <w:rPr>
          <w:rFonts w:hint="eastAsia"/>
          <w:lang w:val="en-GB" w:eastAsia="zh-CN"/>
        </w:rPr>
        <w:t>的高精度和认证接收机</w:t>
      </w:r>
    </w:p>
    <w:p w14:paraId="3CBAA034" w14:textId="77777777" w:rsidR="00EF5BF3" w:rsidRDefault="00551D2B">
      <w:pPr>
        <w:ind w:firstLineChars="200" w:firstLine="480"/>
        <w:rPr>
          <w:lang w:val="en-GB" w:eastAsia="zh-CN"/>
        </w:rPr>
      </w:pPr>
      <w:r>
        <w:rPr>
          <w:rFonts w:hint="eastAsia"/>
          <w:lang w:val="en-GB" w:eastAsia="zh-CN"/>
        </w:rPr>
        <w:t>这种类型的接收</w:t>
      </w:r>
      <w:r>
        <w:rPr>
          <w:rFonts w:hint="eastAsia"/>
          <w:lang w:val="en-US" w:eastAsia="zh-CN"/>
        </w:rPr>
        <w:t>机</w:t>
      </w:r>
      <w:r>
        <w:rPr>
          <w:rFonts w:hint="eastAsia"/>
          <w:lang w:val="en-GB" w:eastAsia="zh-CN"/>
        </w:rPr>
        <w:t>是一种</w:t>
      </w:r>
      <w:r>
        <w:rPr>
          <w:rFonts w:hint="eastAsia"/>
          <w:lang w:val="en-US" w:eastAsia="zh-CN"/>
        </w:rPr>
        <w:t>陆基</w:t>
      </w:r>
      <w:r>
        <w:rPr>
          <w:rFonts w:hint="eastAsia"/>
          <w:lang w:val="en-GB" w:eastAsia="zh-CN"/>
        </w:rPr>
        <w:t>接收</w:t>
      </w:r>
      <w:r>
        <w:rPr>
          <w:rFonts w:hint="eastAsia"/>
          <w:lang w:val="en-US" w:eastAsia="zh-CN"/>
        </w:rPr>
        <w:t>机</w:t>
      </w:r>
      <w:r>
        <w:rPr>
          <w:rFonts w:hint="eastAsia"/>
          <w:lang w:val="en-GB" w:eastAsia="zh-CN"/>
        </w:rPr>
        <w:t>，可以跟踪</w:t>
      </w:r>
      <w:r>
        <w:rPr>
          <w:rFonts w:hint="eastAsia"/>
          <w:lang w:val="en-GB" w:eastAsia="zh-CN"/>
        </w:rPr>
        <w:t>E6-BC</w:t>
      </w:r>
      <w:r>
        <w:rPr>
          <w:rFonts w:hint="eastAsia"/>
          <w:lang w:val="en-GB" w:eastAsia="zh-CN"/>
        </w:rPr>
        <w:t>信号。该接收机的功能是跟踪宽带</w:t>
      </w:r>
      <w:r>
        <w:rPr>
          <w:rFonts w:hint="eastAsia"/>
          <w:lang w:val="en-GB" w:eastAsia="zh-CN"/>
        </w:rPr>
        <w:t>E6-B</w:t>
      </w:r>
      <w:r>
        <w:rPr>
          <w:rFonts w:hint="eastAsia"/>
          <w:lang w:val="en-GB" w:eastAsia="zh-CN"/>
        </w:rPr>
        <w:t>（数据）和</w:t>
      </w:r>
      <w:r>
        <w:rPr>
          <w:rFonts w:hint="eastAsia"/>
          <w:lang w:val="en-GB" w:eastAsia="zh-CN"/>
        </w:rPr>
        <w:t>E6-C</w:t>
      </w:r>
      <w:r>
        <w:rPr>
          <w:rFonts w:hint="eastAsia"/>
          <w:lang w:val="en-GB" w:eastAsia="zh-CN"/>
        </w:rPr>
        <w:t>（导频）信号分量之一或两者。在涉及</w:t>
      </w:r>
      <w:r>
        <w:rPr>
          <w:rFonts w:hint="eastAsia"/>
          <w:lang w:val="en-GB" w:eastAsia="zh-CN"/>
        </w:rPr>
        <w:t>E6-B</w:t>
      </w:r>
      <w:r>
        <w:rPr>
          <w:rFonts w:hint="eastAsia"/>
          <w:lang w:val="en-GB" w:eastAsia="zh-CN"/>
        </w:rPr>
        <w:t>的情况下，接收机</w:t>
      </w:r>
      <w:r>
        <w:rPr>
          <w:rFonts w:hint="eastAsia"/>
          <w:lang w:val="en-US" w:eastAsia="zh-CN"/>
        </w:rPr>
        <w:t>亦</w:t>
      </w:r>
      <w:r>
        <w:rPr>
          <w:rFonts w:hint="eastAsia"/>
          <w:lang w:val="en-GB" w:eastAsia="zh-CN"/>
        </w:rPr>
        <w:t>将解调在这个信号分量上发送的数据，除了其他信息之外，它还提供精确的点定位（</w:t>
      </w:r>
      <w:r>
        <w:rPr>
          <w:rFonts w:hint="eastAsia"/>
          <w:lang w:val="en-GB" w:eastAsia="zh-CN"/>
        </w:rPr>
        <w:t>PPP</w:t>
      </w:r>
      <w:r>
        <w:rPr>
          <w:rFonts w:hint="eastAsia"/>
          <w:lang w:val="en-GB" w:eastAsia="zh-CN"/>
        </w:rPr>
        <w:t>）校正。在</w:t>
      </w:r>
      <w:r>
        <w:rPr>
          <w:rFonts w:hint="eastAsia"/>
          <w:lang w:val="en-GB" w:eastAsia="zh-CN"/>
        </w:rPr>
        <w:t>E6-C</w:t>
      </w:r>
      <w:r>
        <w:rPr>
          <w:rFonts w:hint="eastAsia"/>
          <w:lang w:val="en-GB" w:eastAsia="zh-CN"/>
        </w:rPr>
        <w:t>被处理的情况下，接收机将实现高级认证，</w:t>
      </w:r>
      <w:r>
        <w:rPr>
          <w:rFonts w:hint="eastAsia"/>
          <w:lang w:val="en-US" w:eastAsia="zh-CN"/>
        </w:rPr>
        <w:t>其中</w:t>
      </w:r>
      <w:r>
        <w:rPr>
          <w:rFonts w:hint="eastAsia"/>
          <w:lang w:val="en-GB" w:eastAsia="zh-CN"/>
        </w:rPr>
        <w:t>包括扩展码的解密。</w:t>
      </w:r>
    </w:p>
    <w:p w14:paraId="5EA0C6D3" w14:textId="5A68D54F" w:rsidR="00EF5BF3" w:rsidRDefault="00551D2B">
      <w:pPr>
        <w:ind w:firstLineChars="200" w:firstLine="480"/>
        <w:rPr>
          <w:lang w:val="en-GB" w:eastAsia="zh-CN"/>
        </w:rPr>
      </w:pPr>
      <w:r>
        <w:rPr>
          <w:rFonts w:hint="eastAsia"/>
          <w:lang w:val="en-GB" w:eastAsia="ja-JP"/>
        </w:rPr>
        <w:t>处理</w:t>
      </w:r>
      <w:r>
        <w:rPr>
          <w:rFonts w:hint="eastAsia"/>
          <w:lang w:val="en-GB" w:eastAsia="ja-JP"/>
        </w:rPr>
        <w:t>E6-BC</w:t>
      </w:r>
      <w:r>
        <w:rPr>
          <w:rFonts w:hint="eastAsia"/>
          <w:lang w:val="en-GB" w:eastAsia="ja-JP"/>
        </w:rPr>
        <w:t>信号的这种类型的接收</w:t>
      </w:r>
      <w:r>
        <w:rPr>
          <w:rFonts w:hint="eastAsia"/>
          <w:lang w:val="en-US" w:eastAsia="zh-CN"/>
        </w:rPr>
        <w:t>机</w:t>
      </w:r>
      <w:r>
        <w:rPr>
          <w:rFonts w:hint="eastAsia"/>
          <w:lang w:val="en-GB" w:eastAsia="ja-JP"/>
        </w:rPr>
        <w:t>的特</w:t>
      </w:r>
      <w:r>
        <w:rPr>
          <w:rFonts w:hint="eastAsia"/>
          <w:lang w:val="en-US" w:eastAsia="zh-CN"/>
        </w:rPr>
        <w:t>性见</w:t>
      </w:r>
      <w:r>
        <w:rPr>
          <w:rFonts w:hint="eastAsia"/>
          <w:lang w:val="en-GB" w:eastAsia="ja-JP"/>
        </w:rPr>
        <w:t>表</w:t>
      </w:r>
      <w:r>
        <w:rPr>
          <w:rFonts w:hint="eastAsia"/>
          <w:lang w:val="en-GB" w:eastAsia="ja-JP"/>
        </w:rPr>
        <w:t>1</w:t>
      </w:r>
      <w:r>
        <w:rPr>
          <w:rFonts w:hint="eastAsia"/>
          <w:lang w:val="en-US" w:eastAsia="zh-CN"/>
        </w:rPr>
        <w:t>第</w:t>
      </w:r>
      <w:r>
        <w:rPr>
          <w:rFonts w:hint="eastAsia"/>
          <w:lang w:val="en-GB" w:eastAsia="ja-JP"/>
        </w:rPr>
        <w:t>3b</w:t>
      </w:r>
      <w:r>
        <w:rPr>
          <w:rFonts w:hint="eastAsia"/>
          <w:lang w:val="en-US" w:eastAsia="zh-CN"/>
        </w:rPr>
        <w:t>列</w:t>
      </w:r>
      <w:r>
        <w:rPr>
          <w:rFonts w:hint="eastAsia"/>
          <w:lang w:val="en-GB" w:eastAsia="ja-JP"/>
        </w:rPr>
        <w:t>。由于这种接收机</w:t>
      </w:r>
      <w:r>
        <w:rPr>
          <w:rFonts w:hint="eastAsia"/>
          <w:lang w:val="en-US" w:eastAsia="zh-CN"/>
        </w:rPr>
        <w:t>亦</w:t>
      </w:r>
      <w:r>
        <w:rPr>
          <w:rFonts w:hint="eastAsia"/>
          <w:lang w:val="en-GB" w:eastAsia="ja-JP"/>
        </w:rPr>
        <w:t>使用</w:t>
      </w:r>
      <w:r>
        <w:rPr>
          <w:rFonts w:hint="eastAsia"/>
          <w:lang w:val="en-GB" w:eastAsia="ja-JP"/>
        </w:rPr>
        <w:t>1 559-1 610 MHz</w:t>
      </w:r>
      <w:r>
        <w:rPr>
          <w:rFonts w:hint="eastAsia"/>
          <w:lang w:val="en-US" w:eastAsia="zh-CN"/>
        </w:rPr>
        <w:t>频段</w:t>
      </w:r>
      <w:r>
        <w:rPr>
          <w:rFonts w:hint="eastAsia"/>
          <w:lang w:val="en-GB" w:eastAsia="ja-JP"/>
        </w:rPr>
        <w:t>信号</w:t>
      </w:r>
      <w:r>
        <w:rPr>
          <w:rFonts w:hint="eastAsia"/>
          <w:lang w:val="en-GB" w:eastAsia="zh-CN"/>
        </w:rPr>
        <w:t>（</w:t>
      </w:r>
      <w:r>
        <w:rPr>
          <w:rFonts w:hint="eastAsia"/>
          <w:lang w:val="en-GB" w:eastAsia="ja-JP"/>
        </w:rPr>
        <w:t>至少</w:t>
      </w:r>
      <w:r>
        <w:rPr>
          <w:rFonts w:hint="eastAsia"/>
          <w:lang w:val="en-GB" w:eastAsia="ja-JP"/>
        </w:rPr>
        <w:t>E1-BC</w:t>
      </w:r>
      <w:r>
        <w:rPr>
          <w:rFonts w:hint="eastAsia"/>
          <w:lang w:val="en-GB" w:eastAsia="ja-JP"/>
        </w:rPr>
        <w:t>用于信号采集</w:t>
      </w:r>
      <w:r>
        <w:rPr>
          <w:rFonts w:hint="eastAsia"/>
          <w:lang w:val="en-GB" w:eastAsia="zh-CN"/>
        </w:rPr>
        <w:t>）</w:t>
      </w:r>
      <w:r>
        <w:rPr>
          <w:rFonts w:hint="eastAsia"/>
          <w:lang w:val="en-GB" w:eastAsia="ja-JP"/>
        </w:rPr>
        <w:t>，</w:t>
      </w:r>
      <w:r>
        <w:rPr>
          <w:rFonts w:hint="eastAsia"/>
          <w:lang w:val="en-US" w:eastAsia="zh-CN"/>
        </w:rPr>
        <w:t>因此</w:t>
      </w:r>
      <w:r>
        <w:rPr>
          <w:rFonts w:hint="eastAsia"/>
          <w:lang w:val="en-GB" w:eastAsia="ja-JP"/>
        </w:rPr>
        <w:t>它容易受到该频</w:t>
      </w:r>
      <w:r>
        <w:rPr>
          <w:rFonts w:hint="eastAsia"/>
          <w:lang w:val="en-US" w:eastAsia="zh-CN"/>
        </w:rPr>
        <w:t>段</w:t>
      </w:r>
      <w:r>
        <w:rPr>
          <w:rFonts w:hint="eastAsia"/>
          <w:lang w:val="en-GB" w:eastAsia="ja-JP"/>
        </w:rPr>
        <w:t>的干扰</w:t>
      </w:r>
      <w:r>
        <w:rPr>
          <w:position w:val="6"/>
          <w:sz w:val="18"/>
          <w:lang w:val="en-GB"/>
        </w:rPr>
        <w:footnoteReference w:id="6"/>
      </w:r>
      <w:r>
        <w:rPr>
          <w:rFonts w:hint="eastAsia"/>
          <w:lang w:val="en-GB" w:eastAsia="ja-JP"/>
        </w:rPr>
        <w:t>。为</w:t>
      </w:r>
      <w:r>
        <w:rPr>
          <w:rFonts w:hint="eastAsia"/>
          <w:lang w:val="en-GB" w:eastAsia="ja-JP"/>
        </w:rPr>
        <w:t>CDMA</w:t>
      </w:r>
      <w:r>
        <w:rPr>
          <w:rFonts w:hint="eastAsia"/>
          <w:lang w:val="en-GB" w:eastAsia="ja-JP"/>
        </w:rPr>
        <w:t>型</w:t>
      </w:r>
      <w:r>
        <w:rPr>
          <w:rFonts w:hint="eastAsia"/>
          <w:lang w:val="en-US" w:eastAsia="zh-CN"/>
        </w:rPr>
        <w:t>高精度</w:t>
      </w:r>
      <w:r>
        <w:rPr>
          <w:rFonts w:hint="eastAsia"/>
          <w:lang w:val="en-GB" w:eastAsia="ja-JP"/>
        </w:rPr>
        <w:t>接收机规定的</w:t>
      </w:r>
      <w:r>
        <w:rPr>
          <w:rFonts w:hint="eastAsia"/>
          <w:lang w:val="en-GB" w:eastAsia="ja-JP"/>
        </w:rPr>
        <w:t>1 559-1 610 MHz</w:t>
      </w:r>
      <w:r>
        <w:rPr>
          <w:rFonts w:hint="eastAsia"/>
          <w:lang w:val="en-GB" w:eastAsia="ja-JP"/>
        </w:rPr>
        <w:t>频</w:t>
      </w:r>
      <w:r>
        <w:rPr>
          <w:rFonts w:hint="eastAsia"/>
          <w:lang w:val="en-US" w:eastAsia="zh-CN"/>
        </w:rPr>
        <w:t>段内</w:t>
      </w:r>
      <w:r>
        <w:rPr>
          <w:rFonts w:hint="eastAsia"/>
          <w:lang w:val="en-GB" w:eastAsia="ja-JP"/>
        </w:rPr>
        <w:t>的保护标准和其</w:t>
      </w:r>
      <w:r>
        <w:rPr>
          <w:rFonts w:hint="eastAsia"/>
          <w:lang w:val="en-US" w:eastAsia="zh-CN"/>
        </w:rPr>
        <w:t>他</w:t>
      </w:r>
      <w:r>
        <w:rPr>
          <w:rFonts w:hint="eastAsia"/>
          <w:lang w:val="en-GB" w:eastAsia="ja-JP"/>
        </w:rPr>
        <w:t>特性</w:t>
      </w:r>
      <w:r>
        <w:rPr>
          <w:rFonts w:hint="eastAsia"/>
          <w:lang w:val="en-US" w:eastAsia="zh-CN"/>
        </w:rPr>
        <w:t>见</w:t>
      </w:r>
      <w:r>
        <w:rPr>
          <w:rFonts w:hint="eastAsia"/>
          <w:lang w:val="en-GB" w:eastAsia="ja-JP"/>
        </w:rPr>
        <w:t>ITU</w:t>
      </w:r>
      <w:r w:rsidR="00DF3FA7">
        <w:rPr>
          <w:rFonts w:hint="eastAsia"/>
          <w:lang w:val="en-GB" w:eastAsia="zh-CN"/>
        </w:rPr>
        <w:t>-</w:t>
      </w:r>
      <w:r>
        <w:rPr>
          <w:rFonts w:hint="eastAsia"/>
          <w:lang w:val="en-GB" w:eastAsia="ja-JP"/>
        </w:rPr>
        <w:t>R M.1903</w:t>
      </w:r>
      <w:r>
        <w:rPr>
          <w:rFonts w:hint="eastAsia"/>
          <w:lang w:val="en-GB" w:eastAsia="ja-JP"/>
        </w:rPr>
        <w:t>建议</w:t>
      </w:r>
      <w:r>
        <w:rPr>
          <w:rFonts w:hint="eastAsia"/>
          <w:lang w:val="en-US" w:eastAsia="zh-CN"/>
        </w:rPr>
        <w:t>书。</w:t>
      </w:r>
    </w:p>
    <w:p w14:paraId="58F887FC" w14:textId="77777777" w:rsidR="00EF5BF3" w:rsidRDefault="00551D2B">
      <w:pPr>
        <w:ind w:firstLineChars="200" w:firstLine="480"/>
        <w:rPr>
          <w:lang w:val="en-US" w:eastAsia="zh-CN"/>
        </w:rPr>
      </w:pPr>
      <w:r>
        <w:rPr>
          <w:rFonts w:hint="eastAsia"/>
          <w:lang w:val="en-US" w:eastAsia="zh-CN"/>
        </w:rPr>
        <w:t>第</w:t>
      </w:r>
      <w:r>
        <w:rPr>
          <w:rFonts w:hint="eastAsia"/>
          <w:lang w:val="en-US" w:eastAsia="zh-CN"/>
        </w:rPr>
        <w:t>3b</w:t>
      </w:r>
      <w:r>
        <w:rPr>
          <w:rFonts w:hint="eastAsia"/>
          <w:lang w:val="en-US" w:eastAsia="zh-CN"/>
        </w:rPr>
        <w:t>列中的特性还涵盖了</w:t>
      </w:r>
      <w:r>
        <w:rPr>
          <w:rFonts w:hint="eastAsia"/>
          <w:lang w:val="en-US" w:eastAsia="zh-CN"/>
        </w:rPr>
        <w:t>L6</w:t>
      </w:r>
      <w:r>
        <w:rPr>
          <w:rFonts w:hint="eastAsia"/>
          <w:lang w:val="en-US" w:eastAsia="zh-CN"/>
        </w:rPr>
        <w:t>信号地面接收机的类型（详见</w:t>
      </w:r>
      <w:r>
        <w:rPr>
          <w:rFonts w:hint="eastAsia"/>
          <w:lang w:val="en-US" w:eastAsia="zh-CN"/>
        </w:rPr>
        <w:t>ITU-R M.1787</w:t>
      </w:r>
      <w:r>
        <w:rPr>
          <w:rFonts w:hint="eastAsia"/>
          <w:lang w:val="en-US" w:eastAsia="zh-CN"/>
        </w:rPr>
        <w:t>建议书附件</w:t>
      </w:r>
      <w:r>
        <w:rPr>
          <w:rFonts w:hint="eastAsia"/>
          <w:lang w:val="en-US" w:eastAsia="zh-CN"/>
        </w:rPr>
        <w:t>4</w:t>
      </w:r>
      <w:r>
        <w:rPr>
          <w:rFonts w:hint="eastAsia"/>
          <w:lang w:val="en-US" w:eastAsia="zh-CN"/>
        </w:rPr>
        <w:t>（</w:t>
      </w:r>
      <w:r>
        <w:rPr>
          <w:rFonts w:hint="eastAsia"/>
          <w:lang w:val="en-US" w:eastAsia="zh-CN"/>
        </w:rPr>
        <w:t>QZSS</w:t>
      </w:r>
      <w:r>
        <w:rPr>
          <w:rFonts w:hint="eastAsia"/>
          <w:lang w:val="en-US" w:eastAsia="zh-CN"/>
        </w:rPr>
        <w:t>））。</w:t>
      </w:r>
    </w:p>
    <w:p w14:paraId="5185A7A3" w14:textId="77777777" w:rsidR="00EF5BF3" w:rsidRDefault="00551D2B">
      <w:pPr>
        <w:keepNext/>
        <w:keepLines/>
        <w:spacing w:before="320"/>
        <w:ind w:left="794" w:hanging="794"/>
        <w:outlineLvl w:val="1"/>
        <w:rPr>
          <w:rFonts w:eastAsiaTheme="minorEastAsia"/>
          <w:b/>
          <w:lang w:val="en-US" w:eastAsia="zh-CN"/>
        </w:rPr>
      </w:pPr>
      <w:r>
        <w:rPr>
          <w:rFonts w:eastAsiaTheme="minorEastAsia"/>
          <w:b/>
          <w:lang w:val="en-US" w:eastAsia="zh-CN"/>
        </w:rPr>
        <w:t>2.</w:t>
      </w:r>
      <w:r>
        <w:rPr>
          <w:rFonts w:eastAsiaTheme="minorEastAsia" w:hint="eastAsia"/>
          <w:b/>
          <w:lang w:val="en-US" w:eastAsia="zh-CN"/>
        </w:rPr>
        <w:t>5</w:t>
      </w:r>
      <w:r>
        <w:rPr>
          <w:rFonts w:eastAsiaTheme="minorEastAsia"/>
          <w:b/>
          <w:lang w:val="en-US" w:eastAsia="zh-CN"/>
        </w:rPr>
        <w:tab/>
      </w:r>
      <w:r>
        <w:rPr>
          <w:rFonts w:eastAsiaTheme="minorEastAsia" w:hint="eastAsia"/>
          <w:b/>
          <w:lang w:val="en-US" w:eastAsia="zh-CN"/>
        </w:rPr>
        <w:t>空中导航接收机</w:t>
      </w:r>
    </w:p>
    <w:p w14:paraId="0F7CF0EF" w14:textId="77777777" w:rsidR="00EF5BF3" w:rsidRDefault="00551D2B">
      <w:pPr>
        <w:ind w:firstLineChars="200" w:firstLine="480"/>
        <w:rPr>
          <w:lang w:val="en-GB" w:eastAsia="zh-CN"/>
        </w:rPr>
      </w:pPr>
      <w:r>
        <w:rPr>
          <w:rFonts w:hint="eastAsia"/>
          <w:lang w:val="en-GB" w:eastAsia="zh-CN"/>
        </w:rPr>
        <w:t>空中导航指的是</w:t>
      </w:r>
      <w:r>
        <w:rPr>
          <w:rFonts w:hint="eastAsia"/>
          <w:lang w:val="en-US" w:eastAsia="zh-CN"/>
        </w:rPr>
        <w:t>为在</w:t>
      </w:r>
      <w:r>
        <w:rPr>
          <w:rFonts w:hint="eastAsia"/>
          <w:lang w:val="en-GB" w:eastAsia="zh-CN"/>
        </w:rPr>
        <w:t>飞行所有阶段</w:t>
      </w:r>
      <w:r>
        <w:rPr>
          <w:rFonts w:hint="eastAsia"/>
          <w:lang w:val="en-US" w:eastAsia="zh-CN"/>
        </w:rPr>
        <w:t>使用而</w:t>
      </w:r>
      <w:r>
        <w:rPr>
          <w:rFonts w:hint="eastAsia"/>
          <w:lang w:val="en-GB" w:eastAsia="zh-CN"/>
        </w:rPr>
        <w:t>设计的机载接收</w:t>
      </w:r>
      <w:r>
        <w:rPr>
          <w:rFonts w:hint="eastAsia"/>
          <w:lang w:val="en-US" w:eastAsia="zh-CN"/>
        </w:rPr>
        <w:t>机</w:t>
      </w:r>
      <w:r>
        <w:rPr>
          <w:rFonts w:hint="eastAsia"/>
          <w:lang w:val="en-GB" w:eastAsia="zh-CN"/>
        </w:rPr>
        <w:t>。这种类型的接收机可以使用</w:t>
      </w:r>
      <w:r>
        <w:rPr>
          <w:rFonts w:hint="eastAsia"/>
          <w:lang w:val="en-GB" w:eastAsia="zh-CN"/>
        </w:rPr>
        <w:t>CDMA</w:t>
      </w:r>
      <w:r>
        <w:rPr>
          <w:rFonts w:hint="eastAsia"/>
          <w:lang w:val="en-GB" w:eastAsia="zh-CN"/>
        </w:rPr>
        <w:t>和</w:t>
      </w:r>
      <w:r>
        <w:rPr>
          <w:rFonts w:hint="eastAsia"/>
          <w:lang w:val="en-GB" w:eastAsia="zh-CN"/>
        </w:rPr>
        <w:t>/</w:t>
      </w:r>
      <w:r>
        <w:rPr>
          <w:rFonts w:hint="eastAsia"/>
          <w:lang w:val="en-GB" w:eastAsia="zh-CN"/>
        </w:rPr>
        <w:t>或</w:t>
      </w:r>
      <w:r>
        <w:rPr>
          <w:rFonts w:hint="eastAsia"/>
          <w:lang w:val="en-GB" w:eastAsia="zh-CN"/>
        </w:rPr>
        <w:t>FDMA RNSS</w:t>
      </w:r>
      <w:r>
        <w:rPr>
          <w:rFonts w:hint="eastAsia"/>
          <w:lang w:val="en-GB" w:eastAsia="zh-CN"/>
        </w:rPr>
        <w:t>信号</w:t>
      </w:r>
      <w:r>
        <w:rPr>
          <w:position w:val="6"/>
          <w:sz w:val="18"/>
          <w:lang w:val="en-GB"/>
        </w:rPr>
        <w:footnoteReference w:id="7"/>
      </w:r>
      <w:r>
        <w:rPr>
          <w:rFonts w:hint="eastAsia"/>
          <w:lang w:val="en-GB" w:eastAsia="zh-CN"/>
        </w:rPr>
        <w:t>，并且可以同时工作在几个载波频率上。这种接收</w:t>
      </w:r>
      <w:r>
        <w:rPr>
          <w:rFonts w:hint="eastAsia"/>
          <w:lang w:val="en-US" w:eastAsia="zh-CN"/>
        </w:rPr>
        <w:t>机</w:t>
      </w:r>
      <w:r>
        <w:rPr>
          <w:rFonts w:hint="eastAsia"/>
          <w:lang w:val="en-GB" w:eastAsia="zh-CN"/>
        </w:rPr>
        <w:t>类型的特</w:t>
      </w:r>
      <w:r>
        <w:rPr>
          <w:rFonts w:hint="eastAsia"/>
          <w:lang w:val="en-US" w:eastAsia="zh-CN"/>
        </w:rPr>
        <w:t>性见</w:t>
      </w:r>
      <w:r>
        <w:rPr>
          <w:rFonts w:hint="eastAsia"/>
          <w:lang w:val="en-GB" w:eastAsia="zh-CN"/>
        </w:rPr>
        <w:t>表</w:t>
      </w:r>
      <w:r>
        <w:rPr>
          <w:rFonts w:hint="eastAsia"/>
          <w:lang w:val="en-GB" w:eastAsia="zh-CN"/>
        </w:rPr>
        <w:t>1</w:t>
      </w:r>
      <w:r>
        <w:rPr>
          <w:rFonts w:hint="eastAsia"/>
          <w:lang w:val="en-GB" w:eastAsia="zh-CN"/>
        </w:rPr>
        <w:t>第</w:t>
      </w:r>
      <w:r>
        <w:rPr>
          <w:rFonts w:hint="eastAsia"/>
          <w:lang w:val="en-GB" w:eastAsia="zh-CN"/>
        </w:rPr>
        <w:t>4</w:t>
      </w:r>
      <w:r>
        <w:rPr>
          <w:rFonts w:hint="eastAsia"/>
          <w:lang w:val="en-US" w:eastAsia="zh-CN"/>
        </w:rPr>
        <w:t>列</w:t>
      </w:r>
      <w:r>
        <w:rPr>
          <w:rFonts w:hint="eastAsia"/>
          <w:lang w:val="en-GB" w:eastAsia="zh-CN"/>
        </w:rPr>
        <w:t>中</w:t>
      </w:r>
      <w:r>
        <w:rPr>
          <w:rFonts w:hint="eastAsia"/>
          <w:lang w:val="en-US" w:eastAsia="zh-CN"/>
        </w:rPr>
        <w:t>的</w:t>
      </w:r>
      <w:r>
        <w:rPr>
          <w:rFonts w:hint="eastAsia"/>
          <w:lang w:val="en-GB" w:eastAsia="zh-CN"/>
        </w:rPr>
        <w:t>规定。</w:t>
      </w:r>
    </w:p>
    <w:p w14:paraId="195AA0B7" w14:textId="77777777" w:rsidR="0047509A" w:rsidRDefault="0047509A">
      <w:pPr>
        <w:tabs>
          <w:tab w:val="clear" w:pos="794"/>
          <w:tab w:val="clear" w:pos="1191"/>
          <w:tab w:val="clear" w:pos="1588"/>
          <w:tab w:val="clear" w:pos="1985"/>
        </w:tabs>
        <w:overflowPunct/>
        <w:autoSpaceDE/>
        <w:autoSpaceDN/>
        <w:adjustRightInd/>
        <w:spacing w:before="0"/>
        <w:jc w:val="left"/>
        <w:textAlignment w:val="auto"/>
        <w:rPr>
          <w:lang w:val="en-GB" w:eastAsia="zh-CN"/>
        </w:rPr>
      </w:pPr>
      <w:r>
        <w:rPr>
          <w:lang w:val="en-GB" w:eastAsia="zh-CN"/>
        </w:rPr>
        <w:br w:type="page"/>
      </w:r>
    </w:p>
    <w:p w14:paraId="4733B6B3" w14:textId="7A076E67" w:rsidR="00EF5BF3" w:rsidRDefault="00551D2B">
      <w:pPr>
        <w:ind w:firstLineChars="200" w:firstLine="480"/>
        <w:rPr>
          <w:lang w:val="en-GB" w:eastAsia="zh-CN"/>
        </w:rPr>
      </w:pPr>
      <w:r>
        <w:rPr>
          <w:rFonts w:hint="eastAsia"/>
          <w:lang w:val="en-GB" w:eastAsia="zh-CN"/>
        </w:rPr>
        <w:lastRenderedPageBreak/>
        <w:t>空中导航接收机的特性</w:t>
      </w:r>
      <w:r>
        <w:rPr>
          <w:rFonts w:hint="eastAsia"/>
          <w:lang w:val="en-US" w:eastAsia="zh-CN"/>
        </w:rPr>
        <w:t>亦</w:t>
      </w:r>
      <w:r>
        <w:rPr>
          <w:rFonts w:hint="eastAsia"/>
          <w:lang w:val="en-GB" w:eastAsia="zh-CN"/>
        </w:rPr>
        <w:t>可能适用于本附件中未描述的为陆地和</w:t>
      </w:r>
      <w:r>
        <w:rPr>
          <w:rFonts w:hint="eastAsia"/>
          <w:lang w:val="en-US" w:eastAsia="zh-CN"/>
        </w:rPr>
        <w:t>水</w:t>
      </w:r>
      <w:r>
        <w:rPr>
          <w:rFonts w:hint="eastAsia"/>
          <w:lang w:val="en-GB" w:eastAsia="zh-CN"/>
        </w:rPr>
        <w:t>上应用开发的接</w:t>
      </w:r>
      <w:r w:rsidR="00ED095F">
        <w:rPr>
          <w:lang w:val="en-GB" w:eastAsia="zh-CN"/>
        </w:rPr>
        <w:br/>
      </w:r>
      <w:r>
        <w:rPr>
          <w:rFonts w:hint="eastAsia"/>
          <w:lang w:val="en-GB" w:eastAsia="zh-CN"/>
        </w:rPr>
        <w:t>收机。</w:t>
      </w:r>
    </w:p>
    <w:p w14:paraId="25F4BB82" w14:textId="77777777" w:rsidR="00EF5BF3" w:rsidRDefault="00551D2B">
      <w:pPr>
        <w:pStyle w:val="Heading2"/>
        <w:rPr>
          <w:lang w:val="en-GB" w:eastAsia="zh-CN"/>
        </w:rPr>
      </w:pPr>
      <w:r>
        <w:rPr>
          <w:lang w:val="en-GB" w:eastAsia="zh-CN"/>
        </w:rPr>
        <w:t>2.6</w:t>
      </w:r>
      <w:r>
        <w:rPr>
          <w:lang w:val="en-GB" w:eastAsia="zh-CN"/>
        </w:rPr>
        <w:tab/>
      </w:r>
      <w:r>
        <w:rPr>
          <w:rFonts w:hint="eastAsia"/>
          <w:lang w:val="en-US" w:eastAsia="zh-CN"/>
        </w:rPr>
        <w:t>室内定位</w:t>
      </w:r>
    </w:p>
    <w:p w14:paraId="38CA32D5" w14:textId="77777777" w:rsidR="00EF5BF3" w:rsidRDefault="00551D2B">
      <w:pPr>
        <w:ind w:firstLineChars="200" w:firstLine="480"/>
        <w:rPr>
          <w:lang w:val="en-GB" w:eastAsia="zh-CN"/>
        </w:rPr>
      </w:pPr>
      <w:r>
        <w:rPr>
          <w:rFonts w:eastAsiaTheme="minorEastAsia" w:hint="eastAsia"/>
          <w:szCs w:val="24"/>
          <w:lang w:val="en-US" w:eastAsia="zh-CN"/>
        </w:rPr>
        <w:t>室内定位类指目的在于室内使用的</w:t>
      </w:r>
      <w:r>
        <w:rPr>
          <w:rFonts w:eastAsiaTheme="minorEastAsia"/>
          <w:szCs w:val="24"/>
          <w:lang w:val="en-US" w:eastAsia="zh-CN"/>
        </w:rPr>
        <w:t>RNSS</w:t>
      </w:r>
      <w:r>
        <w:rPr>
          <w:rFonts w:eastAsiaTheme="minorEastAsia" w:hint="eastAsia"/>
          <w:szCs w:val="24"/>
          <w:lang w:val="en-US" w:eastAsia="zh-CN"/>
        </w:rPr>
        <w:t>接收机，且它通常具有低</w:t>
      </w:r>
      <w:r>
        <w:rPr>
          <w:rFonts w:eastAsiaTheme="minorEastAsia"/>
          <w:i/>
          <w:iCs/>
          <w:szCs w:val="24"/>
          <w:lang w:val="en-US" w:eastAsia="zh-CN"/>
        </w:rPr>
        <w:t>C</w:t>
      </w:r>
      <w:r>
        <w:rPr>
          <w:rFonts w:eastAsiaTheme="minorEastAsia"/>
          <w:szCs w:val="24"/>
          <w:lang w:val="en-US" w:eastAsia="zh-CN"/>
        </w:rPr>
        <w:t>/</w:t>
      </w:r>
      <w:r>
        <w:rPr>
          <w:rFonts w:eastAsiaTheme="minorEastAsia"/>
          <w:i/>
          <w:iCs/>
          <w:szCs w:val="24"/>
          <w:lang w:val="en-US" w:eastAsia="zh-CN"/>
        </w:rPr>
        <w:t>N</w:t>
      </w:r>
      <w:r>
        <w:rPr>
          <w:rFonts w:eastAsiaTheme="minorEastAsia"/>
          <w:szCs w:val="24"/>
          <w:vertAlign w:val="subscript"/>
          <w:lang w:val="en-US" w:eastAsia="zh-CN"/>
        </w:rPr>
        <w:t>0</w:t>
      </w:r>
      <w:r>
        <w:rPr>
          <w:rFonts w:eastAsiaTheme="minorEastAsia" w:hint="eastAsia"/>
          <w:szCs w:val="24"/>
          <w:lang w:val="en-US" w:eastAsia="zh-CN"/>
        </w:rPr>
        <w:t>能力（即，非常敏感的接收机）。因为载波跟踪不能与存在于室内环境下的低功率信号一起使用，在这种接收机中只采用代码跟踪。四种接收机类型列于表</w:t>
      </w:r>
      <w:r>
        <w:rPr>
          <w:rFonts w:eastAsiaTheme="minorEastAsia"/>
          <w:szCs w:val="24"/>
          <w:lang w:val="en-US" w:eastAsia="zh-CN"/>
        </w:rPr>
        <w:t>1</w:t>
      </w:r>
      <w:r>
        <w:rPr>
          <w:rFonts w:eastAsiaTheme="minorEastAsia" w:hint="eastAsia"/>
          <w:szCs w:val="24"/>
          <w:lang w:val="en-US" w:eastAsia="zh-CN"/>
        </w:rPr>
        <w:t>第</w:t>
      </w:r>
      <w:r>
        <w:rPr>
          <w:rFonts w:eastAsiaTheme="minorEastAsia"/>
          <w:szCs w:val="24"/>
          <w:lang w:val="en-US" w:eastAsia="zh-CN"/>
        </w:rPr>
        <w:t>5</w:t>
      </w:r>
      <w:r>
        <w:rPr>
          <w:rFonts w:eastAsiaTheme="minorEastAsia" w:hint="eastAsia"/>
          <w:szCs w:val="24"/>
          <w:lang w:val="en-US" w:eastAsia="zh-CN"/>
        </w:rPr>
        <w:t>列中；它们每一种采用一个不同的</w:t>
      </w:r>
      <w:r>
        <w:rPr>
          <w:rFonts w:eastAsiaTheme="minorEastAsia"/>
          <w:szCs w:val="24"/>
          <w:lang w:val="en-US" w:eastAsia="zh-CN"/>
        </w:rPr>
        <w:t>RNSS</w:t>
      </w:r>
      <w:r>
        <w:rPr>
          <w:rFonts w:eastAsiaTheme="minorEastAsia" w:hint="eastAsia"/>
          <w:szCs w:val="24"/>
          <w:lang w:val="en-US" w:eastAsia="zh-CN"/>
        </w:rPr>
        <w:t>卫星信号类型（用于</w:t>
      </w:r>
      <w:r>
        <w:rPr>
          <w:rFonts w:eastAsiaTheme="minorEastAsia" w:hint="eastAsia"/>
          <w:szCs w:val="24"/>
          <w:lang w:val="en-US" w:eastAsia="zh-CN"/>
        </w:rPr>
        <w:t>L2C</w:t>
      </w:r>
      <w:r>
        <w:rPr>
          <w:rFonts w:eastAsiaTheme="minorEastAsia" w:hint="eastAsia"/>
          <w:szCs w:val="24"/>
          <w:lang w:val="en-US" w:eastAsia="zh-CN"/>
        </w:rPr>
        <w:t>信号或</w:t>
      </w:r>
      <w:r>
        <w:rPr>
          <w:rFonts w:eastAsiaTheme="minorEastAsia" w:hint="eastAsia"/>
          <w:szCs w:val="24"/>
          <w:lang w:val="en-US" w:eastAsia="zh-CN"/>
        </w:rPr>
        <w:t>B3</w:t>
      </w:r>
      <w:r>
        <w:rPr>
          <w:rFonts w:eastAsiaTheme="minorEastAsia" w:hint="eastAsia"/>
          <w:szCs w:val="24"/>
          <w:lang w:val="en-US" w:eastAsia="zh-CN"/>
        </w:rPr>
        <w:t>和</w:t>
      </w:r>
      <w:r>
        <w:rPr>
          <w:rFonts w:eastAsiaTheme="minorEastAsia" w:hint="eastAsia"/>
          <w:szCs w:val="24"/>
          <w:lang w:val="en-US" w:eastAsia="zh-CN"/>
        </w:rPr>
        <w:t>B3A</w:t>
      </w:r>
      <w:r>
        <w:rPr>
          <w:rFonts w:eastAsiaTheme="minorEastAsia" w:hint="eastAsia"/>
          <w:szCs w:val="24"/>
          <w:lang w:val="en-US" w:eastAsia="zh-CN"/>
        </w:rPr>
        <w:t>信号的</w:t>
      </w:r>
      <w:r>
        <w:rPr>
          <w:rFonts w:eastAsiaTheme="minorEastAsia" w:hint="eastAsia"/>
          <w:szCs w:val="24"/>
          <w:lang w:val="en-US" w:eastAsia="zh-CN"/>
        </w:rPr>
        <w:t>CDMA</w:t>
      </w:r>
      <w:r>
        <w:rPr>
          <w:rFonts w:eastAsiaTheme="minorEastAsia" w:hint="eastAsia"/>
          <w:szCs w:val="24"/>
          <w:lang w:val="en-US" w:eastAsia="zh-CN"/>
        </w:rPr>
        <w:t>；或者用于</w:t>
      </w:r>
      <w:r>
        <w:rPr>
          <w:rFonts w:eastAsiaTheme="minorEastAsia" w:hint="eastAsia"/>
          <w:szCs w:val="24"/>
          <w:lang w:val="en-US" w:eastAsia="zh-CN"/>
        </w:rPr>
        <w:t>GLONASS</w:t>
      </w:r>
      <w:r>
        <w:rPr>
          <w:rFonts w:eastAsiaTheme="minorEastAsia" w:hint="eastAsia"/>
          <w:szCs w:val="24"/>
          <w:lang w:val="en-US" w:eastAsia="zh-CN"/>
        </w:rPr>
        <w:t>信号、</w:t>
      </w:r>
      <w:r>
        <w:rPr>
          <w:rFonts w:eastAsiaTheme="minorEastAsia" w:hint="eastAsia"/>
          <w:szCs w:val="24"/>
          <w:lang w:val="en-US" w:eastAsia="zh-CN"/>
        </w:rPr>
        <w:t>CDMA</w:t>
      </w:r>
      <w:r>
        <w:rPr>
          <w:rFonts w:eastAsiaTheme="minorEastAsia" w:hint="eastAsia"/>
          <w:szCs w:val="24"/>
          <w:lang w:val="en-US" w:eastAsia="zh-CN"/>
        </w:rPr>
        <w:t>和</w:t>
      </w:r>
      <w:r>
        <w:rPr>
          <w:rFonts w:eastAsiaTheme="minorEastAsia" w:hint="eastAsia"/>
          <w:szCs w:val="24"/>
          <w:lang w:val="en-US" w:eastAsia="zh-CN"/>
        </w:rPr>
        <w:t>/</w:t>
      </w:r>
      <w:r>
        <w:rPr>
          <w:rFonts w:eastAsiaTheme="minorEastAsia" w:hint="eastAsia"/>
          <w:szCs w:val="24"/>
          <w:lang w:val="en-US" w:eastAsia="zh-CN"/>
        </w:rPr>
        <w:t>或</w:t>
      </w:r>
      <w:r>
        <w:rPr>
          <w:rFonts w:eastAsiaTheme="minorEastAsia" w:hint="eastAsia"/>
          <w:szCs w:val="24"/>
          <w:lang w:val="en-US" w:eastAsia="zh-CN"/>
        </w:rPr>
        <w:t>FDMA</w:t>
      </w:r>
      <w:r>
        <w:rPr>
          <w:rFonts w:eastAsiaTheme="minorEastAsia"/>
          <w:szCs w:val="24"/>
          <w:lang w:val="en-US" w:eastAsia="ja-JP"/>
        </w:rPr>
        <w:t>）</w:t>
      </w:r>
      <w:r>
        <w:rPr>
          <w:rFonts w:eastAsiaTheme="minorEastAsia" w:hint="eastAsia"/>
          <w:szCs w:val="24"/>
          <w:lang w:val="en-US" w:eastAsia="zh-CN"/>
        </w:rPr>
        <w:t>。</w:t>
      </w:r>
    </w:p>
    <w:p w14:paraId="400CEF98" w14:textId="77777777" w:rsidR="00EF5BF3" w:rsidRDefault="00551D2B">
      <w:pPr>
        <w:pStyle w:val="Heading2"/>
        <w:rPr>
          <w:rFonts w:eastAsiaTheme="minorEastAsia"/>
          <w:lang w:val="en-US" w:eastAsia="zh-CN"/>
        </w:rPr>
      </w:pPr>
      <w:r>
        <w:rPr>
          <w:rFonts w:eastAsiaTheme="minorEastAsia"/>
          <w:lang w:val="en-US" w:eastAsia="zh-CN"/>
        </w:rPr>
        <w:t>2.7</w:t>
      </w:r>
      <w:r>
        <w:rPr>
          <w:rFonts w:eastAsiaTheme="minorEastAsia"/>
          <w:lang w:val="en-US" w:eastAsia="zh-CN"/>
        </w:rPr>
        <w:tab/>
      </w:r>
      <w:r>
        <w:rPr>
          <w:rFonts w:eastAsiaTheme="minorEastAsia" w:hint="eastAsia"/>
          <w:lang w:val="en-US" w:eastAsia="zh-CN"/>
        </w:rPr>
        <w:t>一般用途应用</w:t>
      </w:r>
    </w:p>
    <w:p w14:paraId="4B50685E" w14:textId="77777777" w:rsidR="00EF5BF3" w:rsidRDefault="00551D2B">
      <w:pPr>
        <w:ind w:firstLineChars="200" w:firstLine="480"/>
        <w:rPr>
          <w:rFonts w:eastAsiaTheme="minorEastAsia"/>
          <w:szCs w:val="24"/>
          <w:lang w:val="en-GB" w:eastAsia="zh-CN"/>
        </w:rPr>
      </w:pPr>
      <w:r>
        <w:rPr>
          <w:rFonts w:eastAsiaTheme="minorEastAsia" w:hint="eastAsia"/>
          <w:szCs w:val="24"/>
          <w:lang w:val="en-US" w:eastAsia="zh-CN"/>
        </w:rPr>
        <w:t>一般用途</w:t>
      </w:r>
      <w:r>
        <w:rPr>
          <w:rFonts w:eastAsiaTheme="minorEastAsia" w:hint="eastAsia"/>
          <w:szCs w:val="24"/>
          <w:lang w:val="en-GB" w:eastAsia="zh-CN"/>
        </w:rPr>
        <w:t>类代表几种类型的</w:t>
      </w:r>
      <w:r>
        <w:rPr>
          <w:rFonts w:eastAsiaTheme="minorEastAsia" w:hint="eastAsia"/>
          <w:szCs w:val="24"/>
          <w:lang w:val="en-GB" w:eastAsia="zh-CN"/>
        </w:rPr>
        <w:t>RNSS</w:t>
      </w:r>
      <w:r>
        <w:rPr>
          <w:rFonts w:eastAsiaTheme="minorEastAsia" w:hint="eastAsia"/>
          <w:szCs w:val="24"/>
          <w:lang w:val="en-GB" w:eastAsia="zh-CN"/>
        </w:rPr>
        <w:t>接收</w:t>
      </w:r>
      <w:r>
        <w:rPr>
          <w:rFonts w:eastAsiaTheme="minorEastAsia" w:hint="eastAsia"/>
          <w:szCs w:val="24"/>
          <w:lang w:val="en-US" w:eastAsia="zh-CN"/>
        </w:rPr>
        <w:t>机</w:t>
      </w:r>
      <w:r>
        <w:rPr>
          <w:rFonts w:eastAsiaTheme="minorEastAsia" w:hint="eastAsia"/>
          <w:szCs w:val="24"/>
          <w:lang w:val="en-GB" w:eastAsia="zh-CN"/>
        </w:rPr>
        <w:t>。这些接收</w:t>
      </w:r>
      <w:r>
        <w:rPr>
          <w:rFonts w:eastAsiaTheme="minorEastAsia" w:hint="eastAsia"/>
          <w:szCs w:val="24"/>
          <w:lang w:val="en-US" w:eastAsia="zh-CN"/>
        </w:rPr>
        <w:t>机是为在</w:t>
      </w:r>
      <w:r>
        <w:rPr>
          <w:rFonts w:eastAsiaTheme="minorEastAsia" w:hint="eastAsia"/>
          <w:szCs w:val="24"/>
          <w:lang w:val="en-GB" w:eastAsia="zh-CN"/>
        </w:rPr>
        <w:t>车辆导航、</w:t>
      </w:r>
      <w:r>
        <w:rPr>
          <w:rFonts w:eastAsiaTheme="minorEastAsia" w:hint="eastAsia"/>
          <w:szCs w:val="24"/>
          <w:lang w:val="en-US" w:eastAsia="zh-CN"/>
        </w:rPr>
        <w:t>步行</w:t>
      </w:r>
      <w:r>
        <w:rPr>
          <w:rFonts w:eastAsiaTheme="minorEastAsia" w:hint="eastAsia"/>
          <w:szCs w:val="24"/>
          <w:lang w:val="en-GB" w:eastAsia="zh-CN"/>
        </w:rPr>
        <w:t>导航、一般定位等</w:t>
      </w:r>
      <w:r>
        <w:rPr>
          <w:rFonts w:eastAsiaTheme="minorEastAsia" w:hint="eastAsia"/>
          <w:szCs w:val="24"/>
          <w:lang w:val="en-US" w:eastAsia="zh-CN"/>
        </w:rPr>
        <w:t>用途而</w:t>
      </w:r>
      <w:r>
        <w:rPr>
          <w:rFonts w:eastAsiaTheme="minorEastAsia" w:hint="eastAsia"/>
          <w:szCs w:val="24"/>
          <w:lang w:val="en-GB" w:eastAsia="zh-CN"/>
        </w:rPr>
        <w:t>设计</w:t>
      </w:r>
      <w:r>
        <w:rPr>
          <w:rFonts w:eastAsiaTheme="minorEastAsia" w:hint="eastAsia"/>
          <w:szCs w:val="24"/>
          <w:lang w:val="en-US" w:eastAsia="zh-CN"/>
        </w:rPr>
        <w:t>的</w:t>
      </w:r>
      <w:r>
        <w:rPr>
          <w:rFonts w:eastAsiaTheme="minorEastAsia" w:hint="eastAsia"/>
          <w:szCs w:val="24"/>
          <w:lang w:val="en-GB" w:eastAsia="zh-CN"/>
        </w:rPr>
        <w:t>。表</w:t>
      </w:r>
      <w:r>
        <w:rPr>
          <w:rFonts w:eastAsiaTheme="minorEastAsia" w:hint="eastAsia"/>
          <w:szCs w:val="24"/>
          <w:lang w:val="en-GB" w:eastAsia="zh-CN"/>
        </w:rPr>
        <w:t>1</w:t>
      </w:r>
      <w:r>
        <w:rPr>
          <w:rFonts w:eastAsiaTheme="minorEastAsia" w:hint="eastAsia"/>
          <w:szCs w:val="24"/>
          <w:lang w:val="en-GB" w:eastAsia="zh-CN"/>
        </w:rPr>
        <w:t>第</w:t>
      </w:r>
      <w:r>
        <w:rPr>
          <w:rFonts w:eastAsiaTheme="minorEastAsia" w:hint="eastAsia"/>
          <w:szCs w:val="24"/>
          <w:lang w:val="en-GB" w:eastAsia="zh-CN"/>
        </w:rPr>
        <w:t>6</w:t>
      </w:r>
      <w:r>
        <w:rPr>
          <w:rFonts w:eastAsiaTheme="minorEastAsia" w:hint="eastAsia"/>
          <w:szCs w:val="24"/>
          <w:lang w:val="en-US" w:eastAsia="zh-CN"/>
        </w:rPr>
        <w:t>列</w:t>
      </w:r>
      <w:r>
        <w:rPr>
          <w:rFonts w:eastAsiaTheme="minorEastAsia" w:hint="eastAsia"/>
          <w:szCs w:val="24"/>
          <w:lang w:val="en-GB" w:eastAsia="zh-CN"/>
        </w:rPr>
        <w:t>列出了四种接收</w:t>
      </w:r>
      <w:r>
        <w:rPr>
          <w:rFonts w:eastAsiaTheme="minorEastAsia" w:hint="eastAsia"/>
          <w:szCs w:val="24"/>
          <w:lang w:val="en-US" w:eastAsia="zh-CN"/>
        </w:rPr>
        <w:t>机</w:t>
      </w:r>
      <w:r>
        <w:rPr>
          <w:rFonts w:eastAsiaTheme="minorEastAsia" w:hint="eastAsia"/>
          <w:szCs w:val="24"/>
          <w:lang w:val="en-GB" w:eastAsia="zh-CN"/>
        </w:rPr>
        <w:t>类型；每个基站使用不同的</w:t>
      </w:r>
      <w:r>
        <w:rPr>
          <w:rFonts w:eastAsiaTheme="minorEastAsia" w:hint="eastAsia"/>
          <w:szCs w:val="24"/>
          <w:lang w:val="en-GB" w:eastAsia="zh-CN"/>
        </w:rPr>
        <w:t>RNSS</w:t>
      </w:r>
      <w:r>
        <w:rPr>
          <w:rFonts w:eastAsiaTheme="minorEastAsia" w:hint="eastAsia"/>
          <w:szCs w:val="24"/>
          <w:lang w:val="en-GB" w:eastAsia="zh-CN"/>
        </w:rPr>
        <w:t>卫星信号类型（</w:t>
      </w:r>
      <w:r>
        <w:rPr>
          <w:rFonts w:eastAsiaTheme="minorEastAsia" w:hint="eastAsia"/>
          <w:szCs w:val="24"/>
          <w:lang w:val="en-US" w:eastAsia="zh-CN"/>
        </w:rPr>
        <w:t>用于</w:t>
      </w:r>
      <w:r>
        <w:rPr>
          <w:rFonts w:eastAsiaTheme="minorEastAsia" w:hint="eastAsia"/>
          <w:szCs w:val="24"/>
          <w:lang w:val="en-US" w:eastAsia="zh-CN"/>
        </w:rPr>
        <w:t>L2C</w:t>
      </w:r>
      <w:r>
        <w:rPr>
          <w:rFonts w:eastAsiaTheme="minorEastAsia" w:hint="eastAsia"/>
          <w:szCs w:val="24"/>
          <w:lang w:val="en-US" w:eastAsia="zh-CN"/>
        </w:rPr>
        <w:t>信号或</w:t>
      </w:r>
      <w:r>
        <w:rPr>
          <w:rFonts w:eastAsiaTheme="minorEastAsia" w:hint="eastAsia"/>
          <w:szCs w:val="24"/>
          <w:lang w:val="en-US" w:eastAsia="zh-CN"/>
        </w:rPr>
        <w:t>B3</w:t>
      </w:r>
      <w:r>
        <w:rPr>
          <w:rFonts w:eastAsiaTheme="minorEastAsia" w:hint="eastAsia"/>
          <w:szCs w:val="24"/>
          <w:lang w:val="en-US" w:eastAsia="zh-CN"/>
        </w:rPr>
        <w:t>和</w:t>
      </w:r>
      <w:r>
        <w:rPr>
          <w:rFonts w:eastAsiaTheme="minorEastAsia" w:hint="eastAsia"/>
          <w:szCs w:val="24"/>
          <w:lang w:val="en-US" w:eastAsia="zh-CN"/>
        </w:rPr>
        <w:t>B3A</w:t>
      </w:r>
      <w:r>
        <w:rPr>
          <w:rFonts w:eastAsiaTheme="minorEastAsia" w:hint="eastAsia"/>
          <w:szCs w:val="24"/>
          <w:lang w:val="en-US" w:eastAsia="zh-CN"/>
        </w:rPr>
        <w:t>信号的</w:t>
      </w:r>
      <w:r>
        <w:rPr>
          <w:rFonts w:eastAsiaTheme="minorEastAsia" w:hint="eastAsia"/>
          <w:szCs w:val="24"/>
          <w:lang w:val="en-US" w:eastAsia="zh-CN"/>
        </w:rPr>
        <w:t>CDMA</w:t>
      </w:r>
      <w:r>
        <w:rPr>
          <w:rFonts w:eastAsiaTheme="minorEastAsia" w:hint="eastAsia"/>
          <w:szCs w:val="24"/>
          <w:lang w:val="en-US" w:eastAsia="zh-CN"/>
        </w:rPr>
        <w:t>；或者用于</w:t>
      </w:r>
      <w:r>
        <w:rPr>
          <w:rFonts w:eastAsiaTheme="minorEastAsia" w:hint="eastAsia"/>
          <w:szCs w:val="24"/>
          <w:lang w:val="en-US" w:eastAsia="zh-CN"/>
        </w:rPr>
        <w:t>GLONASS</w:t>
      </w:r>
      <w:r>
        <w:rPr>
          <w:rFonts w:eastAsiaTheme="minorEastAsia" w:hint="eastAsia"/>
          <w:szCs w:val="24"/>
          <w:lang w:val="en-US" w:eastAsia="zh-CN"/>
        </w:rPr>
        <w:t>信号、</w:t>
      </w:r>
      <w:r>
        <w:rPr>
          <w:rFonts w:eastAsiaTheme="minorEastAsia" w:hint="eastAsia"/>
          <w:szCs w:val="24"/>
          <w:lang w:val="en-US" w:eastAsia="zh-CN"/>
        </w:rPr>
        <w:t>CDMA</w:t>
      </w:r>
      <w:r>
        <w:rPr>
          <w:rFonts w:eastAsiaTheme="minorEastAsia" w:hint="eastAsia"/>
          <w:szCs w:val="24"/>
          <w:lang w:val="en-US" w:eastAsia="zh-CN"/>
        </w:rPr>
        <w:t>和</w:t>
      </w:r>
      <w:r>
        <w:rPr>
          <w:rFonts w:eastAsiaTheme="minorEastAsia" w:hint="eastAsia"/>
          <w:szCs w:val="24"/>
          <w:lang w:val="en-US" w:eastAsia="zh-CN"/>
        </w:rPr>
        <w:t>/</w:t>
      </w:r>
      <w:r>
        <w:rPr>
          <w:rFonts w:eastAsiaTheme="minorEastAsia" w:hint="eastAsia"/>
          <w:szCs w:val="24"/>
          <w:lang w:val="en-US" w:eastAsia="zh-CN"/>
        </w:rPr>
        <w:t>或</w:t>
      </w:r>
      <w:r>
        <w:rPr>
          <w:rFonts w:eastAsiaTheme="minorEastAsia" w:hint="eastAsia"/>
          <w:szCs w:val="24"/>
          <w:lang w:val="en-US" w:eastAsia="zh-CN"/>
        </w:rPr>
        <w:t>FDMA</w:t>
      </w:r>
      <w:r>
        <w:rPr>
          <w:rFonts w:eastAsiaTheme="minorEastAsia" w:hint="eastAsia"/>
          <w:szCs w:val="24"/>
          <w:lang w:val="en-GB" w:eastAsia="zh-CN"/>
        </w:rPr>
        <w:t>）。</w:t>
      </w:r>
    </w:p>
    <w:p w14:paraId="66C0C94B" w14:textId="77777777" w:rsidR="00EF5BF3" w:rsidRDefault="00551D2B">
      <w:pPr>
        <w:pStyle w:val="Heading1"/>
        <w:rPr>
          <w:szCs w:val="26"/>
          <w:highlight w:val="cyan"/>
          <w:lang w:val="en-GB" w:eastAsia="zh-CN"/>
        </w:rPr>
      </w:pPr>
      <w:r>
        <w:rPr>
          <w:szCs w:val="26"/>
          <w:lang w:val="en-GB" w:eastAsia="zh-CN"/>
        </w:rPr>
        <w:t>3</w:t>
      </w:r>
      <w:r>
        <w:rPr>
          <w:szCs w:val="26"/>
          <w:lang w:val="en-GB" w:eastAsia="zh-CN"/>
        </w:rPr>
        <w:tab/>
      </w:r>
      <w:r>
        <w:rPr>
          <w:rFonts w:eastAsiaTheme="minorEastAsia" w:hint="eastAsia"/>
          <w:lang w:val="en-US" w:eastAsia="zh-CN"/>
        </w:rPr>
        <w:t>脉冲</w:t>
      </w:r>
      <w:r>
        <w:rPr>
          <w:rStyle w:val="FootnoteReference"/>
          <w:lang w:val="en-GB"/>
        </w:rPr>
        <w:footnoteReference w:id="8"/>
      </w:r>
      <w:r>
        <w:rPr>
          <w:rFonts w:eastAsiaTheme="minorEastAsia" w:hint="eastAsia"/>
          <w:lang w:val="en-US" w:eastAsia="zh-CN"/>
        </w:rPr>
        <w:t>射频干扰效应</w:t>
      </w:r>
    </w:p>
    <w:p w14:paraId="0CF738B6" w14:textId="77777777" w:rsidR="00EF5BF3" w:rsidRDefault="00551D2B">
      <w:pPr>
        <w:ind w:firstLineChars="200" w:firstLine="480"/>
        <w:rPr>
          <w:rFonts w:eastAsiaTheme="minorEastAsia"/>
          <w:snapToGrid w:val="0"/>
          <w:szCs w:val="24"/>
          <w:lang w:val="en-US" w:eastAsia="zh-CN"/>
        </w:rPr>
      </w:pPr>
      <w:r>
        <w:rPr>
          <w:rFonts w:eastAsiaTheme="minorEastAsia" w:hint="eastAsia"/>
          <w:szCs w:val="24"/>
          <w:lang w:val="en-US" w:eastAsia="zh-CN"/>
        </w:rPr>
        <w:t>除了来自包括</w:t>
      </w:r>
      <w:r>
        <w:rPr>
          <w:rFonts w:eastAsiaTheme="minorEastAsia" w:hint="eastAsia"/>
          <w:szCs w:val="24"/>
          <w:lang w:val="en-US" w:eastAsia="zh-CN"/>
        </w:rPr>
        <w:t>RNSS</w:t>
      </w:r>
      <w:r>
        <w:rPr>
          <w:rFonts w:eastAsiaTheme="minorEastAsia" w:hint="eastAsia"/>
          <w:szCs w:val="24"/>
          <w:lang w:val="en-US" w:eastAsia="zh-CN"/>
        </w:rPr>
        <w:t>空间站在内的各种来源的连续干扰之外，在</w:t>
      </w:r>
      <w:r>
        <w:rPr>
          <w:rFonts w:eastAsiaTheme="minorEastAsia"/>
          <w:szCs w:val="24"/>
          <w:lang w:val="en-US" w:eastAsia="zh-CN"/>
        </w:rPr>
        <w:t>1 215-1 300 MHz</w:t>
      </w:r>
      <w:r>
        <w:rPr>
          <w:rFonts w:eastAsiaTheme="minorEastAsia" w:hint="eastAsia"/>
          <w:szCs w:val="24"/>
          <w:lang w:val="en-US" w:eastAsia="zh-CN"/>
        </w:rPr>
        <w:t>频段内运行的</w:t>
      </w:r>
      <w:r>
        <w:rPr>
          <w:rFonts w:eastAsiaTheme="minorEastAsia"/>
          <w:szCs w:val="24"/>
          <w:lang w:val="en-US" w:eastAsia="zh-CN"/>
        </w:rPr>
        <w:t>RNSS</w:t>
      </w:r>
      <w:r>
        <w:rPr>
          <w:rFonts w:eastAsiaTheme="minorEastAsia" w:hint="eastAsia"/>
          <w:szCs w:val="24"/>
          <w:lang w:val="en-US" w:eastAsia="zh-CN"/>
        </w:rPr>
        <w:t>接收机还受到来自无线电定位雷达和</w:t>
      </w:r>
      <w:r>
        <w:rPr>
          <w:rFonts w:eastAsiaTheme="minorEastAsia"/>
          <w:szCs w:val="24"/>
          <w:lang w:val="en-US" w:eastAsia="zh-CN"/>
        </w:rPr>
        <w:t>ARNS</w:t>
      </w:r>
      <w:r>
        <w:rPr>
          <w:rFonts w:eastAsiaTheme="minorEastAsia" w:hint="eastAsia"/>
          <w:szCs w:val="24"/>
          <w:lang w:val="en-US" w:eastAsia="zh-CN"/>
        </w:rPr>
        <w:t>发射机的带内和相邻频段的脉冲射频干扰（</w:t>
      </w:r>
      <w:r>
        <w:rPr>
          <w:rFonts w:eastAsiaTheme="minorEastAsia"/>
          <w:szCs w:val="24"/>
          <w:lang w:val="en-US" w:eastAsia="zh-CN"/>
        </w:rPr>
        <w:t>RFI</w:t>
      </w:r>
      <w:r>
        <w:rPr>
          <w:rFonts w:eastAsiaTheme="minorEastAsia" w:hint="eastAsia"/>
          <w:szCs w:val="24"/>
          <w:lang w:val="en-US" w:eastAsia="zh-CN"/>
        </w:rPr>
        <w:t>）。脉冲</w:t>
      </w:r>
      <w:r>
        <w:rPr>
          <w:rFonts w:eastAsiaTheme="minorEastAsia"/>
          <w:szCs w:val="24"/>
          <w:lang w:val="en-US" w:eastAsia="zh-CN"/>
        </w:rPr>
        <w:t>RFI</w:t>
      </w:r>
      <w:r>
        <w:rPr>
          <w:rFonts w:eastAsiaTheme="minorEastAsia" w:hint="eastAsia"/>
          <w:szCs w:val="24"/>
          <w:lang w:val="en-US" w:eastAsia="zh-CN"/>
        </w:rPr>
        <w:t>的存在降低了</w:t>
      </w:r>
      <w:r>
        <w:rPr>
          <w:rFonts w:eastAsiaTheme="minorEastAsia"/>
          <w:szCs w:val="24"/>
          <w:lang w:val="en-US" w:eastAsia="zh-CN"/>
        </w:rPr>
        <w:t>RNSS</w:t>
      </w:r>
      <w:r>
        <w:rPr>
          <w:rFonts w:eastAsiaTheme="minorEastAsia" w:hint="eastAsia"/>
          <w:szCs w:val="24"/>
          <w:lang w:val="en-US" w:eastAsia="zh-CN"/>
        </w:rPr>
        <w:t>接收机能够容忍的连续</w:t>
      </w:r>
      <w:r>
        <w:rPr>
          <w:rFonts w:eastAsiaTheme="minorEastAsia"/>
          <w:szCs w:val="24"/>
          <w:lang w:val="en-US" w:eastAsia="zh-CN"/>
        </w:rPr>
        <w:t>RFI</w:t>
      </w:r>
      <w:r>
        <w:rPr>
          <w:rFonts w:eastAsiaTheme="minorEastAsia" w:hint="eastAsia"/>
          <w:szCs w:val="24"/>
          <w:lang w:val="en-US" w:eastAsia="zh-CN"/>
        </w:rPr>
        <w:t>量。脉冲</w:t>
      </w:r>
      <w:r>
        <w:rPr>
          <w:rFonts w:eastAsiaTheme="minorEastAsia"/>
          <w:szCs w:val="24"/>
          <w:lang w:val="en-US" w:eastAsia="zh-CN"/>
        </w:rPr>
        <w:t>RFI</w:t>
      </w:r>
      <w:r>
        <w:rPr>
          <w:rFonts w:eastAsiaTheme="minorEastAsia" w:hint="eastAsia"/>
          <w:szCs w:val="24"/>
          <w:lang w:val="en-US" w:eastAsia="zh-CN"/>
        </w:rPr>
        <w:t>量取决于在该</w:t>
      </w:r>
      <w:r>
        <w:rPr>
          <w:rFonts w:eastAsiaTheme="minorEastAsia"/>
          <w:szCs w:val="24"/>
          <w:lang w:val="en-US" w:eastAsia="zh-CN"/>
        </w:rPr>
        <w:t>RNSS</w:t>
      </w:r>
      <w:r>
        <w:rPr>
          <w:rFonts w:eastAsiaTheme="minorEastAsia" w:hint="eastAsia"/>
          <w:szCs w:val="24"/>
          <w:lang w:val="en-US" w:eastAsia="zh-CN"/>
        </w:rPr>
        <w:t>接收天线无线电范围内脉冲源的数量。</w:t>
      </w:r>
    </w:p>
    <w:p w14:paraId="03475844" w14:textId="77777777" w:rsidR="00EF5BF3" w:rsidRDefault="00551D2B">
      <w:pPr>
        <w:ind w:firstLineChars="200" w:firstLine="480"/>
        <w:rPr>
          <w:rFonts w:eastAsiaTheme="minorEastAsia"/>
          <w:snapToGrid w:val="0"/>
          <w:szCs w:val="24"/>
          <w:lang w:val="en-US" w:eastAsia="zh-CN"/>
        </w:rPr>
      </w:pPr>
      <w:r>
        <w:rPr>
          <w:rFonts w:eastAsiaTheme="minorEastAsia" w:hint="eastAsia"/>
          <w:snapToGrid w:val="0"/>
          <w:szCs w:val="24"/>
          <w:lang w:val="en-US" w:eastAsia="zh-CN"/>
        </w:rPr>
        <w:t>需要一个不同的</w:t>
      </w:r>
      <w:r>
        <w:rPr>
          <w:rFonts w:eastAsiaTheme="minorEastAsia"/>
          <w:snapToGrid w:val="0"/>
          <w:szCs w:val="24"/>
          <w:lang w:val="en-US" w:eastAsia="zh-CN"/>
        </w:rPr>
        <w:t>RFI</w:t>
      </w:r>
      <w:r>
        <w:rPr>
          <w:rFonts w:eastAsiaTheme="minorEastAsia" w:hint="eastAsia"/>
          <w:snapToGrid w:val="0"/>
          <w:szCs w:val="24"/>
          <w:lang w:val="en-US" w:eastAsia="zh-CN"/>
        </w:rPr>
        <w:t>分析方法来考虑在</w:t>
      </w:r>
      <w:r>
        <w:rPr>
          <w:rFonts w:eastAsiaTheme="minorEastAsia"/>
          <w:snapToGrid w:val="0"/>
          <w:szCs w:val="24"/>
          <w:lang w:val="en-US" w:eastAsia="zh-CN"/>
        </w:rPr>
        <w:t>1 215-1 300</w:t>
      </w:r>
      <w:r>
        <w:rPr>
          <w:rFonts w:eastAsiaTheme="minorEastAsia" w:hint="eastAsia"/>
          <w:snapToGrid w:val="0"/>
          <w:szCs w:val="24"/>
          <w:lang w:val="en-US" w:eastAsia="zh-CN"/>
        </w:rPr>
        <w:t xml:space="preserve"> M</w:t>
      </w:r>
      <w:r>
        <w:rPr>
          <w:rFonts w:eastAsiaTheme="minorEastAsia"/>
          <w:snapToGrid w:val="0"/>
          <w:szCs w:val="24"/>
          <w:lang w:val="en-US" w:eastAsia="zh-CN"/>
        </w:rPr>
        <w:t>Hz</w:t>
      </w:r>
      <w:r>
        <w:rPr>
          <w:rFonts w:eastAsiaTheme="minorEastAsia" w:hint="eastAsia"/>
          <w:snapToGrid w:val="0"/>
          <w:szCs w:val="24"/>
          <w:lang w:val="en-US" w:eastAsia="zh-CN"/>
        </w:rPr>
        <w:t>频段内的脉冲</w:t>
      </w:r>
      <w:r>
        <w:rPr>
          <w:rFonts w:eastAsiaTheme="minorEastAsia"/>
          <w:snapToGrid w:val="0"/>
          <w:szCs w:val="24"/>
          <w:lang w:val="en-US" w:eastAsia="zh-CN"/>
        </w:rPr>
        <w:t>RFI</w:t>
      </w:r>
      <w:r>
        <w:rPr>
          <w:rFonts w:eastAsiaTheme="minorEastAsia" w:hint="eastAsia"/>
          <w:snapToGrid w:val="0"/>
          <w:szCs w:val="24"/>
          <w:lang w:val="en-US" w:eastAsia="zh-CN"/>
        </w:rPr>
        <w:t>，例如，而不是</w:t>
      </w:r>
      <w:r>
        <w:rPr>
          <w:rFonts w:eastAsiaTheme="minorEastAsia"/>
          <w:snapToGrid w:val="0"/>
          <w:szCs w:val="24"/>
          <w:lang w:val="en-US" w:eastAsia="zh-CN"/>
        </w:rPr>
        <w:t>1 559-1 610 MHz</w:t>
      </w:r>
      <w:r>
        <w:rPr>
          <w:rFonts w:eastAsiaTheme="minorEastAsia" w:hint="eastAsia"/>
          <w:snapToGrid w:val="0"/>
          <w:szCs w:val="24"/>
          <w:lang w:val="en-US" w:eastAsia="zh-CN"/>
        </w:rPr>
        <w:t>频段内的，因为其中脉冲的</w:t>
      </w:r>
      <w:r>
        <w:rPr>
          <w:rFonts w:eastAsiaTheme="minorEastAsia"/>
          <w:snapToGrid w:val="0"/>
          <w:szCs w:val="24"/>
          <w:lang w:val="en-US" w:eastAsia="zh-CN"/>
        </w:rPr>
        <w:t>RFI</w:t>
      </w:r>
      <w:r>
        <w:rPr>
          <w:rFonts w:eastAsiaTheme="minorEastAsia" w:hint="eastAsia"/>
          <w:snapToGrid w:val="0"/>
          <w:szCs w:val="24"/>
          <w:lang w:val="en-US" w:eastAsia="zh-CN"/>
        </w:rPr>
        <w:t>不显著。二个航空标准组织</w:t>
      </w:r>
      <w:r>
        <w:rPr>
          <w:rFonts w:eastAsiaTheme="minorEastAsia"/>
          <w:position w:val="6"/>
          <w:sz w:val="20"/>
        </w:rPr>
        <w:footnoteReference w:id="9"/>
      </w:r>
      <w:r>
        <w:rPr>
          <w:rFonts w:eastAsiaTheme="minorEastAsia" w:hint="eastAsia"/>
          <w:snapToGrid w:val="0"/>
          <w:szCs w:val="24"/>
          <w:lang w:val="en-US" w:eastAsia="zh-CN"/>
        </w:rPr>
        <w:t>的研究已经确定了一种分析方法，处理脉冲和连续</w:t>
      </w:r>
      <w:r>
        <w:rPr>
          <w:rFonts w:eastAsiaTheme="minorEastAsia"/>
          <w:snapToGrid w:val="0"/>
          <w:szCs w:val="24"/>
          <w:lang w:val="en-US" w:eastAsia="zh-CN"/>
        </w:rPr>
        <w:t>RFI</w:t>
      </w:r>
      <w:r>
        <w:rPr>
          <w:rFonts w:eastAsiaTheme="minorEastAsia"/>
          <w:position w:val="6"/>
          <w:sz w:val="20"/>
        </w:rPr>
        <w:footnoteReference w:id="10"/>
      </w:r>
      <w:r>
        <w:rPr>
          <w:rFonts w:eastAsiaTheme="minorEastAsia" w:hint="eastAsia"/>
          <w:snapToGrid w:val="0"/>
          <w:szCs w:val="24"/>
          <w:lang w:val="en-US" w:eastAsia="zh-CN"/>
        </w:rPr>
        <w:t>的组合效应。从基本方法中得出二种取决于</w:t>
      </w:r>
      <w:r>
        <w:rPr>
          <w:rFonts w:eastAsiaTheme="minorEastAsia"/>
          <w:snapToGrid w:val="0"/>
          <w:szCs w:val="24"/>
          <w:lang w:val="en-US" w:eastAsia="zh-CN"/>
        </w:rPr>
        <w:t>RNSS</w:t>
      </w:r>
      <w:r>
        <w:rPr>
          <w:rFonts w:eastAsiaTheme="minorEastAsia" w:hint="eastAsia"/>
          <w:snapToGrid w:val="0"/>
          <w:szCs w:val="24"/>
          <w:lang w:val="en-US" w:eastAsia="zh-CN"/>
        </w:rPr>
        <w:t>接收机脉冲缓解类型的变化方法：一个用于脉冲消隐接收机（具有更高工作周期的脉冲</w:t>
      </w:r>
      <w:r>
        <w:rPr>
          <w:rFonts w:eastAsiaTheme="minorEastAsia"/>
          <w:snapToGrid w:val="0"/>
          <w:szCs w:val="24"/>
          <w:lang w:val="en-US" w:eastAsia="zh-CN"/>
        </w:rPr>
        <w:t>RFI</w:t>
      </w:r>
      <w:r>
        <w:rPr>
          <w:rFonts w:eastAsiaTheme="minorEastAsia" w:hint="eastAsia"/>
          <w:snapToGrid w:val="0"/>
          <w:szCs w:val="24"/>
          <w:lang w:val="en-US" w:eastAsia="zh-CN"/>
        </w:rPr>
        <w:t>）；而另一个用于更一般用途、饱和接收机（适用于较低工作周期脉冲</w:t>
      </w:r>
      <w:r>
        <w:rPr>
          <w:rFonts w:eastAsiaTheme="minorEastAsia"/>
          <w:snapToGrid w:val="0"/>
          <w:szCs w:val="24"/>
          <w:lang w:val="en-US" w:eastAsia="zh-CN"/>
        </w:rPr>
        <w:t>RFI</w:t>
      </w:r>
      <w:r>
        <w:rPr>
          <w:rFonts w:eastAsiaTheme="minorEastAsia" w:hint="eastAsia"/>
          <w:snapToGrid w:val="0"/>
          <w:szCs w:val="24"/>
          <w:lang w:val="en-US" w:eastAsia="zh-CN"/>
        </w:rPr>
        <w:t>）。</w:t>
      </w:r>
      <w:r>
        <w:rPr>
          <w:rFonts w:eastAsiaTheme="minorEastAsia"/>
          <w:snapToGrid w:val="0"/>
          <w:szCs w:val="24"/>
          <w:lang w:val="en-US" w:eastAsia="zh-CN"/>
        </w:rPr>
        <w:t>SBAS</w:t>
      </w:r>
      <w:r>
        <w:rPr>
          <w:rFonts w:eastAsiaTheme="minorEastAsia" w:hint="eastAsia"/>
          <w:snapToGrid w:val="0"/>
          <w:szCs w:val="24"/>
          <w:lang w:val="en-US" w:eastAsia="zh-CN"/>
        </w:rPr>
        <w:t>地面参考接收机（见第</w:t>
      </w:r>
      <w:r>
        <w:rPr>
          <w:rFonts w:eastAsiaTheme="minorEastAsia"/>
          <w:snapToGrid w:val="0"/>
          <w:szCs w:val="24"/>
          <w:lang w:val="en-US" w:eastAsia="zh-CN"/>
        </w:rPr>
        <w:t>2.1</w:t>
      </w:r>
      <w:r>
        <w:rPr>
          <w:rFonts w:eastAsiaTheme="minorEastAsia" w:hint="eastAsia"/>
          <w:snapToGrid w:val="0"/>
          <w:szCs w:val="24"/>
          <w:lang w:val="en-US" w:eastAsia="zh-CN"/>
        </w:rPr>
        <w:t>节）为在脉冲</w:t>
      </w:r>
      <w:r>
        <w:rPr>
          <w:rFonts w:eastAsiaTheme="minorEastAsia"/>
          <w:snapToGrid w:val="0"/>
          <w:szCs w:val="24"/>
          <w:lang w:val="en-US" w:eastAsia="zh-CN"/>
        </w:rPr>
        <w:t>RFI</w:t>
      </w:r>
      <w:r>
        <w:rPr>
          <w:rFonts w:eastAsiaTheme="minorEastAsia" w:hint="eastAsia"/>
          <w:snapToGrid w:val="0"/>
          <w:szCs w:val="24"/>
          <w:lang w:val="en-US" w:eastAsia="zh-CN"/>
        </w:rPr>
        <w:t>存在情况下改善性能而采纳了脉冲消隐。</w:t>
      </w:r>
    </w:p>
    <w:p w14:paraId="6311DA61" w14:textId="77777777" w:rsidR="00EF5BF3" w:rsidRDefault="00551D2B">
      <w:pPr>
        <w:pStyle w:val="Heading1"/>
        <w:rPr>
          <w:szCs w:val="26"/>
          <w:lang w:val="en-GB" w:eastAsia="zh-CN"/>
        </w:rPr>
      </w:pPr>
      <w:r>
        <w:rPr>
          <w:szCs w:val="26"/>
          <w:lang w:val="en-GB" w:eastAsia="zh-CN"/>
        </w:rPr>
        <w:t>4</w:t>
      </w:r>
      <w:r>
        <w:rPr>
          <w:szCs w:val="26"/>
          <w:lang w:val="en-GB" w:eastAsia="zh-CN"/>
        </w:rPr>
        <w:tab/>
      </w:r>
      <w:r>
        <w:rPr>
          <w:lang w:val="en-US" w:eastAsia="zh-CN"/>
        </w:rPr>
        <w:t>RNSS</w:t>
      </w:r>
      <w:r>
        <w:rPr>
          <w:rFonts w:hint="eastAsia"/>
          <w:lang w:val="en-US" w:eastAsia="zh-CN"/>
        </w:rPr>
        <w:t>接收机技术特性和饱和标准</w:t>
      </w:r>
    </w:p>
    <w:p w14:paraId="3EF3A57D" w14:textId="77777777" w:rsidR="00EF5BF3" w:rsidRDefault="00551D2B">
      <w:pPr>
        <w:ind w:firstLineChars="200" w:firstLine="480"/>
        <w:rPr>
          <w:lang w:val="en-US" w:eastAsia="zh-CN"/>
        </w:rPr>
      </w:pPr>
      <w:r>
        <w:rPr>
          <w:rFonts w:hint="eastAsia"/>
          <w:szCs w:val="24"/>
          <w:lang w:val="en-US" w:eastAsia="zh-CN"/>
        </w:rPr>
        <w:t>表</w:t>
      </w:r>
      <w:r>
        <w:rPr>
          <w:szCs w:val="24"/>
          <w:lang w:val="en-US" w:eastAsia="zh-CN"/>
        </w:rPr>
        <w:t>1</w:t>
      </w:r>
      <w:r>
        <w:rPr>
          <w:rFonts w:hint="eastAsia"/>
          <w:szCs w:val="24"/>
          <w:lang w:val="en-US" w:eastAsia="zh-CN"/>
        </w:rPr>
        <w:t>列举了在</w:t>
      </w:r>
      <w:r>
        <w:rPr>
          <w:szCs w:val="24"/>
          <w:lang w:val="en-US" w:eastAsia="zh-CN"/>
        </w:rPr>
        <w:t>1 215-1 300 MHz</w:t>
      </w:r>
      <w:r>
        <w:rPr>
          <w:rFonts w:hint="eastAsia"/>
          <w:szCs w:val="24"/>
          <w:lang w:val="en-US" w:eastAsia="zh-CN"/>
        </w:rPr>
        <w:t>频段内多种有代表性的</w:t>
      </w:r>
      <w:r>
        <w:rPr>
          <w:szCs w:val="24"/>
          <w:lang w:val="en-US" w:eastAsia="zh-CN"/>
        </w:rPr>
        <w:t>RNSS</w:t>
      </w:r>
      <w:r>
        <w:rPr>
          <w:rFonts w:hint="eastAsia"/>
          <w:szCs w:val="24"/>
          <w:lang w:val="en-US" w:eastAsia="zh-CN"/>
        </w:rPr>
        <w:t>接收机及应用的技术特性和保护标准（最大集合干扰门限）。在</w:t>
      </w:r>
      <w:r>
        <w:rPr>
          <w:szCs w:val="24"/>
          <w:lang w:val="en-US" w:eastAsia="zh-CN"/>
        </w:rPr>
        <w:t>ITU-R M.1787</w:t>
      </w:r>
      <w:r>
        <w:rPr>
          <w:rFonts w:hint="eastAsia"/>
          <w:szCs w:val="24"/>
          <w:lang w:val="en-US" w:eastAsia="zh-CN"/>
        </w:rPr>
        <w:t>建议书中可以找到更多</w:t>
      </w:r>
      <w:r>
        <w:rPr>
          <w:szCs w:val="24"/>
          <w:lang w:val="en-US" w:eastAsia="zh-CN"/>
        </w:rPr>
        <w:t>RNSS</w:t>
      </w:r>
      <w:r>
        <w:rPr>
          <w:rFonts w:hint="eastAsia"/>
          <w:szCs w:val="24"/>
          <w:lang w:val="en-US" w:eastAsia="zh-CN"/>
        </w:rPr>
        <w:t>信号信息。</w:t>
      </w:r>
    </w:p>
    <w:p w14:paraId="7DE2E07A" w14:textId="77777777" w:rsidR="0047509A" w:rsidRDefault="0047509A">
      <w:pPr>
        <w:tabs>
          <w:tab w:val="clear" w:pos="794"/>
          <w:tab w:val="clear" w:pos="1191"/>
          <w:tab w:val="clear" w:pos="1588"/>
          <w:tab w:val="clear" w:pos="1985"/>
        </w:tabs>
        <w:overflowPunct/>
        <w:autoSpaceDE/>
        <w:autoSpaceDN/>
        <w:adjustRightInd/>
        <w:spacing w:before="0"/>
        <w:jc w:val="left"/>
        <w:textAlignment w:val="auto"/>
        <w:rPr>
          <w:szCs w:val="24"/>
          <w:lang w:val="en-US" w:eastAsia="zh-CN"/>
        </w:rPr>
      </w:pPr>
      <w:r>
        <w:rPr>
          <w:szCs w:val="24"/>
          <w:lang w:val="en-US" w:eastAsia="zh-CN"/>
        </w:rPr>
        <w:br w:type="page"/>
      </w:r>
    </w:p>
    <w:p w14:paraId="24208C9F" w14:textId="62089256" w:rsidR="00EF5BF3" w:rsidRDefault="00551D2B">
      <w:pPr>
        <w:ind w:right="-142" w:firstLineChars="200" w:firstLine="480"/>
        <w:rPr>
          <w:szCs w:val="24"/>
          <w:lang w:val="en-US" w:eastAsia="zh-CN"/>
        </w:rPr>
      </w:pPr>
      <w:r>
        <w:rPr>
          <w:rFonts w:hint="eastAsia"/>
          <w:szCs w:val="24"/>
          <w:lang w:val="en-US" w:eastAsia="zh-CN"/>
        </w:rPr>
        <w:lastRenderedPageBreak/>
        <w:t>表</w:t>
      </w:r>
      <w:r>
        <w:rPr>
          <w:szCs w:val="24"/>
          <w:lang w:val="en-US" w:eastAsia="zh-CN"/>
        </w:rPr>
        <w:t>1</w:t>
      </w:r>
      <w:r>
        <w:rPr>
          <w:rFonts w:hint="eastAsia"/>
          <w:szCs w:val="24"/>
          <w:lang w:val="en-US" w:eastAsia="zh-CN"/>
        </w:rPr>
        <w:t>根据</w:t>
      </w:r>
      <w:r>
        <w:rPr>
          <w:szCs w:val="24"/>
          <w:lang w:val="en-US" w:eastAsia="zh-CN"/>
        </w:rPr>
        <w:t>RNSS</w:t>
      </w:r>
      <w:r>
        <w:rPr>
          <w:rFonts w:hint="eastAsia"/>
          <w:szCs w:val="24"/>
          <w:lang w:val="en-US" w:eastAsia="zh-CN"/>
        </w:rPr>
        <w:t>应用建议了不同级别的保护。以下</w:t>
      </w:r>
      <w:r>
        <w:rPr>
          <w:szCs w:val="24"/>
          <w:lang w:val="en-US" w:eastAsia="zh-CN"/>
        </w:rPr>
        <w:t>RNSS</w:t>
      </w:r>
      <w:r>
        <w:rPr>
          <w:rFonts w:hint="eastAsia"/>
          <w:szCs w:val="24"/>
          <w:lang w:val="en-US" w:eastAsia="zh-CN"/>
        </w:rPr>
        <w:t>接收机和应用已经包括在该表中：</w:t>
      </w:r>
    </w:p>
    <w:p w14:paraId="0FBF6BEF" w14:textId="68CC4D29" w:rsidR="00EF5BF3" w:rsidRDefault="00551D2B">
      <w:pPr>
        <w:pStyle w:val="enumlev1"/>
        <w:rPr>
          <w:lang w:val="en-US" w:eastAsia="zh-CN"/>
        </w:rPr>
      </w:pPr>
      <w:r>
        <w:rPr>
          <w:bCs/>
          <w:lang w:val="en-US" w:eastAsia="zh-CN"/>
        </w:rPr>
        <w:t>–</w:t>
      </w:r>
      <w:r>
        <w:rPr>
          <w:b/>
          <w:lang w:val="en-US" w:eastAsia="zh-CN"/>
        </w:rPr>
        <w:tab/>
      </w:r>
      <w:r>
        <w:rPr>
          <w:bCs/>
          <w:lang w:val="en-US" w:eastAsia="zh-CN"/>
        </w:rPr>
        <w:t>SBAS</w:t>
      </w:r>
      <w:r>
        <w:rPr>
          <w:rFonts w:hint="eastAsia"/>
          <w:bCs/>
          <w:lang w:val="en-US" w:eastAsia="zh-CN"/>
        </w:rPr>
        <w:t>地面参考接收机（见</w:t>
      </w:r>
      <w:r>
        <w:rPr>
          <w:rFonts w:hint="eastAsia"/>
          <w:lang w:val="en-US" w:eastAsia="zh-CN"/>
        </w:rPr>
        <w:t>第</w:t>
      </w:r>
      <w:r>
        <w:rPr>
          <w:lang w:val="en-US" w:eastAsia="zh-CN"/>
        </w:rPr>
        <w:t>2.1</w:t>
      </w:r>
      <w:r>
        <w:rPr>
          <w:rFonts w:hint="eastAsia"/>
          <w:lang w:val="en-US" w:eastAsia="zh-CN"/>
        </w:rPr>
        <w:t>节和表</w:t>
      </w:r>
      <w:r>
        <w:rPr>
          <w:lang w:val="en-US" w:eastAsia="zh-CN"/>
        </w:rPr>
        <w:t>1</w:t>
      </w:r>
      <w:r>
        <w:rPr>
          <w:rFonts w:hint="eastAsia"/>
          <w:lang w:val="en-US" w:eastAsia="zh-CN"/>
        </w:rPr>
        <w:t>第</w:t>
      </w:r>
      <w:r>
        <w:rPr>
          <w:lang w:val="en-US" w:eastAsia="zh-CN"/>
        </w:rPr>
        <w:t>1</w:t>
      </w:r>
      <w:r>
        <w:rPr>
          <w:rFonts w:hint="eastAsia"/>
          <w:lang w:val="en-US" w:eastAsia="zh-CN"/>
        </w:rPr>
        <w:t>列）。</w:t>
      </w:r>
    </w:p>
    <w:p w14:paraId="09A8473F" w14:textId="77777777" w:rsidR="0047509A" w:rsidRDefault="00551D2B" w:rsidP="0047509A">
      <w:pPr>
        <w:pStyle w:val="enumlev1"/>
        <w:rPr>
          <w:bCs/>
          <w:lang w:val="en-US" w:eastAsia="zh-CN"/>
        </w:rPr>
      </w:pPr>
      <w:r>
        <w:rPr>
          <w:bCs/>
          <w:lang w:val="en-US" w:eastAsia="zh-CN"/>
        </w:rPr>
        <w:t>–</w:t>
      </w:r>
      <w:r>
        <w:rPr>
          <w:b/>
          <w:lang w:val="en-US" w:eastAsia="zh-CN"/>
        </w:rPr>
        <w:tab/>
      </w:r>
      <w:r>
        <w:rPr>
          <w:rFonts w:hint="eastAsia"/>
          <w:lang w:val="en-US" w:eastAsia="zh-CN"/>
        </w:rPr>
        <w:t>高精度半无码接收机</w:t>
      </w:r>
      <w:r>
        <w:rPr>
          <w:rFonts w:hint="eastAsia"/>
          <w:bCs/>
          <w:lang w:val="en-US" w:eastAsia="zh-CN"/>
        </w:rPr>
        <w:t>（见第</w:t>
      </w:r>
      <w:r>
        <w:rPr>
          <w:bCs/>
          <w:lang w:val="en-US" w:eastAsia="zh-CN"/>
        </w:rPr>
        <w:t>2.2.1</w:t>
      </w:r>
      <w:r>
        <w:rPr>
          <w:rFonts w:hint="eastAsia"/>
          <w:bCs/>
          <w:lang w:val="en-US" w:eastAsia="zh-CN"/>
        </w:rPr>
        <w:t>节和表</w:t>
      </w:r>
      <w:r>
        <w:rPr>
          <w:bCs/>
          <w:lang w:val="en-US" w:eastAsia="zh-CN"/>
        </w:rPr>
        <w:t>1</w:t>
      </w:r>
      <w:r>
        <w:rPr>
          <w:rFonts w:hint="eastAsia"/>
          <w:bCs/>
          <w:lang w:val="en-US" w:eastAsia="zh-CN"/>
        </w:rPr>
        <w:t>第</w:t>
      </w:r>
      <w:r>
        <w:rPr>
          <w:bCs/>
          <w:lang w:val="en-US" w:eastAsia="zh-CN"/>
        </w:rPr>
        <w:t>2</w:t>
      </w:r>
      <w:r>
        <w:rPr>
          <w:rFonts w:hint="eastAsia"/>
          <w:bCs/>
          <w:lang w:val="en-US" w:eastAsia="zh-CN"/>
        </w:rPr>
        <w:t>列）（请注意，第</w:t>
      </w:r>
      <w:r>
        <w:rPr>
          <w:bCs/>
          <w:lang w:val="en-US" w:eastAsia="zh-CN"/>
        </w:rPr>
        <w:t>2</w:t>
      </w:r>
      <w:r>
        <w:rPr>
          <w:rFonts w:hint="eastAsia"/>
          <w:bCs/>
          <w:lang w:val="en-US" w:eastAsia="zh-CN"/>
        </w:rPr>
        <w:t>列也应用于</w:t>
      </w:r>
      <w:r>
        <w:rPr>
          <w:bCs/>
          <w:lang w:val="en-US" w:eastAsia="zh-CN"/>
        </w:rPr>
        <w:t>L2C</w:t>
      </w:r>
      <w:r>
        <w:rPr>
          <w:rFonts w:hint="eastAsia"/>
          <w:bCs/>
          <w:lang w:val="en-US" w:eastAsia="zh-CN"/>
        </w:rPr>
        <w:t>过渡高精度、半无码接收机；见第</w:t>
      </w:r>
      <w:r>
        <w:rPr>
          <w:bCs/>
          <w:lang w:val="en-US" w:eastAsia="zh-CN"/>
        </w:rPr>
        <w:t>2.2.2</w:t>
      </w:r>
      <w:r>
        <w:rPr>
          <w:rFonts w:hint="eastAsia"/>
          <w:bCs/>
          <w:lang w:val="en-US" w:eastAsia="zh-CN"/>
        </w:rPr>
        <w:t>节）。</w:t>
      </w:r>
    </w:p>
    <w:p w14:paraId="32C87C16" w14:textId="745C07E8" w:rsidR="00EF5BF3" w:rsidRDefault="00551D2B" w:rsidP="0047509A">
      <w:pPr>
        <w:pStyle w:val="enumlev1"/>
        <w:rPr>
          <w:bCs/>
          <w:lang w:val="en-US" w:eastAsia="zh-CN"/>
        </w:rPr>
      </w:pPr>
      <w:r>
        <w:rPr>
          <w:bCs/>
          <w:lang w:val="en-US" w:eastAsia="zh-CN"/>
        </w:rPr>
        <w:t>–</w:t>
      </w:r>
      <w:r>
        <w:rPr>
          <w:bCs/>
          <w:lang w:val="en-US" w:eastAsia="zh-CN"/>
        </w:rPr>
        <w:tab/>
      </w:r>
      <w:r>
        <w:rPr>
          <w:rFonts w:hint="eastAsia"/>
          <w:bCs/>
          <w:lang w:val="en-US" w:eastAsia="zh-CN"/>
        </w:rPr>
        <w:t>高精度接收机（</w:t>
      </w:r>
      <w:r>
        <w:rPr>
          <w:rFonts w:hint="eastAsia"/>
          <w:bCs/>
          <w:lang w:val="en-US" w:eastAsia="zh-CN"/>
        </w:rPr>
        <w:t>2</w:t>
      </w:r>
      <w:r>
        <w:rPr>
          <w:rFonts w:hint="eastAsia"/>
          <w:bCs/>
          <w:lang w:val="en-US" w:eastAsia="zh-CN"/>
        </w:rPr>
        <w:t>种类型）（见第</w:t>
      </w:r>
      <w:r>
        <w:rPr>
          <w:bCs/>
          <w:lang w:val="en-US" w:eastAsia="zh-CN"/>
        </w:rPr>
        <w:t>2.3</w:t>
      </w:r>
      <w:r>
        <w:rPr>
          <w:rFonts w:hint="eastAsia"/>
          <w:bCs/>
          <w:lang w:val="en-US" w:eastAsia="zh-CN"/>
        </w:rPr>
        <w:t>节和表</w:t>
      </w:r>
      <w:r>
        <w:rPr>
          <w:bCs/>
          <w:lang w:val="en-US" w:eastAsia="zh-CN"/>
        </w:rPr>
        <w:t>1</w:t>
      </w:r>
      <w:r>
        <w:rPr>
          <w:rFonts w:hint="eastAsia"/>
          <w:bCs/>
          <w:lang w:val="en-US" w:eastAsia="zh-CN"/>
        </w:rPr>
        <w:t>第</w:t>
      </w:r>
      <w:r>
        <w:rPr>
          <w:rFonts w:hint="eastAsia"/>
          <w:bCs/>
          <w:lang w:val="en-US" w:eastAsia="zh-CN"/>
        </w:rPr>
        <w:t>3</w:t>
      </w:r>
      <w:r>
        <w:rPr>
          <w:rFonts w:hint="eastAsia"/>
          <w:bCs/>
          <w:lang w:val="en-US" w:eastAsia="zh-CN"/>
        </w:rPr>
        <w:t>列和第</w:t>
      </w:r>
      <w:r>
        <w:rPr>
          <w:rFonts w:hint="eastAsia"/>
          <w:bCs/>
          <w:lang w:val="en-US" w:eastAsia="zh-CN"/>
        </w:rPr>
        <w:t>3a</w:t>
      </w:r>
      <w:r>
        <w:rPr>
          <w:rFonts w:hint="eastAsia"/>
          <w:bCs/>
          <w:lang w:val="en-US" w:eastAsia="zh-CN"/>
        </w:rPr>
        <w:t>列）。</w:t>
      </w:r>
    </w:p>
    <w:p w14:paraId="504D2B50" w14:textId="77777777" w:rsidR="00EF5BF3" w:rsidRDefault="00551D2B">
      <w:pPr>
        <w:pStyle w:val="enumlev1"/>
        <w:rPr>
          <w:bCs/>
          <w:lang w:val="en-GB" w:eastAsia="zh-CN"/>
        </w:rPr>
      </w:pPr>
      <w:r>
        <w:rPr>
          <w:bCs/>
          <w:lang w:val="en-US" w:eastAsia="zh-CN"/>
        </w:rPr>
        <w:t>–</w:t>
      </w:r>
      <w:r>
        <w:rPr>
          <w:bCs/>
          <w:lang w:val="en-US" w:eastAsia="zh-CN"/>
        </w:rPr>
        <w:tab/>
      </w:r>
      <w:r>
        <w:rPr>
          <w:rFonts w:hint="eastAsia"/>
          <w:bCs/>
          <w:lang w:val="en-US" w:eastAsia="zh-CN"/>
        </w:rPr>
        <w:t>采用</w:t>
      </w:r>
      <w:r>
        <w:rPr>
          <w:rFonts w:hint="eastAsia"/>
          <w:bCs/>
          <w:lang w:val="en-GB" w:eastAsia="zh-CN"/>
        </w:rPr>
        <w:t>E6-BC/L6</w:t>
      </w:r>
      <w:r>
        <w:rPr>
          <w:rFonts w:hint="eastAsia"/>
          <w:bCs/>
          <w:lang w:val="en-GB" w:eastAsia="zh-CN"/>
        </w:rPr>
        <w:t>的高精度和认证接收</w:t>
      </w:r>
      <w:r>
        <w:rPr>
          <w:rFonts w:hint="eastAsia"/>
          <w:bCs/>
          <w:lang w:val="en-US" w:eastAsia="zh-CN"/>
        </w:rPr>
        <w:t>机</w:t>
      </w:r>
      <w:r>
        <w:rPr>
          <w:rFonts w:hint="eastAsia"/>
          <w:bCs/>
          <w:lang w:val="en-GB" w:eastAsia="zh-CN"/>
        </w:rPr>
        <w:t>（见</w:t>
      </w:r>
      <w:r>
        <w:rPr>
          <w:rFonts w:hint="eastAsia"/>
          <w:bCs/>
          <w:lang w:val="en-US" w:eastAsia="zh-CN"/>
        </w:rPr>
        <w:t>第</w:t>
      </w:r>
      <w:r>
        <w:rPr>
          <w:rFonts w:hint="eastAsia"/>
          <w:bCs/>
          <w:lang w:val="en-GB" w:eastAsia="zh-CN"/>
        </w:rPr>
        <w:t>2.4</w:t>
      </w:r>
      <w:r>
        <w:rPr>
          <w:rFonts w:hint="eastAsia"/>
          <w:bCs/>
          <w:lang w:val="en-US" w:eastAsia="zh-CN"/>
        </w:rPr>
        <w:t>节</w:t>
      </w:r>
      <w:r>
        <w:rPr>
          <w:rFonts w:hint="eastAsia"/>
          <w:bCs/>
          <w:lang w:val="en-GB" w:eastAsia="zh-CN"/>
        </w:rPr>
        <w:t>和表</w:t>
      </w:r>
      <w:r>
        <w:rPr>
          <w:rFonts w:hint="eastAsia"/>
          <w:bCs/>
          <w:lang w:val="en-GB" w:eastAsia="zh-CN"/>
        </w:rPr>
        <w:t>1</w:t>
      </w:r>
      <w:r>
        <w:rPr>
          <w:rFonts w:hint="eastAsia"/>
          <w:bCs/>
          <w:lang w:val="en-GB" w:eastAsia="zh-CN"/>
        </w:rPr>
        <w:t>第</w:t>
      </w:r>
      <w:r>
        <w:rPr>
          <w:rFonts w:hint="eastAsia"/>
          <w:bCs/>
          <w:lang w:val="en-GB" w:eastAsia="zh-CN"/>
        </w:rPr>
        <w:t>3b</w:t>
      </w:r>
      <w:r>
        <w:rPr>
          <w:rFonts w:hint="eastAsia"/>
          <w:bCs/>
          <w:lang w:val="en-US" w:eastAsia="zh-CN"/>
        </w:rPr>
        <w:t>列）</w:t>
      </w:r>
      <w:r>
        <w:rPr>
          <w:rFonts w:hint="eastAsia"/>
          <w:bCs/>
          <w:lang w:val="en-GB" w:eastAsia="zh-CN"/>
        </w:rPr>
        <w:t>。</w:t>
      </w:r>
    </w:p>
    <w:p w14:paraId="3B83754D" w14:textId="77777777" w:rsidR="00EF5BF3" w:rsidRDefault="00551D2B">
      <w:pPr>
        <w:pStyle w:val="enumlev1"/>
        <w:rPr>
          <w:bCs/>
          <w:lang w:val="en-US" w:eastAsia="zh-CN"/>
        </w:rPr>
      </w:pPr>
      <w:r>
        <w:rPr>
          <w:bCs/>
          <w:lang w:val="en-US" w:eastAsia="zh-CN"/>
        </w:rPr>
        <w:t>–</w:t>
      </w:r>
      <w:r>
        <w:rPr>
          <w:bCs/>
          <w:lang w:val="en-US" w:eastAsia="zh-CN"/>
        </w:rPr>
        <w:tab/>
      </w:r>
      <w:r>
        <w:rPr>
          <w:rFonts w:hint="eastAsia"/>
          <w:bCs/>
          <w:lang w:val="en-US" w:eastAsia="zh-CN"/>
        </w:rPr>
        <w:t>空中导航接收机（二种类型）（见第</w:t>
      </w:r>
      <w:r>
        <w:rPr>
          <w:bCs/>
          <w:lang w:val="en-US" w:eastAsia="zh-CN"/>
        </w:rPr>
        <w:t>2.5</w:t>
      </w:r>
      <w:r>
        <w:rPr>
          <w:rFonts w:hint="eastAsia"/>
          <w:bCs/>
          <w:lang w:val="en-US" w:eastAsia="zh-CN"/>
        </w:rPr>
        <w:t>节和表</w:t>
      </w:r>
      <w:r>
        <w:rPr>
          <w:bCs/>
          <w:lang w:val="en-US" w:eastAsia="zh-CN"/>
        </w:rPr>
        <w:t>1</w:t>
      </w:r>
      <w:r>
        <w:rPr>
          <w:rFonts w:hint="eastAsia"/>
          <w:bCs/>
          <w:lang w:val="en-US" w:eastAsia="zh-CN"/>
        </w:rPr>
        <w:t>第</w:t>
      </w:r>
      <w:r>
        <w:rPr>
          <w:rFonts w:hint="eastAsia"/>
          <w:bCs/>
          <w:lang w:val="en-US" w:eastAsia="zh-CN"/>
        </w:rPr>
        <w:t>4</w:t>
      </w:r>
      <w:r>
        <w:rPr>
          <w:rFonts w:hint="eastAsia"/>
          <w:bCs/>
          <w:lang w:val="en-US" w:eastAsia="zh-CN"/>
        </w:rPr>
        <w:t>列）。</w:t>
      </w:r>
    </w:p>
    <w:p w14:paraId="3D37F1A0" w14:textId="77777777" w:rsidR="00EF5BF3" w:rsidRDefault="00551D2B">
      <w:pPr>
        <w:pStyle w:val="enumlev1"/>
        <w:rPr>
          <w:bCs/>
          <w:lang w:val="en-US" w:eastAsia="zh-CN"/>
        </w:rPr>
      </w:pPr>
      <w:r>
        <w:rPr>
          <w:bCs/>
          <w:lang w:val="en-US" w:eastAsia="ja-JP"/>
        </w:rPr>
        <w:t>–</w:t>
      </w:r>
      <w:r>
        <w:rPr>
          <w:bCs/>
          <w:lang w:val="en-US" w:eastAsia="ja-JP"/>
        </w:rPr>
        <w:tab/>
      </w:r>
      <w:r>
        <w:rPr>
          <w:rFonts w:hint="eastAsia"/>
          <w:bCs/>
          <w:lang w:val="en-US" w:eastAsia="zh-CN"/>
        </w:rPr>
        <w:t>室内定位（四种类型）（见第</w:t>
      </w:r>
      <w:r>
        <w:rPr>
          <w:bCs/>
          <w:lang w:val="en-US" w:eastAsia="zh-CN"/>
        </w:rPr>
        <w:t>2.6</w:t>
      </w:r>
      <w:r>
        <w:rPr>
          <w:rFonts w:hint="eastAsia"/>
          <w:bCs/>
          <w:lang w:val="en-US" w:eastAsia="zh-CN"/>
        </w:rPr>
        <w:t>节和表</w:t>
      </w:r>
      <w:r>
        <w:rPr>
          <w:bCs/>
          <w:lang w:val="en-US" w:eastAsia="zh-CN"/>
        </w:rPr>
        <w:t>1</w:t>
      </w:r>
      <w:r>
        <w:rPr>
          <w:rFonts w:hint="eastAsia"/>
          <w:bCs/>
          <w:lang w:val="en-US" w:eastAsia="zh-CN"/>
        </w:rPr>
        <w:t>第</w:t>
      </w:r>
      <w:r>
        <w:rPr>
          <w:rFonts w:hint="eastAsia"/>
          <w:bCs/>
          <w:lang w:val="en-US" w:eastAsia="zh-CN"/>
        </w:rPr>
        <w:t>5</w:t>
      </w:r>
      <w:r>
        <w:rPr>
          <w:rFonts w:hint="eastAsia"/>
          <w:bCs/>
          <w:lang w:val="en-US" w:eastAsia="zh-CN"/>
        </w:rPr>
        <w:t>列）。</w:t>
      </w:r>
    </w:p>
    <w:p w14:paraId="263D5B1F" w14:textId="77777777" w:rsidR="00EF5BF3" w:rsidRDefault="00551D2B">
      <w:pPr>
        <w:pStyle w:val="enumlev1"/>
        <w:rPr>
          <w:lang w:val="en-US" w:eastAsia="zh-CN"/>
        </w:rPr>
      </w:pPr>
      <w:r>
        <w:rPr>
          <w:bCs/>
          <w:lang w:val="en-US" w:eastAsia="zh-CN"/>
        </w:rPr>
        <w:t>–</w:t>
      </w:r>
      <w:r>
        <w:rPr>
          <w:bCs/>
          <w:lang w:val="en-US" w:eastAsia="zh-CN"/>
        </w:rPr>
        <w:tab/>
      </w:r>
      <w:r>
        <w:rPr>
          <w:rFonts w:hint="eastAsia"/>
          <w:bCs/>
          <w:lang w:val="en-US" w:eastAsia="zh-CN"/>
        </w:rPr>
        <w:t>一般用途（四种类型）（见第</w:t>
      </w:r>
      <w:r>
        <w:rPr>
          <w:bCs/>
          <w:lang w:val="en-US" w:eastAsia="zh-CN"/>
        </w:rPr>
        <w:t>2.7</w:t>
      </w:r>
      <w:r>
        <w:rPr>
          <w:rFonts w:hint="eastAsia"/>
          <w:bCs/>
          <w:lang w:val="en-US" w:eastAsia="zh-CN"/>
        </w:rPr>
        <w:t>节和表</w:t>
      </w:r>
      <w:r>
        <w:rPr>
          <w:bCs/>
          <w:lang w:val="en-US" w:eastAsia="zh-CN"/>
        </w:rPr>
        <w:t>1</w:t>
      </w:r>
      <w:r>
        <w:rPr>
          <w:rFonts w:hint="eastAsia"/>
          <w:bCs/>
          <w:lang w:val="en-US" w:eastAsia="zh-CN"/>
        </w:rPr>
        <w:t>第</w:t>
      </w:r>
      <w:r>
        <w:rPr>
          <w:rFonts w:hint="eastAsia"/>
          <w:bCs/>
          <w:lang w:val="en-US" w:eastAsia="zh-CN"/>
        </w:rPr>
        <w:t>6</w:t>
      </w:r>
      <w:r>
        <w:rPr>
          <w:rFonts w:hint="eastAsia"/>
          <w:bCs/>
          <w:lang w:val="en-US" w:eastAsia="zh-CN"/>
        </w:rPr>
        <w:t>列）。</w:t>
      </w:r>
    </w:p>
    <w:p w14:paraId="07355F67" w14:textId="77777777" w:rsidR="00EF5BF3" w:rsidRDefault="00EF5BF3">
      <w:pPr>
        <w:overflowPunct/>
        <w:autoSpaceDE/>
        <w:autoSpaceDN/>
        <w:adjustRightInd/>
        <w:spacing w:before="0" w:after="160" w:line="259" w:lineRule="auto"/>
        <w:textAlignment w:val="auto"/>
        <w:rPr>
          <w:rFonts w:ascii="Calibri" w:eastAsia="Calibri" w:hAnsi="Calibri"/>
          <w:sz w:val="22"/>
          <w:szCs w:val="22"/>
          <w:lang w:val="en-US" w:eastAsia="zh-CN"/>
        </w:rPr>
      </w:pPr>
    </w:p>
    <w:p w14:paraId="5AA8078F" w14:textId="77777777" w:rsidR="0047509A" w:rsidRDefault="0047509A">
      <w:pPr>
        <w:overflowPunct/>
        <w:autoSpaceDE/>
        <w:autoSpaceDN/>
        <w:adjustRightInd/>
        <w:spacing w:before="0" w:after="160" w:line="259" w:lineRule="auto"/>
        <w:textAlignment w:val="auto"/>
        <w:rPr>
          <w:rFonts w:ascii="Calibri" w:eastAsia="Calibri" w:hAnsi="Calibri"/>
          <w:sz w:val="22"/>
          <w:szCs w:val="22"/>
          <w:lang w:val="en-US" w:eastAsia="zh-CN"/>
        </w:rPr>
      </w:pPr>
    </w:p>
    <w:p w14:paraId="1ADD7F7E" w14:textId="4CC91E9B" w:rsidR="0047509A" w:rsidRDefault="0047509A">
      <w:pPr>
        <w:overflowPunct/>
        <w:autoSpaceDE/>
        <w:autoSpaceDN/>
        <w:adjustRightInd/>
        <w:spacing w:before="0" w:after="160" w:line="259" w:lineRule="auto"/>
        <w:textAlignment w:val="auto"/>
        <w:rPr>
          <w:rFonts w:ascii="Calibri" w:eastAsia="Calibri" w:hAnsi="Calibri"/>
          <w:sz w:val="22"/>
          <w:szCs w:val="22"/>
          <w:lang w:val="en-US" w:eastAsia="zh-CN"/>
        </w:rPr>
        <w:sectPr w:rsidR="0047509A">
          <w:headerReference w:type="even" r:id="rId26"/>
          <w:headerReference w:type="default" r:id="rId27"/>
          <w:footerReference w:type="default" r:id="rId28"/>
          <w:headerReference w:type="first" r:id="rId29"/>
          <w:footerReference w:type="first" r:id="rId30"/>
          <w:pgSz w:w="11907" w:h="16834"/>
          <w:pgMar w:top="1418" w:right="1134" w:bottom="1134" w:left="1134" w:header="720" w:footer="482" w:gutter="0"/>
          <w:paperSrc w:first="261" w:other="261"/>
          <w:pgNumType w:start="1"/>
          <w:cols w:space="720"/>
          <w:titlePg/>
          <w:docGrid w:linePitch="326"/>
        </w:sectPr>
      </w:pPr>
    </w:p>
    <w:p w14:paraId="3E70C656" w14:textId="77777777" w:rsidR="00EF5BF3" w:rsidRDefault="00551D2B">
      <w:pPr>
        <w:pStyle w:val="TableNo"/>
        <w:rPr>
          <w:lang w:val="en-GB" w:eastAsia="zh-CN"/>
        </w:rPr>
      </w:pPr>
      <w:r>
        <w:rPr>
          <w:rFonts w:hint="eastAsia"/>
          <w:lang w:val="en-GB" w:eastAsia="zh-CN"/>
        </w:rPr>
        <w:lastRenderedPageBreak/>
        <w:t>表</w:t>
      </w:r>
      <w:r>
        <w:rPr>
          <w:rFonts w:hint="eastAsia"/>
          <w:lang w:val="en-GB" w:eastAsia="zh-CN"/>
        </w:rPr>
        <w:t>1</w:t>
      </w:r>
    </w:p>
    <w:p w14:paraId="0775A89D" w14:textId="541EC0F6" w:rsidR="00EF5BF3" w:rsidRDefault="00551D2B">
      <w:pPr>
        <w:pStyle w:val="Tabletitle"/>
        <w:rPr>
          <w:lang w:val="en-GB" w:eastAsia="zh-CN"/>
        </w:rPr>
      </w:pPr>
      <w:r>
        <w:rPr>
          <w:rFonts w:hint="eastAsia"/>
          <w:lang w:val="en-US" w:eastAsia="zh-CN"/>
        </w:rPr>
        <w:t>在</w:t>
      </w:r>
      <w:r>
        <w:rPr>
          <w:lang w:val="en-US" w:eastAsia="zh-CN"/>
        </w:rPr>
        <w:t>1 215-1 300 MHz</w:t>
      </w:r>
      <w:r>
        <w:rPr>
          <w:rFonts w:hint="eastAsia"/>
          <w:lang w:val="en-US" w:eastAsia="zh-CN"/>
        </w:rPr>
        <w:t>频段内运行的</w:t>
      </w:r>
      <w:r w:rsidR="00126F72">
        <w:rPr>
          <w:lang w:val="en-US" w:eastAsia="zh-CN"/>
        </w:rPr>
        <w:br/>
      </w:r>
      <w:r>
        <w:rPr>
          <w:lang w:val="en-US" w:eastAsia="zh-CN"/>
        </w:rPr>
        <w:t>RNSS</w:t>
      </w:r>
      <w:r>
        <w:rPr>
          <w:rFonts w:hint="eastAsia"/>
          <w:lang w:val="en-US" w:eastAsia="zh-CN"/>
        </w:rPr>
        <w:t>接收机（空对地）的技术特性和保护标准</w:t>
      </w:r>
    </w:p>
    <w:tbl>
      <w:tblPr>
        <w:tblW w:w="14459" w:type="dxa"/>
        <w:jc w:val="center"/>
        <w:tblLayout w:type="fixed"/>
        <w:tblCellMar>
          <w:left w:w="57" w:type="dxa"/>
          <w:right w:w="57" w:type="dxa"/>
        </w:tblCellMar>
        <w:tblLook w:val="04A0" w:firstRow="1" w:lastRow="0" w:firstColumn="1" w:lastColumn="0" w:noHBand="0" w:noVBand="1"/>
      </w:tblPr>
      <w:tblGrid>
        <w:gridCol w:w="1784"/>
        <w:gridCol w:w="1035"/>
        <w:gridCol w:w="893"/>
        <w:gridCol w:w="813"/>
        <w:gridCol w:w="813"/>
        <w:gridCol w:w="894"/>
        <w:gridCol w:w="851"/>
        <w:gridCol w:w="1056"/>
        <w:gridCol w:w="10"/>
        <w:gridCol w:w="777"/>
        <w:gridCol w:w="522"/>
        <w:gridCol w:w="1272"/>
        <w:gridCol w:w="644"/>
        <w:gridCol w:w="733"/>
        <w:gridCol w:w="574"/>
        <w:gridCol w:w="574"/>
        <w:gridCol w:w="443"/>
        <w:gridCol w:w="771"/>
      </w:tblGrid>
      <w:tr w:rsidR="00EF5BF3" w14:paraId="3E8A1277" w14:textId="77777777" w:rsidTr="00F21BD6">
        <w:trPr>
          <w:cantSplit/>
          <w:jc w:val="center"/>
        </w:trPr>
        <w:tc>
          <w:tcPr>
            <w:tcW w:w="1784" w:type="dxa"/>
            <w:tcBorders>
              <w:top w:val="single" w:sz="4" w:space="0" w:color="auto"/>
              <w:left w:val="single" w:sz="4" w:space="0" w:color="auto"/>
              <w:bottom w:val="single" w:sz="4" w:space="0" w:color="auto"/>
              <w:right w:val="single" w:sz="4" w:space="0" w:color="auto"/>
            </w:tcBorders>
            <w:vAlign w:val="center"/>
          </w:tcPr>
          <w:p w14:paraId="47D23A91" w14:textId="77777777" w:rsidR="00EF5BF3" w:rsidRDefault="00EF5BF3">
            <w:pPr>
              <w:pStyle w:val="Tablehead"/>
              <w:rPr>
                <w:sz w:val="18"/>
                <w:szCs w:val="18"/>
                <w:lang w:val="en-GB" w:eastAsia="zh-CN"/>
              </w:rPr>
            </w:pPr>
          </w:p>
        </w:tc>
        <w:tc>
          <w:tcPr>
            <w:tcW w:w="1035" w:type="dxa"/>
            <w:tcBorders>
              <w:top w:val="single" w:sz="4" w:space="0" w:color="auto"/>
              <w:left w:val="single" w:sz="4" w:space="0" w:color="auto"/>
              <w:bottom w:val="single" w:sz="4" w:space="0" w:color="auto"/>
              <w:right w:val="single" w:sz="4" w:space="0" w:color="auto"/>
            </w:tcBorders>
            <w:vAlign w:val="center"/>
          </w:tcPr>
          <w:p w14:paraId="671DBAF8" w14:textId="77777777" w:rsidR="00EF5BF3" w:rsidRDefault="00551D2B">
            <w:pPr>
              <w:pStyle w:val="Tablehead"/>
              <w:rPr>
                <w:sz w:val="18"/>
                <w:szCs w:val="18"/>
                <w:lang w:val="en-GB"/>
              </w:rPr>
            </w:pPr>
            <w:r>
              <w:rPr>
                <w:sz w:val="18"/>
                <w:szCs w:val="18"/>
                <w:lang w:val="en-GB"/>
              </w:rPr>
              <w:t>1</w:t>
            </w:r>
          </w:p>
        </w:tc>
        <w:tc>
          <w:tcPr>
            <w:tcW w:w="893" w:type="dxa"/>
            <w:tcBorders>
              <w:top w:val="single" w:sz="4" w:space="0" w:color="auto"/>
              <w:left w:val="single" w:sz="4" w:space="0" w:color="auto"/>
              <w:bottom w:val="single" w:sz="4" w:space="0" w:color="auto"/>
              <w:right w:val="single" w:sz="4" w:space="0" w:color="auto"/>
            </w:tcBorders>
            <w:vAlign w:val="center"/>
          </w:tcPr>
          <w:p w14:paraId="7A9AA451" w14:textId="77777777" w:rsidR="00EF5BF3" w:rsidRDefault="00551D2B">
            <w:pPr>
              <w:pStyle w:val="Tablehead"/>
              <w:rPr>
                <w:sz w:val="18"/>
                <w:szCs w:val="18"/>
                <w:lang w:val="en-GB"/>
              </w:rPr>
            </w:pPr>
            <w:r>
              <w:rPr>
                <w:sz w:val="18"/>
                <w:szCs w:val="18"/>
                <w:lang w:val="en-GB"/>
              </w:rPr>
              <w:t>2</w:t>
            </w:r>
          </w:p>
        </w:tc>
        <w:tc>
          <w:tcPr>
            <w:tcW w:w="813" w:type="dxa"/>
            <w:tcBorders>
              <w:top w:val="single" w:sz="4" w:space="0" w:color="auto"/>
              <w:left w:val="single" w:sz="4" w:space="0" w:color="auto"/>
              <w:bottom w:val="single" w:sz="4" w:space="0" w:color="auto"/>
              <w:right w:val="single" w:sz="4" w:space="0" w:color="auto"/>
            </w:tcBorders>
            <w:vAlign w:val="center"/>
          </w:tcPr>
          <w:p w14:paraId="199EAAAB" w14:textId="77777777" w:rsidR="00EF5BF3" w:rsidRDefault="00551D2B">
            <w:pPr>
              <w:pStyle w:val="Tablehead"/>
              <w:rPr>
                <w:sz w:val="18"/>
                <w:szCs w:val="18"/>
                <w:lang w:val="en-GB"/>
              </w:rPr>
            </w:pPr>
            <w:r>
              <w:rPr>
                <w:sz w:val="18"/>
                <w:szCs w:val="18"/>
                <w:lang w:val="en-GB"/>
              </w:rPr>
              <w:t>3</w:t>
            </w:r>
          </w:p>
        </w:tc>
        <w:tc>
          <w:tcPr>
            <w:tcW w:w="813" w:type="dxa"/>
            <w:tcBorders>
              <w:top w:val="single" w:sz="4" w:space="0" w:color="auto"/>
              <w:left w:val="single" w:sz="4" w:space="0" w:color="auto"/>
              <w:bottom w:val="single" w:sz="4" w:space="0" w:color="auto"/>
              <w:right w:val="single" w:sz="4" w:space="0" w:color="auto"/>
            </w:tcBorders>
            <w:vAlign w:val="center"/>
          </w:tcPr>
          <w:p w14:paraId="770623AE" w14:textId="77777777" w:rsidR="00EF5BF3" w:rsidRDefault="00551D2B">
            <w:pPr>
              <w:pStyle w:val="Tablehead"/>
              <w:rPr>
                <w:sz w:val="18"/>
                <w:szCs w:val="18"/>
                <w:lang w:val="en-GB" w:eastAsia="zh-CN"/>
              </w:rPr>
            </w:pPr>
            <w:r>
              <w:rPr>
                <w:sz w:val="18"/>
                <w:szCs w:val="18"/>
                <w:lang w:val="en-GB" w:eastAsia="zh-CN"/>
              </w:rPr>
              <w:t>3a</w:t>
            </w:r>
          </w:p>
        </w:tc>
        <w:tc>
          <w:tcPr>
            <w:tcW w:w="1745" w:type="dxa"/>
            <w:gridSpan w:val="2"/>
            <w:tcBorders>
              <w:top w:val="single" w:sz="4" w:space="0" w:color="auto"/>
              <w:left w:val="single" w:sz="4" w:space="0" w:color="auto"/>
              <w:bottom w:val="single" w:sz="4" w:space="0" w:color="auto"/>
              <w:right w:val="single" w:sz="4" w:space="0" w:color="auto"/>
            </w:tcBorders>
          </w:tcPr>
          <w:p w14:paraId="4193C7F1" w14:textId="77777777" w:rsidR="00EF5BF3" w:rsidRDefault="00551D2B">
            <w:pPr>
              <w:pStyle w:val="Tablehead"/>
              <w:rPr>
                <w:sz w:val="18"/>
                <w:szCs w:val="18"/>
                <w:lang w:val="en-GB"/>
              </w:rPr>
            </w:pPr>
            <w:r>
              <w:rPr>
                <w:sz w:val="18"/>
                <w:szCs w:val="18"/>
                <w:lang w:val="en-GB"/>
              </w:rPr>
              <w:t>3b</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5D6A3A99" w14:textId="77777777" w:rsidR="00EF5BF3" w:rsidRDefault="00551D2B">
            <w:pPr>
              <w:pStyle w:val="Tablehead"/>
              <w:rPr>
                <w:sz w:val="18"/>
                <w:szCs w:val="18"/>
                <w:lang w:val="en-GB"/>
              </w:rPr>
            </w:pPr>
            <w:r>
              <w:rPr>
                <w:sz w:val="18"/>
                <w:szCs w:val="18"/>
                <w:lang w:val="en-GB"/>
              </w:rPr>
              <w:t>4</w:t>
            </w:r>
          </w:p>
        </w:tc>
        <w:tc>
          <w:tcPr>
            <w:tcW w:w="3171" w:type="dxa"/>
            <w:gridSpan w:val="4"/>
            <w:tcBorders>
              <w:top w:val="single" w:sz="4" w:space="0" w:color="auto"/>
              <w:left w:val="single" w:sz="4" w:space="0" w:color="auto"/>
              <w:bottom w:val="single" w:sz="4" w:space="0" w:color="auto"/>
              <w:right w:val="single" w:sz="4" w:space="0" w:color="auto"/>
            </w:tcBorders>
            <w:vAlign w:val="center"/>
          </w:tcPr>
          <w:p w14:paraId="4F56D573" w14:textId="77777777" w:rsidR="00EF5BF3" w:rsidRDefault="00551D2B">
            <w:pPr>
              <w:pStyle w:val="Tablehead"/>
              <w:rPr>
                <w:sz w:val="18"/>
                <w:szCs w:val="18"/>
                <w:lang w:val="en-GB"/>
              </w:rPr>
            </w:pPr>
            <w:r>
              <w:rPr>
                <w:sz w:val="18"/>
                <w:szCs w:val="18"/>
                <w:lang w:val="en-GB"/>
              </w:rPr>
              <w:t>5</w:t>
            </w:r>
          </w:p>
        </w:tc>
        <w:tc>
          <w:tcPr>
            <w:tcW w:w="2362" w:type="dxa"/>
            <w:gridSpan w:val="4"/>
            <w:tcBorders>
              <w:top w:val="single" w:sz="4" w:space="0" w:color="auto"/>
              <w:left w:val="single" w:sz="4" w:space="0" w:color="auto"/>
              <w:bottom w:val="single" w:sz="4" w:space="0" w:color="auto"/>
              <w:right w:val="single" w:sz="4" w:space="0" w:color="auto"/>
            </w:tcBorders>
            <w:vAlign w:val="center"/>
          </w:tcPr>
          <w:p w14:paraId="51477CC2" w14:textId="77777777" w:rsidR="00EF5BF3" w:rsidRDefault="00551D2B">
            <w:pPr>
              <w:pStyle w:val="Tablehead"/>
              <w:rPr>
                <w:sz w:val="18"/>
                <w:szCs w:val="18"/>
                <w:lang w:val="en-GB"/>
              </w:rPr>
            </w:pPr>
            <w:r>
              <w:rPr>
                <w:sz w:val="18"/>
                <w:szCs w:val="18"/>
                <w:lang w:val="en-GB"/>
              </w:rPr>
              <w:t>6</w:t>
            </w:r>
          </w:p>
        </w:tc>
      </w:tr>
      <w:tr w:rsidR="00EF5BF3" w14:paraId="3D1C1E5C" w14:textId="77777777" w:rsidTr="00F21BD6">
        <w:trPr>
          <w:cantSplit/>
          <w:jc w:val="center"/>
        </w:trPr>
        <w:tc>
          <w:tcPr>
            <w:tcW w:w="1784" w:type="dxa"/>
            <w:tcBorders>
              <w:top w:val="single" w:sz="4" w:space="0" w:color="auto"/>
              <w:left w:val="single" w:sz="4" w:space="0" w:color="auto"/>
              <w:bottom w:val="single" w:sz="4" w:space="0" w:color="auto"/>
              <w:right w:val="single" w:sz="4" w:space="0" w:color="auto"/>
            </w:tcBorders>
            <w:vAlign w:val="center"/>
          </w:tcPr>
          <w:p w14:paraId="51F33FF6" w14:textId="77777777" w:rsidR="00EF5BF3" w:rsidRDefault="00551D2B">
            <w:pPr>
              <w:pStyle w:val="Tablehead"/>
              <w:rPr>
                <w:spacing w:val="-2"/>
                <w:sz w:val="18"/>
                <w:szCs w:val="18"/>
                <w:lang w:val="en-GB"/>
              </w:rPr>
            </w:pPr>
            <w:r>
              <w:rPr>
                <w:rFonts w:hint="eastAsia"/>
                <w:sz w:val="18"/>
                <w:lang w:eastAsia="zh-CN"/>
              </w:rPr>
              <w:t>参数</w:t>
            </w:r>
          </w:p>
        </w:tc>
        <w:tc>
          <w:tcPr>
            <w:tcW w:w="1035" w:type="dxa"/>
            <w:tcBorders>
              <w:top w:val="single" w:sz="4" w:space="0" w:color="auto"/>
              <w:left w:val="single" w:sz="4" w:space="0" w:color="auto"/>
              <w:bottom w:val="single" w:sz="4" w:space="0" w:color="auto"/>
              <w:right w:val="single" w:sz="4" w:space="0" w:color="auto"/>
            </w:tcBorders>
            <w:vAlign w:val="center"/>
          </w:tcPr>
          <w:p w14:paraId="7BE9AD4F" w14:textId="0ABB1C63" w:rsidR="00EF5BF3" w:rsidRDefault="00551D2B">
            <w:pPr>
              <w:pStyle w:val="Tablehead"/>
              <w:rPr>
                <w:spacing w:val="-2"/>
                <w:sz w:val="18"/>
                <w:szCs w:val="18"/>
                <w:lang w:val="en-GB"/>
              </w:rPr>
            </w:pPr>
            <w:r>
              <w:rPr>
                <w:sz w:val="18"/>
              </w:rPr>
              <w:t>SBAS</w:t>
            </w:r>
            <w:r w:rsidR="007D0163">
              <w:rPr>
                <w:sz w:val="18"/>
              </w:rPr>
              <w:br/>
            </w:r>
            <w:r>
              <w:rPr>
                <w:rFonts w:hint="eastAsia"/>
                <w:sz w:val="18"/>
                <w:lang w:eastAsia="zh-CN"/>
              </w:rPr>
              <w:t>地面参考</w:t>
            </w:r>
            <w:r w:rsidR="00B02881">
              <w:rPr>
                <w:sz w:val="18"/>
                <w:lang w:eastAsia="zh-CN"/>
              </w:rPr>
              <w:br/>
            </w:r>
            <w:r>
              <w:rPr>
                <w:rFonts w:hint="eastAsia"/>
                <w:sz w:val="18"/>
                <w:lang w:eastAsia="zh-CN"/>
              </w:rPr>
              <w:t>接收机</w:t>
            </w:r>
            <w:r>
              <w:rPr>
                <w:sz w:val="18"/>
              </w:rPr>
              <w:t>*</w:t>
            </w:r>
          </w:p>
        </w:tc>
        <w:tc>
          <w:tcPr>
            <w:tcW w:w="893" w:type="dxa"/>
            <w:tcBorders>
              <w:top w:val="single" w:sz="4" w:space="0" w:color="auto"/>
              <w:left w:val="single" w:sz="4" w:space="0" w:color="auto"/>
              <w:bottom w:val="single" w:sz="4" w:space="0" w:color="auto"/>
              <w:right w:val="single" w:sz="4" w:space="0" w:color="auto"/>
            </w:tcBorders>
            <w:vAlign w:val="center"/>
          </w:tcPr>
          <w:p w14:paraId="4EAAB3F2" w14:textId="7D6E2802" w:rsidR="00EF5BF3" w:rsidRDefault="00551D2B">
            <w:pPr>
              <w:pStyle w:val="Tablehead"/>
              <w:rPr>
                <w:spacing w:val="-2"/>
                <w:sz w:val="18"/>
                <w:szCs w:val="18"/>
                <w:lang w:val="en-GB"/>
              </w:rPr>
            </w:pPr>
            <w:r>
              <w:rPr>
                <w:rFonts w:hint="eastAsia"/>
                <w:sz w:val="18"/>
                <w:lang w:val="en-US" w:eastAsia="zh-CN"/>
              </w:rPr>
              <w:t>高精度</w:t>
            </w:r>
            <w:r w:rsidR="007D0163">
              <w:rPr>
                <w:sz w:val="18"/>
                <w:lang w:val="en-US" w:eastAsia="zh-CN"/>
              </w:rPr>
              <w:br/>
            </w:r>
            <w:r>
              <w:rPr>
                <w:rFonts w:hint="eastAsia"/>
                <w:sz w:val="18"/>
                <w:lang w:val="en-US" w:eastAsia="zh-CN"/>
              </w:rPr>
              <w:t>半无码</w:t>
            </w:r>
            <w:r w:rsidR="00B02881">
              <w:rPr>
                <w:sz w:val="18"/>
                <w:lang w:val="en-US" w:eastAsia="zh-CN"/>
              </w:rPr>
              <w:br/>
            </w:r>
            <w:r>
              <w:rPr>
                <w:rFonts w:hint="eastAsia"/>
                <w:sz w:val="18"/>
                <w:lang w:val="en-US" w:eastAsia="zh-CN"/>
              </w:rPr>
              <w:t>接收机</w:t>
            </w:r>
            <w:r>
              <w:rPr>
                <w:sz w:val="18"/>
                <w:lang w:val="en-US"/>
              </w:rPr>
              <w:t>*</w:t>
            </w:r>
          </w:p>
        </w:tc>
        <w:tc>
          <w:tcPr>
            <w:tcW w:w="813" w:type="dxa"/>
            <w:tcBorders>
              <w:top w:val="single" w:sz="4" w:space="0" w:color="auto"/>
              <w:left w:val="single" w:sz="4" w:space="0" w:color="auto"/>
              <w:bottom w:val="single" w:sz="4" w:space="0" w:color="auto"/>
              <w:right w:val="single" w:sz="4" w:space="0" w:color="auto"/>
            </w:tcBorders>
            <w:vAlign w:val="center"/>
          </w:tcPr>
          <w:p w14:paraId="05C63BAF" w14:textId="77777777" w:rsidR="00EF5BF3" w:rsidRDefault="00551D2B">
            <w:pPr>
              <w:pStyle w:val="Tablehead"/>
              <w:rPr>
                <w:spacing w:val="-2"/>
                <w:sz w:val="18"/>
                <w:szCs w:val="18"/>
                <w:lang w:val="en-GB"/>
              </w:rPr>
            </w:pPr>
            <w:r>
              <w:rPr>
                <w:rFonts w:hint="eastAsia"/>
                <w:sz w:val="18"/>
                <w:lang w:val="en-US" w:eastAsia="zh-CN"/>
              </w:rPr>
              <w:t>采用</w:t>
            </w:r>
            <w:r>
              <w:rPr>
                <w:sz w:val="18"/>
                <w:lang w:val="en-US" w:eastAsia="zh-CN"/>
              </w:rPr>
              <w:t>L2C</w:t>
            </w:r>
            <w:r>
              <w:rPr>
                <w:rFonts w:hint="eastAsia"/>
                <w:sz w:val="18"/>
                <w:lang w:val="en-US" w:eastAsia="zh-CN"/>
              </w:rPr>
              <w:t>的高精度接收机</w:t>
            </w:r>
            <w:r>
              <w:rPr>
                <w:sz w:val="18"/>
                <w:lang w:val="en-US"/>
              </w:rPr>
              <w:t>*</w:t>
            </w:r>
          </w:p>
        </w:tc>
        <w:tc>
          <w:tcPr>
            <w:tcW w:w="813" w:type="dxa"/>
            <w:tcBorders>
              <w:top w:val="single" w:sz="4" w:space="0" w:color="auto"/>
              <w:left w:val="single" w:sz="4" w:space="0" w:color="auto"/>
              <w:bottom w:val="single" w:sz="4" w:space="0" w:color="auto"/>
              <w:right w:val="single" w:sz="4" w:space="0" w:color="auto"/>
            </w:tcBorders>
            <w:vAlign w:val="center"/>
          </w:tcPr>
          <w:p w14:paraId="20EC6A37" w14:textId="77777777" w:rsidR="00EF5BF3" w:rsidRDefault="00551D2B">
            <w:pPr>
              <w:pStyle w:val="Tablehead"/>
              <w:rPr>
                <w:spacing w:val="-2"/>
                <w:sz w:val="18"/>
                <w:szCs w:val="18"/>
                <w:lang w:val="en-GB"/>
              </w:rPr>
            </w:pPr>
            <w:r>
              <w:rPr>
                <w:rFonts w:hint="eastAsia"/>
                <w:spacing w:val="-2"/>
                <w:sz w:val="18"/>
                <w:szCs w:val="18"/>
                <w:lang w:val="en-US" w:eastAsia="zh-CN"/>
              </w:rPr>
              <w:t>采用</w:t>
            </w:r>
            <w:r>
              <w:rPr>
                <w:rFonts w:hint="eastAsia"/>
                <w:spacing w:val="-2"/>
                <w:sz w:val="18"/>
                <w:szCs w:val="18"/>
                <w:lang w:val="en-GB"/>
              </w:rPr>
              <w:t>B3</w:t>
            </w:r>
            <w:r>
              <w:rPr>
                <w:rFonts w:hint="eastAsia"/>
                <w:spacing w:val="-2"/>
                <w:sz w:val="18"/>
                <w:szCs w:val="18"/>
                <w:lang w:val="en-GB"/>
              </w:rPr>
              <w:t>和</w:t>
            </w:r>
            <w:r>
              <w:rPr>
                <w:rFonts w:hint="eastAsia"/>
                <w:spacing w:val="-2"/>
                <w:sz w:val="18"/>
                <w:szCs w:val="18"/>
                <w:lang w:val="en-GB"/>
              </w:rPr>
              <w:t>B3A</w:t>
            </w:r>
            <w:proofErr w:type="spellStart"/>
            <w:r>
              <w:rPr>
                <w:rFonts w:hint="eastAsia"/>
                <w:spacing w:val="-2"/>
                <w:sz w:val="18"/>
                <w:szCs w:val="18"/>
                <w:lang w:val="en-GB"/>
              </w:rPr>
              <w:t>的高精度接收机</w:t>
            </w:r>
            <w:proofErr w:type="spellEnd"/>
          </w:p>
        </w:tc>
        <w:tc>
          <w:tcPr>
            <w:tcW w:w="1745" w:type="dxa"/>
            <w:gridSpan w:val="2"/>
            <w:tcBorders>
              <w:top w:val="single" w:sz="4" w:space="0" w:color="auto"/>
              <w:left w:val="single" w:sz="4" w:space="0" w:color="auto"/>
              <w:bottom w:val="single" w:sz="4" w:space="0" w:color="auto"/>
              <w:right w:val="single" w:sz="4" w:space="0" w:color="auto"/>
            </w:tcBorders>
          </w:tcPr>
          <w:p w14:paraId="28B377F4" w14:textId="77777777" w:rsidR="00EF5BF3" w:rsidRDefault="00551D2B">
            <w:pPr>
              <w:pStyle w:val="Tablehead"/>
              <w:rPr>
                <w:spacing w:val="-2"/>
                <w:sz w:val="18"/>
                <w:szCs w:val="18"/>
                <w:lang w:val="en-US" w:eastAsia="zh-CN"/>
              </w:rPr>
            </w:pPr>
            <w:r>
              <w:rPr>
                <w:rFonts w:hint="eastAsia"/>
                <w:spacing w:val="-2"/>
                <w:sz w:val="18"/>
                <w:szCs w:val="18"/>
                <w:lang w:val="en-US" w:eastAsia="zh-CN"/>
              </w:rPr>
              <w:t>采用</w:t>
            </w:r>
            <w:r>
              <w:rPr>
                <w:rFonts w:hint="eastAsia"/>
                <w:spacing w:val="-2"/>
                <w:sz w:val="18"/>
                <w:szCs w:val="18"/>
                <w:lang w:val="en-US" w:eastAsia="zh-CN"/>
              </w:rPr>
              <w:t>E6-BC/L6</w:t>
            </w:r>
            <w:r>
              <w:rPr>
                <w:rFonts w:hint="eastAsia"/>
                <w:spacing w:val="-2"/>
                <w:sz w:val="18"/>
                <w:szCs w:val="18"/>
                <w:lang w:val="en-US" w:eastAsia="zh-CN"/>
              </w:rPr>
              <w:t>的高精度和认证接收机</w:t>
            </w:r>
          </w:p>
        </w:tc>
        <w:tc>
          <w:tcPr>
            <w:tcW w:w="1843"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0D996C" w14:textId="571157B4" w:rsidR="00EF5BF3" w:rsidRDefault="00551D2B">
            <w:pPr>
              <w:pStyle w:val="Tablehead"/>
              <w:rPr>
                <w:spacing w:val="-2"/>
                <w:sz w:val="18"/>
                <w:szCs w:val="18"/>
                <w:lang w:val="en-GB" w:eastAsia="zh-CN"/>
              </w:rPr>
            </w:pPr>
            <w:r>
              <w:rPr>
                <w:rFonts w:hint="eastAsia"/>
                <w:sz w:val="18"/>
                <w:lang w:eastAsia="zh-CN"/>
              </w:rPr>
              <w:t>空中导航接收机</w:t>
            </w:r>
            <w:r w:rsidR="003872C2">
              <w:rPr>
                <w:sz w:val="18"/>
                <w:lang w:eastAsia="zh-CN"/>
              </w:rPr>
              <w:br/>
            </w:r>
            <w:r>
              <w:rPr>
                <w:sz w:val="18"/>
                <w:lang w:eastAsia="zh-CN"/>
              </w:rPr>
              <w:t>（</w:t>
            </w:r>
            <w:r>
              <w:rPr>
                <w:rFonts w:hint="eastAsia"/>
                <w:sz w:val="18"/>
                <w:lang w:eastAsia="zh-CN"/>
              </w:rPr>
              <w:t>注</w:t>
            </w:r>
            <w:r>
              <w:rPr>
                <w:sz w:val="18"/>
                <w:lang w:eastAsia="zh-CN"/>
              </w:rPr>
              <w:t>10</w:t>
            </w:r>
            <w:r>
              <w:rPr>
                <w:sz w:val="18"/>
                <w:lang w:eastAsia="zh-CN"/>
              </w:rPr>
              <w:t>）</w:t>
            </w:r>
          </w:p>
        </w:tc>
        <w:tc>
          <w:tcPr>
            <w:tcW w:w="3171" w:type="dxa"/>
            <w:gridSpan w:val="4"/>
            <w:tcBorders>
              <w:top w:val="single" w:sz="4" w:space="0" w:color="auto"/>
              <w:left w:val="single" w:sz="4" w:space="0" w:color="auto"/>
              <w:bottom w:val="single" w:sz="4" w:space="0" w:color="auto"/>
              <w:right w:val="single" w:sz="4" w:space="0" w:color="auto"/>
            </w:tcBorders>
            <w:vAlign w:val="center"/>
          </w:tcPr>
          <w:p w14:paraId="0CC3662E" w14:textId="77777777" w:rsidR="00EF5BF3" w:rsidRDefault="00551D2B">
            <w:pPr>
              <w:pStyle w:val="Tablehead"/>
              <w:rPr>
                <w:spacing w:val="-2"/>
                <w:sz w:val="18"/>
                <w:szCs w:val="18"/>
                <w:lang w:val="en-GB"/>
              </w:rPr>
            </w:pPr>
            <w:r>
              <w:rPr>
                <w:rFonts w:hint="eastAsia"/>
                <w:sz w:val="18"/>
                <w:lang w:eastAsia="zh-CN"/>
              </w:rPr>
              <w:t>室内定位</w:t>
            </w:r>
          </w:p>
        </w:tc>
        <w:tc>
          <w:tcPr>
            <w:tcW w:w="2362" w:type="dxa"/>
            <w:gridSpan w:val="4"/>
            <w:tcBorders>
              <w:top w:val="single" w:sz="4" w:space="0" w:color="auto"/>
              <w:left w:val="single" w:sz="4" w:space="0" w:color="auto"/>
              <w:bottom w:val="single" w:sz="4" w:space="0" w:color="auto"/>
              <w:right w:val="single" w:sz="4" w:space="0" w:color="auto"/>
            </w:tcBorders>
            <w:vAlign w:val="center"/>
          </w:tcPr>
          <w:p w14:paraId="3F33B10D" w14:textId="77777777" w:rsidR="00EF5BF3" w:rsidRDefault="00551D2B">
            <w:pPr>
              <w:pStyle w:val="Tablehead"/>
              <w:rPr>
                <w:spacing w:val="-2"/>
                <w:sz w:val="18"/>
                <w:szCs w:val="18"/>
                <w:lang w:val="en-GB"/>
              </w:rPr>
            </w:pPr>
            <w:proofErr w:type="spellStart"/>
            <w:r>
              <w:rPr>
                <w:rFonts w:hint="eastAsia"/>
                <w:spacing w:val="-2"/>
                <w:sz w:val="18"/>
                <w:szCs w:val="18"/>
              </w:rPr>
              <w:t>一般用途</w:t>
            </w:r>
            <w:proofErr w:type="spellEnd"/>
          </w:p>
        </w:tc>
      </w:tr>
      <w:tr w:rsidR="00EF5BF3" w14:paraId="5539E833" w14:textId="77777777" w:rsidTr="00F21BD6">
        <w:trPr>
          <w:cantSplit/>
          <w:trHeight w:val="1985"/>
          <w:jc w:val="center"/>
        </w:trPr>
        <w:tc>
          <w:tcPr>
            <w:tcW w:w="1784" w:type="dxa"/>
            <w:tcBorders>
              <w:top w:val="single" w:sz="4" w:space="0" w:color="auto"/>
              <w:left w:val="single" w:sz="4" w:space="0" w:color="auto"/>
              <w:bottom w:val="single" w:sz="4" w:space="0" w:color="auto"/>
              <w:right w:val="single" w:sz="4" w:space="0" w:color="auto"/>
            </w:tcBorders>
            <w:vAlign w:val="center"/>
          </w:tcPr>
          <w:p w14:paraId="7AC572B4" w14:textId="77777777" w:rsidR="00EF5BF3" w:rsidRDefault="00551D2B">
            <w:pPr>
              <w:pStyle w:val="Tabletext"/>
              <w:spacing w:before="20" w:after="20"/>
              <w:rPr>
                <w:sz w:val="18"/>
                <w:szCs w:val="18"/>
                <w:lang w:val="en-GB" w:eastAsia="zh-CN"/>
              </w:rPr>
            </w:pPr>
            <w:r>
              <w:rPr>
                <w:rFonts w:hint="eastAsia"/>
                <w:sz w:val="18"/>
                <w:lang w:eastAsia="zh-CN"/>
              </w:rPr>
              <w:t>信号频率范围</w:t>
            </w:r>
            <w:r>
              <w:rPr>
                <w:sz w:val="18"/>
                <w:lang w:eastAsia="zh-CN"/>
              </w:rPr>
              <w:t>（</w:t>
            </w:r>
            <w:r>
              <w:rPr>
                <w:sz w:val="18"/>
                <w:lang w:eastAsia="zh-CN"/>
              </w:rPr>
              <w:t>MHz</w:t>
            </w:r>
            <w:r>
              <w:rPr>
                <w:sz w:val="18"/>
                <w:lang w:eastAsia="zh-CN"/>
              </w:rPr>
              <w:t>）</w:t>
            </w:r>
          </w:p>
        </w:tc>
        <w:tc>
          <w:tcPr>
            <w:tcW w:w="1035" w:type="dxa"/>
            <w:tcBorders>
              <w:top w:val="single" w:sz="4" w:space="0" w:color="auto"/>
              <w:left w:val="single" w:sz="4" w:space="0" w:color="auto"/>
              <w:bottom w:val="single" w:sz="4" w:space="0" w:color="auto"/>
              <w:right w:val="single" w:sz="4" w:space="0" w:color="auto"/>
            </w:tcBorders>
            <w:vAlign w:val="center"/>
          </w:tcPr>
          <w:p w14:paraId="03CE67F1" w14:textId="77777777" w:rsidR="00EF5BF3" w:rsidRDefault="00551D2B">
            <w:pPr>
              <w:pStyle w:val="Tabletext"/>
              <w:spacing w:before="20" w:after="20"/>
              <w:jc w:val="center"/>
              <w:rPr>
                <w:sz w:val="18"/>
                <w:szCs w:val="18"/>
                <w:lang w:val="en-GB"/>
              </w:rPr>
            </w:pPr>
            <w:r>
              <w:rPr>
                <w:sz w:val="18"/>
                <w:szCs w:val="18"/>
                <w:lang w:val="en-GB"/>
              </w:rPr>
              <w:t xml:space="preserve">1 227.6 </w:t>
            </w:r>
            <w:r>
              <w:rPr>
                <w:sz w:val="18"/>
                <w:szCs w:val="18"/>
                <w:lang w:val="en-GB"/>
              </w:rPr>
              <w:sym w:font="Symbol" w:char="00B1"/>
            </w:r>
            <w:r>
              <w:rPr>
                <w:sz w:val="18"/>
                <w:szCs w:val="18"/>
                <w:lang w:val="en-GB"/>
              </w:rPr>
              <w:t xml:space="preserve"> 15.345</w:t>
            </w:r>
          </w:p>
        </w:tc>
        <w:tc>
          <w:tcPr>
            <w:tcW w:w="893" w:type="dxa"/>
            <w:tcBorders>
              <w:top w:val="single" w:sz="4" w:space="0" w:color="auto"/>
              <w:left w:val="single" w:sz="4" w:space="0" w:color="auto"/>
              <w:bottom w:val="single" w:sz="4" w:space="0" w:color="auto"/>
              <w:right w:val="single" w:sz="4" w:space="0" w:color="auto"/>
            </w:tcBorders>
            <w:vAlign w:val="center"/>
          </w:tcPr>
          <w:p w14:paraId="20764878" w14:textId="77777777" w:rsidR="00EF5BF3" w:rsidRDefault="00551D2B">
            <w:pPr>
              <w:pStyle w:val="Tabletext"/>
              <w:spacing w:before="20" w:after="20"/>
              <w:jc w:val="center"/>
              <w:rPr>
                <w:sz w:val="18"/>
                <w:szCs w:val="18"/>
                <w:lang w:val="en-GB" w:eastAsia="ja-JP"/>
              </w:rPr>
            </w:pPr>
            <w:r>
              <w:rPr>
                <w:sz w:val="18"/>
                <w:szCs w:val="18"/>
                <w:lang w:val="en-GB"/>
              </w:rPr>
              <w:t xml:space="preserve">1 227.6 </w:t>
            </w:r>
            <w:r>
              <w:rPr>
                <w:sz w:val="18"/>
                <w:szCs w:val="18"/>
                <w:lang w:val="en-GB"/>
              </w:rPr>
              <w:sym w:font="Symbol" w:char="00B1"/>
            </w:r>
            <w:r>
              <w:rPr>
                <w:sz w:val="18"/>
                <w:szCs w:val="18"/>
                <w:lang w:val="en-GB"/>
              </w:rPr>
              <w:t xml:space="preserve"> 15.345</w:t>
            </w:r>
          </w:p>
        </w:tc>
        <w:tc>
          <w:tcPr>
            <w:tcW w:w="813" w:type="dxa"/>
            <w:tcBorders>
              <w:top w:val="single" w:sz="4" w:space="0" w:color="auto"/>
              <w:left w:val="single" w:sz="4" w:space="0" w:color="auto"/>
              <w:bottom w:val="single" w:sz="4" w:space="0" w:color="auto"/>
              <w:right w:val="single" w:sz="4" w:space="0" w:color="auto"/>
            </w:tcBorders>
            <w:textDirection w:val="btLr"/>
            <w:vAlign w:val="center"/>
          </w:tcPr>
          <w:p w14:paraId="74C6D4BE" w14:textId="77777777" w:rsidR="00EF5BF3" w:rsidRDefault="00551D2B">
            <w:pPr>
              <w:pStyle w:val="Tabletext"/>
              <w:spacing w:before="20" w:after="20"/>
              <w:jc w:val="center"/>
              <w:rPr>
                <w:sz w:val="18"/>
                <w:szCs w:val="18"/>
                <w:lang w:val="en-GB"/>
              </w:rPr>
            </w:pPr>
            <w:r>
              <w:rPr>
                <w:sz w:val="18"/>
                <w:szCs w:val="18"/>
                <w:lang w:val="en-GB" w:eastAsia="ja-JP"/>
              </w:rPr>
              <w:t xml:space="preserve">1 227.6 </w:t>
            </w:r>
            <w:r>
              <w:rPr>
                <w:sz w:val="18"/>
                <w:szCs w:val="18"/>
                <w:lang w:val="en-GB"/>
              </w:rPr>
              <w:sym w:font="Symbol" w:char="00B1"/>
            </w:r>
            <w:r>
              <w:rPr>
                <w:sz w:val="18"/>
                <w:szCs w:val="18"/>
                <w:lang w:val="en-GB"/>
              </w:rPr>
              <w:t xml:space="preserve"> 15.345</w:t>
            </w:r>
          </w:p>
        </w:tc>
        <w:tc>
          <w:tcPr>
            <w:tcW w:w="813" w:type="dxa"/>
            <w:tcBorders>
              <w:top w:val="single" w:sz="4" w:space="0" w:color="auto"/>
              <w:left w:val="single" w:sz="4" w:space="0" w:color="auto"/>
              <w:bottom w:val="single" w:sz="4" w:space="0" w:color="auto"/>
              <w:right w:val="single" w:sz="4" w:space="0" w:color="auto"/>
            </w:tcBorders>
            <w:textDirection w:val="btLr"/>
            <w:vAlign w:val="center"/>
          </w:tcPr>
          <w:p w14:paraId="0ADC8339" w14:textId="77777777" w:rsidR="00EF5BF3" w:rsidRDefault="00551D2B">
            <w:pPr>
              <w:pStyle w:val="Tabletext"/>
              <w:spacing w:before="20" w:after="20"/>
              <w:jc w:val="center"/>
              <w:rPr>
                <w:sz w:val="18"/>
                <w:szCs w:val="18"/>
                <w:lang w:val="en-GB" w:eastAsia="zh-CN"/>
              </w:rPr>
            </w:pPr>
            <w:r>
              <w:rPr>
                <w:sz w:val="18"/>
                <w:szCs w:val="18"/>
                <w:lang w:val="en-GB" w:eastAsia="ja-JP"/>
              </w:rPr>
              <w:t>1 2</w:t>
            </w:r>
            <w:r>
              <w:rPr>
                <w:sz w:val="18"/>
                <w:szCs w:val="18"/>
                <w:lang w:val="en-GB" w:eastAsia="zh-CN"/>
              </w:rPr>
              <w:t>68.52</w:t>
            </w:r>
            <w:r>
              <w:rPr>
                <w:sz w:val="18"/>
                <w:szCs w:val="18"/>
                <w:lang w:val="en-GB" w:eastAsia="ja-JP"/>
              </w:rPr>
              <w:t xml:space="preserve"> </w:t>
            </w:r>
            <w:r>
              <w:rPr>
                <w:sz w:val="18"/>
                <w:szCs w:val="18"/>
                <w:lang w:val="en-GB"/>
              </w:rPr>
              <w:sym w:font="Symbol" w:char="00B1"/>
            </w:r>
            <w:r>
              <w:rPr>
                <w:sz w:val="18"/>
                <w:szCs w:val="18"/>
                <w:lang w:val="en-GB"/>
              </w:rPr>
              <w:t xml:space="preserve"> 12</w:t>
            </w:r>
          </w:p>
        </w:tc>
        <w:tc>
          <w:tcPr>
            <w:tcW w:w="1745" w:type="dxa"/>
            <w:gridSpan w:val="2"/>
            <w:tcBorders>
              <w:top w:val="single" w:sz="4" w:space="0" w:color="auto"/>
              <w:left w:val="single" w:sz="4" w:space="0" w:color="auto"/>
              <w:bottom w:val="single" w:sz="4" w:space="0" w:color="auto"/>
              <w:right w:val="single" w:sz="4" w:space="0" w:color="auto"/>
            </w:tcBorders>
            <w:vAlign w:val="center"/>
          </w:tcPr>
          <w:p w14:paraId="48A2E179" w14:textId="77777777" w:rsidR="00EF5BF3" w:rsidRDefault="00551D2B">
            <w:pPr>
              <w:pStyle w:val="Tabletext"/>
              <w:spacing w:before="20" w:after="20"/>
              <w:jc w:val="center"/>
              <w:rPr>
                <w:sz w:val="18"/>
                <w:szCs w:val="18"/>
                <w:lang w:val="en-GB"/>
              </w:rPr>
            </w:pPr>
            <w:r>
              <w:rPr>
                <w:sz w:val="18"/>
                <w:szCs w:val="18"/>
                <w:lang w:val="en-GB" w:eastAsia="ja-JP"/>
              </w:rPr>
              <w:t xml:space="preserve">1 278.75 </w:t>
            </w:r>
            <w:r>
              <w:rPr>
                <w:sz w:val="18"/>
                <w:szCs w:val="18"/>
                <w:lang w:val="en-GB"/>
              </w:rPr>
              <w:sym w:font="Symbol" w:char="00B1"/>
            </w:r>
            <w:r>
              <w:rPr>
                <w:sz w:val="18"/>
                <w:szCs w:val="18"/>
                <w:lang w:val="en-GB"/>
              </w:rPr>
              <w:t> 21</w:t>
            </w:r>
          </w:p>
        </w:tc>
        <w:tc>
          <w:tcPr>
            <w:tcW w:w="1066" w:type="dxa"/>
            <w:gridSpan w:val="2"/>
            <w:tcBorders>
              <w:top w:val="single" w:sz="4" w:space="0" w:color="auto"/>
              <w:left w:val="single" w:sz="4" w:space="0" w:color="auto"/>
              <w:bottom w:val="single" w:sz="4" w:space="0" w:color="auto"/>
              <w:right w:val="single" w:sz="4" w:space="0" w:color="auto"/>
            </w:tcBorders>
            <w:vAlign w:val="center"/>
          </w:tcPr>
          <w:p w14:paraId="2BB0A88A" w14:textId="77777777" w:rsidR="00EF5BF3" w:rsidRDefault="00551D2B">
            <w:pPr>
              <w:pStyle w:val="Tabletext"/>
              <w:spacing w:before="20" w:after="20"/>
              <w:jc w:val="center"/>
              <w:rPr>
                <w:sz w:val="18"/>
                <w:szCs w:val="18"/>
                <w:lang w:val="en-GB" w:eastAsia="ja-JP"/>
              </w:rPr>
            </w:pPr>
            <w:r>
              <w:rPr>
                <w:sz w:val="18"/>
                <w:lang w:val="en-US"/>
              </w:rPr>
              <w:t>1 246 + 0.4375*</w:t>
            </w:r>
            <w:r>
              <w:rPr>
                <w:i/>
                <w:iCs/>
                <w:sz w:val="18"/>
                <w:lang w:val="en-US"/>
              </w:rPr>
              <w:t>K</w:t>
            </w:r>
            <w:r>
              <w:rPr>
                <w:sz w:val="18"/>
                <w:lang w:val="en-US"/>
              </w:rPr>
              <w:t> ± 5.11,</w:t>
            </w:r>
            <w:r>
              <w:rPr>
                <w:sz w:val="18"/>
                <w:lang w:val="en-US"/>
              </w:rPr>
              <w:br/>
            </w:r>
            <w:r>
              <w:rPr>
                <w:rFonts w:hint="eastAsia"/>
                <w:sz w:val="18"/>
                <w:lang w:val="en-US" w:eastAsia="zh-CN"/>
              </w:rPr>
              <w:t>此处，</w:t>
            </w:r>
            <w:r>
              <w:rPr>
                <w:sz w:val="18"/>
                <w:lang w:val="en-US"/>
              </w:rPr>
              <w:br/>
            </w:r>
            <w:r>
              <w:rPr>
                <w:i/>
                <w:iCs/>
                <w:sz w:val="18"/>
                <w:lang w:val="en-US"/>
              </w:rPr>
              <w:t>K</w:t>
            </w:r>
            <w:r>
              <w:rPr>
                <w:sz w:val="18"/>
                <w:lang w:val="en-US"/>
              </w:rPr>
              <w:t> = –7, …, +6</w:t>
            </w:r>
            <w:r>
              <w:rPr>
                <w:sz w:val="18"/>
                <w:lang w:val="en-US"/>
              </w:rPr>
              <w:br/>
            </w:r>
            <w:r>
              <w:rPr>
                <w:sz w:val="18"/>
                <w:lang w:val="en-US" w:eastAsia="ja-JP"/>
              </w:rPr>
              <w:t>（</w:t>
            </w:r>
            <w:r>
              <w:rPr>
                <w:rFonts w:hint="eastAsia"/>
                <w:sz w:val="18"/>
                <w:lang w:val="en-US" w:eastAsia="zh-CN"/>
              </w:rPr>
              <w:t>注</w:t>
            </w:r>
            <w:r>
              <w:rPr>
                <w:sz w:val="18"/>
                <w:lang w:val="en-US"/>
              </w:rPr>
              <w:t>8</w:t>
            </w:r>
            <w:r>
              <w:rPr>
                <w:sz w:val="18"/>
                <w:lang w:val="en-US" w:eastAsia="ja-JP"/>
              </w:rPr>
              <w:t>）</w:t>
            </w:r>
          </w:p>
        </w:tc>
        <w:tc>
          <w:tcPr>
            <w:tcW w:w="777" w:type="dxa"/>
            <w:tcBorders>
              <w:top w:val="single" w:sz="4" w:space="0" w:color="auto"/>
              <w:left w:val="single" w:sz="4" w:space="0" w:color="auto"/>
              <w:bottom w:val="single" w:sz="4" w:space="0" w:color="auto"/>
              <w:right w:val="single" w:sz="4" w:space="0" w:color="auto"/>
            </w:tcBorders>
            <w:textDirection w:val="btLr"/>
            <w:vAlign w:val="center"/>
          </w:tcPr>
          <w:p w14:paraId="333E77D9" w14:textId="77777777" w:rsidR="00EF5BF3" w:rsidRDefault="00551D2B">
            <w:pPr>
              <w:pStyle w:val="Tabletext"/>
              <w:spacing w:before="20" w:after="20"/>
              <w:jc w:val="center"/>
              <w:rPr>
                <w:sz w:val="18"/>
                <w:szCs w:val="18"/>
                <w:lang w:val="en-GB" w:eastAsia="ja-JP"/>
              </w:rPr>
            </w:pPr>
            <w:r>
              <w:rPr>
                <w:sz w:val="18"/>
                <w:szCs w:val="18"/>
                <w:lang w:val="en-GB"/>
              </w:rPr>
              <w:t xml:space="preserve">1 248,06  </w:t>
            </w:r>
            <w:r>
              <w:rPr>
                <w:sz w:val="18"/>
                <w:szCs w:val="18"/>
                <w:lang w:val="en-GB"/>
              </w:rPr>
              <w:sym w:font="Symbol" w:char="F0B1"/>
            </w:r>
            <w:r>
              <w:rPr>
                <w:sz w:val="18"/>
                <w:szCs w:val="18"/>
                <w:lang w:val="en-GB"/>
              </w:rPr>
              <w:t xml:space="preserve">  7.7</w:t>
            </w:r>
          </w:p>
        </w:tc>
        <w:tc>
          <w:tcPr>
            <w:tcW w:w="522" w:type="dxa"/>
            <w:tcBorders>
              <w:top w:val="single" w:sz="4" w:space="0" w:color="auto"/>
              <w:left w:val="single" w:sz="4" w:space="0" w:color="auto"/>
              <w:bottom w:val="single" w:sz="4" w:space="0" w:color="auto"/>
              <w:right w:val="single" w:sz="4" w:space="0" w:color="auto"/>
            </w:tcBorders>
            <w:textDirection w:val="btLr"/>
            <w:vAlign w:val="center"/>
          </w:tcPr>
          <w:p w14:paraId="7E887EC5" w14:textId="77777777" w:rsidR="00EF5BF3" w:rsidRDefault="00551D2B">
            <w:pPr>
              <w:pStyle w:val="Tabletext"/>
              <w:spacing w:before="20" w:after="20"/>
              <w:jc w:val="center"/>
              <w:rPr>
                <w:sz w:val="18"/>
                <w:szCs w:val="18"/>
                <w:lang w:val="en-GB" w:eastAsia="ja-JP"/>
              </w:rPr>
            </w:pPr>
            <w:r>
              <w:rPr>
                <w:sz w:val="18"/>
                <w:szCs w:val="18"/>
                <w:lang w:val="en-GB" w:eastAsia="ja-JP"/>
              </w:rPr>
              <w:t xml:space="preserve">1 227.6 </w:t>
            </w:r>
            <w:r>
              <w:rPr>
                <w:sz w:val="18"/>
                <w:szCs w:val="18"/>
                <w:lang w:val="en-GB"/>
              </w:rPr>
              <w:sym w:font="Symbol" w:char="00B1"/>
            </w:r>
            <w:r>
              <w:rPr>
                <w:sz w:val="18"/>
                <w:szCs w:val="18"/>
                <w:lang w:val="en-GB"/>
              </w:rPr>
              <w:t xml:space="preserve"> 12</w:t>
            </w:r>
          </w:p>
        </w:tc>
        <w:tc>
          <w:tcPr>
            <w:tcW w:w="1272" w:type="dxa"/>
            <w:tcBorders>
              <w:top w:val="single" w:sz="4" w:space="0" w:color="auto"/>
              <w:left w:val="single" w:sz="4" w:space="0" w:color="auto"/>
              <w:bottom w:val="single" w:sz="4" w:space="0" w:color="auto"/>
              <w:right w:val="single" w:sz="4" w:space="0" w:color="auto"/>
            </w:tcBorders>
            <w:vAlign w:val="center"/>
          </w:tcPr>
          <w:p w14:paraId="55743B95" w14:textId="0D91975B" w:rsidR="00EF5BF3" w:rsidRDefault="00551D2B">
            <w:pPr>
              <w:pStyle w:val="Tabletext"/>
              <w:spacing w:before="20" w:after="20"/>
              <w:jc w:val="center"/>
              <w:rPr>
                <w:sz w:val="18"/>
                <w:szCs w:val="18"/>
                <w:lang w:val="en-GB" w:eastAsia="ja-JP"/>
              </w:rPr>
            </w:pPr>
            <w:r>
              <w:rPr>
                <w:sz w:val="18"/>
                <w:szCs w:val="18"/>
                <w:lang w:val="en-US"/>
              </w:rPr>
              <w:t>1 246 + 0.4375*</w:t>
            </w:r>
            <w:r>
              <w:rPr>
                <w:i/>
                <w:iCs/>
                <w:sz w:val="18"/>
                <w:szCs w:val="18"/>
                <w:lang w:val="en-US"/>
              </w:rPr>
              <w:t>K</w:t>
            </w:r>
            <w:r>
              <w:rPr>
                <w:sz w:val="18"/>
                <w:szCs w:val="18"/>
                <w:lang w:val="en-US"/>
              </w:rPr>
              <w:t xml:space="preserve"> ± 5.11</w:t>
            </w:r>
            <w:r>
              <w:rPr>
                <w:sz w:val="18"/>
                <w:szCs w:val="18"/>
                <w:lang w:val="en-US"/>
              </w:rPr>
              <w:br/>
            </w:r>
            <w:proofErr w:type="spellStart"/>
            <w:r>
              <w:rPr>
                <w:rFonts w:hint="eastAsia"/>
                <w:sz w:val="18"/>
                <w:szCs w:val="18"/>
                <w:lang w:val="en-US"/>
              </w:rPr>
              <w:t>此处，</w:t>
            </w:r>
            <w:r>
              <w:rPr>
                <w:i/>
                <w:iCs/>
                <w:sz w:val="18"/>
                <w:szCs w:val="18"/>
                <w:lang w:val="en-US"/>
              </w:rPr>
              <w:t>K</w:t>
            </w:r>
            <w:proofErr w:type="spellEnd"/>
            <w:r>
              <w:rPr>
                <w:sz w:val="18"/>
                <w:szCs w:val="18"/>
                <w:lang w:val="en-US"/>
              </w:rPr>
              <w:t xml:space="preserve"> = –</w:t>
            </w:r>
            <w:proofErr w:type="gramStart"/>
            <w:r>
              <w:rPr>
                <w:sz w:val="18"/>
                <w:szCs w:val="18"/>
                <w:lang w:val="en-US"/>
              </w:rPr>
              <w:t xml:space="preserve">7, </w:t>
            </w:r>
            <w:r w:rsidR="00F21BD6" w:rsidRPr="00F21BD6">
              <w:rPr>
                <w:sz w:val="18"/>
                <w:szCs w:val="18"/>
                <w:lang w:val="en-GB"/>
              </w:rPr>
              <w:t>..</w:t>
            </w:r>
            <w:proofErr w:type="gramEnd"/>
            <w:r w:rsidR="00F21BD6" w:rsidRPr="00F21BD6">
              <w:rPr>
                <w:sz w:val="18"/>
                <w:szCs w:val="18"/>
                <w:lang w:val="en-GB"/>
              </w:rPr>
              <w:t>, +6</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14:paraId="671EB23F" w14:textId="77777777" w:rsidR="00EF5BF3" w:rsidRDefault="00551D2B">
            <w:pPr>
              <w:pStyle w:val="Tabletext"/>
              <w:spacing w:before="20" w:after="20"/>
              <w:jc w:val="center"/>
              <w:rPr>
                <w:sz w:val="18"/>
                <w:szCs w:val="18"/>
                <w:lang w:val="en-GB" w:eastAsia="ja-JP"/>
              </w:rPr>
            </w:pPr>
            <w:r>
              <w:rPr>
                <w:sz w:val="18"/>
                <w:szCs w:val="18"/>
                <w:lang w:val="en-GB"/>
              </w:rPr>
              <w:t xml:space="preserve">1 248,06  </w:t>
            </w:r>
            <w:r>
              <w:rPr>
                <w:sz w:val="18"/>
                <w:szCs w:val="18"/>
                <w:lang w:val="en-GB"/>
              </w:rPr>
              <w:sym w:font="Symbol" w:char="F0B1"/>
            </w:r>
            <w:r>
              <w:rPr>
                <w:sz w:val="18"/>
                <w:szCs w:val="18"/>
                <w:lang w:val="en-GB"/>
              </w:rPr>
              <w:t xml:space="preserve">  7.7</w:t>
            </w:r>
          </w:p>
        </w:tc>
        <w:tc>
          <w:tcPr>
            <w:tcW w:w="733" w:type="dxa"/>
            <w:tcBorders>
              <w:top w:val="single" w:sz="4" w:space="0" w:color="auto"/>
              <w:left w:val="single" w:sz="4" w:space="0" w:color="auto"/>
              <w:bottom w:val="single" w:sz="4" w:space="0" w:color="auto"/>
              <w:right w:val="single" w:sz="4" w:space="0" w:color="auto"/>
            </w:tcBorders>
            <w:textDirection w:val="btLr"/>
            <w:vAlign w:val="center"/>
          </w:tcPr>
          <w:p w14:paraId="1FA9030A" w14:textId="77777777" w:rsidR="00EF5BF3" w:rsidRDefault="00551D2B">
            <w:pPr>
              <w:pStyle w:val="Tabletext"/>
              <w:spacing w:before="20" w:after="20"/>
              <w:jc w:val="center"/>
              <w:rPr>
                <w:sz w:val="18"/>
                <w:szCs w:val="18"/>
                <w:lang w:val="en-GB" w:eastAsia="ja-JP"/>
              </w:rPr>
            </w:pPr>
            <w:r>
              <w:rPr>
                <w:sz w:val="18"/>
                <w:szCs w:val="18"/>
                <w:lang w:val="en-GB" w:eastAsia="ja-JP"/>
              </w:rPr>
              <w:t>1 2</w:t>
            </w:r>
            <w:r>
              <w:rPr>
                <w:sz w:val="18"/>
                <w:szCs w:val="18"/>
                <w:lang w:val="en-GB" w:eastAsia="zh-CN"/>
              </w:rPr>
              <w:t>68.52</w:t>
            </w:r>
            <w:r>
              <w:rPr>
                <w:sz w:val="18"/>
                <w:szCs w:val="18"/>
                <w:lang w:val="en-GB" w:eastAsia="ja-JP"/>
              </w:rPr>
              <w:t xml:space="preserve"> </w:t>
            </w:r>
            <w:r>
              <w:rPr>
                <w:sz w:val="18"/>
                <w:szCs w:val="18"/>
                <w:lang w:val="en-GB"/>
              </w:rPr>
              <w:sym w:font="Symbol" w:char="00B1"/>
            </w:r>
            <w:r>
              <w:rPr>
                <w:sz w:val="18"/>
                <w:szCs w:val="18"/>
                <w:lang w:val="en-GB"/>
              </w:rPr>
              <w:t xml:space="preserve"> 12</w:t>
            </w:r>
          </w:p>
        </w:tc>
        <w:tc>
          <w:tcPr>
            <w:tcW w:w="574" w:type="dxa"/>
            <w:tcBorders>
              <w:top w:val="single" w:sz="4" w:space="0" w:color="auto"/>
              <w:left w:val="single" w:sz="4" w:space="0" w:color="auto"/>
              <w:bottom w:val="single" w:sz="4" w:space="0" w:color="auto"/>
              <w:right w:val="single" w:sz="4" w:space="0" w:color="auto"/>
            </w:tcBorders>
            <w:textDirection w:val="btLr"/>
            <w:vAlign w:val="center"/>
          </w:tcPr>
          <w:p w14:paraId="31E65C8B" w14:textId="77777777" w:rsidR="00EF5BF3" w:rsidRDefault="00551D2B">
            <w:pPr>
              <w:pStyle w:val="Tabletext"/>
              <w:spacing w:before="20" w:after="20"/>
              <w:jc w:val="center"/>
              <w:rPr>
                <w:sz w:val="18"/>
                <w:szCs w:val="18"/>
                <w:lang w:val="en-GB" w:eastAsia="ja-JP"/>
              </w:rPr>
            </w:pPr>
            <w:r>
              <w:rPr>
                <w:sz w:val="18"/>
                <w:szCs w:val="18"/>
                <w:lang w:val="en-GB" w:eastAsia="ja-JP"/>
              </w:rPr>
              <w:t xml:space="preserve">1 227.6 </w:t>
            </w:r>
            <w:r>
              <w:rPr>
                <w:sz w:val="18"/>
                <w:szCs w:val="18"/>
                <w:lang w:val="en-GB"/>
              </w:rPr>
              <w:sym w:font="Symbol" w:char="00B1"/>
            </w:r>
            <w:r>
              <w:rPr>
                <w:sz w:val="18"/>
                <w:szCs w:val="18"/>
                <w:lang w:val="en-GB"/>
              </w:rPr>
              <w:t xml:space="preserve"> 12</w:t>
            </w:r>
          </w:p>
        </w:tc>
        <w:tc>
          <w:tcPr>
            <w:tcW w:w="574" w:type="dxa"/>
            <w:tcBorders>
              <w:top w:val="single" w:sz="4" w:space="0" w:color="auto"/>
              <w:left w:val="single" w:sz="4" w:space="0" w:color="auto"/>
              <w:bottom w:val="single" w:sz="4" w:space="0" w:color="auto"/>
              <w:right w:val="single" w:sz="4" w:space="0" w:color="auto"/>
            </w:tcBorders>
            <w:textDirection w:val="btLr"/>
            <w:vAlign w:val="center"/>
          </w:tcPr>
          <w:p w14:paraId="6D790607" w14:textId="77777777" w:rsidR="00EF5BF3" w:rsidRDefault="00551D2B">
            <w:pPr>
              <w:pStyle w:val="Tabletext"/>
              <w:spacing w:before="20" w:after="20"/>
              <w:jc w:val="center"/>
              <w:rPr>
                <w:sz w:val="18"/>
                <w:szCs w:val="18"/>
                <w:highlight w:val="yellow"/>
                <w:lang w:val="en-GB" w:eastAsia="ja-JP"/>
              </w:rPr>
            </w:pPr>
            <w:r>
              <w:rPr>
                <w:sz w:val="18"/>
                <w:lang w:val="en-US"/>
              </w:rPr>
              <w:t>1 246 + 0.4375*</w:t>
            </w:r>
            <w:r>
              <w:rPr>
                <w:i/>
                <w:iCs/>
                <w:sz w:val="18"/>
                <w:lang w:val="en-US"/>
              </w:rPr>
              <w:t>K</w:t>
            </w:r>
            <w:r>
              <w:rPr>
                <w:sz w:val="18"/>
                <w:lang w:val="en-US"/>
              </w:rPr>
              <w:t xml:space="preserve"> ± 5.11</w:t>
            </w:r>
            <w:r>
              <w:rPr>
                <w:sz w:val="18"/>
                <w:lang w:val="en-US"/>
              </w:rPr>
              <w:br/>
            </w:r>
            <w:r>
              <w:rPr>
                <w:rFonts w:hint="eastAsia"/>
                <w:sz w:val="18"/>
                <w:lang w:val="en-US" w:eastAsia="zh-CN"/>
              </w:rPr>
              <w:t>此处，</w:t>
            </w:r>
            <w:r>
              <w:rPr>
                <w:i/>
                <w:iCs/>
                <w:sz w:val="18"/>
                <w:lang w:val="en-US"/>
              </w:rPr>
              <w:t>K</w:t>
            </w:r>
            <w:r>
              <w:rPr>
                <w:sz w:val="18"/>
                <w:lang w:val="en-US"/>
              </w:rPr>
              <w:t>= –</w:t>
            </w:r>
            <w:proofErr w:type="gramStart"/>
            <w:r>
              <w:rPr>
                <w:sz w:val="18"/>
                <w:lang w:val="en-US"/>
              </w:rPr>
              <w:t>7,..</w:t>
            </w:r>
            <w:proofErr w:type="gramEnd"/>
            <w:r>
              <w:rPr>
                <w:sz w:val="18"/>
                <w:lang w:val="en-US"/>
              </w:rPr>
              <w:t>,+6</w:t>
            </w:r>
          </w:p>
        </w:tc>
        <w:tc>
          <w:tcPr>
            <w:tcW w:w="443" w:type="dxa"/>
            <w:tcBorders>
              <w:top w:val="single" w:sz="4" w:space="0" w:color="auto"/>
              <w:left w:val="single" w:sz="4" w:space="0" w:color="auto"/>
              <w:bottom w:val="single" w:sz="4" w:space="0" w:color="auto"/>
              <w:right w:val="single" w:sz="4" w:space="0" w:color="auto"/>
            </w:tcBorders>
            <w:textDirection w:val="btLr"/>
            <w:vAlign w:val="center"/>
          </w:tcPr>
          <w:p w14:paraId="56E929F6" w14:textId="77777777" w:rsidR="00EF5BF3" w:rsidRDefault="00551D2B">
            <w:pPr>
              <w:pStyle w:val="Tabletext"/>
              <w:spacing w:before="20" w:after="20"/>
              <w:jc w:val="center"/>
              <w:rPr>
                <w:sz w:val="18"/>
                <w:szCs w:val="18"/>
                <w:lang w:val="en-GB" w:eastAsia="ja-JP"/>
              </w:rPr>
            </w:pPr>
            <w:r>
              <w:rPr>
                <w:sz w:val="18"/>
                <w:szCs w:val="18"/>
                <w:lang w:val="en-GB"/>
              </w:rPr>
              <w:t xml:space="preserve">1 248,06  </w:t>
            </w:r>
            <w:r>
              <w:rPr>
                <w:sz w:val="18"/>
                <w:szCs w:val="18"/>
                <w:lang w:val="en-GB"/>
              </w:rPr>
              <w:sym w:font="Symbol" w:char="F0B1"/>
            </w:r>
            <w:r>
              <w:rPr>
                <w:sz w:val="18"/>
                <w:szCs w:val="18"/>
                <w:lang w:val="en-GB"/>
              </w:rPr>
              <w:t xml:space="preserve">  7.7</w:t>
            </w:r>
          </w:p>
        </w:tc>
        <w:tc>
          <w:tcPr>
            <w:tcW w:w="771" w:type="dxa"/>
            <w:tcBorders>
              <w:top w:val="single" w:sz="4" w:space="0" w:color="auto"/>
              <w:left w:val="single" w:sz="4" w:space="0" w:color="auto"/>
              <w:bottom w:val="single" w:sz="4" w:space="0" w:color="auto"/>
              <w:right w:val="single" w:sz="4" w:space="0" w:color="auto"/>
            </w:tcBorders>
            <w:textDirection w:val="btLr"/>
            <w:vAlign w:val="center"/>
          </w:tcPr>
          <w:p w14:paraId="49FBA01A" w14:textId="77777777" w:rsidR="00EF5BF3" w:rsidRDefault="00551D2B">
            <w:pPr>
              <w:pStyle w:val="Tabletext"/>
              <w:spacing w:before="20" w:after="20"/>
              <w:jc w:val="center"/>
              <w:rPr>
                <w:sz w:val="18"/>
                <w:szCs w:val="18"/>
                <w:lang w:val="en-GB"/>
              </w:rPr>
            </w:pPr>
            <w:r>
              <w:rPr>
                <w:sz w:val="18"/>
                <w:szCs w:val="18"/>
                <w:lang w:val="en-GB" w:eastAsia="ja-JP"/>
              </w:rPr>
              <w:t>1 2</w:t>
            </w:r>
            <w:r>
              <w:rPr>
                <w:sz w:val="18"/>
                <w:szCs w:val="18"/>
                <w:lang w:val="en-GB" w:eastAsia="zh-CN"/>
              </w:rPr>
              <w:t>68.52</w:t>
            </w:r>
            <w:r>
              <w:rPr>
                <w:sz w:val="18"/>
                <w:szCs w:val="18"/>
                <w:lang w:val="en-GB" w:eastAsia="ja-JP"/>
              </w:rPr>
              <w:t xml:space="preserve"> </w:t>
            </w:r>
            <w:r>
              <w:rPr>
                <w:sz w:val="18"/>
                <w:szCs w:val="18"/>
                <w:lang w:val="en-GB"/>
              </w:rPr>
              <w:sym w:font="Symbol" w:char="00B1"/>
            </w:r>
            <w:r>
              <w:rPr>
                <w:sz w:val="18"/>
                <w:szCs w:val="18"/>
                <w:lang w:val="en-GB"/>
              </w:rPr>
              <w:t xml:space="preserve"> 12</w:t>
            </w:r>
          </w:p>
        </w:tc>
      </w:tr>
      <w:tr w:rsidR="00EF5BF3" w14:paraId="445398A7" w14:textId="77777777" w:rsidTr="00F21BD6">
        <w:trPr>
          <w:cantSplit/>
          <w:jc w:val="center"/>
        </w:trPr>
        <w:tc>
          <w:tcPr>
            <w:tcW w:w="1784" w:type="dxa"/>
            <w:tcBorders>
              <w:top w:val="single" w:sz="4" w:space="0" w:color="auto"/>
              <w:left w:val="single" w:sz="4" w:space="0" w:color="auto"/>
              <w:bottom w:val="single" w:sz="4" w:space="0" w:color="auto"/>
              <w:right w:val="single" w:sz="4" w:space="0" w:color="auto"/>
            </w:tcBorders>
          </w:tcPr>
          <w:p w14:paraId="298DD5CE" w14:textId="77777777" w:rsidR="00EF5BF3" w:rsidRDefault="00551D2B">
            <w:pPr>
              <w:pStyle w:val="Tabletext"/>
              <w:spacing w:before="20" w:after="20"/>
              <w:jc w:val="left"/>
              <w:rPr>
                <w:sz w:val="18"/>
                <w:szCs w:val="18"/>
                <w:lang w:val="en-GB" w:eastAsia="zh-CN"/>
              </w:rPr>
            </w:pPr>
            <w:r>
              <w:rPr>
                <w:rFonts w:hint="eastAsia"/>
                <w:sz w:val="18"/>
                <w:lang w:val="en-US" w:eastAsia="zh-CN"/>
              </w:rPr>
              <w:t>上半球最大接收机天线增益</w:t>
            </w:r>
            <w:r>
              <w:rPr>
                <w:sz w:val="18"/>
                <w:lang w:val="en-US" w:eastAsia="zh-CN"/>
              </w:rPr>
              <w:t>（</w:t>
            </w:r>
            <w:proofErr w:type="spellStart"/>
            <w:r>
              <w:rPr>
                <w:sz w:val="18"/>
                <w:lang w:val="en-US" w:eastAsia="zh-CN"/>
              </w:rPr>
              <w:t>dBi</w:t>
            </w:r>
            <w:proofErr w:type="spellEnd"/>
            <w:r>
              <w:rPr>
                <w:sz w:val="18"/>
                <w:lang w:val="en-US" w:eastAsia="zh-CN"/>
              </w:rPr>
              <w:t>）</w:t>
            </w:r>
          </w:p>
        </w:tc>
        <w:tc>
          <w:tcPr>
            <w:tcW w:w="1035" w:type="dxa"/>
            <w:tcBorders>
              <w:top w:val="single" w:sz="4" w:space="0" w:color="auto"/>
              <w:left w:val="single" w:sz="4" w:space="0" w:color="auto"/>
              <w:bottom w:val="single" w:sz="4" w:space="0" w:color="auto"/>
              <w:right w:val="single" w:sz="4" w:space="0" w:color="auto"/>
            </w:tcBorders>
            <w:vAlign w:val="center"/>
          </w:tcPr>
          <w:p w14:paraId="414FFB2E" w14:textId="77777777" w:rsidR="00EF5BF3" w:rsidRDefault="00551D2B">
            <w:pPr>
              <w:pStyle w:val="Tabletext"/>
              <w:spacing w:before="20" w:after="20"/>
              <w:jc w:val="center"/>
              <w:rPr>
                <w:sz w:val="18"/>
                <w:szCs w:val="18"/>
                <w:lang w:val="en-GB"/>
              </w:rPr>
            </w:pPr>
            <w:r>
              <w:rPr>
                <w:sz w:val="18"/>
              </w:rPr>
              <w:t>–2.0</w:t>
            </w:r>
            <w:r>
              <w:rPr>
                <w:rFonts w:hint="eastAsia"/>
                <w:sz w:val="18"/>
                <w:lang w:eastAsia="zh-CN"/>
              </w:rPr>
              <w:t>环形</w:t>
            </w:r>
            <w:r>
              <w:rPr>
                <w:sz w:val="18"/>
              </w:rPr>
              <w:t>（</w:t>
            </w:r>
            <w:r>
              <w:rPr>
                <w:rFonts w:hint="eastAsia"/>
                <w:sz w:val="18"/>
                <w:lang w:eastAsia="zh-CN"/>
              </w:rPr>
              <w:t>注</w:t>
            </w:r>
            <w:r>
              <w:rPr>
                <w:sz w:val="18"/>
              </w:rPr>
              <w:t>3</w:t>
            </w:r>
            <w:r>
              <w:rPr>
                <w:sz w:val="18"/>
              </w:rPr>
              <w:t>）</w:t>
            </w:r>
          </w:p>
        </w:tc>
        <w:tc>
          <w:tcPr>
            <w:tcW w:w="893" w:type="dxa"/>
            <w:tcBorders>
              <w:top w:val="single" w:sz="4" w:space="0" w:color="auto"/>
              <w:left w:val="single" w:sz="4" w:space="0" w:color="auto"/>
              <w:bottom w:val="single" w:sz="4" w:space="0" w:color="auto"/>
              <w:right w:val="single" w:sz="4" w:space="0" w:color="auto"/>
            </w:tcBorders>
            <w:vAlign w:val="center"/>
          </w:tcPr>
          <w:p w14:paraId="3463E828" w14:textId="77777777" w:rsidR="00EF5BF3" w:rsidRDefault="00551D2B">
            <w:pPr>
              <w:pStyle w:val="Tabletext"/>
              <w:spacing w:before="20" w:after="20"/>
              <w:jc w:val="center"/>
              <w:rPr>
                <w:sz w:val="18"/>
                <w:szCs w:val="18"/>
                <w:lang w:val="en-GB"/>
              </w:rPr>
            </w:pPr>
            <w:r>
              <w:rPr>
                <w:sz w:val="18"/>
              </w:rPr>
              <w:t>3.0</w:t>
            </w:r>
            <w:r>
              <w:rPr>
                <w:rFonts w:hint="eastAsia"/>
                <w:sz w:val="18"/>
                <w:lang w:eastAsia="zh-CN"/>
              </w:rPr>
              <w:t>环形</w:t>
            </w:r>
          </w:p>
        </w:tc>
        <w:tc>
          <w:tcPr>
            <w:tcW w:w="813" w:type="dxa"/>
            <w:tcBorders>
              <w:top w:val="single" w:sz="4" w:space="0" w:color="auto"/>
              <w:left w:val="single" w:sz="4" w:space="0" w:color="auto"/>
              <w:bottom w:val="single" w:sz="4" w:space="0" w:color="auto"/>
              <w:right w:val="single" w:sz="4" w:space="0" w:color="auto"/>
            </w:tcBorders>
            <w:vAlign w:val="center"/>
          </w:tcPr>
          <w:p w14:paraId="77CE1534" w14:textId="77777777" w:rsidR="00EF5BF3" w:rsidRDefault="00551D2B">
            <w:pPr>
              <w:pStyle w:val="Tabletext"/>
              <w:spacing w:before="20" w:after="20"/>
              <w:jc w:val="center"/>
              <w:rPr>
                <w:sz w:val="18"/>
                <w:szCs w:val="18"/>
                <w:lang w:val="en-GB"/>
              </w:rPr>
            </w:pPr>
            <w:r>
              <w:rPr>
                <w:sz w:val="18"/>
              </w:rPr>
              <w:t>3.0</w:t>
            </w:r>
            <w:r>
              <w:rPr>
                <w:rFonts w:hint="eastAsia"/>
                <w:sz w:val="18"/>
                <w:lang w:eastAsia="zh-CN"/>
              </w:rPr>
              <w:t>环形</w:t>
            </w:r>
          </w:p>
        </w:tc>
        <w:tc>
          <w:tcPr>
            <w:tcW w:w="813" w:type="dxa"/>
            <w:tcBorders>
              <w:top w:val="single" w:sz="4" w:space="0" w:color="auto"/>
              <w:left w:val="single" w:sz="4" w:space="0" w:color="auto"/>
              <w:bottom w:val="single" w:sz="4" w:space="0" w:color="auto"/>
              <w:right w:val="single" w:sz="4" w:space="0" w:color="auto"/>
            </w:tcBorders>
            <w:vAlign w:val="center"/>
          </w:tcPr>
          <w:p w14:paraId="38106174" w14:textId="77777777" w:rsidR="00EF5BF3" w:rsidRDefault="00551D2B">
            <w:pPr>
              <w:pStyle w:val="Tabletext"/>
              <w:spacing w:before="20" w:after="20"/>
              <w:jc w:val="center"/>
              <w:rPr>
                <w:sz w:val="18"/>
                <w:szCs w:val="18"/>
                <w:lang w:val="en-GB"/>
              </w:rPr>
            </w:pPr>
            <w:r>
              <w:rPr>
                <w:sz w:val="18"/>
              </w:rPr>
              <w:t>3.0</w:t>
            </w:r>
            <w:r>
              <w:rPr>
                <w:rFonts w:hint="eastAsia"/>
                <w:sz w:val="18"/>
                <w:lang w:eastAsia="zh-CN"/>
              </w:rPr>
              <w:t>环形</w:t>
            </w:r>
          </w:p>
        </w:tc>
        <w:tc>
          <w:tcPr>
            <w:tcW w:w="1745" w:type="dxa"/>
            <w:gridSpan w:val="2"/>
            <w:tcBorders>
              <w:top w:val="single" w:sz="4" w:space="0" w:color="auto"/>
              <w:left w:val="single" w:sz="4" w:space="0" w:color="auto"/>
              <w:bottom w:val="single" w:sz="4" w:space="0" w:color="auto"/>
              <w:right w:val="single" w:sz="4" w:space="0" w:color="auto"/>
            </w:tcBorders>
            <w:vAlign w:val="center"/>
          </w:tcPr>
          <w:p w14:paraId="677778D4" w14:textId="77777777" w:rsidR="00EF5BF3" w:rsidRDefault="00551D2B">
            <w:pPr>
              <w:pStyle w:val="Tabletext"/>
              <w:spacing w:before="20" w:after="20"/>
              <w:jc w:val="center"/>
              <w:rPr>
                <w:sz w:val="18"/>
                <w:szCs w:val="18"/>
                <w:lang w:val="en-GB" w:eastAsia="ja-JP"/>
              </w:rPr>
            </w:pPr>
            <w:r>
              <w:rPr>
                <w:sz w:val="18"/>
                <w:szCs w:val="18"/>
                <w:lang w:val="en-GB" w:eastAsia="ja-JP"/>
              </w:rPr>
              <w:t>3</w:t>
            </w:r>
            <w:r>
              <w:rPr>
                <w:rFonts w:hint="eastAsia"/>
                <w:sz w:val="18"/>
                <w:lang w:eastAsia="zh-CN"/>
              </w:rPr>
              <w:t>环形</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6D63471D" w14:textId="77777777" w:rsidR="00EF5BF3" w:rsidRDefault="00551D2B">
            <w:pPr>
              <w:pStyle w:val="Tabletext"/>
              <w:spacing w:before="20" w:after="20"/>
              <w:jc w:val="center"/>
              <w:rPr>
                <w:sz w:val="18"/>
                <w:szCs w:val="18"/>
                <w:lang w:val="en-GB" w:eastAsia="ja-JP"/>
              </w:rPr>
            </w:pPr>
            <w:r>
              <w:rPr>
                <w:sz w:val="18"/>
                <w:szCs w:val="18"/>
                <w:lang w:val="en-GB" w:eastAsia="ja-JP"/>
              </w:rPr>
              <w:t>7</w:t>
            </w:r>
            <w:r>
              <w:rPr>
                <w:rFonts w:hint="eastAsia"/>
                <w:sz w:val="18"/>
                <w:lang w:eastAsia="zh-CN"/>
              </w:rPr>
              <w:t>环形</w:t>
            </w:r>
            <w:r>
              <w:rPr>
                <w:sz w:val="18"/>
                <w:szCs w:val="18"/>
                <w:lang w:val="en-GB" w:eastAsia="ja-JP"/>
              </w:rPr>
              <w:t>（</w:t>
            </w:r>
            <w:r>
              <w:rPr>
                <w:rFonts w:hint="eastAsia"/>
                <w:sz w:val="18"/>
                <w:szCs w:val="18"/>
                <w:lang w:val="en-GB" w:eastAsia="zh-CN"/>
              </w:rPr>
              <w:t>注</w:t>
            </w:r>
            <w:r>
              <w:rPr>
                <w:sz w:val="18"/>
                <w:szCs w:val="18"/>
                <w:lang w:val="en-GB" w:eastAsia="ja-JP"/>
              </w:rPr>
              <w:t>1</w:t>
            </w:r>
            <w:r>
              <w:rPr>
                <w:sz w:val="18"/>
                <w:szCs w:val="18"/>
                <w:lang w:val="en-GB"/>
              </w:rPr>
              <w:t>1</w:t>
            </w:r>
            <w:r>
              <w:rPr>
                <w:sz w:val="18"/>
                <w:szCs w:val="18"/>
                <w:lang w:val="en-GB" w:eastAsia="ja-JP"/>
              </w:rPr>
              <w:t>）</w:t>
            </w:r>
          </w:p>
        </w:tc>
        <w:tc>
          <w:tcPr>
            <w:tcW w:w="2438" w:type="dxa"/>
            <w:gridSpan w:val="3"/>
            <w:tcBorders>
              <w:top w:val="single" w:sz="4" w:space="0" w:color="auto"/>
              <w:left w:val="single" w:sz="4" w:space="0" w:color="auto"/>
              <w:bottom w:val="single" w:sz="4" w:space="0" w:color="auto"/>
              <w:right w:val="single" w:sz="4" w:space="0" w:color="auto"/>
            </w:tcBorders>
            <w:vAlign w:val="center"/>
          </w:tcPr>
          <w:p w14:paraId="14AC052B" w14:textId="77777777" w:rsidR="00EF5BF3" w:rsidRDefault="00551D2B">
            <w:pPr>
              <w:pStyle w:val="Tabletext"/>
              <w:spacing w:before="20" w:after="20"/>
              <w:jc w:val="center"/>
              <w:rPr>
                <w:sz w:val="18"/>
                <w:szCs w:val="18"/>
                <w:lang w:val="en-GB"/>
              </w:rPr>
            </w:pPr>
            <w:r>
              <w:rPr>
                <w:sz w:val="18"/>
                <w:szCs w:val="18"/>
                <w:lang w:val="en-GB" w:eastAsia="ja-JP"/>
              </w:rPr>
              <w:t>6</w:t>
            </w:r>
          </w:p>
        </w:tc>
        <w:tc>
          <w:tcPr>
            <w:tcW w:w="733" w:type="dxa"/>
            <w:tcBorders>
              <w:top w:val="single" w:sz="4" w:space="0" w:color="auto"/>
              <w:left w:val="single" w:sz="4" w:space="0" w:color="auto"/>
              <w:bottom w:val="single" w:sz="4" w:space="0" w:color="auto"/>
              <w:right w:val="single" w:sz="4" w:space="0" w:color="auto"/>
            </w:tcBorders>
            <w:vAlign w:val="center"/>
          </w:tcPr>
          <w:p w14:paraId="264F102C" w14:textId="77777777" w:rsidR="00EF5BF3" w:rsidRDefault="00551D2B">
            <w:pPr>
              <w:pStyle w:val="Tabletext"/>
              <w:spacing w:before="20" w:after="20"/>
              <w:jc w:val="center"/>
              <w:rPr>
                <w:sz w:val="18"/>
                <w:szCs w:val="18"/>
                <w:lang w:val="en-GB"/>
              </w:rPr>
            </w:pPr>
            <w:r>
              <w:rPr>
                <w:sz w:val="18"/>
                <w:szCs w:val="18"/>
                <w:lang w:val="en-GB" w:eastAsia="ja-JP"/>
              </w:rPr>
              <w:t>3</w:t>
            </w:r>
          </w:p>
        </w:tc>
        <w:tc>
          <w:tcPr>
            <w:tcW w:w="1591" w:type="dxa"/>
            <w:gridSpan w:val="3"/>
            <w:tcBorders>
              <w:top w:val="single" w:sz="4" w:space="0" w:color="auto"/>
              <w:left w:val="single" w:sz="4" w:space="0" w:color="auto"/>
              <w:bottom w:val="single" w:sz="4" w:space="0" w:color="auto"/>
              <w:right w:val="single" w:sz="4" w:space="0" w:color="auto"/>
            </w:tcBorders>
            <w:vAlign w:val="center"/>
          </w:tcPr>
          <w:p w14:paraId="422C41C0" w14:textId="77777777" w:rsidR="00EF5BF3" w:rsidRDefault="00551D2B">
            <w:pPr>
              <w:pStyle w:val="Tabletext"/>
              <w:spacing w:before="20" w:after="20"/>
              <w:jc w:val="center"/>
              <w:rPr>
                <w:sz w:val="18"/>
                <w:szCs w:val="18"/>
                <w:lang w:val="en-GB"/>
              </w:rPr>
            </w:pPr>
            <w:r>
              <w:rPr>
                <w:sz w:val="18"/>
                <w:szCs w:val="18"/>
                <w:lang w:val="en-GB" w:eastAsia="ja-JP"/>
              </w:rPr>
              <w:t>6</w:t>
            </w:r>
          </w:p>
        </w:tc>
        <w:tc>
          <w:tcPr>
            <w:tcW w:w="771" w:type="dxa"/>
            <w:tcBorders>
              <w:top w:val="single" w:sz="4" w:space="0" w:color="auto"/>
              <w:left w:val="single" w:sz="4" w:space="0" w:color="auto"/>
              <w:bottom w:val="single" w:sz="4" w:space="0" w:color="auto"/>
              <w:right w:val="single" w:sz="4" w:space="0" w:color="auto"/>
            </w:tcBorders>
            <w:vAlign w:val="center"/>
          </w:tcPr>
          <w:p w14:paraId="36E32D74" w14:textId="77777777" w:rsidR="00EF5BF3" w:rsidRDefault="00551D2B">
            <w:pPr>
              <w:pStyle w:val="Tabletext"/>
              <w:spacing w:before="20" w:after="20"/>
              <w:jc w:val="center"/>
              <w:rPr>
                <w:sz w:val="18"/>
                <w:szCs w:val="18"/>
                <w:lang w:val="en-GB" w:eastAsia="ja-JP"/>
              </w:rPr>
            </w:pPr>
            <w:r>
              <w:rPr>
                <w:sz w:val="18"/>
                <w:szCs w:val="18"/>
                <w:lang w:val="en-GB" w:eastAsia="ja-JP"/>
              </w:rPr>
              <w:t>3</w:t>
            </w:r>
          </w:p>
        </w:tc>
      </w:tr>
      <w:tr w:rsidR="00EF5BF3" w14:paraId="73A9D187" w14:textId="77777777" w:rsidTr="00F21BD6">
        <w:trPr>
          <w:cantSplit/>
          <w:jc w:val="center"/>
        </w:trPr>
        <w:tc>
          <w:tcPr>
            <w:tcW w:w="1784" w:type="dxa"/>
            <w:tcBorders>
              <w:top w:val="single" w:sz="4" w:space="0" w:color="auto"/>
              <w:left w:val="single" w:sz="4" w:space="0" w:color="auto"/>
              <w:bottom w:val="single" w:sz="4" w:space="0" w:color="auto"/>
              <w:right w:val="single" w:sz="4" w:space="0" w:color="auto"/>
            </w:tcBorders>
          </w:tcPr>
          <w:p w14:paraId="56140C84" w14:textId="77777777" w:rsidR="00EF5BF3" w:rsidRDefault="00551D2B">
            <w:pPr>
              <w:pStyle w:val="Tabletext"/>
              <w:spacing w:before="20" w:after="20"/>
              <w:jc w:val="left"/>
              <w:rPr>
                <w:sz w:val="18"/>
                <w:szCs w:val="18"/>
                <w:lang w:val="en-GB" w:eastAsia="zh-CN"/>
              </w:rPr>
            </w:pPr>
            <w:r>
              <w:rPr>
                <w:rFonts w:hint="eastAsia"/>
                <w:sz w:val="18"/>
                <w:lang w:val="en-US" w:eastAsia="zh-CN"/>
              </w:rPr>
              <w:t>下半球最大接收机天线增益</w:t>
            </w:r>
            <w:r>
              <w:rPr>
                <w:sz w:val="18"/>
                <w:lang w:val="en-US" w:eastAsia="zh-CN"/>
              </w:rPr>
              <w:t>（</w:t>
            </w:r>
            <w:proofErr w:type="spellStart"/>
            <w:r>
              <w:rPr>
                <w:sz w:val="18"/>
                <w:lang w:val="en-US" w:eastAsia="zh-CN"/>
              </w:rPr>
              <w:t>dBi</w:t>
            </w:r>
            <w:proofErr w:type="spellEnd"/>
            <w:r>
              <w:rPr>
                <w:sz w:val="18"/>
                <w:lang w:val="en-US" w:eastAsia="zh-CN"/>
              </w:rPr>
              <w:t>）</w:t>
            </w:r>
          </w:p>
        </w:tc>
        <w:tc>
          <w:tcPr>
            <w:tcW w:w="1035" w:type="dxa"/>
            <w:tcBorders>
              <w:top w:val="single" w:sz="4" w:space="0" w:color="auto"/>
              <w:left w:val="single" w:sz="4" w:space="0" w:color="auto"/>
              <w:bottom w:val="single" w:sz="4" w:space="0" w:color="auto"/>
              <w:right w:val="single" w:sz="4" w:space="0" w:color="auto"/>
            </w:tcBorders>
            <w:vAlign w:val="center"/>
          </w:tcPr>
          <w:p w14:paraId="5A311997" w14:textId="77777777" w:rsidR="00EF5BF3" w:rsidRDefault="00551D2B">
            <w:pPr>
              <w:pStyle w:val="Tabletext"/>
              <w:spacing w:before="20" w:after="20"/>
              <w:jc w:val="center"/>
              <w:rPr>
                <w:sz w:val="18"/>
                <w:szCs w:val="18"/>
                <w:lang w:val="en-GB"/>
              </w:rPr>
            </w:pPr>
            <w:r>
              <w:rPr>
                <w:sz w:val="18"/>
              </w:rPr>
              <w:t>–5.0</w:t>
            </w:r>
            <w:proofErr w:type="spellStart"/>
            <w:r>
              <w:rPr>
                <w:rFonts w:hint="eastAsia"/>
                <w:sz w:val="18"/>
              </w:rPr>
              <w:t>环形</w:t>
            </w:r>
            <w:proofErr w:type="spellEnd"/>
            <w:r>
              <w:rPr>
                <w:sz w:val="18"/>
              </w:rPr>
              <w:t>（</w:t>
            </w:r>
            <w:r>
              <w:rPr>
                <w:rFonts w:hint="eastAsia"/>
                <w:sz w:val="18"/>
                <w:lang w:eastAsia="zh-CN"/>
              </w:rPr>
              <w:t>见注</w:t>
            </w:r>
            <w:r>
              <w:rPr>
                <w:sz w:val="18"/>
              </w:rPr>
              <w:t>3</w:t>
            </w:r>
            <w:r>
              <w:rPr>
                <w:sz w:val="18"/>
              </w:rPr>
              <w:t>）</w:t>
            </w:r>
          </w:p>
        </w:tc>
        <w:tc>
          <w:tcPr>
            <w:tcW w:w="893" w:type="dxa"/>
            <w:tcBorders>
              <w:top w:val="single" w:sz="4" w:space="0" w:color="auto"/>
              <w:left w:val="single" w:sz="4" w:space="0" w:color="auto"/>
              <w:bottom w:val="single" w:sz="4" w:space="0" w:color="auto"/>
              <w:right w:val="single" w:sz="4" w:space="0" w:color="auto"/>
            </w:tcBorders>
            <w:vAlign w:val="center"/>
          </w:tcPr>
          <w:p w14:paraId="28AF9671" w14:textId="77777777" w:rsidR="00EF5BF3" w:rsidRDefault="00551D2B">
            <w:pPr>
              <w:pStyle w:val="Tabletext"/>
              <w:spacing w:before="20" w:after="20"/>
              <w:jc w:val="center"/>
              <w:rPr>
                <w:sz w:val="18"/>
                <w:szCs w:val="18"/>
                <w:lang w:val="en-GB"/>
              </w:rPr>
            </w:pPr>
            <w:r>
              <w:rPr>
                <w:sz w:val="18"/>
              </w:rPr>
              <w:t>–7</w:t>
            </w:r>
            <w:r>
              <w:rPr>
                <w:rFonts w:hint="eastAsia"/>
                <w:sz w:val="18"/>
                <w:lang w:eastAsia="zh-CN"/>
              </w:rPr>
              <w:t>线性</w:t>
            </w:r>
            <w:r>
              <w:rPr>
                <w:sz w:val="18"/>
              </w:rPr>
              <w:br/>
            </w:r>
            <w:r>
              <w:rPr>
                <w:sz w:val="18"/>
              </w:rPr>
              <w:t>（</w:t>
            </w:r>
            <w:r>
              <w:rPr>
                <w:sz w:val="18"/>
              </w:rPr>
              <w:t xml:space="preserve">&lt; 10° </w:t>
            </w:r>
            <w:r>
              <w:rPr>
                <w:rFonts w:hint="eastAsia"/>
                <w:sz w:val="18"/>
                <w:lang w:eastAsia="zh-CN"/>
              </w:rPr>
              <w:t>仰角</w:t>
            </w:r>
            <w:r>
              <w:rPr>
                <w:sz w:val="18"/>
              </w:rPr>
              <w:t>）</w:t>
            </w:r>
          </w:p>
        </w:tc>
        <w:tc>
          <w:tcPr>
            <w:tcW w:w="813" w:type="dxa"/>
            <w:tcBorders>
              <w:top w:val="single" w:sz="4" w:space="0" w:color="auto"/>
              <w:left w:val="single" w:sz="4" w:space="0" w:color="auto"/>
              <w:bottom w:val="single" w:sz="4" w:space="0" w:color="auto"/>
              <w:right w:val="single" w:sz="4" w:space="0" w:color="auto"/>
            </w:tcBorders>
            <w:vAlign w:val="center"/>
          </w:tcPr>
          <w:p w14:paraId="732B25B2" w14:textId="77777777" w:rsidR="00EF5BF3" w:rsidRDefault="00551D2B">
            <w:pPr>
              <w:pStyle w:val="Tabletext"/>
              <w:spacing w:before="20" w:after="20"/>
              <w:jc w:val="center"/>
              <w:rPr>
                <w:sz w:val="18"/>
                <w:szCs w:val="18"/>
                <w:lang w:val="en-GB"/>
              </w:rPr>
            </w:pPr>
            <w:r>
              <w:rPr>
                <w:sz w:val="18"/>
              </w:rPr>
              <w:t>–7</w:t>
            </w:r>
            <w:r>
              <w:rPr>
                <w:rFonts w:hint="eastAsia"/>
                <w:sz w:val="18"/>
                <w:lang w:eastAsia="zh-CN"/>
              </w:rPr>
              <w:t>线性</w:t>
            </w:r>
            <w:r>
              <w:rPr>
                <w:sz w:val="18"/>
              </w:rPr>
              <w:br/>
            </w:r>
            <w:r>
              <w:rPr>
                <w:sz w:val="18"/>
              </w:rPr>
              <w:t>（</w:t>
            </w:r>
            <w:r>
              <w:rPr>
                <w:sz w:val="18"/>
              </w:rPr>
              <w:t xml:space="preserve">&lt; 10° </w:t>
            </w:r>
            <w:r>
              <w:rPr>
                <w:rFonts w:hint="eastAsia"/>
                <w:sz w:val="18"/>
                <w:lang w:eastAsia="zh-CN"/>
              </w:rPr>
              <w:t>仰角</w:t>
            </w:r>
            <w:r>
              <w:rPr>
                <w:sz w:val="18"/>
              </w:rPr>
              <w:t>）</w:t>
            </w:r>
          </w:p>
        </w:tc>
        <w:tc>
          <w:tcPr>
            <w:tcW w:w="813" w:type="dxa"/>
            <w:tcBorders>
              <w:top w:val="single" w:sz="4" w:space="0" w:color="auto"/>
              <w:left w:val="single" w:sz="4" w:space="0" w:color="auto"/>
              <w:bottom w:val="single" w:sz="4" w:space="0" w:color="auto"/>
              <w:right w:val="single" w:sz="4" w:space="0" w:color="auto"/>
            </w:tcBorders>
            <w:vAlign w:val="center"/>
          </w:tcPr>
          <w:p w14:paraId="595203CA" w14:textId="77777777" w:rsidR="00EF5BF3" w:rsidRDefault="00551D2B">
            <w:pPr>
              <w:pStyle w:val="Tabletext"/>
              <w:spacing w:before="20" w:after="20"/>
              <w:jc w:val="center"/>
              <w:rPr>
                <w:sz w:val="18"/>
                <w:szCs w:val="18"/>
                <w:lang w:val="en-GB"/>
              </w:rPr>
            </w:pPr>
            <w:r>
              <w:rPr>
                <w:sz w:val="18"/>
              </w:rPr>
              <w:t>–7</w:t>
            </w:r>
            <w:r>
              <w:rPr>
                <w:rFonts w:hint="eastAsia"/>
                <w:sz w:val="18"/>
                <w:lang w:eastAsia="zh-CN"/>
              </w:rPr>
              <w:t>线性</w:t>
            </w:r>
            <w:r>
              <w:rPr>
                <w:sz w:val="18"/>
              </w:rPr>
              <w:br/>
            </w:r>
            <w:r>
              <w:rPr>
                <w:sz w:val="18"/>
              </w:rPr>
              <w:t>（</w:t>
            </w:r>
            <w:r>
              <w:rPr>
                <w:sz w:val="18"/>
              </w:rPr>
              <w:t xml:space="preserve">&lt; 10° </w:t>
            </w:r>
            <w:r>
              <w:rPr>
                <w:rFonts w:hint="eastAsia"/>
                <w:sz w:val="18"/>
                <w:lang w:eastAsia="zh-CN"/>
              </w:rPr>
              <w:t>仰角</w:t>
            </w:r>
            <w:r>
              <w:rPr>
                <w:sz w:val="18"/>
              </w:rPr>
              <w:t>）</w:t>
            </w:r>
          </w:p>
        </w:tc>
        <w:tc>
          <w:tcPr>
            <w:tcW w:w="1745" w:type="dxa"/>
            <w:gridSpan w:val="2"/>
            <w:tcBorders>
              <w:top w:val="single" w:sz="4" w:space="0" w:color="auto"/>
              <w:left w:val="single" w:sz="4" w:space="0" w:color="auto"/>
              <w:bottom w:val="single" w:sz="4" w:space="0" w:color="auto"/>
              <w:right w:val="single" w:sz="4" w:space="0" w:color="auto"/>
            </w:tcBorders>
            <w:vAlign w:val="center"/>
          </w:tcPr>
          <w:p w14:paraId="3A684C67" w14:textId="77777777" w:rsidR="00EF5BF3" w:rsidRDefault="00551D2B">
            <w:pPr>
              <w:pStyle w:val="Tabletext"/>
              <w:spacing w:before="20" w:after="20"/>
              <w:jc w:val="center"/>
              <w:rPr>
                <w:sz w:val="18"/>
                <w:szCs w:val="18"/>
                <w:lang w:val="en-GB"/>
              </w:rPr>
            </w:pPr>
            <w:r>
              <w:rPr>
                <w:sz w:val="18"/>
                <w:szCs w:val="18"/>
                <w:lang w:val="en-GB"/>
              </w:rPr>
              <w:t>−6</w:t>
            </w:r>
            <w:r>
              <w:rPr>
                <w:rFonts w:hint="eastAsia"/>
                <w:sz w:val="18"/>
                <w:lang w:eastAsia="zh-CN"/>
              </w:rPr>
              <w:t>环形</w:t>
            </w:r>
            <w:r>
              <w:rPr>
                <w:sz w:val="18"/>
                <w:szCs w:val="18"/>
                <w:lang w:val="en-GB"/>
              </w:rPr>
              <w:br/>
            </w:r>
            <w:r>
              <w:rPr>
                <w:sz w:val="18"/>
                <w:szCs w:val="18"/>
                <w:lang w:val="en-GB"/>
              </w:rPr>
              <w:t>（</w:t>
            </w:r>
            <w:r>
              <w:rPr>
                <w:rFonts w:hint="eastAsia"/>
                <w:sz w:val="18"/>
                <w:szCs w:val="18"/>
                <w:lang w:val="en-GB" w:eastAsia="zh-CN"/>
              </w:rPr>
              <w:t>注</w:t>
            </w:r>
            <w:r>
              <w:rPr>
                <w:sz w:val="18"/>
                <w:szCs w:val="18"/>
                <w:lang w:val="en-GB"/>
              </w:rPr>
              <w:t>15</w:t>
            </w:r>
            <w:r>
              <w:rPr>
                <w:sz w:val="18"/>
                <w:szCs w:val="18"/>
                <w:lang w:val="en-GB"/>
              </w:rPr>
              <w:t>）</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4E47D419" w14:textId="77777777" w:rsidR="00EF5BF3" w:rsidRDefault="00551D2B">
            <w:pPr>
              <w:pStyle w:val="Tabletext"/>
              <w:spacing w:before="20" w:after="20"/>
              <w:jc w:val="center"/>
              <w:rPr>
                <w:sz w:val="18"/>
                <w:szCs w:val="18"/>
                <w:lang w:val="en-GB" w:eastAsia="ja-JP"/>
              </w:rPr>
            </w:pPr>
            <w:r>
              <w:rPr>
                <w:sz w:val="18"/>
                <w:szCs w:val="18"/>
                <w:lang w:val="en-GB"/>
              </w:rPr>
              <w:t>−</w:t>
            </w:r>
            <w:r>
              <w:rPr>
                <w:sz w:val="18"/>
                <w:szCs w:val="18"/>
                <w:lang w:val="en-GB" w:eastAsia="ja-JP"/>
              </w:rPr>
              <w:t>10</w:t>
            </w:r>
            <w:r>
              <w:rPr>
                <w:rFonts w:hint="eastAsia"/>
                <w:sz w:val="18"/>
                <w:lang w:eastAsia="zh-CN"/>
              </w:rPr>
              <w:t>环形</w:t>
            </w:r>
          </w:p>
        </w:tc>
        <w:tc>
          <w:tcPr>
            <w:tcW w:w="2438" w:type="dxa"/>
            <w:gridSpan w:val="3"/>
            <w:tcBorders>
              <w:top w:val="single" w:sz="4" w:space="0" w:color="auto"/>
              <w:left w:val="single" w:sz="4" w:space="0" w:color="auto"/>
              <w:bottom w:val="single" w:sz="4" w:space="0" w:color="auto"/>
              <w:right w:val="single" w:sz="4" w:space="0" w:color="auto"/>
            </w:tcBorders>
            <w:vAlign w:val="center"/>
          </w:tcPr>
          <w:p w14:paraId="34A0A444" w14:textId="77777777" w:rsidR="00EF5BF3" w:rsidRDefault="00551D2B">
            <w:pPr>
              <w:pStyle w:val="Tabletext"/>
              <w:spacing w:before="20" w:after="20"/>
              <w:jc w:val="center"/>
              <w:rPr>
                <w:sz w:val="18"/>
                <w:szCs w:val="18"/>
                <w:lang w:val="en-GB"/>
              </w:rPr>
            </w:pPr>
            <w:r>
              <w:rPr>
                <w:sz w:val="18"/>
                <w:szCs w:val="18"/>
                <w:lang w:eastAsia="ja-JP"/>
              </w:rPr>
              <w:t>6</w:t>
            </w:r>
            <w:r>
              <w:rPr>
                <w:sz w:val="18"/>
                <w:szCs w:val="18"/>
                <w:lang w:eastAsia="ja-JP"/>
              </w:rPr>
              <w:br/>
            </w:r>
            <w:r>
              <w:rPr>
                <w:sz w:val="18"/>
                <w:szCs w:val="18"/>
                <w:lang w:eastAsia="ja-JP"/>
              </w:rPr>
              <w:t>（</w:t>
            </w:r>
            <w:r>
              <w:rPr>
                <w:rFonts w:hint="eastAsia"/>
                <w:sz w:val="18"/>
                <w:szCs w:val="18"/>
                <w:lang w:eastAsia="ja-JP"/>
              </w:rPr>
              <w:t>注</w:t>
            </w:r>
            <w:r>
              <w:rPr>
                <w:sz w:val="18"/>
                <w:szCs w:val="18"/>
                <w:lang w:eastAsia="ja-JP"/>
              </w:rPr>
              <w:t>12</w:t>
            </w:r>
            <w:r>
              <w:rPr>
                <w:sz w:val="18"/>
                <w:szCs w:val="18"/>
                <w:lang w:eastAsia="ja-JP"/>
              </w:rPr>
              <w:t>）</w:t>
            </w:r>
          </w:p>
        </w:tc>
        <w:tc>
          <w:tcPr>
            <w:tcW w:w="733" w:type="dxa"/>
            <w:tcBorders>
              <w:top w:val="single" w:sz="4" w:space="0" w:color="auto"/>
              <w:left w:val="single" w:sz="4" w:space="0" w:color="auto"/>
              <w:bottom w:val="single" w:sz="4" w:space="0" w:color="auto"/>
              <w:right w:val="single" w:sz="4" w:space="0" w:color="auto"/>
            </w:tcBorders>
            <w:vAlign w:val="center"/>
          </w:tcPr>
          <w:p w14:paraId="11CA8EBC" w14:textId="77777777" w:rsidR="00EF5BF3" w:rsidRDefault="00551D2B">
            <w:pPr>
              <w:pStyle w:val="Tabletext"/>
              <w:spacing w:before="20" w:after="20"/>
              <w:jc w:val="center"/>
              <w:rPr>
                <w:sz w:val="18"/>
                <w:szCs w:val="18"/>
                <w:lang w:val="en-GB" w:eastAsia="ja-JP"/>
              </w:rPr>
            </w:pPr>
            <w:r>
              <w:rPr>
                <w:sz w:val="18"/>
                <w:szCs w:val="18"/>
                <w:lang w:val="en-GB"/>
              </w:rPr>
              <w:t>−</w:t>
            </w:r>
            <w:r>
              <w:rPr>
                <w:sz w:val="18"/>
                <w:szCs w:val="18"/>
                <w:lang w:val="en-GB" w:eastAsia="ja-JP"/>
              </w:rPr>
              <w:t>9</w:t>
            </w:r>
          </w:p>
        </w:tc>
        <w:tc>
          <w:tcPr>
            <w:tcW w:w="1591" w:type="dxa"/>
            <w:gridSpan w:val="3"/>
            <w:tcBorders>
              <w:top w:val="single" w:sz="4" w:space="0" w:color="auto"/>
              <w:left w:val="single" w:sz="4" w:space="0" w:color="auto"/>
              <w:bottom w:val="single" w:sz="4" w:space="0" w:color="auto"/>
              <w:right w:val="single" w:sz="4" w:space="0" w:color="auto"/>
            </w:tcBorders>
            <w:vAlign w:val="center"/>
          </w:tcPr>
          <w:p w14:paraId="22D28775" w14:textId="77777777" w:rsidR="00EF5BF3" w:rsidRDefault="00551D2B">
            <w:pPr>
              <w:pStyle w:val="Tabletext"/>
              <w:spacing w:before="20" w:after="20"/>
              <w:jc w:val="center"/>
              <w:rPr>
                <w:sz w:val="18"/>
                <w:szCs w:val="18"/>
                <w:lang w:val="en-GB"/>
              </w:rPr>
            </w:pPr>
            <w:r>
              <w:rPr>
                <w:sz w:val="18"/>
                <w:szCs w:val="18"/>
                <w:lang w:eastAsia="ja-JP"/>
              </w:rPr>
              <w:t>6</w:t>
            </w:r>
            <w:r>
              <w:rPr>
                <w:sz w:val="18"/>
                <w:szCs w:val="18"/>
                <w:lang w:eastAsia="ja-JP"/>
              </w:rPr>
              <w:br/>
            </w:r>
            <w:r>
              <w:rPr>
                <w:sz w:val="18"/>
                <w:szCs w:val="18"/>
                <w:lang w:eastAsia="ja-JP"/>
              </w:rPr>
              <w:t>（</w:t>
            </w:r>
            <w:r>
              <w:rPr>
                <w:rFonts w:hint="eastAsia"/>
                <w:sz w:val="18"/>
                <w:szCs w:val="18"/>
                <w:lang w:eastAsia="ja-JP"/>
              </w:rPr>
              <w:t>注</w:t>
            </w:r>
            <w:r>
              <w:rPr>
                <w:sz w:val="18"/>
                <w:szCs w:val="18"/>
                <w:lang w:eastAsia="ja-JP"/>
              </w:rPr>
              <w:t>12</w:t>
            </w:r>
            <w:r>
              <w:rPr>
                <w:sz w:val="18"/>
                <w:szCs w:val="18"/>
                <w:lang w:eastAsia="ja-JP"/>
              </w:rPr>
              <w:t>）</w:t>
            </w:r>
          </w:p>
        </w:tc>
        <w:tc>
          <w:tcPr>
            <w:tcW w:w="771" w:type="dxa"/>
            <w:tcBorders>
              <w:top w:val="single" w:sz="4" w:space="0" w:color="auto"/>
              <w:left w:val="single" w:sz="4" w:space="0" w:color="auto"/>
              <w:bottom w:val="single" w:sz="4" w:space="0" w:color="auto"/>
              <w:right w:val="single" w:sz="4" w:space="0" w:color="auto"/>
            </w:tcBorders>
            <w:vAlign w:val="center"/>
          </w:tcPr>
          <w:p w14:paraId="01A36016" w14:textId="77777777" w:rsidR="00EF5BF3" w:rsidRDefault="00551D2B">
            <w:pPr>
              <w:pStyle w:val="Tabletext"/>
              <w:spacing w:before="20" w:after="20"/>
              <w:jc w:val="center"/>
              <w:rPr>
                <w:sz w:val="18"/>
                <w:szCs w:val="18"/>
                <w:lang w:val="en-GB" w:eastAsia="ja-JP"/>
              </w:rPr>
            </w:pPr>
            <w:r>
              <w:rPr>
                <w:sz w:val="18"/>
                <w:szCs w:val="18"/>
                <w:lang w:val="en-GB"/>
              </w:rPr>
              <w:t>−</w:t>
            </w:r>
            <w:r>
              <w:rPr>
                <w:sz w:val="18"/>
                <w:szCs w:val="18"/>
                <w:lang w:val="en-GB" w:eastAsia="ja-JP"/>
              </w:rPr>
              <w:t>10</w:t>
            </w:r>
          </w:p>
        </w:tc>
      </w:tr>
      <w:tr w:rsidR="00EF5BF3" w14:paraId="51BD29EC" w14:textId="77777777" w:rsidTr="00F21BD6">
        <w:trPr>
          <w:cantSplit/>
          <w:jc w:val="center"/>
        </w:trPr>
        <w:tc>
          <w:tcPr>
            <w:tcW w:w="1784" w:type="dxa"/>
            <w:tcBorders>
              <w:top w:val="single" w:sz="4" w:space="0" w:color="auto"/>
              <w:left w:val="single" w:sz="4" w:space="0" w:color="auto"/>
              <w:bottom w:val="single" w:sz="4" w:space="0" w:color="auto"/>
              <w:right w:val="single" w:sz="4" w:space="0" w:color="auto"/>
            </w:tcBorders>
          </w:tcPr>
          <w:p w14:paraId="54D82852" w14:textId="77777777" w:rsidR="00EF5BF3" w:rsidRDefault="00551D2B">
            <w:pPr>
              <w:pStyle w:val="Tabletext"/>
              <w:spacing w:before="20" w:after="20"/>
              <w:jc w:val="left"/>
              <w:rPr>
                <w:sz w:val="18"/>
                <w:szCs w:val="18"/>
                <w:lang w:val="en-GB" w:eastAsia="zh-CN"/>
              </w:rPr>
            </w:pPr>
            <w:r>
              <w:rPr>
                <w:sz w:val="18"/>
                <w:lang w:val="de-DE" w:eastAsia="zh-CN"/>
              </w:rPr>
              <w:t>RF</w:t>
            </w:r>
            <w:r>
              <w:rPr>
                <w:rFonts w:hint="eastAsia"/>
                <w:sz w:val="18"/>
                <w:lang w:val="de-DE" w:eastAsia="zh-CN"/>
              </w:rPr>
              <w:t>滤波器</w:t>
            </w:r>
            <w:r>
              <w:rPr>
                <w:sz w:val="18"/>
                <w:lang w:val="de-DE" w:eastAsia="zh-CN"/>
              </w:rPr>
              <w:t>3 dB</w:t>
            </w:r>
            <w:r>
              <w:rPr>
                <w:rFonts w:hint="eastAsia"/>
                <w:sz w:val="18"/>
                <w:lang w:val="de-DE" w:eastAsia="zh-CN"/>
              </w:rPr>
              <w:t>带宽</w:t>
            </w:r>
            <w:r>
              <w:rPr>
                <w:sz w:val="18"/>
                <w:lang w:val="de-DE" w:eastAsia="zh-CN"/>
              </w:rPr>
              <w:t>（</w:t>
            </w:r>
            <w:r>
              <w:rPr>
                <w:sz w:val="18"/>
                <w:lang w:val="de-DE" w:eastAsia="zh-CN"/>
              </w:rPr>
              <w:t>MHz</w:t>
            </w:r>
            <w:r>
              <w:rPr>
                <w:sz w:val="18"/>
                <w:lang w:val="de-DE" w:eastAsia="zh-CN"/>
              </w:rPr>
              <w:t>）</w:t>
            </w:r>
          </w:p>
        </w:tc>
        <w:tc>
          <w:tcPr>
            <w:tcW w:w="1035" w:type="dxa"/>
            <w:tcBorders>
              <w:top w:val="single" w:sz="4" w:space="0" w:color="auto"/>
              <w:left w:val="single" w:sz="4" w:space="0" w:color="auto"/>
              <w:bottom w:val="single" w:sz="4" w:space="0" w:color="auto"/>
              <w:right w:val="single" w:sz="4" w:space="0" w:color="auto"/>
            </w:tcBorders>
            <w:vAlign w:val="center"/>
          </w:tcPr>
          <w:p w14:paraId="038FB5F9" w14:textId="77777777" w:rsidR="00EF5BF3" w:rsidRDefault="00551D2B">
            <w:pPr>
              <w:pStyle w:val="Tabletext"/>
              <w:spacing w:before="20" w:after="20"/>
              <w:jc w:val="center"/>
              <w:rPr>
                <w:sz w:val="18"/>
                <w:szCs w:val="18"/>
                <w:lang w:val="en-GB"/>
              </w:rPr>
            </w:pPr>
            <w:r>
              <w:rPr>
                <w:sz w:val="18"/>
                <w:szCs w:val="18"/>
                <w:lang w:val="en-GB"/>
              </w:rPr>
              <w:t>24.0</w:t>
            </w:r>
          </w:p>
        </w:tc>
        <w:tc>
          <w:tcPr>
            <w:tcW w:w="893" w:type="dxa"/>
            <w:tcBorders>
              <w:top w:val="single" w:sz="4" w:space="0" w:color="auto"/>
              <w:left w:val="single" w:sz="4" w:space="0" w:color="auto"/>
              <w:bottom w:val="single" w:sz="4" w:space="0" w:color="auto"/>
              <w:right w:val="single" w:sz="4" w:space="0" w:color="auto"/>
            </w:tcBorders>
            <w:vAlign w:val="center"/>
          </w:tcPr>
          <w:p w14:paraId="3B44BF50" w14:textId="77777777" w:rsidR="00EF5BF3" w:rsidRDefault="00551D2B">
            <w:pPr>
              <w:pStyle w:val="Tabletext"/>
              <w:spacing w:before="20" w:after="20"/>
              <w:jc w:val="center"/>
              <w:rPr>
                <w:sz w:val="18"/>
                <w:szCs w:val="18"/>
                <w:lang w:val="en-GB" w:eastAsia="ja-JP"/>
              </w:rPr>
            </w:pPr>
            <w:r>
              <w:rPr>
                <w:sz w:val="18"/>
                <w:szCs w:val="18"/>
                <w:lang w:val="en-GB"/>
              </w:rPr>
              <w:t>24.0</w:t>
            </w:r>
          </w:p>
        </w:tc>
        <w:tc>
          <w:tcPr>
            <w:tcW w:w="813" w:type="dxa"/>
            <w:tcBorders>
              <w:top w:val="single" w:sz="4" w:space="0" w:color="auto"/>
              <w:left w:val="single" w:sz="4" w:space="0" w:color="auto"/>
              <w:bottom w:val="single" w:sz="4" w:space="0" w:color="auto"/>
              <w:right w:val="single" w:sz="4" w:space="0" w:color="auto"/>
            </w:tcBorders>
            <w:vAlign w:val="center"/>
          </w:tcPr>
          <w:p w14:paraId="576C4032" w14:textId="77777777" w:rsidR="00EF5BF3" w:rsidRDefault="00551D2B">
            <w:pPr>
              <w:pStyle w:val="Tabletext"/>
              <w:spacing w:before="20" w:after="20"/>
              <w:jc w:val="center"/>
              <w:rPr>
                <w:sz w:val="18"/>
                <w:szCs w:val="18"/>
                <w:lang w:val="en-GB"/>
              </w:rPr>
            </w:pPr>
            <w:r>
              <w:rPr>
                <w:sz w:val="18"/>
                <w:szCs w:val="18"/>
                <w:lang w:val="en-GB" w:eastAsia="ja-JP"/>
              </w:rPr>
              <w:t>24.0</w:t>
            </w:r>
          </w:p>
        </w:tc>
        <w:tc>
          <w:tcPr>
            <w:tcW w:w="813" w:type="dxa"/>
            <w:tcBorders>
              <w:top w:val="single" w:sz="4" w:space="0" w:color="auto"/>
              <w:left w:val="single" w:sz="4" w:space="0" w:color="auto"/>
              <w:bottom w:val="single" w:sz="4" w:space="0" w:color="auto"/>
              <w:right w:val="single" w:sz="4" w:space="0" w:color="auto"/>
            </w:tcBorders>
            <w:vAlign w:val="center"/>
          </w:tcPr>
          <w:p w14:paraId="6EE799B9" w14:textId="77777777" w:rsidR="00EF5BF3" w:rsidRDefault="00551D2B">
            <w:pPr>
              <w:pStyle w:val="Tabletext"/>
              <w:spacing w:before="20" w:after="20"/>
              <w:jc w:val="center"/>
              <w:rPr>
                <w:sz w:val="18"/>
                <w:szCs w:val="18"/>
                <w:lang w:val="en-GB"/>
              </w:rPr>
            </w:pPr>
            <w:r>
              <w:rPr>
                <w:sz w:val="18"/>
                <w:szCs w:val="18"/>
                <w:lang w:val="en-GB" w:eastAsia="ja-JP"/>
              </w:rPr>
              <w:t>24.0</w:t>
            </w:r>
          </w:p>
        </w:tc>
        <w:tc>
          <w:tcPr>
            <w:tcW w:w="894" w:type="dxa"/>
            <w:tcBorders>
              <w:top w:val="single" w:sz="4" w:space="0" w:color="auto"/>
              <w:left w:val="single" w:sz="4" w:space="0" w:color="auto"/>
              <w:bottom w:val="single" w:sz="4" w:space="0" w:color="auto"/>
              <w:right w:val="single" w:sz="4" w:space="0" w:color="auto"/>
            </w:tcBorders>
            <w:vAlign w:val="center"/>
          </w:tcPr>
          <w:p w14:paraId="46014D10" w14:textId="77777777" w:rsidR="00EF5BF3" w:rsidRDefault="00551D2B">
            <w:pPr>
              <w:pStyle w:val="Tabletext"/>
              <w:spacing w:before="20" w:after="20"/>
              <w:jc w:val="center"/>
              <w:rPr>
                <w:sz w:val="18"/>
                <w:szCs w:val="18"/>
                <w:lang w:val="en-GB" w:eastAsia="ja-JP"/>
              </w:rPr>
            </w:pPr>
            <w:r>
              <w:rPr>
                <w:sz w:val="18"/>
                <w:szCs w:val="18"/>
                <w:lang w:val="en-GB" w:eastAsia="ja-JP"/>
              </w:rPr>
              <w:t>40.92</w:t>
            </w:r>
            <w:r>
              <w:rPr>
                <w:sz w:val="18"/>
                <w:szCs w:val="18"/>
                <w:lang w:val="en-GB"/>
              </w:rPr>
              <w:br/>
            </w:r>
            <w:r>
              <w:rPr>
                <w:sz w:val="18"/>
                <w:szCs w:val="18"/>
                <w:lang w:val="en-GB" w:eastAsia="ja-JP"/>
              </w:rPr>
              <w:t>（</w:t>
            </w:r>
            <w:r>
              <w:rPr>
                <w:rFonts w:hint="eastAsia"/>
                <w:sz w:val="18"/>
                <w:szCs w:val="18"/>
                <w:lang w:val="en-GB" w:eastAsia="zh-CN"/>
              </w:rPr>
              <w:t>注</w:t>
            </w:r>
            <w:r>
              <w:rPr>
                <w:sz w:val="18"/>
                <w:szCs w:val="18"/>
                <w:lang w:val="en-GB" w:eastAsia="ja-JP"/>
              </w:rPr>
              <w:t>18</w:t>
            </w:r>
            <w:r>
              <w:rPr>
                <w:sz w:val="18"/>
                <w:szCs w:val="18"/>
                <w:lang w:val="en-GB" w:eastAsia="ja-JP"/>
              </w:rPr>
              <w:t>）</w:t>
            </w:r>
          </w:p>
        </w:tc>
        <w:tc>
          <w:tcPr>
            <w:tcW w:w="851" w:type="dxa"/>
            <w:tcBorders>
              <w:top w:val="single" w:sz="4" w:space="0" w:color="auto"/>
              <w:left w:val="single" w:sz="4" w:space="0" w:color="auto"/>
              <w:bottom w:val="single" w:sz="4" w:space="0" w:color="auto"/>
              <w:right w:val="single" w:sz="4" w:space="0" w:color="auto"/>
            </w:tcBorders>
            <w:vAlign w:val="center"/>
          </w:tcPr>
          <w:p w14:paraId="3AF62638" w14:textId="77777777" w:rsidR="00EF5BF3" w:rsidRDefault="00551D2B">
            <w:pPr>
              <w:pStyle w:val="Tabletext"/>
              <w:spacing w:before="20" w:after="20"/>
              <w:jc w:val="center"/>
              <w:rPr>
                <w:sz w:val="18"/>
                <w:szCs w:val="18"/>
                <w:lang w:val="en-GB" w:eastAsia="ja-JP"/>
              </w:rPr>
            </w:pPr>
            <w:r>
              <w:rPr>
                <w:sz w:val="18"/>
                <w:szCs w:val="18"/>
                <w:lang w:val="en-GB" w:eastAsia="ja-JP"/>
              </w:rPr>
              <w:t>42.0</w:t>
            </w:r>
            <w:r>
              <w:rPr>
                <w:sz w:val="18"/>
                <w:szCs w:val="18"/>
                <w:lang w:val="en-GB"/>
              </w:rPr>
              <w:br/>
            </w:r>
            <w:r>
              <w:rPr>
                <w:sz w:val="18"/>
                <w:szCs w:val="18"/>
                <w:lang w:val="en-GB" w:eastAsia="ja-JP"/>
              </w:rPr>
              <w:t>（</w:t>
            </w:r>
            <w:r>
              <w:rPr>
                <w:rFonts w:hint="eastAsia"/>
                <w:sz w:val="18"/>
                <w:szCs w:val="18"/>
                <w:lang w:val="en-GB" w:eastAsia="zh-CN"/>
              </w:rPr>
              <w:t>注</w:t>
            </w:r>
            <w:r>
              <w:rPr>
                <w:sz w:val="18"/>
                <w:szCs w:val="18"/>
                <w:lang w:val="en-GB" w:eastAsia="ja-JP"/>
              </w:rPr>
              <w:t>18</w:t>
            </w:r>
            <w:r>
              <w:rPr>
                <w:sz w:val="18"/>
                <w:szCs w:val="18"/>
                <w:lang w:val="en-GB" w:eastAsia="ja-JP"/>
              </w:rPr>
              <w:t>）</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10251028" w14:textId="77777777" w:rsidR="00EF5BF3" w:rsidRDefault="00551D2B">
            <w:pPr>
              <w:pStyle w:val="Tabletext"/>
              <w:spacing w:before="20" w:after="20"/>
              <w:jc w:val="center"/>
              <w:rPr>
                <w:sz w:val="18"/>
                <w:szCs w:val="18"/>
                <w:lang w:val="en-GB" w:eastAsia="ja-JP"/>
              </w:rPr>
            </w:pPr>
            <w:r>
              <w:rPr>
                <w:sz w:val="18"/>
                <w:szCs w:val="18"/>
                <w:lang w:val="en-GB" w:eastAsia="ja-JP"/>
              </w:rPr>
              <w:t>30</w:t>
            </w:r>
          </w:p>
        </w:tc>
        <w:tc>
          <w:tcPr>
            <w:tcW w:w="522" w:type="dxa"/>
            <w:tcBorders>
              <w:top w:val="single" w:sz="4" w:space="0" w:color="auto"/>
              <w:left w:val="single" w:sz="4" w:space="0" w:color="auto"/>
              <w:bottom w:val="single" w:sz="4" w:space="0" w:color="auto"/>
              <w:right w:val="single" w:sz="4" w:space="0" w:color="auto"/>
            </w:tcBorders>
            <w:vAlign w:val="center"/>
          </w:tcPr>
          <w:p w14:paraId="78E991E3" w14:textId="77777777" w:rsidR="00EF5BF3" w:rsidRDefault="00551D2B">
            <w:pPr>
              <w:pStyle w:val="Tabletext"/>
              <w:spacing w:before="20" w:after="20"/>
              <w:jc w:val="center"/>
              <w:rPr>
                <w:sz w:val="18"/>
                <w:szCs w:val="18"/>
                <w:lang w:val="en-GB" w:eastAsia="ja-JP"/>
              </w:rPr>
            </w:pPr>
            <w:r>
              <w:rPr>
                <w:sz w:val="18"/>
                <w:szCs w:val="18"/>
                <w:lang w:val="en-GB" w:eastAsia="ja-JP"/>
              </w:rPr>
              <w:t>32</w:t>
            </w:r>
          </w:p>
        </w:tc>
        <w:tc>
          <w:tcPr>
            <w:tcW w:w="1916" w:type="dxa"/>
            <w:gridSpan w:val="2"/>
            <w:tcBorders>
              <w:top w:val="single" w:sz="4" w:space="0" w:color="auto"/>
              <w:left w:val="single" w:sz="4" w:space="0" w:color="auto"/>
              <w:bottom w:val="single" w:sz="4" w:space="0" w:color="auto"/>
              <w:right w:val="single" w:sz="4" w:space="0" w:color="auto"/>
            </w:tcBorders>
            <w:vAlign w:val="center"/>
          </w:tcPr>
          <w:p w14:paraId="338EBCFB" w14:textId="77777777" w:rsidR="00EF5BF3" w:rsidRDefault="00551D2B">
            <w:pPr>
              <w:pStyle w:val="Tabletext"/>
              <w:spacing w:before="20" w:after="20"/>
              <w:jc w:val="center"/>
              <w:rPr>
                <w:sz w:val="18"/>
                <w:szCs w:val="18"/>
                <w:lang w:val="en-GB" w:eastAsia="ja-JP"/>
              </w:rPr>
            </w:pPr>
            <w:r>
              <w:rPr>
                <w:sz w:val="18"/>
                <w:szCs w:val="18"/>
                <w:lang w:val="en-GB" w:eastAsia="ja-JP"/>
              </w:rPr>
              <w:t>30</w:t>
            </w:r>
          </w:p>
        </w:tc>
        <w:tc>
          <w:tcPr>
            <w:tcW w:w="733" w:type="dxa"/>
            <w:tcBorders>
              <w:top w:val="single" w:sz="4" w:space="0" w:color="auto"/>
              <w:left w:val="single" w:sz="4" w:space="0" w:color="auto"/>
              <w:bottom w:val="single" w:sz="4" w:space="0" w:color="auto"/>
              <w:right w:val="single" w:sz="4" w:space="0" w:color="auto"/>
            </w:tcBorders>
            <w:vAlign w:val="center"/>
          </w:tcPr>
          <w:p w14:paraId="05F4CB6B" w14:textId="77777777" w:rsidR="00EF5BF3" w:rsidRDefault="00551D2B">
            <w:pPr>
              <w:pStyle w:val="Tabletext"/>
              <w:spacing w:before="20" w:after="20"/>
              <w:jc w:val="center"/>
              <w:rPr>
                <w:sz w:val="18"/>
                <w:szCs w:val="18"/>
                <w:lang w:val="en-GB" w:eastAsia="ja-JP"/>
              </w:rPr>
            </w:pPr>
            <w:r>
              <w:rPr>
                <w:sz w:val="18"/>
                <w:szCs w:val="18"/>
                <w:lang w:val="en-GB" w:eastAsia="ja-JP"/>
              </w:rPr>
              <w:t>24</w:t>
            </w:r>
          </w:p>
        </w:tc>
        <w:tc>
          <w:tcPr>
            <w:tcW w:w="574" w:type="dxa"/>
            <w:tcBorders>
              <w:top w:val="single" w:sz="4" w:space="0" w:color="auto"/>
              <w:left w:val="single" w:sz="4" w:space="0" w:color="auto"/>
              <w:bottom w:val="single" w:sz="4" w:space="0" w:color="auto"/>
              <w:right w:val="single" w:sz="4" w:space="0" w:color="auto"/>
            </w:tcBorders>
            <w:vAlign w:val="center"/>
          </w:tcPr>
          <w:p w14:paraId="1B2C805F" w14:textId="77777777" w:rsidR="00EF5BF3" w:rsidRDefault="00551D2B">
            <w:pPr>
              <w:pStyle w:val="Tabletext"/>
              <w:spacing w:before="20" w:after="20"/>
              <w:jc w:val="center"/>
              <w:rPr>
                <w:sz w:val="18"/>
                <w:szCs w:val="18"/>
                <w:lang w:val="en-GB" w:eastAsia="ja-JP"/>
              </w:rPr>
            </w:pPr>
            <w:r>
              <w:rPr>
                <w:sz w:val="18"/>
                <w:szCs w:val="18"/>
                <w:lang w:val="en-GB" w:eastAsia="ja-JP"/>
              </w:rPr>
              <w:t>32</w:t>
            </w:r>
          </w:p>
        </w:tc>
        <w:tc>
          <w:tcPr>
            <w:tcW w:w="1017" w:type="dxa"/>
            <w:gridSpan w:val="2"/>
            <w:tcBorders>
              <w:top w:val="single" w:sz="4" w:space="0" w:color="auto"/>
              <w:left w:val="single" w:sz="4" w:space="0" w:color="auto"/>
              <w:bottom w:val="single" w:sz="4" w:space="0" w:color="auto"/>
              <w:right w:val="single" w:sz="4" w:space="0" w:color="auto"/>
            </w:tcBorders>
            <w:vAlign w:val="center"/>
          </w:tcPr>
          <w:p w14:paraId="15456E58" w14:textId="77777777" w:rsidR="00EF5BF3" w:rsidRDefault="00551D2B">
            <w:pPr>
              <w:pStyle w:val="Tabletext"/>
              <w:spacing w:before="20" w:after="20"/>
              <w:jc w:val="center"/>
              <w:rPr>
                <w:sz w:val="18"/>
                <w:szCs w:val="18"/>
                <w:lang w:val="en-GB" w:eastAsia="ja-JP"/>
              </w:rPr>
            </w:pPr>
            <w:r>
              <w:rPr>
                <w:sz w:val="18"/>
                <w:szCs w:val="18"/>
                <w:lang w:val="en-GB" w:eastAsia="ja-JP"/>
              </w:rPr>
              <w:t>30</w:t>
            </w:r>
          </w:p>
        </w:tc>
        <w:tc>
          <w:tcPr>
            <w:tcW w:w="771" w:type="dxa"/>
            <w:tcBorders>
              <w:top w:val="single" w:sz="4" w:space="0" w:color="auto"/>
              <w:left w:val="single" w:sz="4" w:space="0" w:color="auto"/>
              <w:bottom w:val="single" w:sz="4" w:space="0" w:color="auto"/>
              <w:right w:val="single" w:sz="4" w:space="0" w:color="auto"/>
            </w:tcBorders>
            <w:vAlign w:val="center"/>
          </w:tcPr>
          <w:p w14:paraId="23A6D16E" w14:textId="77777777" w:rsidR="00EF5BF3" w:rsidRDefault="00551D2B">
            <w:pPr>
              <w:pStyle w:val="Tabletext"/>
              <w:spacing w:before="20" w:after="20"/>
              <w:jc w:val="center"/>
              <w:rPr>
                <w:sz w:val="18"/>
                <w:szCs w:val="18"/>
                <w:lang w:val="en-GB" w:eastAsia="ja-JP"/>
              </w:rPr>
            </w:pPr>
            <w:r>
              <w:rPr>
                <w:sz w:val="18"/>
                <w:szCs w:val="18"/>
                <w:lang w:val="en-GB" w:eastAsia="ja-JP"/>
              </w:rPr>
              <w:t>24</w:t>
            </w:r>
          </w:p>
        </w:tc>
      </w:tr>
      <w:tr w:rsidR="00EF5BF3" w14:paraId="724AC5E9" w14:textId="77777777" w:rsidTr="00F21BD6">
        <w:trPr>
          <w:cantSplit/>
          <w:jc w:val="center"/>
        </w:trPr>
        <w:tc>
          <w:tcPr>
            <w:tcW w:w="1784" w:type="dxa"/>
            <w:tcBorders>
              <w:top w:val="single" w:sz="4" w:space="0" w:color="auto"/>
              <w:left w:val="single" w:sz="4" w:space="0" w:color="auto"/>
              <w:bottom w:val="single" w:sz="4" w:space="0" w:color="auto"/>
              <w:right w:val="single" w:sz="4" w:space="0" w:color="auto"/>
            </w:tcBorders>
          </w:tcPr>
          <w:p w14:paraId="60FE2F14" w14:textId="77777777" w:rsidR="00EF5BF3" w:rsidRDefault="00551D2B">
            <w:pPr>
              <w:pStyle w:val="Tabletext"/>
              <w:spacing w:before="20" w:after="20"/>
              <w:jc w:val="left"/>
              <w:rPr>
                <w:sz w:val="18"/>
                <w:szCs w:val="18"/>
                <w:lang w:val="en-GB" w:eastAsia="zh-CN"/>
              </w:rPr>
            </w:pPr>
            <w:proofErr w:type="gramStart"/>
            <w:r>
              <w:rPr>
                <w:rFonts w:hint="eastAsia"/>
                <w:sz w:val="18"/>
                <w:lang w:eastAsia="zh-CN"/>
              </w:rPr>
              <w:t>预相关</w:t>
            </w:r>
            <w:proofErr w:type="gramEnd"/>
            <w:r>
              <w:rPr>
                <w:rFonts w:hint="eastAsia"/>
                <w:sz w:val="18"/>
                <w:lang w:eastAsia="zh-CN"/>
              </w:rPr>
              <w:t>滤波器</w:t>
            </w:r>
            <w:r>
              <w:rPr>
                <w:sz w:val="18"/>
                <w:lang w:eastAsia="zh-CN"/>
              </w:rPr>
              <w:t>3 dB</w:t>
            </w:r>
            <w:r>
              <w:rPr>
                <w:rFonts w:hint="eastAsia"/>
                <w:sz w:val="18"/>
                <w:lang w:eastAsia="zh-CN"/>
              </w:rPr>
              <w:t>带宽</w:t>
            </w:r>
            <w:r>
              <w:rPr>
                <w:sz w:val="18"/>
                <w:lang w:eastAsia="zh-CN"/>
              </w:rPr>
              <w:t>（</w:t>
            </w:r>
            <w:r>
              <w:rPr>
                <w:sz w:val="18"/>
                <w:lang w:eastAsia="zh-CN"/>
              </w:rPr>
              <w:t>MHz</w:t>
            </w:r>
            <w:r>
              <w:rPr>
                <w:sz w:val="18"/>
                <w:lang w:eastAsia="zh-CN"/>
              </w:rPr>
              <w:t>）</w:t>
            </w:r>
          </w:p>
        </w:tc>
        <w:tc>
          <w:tcPr>
            <w:tcW w:w="1035" w:type="dxa"/>
            <w:tcBorders>
              <w:top w:val="single" w:sz="4" w:space="0" w:color="auto"/>
              <w:left w:val="single" w:sz="4" w:space="0" w:color="auto"/>
              <w:bottom w:val="single" w:sz="4" w:space="0" w:color="auto"/>
              <w:right w:val="single" w:sz="4" w:space="0" w:color="auto"/>
            </w:tcBorders>
            <w:vAlign w:val="center"/>
          </w:tcPr>
          <w:p w14:paraId="12610522" w14:textId="77777777" w:rsidR="00EF5BF3" w:rsidRDefault="00551D2B">
            <w:pPr>
              <w:pStyle w:val="Tabletext"/>
              <w:spacing w:before="20" w:after="20"/>
              <w:jc w:val="center"/>
              <w:rPr>
                <w:sz w:val="18"/>
                <w:szCs w:val="18"/>
                <w:lang w:val="en-GB"/>
              </w:rPr>
            </w:pPr>
            <w:r>
              <w:rPr>
                <w:sz w:val="18"/>
                <w:szCs w:val="18"/>
                <w:lang w:val="en-GB"/>
              </w:rPr>
              <w:t>20.46</w:t>
            </w:r>
          </w:p>
        </w:tc>
        <w:tc>
          <w:tcPr>
            <w:tcW w:w="893" w:type="dxa"/>
            <w:tcBorders>
              <w:top w:val="single" w:sz="4" w:space="0" w:color="auto"/>
              <w:left w:val="single" w:sz="4" w:space="0" w:color="auto"/>
              <w:bottom w:val="single" w:sz="4" w:space="0" w:color="auto"/>
              <w:right w:val="single" w:sz="4" w:space="0" w:color="auto"/>
            </w:tcBorders>
            <w:vAlign w:val="center"/>
          </w:tcPr>
          <w:p w14:paraId="2F0EAE49" w14:textId="77777777" w:rsidR="00EF5BF3" w:rsidRDefault="00551D2B">
            <w:pPr>
              <w:pStyle w:val="Tabletext"/>
              <w:spacing w:before="20" w:after="20"/>
              <w:jc w:val="center"/>
              <w:rPr>
                <w:sz w:val="18"/>
                <w:szCs w:val="18"/>
                <w:lang w:val="en-GB" w:eastAsia="ja-JP"/>
              </w:rPr>
            </w:pPr>
            <w:r>
              <w:rPr>
                <w:sz w:val="18"/>
                <w:szCs w:val="18"/>
                <w:lang w:val="en-GB"/>
              </w:rPr>
              <w:t>20.46</w:t>
            </w:r>
          </w:p>
        </w:tc>
        <w:tc>
          <w:tcPr>
            <w:tcW w:w="813" w:type="dxa"/>
            <w:tcBorders>
              <w:top w:val="single" w:sz="4" w:space="0" w:color="auto"/>
              <w:left w:val="single" w:sz="4" w:space="0" w:color="auto"/>
              <w:bottom w:val="single" w:sz="4" w:space="0" w:color="auto"/>
              <w:right w:val="single" w:sz="4" w:space="0" w:color="auto"/>
            </w:tcBorders>
            <w:vAlign w:val="center"/>
          </w:tcPr>
          <w:p w14:paraId="6141048E" w14:textId="77777777" w:rsidR="00EF5BF3" w:rsidRDefault="00551D2B">
            <w:pPr>
              <w:pStyle w:val="Tabletext"/>
              <w:spacing w:before="20" w:after="20"/>
              <w:jc w:val="center"/>
              <w:rPr>
                <w:sz w:val="18"/>
                <w:szCs w:val="18"/>
                <w:lang w:val="en-GB"/>
              </w:rPr>
            </w:pPr>
            <w:r>
              <w:rPr>
                <w:sz w:val="18"/>
                <w:szCs w:val="18"/>
                <w:lang w:val="en-GB" w:eastAsia="ja-JP"/>
              </w:rPr>
              <w:t>20.46</w:t>
            </w:r>
          </w:p>
        </w:tc>
        <w:tc>
          <w:tcPr>
            <w:tcW w:w="813" w:type="dxa"/>
            <w:tcBorders>
              <w:top w:val="single" w:sz="4" w:space="0" w:color="auto"/>
              <w:left w:val="single" w:sz="4" w:space="0" w:color="auto"/>
              <w:bottom w:val="single" w:sz="4" w:space="0" w:color="auto"/>
              <w:right w:val="single" w:sz="4" w:space="0" w:color="auto"/>
            </w:tcBorders>
            <w:vAlign w:val="center"/>
          </w:tcPr>
          <w:p w14:paraId="165893DB" w14:textId="77777777" w:rsidR="00EF5BF3" w:rsidRDefault="00551D2B">
            <w:pPr>
              <w:pStyle w:val="Tabletext"/>
              <w:spacing w:before="20" w:after="20"/>
              <w:jc w:val="center"/>
              <w:rPr>
                <w:sz w:val="18"/>
                <w:szCs w:val="18"/>
                <w:lang w:val="en-GB"/>
              </w:rPr>
            </w:pPr>
            <w:r>
              <w:rPr>
                <w:sz w:val="18"/>
                <w:szCs w:val="18"/>
                <w:lang w:val="en-GB" w:eastAsia="ja-JP"/>
              </w:rPr>
              <w:t>20.46</w:t>
            </w:r>
          </w:p>
        </w:tc>
        <w:tc>
          <w:tcPr>
            <w:tcW w:w="894" w:type="dxa"/>
            <w:tcBorders>
              <w:top w:val="single" w:sz="4" w:space="0" w:color="auto"/>
              <w:left w:val="single" w:sz="4" w:space="0" w:color="auto"/>
              <w:bottom w:val="single" w:sz="4" w:space="0" w:color="auto"/>
              <w:right w:val="single" w:sz="4" w:space="0" w:color="auto"/>
            </w:tcBorders>
            <w:vAlign w:val="center"/>
          </w:tcPr>
          <w:p w14:paraId="5F2CEAFC" w14:textId="77777777" w:rsidR="00EF5BF3" w:rsidRDefault="00551D2B">
            <w:pPr>
              <w:pStyle w:val="Tabletext"/>
              <w:spacing w:before="20" w:after="20"/>
              <w:jc w:val="center"/>
              <w:rPr>
                <w:sz w:val="18"/>
                <w:szCs w:val="18"/>
                <w:lang w:val="en-GB" w:eastAsia="ja-JP"/>
              </w:rPr>
            </w:pPr>
            <w:r>
              <w:rPr>
                <w:sz w:val="18"/>
                <w:szCs w:val="18"/>
                <w:lang w:val="en-GB" w:eastAsia="ja-JP"/>
              </w:rPr>
              <w:t>40.92</w:t>
            </w:r>
            <w:r>
              <w:rPr>
                <w:sz w:val="18"/>
                <w:szCs w:val="18"/>
                <w:lang w:val="en-GB"/>
              </w:rPr>
              <w:br/>
            </w:r>
            <w:r>
              <w:rPr>
                <w:sz w:val="18"/>
                <w:szCs w:val="18"/>
                <w:lang w:val="en-GB" w:eastAsia="ja-JP"/>
              </w:rPr>
              <w:t>（</w:t>
            </w:r>
            <w:r>
              <w:rPr>
                <w:rFonts w:hint="eastAsia"/>
                <w:sz w:val="18"/>
                <w:szCs w:val="18"/>
                <w:lang w:val="en-GB" w:eastAsia="zh-CN"/>
              </w:rPr>
              <w:t>注</w:t>
            </w:r>
            <w:r>
              <w:rPr>
                <w:sz w:val="18"/>
                <w:szCs w:val="18"/>
                <w:lang w:val="en-GB" w:eastAsia="ja-JP"/>
              </w:rPr>
              <w:t>18</w:t>
            </w:r>
            <w:r>
              <w:rPr>
                <w:sz w:val="18"/>
                <w:szCs w:val="18"/>
                <w:lang w:val="en-GB" w:eastAsia="ja-JP"/>
              </w:rPr>
              <w:t>）</w:t>
            </w:r>
          </w:p>
        </w:tc>
        <w:tc>
          <w:tcPr>
            <w:tcW w:w="851" w:type="dxa"/>
            <w:tcBorders>
              <w:top w:val="single" w:sz="4" w:space="0" w:color="auto"/>
              <w:left w:val="single" w:sz="4" w:space="0" w:color="auto"/>
              <w:bottom w:val="single" w:sz="4" w:space="0" w:color="auto"/>
              <w:right w:val="single" w:sz="4" w:space="0" w:color="auto"/>
            </w:tcBorders>
            <w:vAlign w:val="center"/>
          </w:tcPr>
          <w:p w14:paraId="593FA8C0" w14:textId="77777777" w:rsidR="00EF5BF3" w:rsidRDefault="00551D2B">
            <w:pPr>
              <w:pStyle w:val="Tabletext"/>
              <w:spacing w:before="20" w:after="20"/>
              <w:jc w:val="center"/>
              <w:rPr>
                <w:sz w:val="18"/>
                <w:szCs w:val="18"/>
                <w:lang w:val="en-GB" w:eastAsia="ja-JP"/>
              </w:rPr>
            </w:pPr>
            <w:r>
              <w:rPr>
                <w:sz w:val="18"/>
                <w:szCs w:val="18"/>
                <w:lang w:val="en-GB" w:eastAsia="ja-JP"/>
              </w:rPr>
              <w:t>42.0</w:t>
            </w:r>
            <w:r>
              <w:rPr>
                <w:sz w:val="18"/>
                <w:szCs w:val="18"/>
                <w:lang w:val="en-GB"/>
              </w:rPr>
              <w:br/>
            </w:r>
            <w:r>
              <w:rPr>
                <w:sz w:val="18"/>
                <w:szCs w:val="18"/>
                <w:lang w:val="en-GB" w:eastAsia="ja-JP"/>
              </w:rPr>
              <w:t>（</w:t>
            </w:r>
            <w:r>
              <w:rPr>
                <w:rFonts w:hint="eastAsia"/>
                <w:sz w:val="18"/>
                <w:szCs w:val="18"/>
                <w:lang w:val="en-GB" w:eastAsia="zh-CN"/>
              </w:rPr>
              <w:t>注</w:t>
            </w:r>
            <w:r>
              <w:rPr>
                <w:sz w:val="18"/>
                <w:szCs w:val="18"/>
                <w:lang w:val="en-GB" w:eastAsia="ja-JP"/>
              </w:rPr>
              <w:t>18</w:t>
            </w:r>
            <w:r>
              <w:rPr>
                <w:sz w:val="18"/>
                <w:szCs w:val="18"/>
                <w:lang w:val="en-GB" w:eastAsia="ja-JP"/>
              </w:rPr>
              <w:t>）</w:t>
            </w:r>
          </w:p>
        </w:tc>
        <w:tc>
          <w:tcPr>
            <w:tcW w:w="1056" w:type="dxa"/>
            <w:tcBorders>
              <w:top w:val="single" w:sz="4" w:space="0" w:color="auto"/>
              <w:left w:val="single" w:sz="4" w:space="0" w:color="auto"/>
              <w:bottom w:val="single" w:sz="4" w:space="0" w:color="auto"/>
              <w:right w:val="single" w:sz="4" w:space="0" w:color="auto"/>
            </w:tcBorders>
            <w:vAlign w:val="center"/>
          </w:tcPr>
          <w:p w14:paraId="7A39BA78" w14:textId="77777777" w:rsidR="00EF5BF3" w:rsidRDefault="00551D2B">
            <w:pPr>
              <w:pStyle w:val="Tabletext"/>
              <w:spacing w:before="20" w:after="20"/>
              <w:jc w:val="center"/>
              <w:rPr>
                <w:sz w:val="18"/>
                <w:szCs w:val="18"/>
                <w:lang w:val="en-GB" w:eastAsia="ja-JP"/>
              </w:rPr>
            </w:pPr>
            <w:r>
              <w:rPr>
                <w:sz w:val="18"/>
                <w:szCs w:val="18"/>
                <w:lang w:val="en-GB" w:eastAsia="ja-JP"/>
              </w:rPr>
              <w:t>20</w:t>
            </w:r>
          </w:p>
        </w:tc>
        <w:tc>
          <w:tcPr>
            <w:tcW w:w="787" w:type="dxa"/>
            <w:gridSpan w:val="2"/>
            <w:tcBorders>
              <w:top w:val="single" w:sz="4" w:space="0" w:color="auto"/>
              <w:left w:val="single" w:sz="4" w:space="0" w:color="auto"/>
              <w:bottom w:val="single" w:sz="4" w:space="0" w:color="auto"/>
              <w:right w:val="single" w:sz="4" w:space="0" w:color="auto"/>
            </w:tcBorders>
            <w:vAlign w:val="center"/>
          </w:tcPr>
          <w:p w14:paraId="13B37CF1" w14:textId="77777777" w:rsidR="00EF5BF3" w:rsidRDefault="00551D2B">
            <w:pPr>
              <w:pStyle w:val="Tabletext"/>
              <w:spacing w:before="20" w:after="20"/>
              <w:jc w:val="center"/>
              <w:rPr>
                <w:sz w:val="18"/>
                <w:szCs w:val="18"/>
                <w:lang w:val="en-GB" w:eastAsia="ja-JP"/>
              </w:rPr>
            </w:pPr>
            <w:r>
              <w:rPr>
                <w:sz w:val="18"/>
                <w:szCs w:val="18"/>
                <w:lang w:val="en-GB" w:eastAsia="ja-JP"/>
              </w:rPr>
              <w:t>25</w:t>
            </w:r>
          </w:p>
        </w:tc>
        <w:tc>
          <w:tcPr>
            <w:tcW w:w="522" w:type="dxa"/>
            <w:tcBorders>
              <w:top w:val="single" w:sz="4" w:space="0" w:color="auto"/>
              <w:left w:val="single" w:sz="4" w:space="0" w:color="auto"/>
              <w:bottom w:val="single" w:sz="4" w:space="0" w:color="auto"/>
              <w:right w:val="single" w:sz="4" w:space="0" w:color="auto"/>
            </w:tcBorders>
            <w:vAlign w:val="center"/>
          </w:tcPr>
          <w:p w14:paraId="67CCDA07" w14:textId="77777777" w:rsidR="00EF5BF3" w:rsidRDefault="00551D2B">
            <w:pPr>
              <w:pStyle w:val="Tabletext"/>
              <w:spacing w:before="20" w:after="20"/>
              <w:jc w:val="center"/>
              <w:rPr>
                <w:sz w:val="18"/>
                <w:szCs w:val="18"/>
                <w:lang w:val="en-GB" w:eastAsia="ja-JP"/>
              </w:rPr>
            </w:pPr>
            <w:r>
              <w:rPr>
                <w:sz w:val="18"/>
                <w:szCs w:val="18"/>
                <w:lang w:val="en-GB" w:eastAsia="ja-JP"/>
              </w:rPr>
              <w:t>2</w:t>
            </w:r>
          </w:p>
        </w:tc>
        <w:tc>
          <w:tcPr>
            <w:tcW w:w="1272" w:type="dxa"/>
            <w:tcBorders>
              <w:top w:val="single" w:sz="4" w:space="0" w:color="auto"/>
              <w:left w:val="single" w:sz="4" w:space="0" w:color="auto"/>
              <w:bottom w:val="single" w:sz="4" w:space="0" w:color="auto"/>
              <w:right w:val="single" w:sz="4" w:space="0" w:color="auto"/>
            </w:tcBorders>
            <w:vAlign w:val="center"/>
          </w:tcPr>
          <w:p w14:paraId="38D52C63" w14:textId="77777777" w:rsidR="00EF5BF3" w:rsidRDefault="00551D2B">
            <w:pPr>
              <w:pStyle w:val="Tabletext"/>
              <w:spacing w:before="20" w:after="20"/>
              <w:jc w:val="center"/>
              <w:rPr>
                <w:sz w:val="18"/>
                <w:szCs w:val="18"/>
                <w:lang w:val="en-GB" w:eastAsia="ja-JP"/>
              </w:rPr>
            </w:pPr>
            <w:r>
              <w:rPr>
                <w:sz w:val="18"/>
                <w:szCs w:val="18"/>
                <w:lang w:val="en-GB" w:eastAsia="ja-JP"/>
              </w:rPr>
              <w:t>20</w:t>
            </w:r>
          </w:p>
        </w:tc>
        <w:tc>
          <w:tcPr>
            <w:tcW w:w="644" w:type="dxa"/>
            <w:tcBorders>
              <w:top w:val="single" w:sz="4" w:space="0" w:color="auto"/>
              <w:left w:val="single" w:sz="4" w:space="0" w:color="auto"/>
              <w:bottom w:val="single" w:sz="4" w:space="0" w:color="auto"/>
              <w:right w:val="single" w:sz="4" w:space="0" w:color="auto"/>
            </w:tcBorders>
            <w:vAlign w:val="center"/>
          </w:tcPr>
          <w:p w14:paraId="6514B6BE" w14:textId="77777777" w:rsidR="00EF5BF3" w:rsidRDefault="00551D2B">
            <w:pPr>
              <w:pStyle w:val="Tabletext"/>
              <w:spacing w:before="20" w:after="20"/>
              <w:jc w:val="center"/>
              <w:rPr>
                <w:sz w:val="18"/>
                <w:szCs w:val="18"/>
                <w:lang w:val="en-GB" w:eastAsia="ja-JP"/>
              </w:rPr>
            </w:pPr>
            <w:r>
              <w:rPr>
                <w:sz w:val="18"/>
                <w:szCs w:val="18"/>
                <w:lang w:val="en-GB" w:eastAsia="ja-JP"/>
              </w:rPr>
              <w:t>25</w:t>
            </w:r>
          </w:p>
        </w:tc>
        <w:tc>
          <w:tcPr>
            <w:tcW w:w="733" w:type="dxa"/>
            <w:tcBorders>
              <w:top w:val="single" w:sz="4" w:space="0" w:color="auto"/>
              <w:left w:val="single" w:sz="4" w:space="0" w:color="auto"/>
              <w:bottom w:val="single" w:sz="4" w:space="0" w:color="auto"/>
              <w:right w:val="single" w:sz="4" w:space="0" w:color="auto"/>
            </w:tcBorders>
            <w:vAlign w:val="center"/>
          </w:tcPr>
          <w:p w14:paraId="66B37CA0" w14:textId="77777777" w:rsidR="00EF5BF3" w:rsidRDefault="00551D2B">
            <w:pPr>
              <w:pStyle w:val="Tabletext"/>
              <w:spacing w:before="20" w:after="20"/>
              <w:jc w:val="center"/>
              <w:rPr>
                <w:sz w:val="18"/>
                <w:szCs w:val="18"/>
                <w:lang w:val="en-GB" w:eastAsia="ja-JP"/>
              </w:rPr>
            </w:pPr>
            <w:r>
              <w:rPr>
                <w:sz w:val="18"/>
                <w:szCs w:val="18"/>
                <w:lang w:val="en-GB" w:eastAsia="ja-JP"/>
              </w:rPr>
              <w:t>20.46</w:t>
            </w:r>
          </w:p>
        </w:tc>
        <w:tc>
          <w:tcPr>
            <w:tcW w:w="574" w:type="dxa"/>
            <w:tcBorders>
              <w:top w:val="single" w:sz="4" w:space="0" w:color="auto"/>
              <w:left w:val="single" w:sz="4" w:space="0" w:color="auto"/>
              <w:bottom w:val="single" w:sz="4" w:space="0" w:color="auto"/>
              <w:right w:val="single" w:sz="4" w:space="0" w:color="auto"/>
            </w:tcBorders>
            <w:vAlign w:val="center"/>
          </w:tcPr>
          <w:p w14:paraId="0EC0EBA8" w14:textId="77777777" w:rsidR="00EF5BF3" w:rsidRDefault="00551D2B">
            <w:pPr>
              <w:pStyle w:val="Tabletext"/>
              <w:spacing w:before="20" w:after="20"/>
              <w:jc w:val="center"/>
              <w:rPr>
                <w:sz w:val="18"/>
                <w:szCs w:val="18"/>
                <w:lang w:val="en-GB" w:eastAsia="ja-JP"/>
              </w:rPr>
            </w:pPr>
            <w:r>
              <w:rPr>
                <w:sz w:val="18"/>
                <w:szCs w:val="18"/>
                <w:lang w:val="en-GB" w:eastAsia="ja-JP"/>
              </w:rPr>
              <w:t>2</w:t>
            </w:r>
          </w:p>
        </w:tc>
        <w:tc>
          <w:tcPr>
            <w:tcW w:w="574" w:type="dxa"/>
            <w:tcBorders>
              <w:top w:val="single" w:sz="4" w:space="0" w:color="auto"/>
              <w:left w:val="single" w:sz="4" w:space="0" w:color="auto"/>
              <w:bottom w:val="single" w:sz="4" w:space="0" w:color="auto"/>
              <w:right w:val="single" w:sz="4" w:space="0" w:color="auto"/>
            </w:tcBorders>
            <w:vAlign w:val="center"/>
          </w:tcPr>
          <w:p w14:paraId="1A1D443B" w14:textId="77777777" w:rsidR="00EF5BF3" w:rsidRDefault="00551D2B">
            <w:pPr>
              <w:pStyle w:val="Tabletext"/>
              <w:spacing w:before="20" w:after="20"/>
              <w:jc w:val="center"/>
              <w:rPr>
                <w:sz w:val="18"/>
                <w:szCs w:val="18"/>
                <w:lang w:val="en-GB" w:eastAsia="ja-JP"/>
              </w:rPr>
            </w:pPr>
            <w:r>
              <w:rPr>
                <w:sz w:val="18"/>
                <w:szCs w:val="18"/>
                <w:lang w:val="en-GB" w:eastAsia="ja-JP"/>
              </w:rPr>
              <w:t>20</w:t>
            </w:r>
          </w:p>
        </w:tc>
        <w:tc>
          <w:tcPr>
            <w:tcW w:w="443" w:type="dxa"/>
            <w:tcBorders>
              <w:top w:val="single" w:sz="4" w:space="0" w:color="auto"/>
              <w:left w:val="single" w:sz="4" w:space="0" w:color="auto"/>
              <w:bottom w:val="single" w:sz="4" w:space="0" w:color="auto"/>
              <w:right w:val="single" w:sz="4" w:space="0" w:color="auto"/>
            </w:tcBorders>
            <w:vAlign w:val="center"/>
          </w:tcPr>
          <w:p w14:paraId="6FCF47C0" w14:textId="77777777" w:rsidR="00EF5BF3" w:rsidRDefault="00551D2B">
            <w:pPr>
              <w:pStyle w:val="Tabletext"/>
              <w:spacing w:before="20" w:after="20"/>
              <w:jc w:val="center"/>
              <w:rPr>
                <w:sz w:val="18"/>
                <w:szCs w:val="18"/>
                <w:lang w:val="en-GB" w:eastAsia="ja-JP"/>
              </w:rPr>
            </w:pPr>
            <w:r>
              <w:rPr>
                <w:sz w:val="18"/>
                <w:szCs w:val="18"/>
                <w:lang w:val="en-GB" w:eastAsia="ja-JP"/>
              </w:rPr>
              <w:t>25</w:t>
            </w:r>
          </w:p>
        </w:tc>
        <w:tc>
          <w:tcPr>
            <w:tcW w:w="771" w:type="dxa"/>
            <w:tcBorders>
              <w:top w:val="single" w:sz="4" w:space="0" w:color="auto"/>
              <w:left w:val="single" w:sz="4" w:space="0" w:color="auto"/>
              <w:bottom w:val="single" w:sz="4" w:space="0" w:color="auto"/>
              <w:right w:val="single" w:sz="4" w:space="0" w:color="auto"/>
            </w:tcBorders>
            <w:vAlign w:val="center"/>
          </w:tcPr>
          <w:p w14:paraId="7E00730D" w14:textId="77777777" w:rsidR="00EF5BF3" w:rsidRDefault="00551D2B">
            <w:pPr>
              <w:pStyle w:val="Tabletext"/>
              <w:spacing w:before="20" w:after="20"/>
              <w:jc w:val="center"/>
              <w:rPr>
                <w:sz w:val="18"/>
                <w:szCs w:val="18"/>
                <w:lang w:val="en-GB" w:eastAsia="ja-JP"/>
              </w:rPr>
            </w:pPr>
            <w:r>
              <w:rPr>
                <w:sz w:val="18"/>
                <w:szCs w:val="18"/>
                <w:lang w:val="en-GB" w:eastAsia="ja-JP"/>
              </w:rPr>
              <w:t>20.46</w:t>
            </w:r>
          </w:p>
        </w:tc>
      </w:tr>
      <w:tr w:rsidR="00EF5BF3" w14:paraId="0D8D2288" w14:textId="77777777" w:rsidTr="00F21BD6">
        <w:trPr>
          <w:cantSplit/>
          <w:jc w:val="center"/>
        </w:trPr>
        <w:tc>
          <w:tcPr>
            <w:tcW w:w="1784" w:type="dxa"/>
            <w:tcBorders>
              <w:top w:val="single" w:sz="4" w:space="0" w:color="auto"/>
              <w:left w:val="single" w:sz="4" w:space="0" w:color="auto"/>
              <w:bottom w:val="single" w:sz="4" w:space="0" w:color="auto"/>
              <w:right w:val="single" w:sz="4" w:space="0" w:color="auto"/>
            </w:tcBorders>
          </w:tcPr>
          <w:p w14:paraId="39977627" w14:textId="77777777" w:rsidR="00EF5BF3" w:rsidRDefault="00551D2B">
            <w:pPr>
              <w:pStyle w:val="Tabletext"/>
              <w:spacing w:before="20" w:after="20"/>
              <w:jc w:val="left"/>
              <w:rPr>
                <w:sz w:val="18"/>
                <w:szCs w:val="18"/>
                <w:lang w:val="en-GB" w:eastAsia="zh-CN"/>
              </w:rPr>
            </w:pPr>
            <w:r>
              <w:rPr>
                <w:rFonts w:hint="eastAsia"/>
                <w:sz w:val="18"/>
                <w:lang w:val="en-US" w:eastAsia="zh-CN"/>
              </w:rPr>
              <w:t>接收机系统噪声温度</w:t>
            </w:r>
            <w:r>
              <w:rPr>
                <w:sz w:val="18"/>
                <w:lang w:val="en-US" w:eastAsia="zh-CN"/>
              </w:rPr>
              <w:t>（</w:t>
            </w:r>
            <w:r>
              <w:rPr>
                <w:sz w:val="18"/>
                <w:lang w:val="en-US" w:eastAsia="zh-CN"/>
              </w:rPr>
              <w:t>K</w:t>
            </w:r>
            <w:r>
              <w:rPr>
                <w:sz w:val="18"/>
                <w:lang w:val="en-US" w:eastAsia="zh-CN"/>
              </w:rPr>
              <w:t>）</w:t>
            </w:r>
          </w:p>
        </w:tc>
        <w:tc>
          <w:tcPr>
            <w:tcW w:w="1035" w:type="dxa"/>
            <w:tcBorders>
              <w:top w:val="single" w:sz="4" w:space="0" w:color="auto"/>
              <w:left w:val="single" w:sz="4" w:space="0" w:color="auto"/>
              <w:bottom w:val="single" w:sz="4" w:space="0" w:color="auto"/>
              <w:right w:val="single" w:sz="4" w:space="0" w:color="auto"/>
            </w:tcBorders>
            <w:vAlign w:val="center"/>
          </w:tcPr>
          <w:p w14:paraId="029C8F69" w14:textId="77777777" w:rsidR="00EF5BF3" w:rsidRDefault="00551D2B">
            <w:pPr>
              <w:pStyle w:val="Tabletext"/>
              <w:spacing w:before="20" w:after="20"/>
              <w:jc w:val="center"/>
              <w:rPr>
                <w:sz w:val="18"/>
                <w:szCs w:val="18"/>
                <w:lang w:val="en-GB"/>
              </w:rPr>
            </w:pPr>
            <w:r>
              <w:rPr>
                <w:sz w:val="18"/>
                <w:szCs w:val="18"/>
                <w:lang w:val="en-GB"/>
              </w:rPr>
              <w:t>513</w:t>
            </w:r>
          </w:p>
        </w:tc>
        <w:tc>
          <w:tcPr>
            <w:tcW w:w="893" w:type="dxa"/>
            <w:tcBorders>
              <w:top w:val="single" w:sz="4" w:space="0" w:color="auto"/>
              <w:left w:val="single" w:sz="4" w:space="0" w:color="auto"/>
              <w:bottom w:val="single" w:sz="4" w:space="0" w:color="auto"/>
              <w:right w:val="single" w:sz="4" w:space="0" w:color="auto"/>
            </w:tcBorders>
            <w:vAlign w:val="center"/>
          </w:tcPr>
          <w:p w14:paraId="4B366F6F" w14:textId="77777777" w:rsidR="00EF5BF3" w:rsidRDefault="00551D2B">
            <w:pPr>
              <w:pStyle w:val="Tabletext"/>
              <w:spacing w:before="20" w:after="20"/>
              <w:jc w:val="center"/>
              <w:rPr>
                <w:sz w:val="18"/>
                <w:szCs w:val="18"/>
                <w:lang w:val="en-GB" w:eastAsia="ja-JP"/>
              </w:rPr>
            </w:pPr>
            <w:r>
              <w:rPr>
                <w:sz w:val="18"/>
                <w:szCs w:val="18"/>
                <w:lang w:val="en-GB"/>
              </w:rPr>
              <w:t>513</w:t>
            </w:r>
          </w:p>
        </w:tc>
        <w:tc>
          <w:tcPr>
            <w:tcW w:w="813" w:type="dxa"/>
            <w:tcBorders>
              <w:top w:val="single" w:sz="4" w:space="0" w:color="auto"/>
              <w:left w:val="single" w:sz="4" w:space="0" w:color="auto"/>
              <w:bottom w:val="single" w:sz="4" w:space="0" w:color="auto"/>
              <w:right w:val="single" w:sz="4" w:space="0" w:color="auto"/>
            </w:tcBorders>
            <w:vAlign w:val="center"/>
          </w:tcPr>
          <w:p w14:paraId="025DC953" w14:textId="77777777" w:rsidR="00EF5BF3" w:rsidRDefault="00551D2B">
            <w:pPr>
              <w:pStyle w:val="Tabletext"/>
              <w:spacing w:before="20" w:after="20"/>
              <w:jc w:val="center"/>
              <w:rPr>
                <w:sz w:val="18"/>
                <w:szCs w:val="18"/>
                <w:lang w:val="en-GB"/>
              </w:rPr>
            </w:pPr>
            <w:r>
              <w:rPr>
                <w:sz w:val="18"/>
                <w:szCs w:val="18"/>
                <w:lang w:val="en-GB" w:eastAsia="ja-JP"/>
              </w:rPr>
              <w:t>513</w:t>
            </w:r>
          </w:p>
        </w:tc>
        <w:tc>
          <w:tcPr>
            <w:tcW w:w="813" w:type="dxa"/>
            <w:tcBorders>
              <w:top w:val="single" w:sz="4" w:space="0" w:color="auto"/>
              <w:left w:val="single" w:sz="4" w:space="0" w:color="auto"/>
              <w:bottom w:val="single" w:sz="4" w:space="0" w:color="auto"/>
              <w:right w:val="single" w:sz="4" w:space="0" w:color="auto"/>
            </w:tcBorders>
            <w:vAlign w:val="center"/>
          </w:tcPr>
          <w:p w14:paraId="63013105" w14:textId="77777777" w:rsidR="00EF5BF3" w:rsidRDefault="00551D2B">
            <w:pPr>
              <w:pStyle w:val="Tabletext"/>
              <w:spacing w:before="20" w:after="20"/>
              <w:jc w:val="center"/>
              <w:rPr>
                <w:sz w:val="18"/>
                <w:szCs w:val="18"/>
                <w:lang w:val="en-GB"/>
              </w:rPr>
            </w:pPr>
            <w:r>
              <w:rPr>
                <w:sz w:val="18"/>
                <w:szCs w:val="18"/>
                <w:lang w:val="en-GB" w:eastAsia="ja-JP"/>
              </w:rPr>
              <w:t>513</w:t>
            </w:r>
          </w:p>
        </w:tc>
        <w:tc>
          <w:tcPr>
            <w:tcW w:w="894" w:type="dxa"/>
            <w:tcBorders>
              <w:top w:val="single" w:sz="4" w:space="0" w:color="auto"/>
              <w:left w:val="single" w:sz="4" w:space="0" w:color="auto"/>
              <w:bottom w:val="single" w:sz="4" w:space="0" w:color="auto"/>
              <w:right w:val="single" w:sz="4" w:space="0" w:color="auto"/>
            </w:tcBorders>
            <w:vAlign w:val="center"/>
          </w:tcPr>
          <w:p w14:paraId="3FC26BAE" w14:textId="77777777" w:rsidR="00EF5BF3" w:rsidRDefault="00551D2B">
            <w:pPr>
              <w:pStyle w:val="Tabletext"/>
              <w:spacing w:before="20" w:after="20"/>
              <w:jc w:val="center"/>
              <w:rPr>
                <w:sz w:val="18"/>
                <w:szCs w:val="18"/>
                <w:lang w:val="en-GB" w:eastAsia="ja-JP"/>
              </w:rPr>
            </w:pPr>
            <w:r>
              <w:rPr>
                <w:sz w:val="18"/>
                <w:szCs w:val="18"/>
                <w:lang w:val="en-GB" w:eastAsia="ja-JP"/>
              </w:rPr>
              <w:t>722</w:t>
            </w:r>
            <w:r>
              <w:rPr>
                <w:sz w:val="18"/>
                <w:szCs w:val="18"/>
                <w:lang w:val="en-GB"/>
              </w:rPr>
              <w:br/>
            </w:r>
            <w:r>
              <w:rPr>
                <w:sz w:val="18"/>
                <w:szCs w:val="18"/>
                <w:lang w:val="en-GB" w:eastAsia="ja-JP"/>
              </w:rPr>
              <w:t>（</w:t>
            </w:r>
            <w:r>
              <w:rPr>
                <w:rFonts w:hint="eastAsia"/>
                <w:sz w:val="18"/>
                <w:szCs w:val="18"/>
                <w:lang w:val="en-GB" w:eastAsia="zh-CN"/>
              </w:rPr>
              <w:t>注</w:t>
            </w:r>
            <w:r>
              <w:rPr>
                <w:sz w:val="18"/>
                <w:szCs w:val="18"/>
                <w:lang w:val="en-GB" w:eastAsia="ja-JP"/>
              </w:rPr>
              <w:t>18</w:t>
            </w:r>
            <w:r>
              <w:rPr>
                <w:sz w:val="18"/>
                <w:szCs w:val="18"/>
                <w:lang w:val="en-GB" w:eastAsia="ja-JP"/>
              </w:rPr>
              <w:t>）</w:t>
            </w:r>
          </w:p>
        </w:tc>
        <w:tc>
          <w:tcPr>
            <w:tcW w:w="851" w:type="dxa"/>
            <w:tcBorders>
              <w:top w:val="single" w:sz="4" w:space="0" w:color="auto"/>
              <w:left w:val="single" w:sz="4" w:space="0" w:color="auto"/>
              <w:bottom w:val="single" w:sz="4" w:space="0" w:color="auto"/>
              <w:right w:val="single" w:sz="4" w:space="0" w:color="auto"/>
            </w:tcBorders>
            <w:vAlign w:val="center"/>
          </w:tcPr>
          <w:p w14:paraId="20A9BB0B" w14:textId="77777777" w:rsidR="00EF5BF3" w:rsidRDefault="00551D2B">
            <w:pPr>
              <w:pStyle w:val="Tabletext"/>
              <w:spacing w:before="20" w:after="20"/>
              <w:jc w:val="center"/>
              <w:rPr>
                <w:sz w:val="18"/>
                <w:szCs w:val="18"/>
                <w:lang w:val="en-GB" w:eastAsia="ja-JP"/>
              </w:rPr>
            </w:pPr>
            <w:r>
              <w:rPr>
                <w:sz w:val="18"/>
                <w:szCs w:val="18"/>
                <w:lang w:val="en-GB" w:eastAsia="ja-JP"/>
              </w:rPr>
              <w:t>645</w:t>
            </w:r>
            <w:r>
              <w:rPr>
                <w:sz w:val="18"/>
                <w:szCs w:val="18"/>
                <w:lang w:val="en-GB"/>
              </w:rPr>
              <w:br/>
            </w:r>
            <w:r>
              <w:rPr>
                <w:sz w:val="18"/>
                <w:szCs w:val="18"/>
                <w:lang w:val="en-GB" w:eastAsia="ja-JP"/>
              </w:rPr>
              <w:t>（</w:t>
            </w:r>
            <w:r>
              <w:rPr>
                <w:rFonts w:hint="eastAsia"/>
                <w:sz w:val="18"/>
                <w:szCs w:val="18"/>
                <w:lang w:val="en-GB" w:eastAsia="zh-CN"/>
              </w:rPr>
              <w:t>注</w:t>
            </w:r>
            <w:r>
              <w:rPr>
                <w:sz w:val="18"/>
                <w:szCs w:val="18"/>
                <w:lang w:val="en-GB" w:eastAsia="ja-JP"/>
              </w:rPr>
              <w:t>18</w:t>
            </w:r>
            <w:r>
              <w:rPr>
                <w:sz w:val="18"/>
                <w:szCs w:val="18"/>
                <w:lang w:val="en-GB" w:eastAsia="ja-JP"/>
              </w:rPr>
              <w:t>）</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2A795DC1" w14:textId="77777777" w:rsidR="00EF5BF3" w:rsidRDefault="00551D2B">
            <w:pPr>
              <w:pStyle w:val="Tabletext"/>
              <w:spacing w:before="20" w:after="20"/>
              <w:jc w:val="center"/>
              <w:rPr>
                <w:sz w:val="18"/>
                <w:szCs w:val="18"/>
                <w:lang w:val="en-GB" w:eastAsia="ja-JP"/>
              </w:rPr>
            </w:pPr>
            <w:r>
              <w:rPr>
                <w:sz w:val="18"/>
                <w:szCs w:val="18"/>
                <w:lang w:val="en-GB" w:eastAsia="ja-JP"/>
              </w:rPr>
              <w:t>400</w:t>
            </w:r>
          </w:p>
        </w:tc>
        <w:tc>
          <w:tcPr>
            <w:tcW w:w="2438" w:type="dxa"/>
            <w:gridSpan w:val="3"/>
            <w:tcBorders>
              <w:top w:val="single" w:sz="4" w:space="0" w:color="auto"/>
              <w:left w:val="single" w:sz="4" w:space="0" w:color="auto"/>
              <w:bottom w:val="single" w:sz="4" w:space="0" w:color="auto"/>
              <w:right w:val="single" w:sz="4" w:space="0" w:color="auto"/>
            </w:tcBorders>
            <w:vAlign w:val="center"/>
          </w:tcPr>
          <w:p w14:paraId="0D0E76E7" w14:textId="77777777" w:rsidR="00EF5BF3" w:rsidRDefault="00551D2B">
            <w:pPr>
              <w:pStyle w:val="Tabletext"/>
              <w:spacing w:before="20" w:after="20"/>
              <w:jc w:val="center"/>
              <w:rPr>
                <w:sz w:val="18"/>
                <w:szCs w:val="18"/>
                <w:lang w:val="en-GB" w:eastAsia="ja-JP"/>
              </w:rPr>
            </w:pPr>
            <w:r>
              <w:rPr>
                <w:sz w:val="18"/>
                <w:szCs w:val="18"/>
                <w:lang w:val="en-GB" w:eastAsia="ja-JP"/>
              </w:rPr>
              <w:t>645</w:t>
            </w:r>
          </w:p>
        </w:tc>
        <w:tc>
          <w:tcPr>
            <w:tcW w:w="733" w:type="dxa"/>
            <w:tcBorders>
              <w:top w:val="single" w:sz="4" w:space="0" w:color="auto"/>
              <w:left w:val="single" w:sz="4" w:space="0" w:color="auto"/>
              <w:bottom w:val="single" w:sz="4" w:space="0" w:color="auto"/>
              <w:right w:val="single" w:sz="4" w:space="0" w:color="auto"/>
            </w:tcBorders>
            <w:vAlign w:val="center"/>
          </w:tcPr>
          <w:p w14:paraId="7EF441D3" w14:textId="77777777" w:rsidR="00EF5BF3" w:rsidRDefault="00551D2B">
            <w:pPr>
              <w:pStyle w:val="Tabletext"/>
              <w:spacing w:before="20" w:after="20"/>
              <w:jc w:val="center"/>
              <w:rPr>
                <w:sz w:val="18"/>
                <w:szCs w:val="18"/>
                <w:lang w:val="en-GB" w:eastAsia="ja-JP"/>
              </w:rPr>
            </w:pPr>
            <w:r>
              <w:rPr>
                <w:sz w:val="18"/>
                <w:szCs w:val="18"/>
                <w:lang w:val="en-GB" w:eastAsia="ja-JP"/>
              </w:rPr>
              <w:t>330</w:t>
            </w:r>
          </w:p>
        </w:tc>
        <w:tc>
          <w:tcPr>
            <w:tcW w:w="1591" w:type="dxa"/>
            <w:gridSpan w:val="3"/>
            <w:tcBorders>
              <w:top w:val="single" w:sz="4" w:space="0" w:color="auto"/>
              <w:left w:val="single" w:sz="4" w:space="0" w:color="auto"/>
              <w:bottom w:val="single" w:sz="4" w:space="0" w:color="auto"/>
              <w:right w:val="single" w:sz="4" w:space="0" w:color="auto"/>
            </w:tcBorders>
            <w:vAlign w:val="center"/>
          </w:tcPr>
          <w:p w14:paraId="7B8E278C" w14:textId="77777777" w:rsidR="00EF5BF3" w:rsidRDefault="00551D2B">
            <w:pPr>
              <w:pStyle w:val="Tabletext"/>
              <w:spacing w:before="20" w:after="20"/>
              <w:jc w:val="center"/>
              <w:rPr>
                <w:sz w:val="18"/>
                <w:szCs w:val="18"/>
                <w:lang w:val="en-GB" w:eastAsia="ja-JP"/>
              </w:rPr>
            </w:pPr>
            <w:r>
              <w:rPr>
                <w:sz w:val="18"/>
                <w:szCs w:val="18"/>
                <w:lang w:val="en-GB" w:eastAsia="ja-JP"/>
              </w:rPr>
              <w:t>645</w:t>
            </w:r>
          </w:p>
        </w:tc>
        <w:tc>
          <w:tcPr>
            <w:tcW w:w="771" w:type="dxa"/>
            <w:tcBorders>
              <w:top w:val="single" w:sz="4" w:space="0" w:color="auto"/>
              <w:left w:val="single" w:sz="4" w:space="0" w:color="auto"/>
              <w:bottom w:val="single" w:sz="4" w:space="0" w:color="auto"/>
              <w:right w:val="single" w:sz="4" w:space="0" w:color="auto"/>
            </w:tcBorders>
            <w:vAlign w:val="center"/>
          </w:tcPr>
          <w:p w14:paraId="17901548" w14:textId="77777777" w:rsidR="00EF5BF3" w:rsidRDefault="00551D2B">
            <w:pPr>
              <w:pStyle w:val="Tabletext"/>
              <w:spacing w:before="20" w:after="20"/>
              <w:jc w:val="center"/>
              <w:rPr>
                <w:sz w:val="18"/>
                <w:szCs w:val="18"/>
                <w:lang w:val="en-GB" w:eastAsia="ja-JP"/>
              </w:rPr>
            </w:pPr>
            <w:r>
              <w:rPr>
                <w:sz w:val="18"/>
                <w:szCs w:val="18"/>
                <w:lang w:val="en-GB" w:eastAsia="ja-JP"/>
              </w:rPr>
              <w:t>330</w:t>
            </w:r>
          </w:p>
        </w:tc>
      </w:tr>
      <w:tr w:rsidR="00EF5BF3" w14:paraId="146AB663" w14:textId="77777777">
        <w:trPr>
          <w:cantSplit/>
          <w:jc w:val="center"/>
        </w:trPr>
        <w:tc>
          <w:tcPr>
            <w:tcW w:w="14459" w:type="dxa"/>
            <w:gridSpan w:val="18"/>
            <w:tcBorders>
              <w:top w:val="single" w:sz="4" w:space="0" w:color="auto"/>
              <w:left w:val="single" w:sz="4" w:space="0" w:color="auto"/>
              <w:bottom w:val="single" w:sz="4" w:space="0" w:color="auto"/>
              <w:right w:val="single" w:sz="4" w:space="0" w:color="auto"/>
            </w:tcBorders>
          </w:tcPr>
          <w:p w14:paraId="7A7277CC" w14:textId="77777777" w:rsidR="00EF5BF3" w:rsidRDefault="00551D2B">
            <w:pPr>
              <w:pStyle w:val="Tabletext"/>
              <w:spacing w:before="20" w:after="20"/>
              <w:jc w:val="center"/>
              <w:rPr>
                <w:b/>
                <w:i/>
                <w:iCs/>
                <w:sz w:val="18"/>
                <w:szCs w:val="18"/>
                <w:lang w:val="en-GB"/>
              </w:rPr>
            </w:pPr>
            <w:r>
              <w:rPr>
                <w:rFonts w:ascii="STKaiti" w:eastAsia="STKaiti" w:hAnsi="STKaiti" w:hint="eastAsia"/>
                <w:b/>
                <w:bCs/>
                <w:sz w:val="18"/>
                <w:lang w:val="en-US" w:eastAsia="zh-CN"/>
              </w:rPr>
              <w:t>连续干扰的门限值</w:t>
            </w:r>
          </w:p>
        </w:tc>
      </w:tr>
      <w:tr w:rsidR="00EF5BF3" w14:paraId="45120E4A" w14:textId="77777777" w:rsidTr="00F21BD6">
        <w:trPr>
          <w:cantSplit/>
          <w:jc w:val="center"/>
        </w:trPr>
        <w:tc>
          <w:tcPr>
            <w:tcW w:w="1784" w:type="dxa"/>
            <w:tcBorders>
              <w:top w:val="single" w:sz="4" w:space="0" w:color="auto"/>
              <w:left w:val="single" w:sz="4" w:space="0" w:color="auto"/>
              <w:bottom w:val="single" w:sz="4" w:space="0" w:color="auto"/>
              <w:right w:val="single" w:sz="4" w:space="0" w:color="auto"/>
            </w:tcBorders>
          </w:tcPr>
          <w:p w14:paraId="5CE3AF62" w14:textId="77777777" w:rsidR="00EF5BF3" w:rsidRDefault="00551D2B">
            <w:pPr>
              <w:pStyle w:val="Tabletext"/>
              <w:spacing w:before="20" w:after="20"/>
              <w:jc w:val="left"/>
              <w:rPr>
                <w:sz w:val="18"/>
                <w:szCs w:val="18"/>
                <w:lang w:val="en-GB" w:eastAsia="zh-CN"/>
              </w:rPr>
            </w:pPr>
            <w:r>
              <w:rPr>
                <w:rFonts w:hint="eastAsia"/>
                <w:sz w:val="18"/>
                <w:lang w:val="en-US" w:eastAsia="zh-CN"/>
              </w:rPr>
              <w:t>在无源天线输出端的集合窄带干扰的跟踪模式门限功率电平</w:t>
            </w:r>
            <w:r>
              <w:rPr>
                <w:sz w:val="18"/>
                <w:lang w:val="en-US" w:eastAsia="zh-CN"/>
              </w:rPr>
              <w:t>（</w:t>
            </w:r>
            <w:proofErr w:type="spellStart"/>
            <w:r>
              <w:rPr>
                <w:sz w:val="18"/>
                <w:lang w:val="en-US" w:eastAsia="zh-CN"/>
              </w:rPr>
              <w:t>dBW</w:t>
            </w:r>
            <w:proofErr w:type="spellEnd"/>
            <w:r>
              <w:rPr>
                <w:sz w:val="18"/>
                <w:lang w:val="en-US" w:eastAsia="zh-CN"/>
              </w:rPr>
              <w:t>）</w:t>
            </w:r>
          </w:p>
        </w:tc>
        <w:tc>
          <w:tcPr>
            <w:tcW w:w="1035" w:type="dxa"/>
            <w:tcBorders>
              <w:top w:val="single" w:sz="4" w:space="0" w:color="auto"/>
              <w:left w:val="single" w:sz="4" w:space="0" w:color="auto"/>
              <w:bottom w:val="single" w:sz="4" w:space="0" w:color="auto"/>
              <w:right w:val="single" w:sz="4" w:space="0" w:color="auto"/>
            </w:tcBorders>
            <w:vAlign w:val="center"/>
          </w:tcPr>
          <w:p w14:paraId="25CC1E04" w14:textId="2A7757DA" w:rsidR="00EF5BF3" w:rsidRDefault="003872C2">
            <w:pPr>
              <w:pStyle w:val="Tabletext"/>
              <w:spacing w:before="20" w:after="20"/>
              <w:jc w:val="center"/>
              <w:rPr>
                <w:sz w:val="18"/>
                <w:szCs w:val="18"/>
                <w:lang w:val="en-GB"/>
              </w:rPr>
            </w:pPr>
            <w:r w:rsidRPr="003872C2">
              <w:rPr>
                <w:sz w:val="18"/>
                <w:lang w:val="en-GB"/>
              </w:rPr>
              <w:t>–137.5 (P(Y))</w:t>
            </w:r>
            <w:r w:rsidR="00551D2B">
              <w:rPr>
                <w:sz w:val="18"/>
              </w:rPr>
              <w:br/>
            </w:r>
            <w:r w:rsidR="00551D2B">
              <w:rPr>
                <w:sz w:val="18"/>
              </w:rPr>
              <w:t>（</w:t>
            </w:r>
            <w:r w:rsidR="00551D2B">
              <w:rPr>
                <w:rFonts w:hint="eastAsia"/>
                <w:sz w:val="18"/>
                <w:lang w:val="en-US"/>
              </w:rPr>
              <w:t>注</w:t>
            </w:r>
            <w:r w:rsidR="00551D2B">
              <w:rPr>
                <w:sz w:val="18"/>
              </w:rPr>
              <w:t>1</w:t>
            </w:r>
            <w:r w:rsidR="00551D2B">
              <w:rPr>
                <w:sz w:val="18"/>
              </w:rPr>
              <w:t>）</w:t>
            </w:r>
          </w:p>
        </w:tc>
        <w:tc>
          <w:tcPr>
            <w:tcW w:w="893" w:type="dxa"/>
            <w:tcBorders>
              <w:top w:val="single" w:sz="4" w:space="0" w:color="auto"/>
              <w:left w:val="single" w:sz="4" w:space="0" w:color="auto"/>
              <w:bottom w:val="single" w:sz="4" w:space="0" w:color="auto"/>
              <w:right w:val="single" w:sz="4" w:space="0" w:color="auto"/>
            </w:tcBorders>
            <w:vAlign w:val="center"/>
          </w:tcPr>
          <w:p w14:paraId="22A84A02" w14:textId="3EDF1405" w:rsidR="00EF5BF3" w:rsidRDefault="003872C2">
            <w:pPr>
              <w:pStyle w:val="Tabletext"/>
              <w:spacing w:before="20" w:after="20"/>
              <w:jc w:val="center"/>
              <w:rPr>
                <w:sz w:val="18"/>
                <w:szCs w:val="18"/>
                <w:lang w:val="en-GB"/>
              </w:rPr>
            </w:pPr>
            <w:r w:rsidRPr="003872C2">
              <w:rPr>
                <w:sz w:val="18"/>
                <w:lang w:val="en-GB"/>
              </w:rPr>
              <w:t>–137.4 (P(Y))</w:t>
            </w:r>
            <w:r w:rsidR="00551D2B">
              <w:rPr>
                <w:sz w:val="18"/>
              </w:rPr>
              <w:br/>
            </w:r>
            <w:r w:rsidR="00551D2B">
              <w:rPr>
                <w:sz w:val="18"/>
              </w:rPr>
              <w:t>（</w:t>
            </w:r>
            <w:r w:rsidR="00551D2B">
              <w:rPr>
                <w:rFonts w:hint="eastAsia"/>
                <w:sz w:val="18"/>
                <w:lang w:val="en-US"/>
              </w:rPr>
              <w:t>注</w:t>
            </w:r>
            <w:r w:rsidR="00551D2B">
              <w:rPr>
                <w:sz w:val="18"/>
              </w:rPr>
              <w:t>1</w:t>
            </w:r>
            <w:r w:rsidR="00551D2B">
              <w:rPr>
                <w:sz w:val="18"/>
              </w:rPr>
              <w:t>）</w:t>
            </w:r>
          </w:p>
        </w:tc>
        <w:tc>
          <w:tcPr>
            <w:tcW w:w="813" w:type="dxa"/>
            <w:tcBorders>
              <w:top w:val="single" w:sz="4" w:space="0" w:color="auto"/>
              <w:left w:val="single" w:sz="4" w:space="0" w:color="auto"/>
              <w:bottom w:val="single" w:sz="4" w:space="0" w:color="auto"/>
              <w:right w:val="single" w:sz="4" w:space="0" w:color="auto"/>
            </w:tcBorders>
            <w:vAlign w:val="center"/>
          </w:tcPr>
          <w:p w14:paraId="2D2BFE4D" w14:textId="77777777" w:rsidR="00EF5BF3" w:rsidRDefault="00551D2B">
            <w:pPr>
              <w:pStyle w:val="Tabletext"/>
              <w:spacing w:before="20" w:after="20"/>
              <w:jc w:val="center"/>
              <w:rPr>
                <w:sz w:val="18"/>
                <w:szCs w:val="18"/>
                <w:lang w:val="en-GB"/>
              </w:rPr>
            </w:pPr>
            <w:r>
              <w:rPr>
                <w:sz w:val="18"/>
              </w:rPr>
              <w:t>–151.4</w:t>
            </w:r>
            <w:r>
              <w:rPr>
                <w:sz w:val="18"/>
              </w:rPr>
              <w:t>（</w:t>
            </w:r>
            <w:r>
              <w:rPr>
                <w:rFonts w:hint="eastAsia"/>
                <w:sz w:val="18"/>
                <w:lang w:eastAsia="zh-CN"/>
              </w:rPr>
              <w:t>注</w:t>
            </w:r>
            <w:r>
              <w:rPr>
                <w:sz w:val="18"/>
              </w:rPr>
              <w:t>1</w:t>
            </w:r>
            <w:r>
              <w:rPr>
                <w:sz w:val="18"/>
              </w:rPr>
              <w:t>）</w:t>
            </w:r>
          </w:p>
        </w:tc>
        <w:tc>
          <w:tcPr>
            <w:tcW w:w="813" w:type="dxa"/>
            <w:tcBorders>
              <w:top w:val="single" w:sz="4" w:space="0" w:color="auto"/>
              <w:left w:val="single" w:sz="4" w:space="0" w:color="auto"/>
              <w:bottom w:val="single" w:sz="4" w:space="0" w:color="auto"/>
              <w:right w:val="single" w:sz="4" w:space="0" w:color="auto"/>
            </w:tcBorders>
            <w:vAlign w:val="center"/>
          </w:tcPr>
          <w:p w14:paraId="0BC7A612" w14:textId="77777777" w:rsidR="00EF5BF3" w:rsidRDefault="00551D2B">
            <w:pPr>
              <w:pStyle w:val="Tabletext"/>
              <w:spacing w:before="20" w:after="20"/>
              <w:jc w:val="center"/>
              <w:rPr>
                <w:sz w:val="18"/>
                <w:szCs w:val="18"/>
                <w:lang w:val="en-GB"/>
              </w:rPr>
            </w:pPr>
            <w:r>
              <w:rPr>
                <w:sz w:val="18"/>
                <w:szCs w:val="18"/>
                <w:lang w:val="en-GB"/>
              </w:rPr>
              <w:t>−157.4</w:t>
            </w:r>
            <w:r>
              <w:rPr>
                <w:sz w:val="18"/>
                <w:szCs w:val="18"/>
                <w:lang w:val="en-GB"/>
              </w:rPr>
              <w:br/>
            </w:r>
            <w:r>
              <w:rPr>
                <w:sz w:val="18"/>
                <w:szCs w:val="18"/>
                <w:lang w:val="en-GB" w:eastAsia="ja-JP"/>
              </w:rPr>
              <w:t>（</w:t>
            </w:r>
            <w:r>
              <w:rPr>
                <w:rFonts w:hint="eastAsia"/>
                <w:sz w:val="18"/>
                <w:szCs w:val="18"/>
                <w:lang w:val="en-GB" w:eastAsia="zh-CN"/>
              </w:rPr>
              <w:t>注</w:t>
            </w:r>
            <w:r>
              <w:rPr>
                <w:sz w:val="18"/>
                <w:szCs w:val="18"/>
                <w:lang w:val="en-GB"/>
              </w:rPr>
              <w:t>2</w:t>
            </w:r>
            <w:r>
              <w:rPr>
                <w:sz w:val="18"/>
                <w:szCs w:val="18"/>
                <w:lang w:val="en-GB" w:eastAsia="ja-JP"/>
              </w:rPr>
              <w:t>）</w:t>
            </w:r>
          </w:p>
        </w:tc>
        <w:tc>
          <w:tcPr>
            <w:tcW w:w="1745" w:type="dxa"/>
            <w:gridSpan w:val="2"/>
            <w:tcBorders>
              <w:top w:val="single" w:sz="4" w:space="0" w:color="auto"/>
              <w:left w:val="single" w:sz="4" w:space="0" w:color="auto"/>
              <w:bottom w:val="single" w:sz="4" w:space="0" w:color="auto"/>
              <w:right w:val="single" w:sz="4" w:space="0" w:color="auto"/>
            </w:tcBorders>
            <w:vAlign w:val="center"/>
          </w:tcPr>
          <w:p w14:paraId="053AA8B4" w14:textId="77777777" w:rsidR="00EF5BF3" w:rsidRDefault="00551D2B">
            <w:pPr>
              <w:pStyle w:val="Tabletext"/>
              <w:spacing w:before="20" w:after="20"/>
              <w:jc w:val="center"/>
              <w:rPr>
                <w:sz w:val="18"/>
                <w:szCs w:val="18"/>
                <w:lang w:val="en-GB"/>
              </w:rPr>
            </w:pPr>
            <w:r>
              <w:rPr>
                <w:sz w:val="18"/>
                <w:szCs w:val="18"/>
                <w:lang w:val="en-GB"/>
              </w:rPr>
              <w:t>−134.5</w:t>
            </w:r>
            <w:r>
              <w:rPr>
                <w:sz w:val="18"/>
                <w:szCs w:val="18"/>
                <w:lang w:val="en-GB"/>
              </w:rPr>
              <w:br/>
            </w:r>
            <w:r>
              <w:rPr>
                <w:sz w:val="18"/>
                <w:szCs w:val="18"/>
                <w:lang w:val="en-GB"/>
              </w:rPr>
              <w:t>（</w:t>
            </w:r>
            <w:r>
              <w:rPr>
                <w:rFonts w:hint="eastAsia"/>
                <w:sz w:val="18"/>
                <w:szCs w:val="18"/>
                <w:lang w:val="en-GB" w:eastAsia="zh-CN"/>
              </w:rPr>
              <w:t>注</w:t>
            </w:r>
            <w:r>
              <w:rPr>
                <w:sz w:val="18"/>
                <w:szCs w:val="18"/>
                <w:lang w:val="en-GB"/>
              </w:rPr>
              <w:t>16</w:t>
            </w:r>
            <w:r>
              <w:rPr>
                <w:sz w:val="18"/>
                <w:szCs w:val="18"/>
                <w:lang w:val="en-GB"/>
              </w:rPr>
              <w:t>）</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3666C2A7" w14:textId="77777777" w:rsidR="00EF5BF3" w:rsidRDefault="00551D2B">
            <w:pPr>
              <w:pStyle w:val="Tabletext"/>
              <w:spacing w:before="20" w:after="20"/>
              <w:jc w:val="center"/>
              <w:rPr>
                <w:sz w:val="18"/>
                <w:szCs w:val="18"/>
                <w:lang w:val="en-GB" w:eastAsia="ja-JP"/>
              </w:rPr>
            </w:pPr>
            <w:r>
              <w:rPr>
                <w:sz w:val="18"/>
                <w:szCs w:val="18"/>
                <w:lang w:val="en-GB"/>
              </w:rPr>
              <w:t>−</w:t>
            </w:r>
            <w:r>
              <w:rPr>
                <w:sz w:val="18"/>
                <w:szCs w:val="18"/>
                <w:lang w:val="en-GB" w:eastAsia="ja-JP"/>
              </w:rPr>
              <w:t>149</w:t>
            </w:r>
            <w:r>
              <w:rPr>
                <w:sz w:val="18"/>
                <w:szCs w:val="18"/>
                <w:lang w:val="en-GB" w:eastAsia="ja-JP"/>
              </w:rPr>
              <w:t>（</w:t>
            </w:r>
            <w:r>
              <w:rPr>
                <w:rFonts w:hint="eastAsia"/>
                <w:sz w:val="18"/>
                <w:szCs w:val="18"/>
                <w:lang w:val="en-GB" w:eastAsia="zh-CN"/>
              </w:rPr>
              <w:t>注</w:t>
            </w:r>
            <w:r>
              <w:rPr>
                <w:sz w:val="18"/>
                <w:szCs w:val="18"/>
                <w:lang w:val="en-GB"/>
              </w:rPr>
              <w:t>1</w:t>
            </w:r>
            <w:r>
              <w:rPr>
                <w:sz w:val="18"/>
                <w:szCs w:val="18"/>
                <w:lang w:val="en-GB"/>
              </w:rPr>
              <w:t>）</w:t>
            </w:r>
            <w:r>
              <w:rPr>
                <w:sz w:val="18"/>
                <w:szCs w:val="18"/>
                <w:lang w:val="en-GB" w:eastAsia="ja-JP"/>
              </w:rPr>
              <w:t>（</w:t>
            </w:r>
            <w:r>
              <w:rPr>
                <w:rFonts w:hint="eastAsia"/>
                <w:sz w:val="18"/>
                <w:szCs w:val="18"/>
                <w:lang w:val="en-GB" w:eastAsia="zh-CN"/>
              </w:rPr>
              <w:t>注</w:t>
            </w:r>
            <w:r>
              <w:rPr>
                <w:sz w:val="18"/>
                <w:szCs w:val="18"/>
                <w:lang w:val="en-GB"/>
              </w:rPr>
              <w:t>9</w:t>
            </w:r>
            <w:r>
              <w:rPr>
                <w:sz w:val="18"/>
                <w:szCs w:val="18"/>
                <w:lang w:val="en-GB" w:eastAsia="ja-JP"/>
              </w:rPr>
              <w:t>）</w:t>
            </w:r>
          </w:p>
        </w:tc>
        <w:tc>
          <w:tcPr>
            <w:tcW w:w="2438" w:type="dxa"/>
            <w:gridSpan w:val="3"/>
            <w:tcBorders>
              <w:top w:val="single" w:sz="4" w:space="0" w:color="auto"/>
              <w:left w:val="single" w:sz="4" w:space="0" w:color="auto"/>
              <w:bottom w:val="single" w:sz="4" w:space="0" w:color="auto"/>
              <w:right w:val="single" w:sz="4" w:space="0" w:color="auto"/>
            </w:tcBorders>
            <w:vAlign w:val="center"/>
          </w:tcPr>
          <w:p w14:paraId="1F466287" w14:textId="77777777" w:rsidR="00EF5BF3" w:rsidRDefault="00551D2B">
            <w:pPr>
              <w:pStyle w:val="Tabletext"/>
              <w:spacing w:before="20" w:after="20"/>
              <w:jc w:val="center"/>
              <w:rPr>
                <w:sz w:val="18"/>
                <w:szCs w:val="18"/>
                <w:lang w:val="en-GB"/>
              </w:rPr>
            </w:pPr>
            <w:r>
              <w:rPr>
                <w:sz w:val="18"/>
                <w:szCs w:val="18"/>
                <w:lang w:val="en-GB"/>
              </w:rPr>
              <w:t>−</w:t>
            </w:r>
            <w:r>
              <w:rPr>
                <w:sz w:val="18"/>
                <w:szCs w:val="18"/>
                <w:lang w:val="en-GB" w:eastAsia="ja-JP"/>
              </w:rPr>
              <w:t>193</w:t>
            </w:r>
            <w:r>
              <w:rPr>
                <w:sz w:val="18"/>
                <w:szCs w:val="18"/>
                <w:lang w:val="en-GB" w:eastAsia="ja-JP"/>
              </w:rPr>
              <w:br/>
            </w:r>
            <w:r>
              <w:rPr>
                <w:sz w:val="18"/>
                <w:szCs w:val="18"/>
                <w:lang w:val="en-GB" w:eastAsia="ja-JP"/>
              </w:rPr>
              <w:t>（</w:t>
            </w:r>
            <w:r>
              <w:rPr>
                <w:rFonts w:hint="eastAsia"/>
                <w:sz w:val="18"/>
                <w:szCs w:val="18"/>
                <w:lang w:val="en-GB" w:eastAsia="zh-CN"/>
              </w:rPr>
              <w:t>注</w:t>
            </w:r>
            <w:r>
              <w:rPr>
                <w:sz w:val="18"/>
                <w:szCs w:val="18"/>
                <w:lang w:val="en-GB" w:eastAsia="ja-JP"/>
              </w:rPr>
              <w:t>1</w:t>
            </w:r>
            <w:r>
              <w:rPr>
                <w:sz w:val="18"/>
                <w:szCs w:val="18"/>
                <w:lang w:val="en-GB" w:eastAsia="ja-JP"/>
              </w:rPr>
              <w:t>）</w:t>
            </w:r>
          </w:p>
        </w:tc>
        <w:tc>
          <w:tcPr>
            <w:tcW w:w="733" w:type="dxa"/>
            <w:tcBorders>
              <w:top w:val="single" w:sz="4" w:space="0" w:color="auto"/>
              <w:left w:val="single" w:sz="4" w:space="0" w:color="auto"/>
              <w:bottom w:val="single" w:sz="4" w:space="0" w:color="auto"/>
              <w:right w:val="single" w:sz="4" w:space="0" w:color="auto"/>
            </w:tcBorders>
            <w:vAlign w:val="center"/>
          </w:tcPr>
          <w:p w14:paraId="6A3E910F" w14:textId="77777777" w:rsidR="00EF5BF3" w:rsidRDefault="00551D2B">
            <w:pPr>
              <w:pStyle w:val="Tabletext"/>
              <w:spacing w:before="20" w:after="20"/>
              <w:jc w:val="center"/>
              <w:rPr>
                <w:sz w:val="18"/>
                <w:szCs w:val="18"/>
                <w:lang w:val="en-GB" w:eastAsia="ja-JP"/>
              </w:rPr>
            </w:pPr>
            <w:r>
              <w:rPr>
                <w:sz w:val="18"/>
                <w:szCs w:val="18"/>
                <w:lang w:val="en-GB"/>
              </w:rPr>
              <w:t>−</w:t>
            </w:r>
            <w:r>
              <w:rPr>
                <w:sz w:val="18"/>
                <w:szCs w:val="18"/>
                <w:lang w:val="en-GB" w:eastAsia="ja-JP"/>
              </w:rPr>
              <w:t>193</w:t>
            </w:r>
            <w:r>
              <w:rPr>
                <w:sz w:val="18"/>
                <w:szCs w:val="18"/>
                <w:lang w:val="en-GB" w:eastAsia="ja-JP"/>
              </w:rPr>
              <w:br/>
            </w:r>
            <w:r>
              <w:rPr>
                <w:sz w:val="18"/>
                <w:szCs w:val="18"/>
                <w:lang w:val="en-GB" w:eastAsia="zh-CN"/>
              </w:rPr>
              <w:t>（</w:t>
            </w:r>
            <w:r>
              <w:rPr>
                <w:rFonts w:hint="eastAsia"/>
                <w:sz w:val="18"/>
                <w:szCs w:val="18"/>
                <w:lang w:val="en-GB" w:eastAsia="zh-CN"/>
              </w:rPr>
              <w:t>注</w:t>
            </w:r>
            <w:r>
              <w:rPr>
                <w:sz w:val="18"/>
                <w:szCs w:val="18"/>
                <w:lang w:val="en-GB" w:eastAsia="zh-CN"/>
              </w:rPr>
              <w:t>2</w:t>
            </w:r>
            <w:r>
              <w:rPr>
                <w:sz w:val="18"/>
                <w:szCs w:val="18"/>
                <w:lang w:val="en-GB" w:eastAsia="zh-CN"/>
              </w:rPr>
              <w:t>）</w:t>
            </w:r>
          </w:p>
        </w:tc>
        <w:tc>
          <w:tcPr>
            <w:tcW w:w="1591" w:type="dxa"/>
            <w:gridSpan w:val="3"/>
            <w:tcBorders>
              <w:top w:val="single" w:sz="4" w:space="0" w:color="auto"/>
              <w:left w:val="single" w:sz="4" w:space="0" w:color="auto"/>
              <w:bottom w:val="single" w:sz="4" w:space="0" w:color="auto"/>
              <w:right w:val="single" w:sz="4" w:space="0" w:color="auto"/>
            </w:tcBorders>
            <w:vAlign w:val="center"/>
          </w:tcPr>
          <w:p w14:paraId="7D4FD93E" w14:textId="77777777" w:rsidR="00EF5BF3" w:rsidRDefault="00551D2B">
            <w:pPr>
              <w:pStyle w:val="Tabletext"/>
              <w:spacing w:before="20" w:after="20"/>
              <w:jc w:val="center"/>
              <w:rPr>
                <w:sz w:val="18"/>
                <w:szCs w:val="18"/>
                <w:lang w:val="en-GB"/>
              </w:rPr>
            </w:pPr>
            <w:r>
              <w:rPr>
                <w:sz w:val="18"/>
                <w:szCs w:val="18"/>
                <w:lang w:val="en-GB"/>
              </w:rPr>
              <w:t>−</w:t>
            </w:r>
            <w:r>
              <w:rPr>
                <w:sz w:val="18"/>
                <w:szCs w:val="18"/>
                <w:lang w:val="en-GB" w:eastAsia="ja-JP"/>
              </w:rPr>
              <w:t>158</w:t>
            </w:r>
            <w:r>
              <w:rPr>
                <w:sz w:val="18"/>
                <w:szCs w:val="18"/>
                <w:lang w:val="en-GB" w:eastAsia="ja-JP"/>
              </w:rPr>
              <w:br/>
            </w:r>
            <w:r>
              <w:rPr>
                <w:sz w:val="18"/>
                <w:szCs w:val="18"/>
                <w:lang w:val="en-GB" w:eastAsia="ja-JP"/>
              </w:rPr>
              <w:t>（</w:t>
            </w:r>
            <w:r>
              <w:rPr>
                <w:rFonts w:hint="eastAsia"/>
                <w:sz w:val="18"/>
                <w:szCs w:val="18"/>
                <w:lang w:val="en-GB" w:eastAsia="zh-CN"/>
              </w:rPr>
              <w:t>注</w:t>
            </w:r>
            <w:r>
              <w:rPr>
                <w:sz w:val="18"/>
                <w:szCs w:val="18"/>
                <w:lang w:val="en-GB" w:eastAsia="ja-JP"/>
              </w:rPr>
              <w:t>1</w:t>
            </w:r>
            <w:r>
              <w:rPr>
                <w:sz w:val="18"/>
                <w:szCs w:val="18"/>
                <w:lang w:val="en-GB" w:eastAsia="ja-JP"/>
              </w:rPr>
              <w:t>）</w:t>
            </w:r>
          </w:p>
        </w:tc>
        <w:tc>
          <w:tcPr>
            <w:tcW w:w="771" w:type="dxa"/>
            <w:tcBorders>
              <w:top w:val="single" w:sz="4" w:space="0" w:color="auto"/>
              <w:left w:val="single" w:sz="4" w:space="0" w:color="auto"/>
              <w:bottom w:val="single" w:sz="4" w:space="0" w:color="auto"/>
              <w:right w:val="single" w:sz="4" w:space="0" w:color="auto"/>
            </w:tcBorders>
            <w:vAlign w:val="center"/>
          </w:tcPr>
          <w:p w14:paraId="7B4E15D5" w14:textId="77777777" w:rsidR="00EF5BF3" w:rsidRDefault="00551D2B">
            <w:pPr>
              <w:pStyle w:val="Tabletext"/>
              <w:spacing w:before="20" w:after="20"/>
              <w:jc w:val="center"/>
              <w:rPr>
                <w:sz w:val="18"/>
                <w:szCs w:val="18"/>
                <w:lang w:val="en-GB" w:eastAsia="zh-CN"/>
              </w:rPr>
            </w:pPr>
            <w:r>
              <w:rPr>
                <w:sz w:val="18"/>
                <w:szCs w:val="18"/>
                <w:lang w:val="en-GB"/>
              </w:rPr>
              <w:t>−</w:t>
            </w:r>
            <w:r>
              <w:rPr>
                <w:sz w:val="18"/>
                <w:szCs w:val="18"/>
                <w:lang w:val="en-GB" w:eastAsia="zh-CN"/>
              </w:rPr>
              <w:t>150</w:t>
            </w:r>
          </w:p>
          <w:p w14:paraId="7DA88562" w14:textId="77777777" w:rsidR="00EF5BF3" w:rsidRDefault="00551D2B">
            <w:pPr>
              <w:pStyle w:val="Tabletext"/>
              <w:spacing w:before="20" w:after="20"/>
              <w:jc w:val="center"/>
              <w:rPr>
                <w:sz w:val="18"/>
                <w:szCs w:val="18"/>
                <w:lang w:val="en-GB"/>
              </w:rPr>
            </w:pPr>
            <w:r>
              <w:rPr>
                <w:sz w:val="18"/>
                <w:szCs w:val="18"/>
                <w:lang w:val="en-GB" w:eastAsia="ja-JP"/>
              </w:rPr>
              <w:t>（</w:t>
            </w:r>
            <w:r>
              <w:rPr>
                <w:rFonts w:hint="eastAsia"/>
                <w:sz w:val="18"/>
                <w:szCs w:val="18"/>
                <w:lang w:val="en-GB" w:eastAsia="zh-CN"/>
              </w:rPr>
              <w:t>注</w:t>
            </w:r>
            <w:r>
              <w:rPr>
                <w:sz w:val="18"/>
                <w:szCs w:val="18"/>
                <w:lang w:val="en-GB"/>
              </w:rPr>
              <w:t>2</w:t>
            </w:r>
            <w:r>
              <w:rPr>
                <w:sz w:val="18"/>
                <w:szCs w:val="18"/>
                <w:lang w:val="en-GB" w:eastAsia="ja-JP"/>
              </w:rPr>
              <w:t>）</w:t>
            </w:r>
          </w:p>
        </w:tc>
      </w:tr>
    </w:tbl>
    <w:p w14:paraId="60BB194D" w14:textId="04EFB7AC" w:rsidR="00EF5BF3" w:rsidRDefault="00551D2B">
      <w:pPr>
        <w:pStyle w:val="TableNo"/>
        <w:rPr>
          <w:caps/>
          <w:sz w:val="20"/>
          <w:lang w:val="en-GB"/>
        </w:rPr>
      </w:pPr>
      <w:r>
        <w:rPr>
          <w:rFonts w:hint="eastAsia"/>
          <w:caps/>
          <w:sz w:val="20"/>
          <w:lang w:val="en-GB" w:eastAsia="zh-CN"/>
        </w:rPr>
        <w:lastRenderedPageBreak/>
        <w:t>表</w:t>
      </w:r>
      <w:r>
        <w:rPr>
          <w:rFonts w:hint="eastAsia"/>
          <w:caps/>
          <w:sz w:val="20"/>
          <w:lang w:val="en-GB" w:eastAsia="zh-CN"/>
        </w:rPr>
        <w:t>1</w:t>
      </w:r>
      <w:r>
        <w:rPr>
          <w:caps/>
          <w:sz w:val="20"/>
          <w:lang w:val="en-GB"/>
        </w:rPr>
        <w:t>（</w:t>
      </w:r>
      <w:r>
        <w:rPr>
          <w:rFonts w:ascii="STKaiti" w:eastAsia="STKaiti" w:hAnsi="STKaiti" w:cs="STKaiti" w:hint="eastAsia"/>
          <w:sz w:val="20"/>
          <w:lang w:val="en-US" w:eastAsia="zh-CN"/>
        </w:rPr>
        <w:t>续</w:t>
      </w:r>
      <w:r>
        <w:rPr>
          <w:caps/>
          <w:sz w:val="20"/>
          <w:lang w:val="en-GB"/>
        </w:rPr>
        <w:t>）</w:t>
      </w:r>
    </w:p>
    <w:tbl>
      <w:tblPr>
        <w:tblW w:w="14459" w:type="dxa"/>
        <w:jc w:val="center"/>
        <w:tblLayout w:type="fixed"/>
        <w:tblLook w:val="04A0" w:firstRow="1" w:lastRow="0" w:firstColumn="1" w:lastColumn="0" w:noHBand="0" w:noVBand="1"/>
      </w:tblPr>
      <w:tblGrid>
        <w:gridCol w:w="1696"/>
        <w:gridCol w:w="1065"/>
        <w:gridCol w:w="910"/>
        <w:gridCol w:w="902"/>
        <w:gridCol w:w="910"/>
        <w:gridCol w:w="1466"/>
        <w:gridCol w:w="1977"/>
        <w:gridCol w:w="1407"/>
        <w:gridCol w:w="6"/>
        <w:gridCol w:w="1701"/>
        <w:gridCol w:w="1559"/>
        <w:gridCol w:w="860"/>
      </w:tblGrid>
      <w:tr w:rsidR="00EF5BF3" w14:paraId="4A9D3171" w14:textId="77777777" w:rsidTr="003872C2">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04C698CF" w14:textId="77777777" w:rsidR="00EF5BF3" w:rsidRDefault="00EF5BF3">
            <w:pPr>
              <w:pStyle w:val="Tablehead"/>
              <w:rPr>
                <w:sz w:val="18"/>
                <w:szCs w:val="18"/>
                <w:lang w:val="en-GB"/>
              </w:rPr>
            </w:pPr>
          </w:p>
        </w:tc>
        <w:tc>
          <w:tcPr>
            <w:tcW w:w="1065" w:type="dxa"/>
            <w:tcBorders>
              <w:top w:val="single" w:sz="4" w:space="0" w:color="auto"/>
              <w:left w:val="single" w:sz="4" w:space="0" w:color="auto"/>
              <w:bottom w:val="single" w:sz="4" w:space="0" w:color="auto"/>
              <w:right w:val="single" w:sz="4" w:space="0" w:color="auto"/>
            </w:tcBorders>
            <w:vAlign w:val="center"/>
          </w:tcPr>
          <w:p w14:paraId="51E0FE03" w14:textId="77777777" w:rsidR="00EF5BF3" w:rsidRDefault="00551D2B">
            <w:pPr>
              <w:pStyle w:val="Tablehead"/>
              <w:rPr>
                <w:sz w:val="18"/>
                <w:szCs w:val="18"/>
                <w:lang w:val="en-GB"/>
              </w:rPr>
            </w:pPr>
            <w:r>
              <w:rPr>
                <w:sz w:val="18"/>
                <w:szCs w:val="18"/>
                <w:lang w:val="en-GB"/>
              </w:rPr>
              <w:t>1</w:t>
            </w:r>
          </w:p>
        </w:tc>
        <w:tc>
          <w:tcPr>
            <w:tcW w:w="910" w:type="dxa"/>
            <w:tcBorders>
              <w:top w:val="single" w:sz="4" w:space="0" w:color="auto"/>
              <w:left w:val="single" w:sz="4" w:space="0" w:color="auto"/>
              <w:bottom w:val="single" w:sz="4" w:space="0" w:color="auto"/>
              <w:right w:val="single" w:sz="4" w:space="0" w:color="auto"/>
            </w:tcBorders>
            <w:vAlign w:val="center"/>
          </w:tcPr>
          <w:p w14:paraId="3F7D9780" w14:textId="77777777" w:rsidR="00EF5BF3" w:rsidRDefault="00551D2B">
            <w:pPr>
              <w:pStyle w:val="Tablehead"/>
              <w:rPr>
                <w:sz w:val="18"/>
                <w:szCs w:val="18"/>
                <w:lang w:val="en-GB"/>
              </w:rPr>
            </w:pPr>
            <w:r>
              <w:rPr>
                <w:sz w:val="18"/>
                <w:szCs w:val="18"/>
                <w:lang w:val="en-GB"/>
              </w:rPr>
              <w:t>2</w:t>
            </w:r>
          </w:p>
        </w:tc>
        <w:tc>
          <w:tcPr>
            <w:tcW w:w="902" w:type="dxa"/>
            <w:tcBorders>
              <w:top w:val="single" w:sz="4" w:space="0" w:color="auto"/>
              <w:left w:val="single" w:sz="4" w:space="0" w:color="auto"/>
              <w:bottom w:val="single" w:sz="4" w:space="0" w:color="auto"/>
              <w:right w:val="single" w:sz="4" w:space="0" w:color="auto"/>
            </w:tcBorders>
            <w:vAlign w:val="center"/>
          </w:tcPr>
          <w:p w14:paraId="5029DE3E" w14:textId="77777777" w:rsidR="00EF5BF3" w:rsidRDefault="00551D2B">
            <w:pPr>
              <w:pStyle w:val="Tablehead"/>
              <w:rPr>
                <w:sz w:val="18"/>
                <w:szCs w:val="18"/>
                <w:lang w:val="en-GB"/>
              </w:rPr>
            </w:pPr>
            <w:r>
              <w:rPr>
                <w:sz w:val="18"/>
                <w:szCs w:val="18"/>
                <w:lang w:val="en-GB"/>
              </w:rPr>
              <w:t>3</w:t>
            </w:r>
          </w:p>
        </w:tc>
        <w:tc>
          <w:tcPr>
            <w:tcW w:w="910" w:type="dxa"/>
            <w:tcBorders>
              <w:top w:val="single" w:sz="4" w:space="0" w:color="auto"/>
              <w:left w:val="single" w:sz="4" w:space="0" w:color="auto"/>
              <w:bottom w:val="single" w:sz="4" w:space="0" w:color="auto"/>
              <w:right w:val="single" w:sz="4" w:space="0" w:color="auto"/>
            </w:tcBorders>
            <w:vAlign w:val="center"/>
          </w:tcPr>
          <w:p w14:paraId="713FDB12" w14:textId="77777777" w:rsidR="00EF5BF3" w:rsidRDefault="00551D2B">
            <w:pPr>
              <w:pStyle w:val="Tablehead"/>
              <w:rPr>
                <w:sz w:val="18"/>
                <w:szCs w:val="18"/>
                <w:lang w:val="en-GB"/>
              </w:rPr>
            </w:pPr>
            <w:r>
              <w:rPr>
                <w:sz w:val="18"/>
                <w:szCs w:val="18"/>
                <w:lang w:val="en-GB"/>
              </w:rPr>
              <w:t>3a</w:t>
            </w:r>
          </w:p>
        </w:tc>
        <w:tc>
          <w:tcPr>
            <w:tcW w:w="1466" w:type="dxa"/>
            <w:tcBorders>
              <w:top w:val="single" w:sz="4" w:space="0" w:color="auto"/>
              <w:left w:val="single" w:sz="4" w:space="0" w:color="auto"/>
              <w:bottom w:val="single" w:sz="4" w:space="0" w:color="auto"/>
              <w:right w:val="single" w:sz="4" w:space="0" w:color="auto"/>
            </w:tcBorders>
          </w:tcPr>
          <w:p w14:paraId="39C4269E" w14:textId="77777777" w:rsidR="00EF5BF3" w:rsidRDefault="00551D2B">
            <w:pPr>
              <w:pStyle w:val="Tablehead"/>
              <w:rPr>
                <w:sz w:val="18"/>
                <w:szCs w:val="18"/>
                <w:lang w:val="en-GB"/>
              </w:rPr>
            </w:pPr>
            <w:r>
              <w:rPr>
                <w:sz w:val="18"/>
                <w:szCs w:val="18"/>
                <w:lang w:val="en-GB"/>
              </w:rPr>
              <w:t>3b</w:t>
            </w:r>
          </w:p>
        </w:tc>
        <w:tc>
          <w:tcPr>
            <w:tcW w:w="1977" w:type="dxa"/>
            <w:tcBorders>
              <w:top w:val="single" w:sz="4" w:space="0" w:color="auto"/>
              <w:left w:val="single" w:sz="4" w:space="0" w:color="auto"/>
              <w:bottom w:val="single" w:sz="4" w:space="0" w:color="auto"/>
              <w:right w:val="single" w:sz="4" w:space="0" w:color="auto"/>
            </w:tcBorders>
            <w:vAlign w:val="center"/>
          </w:tcPr>
          <w:p w14:paraId="350A5696" w14:textId="77777777" w:rsidR="00EF5BF3" w:rsidRDefault="00551D2B">
            <w:pPr>
              <w:pStyle w:val="Tablehead"/>
              <w:rPr>
                <w:sz w:val="18"/>
                <w:szCs w:val="18"/>
                <w:lang w:val="en-GB"/>
              </w:rPr>
            </w:pPr>
            <w:r>
              <w:rPr>
                <w:sz w:val="18"/>
                <w:szCs w:val="18"/>
                <w:lang w:val="en-GB"/>
              </w:rPr>
              <w:t>4</w:t>
            </w:r>
          </w:p>
        </w:tc>
        <w:tc>
          <w:tcPr>
            <w:tcW w:w="3114" w:type="dxa"/>
            <w:gridSpan w:val="3"/>
            <w:tcBorders>
              <w:top w:val="single" w:sz="4" w:space="0" w:color="auto"/>
              <w:left w:val="single" w:sz="4" w:space="0" w:color="auto"/>
              <w:bottom w:val="single" w:sz="4" w:space="0" w:color="auto"/>
              <w:right w:val="single" w:sz="4" w:space="0" w:color="auto"/>
            </w:tcBorders>
            <w:vAlign w:val="center"/>
          </w:tcPr>
          <w:p w14:paraId="68A89481" w14:textId="77777777" w:rsidR="00EF5BF3" w:rsidRDefault="00551D2B">
            <w:pPr>
              <w:pStyle w:val="Tablehead"/>
              <w:rPr>
                <w:sz w:val="18"/>
                <w:szCs w:val="18"/>
                <w:lang w:val="en-GB"/>
              </w:rPr>
            </w:pPr>
            <w:r>
              <w:rPr>
                <w:sz w:val="18"/>
                <w:szCs w:val="18"/>
                <w:lang w:val="en-GB"/>
              </w:rPr>
              <w:t>5</w:t>
            </w:r>
          </w:p>
        </w:tc>
        <w:tc>
          <w:tcPr>
            <w:tcW w:w="2419" w:type="dxa"/>
            <w:gridSpan w:val="2"/>
            <w:tcBorders>
              <w:top w:val="single" w:sz="4" w:space="0" w:color="auto"/>
              <w:left w:val="single" w:sz="4" w:space="0" w:color="auto"/>
              <w:bottom w:val="single" w:sz="4" w:space="0" w:color="auto"/>
              <w:right w:val="single" w:sz="4" w:space="0" w:color="auto"/>
            </w:tcBorders>
            <w:vAlign w:val="center"/>
          </w:tcPr>
          <w:p w14:paraId="2655F4CD" w14:textId="77777777" w:rsidR="00EF5BF3" w:rsidRDefault="00551D2B">
            <w:pPr>
              <w:pStyle w:val="Tablehead"/>
              <w:rPr>
                <w:sz w:val="18"/>
                <w:szCs w:val="18"/>
                <w:lang w:val="en-GB"/>
              </w:rPr>
            </w:pPr>
            <w:r>
              <w:rPr>
                <w:sz w:val="18"/>
                <w:szCs w:val="18"/>
                <w:lang w:val="en-GB"/>
              </w:rPr>
              <w:t>6</w:t>
            </w:r>
          </w:p>
        </w:tc>
      </w:tr>
      <w:tr w:rsidR="00EF5BF3" w14:paraId="2D22E840" w14:textId="77777777" w:rsidTr="003872C2">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0B7E9525" w14:textId="77777777" w:rsidR="00EF5BF3" w:rsidRDefault="00551D2B">
            <w:pPr>
              <w:pStyle w:val="Tablehead"/>
              <w:rPr>
                <w:spacing w:val="-2"/>
                <w:sz w:val="18"/>
                <w:szCs w:val="18"/>
                <w:lang w:val="en-GB"/>
              </w:rPr>
            </w:pPr>
            <w:r>
              <w:rPr>
                <w:rFonts w:hint="eastAsia"/>
                <w:sz w:val="18"/>
                <w:lang w:eastAsia="zh-CN"/>
              </w:rPr>
              <w:t>参数</w:t>
            </w:r>
          </w:p>
        </w:tc>
        <w:tc>
          <w:tcPr>
            <w:tcW w:w="1065" w:type="dxa"/>
            <w:tcBorders>
              <w:top w:val="single" w:sz="4" w:space="0" w:color="auto"/>
              <w:left w:val="single" w:sz="4" w:space="0" w:color="auto"/>
              <w:bottom w:val="single" w:sz="4" w:space="0" w:color="auto"/>
              <w:right w:val="single" w:sz="4" w:space="0" w:color="auto"/>
            </w:tcBorders>
            <w:vAlign w:val="center"/>
          </w:tcPr>
          <w:p w14:paraId="122C5ECC" w14:textId="1DABCDA8" w:rsidR="00EF5BF3" w:rsidRDefault="00551D2B">
            <w:pPr>
              <w:pStyle w:val="Tablehead"/>
              <w:rPr>
                <w:spacing w:val="-2"/>
                <w:sz w:val="18"/>
                <w:szCs w:val="18"/>
                <w:lang w:val="en-GB"/>
              </w:rPr>
            </w:pPr>
            <w:r>
              <w:rPr>
                <w:sz w:val="18"/>
              </w:rPr>
              <w:t>SBAS</w:t>
            </w:r>
            <w:r w:rsidR="007D0163">
              <w:rPr>
                <w:sz w:val="18"/>
              </w:rPr>
              <w:br/>
            </w:r>
            <w:r>
              <w:rPr>
                <w:rFonts w:hint="eastAsia"/>
                <w:sz w:val="18"/>
                <w:lang w:eastAsia="zh-CN"/>
              </w:rPr>
              <w:t>地面参考接收机</w:t>
            </w:r>
            <w:r>
              <w:rPr>
                <w:sz w:val="18"/>
              </w:rPr>
              <w:t>*</w:t>
            </w:r>
          </w:p>
        </w:tc>
        <w:tc>
          <w:tcPr>
            <w:tcW w:w="910" w:type="dxa"/>
            <w:tcBorders>
              <w:top w:val="single" w:sz="4" w:space="0" w:color="auto"/>
              <w:left w:val="single" w:sz="4" w:space="0" w:color="auto"/>
              <w:bottom w:val="single" w:sz="4" w:space="0" w:color="auto"/>
              <w:right w:val="single" w:sz="4" w:space="0" w:color="auto"/>
            </w:tcBorders>
            <w:vAlign w:val="center"/>
          </w:tcPr>
          <w:p w14:paraId="4B3D6DFC" w14:textId="77777777" w:rsidR="00EF5BF3" w:rsidRDefault="00551D2B">
            <w:pPr>
              <w:pStyle w:val="Tablehead"/>
              <w:rPr>
                <w:spacing w:val="-2"/>
                <w:sz w:val="18"/>
                <w:szCs w:val="18"/>
                <w:lang w:val="en-GB"/>
              </w:rPr>
            </w:pPr>
            <w:r>
              <w:rPr>
                <w:rFonts w:hint="eastAsia"/>
                <w:sz w:val="18"/>
                <w:lang w:val="en-US" w:eastAsia="zh-CN"/>
              </w:rPr>
              <w:t>高精度半无码接收机</w:t>
            </w:r>
            <w:r>
              <w:rPr>
                <w:sz w:val="18"/>
                <w:lang w:val="en-US"/>
              </w:rPr>
              <w:t>*</w:t>
            </w:r>
          </w:p>
        </w:tc>
        <w:tc>
          <w:tcPr>
            <w:tcW w:w="902" w:type="dxa"/>
            <w:tcBorders>
              <w:top w:val="single" w:sz="4" w:space="0" w:color="auto"/>
              <w:left w:val="single" w:sz="4" w:space="0" w:color="auto"/>
              <w:bottom w:val="single" w:sz="4" w:space="0" w:color="auto"/>
              <w:right w:val="single" w:sz="4" w:space="0" w:color="auto"/>
            </w:tcBorders>
            <w:vAlign w:val="center"/>
          </w:tcPr>
          <w:p w14:paraId="0EB12707" w14:textId="77777777" w:rsidR="00EF5BF3" w:rsidRDefault="00551D2B">
            <w:pPr>
              <w:pStyle w:val="Tablehead"/>
              <w:rPr>
                <w:bCs/>
                <w:spacing w:val="-2"/>
                <w:sz w:val="18"/>
                <w:szCs w:val="18"/>
                <w:lang w:val="en-GB"/>
              </w:rPr>
            </w:pPr>
            <w:r>
              <w:rPr>
                <w:rFonts w:hint="eastAsia"/>
                <w:sz w:val="18"/>
                <w:lang w:val="en-US" w:eastAsia="zh-CN"/>
              </w:rPr>
              <w:t>采用</w:t>
            </w:r>
            <w:r>
              <w:rPr>
                <w:sz w:val="18"/>
                <w:lang w:val="en-US" w:eastAsia="zh-CN"/>
              </w:rPr>
              <w:t>L2C</w:t>
            </w:r>
            <w:r>
              <w:rPr>
                <w:rFonts w:hint="eastAsia"/>
                <w:sz w:val="18"/>
                <w:lang w:val="en-US" w:eastAsia="zh-CN"/>
              </w:rPr>
              <w:t>的高精度接收机</w:t>
            </w:r>
            <w:r>
              <w:rPr>
                <w:sz w:val="18"/>
                <w:lang w:val="en-US"/>
              </w:rPr>
              <w:t>*</w:t>
            </w:r>
          </w:p>
        </w:tc>
        <w:tc>
          <w:tcPr>
            <w:tcW w:w="910" w:type="dxa"/>
            <w:tcBorders>
              <w:top w:val="single" w:sz="4" w:space="0" w:color="auto"/>
              <w:left w:val="single" w:sz="4" w:space="0" w:color="auto"/>
              <w:bottom w:val="single" w:sz="4" w:space="0" w:color="auto"/>
              <w:right w:val="single" w:sz="4" w:space="0" w:color="auto"/>
            </w:tcBorders>
            <w:vAlign w:val="center"/>
          </w:tcPr>
          <w:p w14:paraId="3D330026" w14:textId="77777777" w:rsidR="00EF5BF3" w:rsidRDefault="00551D2B">
            <w:pPr>
              <w:pStyle w:val="Tablehead"/>
              <w:rPr>
                <w:spacing w:val="-2"/>
                <w:sz w:val="18"/>
                <w:szCs w:val="18"/>
                <w:lang w:val="en-GB"/>
              </w:rPr>
            </w:pPr>
            <w:r>
              <w:rPr>
                <w:rFonts w:hint="eastAsia"/>
                <w:spacing w:val="-2"/>
                <w:sz w:val="18"/>
                <w:szCs w:val="18"/>
                <w:lang w:val="en-US" w:eastAsia="zh-CN"/>
              </w:rPr>
              <w:t>采用</w:t>
            </w:r>
            <w:r>
              <w:rPr>
                <w:rFonts w:hint="eastAsia"/>
                <w:spacing w:val="-2"/>
                <w:sz w:val="18"/>
                <w:szCs w:val="18"/>
                <w:lang w:val="en-GB"/>
              </w:rPr>
              <w:t>B3</w:t>
            </w:r>
            <w:r>
              <w:rPr>
                <w:rFonts w:hint="eastAsia"/>
                <w:spacing w:val="-2"/>
                <w:sz w:val="18"/>
                <w:szCs w:val="18"/>
                <w:lang w:val="en-GB"/>
              </w:rPr>
              <w:t>和</w:t>
            </w:r>
            <w:r>
              <w:rPr>
                <w:rFonts w:hint="eastAsia"/>
                <w:spacing w:val="-2"/>
                <w:sz w:val="18"/>
                <w:szCs w:val="18"/>
                <w:lang w:val="en-GB"/>
              </w:rPr>
              <w:t>B3A</w:t>
            </w:r>
            <w:proofErr w:type="spellStart"/>
            <w:r>
              <w:rPr>
                <w:rFonts w:hint="eastAsia"/>
                <w:spacing w:val="-2"/>
                <w:sz w:val="18"/>
                <w:szCs w:val="18"/>
                <w:lang w:val="en-GB"/>
              </w:rPr>
              <w:t>的高精度接收机</w:t>
            </w:r>
            <w:proofErr w:type="spellEnd"/>
          </w:p>
        </w:tc>
        <w:tc>
          <w:tcPr>
            <w:tcW w:w="1466" w:type="dxa"/>
            <w:tcBorders>
              <w:top w:val="single" w:sz="4" w:space="0" w:color="auto"/>
              <w:left w:val="single" w:sz="4" w:space="0" w:color="auto"/>
              <w:bottom w:val="single" w:sz="4" w:space="0" w:color="auto"/>
              <w:right w:val="single" w:sz="4" w:space="0" w:color="auto"/>
            </w:tcBorders>
          </w:tcPr>
          <w:p w14:paraId="68998C04" w14:textId="77777777" w:rsidR="00EF5BF3" w:rsidRDefault="00551D2B">
            <w:pPr>
              <w:pStyle w:val="Tablehead"/>
              <w:rPr>
                <w:spacing w:val="-2"/>
                <w:sz w:val="18"/>
                <w:szCs w:val="18"/>
                <w:lang w:val="en-GB" w:eastAsia="zh-CN"/>
              </w:rPr>
            </w:pPr>
            <w:r>
              <w:rPr>
                <w:rFonts w:hint="eastAsia"/>
                <w:spacing w:val="-2"/>
                <w:sz w:val="18"/>
                <w:szCs w:val="18"/>
                <w:lang w:val="en-US" w:eastAsia="zh-CN"/>
              </w:rPr>
              <w:t>采用</w:t>
            </w:r>
            <w:r>
              <w:rPr>
                <w:rFonts w:hint="eastAsia"/>
                <w:spacing w:val="-2"/>
                <w:sz w:val="18"/>
                <w:szCs w:val="18"/>
                <w:lang w:val="en-US" w:eastAsia="zh-CN"/>
              </w:rPr>
              <w:t>E6-BC/L6</w:t>
            </w:r>
            <w:r>
              <w:rPr>
                <w:rFonts w:hint="eastAsia"/>
                <w:spacing w:val="-2"/>
                <w:sz w:val="18"/>
                <w:szCs w:val="18"/>
                <w:lang w:val="en-US" w:eastAsia="zh-CN"/>
              </w:rPr>
              <w:t>的高精度和认证接收机</w:t>
            </w:r>
          </w:p>
        </w:tc>
        <w:tc>
          <w:tcPr>
            <w:tcW w:w="197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9D69F7" w14:textId="3877C7CB" w:rsidR="00EF5BF3" w:rsidRDefault="00551D2B">
            <w:pPr>
              <w:pStyle w:val="Tablehead"/>
              <w:rPr>
                <w:spacing w:val="-2"/>
                <w:sz w:val="18"/>
                <w:szCs w:val="18"/>
                <w:lang w:val="en-GB" w:eastAsia="zh-CN"/>
              </w:rPr>
            </w:pPr>
            <w:r>
              <w:rPr>
                <w:rFonts w:hint="eastAsia"/>
                <w:sz w:val="18"/>
                <w:lang w:eastAsia="zh-CN"/>
              </w:rPr>
              <w:t>空中导航接收机</w:t>
            </w:r>
            <w:r w:rsidR="00DF3FA7">
              <w:rPr>
                <w:sz w:val="18"/>
                <w:lang w:eastAsia="zh-CN"/>
              </w:rPr>
              <w:br/>
            </w:r>
            <w:r>
              <w:rPr>
                <w:sz w:val="18"/>
                <w:lang w:eastAsia="zh-CN"/>
              </w:rPr>
              <w:t>（</w:t>
            </w:r>
            <w:r>
              <w:rPr>
                <w:rFonts w:hint="eastAsia"/>
                <w:sz w:val="18"/>
                <w:lang w:eastAsia="zh-CN"/>
              </w:rPr>
              <w:t>注</w:t>
            </w:r>
            <w:r>
              <w:rPr>
                <w:sz w:val="18"/>
                <w:lang w:eastAsia="zh-CN"/>
              </w:rPr>
              <w:t>10</w:t>
            </w:r>
            <w:r>
              <w:rPr>
                <w:sz w:val="18"/>
                <w:lang w:eastAsia="zh-CN"/>
              </w:rPr>
              <w:t>）</w:t>
            </w:r>
          </w:p>
        </w:tc>
        <w:tc>
          <w:tcPr>
            <w:tcW w:w="3114" w:type="dxa"/>
            <w:gridSpan w:val="3"/>
            <w:tcBorders>
              <w:top w:val="single" w:sz="4" w:space="0" w:color="auto"/>
              <w:left w:val="single" w:sz="4" w:space="0" w:color="auto"/>
              <w:bottom w:val="single" w:sz="4" w:space="0" w:color="auto"/>
              <w:right w:val="single" w:sz="4" w:space="0" w:color="auto"/>
            </w:tcBorders>
            <w:vAlign w:val="center"/>
          </w:tcPr>
          <w:p w14:paraId="62F713E0" w14:textId="77777777" w:rsidR="00EF5BF3" w:rsidRDefault="00551D2B">
            <w:pPr>
              <w:pStyle w:val="Tablehead"/>
              <w:rPr>
                <w:spacing w:val="-2"/>
                <w:sz w:val="18"/>
                <w:szCs w:val="18"/>
                <w:lang w:val="en-GB"/>
              </w:rPr>
            </w:pPr>
            <w:r>
              <w:rPr>
                <w:rFonts w:hint="eastAsia"/>
                <w:sz w:val="18"/>
                <w:lang w:eastAsia="zh-CN"/>
              </w:rPr>
              <w:t>室内定位</w:t>
            </w:r>
          </w:p>
        </w:tc>
        <w:tc>
          <w:tcPr>
            <w:tcW w:w="2419" w:type="dxa"/>
            <w:gridSpan w:val="2"/>
            <w:tcBorders>
              <w:top w:val="single" w:sz="4" w:space="0" w:color="auto"/>
              <w:left w:val="single" w:sz="4" w:space="0" w:color="auto"/>
              <w:bottom w:val="single" w:sz="4" w:space="0" w:color="auto"/>
              <w:right w:val="single" w:sz="4" w:space="0" w:color="auto"/>
            </w:tcBorders>
            <w:vAlign w:val="center"/>
          </w:tcPr>
          <w:p w14:paraId="3BC26ED6" w14:textId="77777777" w:rsidR="00EF5BF3" w:rsidRDefault="00551D2B">
            <w:pPr>
              <w:pStyle w:val="Tablehead"/>
              <w:rPr>
                <w:spacing w:val="-2"/>
                <w:sz w:val="18"/>
                <w:szCs w:val="18"/>
                <w:lang w:val="en-GB"/>
              </w:rPr>
            </w:pPr>
            <w:proofErr w:type="spellStart"/>
            <w:r>
              <w:rPr>
                <w:rFonts w:hint="eastAsia"/>
                <w:spacing w:val="-2"/>
                <w:sz w:val="18"/>
                <w:szCs w:val="18"/>
              </w:rPr>
              <w:t>一般用途</w:t>
            </w:r>
            <w:proofErr w:type="spellEnd"/>
          </w:p>
        </w:tc>
      </w:tr>
      <w:tr w:rsidR="00EF5BF3" w14:paraId="168FB481" w14:textId="77777777" w:rsidTr="003872C2">
        <w:tblPrEx>
          <w:tblCellMar>
            <w:left w:w="57" w:type="dxa"/>
            <w:right w:w="57" w:type="dxa"/>
          </w:tblCellMar>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2F34B74B" w14:textId="77777777" w:rsidR="00EF5BF3" w:rsidRDefault="00551D2B">
            <w:pPr>
              <w:pStyle w:val="Tabletext"/>
              <w:spacing w:before="20" w:after="20"/>
              <w:jc w:val="left"/>
              <w:rPr>
                <w:sz w:val="18"/>
                <w:szCs w:val="18"/>
                <w:lang w:val="en-GB" w:eastAsia="zh-CN"/>
              </w:rPr>
            </w:pPr>
            <w:r>
              <w:rPr>
                <w:rFonts w:hint="eastAsia"/>
                <w:sz w:val="18"/>
                <w:lang w:val="en-US" w:eastAsia="zh-CN"/>
              </w:rPr>
              <w:t>在无源天线输出端的集合窄带干扰的捕获模式门限功率电平</w:t>
            </w:r>
            <w:r>
              <w:rPr>
                <w:sz w:val="18"/>
                <w:lang w:val="en-US" w:eastAsia="zh-CN"/>
              </w:rPr>
              <w:t>（</w:t>
            </w:r>
            <w:proofErr w:type="spellStart"/>
            <w:r>
              <w:rPr>
                <w:sz w:val="18"/>
                <w:lang w:val="en-US" w:eastAsia="zh-CN"/>
              </w:rPr>
              <w:t>dBW</w:t>
            </w:r>
            <w:proofErr w:type="spellEnd"/>
            <w:r>
              <w:rPr>
                <w:sz w:val="18"/>
                <w:lang w:val="en-US" w:eastAsia="zh-CN"/>
              </w:rPr>
              <w:t>）</w:t>
            </w:r>
          </w:p>
        </w:tc>
        <w:tc>
          <w:tcPr>
            <w:tcW w:w="1065" w:type="dxa"/>
            <w:tcBorders>
              <w:top w:val="single" w:sz="4" w:space="0" w:color="auto"/>
              <w:left w:val="single" w:sz="4" w:space="0" w:color="auto"/>
              <w:bottom w:val="single" w:sz="4" w:space="0" w:color="auto"/>
              <w:right w:val="single" w:sz="4" w:space="0" w:color="auto"/>
            </w:tcBorders>
            <w:vAlign w:val="center"/>
          </w:tcPr>
          <w:p w14:paraId="14687C22" w14:textId="77777777" w:rsidR="00EF5BF3" w:rsidRDefault="00551D2B">
            <w:pPr>
              <w:pStyle w:val="Tabletext"/>
              <w:spacing w:before="20" w:after="20"/>
              <w:jc w:val="center"/>
              <w:rPr>
                <w:sz w:val="18"/>
                <w:szCs w:val="18"/>
                <w:lang w:val="en-GB"/>
              </w:rPr>
            </w:pPr>
            <w:r>
              <w:rPr>
                <w:rFonts w:hint="eastAsia"/>
                <w:sz w:val="18"/>
                <w:lang w:val="en-US" w:eastAsia="zh-CN"/>
              </w:rPr>
              <w:t>见注</w:t>
            </w:r>
            <w:r>
              <w:rPr>
                <w:sz w:val="18"/>
              </w:rPr>
              <w:t>4</w:t>
            </w:r>
          </w:p>
        </w:tc>
        <w:tc>
          <w:tcPr>
            <w:tcW w:w="910" w:type="dxa"/>
            <w:tcBorders>
              <w:top w:val="single" w:sz="4" w:space="0" w:color="auto"/>
              <w:left w:val="single" w:sz="4" w:space="0" w:color="auto"/>
              <w:bottom w:val="single" w:sz="4" w:space="0" w:color="auto"/>
              <w:right w:val="single" w:sz="4" w:space="0" w:color="auto"/>
            </w:tcBorders>
            <w:vAlign w:val="center"/>
          </w:tcPr>
          <w:p w14:paraId="076EED8F" w14:textId="77777777" w:rsidR="00EF5BF3" w:rsidRDefault="00551D2B">
            <w:pPr>
              <w:pStyle w:val="Tabletext"/>
              <w:spacing w:before="20" w:after="20"/>
              <w:jc w:val="center"/>
              <w:rPr>
                <w:sz w:val="18"/>
                <w:szCs w:val="18"/>
                <w:lang w:val="en-GB"/>
              </w:rPr>
            </w:pPr>
            <w:r>
              <w:rPr>
                <w:rFonts w:hint="eastAsia"/>
                <w:sz w:val="18"/>
                <w:lang w:val="en-US" w:eastAsia="zh-CN"/>
              </w:rPr>
              <w:t>见注</w:t>
            </w:r>
            <w:r>
              <w:rPr>
                <w:sz w:val="18"/>
              </w:rPr>
              <w:t>5</w:t>
            </w:r>
          </w:p>
        </w:tc>
        <w:tc>
          <w:tcPr>
            <w:tcW w:w="902" w:type="dxa"/>
            <w:tcBorders>
              <w:top w:val="single" w:sz="4" w:space="0" w:color="auto"/>
              <w:left w:val="single" w:sz="4" w:space="0" w:color="auto"/>
              <w:bottom w:val="single" w:sz="4" w:space="0" w:color="auto"/>
              <w:right w:val="single" w:sz="4" w:space="0" w:color="auto"/>
            </w:tcBorders>
            <w:vAlign w:val="center"/>
          </w:tcPr>
          <w:p w14:paraId="459C4C2F" w14:textId="7FE610E7" w:rsidR="00EF5BF3" w:rsidRDefault="00551D2B">
            <w:pPr>
              <w:pStyle w:val="Tabletext"/>
              <w:spacing w:before="20" w:after="20"/>
              <w:jc w:val="center"/>
              <w:rPr>
                <w:sz w:val="18"/>
                <w:szCs w:val="18"/>
                <w:lang w:val="en-GB"/>
              </w:rPr>
            </w:pPr>
            <w:r>
              <w:rPr>
                <w:sz w:val="18"/>
              </w:rPr>
              <w:t>–157.4</w:t>
            </w:r>
            <w:r w:rsidR="003872C2">
              <w:rPr>
                <w:sz w:val="18"/>
              </w:rPr>
              <w:br/>
            </w:r>
            <w:r>
              <w:rPr>
                <w:sz w:val="18"/>
              </w:rPr>
              <w:t>（</w:t>
            </w:r>
            <w:r>
              <w:rPr>
                <w:rFonts w:hint="eastAsia"/>
                <w:sz w:val="18"/>
                <w:lang w:val="en-US" w:eastAsia="zh-CN"/>
              </w:rPr>
              <w:t>注</w:t>
            </w:r>
            <w:r>
              <w:rPr>
                <w:sz w:val="18"/>
              </w:rPr>
              <w:t>1</w:t>
            </w:r>
            <w:r>
              <w:rPr>
                <w:sz w:val="18"/>
              </w:rPr>
              <w:t>）</w:t>
            </w:r>
          </w:p>
        </w:tc>
        <w:tc>
          <w:tcPr>
            <w:tcW w:w="910" w:type="dxa"/>
            <w:tcBorders>
              <w:top w:val="single" w:sz="4" w:space="0" w:color="auto"/>
              <w:left w:val="single" w:sz="4" w:space="0" w:color="auto"/>
              <w:bottom w:val="single" w:sz="4" w:space="0" w:color="auto"/>
              <w:right w:val="single" w:sz="4" w:space="0" w:color="auto"/>
            </w:tcBorders>
            <w:vAlign w:val="center"/>
          </w:tcPr>
          <w:p w14:paraId="18237A9F" w14:textId="77777777" w:rsidR="00EF5BF3" w:rsidRDefault="00551D2B">
            <w:pPr>
              <w:pStyle w:val="Tabletext"/>
              <w:spacing w:before="20" w:after="20"/>
              <w:jc w:val="center"/>
              <w:rPr>
                <w:sz w:val="18"/>
                <w:szCs w:val="18"/>
                <w:lang w:val="en-GB"/>
              </w:rPr>
            </w:pPr>
            <w:r>
              <w:rPr>
                <w:sz w:val="18"/>
                <w:szCs w:val="18"/>
                <w:lang w:val="en-GB"/>
              </w:rPr>
              <w:t>−1</w:t>
            </w:r>
            <w:r>
              <w:rPr>
                <w:sz w:val="18"/>
                <w:szCs w:val="18"/>
                <w:lang w:val="en-GB" w:eastAsia="zh-CN"/>
              </w:rPr>
              <w:t>57</w:t>
            </w:r>
            <w:r>
              <w:rPr>
                <w:sz w:val="18"/>
                <w:szCs w:val="18"/>
                <w:lang w:val="en-GB"/>
              </w:rPr>
              <w:t>.4</w:t>
            </w:r>
            <w:r>
              <w:rPr>
                <w:sz w:val="18"/>
                <w:szCs w:val="18"/>
                <w:lang w:val="en-GB"/>
              </w:rPr>
              <w:br/>
            </w:r>
            <w:r>
              <w:rPr>
                <w:sz w:val="18"/>
                <w:szCs w:val="18"/>
                <w:lang w:val="en-GB" w:eastAsia="ja-JP"/>
              </w:rPr>
              <w:t>（</w:t>
            </w:r>
            <w:r>
              <w:rPr>
                <w:rFonts w:hint="eastAsia"/>
                <w:sz w:val="18"/>
                <w:szCs w:val="18"/>
                <w:lang w:val="en-GB" w:eastAsia="zh-CN"/>
              </w:rPr>
              <w:t>注</w:t>
            </w:r>
            <w:r>
              <w:rPr>
                <w:sz w:val="18"/>
                <w:szCs w:val="18"/>
                <w:lang w:val="en-GB"/>
              </w:rPr>
              <w:t>2</w:t>
            </w:r>
            <w:r>
              <w:rPr>
                <w:sz w:val="18"/>
                <w:szCs w:val="18"/>
                <w:lang w:val="en-GB" w:eastAsia="ja-JP"/>
              </w:rPr>
              <w:t>）</w:t>
            </w:r>
          </w:p>
        </w:tc>
        <w:tc>
          <w:tcPr>
            <w:tcW w:w="1466" w:type="dxa"/>
            <w:tcBorders>
              <w:top w:val="single" w:sz="4" w:space="0" w:color="auto"/>
              <w:left w:val="single" w:sz="4" w:space="0" w:color="auto"/>
              <w:bottom w:val="single" w:sz="4" w:space="0" w:color="auto"/>
              <w:right w:val="single" w:sz="4" w:space="0" w:color="auto"/>
            </w:tcBorders>
            <w:vAlign w:val="center"/>
          </w:tcPr>
          <w:p w14:paraId="2423ED8C" w14:textId="77777777" w:rsidR="00EF5BF3" w:rsidRDefault="00551D2B">
            <w:pPr>
              <w:pStyle w:val="Tabletext"/>
              <w:spacing w:before="20" w:after="20"/>
              <w:jc w:val="center"/>
              <w:rPr>
                <w:sz w:val="18"/>
                <w:szCs w:val="18"/>
                <w:lang w:val="en-GB"/>
              </w:rPr>
            </w:pPr>
            <w:r>
              <w:rPr>
                <w:rFonts w:hint="eastAsia"/>
                <w:sz w:val="18"/>
                <w:szCs w:val="18"/>
                <w:lang w:val="en-GB" w:eastAsia="zh-CN"/>
              </w:rPr>
              <w:t>见注</w:t>
            </w:r>
            <w:r>
              <w:rPr>
                <w:sz w:val="18"/>
                <w:szCs w:val="18"/>
                <w:lang w:val="en-GB"/>
              </w:rPr>
              <w:t>17</w:t>
            </w:r>
          </w:p>
        </w:tc>
        <w:tc>
          <w:tcPr>
            <w:tcW w:w="1977" w:type="dxa"/>
            <w:tcBorders>
              <w:top w:val="single" w:sz="4" w:space="0" w:color="auto"/>
              <w:left w:val="single" w:sz="4" w:space="0" w:color="auto"/>
              <w:bottom w:val="single" w:sz="4" w:space="0" w:color="auto"/>
              <w:right w:val="single" w:sz="4" w:space="0" w:color="auto"/>
            </w:tcBorders>
            <w:vAlign w:val="center"/>
          </w:tcPr>
          <w:p w14:paraId="115CC7CA" w14:textId="77777777" w:rsidR="00EF5BF3" w:rsidRDefault="00551D2B">
            <w:pPr>
              <w:pStyle w:val="Tabletext"/>
              <w:spacing w:before="20" w:after="20"/>
              <w:jc w:val="center"/>
              <w:rPr>
                <w:sz w:val="18"/>
                <w:szCs w:val="18"/>
                <w:lang w:val="en-GB" w:eastAsia="ja-JP"/>
              </w:rPr>
            </w:pPr>
            <w:r>
              <w:rPr>
                <w:sz w:val="18"/>
                <w:szCs w:val="18"/>
                <w:lang w:val="en-GB"/>
              </w:rPr>
              <w:t>−</w:t>
            </w:r>
            <w:r>
              <w:rPr>
                <w:sz w:val="18"/>
                <w:szCs w:val="18"/>
                <w:lang w:val="en-GB" w:eastAsia="ja-JP"/>
              </w:rPr>
              <w:t>155</w:t>
            </w:r>
            <w:r>
              <w:rPr>
                <w:sz w:val="18"/>
                <w:szCs w:val="18"/>
                <w:lang w:val="en-GB" w:eastAsia="ja-JP"/>
              </w:rPr>
              <w:t>（</w:t>
            </w:r>
            <w:r>
              <w:rPr>
                <w:rFonts w:hint="eastAsia"/>
                <w:sz w:val="18"/>
                <w:szCs w:val="18"/>
                <w:lang w:val="en-GB" w:eastAsia="zh-CN"/>
              </w:rPr>
              <w:t>注</w:t>
            </w:r>
            <w:r>
              <w:rPr>
                <w:sz w:val="18"/>
                <w:szCs w:val="18"/>
                <w:lang w:val="en-GB"/>
              </w:rPr>
              <w:t>1</w:t>
            </w:r>
            <w:r>
              <w:rPr>
                <w:sz w:val="18"/>
                <w:szCs w:val="18"/>
                <w:lang w:val="en-GB"/>
              </w:rPr>
              <w:t>）</w:t>
            </w:r>
            <w:r>
              <w:rPr>
                <w:sz w:val="18"/>
                <w:szCs w:val="18"/>
                <w:lang w:val="en-GB" w:eastAsia="ja-JP"/>
              </w:rPr>
              <w:t>（</w:t>
            </w:r>
            <w:r>
              <w:rPr>
                <w:rFonts w:hint="eastAsia"/>
                <w:sz w:val="18"/>
                <w:szCs w:val="18"/>
                <w:lang w:val="en-GB" w:eastAsia="zh-CN"/>
              </w:rPr>
              <w:t>注</w:t>
            </w:r>
            <w:r>
              <w:rPr>
                <w:sz w:val="18"/>
                <w:szCs w:val="18"/>
                <w:lang w:val="en-GB"/>
              </w:rPr>
              <w:t>9</w:t>
            </w:r>
            <w:r>
              <w:rPr>
                <w:sz w:val="18"/>
                <w:szCs w:val="18"/>
                <w:lang w:val="en-GB" w:eastAsia="ja-JP"/>
              </w:rPr>
              <w:t>）</w:t>
            </w: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2F693F24" w14:textId="77777777" w:rsidR="00EF5BF3" w:rsidRDefault="00551D2B">
            <w:pPr>
              <w:pStyle w:val="Tabletext"/>
              <w:spacing w:before="20" w:after="20"/>
              <w:jc w:val="center"/>
              <w:rPr>
                <w:sz w:val="18"/>
                <w:szCs w:val="18"/>
                <w:lang w:val="en-GB" w:eastAsia="ja-JP"/>
              </w:rPr>
            </w:pPr>
            <w:r>
              <w:rPr>
                <w:sz w:val="18"/>
                <w:szCs w:val="18"/>
                <w:lang w:val="en-GB"/>
              </w:rPr>
              <w:t>−</w:t>
            </w:r>
            <w:r>
              <w:rPr>
                <w:sz w:val="18"/>
                <w:szCs w:val="18"/>
                <w:lang w:val="en-GB" w:eastAsia="ja-JP"/>
              </w:rPr>
              <w:t>199</w:t>
            </w:r>
            <w:r>
              <w:rPr>
                <w:sz w:val="18"/>
                <w:szCs w:val="18"/>
                <w:lang w:val="en-GB" w:eastAsia="ja-JP"/>
              </w:rPr>
              <w:br/>
            </w:r>
            <w:r>
              <w:rPr>
                <w:sz w:val="18"/>
                <w:szCs w:val="18"/>
                <w:lang w:val="en-GB" w:eastAsia="ja-JP"/>
              </w:rPr>
              <w:t>（</w:t>
            </w:r>
            <w:r>
              <w:rPr>
                <w:rFonts w:hint="eastAsia"/>
                <w:sz w:val="18"/>
                <w:szCs w:val="18"/>
                <w:lang w:val="en-GB" w:eastAsia="zh-CN"/>
              </w:rPr>
              <w:t>注</w:t>
            </w:r>
            <w:r>
              <w:rPr>
                <w:sz w:val="18"/>
                <w:szCs w:val="18"/>
                <w:lang w:val="en-GB" w:eastAsia="ja-JP"/>
              </w:rPr>
              <w:t>1</w:t>
            </w:r>
            <w:r>
              <w:rPr>
                <w:sz w:val="18"/>
                <w:szCs w:val="18"/>
                <w:lang w:val="en-GB" w:eastAsia="ja-JP"/>
              </w:rPr>
              <w:t>）</w:t>
            </w:r>
          </w:p>
        </w:tc>
        <w:tc>
          <w:tcPr>
            <w:tcW w:w="1701" w:type="dxa"/>
            <w:tcBorders>
              <w:top w:val="single" w:sz="4" w:space="0" w:color="auto"/>
              <w:left w:val="single" w:sz="4" w:space="0" w:color="auto"/>
              <w:bottom w:val="single" w:sz="4" w:space="0" w:color="auto"/>
              <w:right w:val="single" w:sz="4" w:space="0" w:color="auto"/>
            </w:tcBorders>
            <w:vAlign w:val="center"/>
          </w:tcPr>
          <w:p w14:paraId="73A808BD" w14:textId="77777777" w:rsidR="00EF5BF3" w:rsidRDefault="00551D2B">
            <w:pPr>
              <w:pStyle w:val="Tabletext"/>
              <w:spacing w:before="20" w:after="20"/>
              <w:jc w:val="center"/>
              <w:rPr>
                <w:sz w:val="18"/>
                <w:szCs w:val="18"/>
                <w:lang w:val="en-GB" w:eastAsia="ja-JP"/>
              </w:rPr>
            </w:pPr>
            <w:r>
              <w:rPr>
                <w:sz w:val="18"/>
                <w:szCs w:val="18"/>
                <w:lang w:val="en-GB"/>
              </w:rPr>
              <w:t>−</w:t>
            </w:r>
            <w:r>
              <w:rPr>
                <w:sz w:val="18"/>
                <w:szCs w:val="18"/>
                <w:lang w:val="en-GB" w:eastAsia="ja-JP"/>
              </w:rPr>
              <w:t>199</w:t>
            </w:r>
            <w:r>
              <w:rPr>
                <w:sz w:val="18"/>
                <w:szCs w:val="18"/>
                <w:lang w:val="en-GB" w:eastAsia="ja-JP"/>
              </w:rPr>
              <w:br/>
            </w:r>
            <w:r>
              <w:rPr>
                <w:sz w:val="18"/>
                <w:szCs w:val="18"/>
                <w:lang w:val="en-GB" w:eastAsia="zh-CN"/>
              </w:rPr>
              <w:t>（</w:t>
            </w:r>
            <w:r>
              <w:rPr>
                <w:rFonts w:hint="eastAsia"/>
                <w:sz w:val="18"/>
                <w:szCs w:val="18"/>
                <w:lang w:val="en-GB" w:eastAsia="zh-CN"/>
              </w:rPr>
              <w:t>注</w:t>
            </w:r>
            <w:r>
              <w:rPr>
                <w:sz w:val="18"/>
                <w:szCs w:val="18"/>
                <w:lang w:val="en-GB" w:eastAsia="zh-CN"/>
              </w:rPr>
              <w:t>2</w:t>
            </w:r>
            <w:r>
              <w:rPr>
                <w:sz w:val="18"/>
                <w:szCs w:val="18"/>
                <w:lang w:val="en-GB" w:eastAsia="zh-CN"/>
              </w:rPr>
              <w:t>）</w:t>
            </w:r>
          </w:p>
        </w:tc>
        <w:tc>
          <w:tcPr>
            <w:tcW w:w="1559" w:type="dxa"/>
            <w:tcBorders>
              <w:top w:val="single" w:sz="4" w:space="0" w:color="auto"/>
              <w:left w:val="single" w:sz="4" w:space="0" w:color="auto"/>
              <w:bottom w:val="single" w:sz="4" w:space="0" w:color="auto"/>
              <w:right w:val="single" w:sz="4" w:space="0" w:color="auto"/>
            </w:tcBorders>
            <w:vAlign w:val="center"/>
          </w:tcPr>
          <w:p w14:paraId="10643180" w14:textId="77777777" w:rsidR="00EF5BF3" w:rsidRDefault="00551D2B">
            <w:pPr>
              <w:pStyle w:val="Tabletext"/>
              <w:spacing w:before="20" w:after="20"/>
              <w:jc w:val="center"/>
              <w:rPr>
                <w:sz w:val="18"/>
                <w:szCs w:val="18"/>
                <w:lang w:val="en-GB" w:eastAsia="ja-JP"/>
              </w:rPr>
            </w:pPr>
            <w:r>
              <w:rPr>
                <w:sz w:val="18"/>
                <w:szCs w:val="18"/>
                <w:lang w:val="en-GB"/>
              </w:rPr>
              <w:t>−</w:t>
            </w:r>
            <w:r>
              <w:rPr>
                <w:sz w:val="18"/>
                <w:szCs w:val="18"/>
                <w:lang w:val="en-GB" w:eastAsia="ja-JP"/>
              </w:rPr>
              <w:t>164</w:t>
            </w:r>
            <w:r>
              <w:rPr>
                <w:sz w:val="18"/>
                <w:szCs w:val="18"/>
                <w:lang w:val="en-GB" w:eastAsia="ja-JP"/>
              </w:rPr>
              <w:br/>
            </w:r>
            <w:r>
              <w:rPr>
                <w:sz w:val="18"/>
                <w:szCs w:val="18"/>
                <w:lang w:val="en-GB" w:eastAsia="ja-JP"/>
              </w:rPr>
              <w:t>（</w:t>
            </w:r>
            <w:r>
              <w:rPr>
                <w:rFonts w:hint="eastAsia"/>
                <w:sz w:val="18"/>
                <w:szCs w:val="18"/>
                <w:lang w:val="en-GB" w:eastAsia="zh-CN"/>
              </w:rPr>
              <w:t>注</w:t>
            </w:r>
            <w:r>
              <w:rPr>
                <w:sz w:val="18"/>
                <w:szCs w:val="18"/>
                <w:lang w:val="en-GB" w:eastAsia="ja-JP"/>
              </w:rPr>
              <w:t>1</w:t>
            </w:r>
            <w:r>
              <w:rPr>
                <w:sz w:val="18"/>
                <w:szCs w:val="18"/>
                <w:lang w:val="en-GB" w:eastAsia="ja-JP"/>
              </w:rPr>
              <w:t>）</w:t>
            </w:r>
          </w:p>
        </w:tc>
        <w:tc>
          <w:tcPr>
            <w:tcW w:w="860" w:type="dxa"/>
            <w:tcBorders>
              <w:top w:val="single" w:sz="4" w:space="0" w:color="auto"/>
              <w:left w:val="single" w:sz="4" w:space="0" w:color="auto"/>
              <w:bottom w:val="single" w:sz="4" w:space="0" w:color="auto"/>
              <w:right w:val="single" w:sz="4" w:space="0" w:color="auto"/>
            </w:tcBorders>
            <w:vAlign w:val="center"/>
          </w:tcPr>
          <w:p w14:paraId="6ECBB245" w14:textId="77777777" w:rsidR="00EF5BF3" w:rsidRDefault="00551D2B">
            <w:pPr>
              <w:pStyle w:val="Tabletext"/>
              <w:spacing w:before="20" w:after="20"/>
              <w:jc w:val="center"/>
              <w:rPr>
                <w:sz w:val="18"/>
                <w:szCs w:val="18"/>
                <w:lang w:val="en-GB" w:eastAsia="zh-CN"/>
              </w:rPr>
            </w:pPr>
            <w:r>
              <w:rPr>
                <w:sz w:val="18"/>
                <w:szCs w:val="18"/>
                <w:lang w:val="en-GB"/>
              </w:rPr>
              <w:t>−</w:t>
            </w:r>
            <w:r>
              <w:rPr>
                <w:sz w:val="18"/>
                <w:szCs w:val="18"/>
                <w:lang w:val="en-GB" w:eastAsia="zh-CN"/>
              </w:rPr>
              <w:t>156</w:t>
            </w:r>
          </w:p>
          <w:p w14:paraId="1782F8CE" w14:textId="77777777" w:rsidR="00EF5BF3" w:rsidRDefault="00551D2B">
            <w:pPr>
              <w:pStyle w:val="Tabletext"/>
              <w:spacing w:before="20" w:after="20"/>
              <w:jc w:val="center"/>
              <w:rPr>
                <w:sz w:val="18"/>
                <w:szCs w:val="18"/>
                <w:lang w:val="en-GB"/>
              </w:rPr>
            </w:pPr>
            <w:r>
              <w:rPr>
                <w:sz w:val="18"/>
                <w:szCs w:val="18"/>
                <w:lang w:val="en-GB" w:eastAsia="ja-JP"/>
              </w:rPr>
              <w:t>（</w:t>
            </w:r>
            <w:r>
              <w:rPr>
                <w:rFonts w:hint="eastAsia"/>
                <w:sz w:val="18"/>
                <w:szCs w:val="18"/>
                <w:lang w:val="en-GB" w:eastAsia="zh-CN"/>
              </w:rPr>
              <w:t>注</w:t>
            </w:r>
            <w:r>
              <w:rPr>
                <w:sz w:val="18"/>
                <w:szCs w:val="18"/>
                <w:lang w:val="en-GB"/>
              </w:rPr>
              <w:t>2</w:t>
            </w:r>
            <w:r>
              <w:rPr>
                <w:sz w:val="18"/>
                <w:szCs w:val="18"/>
                <w:lang w:val="en-GB" w:eastAsia="ja-JP"/>
              </w:rPr>
              <w:t>）</w:t>
            </w:r>
          </w:p>
        </w:tc>
      </w:tr>
      <w:tr w:rsidR="00EF5BF3" w14:paraId="1C46FB90" w14:textId="77777777" w:rsidTr="003872C2">
        <w:trPr>
          <w:jc w:val="center"/>
        </w:trPr>
        <w:tc>
          <w:tcPr>
            <w:tcW w:w="1696" w:type="dxa"/>
            <w:tcBorders>
              <w:top w:val="single" w:sz="4" w:space="0" w:color="auto"/>
              <w:left w:val="single" w:sz="4" w:space="0" w:color="auto"/>
              <w:bottom w:val="single" w:sz="4" w:space="0" w:color="auto"/>
              <w:right w:val="single" w:sz="4" w:space="0" w:color="auto"/>
            </w:tcBorders>
          </w:tcPr>
          <w:p w14:paraId="220C7F26" w14:textId="77777777" w:rsidR="00EF5BF3" w:rsidRDefault="00551D2B">
            <w:pPr>
              <w:pStyle w:val="Tabletext"/>
              <w:jc w:val="left"/>
              <w:rPr>
                <w:sz w:val="18"/>
                <w:szCs w:val="18"/>
                <w:lang w:val="en-GB" w:eastAsia="zh-CN"/>
              </w:rPr>
            </w:pPr>
            <w:r>
              <w:rPr>
                <w:rFonts w:hint="eastAsia"/>
                <w:sz w:val="18"/>
                <w:lang w:val="en-US" w:eastAsia="zh-CN"/>
              </w:rPr>
              <w:t>在无源天线输出端的集合宽带干扰的跟踪模式门限功率密度电平</w:t>
            </w:r>
            <w:r>
              <w:rPr>
                <w:sz w:val="18"/>
                <w:lang w:val="en-US" w:eastAsia="zh-CN"/>
              </w:rPr>
              <w:t>（</w:t>
            </w:r>
            <w:r>
              <w:rPr>
                <w:sz w:val="18"/>
                <w:lang w:val="en-US" w:eastAsia="zh-CN"/>
              </w:rPr>
              <w:t>dB</w:t>
            </w:r>
            <w:r>
              <w:rPr>
                <w:sz w:val="18"/>
                <w:lang w:val="en-US" w:eastAsia="zh-CN"/>
              </w:rPr>
              <w:t>（</w:t>
            </w:r>
            <w:r>
              <w:rPr>
                <w:sz w:val="18"/>
                <w:lang w:val="en-US" w:eastAsia="zh-CN"/>
              </w:rPr>
              <w:t>W/MHz</w:t>
            </w:r>
            <w:r>
              <w:rPr>
                <w:sz w:val="18"/>
                <w:lang w:val="en-US" w:eastAsia="zh-CN"/>
              </w:rPr>
              <w:t>））</w:t>
            </w:r>
          </w:p>
        </w:tc>
        <w:tc>
          <w:tcPr>
            <w:tcW w:w="1065" w:type="dxa"/>
            <w:tcBorders>
              <w:top w:val="single" w:sz="4" w:space="0" w:color="auto"/>
              <w:left w:val="single" w:sz="4" w:space="0" w:color="auto"/>
              <w:bottom w:val="single" w:sz="4" w:space="0" w:color="auto"/>
              <w:right w:val="single" w:sz="4" w:space="0" w:color="auto"/>
            </w:tcBorders>
            <w:vAlign w:val="center"/>
          </w:tcPr>
          <w:p w14:paraId="547696D1" w14:textId="37506A1B" w:rsidR="00EF5BF3" w:rsidRDefault="003872C2">
            <w:pPr>
              <w:pStyle w:val="Tabletext"/>
              <w:jc w:val="center"/>
              <w:rPr>
                <w:sz w:val="18"/>
                <w:szCs w:val="18"/>
                <w:lang w:val="en-GB"/>
              </w:rPr>
            </w:pPr>
            <w:r w:rsidRPr="003872C2">
              <w:rPr>
                <w:sz w:val="18"/>
                <w:szCs w:val="18"/>
                <w:lang w:val="en-GB"/>
              </w:rPr>
              <w:t>–147.5 (P(Y))</w:t>
            </w:r>
            <w:r w:rsidR="00551D2B">
              <w:rPr>
                <w:sz w:val="18"/>
                <w:szCs w:val="18"/>
                <w:lang w:val="en-GB"/>
              </w:rPr>
              <w:br/>
            </w:r>
            <w:r w:rsidR="00551D2B">
              <w:rPr>
                <w:sz w:val="18"/>
                <w:szCs w:val="18"/>
                <w:lang w:val="en-GB"/>
              </w:rPr>
              <w:t>（</w:t>
            </w:r>
            <w:r w:rsidR="00551D2B">
              <w:rPr>
                <w:rFonts w:hint="eastAsia"/>
                <w:sz w:val="18"/>
                <w:szCs w:val="18"/>
                <w:lang w:val="en-GB" w:eastAsia="zh-CN"/>
              </w:rPr>
              <w:t>注</w:t>
            </w:r>
            <w:r w:rsidR="00551D2B">
              <w:rPr>
                <w:sz w:val="18"/>
                <w:szCs w:val="18"/>
                <w:lang w:val="en-GB"/>
              </w:rPr>
              <w:t>1</w:t>
            </w:r>
            <w:r w:rsidR="00551D2B">
              <w:rPr>
                <w:sz w:val="18"/>
                <w:szCs w:val="18"/>
                <w:lang w:val="en-GB"/>
              </w:rPr>
              <w:t>）</w:t>
            </w:r>
          </w:p>
        </w:tc>
        <w:tc>
          <w:tcPr>
            <w:tcW w:w="910" w:type="dxa"/>
            <w:tcBorders>
              <w:top w:val="single" w:sz="4" w:space="0" w:color="auto"/>
              <w:left w:val="single" w:sz="4" w:space="0" w:color="auto"/>
              <w:bottom w:val="single" w:sz="4" w:space="0" w:color="auto"/>
              <w:right w:val="single" w:sz="4" w:space="0" w:color="auto"/>
            </w:tcBorders>
            <w:vAlign w:val="center"/>
          </w:tcPr>
          <w:p w14:paraId="6484AABD" w14:textId="267F4D67" w:rsidR="00EF5BF3" w:rsidRDefault="003872C2">
            <w:pPr>
              <w:pStyle w:val="Tabletext"/>
              <w:jc w:val="center"/>
              <w:rPr>
                <w:sz w:val="18"/>
                <w:szCs w:val="18"/>
                <w:lang w:val="en-GB"/>
              </w:rPr>
            </w:pPr>
            <w:r w:rsidRPr="003872C2">
              <w:rPr>
                <w:sz w:val="18"/>
                <w:szCs w:val="18"/>
                <w:lang w:val="en-GB"/>
              </w:rPr>
              <w:t>–147.4 (P(Y))</w:t>
            </w:r>
            <w:r w:rsidR="00551D2B">
              <w:rPr>
                <w:sz w:val="18"/>
                <w:szCs w:val="18"/>
                <w:lang w:val="en-GB"/>
              </w:rPr>
              <w:br/>
            </w:r>
            <w:r w:rsidR="00551D2B">
              <w:rPr>
                <w:sz w:val="18"/>
                <w:szCs w:val="18"/>
                <w:lang w:val="en-GB"/>
              </w:rPr>
              <w:t>（</w:t>
            </w:r>
            <w:r w:rsidR="00551D2B">
              <w:rPr>
                <w:rFonts w:hint="eastAsia"/>
                <w:sz w:val="18"/>
                <w:szCs w:val="18"/>
                <w:lang w:val="en-GB" w:eastAsia="zh-CN"/>
              </w:rPr>
              <w:t>注</w:t>
            </w:r>
            <w:r w:rsidR="00551D2B">
              <w:rPr>
                <w:sz w:val="18"/>
                <w:szCs w:val="18"/>
                <w:lang w:val="en-GB"/>
              </w:rPr>
              <w:t>1</w:t>
            </w:r>
            <w:r w:rsidR="00551D2B">
              <w:rPr>
                <w:sz w:val="18"/>
                <w:szCs w:val="18"/>
                <w:lang w:val="en-GB"/>
              </w:rPr>
              <w:t>）</w:t>
            </w:r>
          </w:p>
        </w:tc>
        <w:tc>
          <w:tcPr>
            <w:tcW w:w="902" w:type="dxa"/>
            <w:tcBorders>
              <w:top w:val="single" w:sz="4" w:space="0" w:color="auto"/>
              <w:left w:val="single" w:sz="4" w:space="0" w:color="auto"/>
              <w:bottom w:val="single" w:sz="4" w:space="0" w:color="auto"/>
              <w:right w:val="single" w:sz="4" w:space="0" w:color="auto"/>
            </w:tcBorders>
            <w:vAlign w:val="center"/>
          </w:tcPr>
          <w:p w14:paraId="5096F431" w14:textId="77777777" w:rsidR="00EF5BF3" w:rsidRDefault="00551D2B">
            <w:pPr>
              <w:pStyle w:val="Tabletext"/>
              <w:jc w:val="center"/>
              <w:rPr>
                <w:sz w:val="18"/>
                <w:szCs w:val="18"/>
                <w:lang w:val="en-GB"/>
              </w:rPr>
            </w:pPr>
            <w:r>
              <w:rPr>
                <w:sz w:val="18"/>
                <w:szCs w:val="18"/>
                <w:lang w:val="en-GB"/>
              </w:rPr>
              <w:t>−147.4</w:t>
            </w:r>
            <w:r>
              <w:rPr>
                <w:sz w:val="18"/>
                <w:szCs w:val="18"/>
                <w:lang w:val="en-GB"/>
              </w:rPr>
              <w:br/>
            </w:r>
            <w:r>
              <w:rPr>
                <w:sz w:val="18"/>
                <w:szCs w:val="18"/>
                <w:lang w:val="en-GB"/>
              </w:rPr>
              <w:t>（</w:t>
            </w:r>
            <w:r>
              <w:rPr>
                <w:rFonts w:hint="eastAsia"/>
                <w:sz w:val="18"/>
                <w:szCs w:val="18"/>
                <w:lang w:val="en-GB" w:eastAsia="zh-CN"/>
              </w:rPr>
              <w:t>注</w:t>
            </w:r>
            <w:r>
              <w:rPr>
                <w:sz w:val="18"/>
                <w:szCs w:val="18"/>
                <w:lang w:val="en-GB"/>
              </w:rPr>
              <w:t>1</w:t>
            </w:r>
            <w:r>
              <w:rPr>
                <w:sz w:val="18"/>
                <w:szCs w:val="18"/>
                <w:lang w:val="en-GB"/>
              </w:rPr>
              <w:t>）</w:t>
            </w:r>
          </w:p>
        </w:tc>
        <w:tc>
          <w:tcPr>
            <w:tcW w:w="910" w:type="dxa"/>
            <w:tcBorders>
              <w:top w:val="single" w:sz="4" w:space="0" w:color="auto"/>
              <w:left w:val="single" w:sz="4" w:space="0" w:color="auto"/>
              <w:bottom w:val="single" w:sz="4" w:space="0" w:color="auto"/>
              <w:right w:val="single" w:sz="4" w:space="0" w:color="auto"/>
            </w:tcBorders>
            <w:vAlign w:val="center"/>
          </w:tcPr>
          <w:p w14:paraId="4A22EC58" w14:textId="77777777" w:rsidR="00EF5BF3" w:rsidRDefault="00551D2B">
            <w:pPr>
              <w:pStyle w:val="Tabletext"/>
              <w:jc w:val="center"/>
              <w:rPr>
                <w:sz w:val="18"/>
                <w:szCs w:val="18"/>
                <w:lang w:val="en-GB"/>
              </w:rPr>
            </w:pPr>
            <w:r>
              <w:rPr>
                <w:sz w:val="18"/>
                <w:szCs w:val="18"/>
                <w:lang w:val="en-GB"/>
              </w:rPr>
              <w:t>−147.4</w:t>
            </w:r>
            <w:r>
              <w:rPr>
                <w:sz w:val="18"/>
                <w:szCs w:val="18"/>
                <w:lang w:val="en-GB"/>
              </w:rPr>
              <w:br/>
            </w:r>
            <w:r>
              <w:rPr>
                <w:sz w:val="18"/>
                <w:szCs w:val="18"/>
                <w:lang w:val="en-GB" w:eastAsia="ja-JP"/>
              </w:rPr>
              <w:t>（</w:t>
            </w:r>
            <w:r>
              <w:rPr>
                <w:rFonts w:hint="eastAsia"/>
                <w:sz w:val="18"/>
                <w:szCs w:val="18"/>
                <w:lang w:val="en-GB" w:eastAsia="zh-CN"/>
              </w:rPr>
              <w:t>注</w:t>
            </w:r>
            <w:r>
              <w:rPr>
                <w:sz w:val="18"/>
                <w:szCs w:val="18"/>
                <w:lang w:val="en-GB"/>
              </w:rPr>
              <w:t>2</w:t>
            </w:r>
            <w:r>
              <w:rPr>
                <w:sz w:val="18"/>
                <w:szCs w:val="18"/>
                <w:lang w:val="en-GB" w:eastAsia="ja-JP"/>
              </w:rPr>
              <w:t>）</w:t>
            </w:r>
          </w:p>
        </w:tc>
        <w:tc>
          <w:tcPr>
            <w:tcW w:w="1466" w:type="dxa"/>
            <w:tcBorders>
              <w:top w:val="single" w:sz="4" w:space="0" w:color="auto"/>
              <w:left w:val="single" w:sz="4" w:space="0" w:color="auto"/>
              <w:bottom w:val="single" w:sz="4" w:space="0" w:color="auto"/>
              <w:right w:val="single" w:sz="4" w:space="0" w:color="auto"/>
            </w:tcBorders>
            <w:vAlign w:val="center"/>
          </w:tcPr>
          <w:p w14:paraId="38D1BF11" w14:textId="77777777" w:rsidR="00EF5BF3" w:rsidRDefault="00551D2B">
            <w:pPr>
              <w:pStyle w:val="Tabletext"/>
              <w:jc w:val="center"/>
              <w:rPr>
                <w:sz w:val="18"/>
                <w:szCs w:val="18"/>
                <w:lang w:val="en-GB"/>
              </w:rPr>
            </w:pPr>
            <w:r>
              <w:rPr>
                <w:sz w:val="18"/>
                <w:szCs w:val="18"/>
                <w:lang w:val="en-GB"/>
              </w:rPr>
              <w:t>−140</w:t>
            </w:r>
            <w:r>
              <w:rPr>
                <w:sz w:val="18"/>
                <w:szCs w:val="18"/>
                <w:lang w:val="en-GB"/>
              </w:rPr>
              <w:br/>
            </w:r>
            <w:r>
              <w:rPr>
                <w:sz w:val="18"/>
                <w:szCs w:val="18"/>
                <w:lang w:val="en-GB"/>
              </w:rPr>
              <w:t>（</w:t>
            </w:r>
            <w:r>
              <w:rPr>
                <w:rFonts w:hint="eastAsia"/>
                <w:sz w:val="18"/>
                <w:szCs w:val="18"/>
                <w:lang w:val="en-GB" w:eastAsia="zh-CN"/>
              </w:rPr>
              <w:t>注</w:t>
            </w:r>
            <w:r>
              <w:rPr>
                <w:sz w:val="18"/>
                <w:szCs w:val="18"/>
                <w:lang w:val="en-GB"/>
              </w:rPr>
              <w:t>16</w:t>
            </w:r>
            <w:r>
              <w:rPr>
                <w:sz w:val="18"/>
                <w:szCs w:val="18"/>
                <w:lang w:val="en-GB"/>
              </w:rPr>
              <w:t>）</w:t>
            </w:r>
          </w:p>
        </w:tc>
        <w:tc>
          <w:tcPr>
            <w:tcW w:w="1977" w:type="dxa"/>
            <w:tcBorders>
              <w:top w:val="single" w:sz="4" w:space="0" w:color="auto"/>
              <w:left w:val="single" w:sz="4" w:space="0" w:color="auto"/>
              <w:bottom w:val="single" w:sz="4" w:space="0" w:color="auto"/>
              <w:right w:val="single" w:sz="4" w:space="0" w:color="auto"/>
            </w:tcBorders>
            <w:vAlign w:val="center"/>
          </w:tcPr>
          <w:p w14:paraId="619BB382" w14:textId="77777777" w:rsidR="00EF5BF3" w:rsidRDefault="00551D2B">
            <w:pPr>
              <w:pStyle w:val="Tabletext"/>
              <w:jc w:val="center"/>
              <w:rPr>
                <w:sz w:val="18"/>
                <w:szCs w:val="18"/>
                <w:lang w:val="en-GB" w:eastAsia="ja-JP"/>
              </w:rPr>
            </w:pPr>
            <w:r>
              <w:rPr>
                <w:sz w:val="18"/>
                <w:szCs w:val="18"/>
                <w:lang w:val="en-GB"/>
              </w:rPr>
              <w:t>−</w:t>
            </w:r>
            <w:r>
              <w:rPr>
                <w:sz w:val="18"/>
                <w:szCs w:val="18"/>
                <w:lang w:val="en-GB" w:eastAsia="ja-JP"/>
              </w:rPr>
              <w:t>140</w:t>
            </w:r>
            <w:r>
              <w:rPr>
                <w:sz w:val="18"/>
                <w:szCs w:val="18"/>
                <w:lang w:val="en-GB" w:eastAsia="ja-JP"/>
              </w:rPr>
              <w:t>（</w:t>
            </w:r>
            <w:r>
              <w:rPr>
                <w:rFonts w:hint="eastAsia"/>
                <w:sz w:val="18"/>
                <w:szCs w:val="18"/>
                <w:lang w:val="en-GB" w:eastAsia="zh-CN"/>
              </w:rPr>
              <w:t>注</w:t>
            </w:r>
            <w:r>
              <w:rPr>
                <w:sz w:val="18"/>
                <w:szCs w:val="18"/>
                <w:lang w:val="en-GB"/>
              </w:rPr>
              <w:t>1</w:t>
            </w:r>
            <w:r>
              <w:rPr>
                <w:sz w:val="18"/>
                <w:szCs w:val="18"/>
                <w:lang w:val="en-GB"/>
              </w:rPr>
              <w:t>）</w:t>
            </w:r>
            <w:r>
              <w:rPr>
                <w:sz w:val="18"/>
                <w:szCs w:val="18"/>
                <w:lang w:val="en-GB" w:eastAsia="ja-JP"/>
              </w:rPr>
              <w:t>（</w:t>
            </w:r>
            <w:r>
              <w:rPr>
                <w:rFonts w:hint="eastAsia"/>
                <w:sz w:val="18"/>
                <w:szCs w:val="18"/>
                <w:lang w:val="en-GB" w:eastAsia="zh-CN"/>
              </w:rPr>
              <w:t>注</w:t>
            </w:r>
            <w:r>
              <w:rPr>
                <w:sz w:val="18"/>
                <w:szCs w:val="18"/>
                <w:lang w:val="en-GB"/>
              </w:rPr>
              <w:t>9</w:t>
            </w:r>
            <w:r>
              <w:rPr>
                <w:sz w:val="18"/>
                <w:szCs w:val="18"/>
                <w:lang w:val="en-GB" w:eastAsia="ja-JP"/>
              </w:rPr>
              <w:t>）</w:t>
            </w:r>
          </w:p>
        </w:tc>
        <w:tc>
          <w:tcPr>
            <w:tcW w:w="1407" w:type="dxa"/>
            <w:tcBorders>
              <w:top w:val="single" w:sz="4" w:space="0" w:color="auto"/>
              <w:left w:val="single" w:sz="4" w:space="0" w:color="auto"/>
              <w:bottom w:val="single" w:sz="4" w:space="0" w:color="auto"/>
              <w:right w:val="single" w:sz="4" w:space="0" w:color="auto"/>
            </w:tcBorders>
            <w:vAlign w:val="center"/>
          </w:tcPr>
          <w:p w14:paraId="2D42753E" w14:textId="77777777" w:rsidR="00EF5BF3" w:rsidRDefault="00551D2B">
            <w:pPr>
              <w:pStyle w:val="Tabletext"/>
              <w:jc w:val="center"/>
              <w:rPr>
                <w:sz w:val="18"/>
                <w:szCs w:val="18"/>
                <w:lang w:val="en-GB"/>
              </w:rPr>
            </w:pPr>
            <w:r>
              <w:rPr>
                <w:sz w:val="18"/>
                <w:szCs w:val="18"/>
                <w:lang w:val="en-GB"/>
              </w:rPr>
              <w:t>−</w:t>
            </w:r>
            <w:r>
              <w:rPr>
                <w:sz w:val="18"/>
                <w:szCs w:val="18"/>
                <w:lang w:val="en-GB" w:eastAsia="ja-JP"/>
              </w:rPr>
              <w:t>150</w:t>
            </w:r>
            <w:r>
              <w:rPr>
                <w:sz w:val="18"/>
                <w:szCs w:val="18"/>
                <w:lang w:val="en-GB" w:eastAsia="ja-JP"/>
              </w:rPr>
              <w:br/>
            </w:r>
            <w:r>
              <w:rPr>
                <w:sz w:val="18"/>
                <w:szCs w:val="18"/>
                <w:lang w:val="en-GB" w:eastAsia="ja-JP"/>
              </w:rPr>
              <w:t>（</w:t>
            </w:r>
            <w:r>
              <w:rPr>
                <w:rFonts w:hint="eastAsia"/>
                <w:sz w:val="18"/>
                <w:szCs w:val="18"/>
                <w:lang w:val="en-GB" w:eastAsia="zh-CN"/>
              </w:rPr>
              <w:t>注</w:t>
            </w:r>
            <w:r>
              <w:rPr>
                <w:sz w:val="18"/>
                <w:szCs w:val="18"/>
                <w:lang w:val="en-GB" w:eastAsia="ja-JP"/>
              </w:rPr>
              <w:t>1</w:t>
            </w:r>
            <w:r>
              <w:rPr>
                <w:sz w:val="18"/>
                <w:szCs w:val="18"/>
                <w:lang w:val="en-GB" w:eastAsia="ja-JP"/>
              </w:rPr>
              <w:t>）</w:t>
            </w:r>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69989E64" w14:textId="77777777" w:rsidR="00EF5BF3" w:rsidRDefault="00551D2B">
            <w:pPr>
              <w:pStyle w:val="Tabletext"/>
              <w:jc w:val="center"/>
              <w:rPr>
                <w:sz w:val="18"/>
                <w:szCs w:val="18"/>
                <w:lang w:val="en-GB" w:eastAsia="ja-JP"/>
              </w:rPr>
            </w:pPr>
            <w:r>
              <w:rPr>
                <w:sz w:val="18"/>
                <w:szCs w:val="18"/>
                <w:lang w:val="en-GB"/>
              </w:rPr>
              <w:t>−</w:t>
            </w:r>
            <w:r>
              <w:rPr>
                <w:sz w:val="18"/>
                <w:szCs w:val="18"/>
                <w:lang w:val="en-GB" w:eastAsia="ja-JP"/>
              </w:rPr>
              <w:t>1</w:t>
            </w:r>
            <w:r>
              <w:rPr>
                <w:sz w:val="18"/>
                <w:szCs w:val="18"/>
                <w:lang w:val="en-GB" w:eastAsia="zh-CN"/>
              </w:rPr>
              <w:t>45</w:t>
            </w:r>
            <w:r>
              <w:rPr>
                <w:sz w:val="18"/>
                <w:szCs w:val="18"/>
                <w:lang w:val="en-GB"/>
              </w:rPr>
              <w:br/>
            </w:r>
            <w:r>
              <w:rPr>
                <w:sz w:val="18"/>
                <w:szCs w:val="18"/>
                <w:lang w:val="en-GB" w:eastAsia="zh-CN"/>
              </w:rPr>
              <w:t>（</w:t>
            </w:r>
            <w:r>
              <w:rPr>
                <w:rFonts w:hint="eastAsia"/>
                <w:sz w:val="18"/>
                <w:szCs w:val="18"/>
                <w:lang w:val="en-GB" w:eastAsia="zh-CN"/>
              </w:rPr>
              <w:t>注</w:t>
            </w:r>
            <w:r>
              <w:rPr>
                <w:sz w:val="18"/>
                <w:szCs w:val="18"/>
                <w:lang w:val="en-GB" w:eastAsia="zh-CN"/>
              </w:rPr>
              <w:t>2</w:t>
            </w:r>
            <w:r>
              <w:rPr>
                <w:sz w:val="18"/>
                <w:szCs w:val="18"/>
                <w:lang w:val="en-GB" w:eastAsia="zh-CN"/>
              </w:rPr>
              <w:t>）</w:t>
            </w:r>
          </w:p>
        </w:tc>
        <w:tc>
          <w:tcPr>
            <w:tcW w:w="1559" w:type="dxa"/>
            <w:tcBorders>
              <w:top w:val="single" w:sz="4" w:space="0" w:color="auto"/>
              <w:left w:val="single" w:sz="4" w:space="0" w:color="auto"/>
              <w:bottom w:val="single" w:sz="4" w:space="0" w:color="auto"/>
              <w:right w:val="single" w:sz="4" w:space="0" w:color="auto"/>
            </w:tcBorders>
            <w:vAlign w:val="center"/>
          </w:tcPr>
          <w:p w14:paraId="1F015E7D" w14:textId="77777777" w:rsidR="00EF5BF3" w:rsidRDefault="00551D2B">
            <w:pPr>
              <w:pStyle w:val="Tabletext"/>
              <w:jc w:val="center"/>
              <w:rPr>
                <w:sz w:val="18"/>
                <w:szCs w:val="18"/>
                <w:lang w:val="en-GB"/>
              </w:rPr>
            </w:pPr>
            <w:r>
              <w:rPr>
                <w:sz w:val="18"/>
                <w:szCs w:val="18"/>
                <w:lang w:val="en-GB"/>
              </w:rPr>
              <w:t>−</w:t>
            </w:r>
            <w:r>
              <w:rPr>
                <w:sz w:val="18"/>
                <w:szCs w:val="18"/>
                <w:lang w:val="en-GB" w:eastAsia="ja-JP"/>
              </w:rPr>
              <w:t>139</w:t>
            </w:r>
            <w:r>
              <w:rPr>
                <w:sz w:val="18"/>
                <w:szCs w:val="18"/>
                <w:lang w:val="en-GB" w:eastAsia="ja-JP"/>
              </w:rPr>
              <w:br/>
            </w:r>
            <w:r>
              <w:rPr>
                <w:sz w:val="18"/>
                <w:szCs w:val="18"/>
                <w:lang w:val="en-GB" w:eastAsia="ja-JP"/>
              </w:rPr>
              <w:t>（</w:t>
            </w:r>
            <w:r>
              <w:rPr>
                <w:rFonts w:hint="eastAsia"/>
                <w:sz w:val="18"/>
                <w:szCs w:val="18"/>
                <w:lang w:val="en-GB" w:eastAsia="zh-CN"/>
              </w:rPr>
              <w:t>注</w:t>
            </w:r>
            <w:r>
              <w:rPr>
                <w:sz w:val="18"/>
                <w:szCs w:val="18"/>
                <w:lang w:val="en-GB" w:eastAsia="ja-JP"/>
              </w:rPr>
              <w:t>1</w:t>
            </w:r>
            <w:r>
              <w:rPr>
                <w:sz w:val="18"/>
                <w:szCs w:val="18"/>
                <w:lang w:val="en-GB" w:eastAsia="ja-JP"/>
              </w:rPr>
              <w:t>）</w:t>
            </w:r>
          </w:p>
        </w:tc>
        <w:tc>
          <w:tcPr>
            <w:tcW w:w="860" w:type="dxa"/>
            <w:tcBorders>
              <w:top w:val="single" w:sz="4" w:space="0" w:color="auto"/>
              <w:left w:val="single" w:sz="4" w:space="0" w:color="auto"/>
              <w:bottom w:val="single" w:sz="4" w:space="0" w:color="auto"/>
              <w:right w:val="single" w:sz="4" w:space="0" w:color="auto"/>
            </w:tcBorders>
            <w:vAlign w:val="center"/>
          </w:tcPr>
          <w:p w14:paraId="12929411" w14:textId="77777777" w:rsidR="00EF5BF3" w:rsidRDefault="00551D2B">
            <w:pPr>
              <w:pStyle w:val="Tabletext"/>
              <w:jc w:val="center"/>
              <w:rPr>
                <w:sz w:val="18"/>
                <w:szCs w:val="18"/>
                <w:lang w:val="en-GB"/>
              </w:rPr>
            </w:pPr>
            <w:r>
              <w:rPr>
                <w:sz w:val="18"/>
                <w:szCs w:val="18"/>
                <w:lang w:val="en-GB"/>
              </w:rPr>
              <w:t>−</w:t>
            </w:r>
            <w:r>
              <w:rPr>
                <w:sz w:val="18"/>
                <w:szCs w:val="18"/>
                <w:lang w:val="en-GB" w:eastAsia="zh-CN"/>
              </w:rPr>
              <w:t>140</w:t>
            </w:r>
            <w:r>
              <w:rPr>
                <w:sz w:val="18"/>
                <w:szCs w:val="18"/>
                <w:lang w:val="en-GB"/>
              </w:rPr>
              <w:br/>
            </w:r>
            <w:r>
              <w:rPr>
                <w:sz w:val="18"/>
                <w:szCs w:val="18"/>
                <w:lang w:val="en-GB" w:eastAsia="ja-JP"/>
              </w:rPr>
              <w:t>（</w:t>
            </w:r>
            <w:r>
              <w:rPr>
                <w:rFonts w:hint="eastAsia"/>
                <w:sz w:val="18"/>
                <w:szCs w:val="18"/>
                <w:lang w:val="en-GB" w:eastAsia="zh-CN"/>
              </w:rPr>
              <w:t>注</w:t>
            </w:r>
            <w:r>
              <w:rPr>
                <w:sz w:val="18"/>
                <w:szCs w:val="18"/>
                <w:lang w:val="en-GB"/>
              </w:rPr>
              <w:t>2</w:t>
            </w:r>
            <w:r>
              <w:rPr>
                <w:sz w:val="18"/>
                <w:szCs w:val="18"/>
                <w:lang w:val="en-GB" w:eastAsia="ja-JP"/>
              </w:rPr>
              <w:t>）</w:t>
            </w:r>
          </w:p>
        </w:tc>
      </w:tr>
      <w:tr w:rsidR="00EF5BF3" w14:paraId="7DA78FBB" w14:textId="77777777" w:rsidTr="003872C2">
        <w:trPr>
          <w:jc w:val="center"/>
        </w:trPr>
        <w:tc>
          <w:tcPr>
            <w:tcW w:w="1696" w:type="dxa"/>
            <w:tcBorders>
              <w:top w:val="single" w:sz="4" w:space="0" w:color="auto"/>
              <w:left w:val="single" w:sz="4" w:space="0" w:color="auto"/>
              <w:bottom w:val="single" w:sz="4" w:space="0" w:color="auto"/>
              <w:right w:val="single" w:sz="4" w:space="0" w:color="auto"/>
            </w:tcBorders>
          </w:tcPr>
          <w:p w14:paraId="6A2D7D4E" w14:textId="77777777" w:rsidR="00EF5BF3" w:rsidRDefault="00551D2B">
            <w:pPr>
              <w:pStyle w:val="Tabletext"/>
              <w:jc w:val="left"/>
              <w:rPr>
                <w:sz w:val="18"/>
                <w:szCs w:val="18"/>
                <w:lang w:val="en-GB" w:eastAsia="zh-CN"/>
              </w:rPr>
            </w:pPr>
            <w:r>
              <w:rPr>
                <w:rFonts w:hint="eastAsia"/>
                <w:sz w:val="18"/>
                <w:lang w:val="en-US" w:eastAsia="zh-CN"/>
              </w:rPr>
              <w:t>在无源天线输出端的集合宽带干扰的捕获模式门限功率密度电平</w:t>
            </w:r>
            <w:r>
              <w:rPr>
                <w:sz w:val="18"/>
                <w:lang w:val="en-US" w:eastAsia="zh-CN"/>
              </w:rPr>
              <w:t>（</w:t>
            </w:r>
            <w:r>
              <w:rPr>
                <w:sz w:val="18"/>
                <w:lang w:val="en-US" w:eastAsia="zh-CN"/>
              </w:rPr>
              <w:t>dB</w:t>
            </w:r>
            <w:r>
              <w:rPr>
                <w:sz w:val="18"/>
                <w:lang w:val="en-US" w:eastAsia="zh-CN"/>
              </w:rPr>
              <w:t>（</w:t>
            </w:r>
            <w:r>
              <w:rPr>
                <w:sz w:val="18"/>
                <w:lang w:val="en-US" w:eastAsia="zh-CN"/>
              </w:rPr>
              <w:t>W/MHz</w:t>
            </w:r>
            <w:r>
              <w:rPr>
                <w:sz w:val="18"/>
                <w:lang w:val="en-US" w:eastAsia="zh-CN"/>
              </w:rPr>
              <w:t>））</w:t>
            </w:r>
          </w:p>
        </w:tc>
        <w:tc>
          <w:tcPr>
            <w:tcW w:w="1065" w:type="dxa"/>
            <w:tcBorders>
              <w:top w:val="single" w:sz="4" w:space="0" w:color="auto"/>
              <w:left w:val="single" w:sz="4" w:space="0" w:color="auto"/>
              <w:bottom w:val="single" w:sz="4" w:space="0" w:color="auto"/>
              <w:right w:val="single" w:sz="4" w:space="0" w:color="auto"/>
            </w:tcBorders>
            <w:vAlign w:val="center"/>
          </w:tcPr>
          <w:p w14:paraId="6E2D09CD" w14:textId="77777777" w:rsidR="00EF5BF3" w:rsidRDefault="00551D2B">
            <w:pPr>
              <w:pStyle w:val="Tabletext"/>
              <w:jc w:val="center"/>
              <w:rPr>
                <w:sz w:val="18"/>
                <w:szCs w:val="18"/>
                <w:lang w:val="en-GB"/>
              </w:rPr>
            </w:pPr>
            <w:r>
              <w:rPr>
                <w:rFonts w:hint="eastAsia"/>
                <w:sz w:val="18"/>
                <w:szCs w:val="18"/>
                <w:lang w:val="en-GB" w:eastAsia="zh-CN"/>
              </w:rPr>
              <w:t>见注</w:t>
            </w:r>
            <w:r>
              <w:rPr>
                <w:sz w:val="18"/>
                <w:szCs w:val="18"/>
                <w:lang w:val="en-GB"/>
              </w:rPr>
              <w:t>4</w:t>
            </w:r>
          </w:p>
        </w:tc>
        <w:tc>
          <w:tcPr>
            <w:tcW w:w="910" w:type="dxa"/>
            <w:tcBorders>
              <w:top w:val="single" w:sz="4" w:space="0" w:color="auto"/>
              <w:left w:val="single" w:sz="4" w:space="0" w:color="auto"/>
              <w:bottom w:val="single" w:sz="4" w:space="0" w:color="auto"/>
              <w:right w:val="single" w:sz="4" w:space="0" w:color="auto"/>
            </w:tcBorders>
            <w:vAlign w:val="center"/>
          </w:tcPr>
          <w:p w14:paraId="50DDEFF6" w14:textId="77777777" w:rsidR="00EF5BF3" w:rsidRDefault="00551D2B">
            <w:pPr>
              <w:pStyle w:val="Tabletext"/>
              <w:jc w:val="center"/>
              <w:rPr>
                <w:sz w:val="18"/>
                <w:szCs w:val="18"/>
                <w:lang w:val="en-GB"/>
              </w:rPr>
            </w:pPr>
            <w:r>
              <w:rPr>
                <w:rFonts w:hint="eastAsia"/>
                <w:sz w:val="18"/>
                <w:szCs w:val="18"/>
                <w:lang w:val="en-GB" w:eastAsia="zh-CN"/>
              </w:rPr>
              <w:t>见注</w:t>
            </w:r>
            <w:r>
              <w:rPr>
                <w:sz w:val="18"/>
                <w:szCs w:val="18"/>
                <w:lang w:val="en-GB"/>
              </w:rPr>
              <w:t>5</w:t>
            </w:r>
          </w:p>
        </w:tc>
        <w:tc>
          <w:tcPr>
            <w:tcW w:w="902" w:type="dxa"/>
            <w:tcBorders>
              <w:top w:val="single" w:sz="4" w:space="0" w:color="auto"/>
              <w:left w:val="single" w:sz="4" w:space="0" w:color="auto"/>
              <w:bottom w:val="single" w:sz="4" w:space="0" w:color="auto"/>
              <w:right w:val="single" w:sz="4" w:space="0" w:color="auto"/>
            </w:tcBorders>
            <w:vAlign w:val="center"/>
          </w:tcPr>
          <w:p w14:paraId="6D4B9F2F" w14:textId="77777777" w:rsidR="00EF5BF3" w:rsidRDefault="00551D2B">
            <w:pPr>
              <w:pStyle w:val="Tabletext"/>
              <w:jc w:val="center"/>
              <w:rPr>
                <w:sz w:val="18"/>
                <w:szCs w:val="18"/>
                <w:lang w:val="en-GB"/>
              </w:rPr>
            </w:pPr>
            <w:r>
              <w:rPr>
                <w:sz w:val="18"/>
                <w:szCs w:val="18"/>
                <w:lang w:val="en-GB"/>
              </w:rPr>
              <w:t>−147.4</w:t>
            </w:r>
            <w:r>
              <w:rPr>
                <w:sz w:val="18"/>
                <w:szCs w:val="18"/>
                <w:lang w:val="en-GB"/>
              </w:rPr>
              <w:br/>
            </w:r>
            <w:r>
              <w:rPr>
                <w:sz w:val="18"/>
                <w:szCs w:val="18"/>
                <w:lang w:val="en-GB"/>
              </w:rPr>
              <w:t>（</w:t>
            </w:r>
            <w:r>
              <w:rPr>
                <w:rFonts w:hint="eastAsia"/>
                <w:sz w:val="18"/>
                <w:szCs w:val="18"/>
                <w:lang w:val="en-GB" w:eastAsia="zh-CN"/>
              </w:rPr>
              <w:t>注</w:t>
            </w:r>
            <w:r>
              <w:rPr>
                <w:sz w:val="18"/>
                <w:szCs w:val="18"/>
                <w:lang w:val="en-GB"/>
              </w:rPr>
              <w:t>1</w:t>
            </w:r>
            <w:r>
              <w:rPr>
                <w:sz w:val="18"/>
                <w:szCs w:val="18"/>
                <w:lang w:val="en-GB"/>
              </w:rPr>
              <w:t>）</w:t>
            </w:r>
          </w:p>
        </w:tc>
        <w:tc>
          <w:tcPr>
            <w:tcW w:w="910" w:type="dxa"/>
            <w:tcBorders>
              <w:top w:val="single" w:sz="4" w:space="0" w:color="auto"/>
              <w:left w:val="single" w:sz="4" w:space="0" w:color="auto"/>
              <w:bottom w:val="single" w:sz="4" w:space="0" w:color="auto"/>
              <w:right w:val="single" w:sz="4" w:space="0" w:color="auto"/>
            </w:tcBorders>
            <w:vAlign w:val="center"/>
          </w:tcPr>
          <w:p w14:paraId="0926C0B8" w14:textId="77777777" w:rsidR="00EF5BF3" w:rsidRDefault="00551D2B">
            <w:pPr>
              <w:pStyle w:val="Tabletext"/>
              <w:jc w:val="center"/>
              <w:rPr>
                <w:sz w:val="18"/>
                <w:szCs w:val="18"/>
                <w:lang w:val="en-GB"/>
              </w:rPr>
            </w:pPr>
            <w:r>
              <w:rPr>
                <w:sz w:val="18"/>
                <w:szCs w:val="18"/>
                <w:lang w:val="en-GB"/>
              </w:rPr>
              <w:t>−1</w:t>
            </w:r>
            <w:r>
              <w:rPr>
                <w:sz w:val="18"/>
                <w:szCs w:val="18"/>
                <w:lang w:val="en-GB" w:eastAsia="zh-CN"/>
              </w:rPr>
              <w:t>47</w:t>
            </w:r>
            <w:r>
              <w:rPr>
                <w:sz w:val="18"/>
                <w:szCs w:val="18"/>
                <w:lang w:val="en-GB"/>
              </w:rPr>
              <w:t>.4</w:t>
            </w:r>
            <w:r>
              <w:rPr>
                <w:sz w:val="18"/>
                <w:szCs w:val="18"/>
                <w:lang w:val="en-GB"/>
              </w:rPr>
              <w:br/>
            </w:r>
            <w:r>
              <w:rPr>
                <w:sz w:val="18"/>
                <w:szCs w:val="18"/>
                <w:lang w:val="en-GB" w:eastAsia="ja-JP"/>
              </w:rPr>
              <w:t>（</w:t>
            </w:r>
            <w:r>
              <w:rPr>
                <w:rFonts w:hint="eastAsia"/>
                <w:sz w:val="18"/>
                <w:szCs w:val="18"/>
                <w:lang w:val="en-GB" w:eastAsia="zh-CN"/>
              </w:rPr>
              <w:t>注</w:t>
            </w:r>
            <w:r>
              <w:rPr>
                <w:sz w:val="18"/>
                <w:szCs w:val="18"/>
                <w:lang w:val="en-GB"/>
              </w:rPr>
              <w:t>2</w:t>
            </w:r>
            <w:r>
              <w:rPr>
                <w:sz w:val="18"/>
                <w:szCs w:val="18"/>
                <w:lang w:val="en-GB" w:eastAsia="ja-JP"/>
              </w:rPr>
              <w:t>）</w:t>
            </w:r>
          </w:p>
        </w:tc>
        <w:tc>
          <w:tcPr>
            <w:tcW w:w="1466" w:type="dxa"/>
            <w:tcBorders>
              <w:top w:val="single" w:sz="4" w:space="0" w:color="auto"/>
              <w:left w:val="single" w:sz="4" w:space="0" w:color="auto"/>
              <w:bottom w:val="single" w:sz="4" w:space="0" w:color="auto"/>
              <w:right w:val="single" w:sz="4" w:space="0" w:color="auto"/>
            </w:tcBorders>
            <w:vAlign w:val="center"/>
          </w:tcPr>
          <w:p w14:paraId="2EBC0306" w14:textId="77777777" w:rsidR="00EF5BF3" w:rsidRDefault="00551D2B">
            <w:pPr>
              <w:pStyle w:val="Tabletext"/>
              <w:jc w:val="center"/>
              <w:rPr>
                <w:sz w:val="18"/>
                <w:szCs w:val="18"/>
                <w:lang w:val="en-GB"/>
              </w:rPr>
            </w:pPr>
            <w:r>
              <w:rPr>
                <w:rFonts w:hint="eastAsia"/>
                <w:sz w:val="18"/>
                <w:szCs w:val="18"/>
                <w:lang w:val="en-GB" w:eastAsia="zh-CN"/>
              </w:rPr>
              <w:t>见注</w:t>
            </w:r>
            <w:r>
              <w:rPr>
                <w:sz w:val="18"/>
                <w:szCs w:val="18"/>
                <w:lang w:val="en-GB"/>
              </w:rPr>
              <w:t>17</w:t>
            </w:r>
          </w:p>
        </w:tc>
        <w:tc>
          <w:tcPr>
            <w:tcW w:w="1977" w:type="dxa"/>
            <w:tcBorders>
              <w:top w:val="single" w:sz="4" w:space="0" w:color="auto"/>
              <w:left w:val="single" w:sz="4" w:space="0" w:color="auto"/>
              <w:bottom w:val="single" w:sz="4" w:space="0" w:color="auto"/>
              <w:right w:val="single" w:sz="4" w:space="0" w:color="auto"/>
            </w:tcBorders>
            <w:vAlign w:val="center"/>
          </w:tcPr>
          <w:p w14:paraId="7DCCCF26" w14:textId="77777777" w:rsidR="00EF5BF3" w:rsidRDefault="00551D2B">
            <w:pPr>
              <w:pStyle w:val="Tabletext"/>
              <w:jc w:val="center"/>
              <w:rPr>
                <w:sz w:val="18"/>
                <w:szCs w:val="18"/>
                <w:lang w:val="en-GB" w:eastAsia="ja-JP"/>
              </w:rPr>
            </w:pPr>
            <w:r>
              <w:rPr>
                <w:sz w:val="18"/>
                <w:szCs w:val="18"/>
                <w:lang w:val="en-GB"/>
              </w:rPr>
              <w:t>−</w:t>
            </w:r>
            <w:r>
              <w:rPr>
                <w:sz w:val="18"/>
                <w:szCs w:val="18"/>
                <w:lang w:val="en-GB" w:eastAsia="ja-JP"/>
              </w:rPr>
              <w:t>146</w:t>
            </w:r>
            <w:r>
              <w:rPr>
                <w:sz w:val="18"/>
                <w:szCs w:val="18"/>
                <w:lang w:val="en-GB" w:eastAsia="ja-JP"/>
              </w:rPr>
              <w:t>（</w:t>
            </w:r>
            <w:r>
              <w:rPr>
                <w:rFonts w:hint="eastAsia"/>
                <w:sz w:val="18"/>
                <w:szCs w:val="18"/>
                <w:lang w:val="en-GB" w:eastAsia="zh-CN"/>
              </w:rPr>
              <w:t>注</w:t>
            </w:r>
            <w:r>
              <w:rPr>
                <w:sz w:val="18"/>
                <w:szCs w:val="18"/>
                <w:lang w:val="en-GB"/>
              </w:rPr>
              <w:t>1</w:t>
            </w:r>
            <w:r>
              <w:rPr>
                <w:sz w:val="18"/>
                <w:szCs w:val="18"/>
                <w:lang w:val="en-GB"/>
              </w:rPr>
              <w:t>）</w:t>
            </w:r>
            <w:r>
              <w:rPr>
                <w:sz w:val="18"/>
                <w:szCs w:val="18"/>
                <w:lang w:val="en-GB" w:eastAsia="ja-JP"/>
              </w:rPr>
              <w:t>（</w:t>
            </w:r>
            <w:r>
              <w:rPr>
                <w:rFonts w:hint="eastAsia"/>
                <w:sz w:val="18"/>
                <w:szCs w:val="18"/>
                <w:lang w:val="en-GB" w:eastAsia="zh-CN"/>
              </w:rPr>
              <w:t>注</w:t>
            </w:r>
            <w:r>
              <w:rPr>
                <w:sz w:val="18"/>
                <w:szCs w:val="18"/>
                <w:lang w:val="en-GB"/>
              </w:rPr>
              <w:t>9</w:t>
            </w:r>
            <w:r>
              <w:rPr>
                <w:sz w:val="18"/>
                <w:szCs w:val="18"/>
                <w:lang w:val="en-GB" w:eastAsia="ja-JP"/>
              </w:rPr>
              <w:t>）</w:t>
            </w:r>
          </w:p>
        </w:tc>
        <w:tc>
          <w:tcPr>
            <w:tcW w:w="1407" w:type="dxa"/>
            <w:tcBorders>
              <w:top w:val="single" w:sz="4" w:space="0" w:color="auto"/>
              <w:left w:val="single" w:sz="4" w:space="0" w:color="auto"/>
              <w:bottom w:val="single" w:sz="4" w:space="0" w:color="auto"/>
              <w:right w:val="single" w:sz="4" w:space="0" w:color="auto"/>
            </w:tcBorders>
            <w:vAlign w:val="center"/>
          </w:tcPr>
          <w:p w14:paraId="3533DA12" w14:textId="77777777" w:rsidR="00EF5BF3" w:rsidRDefault="00551D2B">
            <w:pPr>
              <w:pStyle w:val="Tabletext"/>
              <w:jc w:val="center"/>
              <w:rPr>
                <w:sz w:val="18"/>
                <w:szCs w:val="18"/>
                <w:lang w:val="en-GB" w:eastAsia="ja-JP"/>
              </w:rPr>
            </w:pPr>
            <w:r>
              <w:rPr>
                <w:sz w:val="18"/>
                <w:szCs w:val="18"/>
                <w:lang w:val="en-GB"/>
              </w:rPr>
              <w:t>−</w:t>
            </w:r>
            <w:r>
              <w:rPr>
                <w:sz w:val="18"/>
                <w:szCs w:val="18"/>
                <w:lang w:val="en-GB" w:eastAsia="ja-JP"/>
              </w:rPr>
              <w:t>156</w:t>
            </w:r>
            <w:r>
              <w:rPr>
                <w:sz w:val="18"/>
                <w:szCs w:val="18"/>
                <w:lang w:val="en-GB" w:eastAsia="ja-JP"/>
              </w:rPr>
              <w:br/>
            </w:r>
            <w:r>
              <w:rPr>
                <w:sz w:val="18"/>
                <w:szCs w:val="18"/>
                <w:lang w:val="en-GB" w:eastAsia="ja-JP"/>
              </w:rPr>
              <w:t>（</w:t>
            </w:r>
            <w:r>
              <w:rPr>
                <w:rFonts w:hint="eastAsia"/>
                <w:sz w:val="18"/>
                <w:szCs w:val="18"/>
                <w:lang w:val="en-GB" w:eastAsia="zh-CN"/>
              </w:rPr>
              <w:t>注</w:t>
            </w:r>
            <w:r>
              <w:rPr>
                <w:sz w:val="18"/>
                <w:szCs w:val="18"/>
                <w:lang w:val="en-GB" w:eastAsia="ja-JP"/>
              </w:rPr>
              <w:t>1</w:t>
            </w:r>
            <w:r>
              <w:rPr>
                <w:sz w:val="18"/>
                <w:szCs w:val="18"/>
                <w:lang w:val="en-GB" w:eastAsia="ja-JP"/>
              </w:rPr>
              <w:t>）</w:t>
            </w:r>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2141A25B" w14:textId="77777777" w:rsidR="00EF5BF3" w:rsidRDefault="00551D2B">
            <w:pPr>
              <w:pStyle w:val="Tabletext"/>
              <w:jc w:val="center"/>
              <w:rPr>
                <w:sz w:val="18"/>
                <w:szCs w:val="18"/>
                <w:lang w:val="en-GB" w:eastAsia="ja-JP"/>
              </w:rPr>
            </w:pPr>
            <w:r>
              <w:rPr>
                <w:sz w:val="18"/>
                <w:szCs w:val="18"/>
                <w:lang w:val="en-GB"/>
              </w:rPr>
              <w:t>−</w:t>
            </w:r>
            <w:r>
              <w:rPr>
                <w:sz w:val="18"/>
                <w:szCs w:val="18"/>
                <w:lang w:val="en-GB" w:eastAsia="ja-JP"/>
              </w:rPr>
              <w:t>15</w:t>
            </w:r>
            <w:r>
              <w:rPr>
                <w:sz w:val="18"/>
                <w:szCs w:val="18"/>
                <w:lang w:val="en-GB" w:eastAsia="zh-CN"/>
              </w:rPr>
              <w:t>1</w:t>
            </w:r>
            <w:r>
              <w:rPr>
                <w:sz w:val="18"/>
                <w:szCs w:val="18"/>
                <w:lang w:val="en-GB"/>
              </w:rPr>
              <w:br/>
            </w:r>
            <w:r>
              <w:rPr>
                <w:sz w:val="18"/>
                <w:szCs w:val="18"/>
                <w:lang w:val="en-GB" w:eastAsia="zh-CN"/>
              </w:rPr>
              <w:t>（</w:t>
            </w:r>
            <w:r>
              <w:rPr>
                <w:rFonts w:hint="eastAsia"/>
                <w:sz w:val="18"/>
                <w:szCs w:val="18"/>
                <w:lang w:val="en-GB" w:eastAsia="zh-CN"/>
              </w:rPr>
              <w:t>注</w:t>
            </w:r>
            <w:r>
              <w:rPr>
                <w:sz w:val="18"/>
                <w:szCs w:val="18"/>
                <w:lang w:val="en-GB" w:eastAsia="zh-CN"/>
              </w:rPr>
              <w:t>2</w:t>
            </w:r>
            <w:r>
              <w:rPr>
                <w:sz w:val="18"/>
                <w:szCs w:val="18"/>
                <w:lang w:val="en-GB" w:eastAsia="zh-CN"/>
              </w:rPr>
              <w:t>）</w:t>
            </w:r>
          </w:p>
        </w:tc>
        <w:tc>
          <w:tcPr>
            <w:tcW w:w="1559" w:type="dxa"/>
            <w:tcBorders>
              <w:top w:val="single" w:sz="4" w:space="0" w:color="auto"/>
              <w:left w:val="single" w:sz="4" w:space="0" w:color="auto"/>
              <w:bottom w:val="single" w:sz="4" w:space="0" w:color="auto"/>
              <w:right w:val="single" w:sz="4" w:space="0" w:color="auto"/>
            </w:tcBorders>
            <w:vAlign w:val="center"/>
          </w:tcPr>
          <w:p w14:paraId="6DFE5147" w14:textId="77777777" w:rsidR="00EF5BF3" w:rsidRDefault="00551D2B">
            <w:pPr>
              <w:pStyle w:val="Tabletext"/>
              <w:jc w:val="center"/>
              <w:rPr>
                <w:sz w:val="18"/>
                <w:szCs w:val="18"/>
                <w:lang w:val="en-GB"/>
              </w:rPr>
            </w:pPr>
            <w:r>
              <w:rPr>
                <w:sz w:val="18"/>
                <w:szCs w:val="18"/>
                <w:lang w:val="en-GB"/>
              </w:rPr>
              <w:t>−</w:t>
            </w:r>
            <w:r>
              <w:rPr>
                <w:sz w:val="18"/>
                <w:szCs w:val="18"/>
                <w:lang w:val="en-GB" w:eastAsia="ja-JP"/>
              </w:rPr>
              <w:t>145</w:t>
            </w:r>
            <w:r>
              <w:rPr>
                <w:sz w:val="18"/>
                <w:szCs w:val="18"/>
                <w:lang w:val="en-GB" w:eastAsia="ja-JP"/>
              </w:rPr>
              <w:br/>
            </w:r>
            <w:r>
              <w:rPr>
                <w:sz w:val="18"/>
                <w:szCs w:val="18"/>
                <w:lang w:val="en-GB" w:eastAsia="ja-JP"/>
              </w:rPr>
              <w:t>（</w:t>
            </w:r>
            <w:r>
              <w:rPr>
                <w:rFonts w:hint="eastAsia"/>
                <w:sz w:val="18"/>
                <w:szCs w:val="18"/>
                <w:lang w:val="en-GB" w:eastAsia="zh-CN"/>
              </w:rPr>
              <w:t>注</w:t>
            </w:r>
            <w:r>
              <w:rPr>
                <w:rFonts w:hint="eastAsia"/>
                <w:sz w:val="18"/>
                <w:szCs w:val="18"/>
                <w:lang w:val="en-GB" w:eastAsia="zh-CN"/>
              </w:rPr>
              <w:t>1</w:t>
            </w:r>
            <w:r>
              <w:rPr>
                <w:sz w:val="18"/>
                <w:szCs w:val="18"/>
                <w:lang w:val="en-GB" w:eastAsia="ja-JP"/>
              </w:rPr>
              <w:t>）</w:t>
            </w:r>
          </w:p>
        </w:tc>
        <w:tc>
          <w:tcPr>
            <w:tcW w:w="860" w:type="dxa"/>
            <w:tcBorders>
              <w:top w:val="single" w:sz="4" w:space="0" w:color="auto"/>
              <w:left w:val="single" w:sz="4" w:space="0" w:color="auto"/>
              <w:bottom w:val="single" w:sz="4" w:space="0" w:color="auto"/>
              <w:right w:val="single" w:sz="4" w:space="0" w:color="auto"/>
            </w:tcBorders>
            <w:vAlign w:val="center"/>
          </w:tcPr>
          <w:p w14:paraId="5080F0ED" w14:textId="77777777" w:rsidR="00EF5BF3" w:rsidRDefault="00551D2B">
            <w:pPr>
              <w:pStyle w:val="Tabletext"/>
              <w:jc w:val="center"/>
              <w:rPr>
                <w:sz w:val="18"/>
                <w:szCs w:val="18"/>
                <w:lang w:val="en-GB"/>
              </w:rPr>
            </w:pPr>
            <w:r>
              <w:rPr>
                <w:sz w:val="18"/>
                <w:szCs w:val="18"/>
                <w:lang w:val="en-GB"/>
              </w:rPr>
              <w:t>−</w:t>
            </w:r>
            <w:r>
              <w:rPr>
                <w:sz w:val="18"/>
                <w:szCs w:val="18"/>
                <w:lang w:val="en-GB" w:eastAsia="zh-CN"/>
              </w:rPr>
              <w:t>146</w:t>
            </w:r>
            <w:r>
              <w:rPr>
                <w:sz w:val="18"/>
                <w:szCs w:val="18"/>
                <w:lang w:val="en-GB"/>
              </w:rPr>
              <w:br/>
            </w:r>
            <w:r>
              <w:rPr>
                <w:sz w:val="18"/>
                <w:szCs w:val="18"/>
                <w:lang w:val="en-GB" w:eastAsia="ja-JP"/>
              </w:rPr>
              <w:t>（</w:t>
            </w:r>
            <w:r>
              <w:rPr>
                <w:rFonts w:hint="eastAsia"/>
                <w:sz w:val="18"/>
                <w:szCs w:val="18"/>
                <w:lang w:val="en-GB" w:eastAsia="zh-CN"/>
              </w:rPr>
              <w:t>注</w:t>
            </w:r>
            <w:r>
              <w:rPr>
                <w:sz w:val="18"/>
                <w:szCs w:val="18"/>
                <w:lang w:val="en-GB"/>
              </w:rPr>
              <w:t>2</w:t>
            </w:r>
            <w:r>
              <w:rPr>
                <w:sz w:val="18"/>
                <w:szCs w:val="18"/>
                <w:lang w:val="en-GB" w:eastAsia="ja-JP"/>
              </w:rPr>
              <w:t>）</w:t>
            </w:r>
          </w:p>
        </w:tc>
      </w:tr>
      <w:tr w:rsidR="00EF5BF3" w14:paraId="1ED71BD7" w14:textId="77777777">
        <w:trPr>
          <w:jc w:val="center"/>
        </w:trPr>
        <w:tc>
          <w:tcPr>
            <w:tcW w:w="14459" w:type="dxa"/>
            <w:gridSpan w:val="12"/>
            <w:tcBorders>
              <w:top w:val="single" w:sz="4" w:space="0" w:color="auto"/>
              <w:left w:val="single" w:sz="4" w:space="0" w:color="auto"/>
              <w:bottom w:val="single" w:sz="4" w:space="0" w:color="auto"/>
              <w:right w:val="single" w:sz="4" w:space="0" w:color="auto"/>
            </w:tcBorders>
          </w:tcPr>
          <w:p w14:paraId="2041FEC2" w14:textId="77777777" w:rsidR="00EF5BF3" w:rsidRDefault="00551D2B">
            <w:pPr>
              <w:pStyle w:val="Tabletext"/>
              <w:jc w:val="center"/>
              <w:rPr>
                <w:b/>
                <w:i/>
                <w:iCs/>
                <w:sz w:val="18"/>
                <w:szCs w:val="18"/>
                <w:lang w:val="en-GB" w:eastAsia="zh-CN"/>
              </w:rPr>
            </w:pPr>
            <w:r>
              <w:rPr>
                <w:rFonts w:ascii="STKaiti" w:eastAsia="STKaiti" w:hAnsi="STKaiti" w:hint="eastAsia"/>
                <w:b/>
                <w:bCs/>
                <w:sz w:val="18"/>
                <w:lang w:val="en-US" w:eastAsia="zh-CN"/>
              </w:rPr>
              <w:t>脉冲干扰的门限值（见注1</w:t>
            </w:r>
            <w:r>
              <w:rPr>
                <w:rFonts w:ascii="STKaiti" w:eastAsia="STKaiti" w:hAnsi="STKaiti"/>
                <w:b/>
                <w:bCs/>
                <w:sz w:val="18"/>
                <w:lang w:val="en-US" w:eastAsia="zh-CN"/>
              </w:rPr>
              <w:t>4</w:t>
            </w:r>
            <w:r>
              <w:rPr>
                <w:rFonts w:ascii="STKaiti" w:eastAsia="STKaiti" w:hAnsi="STKaiti" w:hint="eastAsia"/>
                <w:b/>
                <w:bCs/>
                <w:sz w:val="18"/>
                <w:lang w:val="en-US" w:eastAsia="zh-CN"/>
              </w:rPr>
              <w:t>）</w:t>
            </w:r>
          </w:p>
        </w:tc>
      </w:tr>
      <w:tr w:rsidR="00EF5BF3" w14:paraId="0B3F1C01" w14:textId="77777777" w:rsidTr="003872C2">
        <w:trPr>
          <w:jc w:val="center"/>
        </w:trPr>
        <w:tc>
          <w:tcPr>
            <w:tcW w:w="1696" w:type="dxa"/>
            <w:tcBorders>
              <w:top w:val="single" w:sz="4" w:space="0" w:color="auto"/>
              <w:left w:val="single" w:sz="4" w:space="0" w:color="auto"/>
              <w:bottom w:val="single" w:sz="4" w:space="0" w:color="auto"/>
              <w:right w:val="single" w:sz="4" w:space="0" w:color="auto"/>
            </w:tcBorders>
          </w:tcPr>
          <w:p w14:paraId="3D53C5E5" w14:textId="77777777" w:rsidR="00EF5BF3" w:rsidRDefault="00551D2B">
            <w:pPr>
              <w:pStyle w:val="Tabletext"/>
              <w:jc w:val="left"/>
              <w:rPr>
                <w:bCs/>
                <w:i/>
                <w:iCs/>
                <w:sz w:val="18"/>
                <w:szCs w:val="18"/>
                <w:lang w:val="en-GB" w:eastAsia="zh-CN"/>
              </w:rPr>
            </w:pPr>
            <w:r>
              <w:rPr>
                <w:rFonts w:hint="eastAsia"/>
                <w:sz w:val="18"/>
                <w:lang w:val="en-US" w:eastAsia="zh-CN"/>
              </w:rPr>
              <w:t>接收机输入压缩电平</w:t>
            </w:r>
            <w:r>
              <w:rPr>
                <w:sz w:val="18"/>
                <w:lang w:val="en-US" w:eastAsia="zh-CN"/>
              </w:rPr>
              <w:t>（</w:t>
            </w:r>
            <w:proofErr w:type="spellStart"/>
            <w:r>
              <w:rPr>
                <w:sz w:val="18"/>
                <w:lang w:val="en-US" w:eastAsia="zh-CN"/>
              </w:rPr>
              <w:t>dBW</w:t>
            </w:r>
            <w:proofErr w:type="spellEnd"/>
            <w:r>
              <w:rPr>
                <w:sz w:val="18"/>
                <w:lang w:val="en-US" w:eastAsia="zh-CN"/>
              </w:rPr>
              <w:t>）</w:t>
            </w:r>
            <w:r>
              <w:rPr>
                <w:rFonts w:hint="eastAsia"/>
                <w:sz w:val="18"/>
                <w:szCs w:val="18"/>
                <w:lang w:val="en-GB" w:eastAsia="zh-CN"/>
              </w:rPr>
              <w:t>（注</w:t>
            </w:r>
            <w:r>
              <w:rPr>
                <w:rFonts w:hint="eastAsia"/>
                <w:sz w:val="18"/>
                <w:szCs w:val="18"/>
                <w:lang w:val="en-GB" w:eastAsia="zh-CN"/>
              </w:rPr>
              <w:t>14</w:t>
            </w:r>
            <w:r>
              <w:rPr>
                <w:rFonts w:hint="eastAsia"/>
                <w:sz w:val="18"/>
                <w:szCs w:val="18"/>
                <w:lang w:val="en-GB" w:eastAsia="zh-CN"/>
              </w:rPr>
              <w:t>）</w:t>
            </w:r>
          </w:p>
        </w:tc>
        <w:tc>
          <w:tcPr>
            <w:tcW w:w="1065" w:type="dxa"/>
            <w:tcBorders>
              <w:top w:val="single" w:sz="4" w:space="0" w:color="auto"/>
              <w:left w:val="single" w:sz="4" w:space="0" w:color="auto"/>
              <w:bottom w:val="single" w:sz="4" w:space="0" w:color="auto"/>
              <w:right w:val="single" w:sz="4" w:space="0" w:color="auto"/>
            </w:tcBorders>
            <w:vAlign w:val="center"/>
          </w:tcPr>
          <w:p w14:paraId="51DBC446" w14:textId="77777777" w:rsidR="00EF5BF3" w:rsidRDefault="00551D2B">
            <w:pPr>
              <w:pStyle w:val="Tabletext"/>
              <w:jc w:val="center"/>
              <w:rPr>
                <w:sz w:val="18"/>
                <w:szCs w:val="18"/>
                <w:lang w:val="en-GB"/>
              </w:rPr>
            </w:pPr>
            <w:r>
              <w:rPr>
                <w:sz w:val="18"/>
                <w:szCs w:val="18"/>
                <w:lang w:val="en-GB"/>
              </w:rPr>
              <w:t xml:space="preserve">−135.0 </w:t>
            </w:r>
            <w:r>
              <w:rPr>
                <w:sz w:val="18"/>
                <w:szCs w:val="18"/>
                <w:lang w:val="en-GB"/>
              </w:rPr>
              <w:br/>
            </w:r>
            <w:r>
              <w:rPr>
                <w:sz w:val="18"/>
                <w:szCs w:val="18"/>
                <w:lang w:val="en-GB"/>
              </w:rPr>
              <w:t>（</w:t>
            </w:r>
            <w:r>
              <w:rPr>
                <w:rFonts w:hint="eastAsia"/>
                <w:sz w:val="18"/>
                <w:szCs w:val="18"/>
                <w:lang w:val="en-GB" w:eastAsia="zh-CN"/>
              </w:rPr>
              <w:t>注</w:t>
            </w:r>
            <w:r>
              <w:rPr>
                <w:sz w:val="18"/>
                <w:szCs w:val="18"/>
                <w:lang w:val="en-GB"/>
              </w:rPr>
              <w:t>6</w:t>
            </w:r>
            <w:r>
              <w:rPr>
                <w:sz w:val="18"/>
                <w:szCs w:val="18"/>
                <w:lang w:val="en-GB"/>
              </w:rPr>
              <w:t>）</w:t>
            </w:r>
            <w:r>
              <w:rPr>
                <w:sz w:val="18"/>
                <w:szCs w:val="18"/>
                <w:lang w:val="en-GB"/>
              </w:rPr>
              <w:br/>
            </w:r>
            <w:r>
              <w:rPr>
                <w:sz w:val="18"/>
                <w:szCs w:val="18"/>
                <w:lang w:val="en-GB"/>
              </w:rPr>
              <w:t>（</w:t>
            </w:r>
            <w:r>
              <w:rPr>
                <w:rFonts w:hint="eastAsia"/>
                <w:sz w:val="18"/>
                <w:szCs w:val="18"/>
                <w:lang w:val="en-GB" w:eastAsia="zh-CN"/>
              </w:rPr>
              <w:t>注</w:t>
            </w:r>
            <w:r>
              <w:rPr>
                <w:sz w:val="18"/>
                <w:szCs w:val="18"/>
                <w:lang w:val="en-GB"/>
              </w:rPr>
              <w:t>13</w:t>
            </w:r>
            <w:r>
              <w:rPr>
                <w:sz w:val="18"/>
                <w:szCs w:val="18"/>
                <w:lang w:val="en-GB"/>
              </w:rPr>
              <w:t>）</w:t>
            </w:r>
          </w:p>
        </w:tc>
        <w:tc>
          <w:tcPr>
            <w:tcW w:w="910" w:type="dxa"/>
            <w:tcBorders>
              <w:top w:val="single" w:sz="4" w:space="0" w:color="auto"/>
              <w:left w:val="single" w:sz="4" w:space="0" w:color="auto"/>
              <w:bottom w:val="single" w:sz="4" w:space="0" w:color="auto"/>
              <w:right w:val="single" w:sz="4" w:space="0" w:color="auto"/>
            </w:tcBorders>
            <w:vAlign w:val="center"/>
          </w:tcPr>
          <w:p w14:paraId="77058259" w14:textId="77777777" w:rsidR="00EF5BF3" w:rsidRDefault="00551D2B">
            <w:pPr>
              <w:pStyle w:val="Tabletext"/>
              <w:jc w:val="center"/>
              <w:rPr>
                <w:sz w:val="18"/>
                <w:szCs w:val="18"/>
                <w:lang w:val="en-GB"/>
              </w:rPr>
            </w:pPr>
            <w:r>
              <w:rPr>
                <w:sz w:val="18"/>
                <w:szCs w:val="18"/>
                <w:lang w:val="en-GB"/>
              </w:rPr>
              <w:t>−</w:t>
            </w:r>
            <w:r>
              <w:rPr>
                <w:color w:val="000000"/>
                <w:sz w:val="18"/>
                <w:szCs w:val="18"/>
                <w:lang w:val="en-GB" w:eastAsia="zh-CN"/>
              </w:rPr>
              <w:t>120</w:t>
            </w:r>
            <w:r>
              <w:rPr>
                <w:color w:val="000000"/>
                <w:sz w:val="18"/>
                <w:szCs w:val="18"/>
                <w:lang w:val="en-GB" w:eastAsia="zh-CN"/>
              </w:rPr>
              <w:br/>
            </w:r>
            <w:r>
              <w:rPr>
                <w:sz w:val="18"/>
                <w:szCs w:val="18"/>
                <w:lang w:val="en-GB"/>
              </w:rPr>
              <w:t>（</w:t>
            </w:r>
            <w:r>
              <w:rPr>
                <w:rFonts w:hint="eastAsia"/>
                <w:sz w:val="18"/>
                <w:szCs w:val="18"/>
                <w:lang w:val="en-GB" w:eastAsia="zh-CN"/>
              </w:rPr>
              <w:t>注</w:t>
            </w:r>
            <w:r>
              <w:rPr>
                <w:sz w:val="18"/>
                <w:szCs w:val="18"/>
                <w:lang w:val="en-GB"/>
              </w:rPr>
              <w:t>6</w:t>
            </w:r>
            <w:r>
              <w:rPr>
                <w:sz w:val="18"/>
                <w:szCs w:val="18"/>
                <w:lang w:val="en-GB"/>
              </w:rPr>
              <w:t>）</w:t>
            </w:r>
          </w:p>
        </w:tc>
        <w:tc>
          <w:tcPr>
            <w:tcW w:w="902" w:type="dxa"/>
            <w:tcBorders>
              <w:top w:val="single" w:sz="4" w:space="0" w:color="auto"/>
              <w:left w:val="single" w:sz="4" w:space="0" w:color="auto"/>
              <w:bottom w:val="single" w:sz="4" w:space="0" w:color="auto"/>
              <w:right w:val="single" w:sz="4" w:space="0" w:color="auto"/>
            </w:tcBorders>
            <w:vAlign w:val="center"/>
          </w:tcPr>
          <w:p w14:paraId="29669721" w14:textId="77777777" w:rsidR="00EF5BF3" w:rsidRDefault="00551D2B">
            <w:pPr>
              <w:pStyle w:val="Tabletext"/>
              <w:jc w:val="center"/>
              <w:rPr>
                <w:sz w:val="18"/>
                <w:szCs w:val="18"/>
                <w:lang w:val="en-GB"/>
              </w:rPr>
            </w:pPr>
            <w:r>
              <w:rPr>
                <w:sz w:val="18"/>
                <w:szCs w:val="18"/>
                <w:lang w:val="en-GB"/>
              </w:rPr>
              <w:t>−</w:t>
            </w:r>
            <w:r>
              <w:rPr>
                <w:color w:val="000000"/>
                <w:sz w:val="18"/>
                <w:szCs w:val="18"/>
                <w:lang w:val="en-GB" w:eastAsia="ja-JP"/>
              </w:rPr>
              <w:t>120</w:t>
            </w:r>
            <w:r>
              <w:rPr>
                <w:color w:val="000000"/>
                <w:sz w:val="18"/>
                <w:szCs w:val="18"/>
                <w:lang w:val="en-GB" w:eastAsia="ja-JP"/>
              </w:rPr>
              <w:br/>
            </w:r>
            <w:r>
              <w:rPr>
                <w:sz w:val="18"/>
                <w:szCs w:val="18"/>
                <w:lang w:val="en-GB"/>
              </w:rPr>
              <w:t>（</w:t>
            </w:r>
            <w:r>
              <w:rPr>
                <w:rFonts w:hint="eastAsia"/>
                <w:sz w:val="18"/>
                <w:szCs w:val="18"/>
                <w:lang w:val="en-GB" w:eastAsia="zh-CN"/>
              </w:rPr>
              <w:t>注</w:t>
            </w:r>
            <w:r>
              <w:rPr>
                <w:sz w:val="18"/>
                <w:szCs w:val="18"/>
                <w:lang w:val="en-GB"/>
              </w:rPr>
              <w:t>6</w:t>
            </w:r>
            <w:r>
              <w:rPr>
                <w:sz w:val="18"/>
                <w:szCs w:val="18"/>
                <w:lang w:val="en-GB"/>
              </w:rPr>
              <w:t>）</w:t>
            </w:r>
          </w:p>
        </w:tc>
        <w:tc>
          <w:tcPr>
            <w:tcW w:w="910" w:type="dxa"/>
            <w:tcBorders>
              <w:top w:val="single" w:sz="4" w:space="0" w:color="auto"/>
              <w:left w:val="single" w:sz="4" w:space="0" w:color="auto"/>
              <w:bottom w:val="single" w:sz="4" w:space="0" w:color="auto"/>
              <w:right w:val="single" w:sz="4" w:space="0" w:color="auto"/>
            </w:tcBorders>
            <w:vAlign w:val="center"/>
          </w:tcPr>
          <w:p w14:paraId="5FC09E22" w14:textId="77777777" w:rsidR="00EF5BF3" w:rsidRDefault="00551D2B">
            <w:pPr>
              <w:pStyle w:val="Tabletext"/>
              <w:jc w:val="center"/>
              <w:rPr>
                <w:sz w:val="18"/>
                <w:szCs w:val="18"/>
                <w:lang w:val="en-GB"/>
              </w:rPr>
            </w:pPr>
            <w:r>
              <w:rPr>
                <w:sz w:val="18"/>
                <w:szCs w:val="18"/>
                <w:lang w:val="en-GB"/>
              </w:rPr>
              <w:t>−</w:t>
            </w:r>
            <w:r>
              <w:rPr>
                <w:color w:val="000000"/>
                <w:sz w:val="18"/>
                <w:szCs w:val="18"/>
                <w:lang w:val="en-GB" w:eastAsia="ja-JP"/>
              </w:rPr>
              <w:t>120</w:t>
            </w:r>
            <w:r>
              <w:rPr>
                <w:color w:val="000000"/>
                <w:sz w:val="18"/>
                <w:szCs w:val="18"/>
                <w:lang w:val="en-GB" w:eastAsia="ja-JP"/>
              </w:rPr>
              <w:br/>
            </w:r>
            <w:r>
              <w:rPr>
                <w:sz w:val="18"/>
                <w:szCs w:val="18"/>
                <w:lang w:val="en-GB"/>
              </w:rPr>
              <w:t>（</w:t>
            </w:r>
            <w:r>
              <w:rPr>
                <w:rFonts w:hint="eastAsia"/>
                <w:sz w:val="18"/>
                <w:szCs w:val="18"/>
                <w:lang w:val="en-GB" w:eastAsia="zh-CN"/>
              </w:rPr>
              <w:t>注</w:t>
            </w:r>
            <w:r>
              <w:rPr>
                <w:rFonts w:hint="eastAsia"/>
                <w:sz w:val="18"/>
                <w:szCs w:val="18"/>
                <w:lang w:val="en-GB" w:eastAsia="zh-CN"/>
              </w:rPr>
              <w:t>6</w:t>
            </w:r>
            <w:r>
              <w:rPr>
                <w:sz w:val="18"/>
                <w:szCs w:val="18"/>
                <w:lang w:val="en-GB"/>
              </w:rPr>
              <w:t>）</w:t>
            </w:r>
          </w:p>
        </w:tc>
        <w:tc>
          <w:tcPr>
            <w:tcW w:w="1466" w:type="dxa"/>
            <w:tcBorders>
              <w:top w:val="single" w:sz="4" w:space="0" w:color="auto"/>
              <w:left w:val="single" w:sz="4" w:space="0" w:color="auto"/>
              <w:bottom w:val="single" w:sz="4" w:space="0" w:color="auto"/>
              <w:right w:val="single" w:sz="4" w:space="0" w:color="auto"/>
            </w:tcBorders>
            <w:vAlign w:val="center"/>
          </w:tcPr>
          <w:p w14:paraId="7B7F73B0" w14:textId="77777777" w:rsidR="00EF5BF3" w:rsidRDefault="00551D2B">
            <w:pPr>
              <w:pStyle w:val="Tabletext"/>
              <w:jc w:val="center"/>
              <w:rPr>
                <w:color w:val="000000"/>
                <w:sz w:val="18"/>
                <w:szCs w:val="18"/>
                <w:lang w:val="en-GB" w:eastAsia="ja-JP"/>
              </w:rPr>
            </w:pPr>
            <w:r>
              <w:rPr>
                <w:sz w:val="18"/>
                <w:szCs w:val="18"/>
                <w:lang w:val="en-GB"/>
              </w:rPr>
              <w:t>−</w:t>
            </w:r>
            <w:r>
              <w:rPr>
                <w:color w:val="000000"/>
                <w:sz w:val="18"/>
                <w:szCs w:val="18"/>
                <w:lang w:val="en-GB" w:eastAsia="ja-JP"/>
              </w:rPr>
              <w:t>120</w:t>
            </w:r>
          </w:p>
          <w:p w14:paraId="63861202" w14:textId="77777777" w:rsidR="00EF5BF3" w:rsidRDefault="00551D2B">
            <w:pPr>
              <w:pStyle w:val="Tabletext"/>
              <w:jc w:val="center"/>
              <w:rPr>
                <w:sz w:val="18"/>
                <w:szCs w:val="18"/>
                <w:highlight w:val="yellow"/>
                <w:lang w:val="en-GB"/>
              </w:rPr>
            </w:pPr>
            <w:r>
              <w:rPr>
                <w:sz w:val="18"/>
                <w:szCs w:val="18"/>
                <w:lang w:val="en-GB"/>
              </w:rPr>
              <w:t>（</w:t>
            </w:r>
            <w:r>
              <w:rPr>
                <w:rFonts w:hint="eastAsia"/>
                <w:sz w:val="18"/>
                <w:szCs w:val="18"/>
                <w:lang w:val="en-GB" w:eastAsia="zh-CN"/>
              </w:rPr>
              <w:t>注</w:t>
            </w:r>
            <w:r>
              <w:rPr>
                <w:sz w:val="18"/>
                <w:szCs w:val="18"/>
                <w:lang w:val="en-GB"/>
              </w:rPr>
              <w:t>6</w:t>
            </w:r>
            <w:r>
              <w:rPr>
                <w:sz w:val="18"/>
                <w:szCs w:val="18"/>
                <w:lang w:val="en-GB"/>
              </w:rPr>
              <w:t>）</w:t>
            </w:r>
          </w:p>
        </w:tc>
        <w:tc>
          <w:tcPr>
            <w:tcW w:w="1977" w:type="dxa"/>
            <w:tcBorders>
              <w:top w:val="single" w:sz="4" w:space="0" w:color="auto"/>
              <w:left w:val="single" w:sz="4" w:space="0" w:color="auto"/>
              <w:bottom w:val="single" w:sz="4" w:space="0" w:color="auto"/>
              <w:right w:val="single" w:sz="4" w:space="0" w:color="auto"/>
            </w:tcBorders>
            <w:vAlign w:val="center"/>
          </w:tcPr>
          <w:p w14:paraId="296DC64C" w14:textId="77777777" w:rsidR="00EF5BF3" w:rsidRDefault="00551D2B">
            <w:pPr>
              <w:pStyle w:val="Tabletext"/>
              <w:jc w:val="center"/>
              <w:rPr>
                <w:sz w:val="18"/>
                <w:szCs w:val="18"/>
                <w:lang w:val="en-GB"/>
              </w:rPr>
            </w:pPr>
            <w:r>
              <w:rPr>
                <w:sz w:val="18"/>
                <w:szCs w:val="18"/>
                <w:lang w:val="en-GB"/>
              </w:rPr>
              <w:t>−</w:t>
            </w:r>
            <w:r>
              <w:rPr>
                <w:sz w:val="18"/>
                <w:szCs w:val="18"/>
                <w:lang w:val="en-GB" w:eastAsia="ja-JP"/>
              </w:rPr>
              <w:t>80</w:t>
            </w:r>
          </w:p>
        </w:tc>
        <w:tc>
          <w:tcPr>
            <w:tcW w:w="1407" w:type="dxa"/>
            <w:tcBorders>
              <w:top w:val="single" w:sz="4" w:space="0" w:color="auto"/>
              <w:left w:val="single" w:sz="4" w:space="0" w:color="auto"/>
              <w:bottom w:val="single" w:sz="4" w:space="0" w:color="auto"/>
              <w:right w:val="single" w:sz="4" w:space="0" w:color="auto"/>
            </w:tcBorders>
            <w:vAlign w:val="center"/>
          </w:tcPr>
          <w:p w14:paraId="735D16D7" w14:textId="77777777" w:rsidR="00EF5BF3" w:rsidRDefault="00551D2B">
            <w:pPr>
              <w:pStyle w:val="Tabletext"/>
              <w:jc w:val="center"/>
              <w:rPr>
                <w:sz w:val="18"/>
                <w:szCs w:val="18"/>
                <w:lang w:val="en-GB"/>
              </w:rPr>
            </w:pPr>
            <w:r>
              <w:rPr>
                <w:sz w:val="18"/>
                <w:szCs w:val="18"/>
                <w:lang w:val="en-GB"/>
              </w:rPr>
              <w:t>−</w:t>
            </w:r>
            <w:r>
              <w:rPr>
                <w:sz w:val="18"/>
                <w:szCs w:val="18"/>
                <w:lang w:val="en-GB" w:eastAsia="ja-JP"/>
              </w:rPr>
              <w:t>70</w:t>
            </w:r>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55423003" w14:textId="77777777" w:rsidR="00EF5BF3" w:rsidRDefault="00551D2B">
            <w:pPr>
              <w:pStyle w:val="Tabletext"/>
              <w:jc w:val="center"/>
              <w:rPr>
                <w:sz w:val="18"/>
                <w:szCs w:val="18"/>
                <w:lang w:val="en-GB"/>
              </w:rPr>
            </w:pPr>
            <w:r>
              <w:rPr>
                <w:sz w:val="18"/>
                <w:szCs w:val="18"/>
                <w:lang w:val="en-GB"/>
              </w:rPr>
              <w:t>−</w:t>
            </w:r>
            <w:r>
              <w:rPr>
                <w:sz w:val="18"/>
                <w:szCs w:val="18"/>
                <w:lang w:val="en-GB" w:eastAsia="zh-CN"/>
              </w:rPr>
              <w:t>100</w:t>
            </w:r>
          </w:p>
        </w:tc>
        <w:tc>
          <w:tcPr>
            <w:tcW w:w="1559" w:type="dxa"/>
            <w:tcBorders>
              <w:top w:val="single" w:sz="4" w:space="0" w:color="auto"/>
              <w:left w:val="single" w:sz="4" w:space="0" w:color="auto"/>
              <w:bottom w:val="single" w:sz="4" w:space="0" w:color="auto"/>
              <w:right w:val="single" w:sz="4" w:space="0" w:color="auto"/>
            </w:tcBorders>
            <w:vAlign w:val="center"/>
          </w:tcPr>
          <w:p w14:paraId="6738D14F" w14:textId="77777777" w:rsidR="00EF5BF3" w:rsidRDefault="00551D2B">
            <w:pPr>
              <w:pStyle w:val="Tabletext"/>
              <w:jc w:val="center"/>
              <w:rPr>
                <w:sz w:val="18"/>
                <w:szCs w:val="18"/>
                <w:lang w:val="en-GB"/>
              </w:rPr>
            </w:pPr>
            <w:r>
              <w:rPr>
                <w:sz w:val="18"/>
                <w:szCs w:val="18"/>
                <w:lang w:val="en-GB"/>
              </w:rPr>
              <w:t>−</w:t>
            </w:r>
            <w:r>
              <w:rPr>
                <w:sz w:val="18"/>
                <w:szCs w:val="18"/>
                <w:lang w:val="en-GB" w:eastAsia="ja-JP"/>
              </w:rPr>
              <w:t>70</w:t>
            </w:r>
          </w:p>
        </w:tc>
        <w:tc>
          <w:tcPr>
            <w:tcW w:w="860" w:type="dxa"/>
            <w:tcBorders>
              <w:top w:val="single" w:sz="4" w:space="0" w:color="auto"/>
              <w:left w:val="single" w:sz="4" w:space="0" w:color="auto"/>
              <w:bottom w:val="single" w:sz="4" w:space="0" w:color="auto"/>
              <w:right w:val="single" w:sz="4" w:space="0" w:color="auto"/>
            </w:tcBorders>
            <w:vAlign w:val="center"/>
          </w:tcPr>
          <w:p w14:paraId="09C2A4F6" w14:textId="77777777" w:rsidR="00EF5BF3" w:rsidRDefault="00551D2B">
            <w:pPr>
              <w:pStyle w:val="Tabletext"/>
              <w:jc w:val="center"/>
              <w:rPr>
                <w:sz w:val="18"/>
                <w:szCs w:val="18"/>
                <w:lang w:val="en-GB"/>
              </w:rPr>
            </w:pPr>
            <w:r>
              <w:rPr>
                <w:sz w:val="18"/>
                <w:szCs w:val="18"/>
                <w:lang w:val="en-GB"/>
              </w:rPr>
              <w:t>−</w:t>
            </w:r>
            <w:r>
              <w:rPr>
                <w:sz w:val="18"/>
                <w:szCs w:val="18"/>
                <w:lang w:val="en-GB" w:eastAsia="zh-CN"/>
              </w:rPr>
              <w:t>100</w:t>
            </w:r>
          </w:p>
        </w:tc>
      </w:tr>
      <w:tr w:rsidR="00EF5BF3" w14:paraId="779FCEB8" w14:textId="77777777" w:rsidTr="003872C2">
        <w:trPr>
          <w:jc w:val="center"/>
        </w:trPr>
        <w:tc>
          <w:tcPr>
            <w:tcW w:w="1696" w:type="dxa"/>
            <w:tcBorders>
              <w:top w:val="single" w:sz="4" w:space="0" w:color="auto"/>
              <w:left w:val="single" w:sz="4" w:space="0" w:color="auto"/>
              <w:bottom w:val="single" w:sz="4" w:space="0" w:color="auto"/>
              <w:right w:val="single" w:sz="4" w:space="0" w:color="auto"/>
            </w:tcBorders>
          </w:tcPr>
          <w:p w14:paraId="0F221368" w14:textId="77777777" w:rsidR="00EF5BF3" w:rsidRDefault="00551D2B">
            <w:pPr>
              <w:pStyle w:val="Tabletext"/>
              <w:jc w:val="left"/>
              <w:rPr>
                <w:bCs/>
                <w:i/>
                <w:iCs/>
                <w:sz w:val="18"/>
                <w:szCs w:val="18"/>
                <w:lang w:val="en-GB" w:eastAsia="zh-CN"/>
              </w:rPr>
            </w:pPr>
            <w:r>
              <w:rPr>
                <w:rFonts w:hint="eastAsia"/>
                <w:sz w:val="18"/>
                <w:szCs w:val="18"/>
                <w:lang w:val="en-US" w:eastAsia="zh-CN"/>
              </w:rPr>
              <w:t>接收机生存电平</w:t>
            </w:r>
            <w:r>
              <w:rPr>
                <w:sz w:val="18"/>
                <w:szCs w:val="18"/>
                <w:lang w:val="en-US" w:eastAsia="zh-CN"/>
              </w:rPr>
              <w:t>（</w:t>
            </w:r>
            <w:proofErr w:type="spellStart"/>
            <w:r>
              <w:rPr>
                <w:sz w:val="18"/>
                <w:szCs w:val="18"/>
                <w:lang w:val="en-US" w:eastAsia="zh-CN"/>
              </w:rPr>
              <w:t>dBW</w:t>
            </w:r>
            <w:proofErr w:type="spellEnd"/>
            <w:r>
              <w:rPr>
                <w:sz w:val="18"/>
                <w:szCs w:val="18"/>
                <w:lang w:val="en-US" w:eastAsia="zh-CN"/>
              </w:rPr>
              <w:t>）</w:t>
            </w:r>
            <w:r>
              <w:rPr>
                <w:rFonts w:hint="eastAsia"/>
                <w:sz w:val="18"/>
                <w:szCs w:val="18"/>
                <w:lang w:val="en-GB" w:eastAsia="zh-CN"/>
              </w:rPr>
              <w:t>（注</w:t>
            </w:r>
            <w:r>
              <w:rPr>
                <w:rFonts w:hint="eastAsia"/>
                <w:sz w:val="18"/>
                <w:szCs w:val="18"/>
                <w:lang w:val="en-GB" w:eastAsia="zh-CN"/>
              </w:rPr>
              <w:t>14</w:t>
            </w:r>
            <w:r>
              <w:rPr>
                <w:rFonts w:hint="eastAsia"/>
                <w:sz w:val="18"/>
                <w:szCs w:val="18"/>
                <w:lang w:val="en-GB" w:eastAsia="zh-CN"/>
              </w:rPr>
              <w:t>）</w:t>
            </w:r>
          </w:p>
        </w:tc>
        <w:tc>
          <w:tcPr>
            <w:tcW w:w="1065" w:type="dxa"/>
            <w:tcBorders>
              <w:top w:val="single" w:sz="4" w:space="0" w:color="auto"/>
              <w:left w:val="single" w:sz="4" w:space="0" w:color="auto"/>
              <w:bottom w:val="single" w:sz="4" w:space="0" w:color="auto"/>
              <w:right w:val="single" w:sz="4" w:space="0" w:color="auto"/>
            </w:tcBorders>
            <w:vAlign w:val="center"/>
          </w:tcPr>
          <w:p w14:paraId="294F235F" w14:textId="7DC1C91A" w:rsidR="00EF5BF3" w:rsidRDefault="00551D2B">
            <w:pPr>
              <w:pStyle w:val="Tabletext"/>
              <w:jc w:val="center"/>
              <w:rPr>
                <w:sz w:val="18"/>
                <w:szCs w:val="18"/>
                <w:lang w:val="en-GB"/>
              </w:rPr>
            </w:pPr>
            <w:r>
              <w:rPr>
                <w:sz w:val="18"/>
                <w:szCs w:val="18"/>
                <w:lang w:val="en-GB"/>
              </w:rPr>
              <w:t>−10.0</w:t>
            </w:r>
            <w:r w:rsidR="003872C2">
              <w:rPr>
                <w:sz w:val="18"/>
                <w:szCs w:val="18"/>
                <w:lang w:val="en-GB"/>
              </w:rPr>
              <w:br/>
            </w:r>
            <w:r>
              <w:rPr>
                <w:sz w:val="18"/>
                <w:szCs w:val="18"/>
                <w:lang w:val="en-GB"/>
              </w:rPr>
              <w:t>（</w:t>
            </w:r>
            <w:r>
              <w:rPr>
                <w:rFonts w:hint="eastAsia"/>
                <w:sz w:val="18"/>
                <w:szCs w:val="18"/>
                <w:lang w:val="en-GB" w:eastAsia="zh-CN"/>
              </w:rPr>
              <w:t>注</w:t>
            </w:r>
            <w:r>
              <w:rPr>
                <w:sz w:val="18"/>
                <w:szCs w:val="18"/>
                <w:lang w:val="en-GB"/>
              </w:rPr>
              <w:t>7</w:t>
            </w:r>
            <w:r>
              <w:rPr>
                <w:sz w:val="18"/>
                <w:szCs w:val="18"/>
                <w:lang w:val="en-GB"/>
              </w:rPr>
              <w:t>）</w:t>
            </w:r>
          </w:p>
        </w:tc>
        <w:tc>
          <w:tcPr>
            <w:tcW w:w="910" w:type="dxa"/>
            <w:tcBorders>
              <w:top w:val="single" w:sz="4" w:space="0" w:color="auto"/>
              <w:left w:val="single" w:sz="4" w:space="0" w:color="auto"/>
              <w:bottom w:val="single" w:sz="4" w:space="0" w:color="auto"/>
              <w:right w:val="single" w:sz="4" w:space="0" w:color="auto"/>
            </w:tcBorders>
            <w:vAlign w:val="center"/>
          </w:tcPr>
          <w:p w14:paraId="5C0CBBE4" w14:textId="77777777" w:rsidR="00EF5BF3" w:rsidRDefault="00551D2B">
            <w:pPr>
              <w:pStyle w:val="Tabletext"/>
              <w:jc w:val="center"/>
              <w:rPr>
                <w:sz w:val="18"/>
                <w:szCs w:val="18"/>
                <w:lang w:val="en-GB"/>
              </w:rPr>
            </w:pPr>
            <w:r>
              <w:rPr>
                <w:sz w:val="18"/>
                <w:szCs w:val="18"/>
                <w:lang w:val="en-GB"/>
              </w:rPr>
              <w:t>–</w:t>
            </w:r>
            <w:r>
              <w:rPr>
                <w:color w:val="000000"/>
                <w:sz w:val="18"/>
                <w:szCs w:val="18"/>
                <w:lang w:val="en-GB" w:eastAsia="zh-CN"/>
              </w:rPr>
              <w:t>20</w:t>
            </w:r>
          </w:p>
        </w:tc>
        <w:tc>
          <w:tcPr>
            <w:tcW w:w="902" w:type="dxa"/>
            <w:tcBorders>
              <w:top w:val="single" w:sz="4" w:space="0" w:color="auto"/>
              <w:left w:val="single" w:sz="4" w:space="0" w:color="auto"/>
              <w:bottom w:val="single" w:sz="4" w:space="0" w:color="auto"/>
              <w:right w:val="single" w:sz="4" w:space="0" w:color="auto"/>
            </w:tcBorders>
            <w:vAlign w:val="center"/>
          </w:tcPr>
          <w:p w14:paraId="6F91057F" w14:textId="77777777" w:rsidR="00EF5BF3" w:rsidRDefault="00551D2B">
            <w:pPr>
              <w:pStyle w:val="Tabletext"/>
              <w:jc w:val="center"/>
              <w:rPr>
                <w:sz w:val="18"/>
                <w:szCs w:val="18"/>
                <w:lang w:val="en-GB"/>
              </w:rPr>
            </w:pPr>
            <w:r>
              <w:rPr>
                <w:sz w:val="18"/>
                <w:szCs w:val="18"/>
                <w:lang w:val="en-GB"/>
              </w:rPr>
              <w:t>–</w:t>
            </w:r>
            <w:r>
              <w:rPr>
                <w:color w:val="000000"/>
                <w:sz w:val="18"/>
                <w:szCs w:val="18"/>
                <w:lang w:val="en-GB" w:eastAsia="ja-JP"/>
              </w:rPr>
              <w:t>20</w:t>
            </w:r>
          </w:p>
        </w:tc>
        <w:tc>
          <w:tcPr>
            <w:tcW w:w="910" w:type="dxa"/>
            <w:tcBorders>
              <w:top w:val="single" w:sz="4" w:space="0" w:color="auto"/>
              <w:left w:val="single" w:sz="4" w:space="0" w:color="auto"/>
              <w:bottom w:val="single" w:sz="4" w:space="0" w:color="auto"/>
              <w:right w:val="single" w:sz="4" w:space="0" w:color="auto"/>
            </w:tcBorders>
            <w:vAlign w:val="center"/>
          </w:tcPr>
          <w:p w14:paraId="298CDA04" w14:textId="77777777" w:rsidR="00EF5BF3" w:rsidRDefault="00551D2B">
            <w:pPr>
              <w:pStyle w:val="Tabletext"/>
              <w:jc w:val="center"/>
              <w:rPr>
                <w:sz w:val="18"/>
                <w:szCs w:val="18"/>
                <w:lang w:val="en-GB"/>
              </w:rPr>
            </w:pPr>
            <w:r>
              <w:rPr>
                <w:sz w:val="18"/>
                <w:szCs w:val="18"/>
                <w:lang w:val="en-GB"/>
              </w:rPr>
              <w:t>–</w:t>
            </w:r>
            <w:r>
              <w:rPr>
                <w:color w:val="000000"/>
                <w:sz w:val="18"/>
                <w:szCs w:val="18"/>
                <w:lang w:val="en-GB" w:eastAsia="ja-JP"/>
              </w:rPr>
              <w:t>20</w:t>
            </w:r>
          </w:p>
        </w:tc>
        <w:tc>
          <w:tcPr>
            <w:tcW w:w="1466" w:type="dxa"/>
            <w:tcBorders>
              <w:top w:val="single" w:sz="4" w:space="0" w:color="auto"/>
              <w:left w:val="single" w:sz="4" w:space="0" w:color="auto"/>
              <w:bottom w:val="single" w:sz="4" w:space="0" w:color="auto"/>
              <w:right w:val="single" w:sz="4" w:space="0" w:color="auto"/>
            </w:tcBorders>
            <w:vAlign w:val="center"/>
          </w:tcPr>
          <w:p w14:paraId="1B948F1E" w14:textId="77777777" w:rsidR="00EF5BF3" w:rsidRDefault="00551D2B">
            <w:pPr>
              <w:pStyle w:val="Tabletext"/>
              <w:jc w:val="center"/>
              <w:rPr>
                <w:sz w:val="18"/>
                <w:szCs w:val="18"/>
                <w:highlight w:val="yellow"/>
                <w:lang w:val="en-GB" w:eastAsia="ja-JP"/>
              </w:rPr>
            </w:pPr>
            <w:r>
              <w:rPr>
                <w:sz w:val="18"/>
                <w:szCs w:val="18"/>
                <w:lang w:val="en-GB"/>
              </w:rPr>
              <w:t>–</w:t>
            </w:r>
            <w:r>
              <w:rPr>
                <w:color w:val="000000"/>
                <w:sz w:val="18"/>
                <w:szCs w:val="18"/>
                <w:lang w:val="en-GB" w:eastAsia="ja-JP"/>
              </w:rPr>
              <w:t>20</w:t>
            </w:r>
          </w:p>
        </w:tc>
        <w:tc>
          <w:tcPr>
            <w:tcW w:w="1977" w:type="dxa"/>
            <w:tcBorders>
              <w:top w:val="single" w:sz="4" w:space="0" w:color="auto"/>
              <w:left w:val="single" w:sz="4" w:space="0" w:color="auto"/>
              <w:bottom w:val="single" w:sz="4" w:space="0" w:color="auto"/>
              <w:right w:val="single" w:sz="4" w:space="0" w:color="auto"/>
            </w:tcBorders>
            <w:vAlign w:val="center"/>
          </w:tcPr>
          <w:p w14:paraId="2D432633" w14:textId="77777777" w:rsidR="00EF5BF3" w:rsidRDefault="00551D2B">
            <w:pPr>
              <w:pStyle w:val="Tabletext"/>
              <w:jc w:val="center"/>
              <w:rPr>
                <w:sz w:val="18"/>
                <w:szCs w:val="18"/>
                <w:lang w:val="en-GB"/>
              </w:rPr>
            </w:pPr>
            <w:r>
              <w:rPr>
                <w:sz w:val="18"/>
                <w:szCs w:val="18"/>
                <w:lang w:val="en-GB" w:eastAsia="ja-JP"/>
              </w:rPr>
              <w:t>−1</w:t>
            </w:r>
          </w:p>
        </w:tc>
        <w:tc>
          <w:tcPr>
            <w:tcW w:w="1407" w:type="dxa"/>
            <w:tcBorders>
              <w:top w:val="single" w:sz="4" w:space="0" w:color="auto"/>
              <w:left w:val="single" w:sz="4" w:space="0" w:color="auto"/>
              <w:bottom w:val="single" w:sz="4" w:space="0" w:color="auto"/>
              <w:right w:val="single" w:sz="4" w:space="0" w:color="auto"/>
            </w:tcBorders>
            <w:vAlign w:val="center"/>
          </w:tcPr>
          <w:p w14:paraId="041D4421" w14:textId="77777777" w:rsidR="00EF5BF3" w:rsidRDefault="00551D2B">
            <w:pPr>
              <w:pStyle w:val="Tabletext"/>
              <w:jc w:val="center"/>
              <w:rPr>
                <w:sz w:val="18"/>
                <w:szCs w:val="18"/>
                <w:lang w:val="en-GB"/>
              </w:rPr>
            </w:pPr>
            <w:r>
              <w:rPr>
                <w:sz w:val="18"/>
                <w:szCs w:val="18"/>
                <w:lang w:val="en-GB" w:eastAsia="ja-JP"/>
              </w:rPr>
              <w:t>−20</w:t>
            </w:r>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71CB520B" w14:textId="77777777" w:rsidR="00EF5BF3" w:rsidRDefault="00551D2B">
            <w:pPr>
              <w:pStyle w:val="Tabletext"/>
              <w:jc w:val="center"/>
              <w:rPr>
                <w:sz w:val="18"/>
                <w:szCs w:val="18"/>
                <w:lang w:val="en-GB"/>
              </w:rPr>
            </w:pPr>
            <w:r>
              <w:rPr>
                <w:sz w:val="18"/>
                <w:szCs w:val="18"/>
                <w:lang w:val="en-GB"/>
              </w:rPr>
              <w:t>–</w:t>
            </w:r>
            <w:r>
              <w:rPr>
                <w:sz w:val="18"/>
                <w:szCs w:val="18"/>
                <w:lang w:val="en-GB" w:eastAsia="zh-CN"/>
              </w:rPr>
              <w:t>17</w:t>
            </w:r>
          </w:p>
        </w:tc>
        <w:tc>
          <w:tcPr>
            <w:tcW w:w="1559" w:type="dxa"/>
            <w:tcBorders>
              <w:top w:val="single" w:sz="4" w:space="0" w:color="auto"/>
              <w:left w:val="single" w:sz="4" w:space="0" w:color="auto"/>
              <w:bottom w:val="single" w:sz="4" w:space="0" w:color="auto"/>
              <w:right w:val="single" w:sz="4" w:space="0" w:color="auto"/>
            </w:tcBorders>
            <w:vAlign w:val="center"/>
          </w:tcPr>
          <w:p w14:paraId="201768B5" w14:textId="77777777" w:rsidR="00EF5BF3" w:rsidRDefault="00551D2B">
            <w:pPr>
              <w:pStyle w:val="Tabletext"/>
              <w:jc w:val="center"/>
              <w:rPr>
                <w:sz w:val="18"/>
                <w:szCs w:val="18"/>
                <w:lang w:val="en-GB"/>
              </w:rPr>
            </w:pPr>
            <w:r>
              <w:rPr>
                <w:sz w:val="18"/>
                <w:szCs w:val="18"/>
                <w:lang w:val="en-GB" w:eastAsia="ja-JP"/>
              </w:rPr>
              <w:t>−20</w:t>
            </w:r>
          </w:p>
        </w:tc>
        <w:tc>
          <w:tcPr>
            <w:tcW w:w="860" w:type="dxa"/>
            <w:tcBorders>
              <w:top w:val="single" w:sz="4" w:space="0" w:color="auto"/>
              <w:left w:val="single" w:sz="4" w:space="0" w:color="auto"/>
              <w:bottom w:val="single" w:sz="4" w:space="0" w:color="auto"/>
              <w:right w:val="single" w:sz="4" w:space="0" w:color="auto"/>
            </w:tcBorders>
            <w:vAlign w:val="center"/>
          </w:tcPr>
          <w:p w14:paraId="3D18B335" w14:textId="77777777" w:rsidR="00EF5BF3" w:rsidRDefault="00551D2B">
            <w:pPr>
              <w:pStyle w:val="Tabletext"/>
              <w:jc w:val="center"/>
              <w:rPr>
                <w:sz w:val="18"/>
                <w:szCs w:val="18"/>
                <w:lang w:val="en-GB" w:eastAsia="ja-JP"/>
              </w:rPr>
            </w:pPr>
            <w:r>
              <w:rPr>
                <w:sz w:val="18"/>
                <w:szCs w:val="18"/>
                <w:lang w:val="en-GB"/>
              </w:rPr>
              <w:t>−</w:t>
            </w:r>
            <w:r>
              <w:rPr>
                <w:sz w:val="18"/>
                <w:szCs w:val="18"/>
                <w:lang w:val="en-GB" w:eastAsia="zh-CN"/>
              </w:rPr>
              <w:t>17</w:t>
            </w:r>
          </w:p>
        </w:tc>
      </w:tr>
    </w:tbl>
    <w:p w14:paraId="48CA5A36" w14:textId="4205C299" w:rsidR="00EF5BF3" w:rsidRDefault="00551D2B" w:rsidP="008216CC">
      <w:pPr>
        <w:pStyle w:val="TableNo"/>
        <w:tabs>
          <w:tab w:val="left" w:pos="880"/>
          <w:tab w:val="center" w:pos="7141"/>
          <w:tab w:val="right" w:pos="14282"/>
        </w:tabs>
        <w:rPr>
          <w:caps/>
          <w:sz w:val="20"/>
          <w:lang w:val="en-GB"/>
        </w:rPr>
      </w:pPr>
      <w:r>
        <w:rPr>
          <w:rFonts w:hint="eastAsia"/>
          <w:caps/>
          <w:sz w:val="20"/>
          <w:lang w:val="en-GB" w:eastAsia="zh-CN"/>
        </w:rPr>
        <w:lastRenderedPageBreak/>
        <w:t>表</w:t>
      </w:r>
      <w:r>
        <w:rPr>
          <w:rFonts w:hint="eastAsia"/>
          <w:caps/>
          <w:sz w:val="20"/>
          <w:lang w:val="en-GB" w:eastAsia="zh-CN"/>
        </w:rPr>
        <w:t>1</w:t>
      </w:r>
      <w:r>
        <w:rPr>
          <w:caps/>
          <w:sz w:val="20"/>
          <w:lang w:val="en-GB"/>
        </w:rPr>
        <w:t>（</w:t>
      </w:r>
      <w:r>
        <w:rPr>
          <w:rFonts w:ascii="STKaiti" w:eastAsia="STKaiti" w:hAnsi="STKaiti" w:cs="STKaiti" w:hint="eastAsia"/>
          <w:sz w:val="20"/>
          <w:lang w:val="en-US" w:eastAsia="zh-CN"/>
        </w:rPr>
        <w:t>完</w:t>
      </w:r>
      <w:r>
        <w:rPr>
          <w:caps/>
          <w:sz w:val="20"/>
          <w:lang w:val="en-GB"/>
        </w:rPr>
        <w:t>）</w:t>
      </w:r>
    </w:p>
    <w:tbl>
      <w:tblPr>
        <w:tblW w:w="14459" w:type="dxa"/>
        <w:jc w:val="center"/>
        <w:tblLayout w:type="fixed"/>
        <w:tblLook w:val="04A0" w:firstRow="1" w:lastRow="0" w:firstColumn="1" w:lastColumn="0" w:noHBand="0" w:noVBand="1"/>
      </w:tblPr>
      <w:tblGrid>
        <w:gridCol w:w="1696"/>
        <w:gridCol w:w="1065"/>
        <w:gridCol w:w="958"/>
        <w:gridCol w:w="954"/>
        <w:gridCol w:w="992"/>
        <w:gridCol w:w="1284"/>
        <w:gridCol w:w="1777"/>
        <w:gridCol w:w="3314"/>
        <w:gridCol w:w="2419"/>
      </w:tblGrid>
      <w:tr w:rsidR="00EF5BF3" w14:paraId="0CEA23E9"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15F39CB7" w14:textId="77777777" w:rsidR="00EF5BF3" w:rsidRDefault="00EF5BF3">
            <w:pPr>
              <w:pStyle w:val="Tablehead"/>
              <w:rPr>
                <w:rFonts w:eastAsia="MS PGothic"/>
                <w:sz w:val="18"/>
                <w:szCs w:val="18"/>
                <w:lang w:val="en-GB"/>
              </w:rPr>
            </w:pPr>
          </w:p>
        </w:tc>
        <w:tc>
          <w:tcPr>
            <w:tcW w:w="1065" w:type="dxa"/>
            <w:tcBorders>
              <w:top w:val="single" w:sz="4" w:space="0" w:color="auto"/>
              <w:left w:val="single" w:sz="4" w:space="0" w:color="auto"/>
              <w:bottom w:val="single" w:sz="4" w:space="0" w:color="auto"/>
              <w:right w:val="single" w:sz="4" w:space="0" w:color="auto"/>
            </w:tcBorders>
            <w:vAlign w:val="center"/>
          </w:tcPr>
          <w:p w14:paraId="3DCFDCD1" w14:textId="77777777" w:rsidR="00EF5BF3" w:rsidRDefault="00551D2B">
            <w:pPr>
              <w:pStyle w:val="Tablehead"/>
              <w:rPr>
                <w:rFonts w:eastAsia="MS PGothic"/>
                <w:sz w:val="18"/>
                <w:szCs w:val="18"/>
                <w:lang w:val="en-GB"/>
              </w:rPr>
            </w:pPr>
            <w:r>
              <w:rPr>
                <w:rFonts w:eastAsia="MS PGothic"/>
                <w:sz w:val="18"/>
                <w:szCs w:val="18"/>
                <w:lang w:val="en-GB"/>
              </w:rPr>
              <w:t>1</w:t>
            </w:r>
          </w:p>
        </w:tc>
        <w:tc>
          <w:tcPr>
            <w:tcW w:w="958" w:type="dxa"/>
            <w:tcBorders>
              <w:top w:val="single" w:sz="4" w:space="0" w:color="auto"/>
              <w:left w:val="single" w:sz="4" w:space="0" w:color="auto"/>
              <w:bottom w:val="single" w:sz="4" w:space="0" w:color="auto"/>
              <w:right w:val="single" w:sz="4" w:space="0" w:color="auto"/>
            </w:tcBorders>
            <w:vAlign w:val="center"/>
          </w:tcPr>
          <w:p w14:paraId="6A570A93" w14:textId="77777777" w:rsidR="00EF5BF3" w:rsidRDefault="00551D2B">
            <w:pPr>
              <w:pStyle w:val="Tablehead"/>
              <w:rPr>
                <w:rFonts w:eastAsia="MS PGothic"/>
                <w:sz w:val="18"/>
                <w:szCs w:val="18"/>
                <w:lang w:val="en-GB"/>
              </w:rPr>
            </w:pPr>
            <w:r>
              <w:rPr>
                <w:rFonts w:eastAsia="MS PGothic"/>
                <w:sz w:val="18"/>
                <w:szCs w:val="18"/>
                <w:lang w:val="en-GB"/>
              </w:rPr>
              <w:t>2</w:t>
            </w:r>
          </w:p>
        </w:tc>
        <w:tc>
          <w:tcPr>
            <w:tcW w:w="954" w:type="dxa"/>
            <w:tcBorders>
              <w:top w:val="single" w:sz="4" w:space="0" w:color="auto"/>
              <w:left w:val="single" w:sz="4" w:space="0" w:color="auto"/>
              <w:bottom w:val="single" w:sz="4" w:space="0" w:color="auto"/>
              <w:right w:val="single" w:sz="4" w:space="0" w:color="auto"/>
            </w:tcBorders>
            <w:vAlign w:val="center"/>
          </w:tcPr>
          <w:p w14:paraId="283DA2A3" w14:textId="77777777" w:rsidR="00EF5BF3" w:rsidRDefault="00551D2B">
            <w:pPr>
              <w:pStyle w:val="Tablehead"/>
              <w:rPr>
                <w:rFonts w:eastAsia="MS PGothic"/>
                <w:sz w:val="18"/>
                <w:szCs w:val="18"/>
                <w:lang w:val="en-GB"/>
              </w:rPr>
            </w:pPr>
            <w:r>
              <w:rPr>
                <w:rFonts w:eastAsia="MS PGothic"/>
                <w:sz w:val="18"/>
                <w:szCs w:val="18"/>
                <w:lang w:val="en-GB"/>
              </w:rPr>
              <w:t>3</w:t>
            </w:r>
          </w:p>
        </w:tc>
        <w:tc>
          <w:tcPr>
            <w:tcW w:w="992" w:type="dxa"/>
            <w:tcBorders>
              <w:top w:val="single" w:sz="4" w:space="0" w:color="auto"/>
              <w:left w:val="single" w:sz="4" w:space="0" w:color="auto"/>
              <w:bottom w:val="single" w:sz="4" w:space="0" w:color="auto"/>
              <w:right w:val="single" w:sz="4" w:space="0" w:color="auto"/>
            </w:tcBorders>
            <w:vAlign w:val="center"/>
          </w:tcPr>
          <w:p w14:paraId="5F951D02" w14:textId="77777777" w:rsidR="00EF5BF3" w:rsidRDefault="00551D2B">
            <w:pPr>
              <w:pStyle w:val="Tablehead"/>
              <w:rPr>
                <w:rFonts w:eastAsia="MS PGothic"/>
                <w:sz w:val="18"/>
                <w:szCs w:val="18"/>
                <w:lang w:val="en-GB"/>
              </w:rPr>
            </w:pPr>
            <w:r>
              <w:rPr>
                <w:rFonts w:eastAsia="MS PGothic"/>
                <w:sz w:val="18"/>
                <w:szCs w:val="18"/>
                <w:lang w:val="en-GB"/>
              </w:rPr>
              <w:t>3a</w:t>
            </w:r>
          </w:p>
        </w:tc>
        <w:tc>
          <w:tcPr>
            <w:tcW w:w="1284" w:type="dxa"/>
            <w:tcBorders>
              <w:top w:val="single" w:sz="4" w:space="0" w:color="auto"/>
              <w:left w:val="single" w:sz="4" w:space="0" w:color="auto"/>
              <w:bottom w:val="single" w:sz="4" w:space="0" w:color="auto"/>
              <w:right w:val="single" w:sz="4" w:space="0" w:color="auto"/>
            </w:tcBorders>
          </w:tcPr>
          <w:p w14:paraId="7686AEBD" w14:textId="77777777" w:rsidR="00EF5BF3" w:rsidRDefault="00551D2B">
            <w:pPr>
              <w:pStyle w:val="Tablehead"/>
              <w:rPr>
                <w:rFonts w:eastAsia="MS PGothic"/>
                <w:sz w:val="18"/>
                <w:szCs w:val="18"/>
                <w:lang w:val="en-GB"/>
              </w:rPr>
            </w:pPr>
            <w:r>
              <w:rPr>
                <w:rFonts w:eastAsia="MS PGothic"/>
                <w:sz w:val="18"/>
                <w:szCs w:val="18"/>
                <w:lang w:val="en-GB"/>
              </w:rPr>
              <w:t>3b</w:t>
            </w:r>
          </w:p>
        </w:tc>
        <w:tc>
          <w:tcPr>
            <w:tcW w:w="1777" w:type="dxa"/>
            <w:tcBorders>
              <w:top w:val="single" w:sz="4" w:space="0" w:color="auto"/>
              <w:left w:val="single" w:sz="4" w:space="0" w:color="auto"/>
              <w:bottom w:val="single" w:sz="4" w:space="0" w:color="auto"/>
              <w:right w:val="single" w:sz="4" w:space="0" w:color="auto"/>
            </w:tcBorders>
            <w:vAlign w:val="center"/>
          </w:tcPr>
          <w:p w14:paraId="27EA80C6" w14:textId="77777777" w:rsidR="00EF5BF3" w:rsidRDefault="00551D2B">
            <w:pPr>
              <w:pStyle w:val="Tablehead"/>
              <w:rPr>
                <w:rFonts w:eastAsia="MS PGothic"/>
                <w:sz w:val="18"/>
                <w:szCs w:val="18"/>
                <w:lang w:val="en-GB"/>
              </w:rPr>
            </w:pPr>
            <w:r>
              <w:rPr>
                <w:rFonts w:eastAsia="MS PGothic"/>
                <w:sz w:val="18"/>
                <w:szCs w:val="18"/>
                <w:lang w:val="en-GB"/>
              </w:rPr>
              <w:t>4</w:t>
            </w:r>
          </w:p>
        </w:tc>
        <w:tc>
          <w:tcPr>
            <w:tcW w:w="3314" w:type="dxa"/>
            <w:tcBorders>
              <w:top w:val="single" w:sz="4" w:space="0" w:color="auto"/>
              <w:left w:val="single" w:sz="4" w:space="0" w:color="auto"/>
              <w:bottom w:val="single" w:sz="4" w:space="0" w:color="auto"/>
              <w:right w:val="single" w:sz="4" w:space="0" w:color="auto"/>
            </w:tcBorders>
            <w:vAlign w:val="center"/>
          </w:tcPr>
          <w:p w14:paraId="6A5AE5FF" w14:textId="77777777" w:rsidR="00EF5BF3" w:rsidRDefault="00551D2B">
            <w:pPr>
              <w:pStyle w:val="Tablehead"/>
              <w:rPr>
                <w:sz w:val="18"/>
                <w:szCs w:val="18"/>
                <w:lang w:val="en-GB"/>
              </w:rPr>
            </w:pPr>
            <w:r>
              <w:rPr>
                <w:rFonts w:eastAsia="MS PGothic"/>
                <w:sz w:val="18"/>
                <w:szCs w:val="18"/>
                <w:lang w:val="en-GB"/>
              </w:rPr>
              <w:t>5</w:t>
            </w:r>
          </w:p>
        </w:tc>
        <w:tc>
          <w:tcPr>
            <w:tcW w:w="2419" w:type="dxa"/>
            <w:tcBorders>
              <w:top w:val="single" w:sz="4" w:space="0" w:color="auto"/>
              <w:left w:val="single" w:sz="4" w:space="0" w:color="auto"/>
              <w:bottom w:val="single" w:sz="4" w:space="0" w:color="auto"/>
              <w:right w:val="single" w:sz="4" w:space="0" w:color="auto"/>
            </w:tcBorders>
            <w:vAlign w:val="center"/>
          </w:tcPr>
          <w:p w14:paraId="3C365F13" w14:textId="77777777" w:rsidR="00EF5BF3" w:rsidRDefault="00551D2B">
            <w:pPr>
              <w:pStyle w:val="Tablehead"/>
              <w:rPr>
                <w:rFonts w:eastAsia="MS PGothic"/>
                <w:sz w:val="18"/>
                <w:szCs w:val="18"/>
                <w:lang w:val="en-GB"/>
              </w:rPr>
            </w:pPr>
            <w:r>
              <w:rPr>
                <w:rFonts w:eastAsia="MS PGothic"/>
                <w:sz w:val="18"/>
                <w:szCs w:val="18"/>
                <w:lang w:val="en-GB"/>
              </w:rPr>
              <w:t>6</w:t>
            </w:r>
          </w:p>
        </w:tc>
      </w:tr>
      <w:tr w:rsidR="00EF5BF3" w14:paraId="42C9F04E"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0D706A7A" w14:textId="77777777" w:rsidR="00EF5BF3" w:rsidRDefault="00551D2B">
            <w:pPr>
              <w:pStyle w:val="Tablehead"/>
              <w:rPr>
                <w:rFonts w:eastAsia="MS PGothic"/>
                <w:spacing w:val="-2"/>
                <w:sz w:val="18"/>
                <w:szCs w:val="18"/>
                <w:lang w:val="en-GB"/>
              </w:rPr>
            </w:pPr>
            <w:r>
              <w:rPr>
                <w:rFonts w:hint="eastAsia"/>
                <w:sz w:val="18"/>
                <w:lang w:eastAsia="zh-CN"/>
              </w:rPr>
              <w:t>参数</w:t>
            </w:r>
          </w:p>
        </w:tc>
        <w:tc>
          <w:tcPr>
            <w:tcW w:w="1065" w:type="dxa"/>
            <w:tcBorders>
              <w:top w:val="single" w:sz="4" w:space="0" w:color="auto"/>
              <w:left w:val="single" w:sz="4" w:space="0" w:color="auto"/>
              <w:bottom w:val="single" w:sz="4" w:space="0" w:color="auto"/>
              <w:right w:val="single" w:sz="4" w:space="0" w:color="auto"/>
            </w:tcBorders>
            <w:vAlign w:val="center"/>
          </w:tcPr>
          <w:p w14:paraId="2CB19314" w14:textId="1A4A64B8" w:rsidR="00EF5BF3" w:rsidRDefault="00551D2B">
            <w:pPr>
              <w:pStyle w:val="Tablehead"/>
              <w:rPr>
                <w:rFonts w:eastAsia="MS PGothic"/>
                <w:spacing w:val="-2"/>
                <w:sz w:val="18"/>
                <w:szCs w:val="18"/>
                <w:lang w:val="en-GB"/>
              </w:rPr>
            </w:pPr>
            <w:r>
              <w:rPr>
                <w:rFonts w:eastAsia="MS PGothic"/>
                <w:sz w:val="18"/>
              </w:rPr>
              <w:t>SBAS</w:t>
            </w:r>
            <w:r w:rsidR="007D0163">
              <w:rPr>
                <w:rFonts w:eastAsia="MS PGothic"/>
                <w:sz w:val="18"/>
              </w:rPr>
              <w:br/>
            </w:r>
            <w:r>
              <w:rPr>
                <w:rFonts w:hint="eastAsia"/>
                <w:sz w:val="18"/>
                <w:lang w:eastAsia="zh-CN"/>
              </w:rPr>
              <w:t>地面参考接收机</w:t>
            </w:r>
            <w:r>
              <w:rPr>
                <w:rFonts w:eastAsia="MS PGothic"/>
                <w:sz w:val="18"/>
              </w:rPr>
              <w:t>*</w:t>
            </w:r>
          </w:p>
        </w:tc>
        <w:tc>
          <w:tcPr>
            <w:tcW w:w="958" w:type="dxa"/>
            <w:tcBorders>
              <w:top w:val="single" w:sz="4" w:space="0" w:color="auto"/>
              <w:left w:val="single" w:sz="4" w:space="0" w:color="auto"/>
              <w:bottom w:val="single" w:sz="4" w:space="0" w:color="auto"/>
              <w:right w:val="single" w:sz="4" w:space="0" w:color="auto"/>
            </w:tcBorders>
            <w:vAlign w:val="center"/>
          </w:tcPr>
          <w:p w14:paraId="3364280E" w14:textId="5E9236CF" w:rsidR="00EF5BF3" w:rsidRDefault="00551D2B">
            <w:pPr>
              <w:pStyle w:val="Tablehead"/>
              <w:rPr>
                <w:rFonts w:eastAsia="MS PGothic"/>
                <w:spacing w:val="-2"/>
                <w:sz w:val="18"/>
                <w:szCs w:val="18"/>
                <w:lang w:val="en-GB"/>
              </w:rPr>
            </w:pPr>
            <w:r>
              <w:rPr>
                <w:rFonts w:hint="eastAsia"/>
                <w:sz w:val="18"/>
                <w:lang w:val="en-US" w:eastAsia="zh-CN"/>
              </w:rPr>
              <w:t>高精度</w:t>
            </w:r>
            <w:r w:rsidR="007D0163">
              <w:rPr>
                <w:sz w:val="18"/>
                <w:lang w:val="en-US" w:eastAsia="zh-CN"/>
              </w:rPr>
              <w:br/>
            </w:r>
            <w:r>
              <w:rPr>
                <w:rFonts w:hint="eastAsia"/>
                <w:sz w:val="18"/>
                <w:lang w:val="en-US" w:eastAsia="zh-CN"/>
              </w:rPr>
              <w:t>半无码</w:t>
            </w:r>
            <w:r w:rsidR="00B02881">
              <w:rPr>
                <w:sz w:val="18"/>
                <w:lang w:val="en-US" w:eastAsia="zh-CN"/>
              </w:rPr>
              <w:br/>
            </w:r>
            <w:r>
              <w:rPr>
                <w:rFonts w:hint="eastAsia"/>
                <w:sz w:val="18"/>
                <w:lang w:val="en-US" w:eastAsia="zh-CN"/>
              </w:rPr>
              <w:t>接收机</w:t>
            </w:r>
            <w:r>
              <w:rPr>
                <w:rFonts w:eastAsia="MS PGothic"/>
                <w:sz w:val="18"/>
                <w:lang w:val="en-US"/>
              </w:rPr>
              <w:t>*</w:t>
            </w:r>
          </w:p>
        </w:tc>
        <w:tc>
          <w:tcPr>
            <w:tcW w:w="954" w:type="dxa"/>
            <w:tcBorders>
              <w:top w:val="single" w:sz="4" w:space="0" w:color="auto"/>
              <w:left w:val="single" w:sz="4" w:space="0" w:color="auto"/>
              <w:bottom w:val="single" w:sz="4" w:space="0" w:color="auto"/>
              <w:right w:val="single" w:sz="4" w:space="0" w:color="auto"/>
            </w:tcBorders>
            <w:vAlign w:val="center"/>
          </w:tcPr>
          <w:p w14:paraId="246166FF" w14:textId="77777777" w:rsidR="00EF5BF3" w:rsidRDefault="00551D2B">
            <w:pPr>
              <w:pStyle w:val="Tablehead"/>
              <w:rPr>
                <w:rFonts w:eastAsia="MS PGothic"/>
                <w:bCs/>
                <w:spacing w:val="-2"/>
                <w:sz w:val="18"/>
                <w:szCs w:val="18"/>
                <w:lang w:val="en-GB"/>
              </w:rPr>
            </w:pPr>
            <w:r>
              <w:rPr>
                <w:rFonts w:hint="eastAsia"/>
                <w:sz w:val="18"/>
                <w:lang w:val="en-US" w:eastAsia="zh-CN"/>
              </w:rPr>
              <w:t>采用</w:t>
            </w:r>
            <w:r>
              <w:rPr>
                <w:sz w:val="18"/>
                <w:lang w:val="en-US" w:eastAsia="zh-CN"/>
              </w:rPr>
              <w:t>L2C</w:t>
            </w:r>
            <w:r>
              <w:rPr>
                <w:rFonts w:hint="eastAsia"/>
                <w:sz w:val="18"/>
                <w:lang w:val="en-US" w:eastAsia="zh-CN"/>
              </w:rPr>
              <w:t>的高精度接收机</w:t>
            </w:r>
            <w:r>
              <w:rPr>
                <w:rFonts w:eastAsia="MS PGothic"/>
                <w:sz w:val="1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47B90A2C" w14:textId="1FC13AB1" w:rsidR="00EF5BF3" w:rsidRDefault="00551D2B">
            <w:pPr>
              <w:pStyle w:val="Tablehead"/>
              <w:rPr>
                <w:rFonts w:eastAsia="MS PGothic"/>
                <w:spacing w:val="-2"/>
                <w:sz w:val="18"/>
                <w:szCs w:val="18"/>
                <w:lang w:val="en-GB"/>
              </w:rPr>
            </w:pPr>
            <w:r>
              <w:rPr>
                <w:rFonts w:hint="eastAsia"/>
                <w:spacing w:val="-2"/>
                <w:sz w:val="18"/>
                <w:szCs w:val="18"/>
                <w:lang w:val="en-US" w:eastAsia="zh-CN"/>
              </w:rPr>
              <w:t>采用</w:t>
            </w:r>
            <w:r>
              <w:rPr>
                <w:rFonts w:hint="eastAsia"/>
                <w:spacing w:val="-2"/>
                <w:sz w:val="18"/>
                <w:szCs w:val="18"/>
                <w:lang w:val="en-GB"/>
              </w:rPr>
              <w:t>B3</w:t>
            </w:r>
            <w:r w:rsidR="00B02881">
              <w:rPr>
                <w:spacing w:val="-2"/>
                <w:sz w:val="18"/>
                <w:szCs w:val="18"/>
                <w:lang w:val="en-GB"/>
              </w:rPr>
              <w:br/>
            </w:r>
            <w:r>
              <w:rPr>
                <w:rFonts w:hint="eastAsia"/>
                <w:spacing w:val="-2"/>
                <w:sz w:val="18"/>
                <w:szCs w:val="18"/>
                <w:lang w:val="en-GB"/>
              </w:rPr>
              <w:t>和</w:t>
            </w:r>
            <w:r>
              <w:rPr>
                <w:rFonts w:hint="eastAsia"/>
                <w:spacing w:val="-2"/>
                <w:sz w:val="18"/>
                <w:szCs w:val="18"/>
                <w:lang w:val="en-GB"/>
              </w:rPr>
              <w:t>B3A</w:t>
            </w:r>
            <w:proofErr w:type="spellStart"/>
            <w:r>
              <w:rPr>
                <w:rFonts w:hint="eastAsia"/>
                <w:spacing w:val="-2"/>
                <w:sz w:val="18"/>
                <w:szCs w:val="18"/>
                <w:lang w:val="en-GB"/>
              </w:rPr>
              <w:t>的高精度</w:t>
            </w:r>
            <w:proofErr w:type="spellEnd"/>
            <w:r w:rsidR="00B02881">
              <w:rPr>
                <w:spacing w:val="-2"/>
                <w:sz w:val="18"/>
                <w:szCs w:val="18"/>
                <w:lang w:val="en-GB"/>
              </w:rPr>
              <w:br/>
            </w:r>
            <w:proofErr w:type="spellStart"/>
            <w:r>
              <w:rPr>
                <w:rFonts w:hint="eastAsia"/>
                <w:spacing w:val="-2"/>
                <w:sz w:val="18"/>
                <w:szCs w:val="18"/>
                <w:lang w:val="en-GB"/>
              </w:rPr>
              <w:t>接收机</w:t>
            </w:r>
            <w:proofErr w:type="spellEnd"/>
          </w:p>
        </w:tc>
        <w:tc>
          <w:tcPr>
            <w:tcW w:w="1284" w:type="dxa"/>
            <w:tcBorders>
              <w:top w:val="single" w:sz="4" w:space="0" w:color="auto"/>
              <w:left w:val="single" w:sz="4" w:space="0" w:color="auto"/>
              <w:bottom w:val="single" w:sz="4" w:space="0" w:color="auto"/>
              <w:right w:val="single" w:sz="4" w:space="0" w:color="auto"/>
            </w:tcBorders>
          </w:tcPr>
          <w:p w14:paraId="20C8030B" w14:textId="60D328E4" w:rsidR="00EF5BF3" w:rsidRDefault="00551D2B">
            <w:pPr>
              <w:pStyle w:val="Tablehead"/>
              <w:rPr>
                <w:rFonts w:eastAsia="MS PGothic"/>
                <w:spacing w:val="-2"/>
                <w:sz w:val="18"/>
                <w:szCs w:val="18"/>
                <w:lang w:val="en-GB" w:eastAsia="zh-CN"/>
              </w:rPr>
            </w:pPr>
            <w:r>
              <w:rPr>
                <w:rFonts w:hint="eastAsia"/>
                <w:spacing w:val="-2"/>
                <w:sz w:val="18"/>
                <w:szCs w:val="18"/>
                <w:lang w:val="en-US" w:eastAsia="zh-CN"/>
              </w:rPr>
              <w:t>采用</w:t>
            </w:r>
            <w:r>
              <w:rPr>
                <w:rFonts w:hint="eastAsia"/>
                <w:spacing w:val="-2"/>
                <w:sz w:val="18"/>
                <w:szCs w:val="18"/>
                <w:lang w:val="en-US" w:eastAsia="zh-CN"/>
              </w:rPr>
              <w:t>E6-BC/L6</w:t>
            </w:r>
            <w:r>
              <w:rPr>
                <w:rFonts w:hint="eastAsia"/>
                <w:spacing w:val="-2"/>
                <w:sz w:val="18"/>
                <w:szCs w:val="18"/>
                <w:lang w:val="en-US" w:eastAsia="zh-CN"/>
              </w:rPr>
              <w:t>的高精度和认证</w:t>
            </w:r>
            <w:r w:rsidR="00B02881">
              <w:rPr>
                <w:spacing w:val="-2"/>
                <w:sz w:val="18"/>
                <w:szCs w:val="18"/>
                <w:lang w:val="en-US" w:eastAsia="zh-CN"/>
              </w:rPr>
              <w:br/>
            </w:r>
            <w:r>
              <w:rPr>
                <w:rFonts w:hint="eastAsia"/>
                <w:spacing w:val="-2"/>
                <w:sz w:val="18"/>
                <w:szCs w:val="18"/>
                <w:lang w:val="en-US" w:eastAsia="zh-CN"/>
              </w:rPr>
              <w:t>接收机</w:t>
            </w:r>
          </w:p>
        </w:tc>
        <w:tc>
          <w:tcPr>
            <w:tcW w:w="177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29744B" w14:textId="3C7C0071" w:rsidR="00EF5BF3" w:rsidRDefault="00551D2B">
            <w:pPr>
              <w:pStyle w:val="Tablehead"/>
              <w:rPr>
                <w:rFonts w:eastAsia="MS PGothic"/>
                <w:spacing w:val="-2"/>
                <w:sz w:val="18"/>
                <w:szCs w:val="18"/>
                <w:lang w:val="en-GB" w:eastAsia="zh-CN"/>
              </w:rPr>
            </w:pPr>
            <w:r w:rsidRPr="00DF3FA7">
              <w:rPr>
                <w:sz w:val="18"/>
                <w:lang w:eastAsia="zh-CN"/>
              </w:rPr>
              <w:t>空中导航接收机</w:t>
            </w:r>
            <w:r w:rsidR="007D0163">
              <w:rPr>
                <w:sz w:val="18"/>
                <w:lang w:eastAsia="zh-CN"/>
              </w:rPr>
              <w:br/>
            </w:r>
            <w:r w:rsidRPr="00DF3FA7">
              <w:rPr>
                <w:sz w:val="18"/>
                <w:lang w:eastAsia="zh-CN"/>
              </w:rPr>
              <w:t>（注</w:t>
            </w:r>
            <w:r w:rsidRPr="00DF3FA7">
              <w:rPr>
                <w:sz w:val="18"/>
                <w:lang w:eastAsia="zh-CN"/>
              </w:rPr>
              <w:t>10</w:t>
            </w:r>
            <w:r>
              <w:rPr>
                <w:rFonts w:eastAsia="MS PGothic"/>
                <w:sz w:val="18"/>
                <w:lang w:eastAsia="zh-CN"/>
              </w:rPr>
              <w:t>）</w:t>
            </w:r>
          </w:p>
        </w:tc>
        <w:tc>
          <w:tcPr>
            <w:tcW w:w="3314" w:type="dxa"/>
            <w:tcBorders>
              <w:top w:val="single" w:sz="4" w:space="0" w:color="auto"/>
              <w:left w:val="single" w:sz="4" w:space="0" w:color="auto"/>
              <w:bottom w:val="single" w:sz="4" w:space="0" w:color="auto"/>
              <w:right w:val="single" w:sz="4" w:space="0" w:color="auto"/>
            </w:tcBorders>
            <w:vAlign w:val="center"/>
          </w:tcPr>
          <w:p w14:paraId="355F3D09" w14:textId="77777777" w:rsidR="00EF5BF3" w:rsidRDefault="00551D2B">
            <w:pPr>
              <w:pStyle w:val="Tablehead"/>
              <w:rPr>
                <w:rFonts w:eastAsia="MS PGothic"/>
                <w:spacing w:val="-2"/>
                <w:sz w:val="18"/>
                <w:szCs w:val="18"/>
                <w:lang w:val="en-GB"/>
              </w:rPr>
            </w:pPr>
            <w:r>
              <w:rPr>
                <w:rFonts w:hint="eastAsia"/>
                <w:sz w:val="18"/>
                <w:lang w:eastAsia="zh-CN"/>
              </w:rPr>
              <w:t>室内定位</w:t>
            </w:r>
          </w:p>
        </w:tc>
        <w:tc>
          <w:tcPr>
            <w:tcW w:w="2419" w:type="dxa"/>
            <w:tcBorders>
              <w:top w:val="single" w:sz="4" w:space="0" w:color="auto"/>
              <w:left w:val="single" w:sz="4" w:space="0" w:color="auto"/>
              <w:bottom w:val="single" w:sz="4" w:space="0" w:color="auto"/>
              <w:right w:val="single" w:sz="4" w:space="0" w:color="auto"/>
            </w:tcBorders>
            <w:vAlign w:val="center"/>
          </w:tcPr>
          <w:p w14:paraId="21B5494E" w14:textId="77777777" w:rsidR="00EF5BF3" w:rsidRPr="00DF3FA7" w:rsidRDefault="00551D2B">
            <w:pPr>
              <w:pStyle w:val="Tablehead"/>
              <w:rPr>
                <w:rFonts w:ascii="SimSun" w:hAnsi="SimSun"/>
                <w:spacing w:val="-2"/>
                <w:sz w:val="18"/>
                <w:szCs w:val="18"/>
                <w:lang w:val="en-GB"/>
              </w:rPr>
            </w:pPr>
            <w:proofErr w:type="spellStart"/>
            <w:r w:rsidRPr="00DF3FA7">
              <w:rPr>
                <w:rFonts w:ascii="SimSun" w:hAnsi="SimSun" w:hint="eastAsia"/>
                <w:spacing w:val="-2"/>
                <w:sz w:val="18"/>
                <w:szCs w:val="18"/>
              </w:rPr>
              <w:t>一般用途</w:t>
            </w:r>
            <w:proofErr w:type="spellEnd"/>
          </w:p>
        </w:tc>
      </w:tr>
      <w:tr w:rsidR="00EF5BF3" w14:paraId="3241AB81" w14:textId="77777777">
        <w:trPr>
          <w:jc w:val="center"/>
        </w:trPr>
        <w:tc>
          <w:tcPr>
            <w:tcW w:w="1696" w:type="dxa"/>
            <w:tcBorders>
              <w:top w:val="single" w:sz="4" w:space="0" w:color="auto"/>
              <w:left w:val="single" w:sz="4" w:space="0" w:color="auto"/>
              <w:bottom w:val="single" w:sz="4" w:space="0" w:color="auto"/>
              <w:right w:val="single" w:sz="4" w:space="0" w:color="auto"/>
            </w:tcBorders>
          </w:tcPr>
          <w:p w14:paraId="5814B84D" w14:textId="77777777" w:rsidR="00EF5BF3" w:rsidRDefault="00551D2B">
            <w:pPr>
              <w:pStyle w:val="Tabletext"/>
              <w:rPr>
                <w:rFonts w:eastAsia="MS PGothic"/>
                <w:bCs/>
                <w:i/>
                <w:iCs/>
                <w:sz w:val="18"/>
                <w:szCs w:val="18"/>
                <w:lang w:val="en-GB" w:eastAsia="zh-CN"/>
              </w:rPr>
            </w:pPr>
            <w:r>
              <w:rPr>
                <w:rFonts w:hint="eastAsia"/>
                <w:sz w:val="18"/>
                <w:szCs w:val="18"/>
                <w:lang w:eastAsia="zh-CN"/>
              </w:rPr>
              <w:t>过载恢复时间</w:t>
            </w:r>
            <w:r>
              <w:rPr>
                <w:sz w:val="18"/>
                <w:szCs w:val="18"/>
                <w:lang w:eastAsia="zh-CN"/>
              </w:rPr>
              <w:t>（</w:t>
            </w:r>
            <w:r>
              <w:rPr>
                <w:sz w:val="18"/>
                <w:szCs w:val="18"/>
                <w:lang w:eastAsia="zh-CN"/>
              </w:rPr>
              <w:t>s</w:t>
            </w:r>
            <w:r>
              <w:rPr>
                <w:sz w:val="18"/>
                <w:szCs w:val="18"/>
                <w:lang w:eastAsia="zh-CN"/>
              </w:rPr>
              <w:t>）</w:t>
            </w:r>
            <w:r>
              <w:rPr>
                <w:rFonts w:asciiTheme="minorEastAsia" w:eastAsiaTheme="minorEastAsia" w:hAnsiTheme="minorEastAsia" w:hint="eastAsia"/>
                <w:sz w:val="18"/>
                <w:szCs w:val="18"/>
                <w:lang w:val="en-GB" w:eastAsia="zh-CN"/>
              </w:rPr>
              <w:t>（注</w:t>
            </w:r>
            <w:r w:rsidRPr="00DF3FA7">
              <w:rPr>
                <w:rFonts w:eastAsiaTheme="minorEastAsia"/>
                <w:sz w:val="18"/>
                <w:szCs w:val="18"/>
                <w:lang w:val="en-GB" w:eastAsia="zh-CN"/>
              </w:rPr>
              <w:t>14</w:t>
            </w:r>
            <w:r>
              <w:rPr>
                <w:rFonts w:asciiTheme="minorEastAsia" w:eastAsiaTheme="minorEastAsia" w:hAnsiTheme="minorEastAsia" w:hint="eastAsia"/>
                <w:sz w:val="18"/>
                <w:szCs w:val="18"/>
                <w:lang w:val="en-GB" w:eastAsia="zh-CN"/>
              </w:rPr>
              <w:t>）</w:t>
            </w:r>
          </w:p>
        </w:tc>
        <w:tc>
          <w:tcPr>
            <w:tcW w:w="1065" w:type="dxa"/>
            <w:tcBorders>
              <w:top w:val="single" w:sz="4" w:space="0" w:color="auto"/>
              <w:left w:val="single" w:sz="4" w:space="0" w:color="auto"/>
              <w:bottom w:val="single" w:sz="4" w:space="0" w:color="auto"/>
              <w:right w:val="single" w:sz="4" w:space="0" w:color="auto"/>
            </w:tcBorders>
            <w:vAlign w:val="center"/>
          </w:tcPr>
          <w:p w14:paraId="2DEF4541" w14:textId="77777777" w:rsidR="00EF5BF3" w:rsidRDefault="00551D2B">
            <w:pPr>
              <w:pStyle w:val="Tabletext"/>
              <w:jc w:val="center"/>
              <w:rPr>
                <w:rFonts w:eastAsia="MS PGothic"/>
                <w:sz w:val="18"/>
                <w:szCs w:val="18"/>
                <w:lang w:val="en-GB"/>
              </w:rPr>
            </w:pPr>
            <w:r>
              <w:rPr>
                <w:rFonts w:eastAsia="MS PGothic"/>
                <w:sz w:val="18"/>
                <w:szCs w:val="18"/>
                <w:lang w:val="en-GB"/>
              </w:rPr>
              <w:t>1.0 × 10</w:t>
            </w:r>
            <w:r>
              <w:rPr>
                <w:rFonts w:eastAsia="MS PGothic"/>
                <w:sz w:val="18"/>
                <w:szCs w:val="18"/>
                <w:vertAlign w:val="superscript"/>
                <w:lang w:val="en-GB"/>
              </w:rPr>
              <w:t>−6</w:t>
            </w:r>
          </w:p>
        </w:tc>
        <w:tc>
          <w:tcPr>
            <w:tcW w:w="958" w:type="dxa"/>
            <w:tcBorders>
              <w:top w:val="single" w:sz="4" w:space="0" w:color="auto"/>
              <w:left w:val="single" w:sz="4" w:space="0" w:color="auto"/>
              <w:bottom w:val="single" w:sz="4" w:space="0" w:color="auto"/>
              <w:right w:val="single" w:sz="4" w:space="0" w:color="auto"/>
            </w:tcBorders>
            <w:vAlign w:val="center"/>
          </w:tcPr>
          <w:p w14:paraId="4F409BF0" w14:textId="77777777" w:rsidR="00EF5BF3" w:rsidRDefault="00551D2B">
            <w:pPr>
              <w:pStyle w:val="Tabletext"/>
              <w:jc w:val="center"/>
              <w:rPr>
                <w:rFonts w:eastAsia="MS PGothic"/>
                <w:sz w:val="18"/>
                <w:szCs w:val="18"/>
                <w:lang w:val="en-GB"/>
              </w:rPr>
            </w:pPr>
            <w:r>
              <w:rPr>
                <w:color w:val="000000"/>
                <w:sz w:val="18"/>
                <w:szCs w:val="18"/>
                <w:lang w:val="en-GB" w:eastAsia="ja-JP"/>
              </w:rPr>
              <w:t xml:space="preserve">1.0 </w:t>
            </w:r>
            <w:r>
              <w:rPr>
                <w:rFonts w:eastAsia="MS PGothic"/>
                <w:sz w:val="18"/>
                <w:szCs w:val="18"/>
                <w:lang w:val="en-GB"/>
              </w:rPr>
              <w:t>×</w:t>
            </w:r>
            <w:r>
              <w:rPr>
                <w:color w:val="000000"/>
                <w:sz w:val="18"/>
                <w:szCs w:val="18"/>
                <w:lang w:val="en-GB" w:eastAsia="ja-JP"/>
              </w:rPr>
              <w:t xml:space="preserve"> 10</w:t>
            </w:r>
            <w:r>
              <w:rPr>
                <w:color w:val="000000"/>
                <w:sz w:val="18"/>
                <w:szCs w:val="18"/>
                <w:vertAlign w:val="superscript"/>
                <w:lang w:val="en-GB" w:eastAsia="ja-JP"/>
              </w:rPr>
              <w:t>−6</w:t>
            </w:r>
          </w:p>
        </w:tc>
        <w:tc>
          <w:tcPr>
            <w:tcW w:w="954" w:type="dxa"/>
            <w:tcBorders>
              <w:top w:val="single" w:sz="4" w:space="0" w:color="auto"/>
              <w:left w:val="single" w:sz="4" w:space="0" w:color="auto"/>
              <w:bottom w:val="single" w:sz="4" w:space="0" w:color="auto"/>
              <w:right w:val="single" w:sz="4" w:space="0" w:color="auto"/>
            </w:tcBorders>
            <w:vAlign w:val="center"/>
          </w:tcPr>
          <w:p w14:paraId="7CAB3168" w14:textId="77777777" w:rsidR="00EF5BF3" w:rsidRDefault="00551D2B">
            <w:pPr>
              <w:pStyle w:val="Tabletext"/>
              <w:jc w:val="center"/>
              <w:rPr>
                <w:rFonts w:eastAsia="MS PGothic"/>
                <w:sz w:val="18"/>
                <w:szCs w:val="18"/>
                <w:lang w:val="en-GB"/>
              </w:rPr>
            </w:pPr>
            <w:r>
              <w:rPr>
                <w:color w:val="000000"/>
                <w:sz w:val="18"/>
                <w:szCs w:val="18"/>
                <w:lang w:val="en-GB" w:eastAsia="ja-JP"/>
              </w:rPr>
              <w:t xml:space="preserve">1.0 </w:t>
            </w:r>
            <w:r>
              <w:rPr>
                <w:rFonts w:eastAsia="MS PGothic"/>
                <w:sz w:val="18"/>
                <w:szCs w:val="18"/>
                <w:lang w:val="en-GB"/>
              </w:rPr>
              <w:t>×</w:t>
            </w:r>
            <w:r>
              <w:rPr>
                <w:color w:val="000000"/>
                <w:sz w:val="18"/>
                <w:szCs w:val="18"/>
                <w:lang w:val="en-GB" w:eastAsia="ja-JP"/>
              </w:rPr>
              <w:t xml:space="preserve"> 10</w:t>
            </w:r>
            <w:r>
              <w:rPr>
                <w:color w:val="000000"/>
                <w:sz w:val="18"/>
                <w:szCs w:val="18"/>
                <w:vertAlign w:val="superscript"/>
                <w:lang w:val="en-GB" w:eastAsia="ja-JP"/>
              </w:rPr>
              <w:t>−6</w:t>
            </w:r>
          </w:p>
        </w:tc>
        <w:tc>
          <w:tcPr>
            <w:tcW w:w="992" w:type="dxa"/>
            <w:tcBorders>
              <w:top w:val="single" w:sz="4" w:space="0" w:color="auto"/>
              <w:left w:val="single" w:sz="4" w:space="0" w:color="auto"/>
              <w:bottom w:val="single" w:sz="4" w:space="0" w:color="auto"/>
              <w:right w:val="single" w:sz="4" w:space="0" w:color="auto"/>
            </w:tcBorders>
            <w:vAlign w:val="center"/>
          </w:tcPr>
          <w:p w14:paraId="4E936036" w14:textId="77777777" w:rsidR="00EF5BF3" w:rsidRDefault="00551D2B">
            <w:pPr>
              <w:pStyle w:val="Tabletext"/>
              <w:jc w:val="center"/>
              <w:rPr>
                <w:rFonts w:eastAsia="MS PGothic"/>
                <w:sz w:val="18"/>
                <w:szCs w:val="18"/>
                <w:lang w:val="en-GB"/>
              </w:rPr>
            </w:pPr>
            <w:r>
              <w:rPr>
                <w:color w:val="000000"/>
                <w:sz w:val="18"/>
                <w:szCs w:val="18"/>
                <w:lang w:val="en-GB" w:eastAsia="ja-JP"/>
              </w:rPr>
              <w:t xml:space="preserve">1.0 </w:t>
            </w:r>
            <w:r>
              <w:rPr>
                <w:rFonts w:eastAsia="MS PGothic"/>
                <w:sz w:val="18"/>
                <w:szCs w:val="18"/>
                <w:lang w:val="en-GB"/>
              </w:rPr>
              <w:t>×</w:t>
            </w:r>
            <w:r>
              <w:rPr>
                <w:color w:val="000000"/>
                <w:sz w:val="18"/>
                <w:szCs w:val="18"/>
                <w:lang w:val="en-GB" w:eastAsia="ja-JP"/>
              </w:rPr>
              <w:t xml:space="preserve"> 10</w:t>
            </w:r>
            <w:r>
              <w:rPr>
                <w:color w:val="000000"/>
                <w:sz w:val="18"/>
                <w:szCs w:val="18"/>
                <w:vertAlign w:val="superscript"/>
                <w:lang w:val="en-GB" w:eastAsia="ja-JP"/>
              </w:rPr>
              <w:t>−6</w:t>
            </w:r>
          </w:p>
        </w:tc>
        <w:tc>
          <w:tcPr>
            <w:tcW w:w="1284" w:type="dxa"/>
            <w:tcBorders>
              <w:top w:val="single" w:sz="4" w:space="0" w:color="auto"/>
              <w:left w:val="single" w:sz="4" w:space="0" w:color="auto"/>
              <w:bottom w:val="single" w:sz="4" w:space="0" w:color="auto"/>
              <w:right w:val="single" w:sz="4" w:space="0" w:color="auto"/>
            </w:tcBorders>
            <w:vAlign w:val="center"/>
          </w:tcPr>
          <w:p w14:paraId="06DED428" w14:textId="77777777" w:rsidR="00EF5BF3" w:rsidRDefault="00551D2B">
            <w:pPr>
              <w:pStyle w:val="Tabletext"/>
              <w:jc w:val="center"/>
              <w:rPr>
                <w:snapToGrid w:val="0"/>
                <w:sz w:val="18"/>
                <w:szCs w:val="18"/>
                <w:highlight w:val="yellow"/>
                <w:lang w:val="en-GB"/>
              </w:rPr>
            </w:pPr>
            <w:r>
              <w:rPr>
                <w:color w:val="000000"/>
                <w:sz w:val="18"/>
                <w:szCs w:val="18"/>
                <w:lang w:val="en-GB" w:eastAsia="ja-JP"/>
              </w:rPr>
              <w:t xml:space="preserve">1.0 </w:t>
            </w:r>
            <w:r>
              <w:rPr>
                <w:rFonts w:eastAsia="MS PGothic"/>
                <w:sz w:val="18"/>
                <w:szCs w:val="18"/>
                <w:lang w:val="en-GB"/>
              </w:rPr>
              <w:t>×</w:t>
            </w:r>
            <w:r>
              <w:rPr>
                <w:color w:val="000000"/>
                <w:sz w:val="18"/>
                <w:szCs w:val="18"/>
                <w:lang w:val="en-GB" w:eastAsia="ja-JP"/>
              </w:rPr>
              <w:t xml:space="preserve"> 10</w:t>
            </w:r>
            <w:r>
              <w:rPr>
                <w:color w:val="000000"/>
                <w:sz w:val="18"/>
                <w:szCs w:val="18"/>
                <w:vertAlign w:val="superscript"/>
                <w:lang w:val="en-GB" w:eastAsia="ja-JP"/>
              </w:rPr>
              <w:t>−6</w:t>
            </w:r>
          </w:p>
        </w:tc>
        <w:tc>
          <w:tcPr>
            <w:tcW w:w="1777" w:type="dxa"/>
            <w:tcBorders>
              <w:top w:val="single" w:sz="4" w:space="0" w:color="auto"/>
              <w:left w:val="single" w:sz="4" w:space="0" w:color="auto"/>
              <w:bottom w:val="single" w:sz="4" w:space="0" w:color="auto"/>
              <w:right w:val="single" w:sz="4" w:space="0" w:color="auto"/>
            </w:tcBorders>
            <w:vAlign w:val="center"/>
          </w:tcPr>
          <w:p w14:paraId="2D7DC285" w14:textId="77777777" w:rsidR="00EF5BF3" w:rsidRDefault="00551D2B">
            <w:pPr>
              <w:pStyle w:val="Tabletext"/>
              <w:jc w:val="center"/>
              <w:rPr>
                <w:rFonts w:eastAsia="MS PGothic"/>
                <w:sz w:val="18"/>
                <w:szCs w:val="18"/>
                <w:lang w:val="en-GB"/>
              </w:rPr>
            </w:pPr>
            <w:r>
              <w:rPr>
                <w:snapToGrid w:val="0"/>
                <w:sz w:val="18"/>
                <w:szCs w:val="18"/>
              </w:rPr>
              <w:t>（</w:t>
            </w:r>
            <w:r>
              <w:rPr>
                <w:snapToGrid w:val="0"/>
                <w:sz w:val="18"/>
                <w:szCs w:val="18"/>
              </w:rPr>
              <w:t xml:space="preserve">1 </w:t>
            </w:r>
            <w:r>
              <w:rPr>
                <w:rFonts w:hint="eastAsia"/>
                <w:snapToGrid w:val="0"/>
                <w:sz w:val="18"/>
                <w:szCs w:val="18"/>
              </w:rPr>
              <w:t>至</w:t>
            </w:r>
            <w:r>
              <w:rPr>
                <w:snapToGrid w:val="0"/>
                <w:sz w:val="18"/>
                <w:szCs w:val="18"/>
              </w:rPr>
              <w:t xml:space="preserve"> 30</w:t>
            </w:r>
            <w:r>
              <w:rPr>
                <w:snapToGrid w:val="0"/>
                <w:sz w:val="18"/>
                <w:szCs w:val="18"/>
              </w:rPr>
              <w:t>）</w:t>
            </w:r>
            <w:r>
              <w:rPr>
                <w:snapToGrid w:val="0"/>
                <w:sz w:val="18"/>
                <w:szCs w:val="18"/>
              </w:rPr>
              <w:sym w:font="Symbol" w:char="F0B4"/>
            </w:r>
            <w:r>
              <w:rPr>
                <w:snapToGrid w:val="0"/>
                <w:sz w:val="18"/>
                <w:szCs w:val="18"/>
              </w:rPr>
              <w:t> 10</w:t>
            </w:r>
            <w:r>
              <w:rPr>
                <w:snapToGrid w:val="0"/>
                <w:sz w:val="18"/>
                <w:szCs w:val="18"/>
                <w:vertAlign w:val="superscript"/>
              </w:rPr>
              <w:t>−6</w:t>
            </w:r>
          </w:p>
        </w:tc>
        <w:tc>
          <w:tcPr>
            <w:tcW w:w="3314" w:type="dxa"/>
            <w:tcBorders>
              <w:top w:val="single" w:sz="4" w:space="0" w:color="auto"/>
              <w:left w:val="single" w:sz="4" w:space="0" w:color="auto"/>
              <w:bottom w:val="single" w:sz="4" w:space="0" w:color="auto"/>
              <w:right w:val="single" w:sz="4" w:space="0" w:color="auto"/>
            </w:tcBorders>
            <w:vAlign w:val="center"/>
          </w:tcPr>
          <w:p w14:paraId="4C9C46CD" w14:textId="77777777" w:rsidR="00EF5BF3" w:rsidRDefault="00551D2B">
            <w:pPr>
              <w:pStyle w:val="Tabletext"/>
              <w:jc w:val="center"/>
              <w:rPr>
                <w:rFonts w:eastAsia="MS PGothic"/>
                <w:sz w:val="18"/>
                <w:szCs w:val="18"/>
                <w:lang w:val="en-GB"/>
              </w:rPr>
            </w:pPr>
            <w:r>
              <w:rPr>
                <w:snapToGrid w:val="0"/>
                <w:sz w:val="18"/>
                <w:szCs w:val="18"/>
                <w:lang w:val="en-GB"/>
              </w:rPr>
              <w:t>30 </w:t>
            </w:r>
            <w:r>
              <w:rPr>
                <w:rFonts w:eastAsia="MS PGothic"/>
                <w:sz w:val="18"/>
                <w:szCs w:val="18"/>
                <w:lang w:val="en-GB"/>
              </w:rPr>
              <w:t>× </w:t>
            </w:r>
            <w:r>
              <w:rPr>
                <w:snapToGrid w:val="0"/>
                <w:sz w:val="18"/>
                <w:szCs w:val="18"/>
                <w:lang w:val="en-GB"/>
              </w:rPr>
              <w:t>10</w:t>
            </w:r>
            <w:r>
              <w:rPr>
                <w:snapToGrid w:val="0"/>
                <w:sz w:val="18"/>
                <w:szCs w:val="18"/>
                <w:vertAlign w:val="superscript"/>
                <w:lang w:val="en-GB"/>
              </w:rPr>
              <w:t>−6</w:t>
            </w:r>
          </w:p>
        </w:tc>
        <w:tc>
          <w:tcPr>
            <w:tcW w:w="2419" w:type="dxa"/>
            <w:tcBorders>
              <w:top w:val="single" w:sz="4" w:space="0" w:color="auto"/>
              <w:left w:val="single" w:sz="4" w:space="0" w:color="auto"/>
              <w:bottom w:val="single" w:sz="4" w:space="0" w:color="auto"/>
              <w:right w:val="single" w:sz="4" w:space="0" w:color="auto"/>
            </w:tcBorders>
            <w:vAlign w:val="center"/>
          </w:tcPr>
          <w:p w14:paraId="22550230" w14:textId="77777777" w:rsidR="00EF5BF3" w:rsidRDefault="00551D2B">
            <w:pPr>
              <w:pStyle w:val="Tabletext"/>
              <w:jc w:val="center"/>
              <w:rPr>
                <w:snapToGrid w:val="0"/>
                <w:sz w:val="18"/>
                <w:szCs w:val="18"/>
                <w:lang w:val="en-GB"/>
              </w:rPr>
            </w:pPr>
            <w:r>
              <w:rPr>
                <w:snapToGrid w:val="0"/>
                <w:sz w:val="18"/>
                <w:szCs w:val="18"/>
                <w:lang w:val="en-GB"/>
              </w:rPr>
              <w:t>30 </w:t>
            </w:r>
            <w:r>
              <w:rPr>
                <w:rFonts w:eastAsia="MS PGothic"/>
                <w:sz w:val="18"/>
                <w:szCs w:val="18"/>
                <w:lang w:val="en-GB"/>
              </w:rPr>
              <w:t>× </w:t>
            </w:r>
            <w:r>
              <w:rPr>
                <w:snapToGrid w:val="0"/>
                <w:sz w:val="18"/>
                <w:szCs w:val="18"/>
                <w:lang w:val="en-GB"/>
              </w:rPr>
              <w:t>10</w:t>
            </w:r>
            <w:r>
              <w:rPr>
                <w:snapToGrid w:val="0"/>
                <w:sz w:val="18"/>
                <w:szCs w:val="18"/>
                <w:vertAlign w:val="superscript"/>
                <w:lang w:val="en-GB"/>
              </w:rPr>
              <w:t>−6</w:t>
            </w:r>
          </w:p>
        </w:tc>
      </w:tr>
    </w:tbl>
    <w:p w14:paraId="1C5D32F5" w14:textId="77777777" w:rsidR="00EF5BF3" w:rsidRDefault="00551D2B" w:rsidP="003872C2">
      <w:pPr>
        <w:pStyle w:val="Tablelegend"/>
        <w:ind w:hanging="284"/>
        <w:rPr>
          <w:rFonts w:ascii="STKaiti" w:eastAsia="STKaiti" w:hAnsi="STKaiti"/>
          <w:sz w:val="18"/>
          <w:szCs w:val="18"/>
          <w:lang w:eastAsia="zh-CN"/>
        </w:rPr>
      </w:pPr>
      <w:r>
        <w:rPr>
          <w:rFonts w:ascii="STKaiti" w:eastAsia="STKaiti" w:hAnsi="STKaiti" w:hint="eastAsia"/>
          <w:sz w:val="18"/>
          <w:szCs w:val="18"/>
          <w:lang w:eastAsia="zh-CN"/>
        </w:rPr>
        <w:t>表1的注：</w:t>
      </w:r>
    </w:p>
    <w:p w14:paraId="3E78923B" w14:textId="77777777" w:rsidR="00EF5BF3" w:rsidRDefault="00551D2B" w:rsidP="003872C2">
      <w:pPr>
        <w:pStyle w:val="Tablelegend"/>
        <w:ind w:hanging="284"/>
        <w:rPr>
          <w:sz w:val="18"/>
          <w:lang w:val="en-US" w:eastAsia="zh-CN"/>
        </w:rPr>
      </w:pPr>
      <w:r>
        <w:rPr>
          <w:sz w:val="18"/>
          <w:lang w:eastAsia="zh-CN"/>
        </w:rPr>
        <w:t>*</w:t>
      </w:r>
      <w:r>
        <w:rPr>
          <w:sz w:val="18"/>
          <w:lang w:eastAsia="zh-CN"/>
        </w:rPr>
        <w:tab/>
      </w:r>
      <w:r>
        <w:rPr>
          <w:rFonts w:hint="eastAsia"/>
          <w:sz w:val="18"/>
          <w:lang w:val="en-US" w:eastAsia="zh-CN"/>
        </w:rPr>
        <w:t>这些列涵盖了在</w:t>
      </w:r>
      <w:r>
        <w:rPr>
          <w:sz w:val="18"/>
          <w:lang w:eastAsia="zh-CN"/>
        </w:rPr>
        <w:t>1 215-1 300 MHz</w:t>
      </w:r>
      <w:r>
        <w:rPr>
          <w:rFonts w:hint="eastAsia"/>
          <w:sz w:val="18"/>
          <w:lang w:val="en-US" w:eastAsia="zh-CN"/>
        </w:rPr>
        <w:t>频段内运行的</w:t>
      </w:r>
      <w:r>
        <w:rPr>
          <w:sz w:val="18"/>
          <w:lang w:eastAsia="zh-CN"/>
        </w:rPr>
        <w:t>RNSS</w:t>
      </w:r>
      <w:r>
        <w:rPr>
          <w:rFonts w:hint="eastAsia"/>
          <w:sz w:val="18"/>
          <w:lang w:val="en-US" w:eastAsia="zh-CN"/>
        </w:rPr>
        <w:t>接收机的特性和门限</w:t>
      </w:r>
      <w:r>
        <w:rPr>
          <w:rFonts w:hint="eastAsia"/>
          <w:sz w:val="18"/>
          <w:lang w:eastAsia="zh-CN"/>
        </w:rPr>
        <w:t>。</w:t>
      </w:r>
      <w:r>
        <w:rPr>
          <w:sz w:val="18"/>
          <w:lang w:val="en-US" w:eastAsia="zh-CN"/>
        </w:rPr>
        <w:t>（</w:t>
      </w:r>
      <w:r>
        <w:rPr>
          <w:rFonts w:hint="eastAsia"/>
          <w:sz w:val="18"/>
          <w:lang w:val="en-US" w:eastAsia="zh-CN"/>
        </w:rPr>
        <w:t>这种类型的接收机采用在</w:t>
      </w:r>
      <w:r>
        <w:rPr>
          <w:sz w:val="18"/>
          <w:lang w:val="en-US" w:eastAsia="zh-CN"/>
        </w:rPr>
        <w:t>ITU-R </w:t>
      </w:r>
      <w:r>
        <w:rPr>
          <w:sz w:val="18"/>
          <w:lang w:eastAsia="zh-CN"/>
        </w:rPr>
        <w:t>М</w:t>
      </w:r>
      <w:r>
        <w:rPr>
          <w:sz w:val="18"/>
          <w:lang w:val="en-US" w:eastAsia="zh-CN"/>
        </w:rPr>
        <w:t>.1787</w:t>
      </w:r>
      <w:r>
        <w:rPr>
          <w:rFonts w:hint="eastAsia"/>
          <w:sz w:val="18"/>
          <w:lang w:val="en-US" w:eastAsia="zh-CN"/>
        </w:rPr>
        <w:t>建议书附件</w:t>
      </w:r>
      <w:r>
        <w:rPr>
          <w:sz w:val="18"/>
          <w:lang w:val="en-US" w:eastAsia="zh-CN"/>
        </w:rPr>
        <w:t>2</w:t>
      </w:r>
      <w:r>
        <w:rPr>
          <w:rFonts w:hint="eastAsia"/>
          <w:sz w:val="18"/>
          <w:lang w:val="en-US" w:eastAsia="zh-CN"/>
        </w:rPr>
        <w:t>中所描述的信号进行工作。</w:t>
      </w:r>
      <w:r>
        <w:rPr>
          <w:sz w:val="18"/>
          <w:lang w:val="en-US" w:eastAsia="zh-CN"/>
        </w:rPr>
        <w:t>）</w:t>
      </w:r>
      <w:r>
        <w:rPr>
          <w:rFonts w:hint="eastAsia"/>
          <w:sz w:val="18"/>
          <w:lang w:val="en-US" w:eastAsia="zh-CN"/>
        </w:rPr>
        <w:t>对在</w:t>
      </w:r>
      <w:r>
        <w:rPr>
          <w:sz w:val="18"/>
          <w:lang w:val="en-US" w:eastAsia="zh-CN"/>
        </w:rPr>
        <w:t>1 559-</w:t>
      </w:r>
      <w:r>
        <w:rPr>
          <w:sz w:val="18"/>
          <w:lang w:val="en-US" w:eastAsia="zh-CN"/>
        </w:rPr>
        <w:br/>
        <w:t>1 610 MHz</w:t>
      </w:r>
      <w:r>
        <w:rPr>
          <w:rFonts w:hint="eastAsia"/>
          <w:sz w:val="18"/>
          <w:lang w:val="en-US" w:eastAsia="zh-CN"/>
        </w:rPr>
        <w:t>和</w:t>
      </w:r>
      <w:r>
        <w:rPr>
          <w:sz w:val="18"/>
          <w:lang w:val="en-US" w:eastAsia="zh-CN"/>
        </w:rPr>
        <w:t>1 164-1 215 MHz</w:t>
      </w:r>
      <w:r>
        <w:rPr>
          <w:rFonts w:hint="eastAsia"/>
          <w:sz w:val="18"/>
          <w:lang w:val="en-US" w:eastAsia="zh-CN"/>
        </w:rPr>
        <w:t>频段内运行的接收机的特性和保护标准，还请分别参考在</w:t>
      </w:r>
      <w:r>
        <w:rPr>
          <w:sz w:val="18"/>
          <w:lang w:val="en-US" w:eastAsia="zh-CN"/>
        </w:rPr>
        <w:t>ITU-R M.1903</w:t>
      </w:r>
      <w:r>
        <w:rPr>
          <w:rFonts w:hint="eastAsia"/>
          <w:sz w:val="18"/>
          <w:lang w:val="en-US" w:eastAsia="zh-CN"/>
        </w:rPr>
        <w:t>和</w:t>
      </w:r>
      <w:r>
        <w:rPr>
          <w:sz w:val="18"/>
          <w:lang w:val="en-US" w:eastAsia="zh-CN"/>
        </w:rPr>
        <w:t>/</w:t>
      </w:r>
      <w:r>
        <w:rPr>
          <w:rFonts w:hint="eastAsia"/>
          <w:sz w:val="18"/>
          <w:lang w:val="en-US" w:eastAsia="zh-CN"/>
        </w:rPr>
        <w:t>或</w:t>
      </w:r>
      <w:r>
        <w:rPr>
          <w:sz w:val="18"/>
          <w:lang w:val="en-US" w:eastAsia="zh-CN"/>
        </w:rPr>
        <w:t>ITU-R M.1905</w:t>
      </w:r>
      <w:r>
        <w:rPr>
          <w:rFonts w:hint="eastAsia"/>
          <w:sz w:val="18"/>
          <w:lang w:val="en-US" w:eastAsia="zh-CN"/>
        </w:rPr>
        <w:t>建议书中的相关列。</w:t>
      </w:r>
    </w:p>
    <w:p w14:paraId="328EC83D" w14:textId="2519066A" w:rsidR="00EF5BF3" w:rsidRDefault="00551D2B" w:rsidP="003872C2">
      <w:pPr>
        <w:pStyle w:val="TableLegendNote"/>
        <w:tabs>
          <w:tab w:val="clear" w:pos="284"/>
        </w:tabs>
        <w:ind w:left="0"/>
        <w:rPr>
          <w:sz w:val="18"/>
          <w:szCs w:val="18"/>
          <w:lang w:eastAsia="zh-CN"/>
        </w:rPr>
      </w:pPr>
      <w:r>
        <w:rPr>
          <w:rFonts w:hint="eastAsia"/>
          <w:sz w:val="18"/>
          <w:szCs w:val="18"/>
          <w:lang w:eastAsia="zh-CN"/>
        </w:rPr>
        <w:t>注</w:t>
      </w:r>
      <w:r>
        <w:rPr>
          <w:sz w:val="18"/>
          <w:szCs w:val="18"/>
          <w:lang w:eastAsia="zh-CN"/>
        </w:rPr>
        <w:t>1 – </w:t>
      </w:r>
      <w:r>
        <w:rPr>
          <w:sz w:val="18"/>
          <w:szCs w:val="18"/>
          <w:lang w:eastAsia="zh-CN"/>
        </w:rPr>
        <w:t>对</w:t>
      </w:r>
      <w:r>
        <w:rPr>
          <w:sz w:val="18"/>
          <w:szCs w:val="18"/>
          <w:lang w:val="fr-FR" w:eastAsia="zh-CN"/>
        </w:rPr>
        <w:t>P</w:t>
      </w:r>
      <w:r>
        <w:rPr>
          <w:rFonts w:hint="eastAsia"/>
          <w:sz w:val="18"/>
          <w:szCs w:val="18"/>
          <w:lang w:val="fr-FR" w:eastAsia="zh-CN"/>
        </w:rPr>
        <w:t>(</w:t>
      </w:r>
      <w:r>
        <w:rPr>
          <w:sz w:val="18"/>
          <w:szCs w:val="18"/>
          <w:lang w:val="fr-FR" w:eastAsia="zh-CN"/>
        </w:rPr>
        <w:t>Y</w:t>
      </w:r>
      <w:r>
        <w:rPr>
          <w:rFonts w:hint="eastAsia"/>
          <w:sz w:val="18"/>
          <w:szCs w:val="18"/>
          <w:lang w:val="fr-FR" w:eastAsia="zh-CN"/>
        </w:rPr>
        <w:t>)</w:t>
      </w:r>
      <w:r>
        <w:rPr>
          <w:sz w:val="18"/>
          <w:szCs w:val="18"/>
          <w:lang w:eastAsia="zh-CN"/>
        </w:rPr>
        <w:t>信号处理</w:t>
      </w:r>
      <w:r>
        <w:rPr>
          <w:sz w:val="18"/>
          <w:szCs w:val="18"/>
          <w:lang w:val="fr-FR" w:eastAsia="zh-CN"/>
        </w:rPr>
        <w:t>，</w:t>
      </w:r>
      <w:r>
        <w:rPr>
          <w:sz w:val="18"/>
          <w:szCs w:val="18"/>
          <w:lang w:eastAsia="zh-CN"/>
        </w:rPr>
        <w:t>包括采用半无码技术</w:t>
      </w:r>
      <w:r>
        <w:rPr>
          <w:sz w:val="18"/>
          <w:szCs w:val="18"/>
          <w:lang w:val="fr-FR" w:eastAsia="zh-CN"/>
        </w:rPr>
        <w:t>，</w:t>
      </w:r>
      <w:r>
        <w:rPr>
          <w:sz w:val="18"/>
          <w:szCs w:val="18"/>
          <w:lang w:eastAsia="zh-CN"/>
        </w:rPr>
        <w:t>窄带干扰被认为具有一个少于</w:t>
      </w:r>
      <w:r>
        <w:rPr>
          <w:sz w:val="18"/>
          <w:szCs w:val="18"/>
          <w:lang w:val="fr-FR" w:eastAsia="zh-CN"/>
        </w:rPr>
        <w:t>100 kHz</w:t>
      </w:r>
      <w:r>
        <w:rPr>
          <w:sz w:val="18"/>
          <w:szCs w:val="18"/>
          <w:lang w:eastAsia="zh-CN"/>
        </w:rPr>
        <w:t>的带宽</w:t>
      </w:r>
      <w:r>
        <w:rPr>
          <w:sz w:val="18"/>
          <w:szCs w:val="18"/>
          <w:lang w:val="fr-FR" w:eastAsia="zh-CN"/>
        </w:rPr>
        <w:t>，</w:t>
      </w:r>
      <w:r>
        <w:rPr>
          <w:sz w:val="18"/>
          <w:szCs w:val="18"/>
          <w:lang w:eastAsia="zh-CN"/>
        </w:rPr>
        <w:t>而宽带干扰具有一个大于</w:t>
      </w:r>
      <w:r>
        <w:rPr>
          <w:sz w:val="18"/>
          <w:szCs w:val="18"/>
          <w:lang w:val="fr-FR" w:eastAsia="zh-CN"/>
        </w:rPr>
        <w:t>1 MHz</w:t>
      </w:r>
      <w:r>
        <w:rPr>
          <w:sz w:val="18"/>
          <w:szCs w:val="18"/>
          <w:lang w:eastAsia="zh-CN"/>
        </w:rPr>
        <w:t>的带宽。对</w:t>
      </w:r>
      <w:r>
        <w:rPr>
          <w:sz w:val="18"/>
          <w:szCs w:val="18"/>
          <w:lang w:eastAsia="zh-CN"/>
        </w:rPr>
        <w:t>L2C</w:t>
      </w:r>
      <w:r>
        <w:rPr>
          <w:sz w:val="18"/>
          <w:szCs w:val="18"/>
          <w:lang w:eastAsia="zh-CN"/>
        </w:rPr>
        <w:t>信号处理，窄带干扰被认为具有一个少于</w:t>
      </w:r>
      <w:r>
        <w:rPr>
          <w:sz w:val="18"/>
          <w:szCs w:val="18"/>
          <w:lang w:eastAsia="zh-CN"/>
        </w:rPr>
        <w:t>1 kHz</w:t>
      </w:r>
      <w:r>
        <w:rPr>
          <w:sz w:val="18"/>
          <w:szCs w:val="18"/>
          <w:lang w:eastAsia="zh-CN"/>
        </w:rPr>
        <w:t>的带宽，而宽带干扰具有一个大于</w:t>
      </w:r>
      <w:r>
        <w:rPr>
          <w:sz w:val="18"/>
          <w:szCs w:val="18"/>
          <w:lang w:eastAsia="zh-CN"/>
        </w:rPr>
        <w:t>1 MHz</w:t>
      </w:r>
      <w:r>
        <w:rPr>
          <w:sz w:val="18"/>
          <w:szCs w:val="18"/>
          <w:lang w:eastAsia="zh-CN"/>
        </w:rPr>
        <w:t>的带宽。对</w:t>
      </w:r>
      <w:r>
        <w:rPr>
          <w:sz w:val="18"/>
          <w:szCs w:val="18"/>
          <w:lang w:eastAsia="zh-CN"/>
        </w:rPr>
        <w:t>FDMA</w:t>
      </w:r>
      <w:r>
        <w:rPr>
          <w:sz w:val="18"/>
          <w:szCs w:val="18"/>
          <w:lang w:eastAsia="zh-CN"/>
        </w:rPr>
        <w:t>和</w:t>
      </w:r>
      <w:r>
        <w:rPr>
          <w:sz w:val="18"/>
          <w:szCs w:val="18"/>
          <w:lang w:eastAsia="zh-CN"/>
        </w:rPr>
        <w:t>CDMA</w:t>
      </w:r>
      <w:r>
        <w:rPr>
          <w:rFonts w:hint="eastAsia"/>
          <w:sz w:val="18"/>
          <w:szCs w:val="18"/>
          <w:lang w:eastAsia="zh-CN"/>
        </w:rPr>
        <w:t>（</w:t>
      </w:r>
      <w:r>
        <w:rPr>
          <w:sz w:val="18"/>
          <w:szCs w:val="18"/>
          <w:lang w:eastAsia="zh-CN"/>
        </w:rPr>
        <w:t>载频</w:t>
      </w:r>
      <w:r>
        <w:rPr>
          <w:sz w:val="18"/>
          <w:szCs w:val="18"/>
          <w:lang w:eastAsia="zh-CN"/>
        </w:rPr>
        <w:t>1 248.06 MHz</w:t>
      </w:r>
      <w:r>
        <w:rPr>
          <w:rFonts w:hint="eastAsia"/>
          <w:sz w:val="18"/>
          <w:szCs w:val="18"/>
          <w:lang w:eastAsia="zh-CN"/>
        </w:rPr>
        <w:t>）</w:t>
      </w:r>
      <w:r>
        <w:rPr>
          <w:sz w:val="18"/>
          <w:szCs w:val="18"/>
          <w:lang w:eastAsia="zh-CN"/>
        </w:rPr>
        <w:t>信号处理，窄带连续干扰被认为具有一个少于</w:t>
      </w:r>
      <w:r>
        <w:rPr>
          <w:sz w:val="18"/>
          <w:szCs w:val="18"/>
          <w:lang w:eastAsia="zh-CN"/>
        </w:rPr>
        <w:t>1 kHz</w:t>
      </w:r>
      <w:r>
        <w:rPr>
          <w:sz w:val="18"/>
          <w:szCs w:val="18"/>
          <w:lang w:eastAsia="zh-CN"/>
        </w:rPr>
        <w:t>的带宽，而宽带连续干扰被认为具有一个大于</w:t>
      </w:r>
      <w:r>
        <w:rPr>
          <w:sz w:val="18"/>
          <w:szCs w:val="18"/>
          <w:lang w:eastAsia="zh-CN"/>
        </w:rPr>
        <w:t>500 kHz</w:t>
      </w:r>
      <w:r>
        <w:rPr>
          <w:sz w:val="18"/>
          <w:szCs w:val="18"/>
          <w:lang w:eastAsia="zh-CN"/>
        </w:rPr>
        <w:t>的带宽。在</w:t>
      </w:r>
      <w:r>
        <w:rPr>
          <w:sz w:val="18"/>
          <w:szCs w:val="18"/>
          <w:lang w:eastAsia="zh-CN"/>
        </w:rPr>
        <w:t>100 kHz</w:t>
      </w:r>
      <w:r>
        <w:rPr>
          <w:sz w:val="18"/>
          <w:szCs w:val="18"/>
          <w:lang w:eastAsia="zh-CN"/>
        </w:rPr>
        <w:t>（对</w:t>
      </w:r>
      <w:r>
        <w:rPr>
          <w:sz w:val="18"/>
          <w:szCs w:val="18"/>
          <w:lang w:eastAsia="zh-CN"/>
        </w:rPr>
        <w:t>P(Y)</w:t>
      </w:r>
      <w:r>
        <w:rPr>
          <w:sz w:val="18"/>
          <w:szCs w:val="18"/>
          <w:lang w:eastAsia="zh-CN"/>
        </w:rPr>
        <w:t>）或</w:t>
      </w:r>
      <w:r>
        <w:rPr>
          <w:sz w:val="18"/>
          <w:szCs w:val="18"/>
          <w:lang w:eastAsia="zh-CN"/>
        </w:rPr>
        <w:t xml:space="preserve">1 kHz </w:t>
      </w:r>
      <w:r>
        <w:rPr>
          <w:sz w:val="18"/>
          <w:szCs w:val="18"/>
          <w:lang w:eastAsia="zh-CN"/>
        </w:rPr>
        <w:t>（对</w:t>
      </w:r>
      <w:r>
        <w:rPr>
          <w:sz w:val="18"/>
          <w:szCs w:val="18"/>
          <w:lang w:eastAsia="zh-CN"/>
        </w:rPr>
        <w:t>L2C</w:t>
      </w:r>
      <w:r>
        <w:rPr>
          <w:sz w:val="18"/>
          <w:szCs w:val="18"/>
          <w:lang w:eastAsia="zh-CN"/>
        </w:rPr>
        <w:t>和</w:t>
      </w:r>
      <w:r>
        <w:rPr>
          <w:sz w:val="18"/>
          <w:szCs w:val="18"/>
          <w:lang w:eastAsia="zh-CN"/>
        </w:rPr>
        <w:t>FDMA/</w:t>
      </w:r>
      <w:r>
        <w:rPr>
          <w:sz w:val="18"/>
          <w:szCs w:val="18"/>
          <w:lang w:val="fr-FR" w:eastAsia="zh-CN"/>
        </w:rPr>
        <w:t xml:space="preserve"> CDMA</w:t>
      </w:r>
      <w:r>
        <w:rPr>
          <w:rFonts w:hint="eastAsia"/>
          <w:sz w:val="18"/>
          <w:szCs w:val="18"/>
          <w:lang w:val="fr-FR" w:eastAsia="zh-CN"/>
        </w:rPr>
        <w:t>（</w:t>
      </w:r>
      <w:r>
        <w:rPr>
          <w:sz w:val="18"/>
          <w:szCs w:val="18"/>
          <w:lang w:val="fr-FR" w:eastAsia="zh-CN"/>
        </w:rPr>
        <w:t>载频</w:t>
      </w:r>
      <w:r>
        <w:rPr>
          <w:sz w:val="18"/>
          <w:szCs w:val="18"/>
          <w:lang w:val="fr-FR" w:eastAsia="zh-CN"/>
        </w:rPr>
        <w:t>1 248.06 MHz</w:t>
      </w:r>
      <w:r>
        <w:rPr>
          <w:sz w:val="18"/>
          <w:szCs w:val="18"/>
          <w:lang w:eastAsia="zh-CN"/>
        </w:rPr>
        <w:t>）到</w:t>
      </w:r>
      <w:r>
        <w:rPr>
          <w:sz w:val="18"/>
          <w:szCs w:val="18"/>
          <w:lang w:eastAsia="zh-CN"/>
        </w:rPr>
        <w:t>1 MHz</w:t>
      </w:r>
      <w:r>
        <w:rPr>
          <w:sz w:val="18"/>
          <w:szCs w:val="18"/>
          <w:lang w:eastAsia="zh-CN"/>
        </w:rPr>
        <w:t>（或对</w:t>
      </w:r>
      <w:r>
        <w:rPr>
          <w:sz w:val="18"/>
          <w:szCs w:val="18"/>
          <w:lang w:eastAsia="zh-CN"/>
        </w:rPr>
        <w:t>FDMA</w:t>
      </w:r>
      <w:r>
        <w:rPr>
          <w:sz w:val="18"/>
          <w:szCs w:val="18"/>
          <w:lang w:eastAsia="zh-CN"/>
        </w:rPr>
        <w:t>为</w:t>
      </w:r>
      <w:r>
        <w:rPr>
          <w:sz w:val="18"/>
          <w:szCs w:val="18"/>
          <w:lang w:eastAsia="zh-CN"/>
        </w:rPr>
        <w:t>500 kHz</w:t>
      </w:r>
      <w:r>
        <w:rPr>
          <w:sz w:val="18"/>
          <w:szCs w:val="18"/>
          <w:lang w:eastAsia="zh-CN"/>
        </w:rPr>
        <w:t>）之间干扰带宽的门限未定义，需要进一步的研究。</w:t>
      </w:r>
    </w:p>
    <w:p w14:paraId="2AA487BB" w14:textId="32DC2AC0" w:rsidR="00EF5BF3" w:rsidRDefault="00551D2B" w:rsidP="003872C2">
      <w:pPr>
        <w:pStyle w:val="TableLegendNote"/>
        <w:ind w:left="284" w:hanging="284"/>
        <w:rPr>
          <w:sz w:val="18"/>
          <w:szCs w:val="18"/>
          <w:lang w:eastAsia="zh-CN"/>
        </w:rPr>
      </w:pPr>
      <w:r>
        <w:rPr>
          <w:rFonts w:hint="eastAsia"/>
          <w:sz w:val="18"/>
          <w:szCs w:val="18"/>
          <w:lang w:eastAsia="zh-CN"/>
        </w:rPr>
        <w:t>注</w:t>
      </w:r>
      <w:r>
        <w:rPr>
          <w:sz w:val="18"/>
          <w:szCs w:val="18"/>
          <w:lang w:eastAsia="zh-CN"/>
        </w:rPr>
        <w:t>2 – </w:t>
      </w:r>
      <w:r>
        <w:rPr>
          <w:rFonts w:hint="eastAsia"/>
          <w:sz w:val="18"/>
          <w:szCs w:val="18"/>
          <w:lang w:eastAsia="zh-CN"/>
        </w:rPr>
        <w:t>窄带连续干扰被认为具有一个少于</w:t>
      </w:r>
      <w:r>
        <w:rPr>
          <w:sz w:val="18"/>
          <w:szCs w:val="18"/>
          <w:lang w:val="fr-FR" w:eastAsia="zh-CN"/>
        </w:rPr>
        <w:t>700 Hz</w:t>
      </w:r>
      <w:r>
        <w:rPr>
          <w:rFonts w:hint="eastAsia"/>
          <w:sz w:val="18"/>
          <w:szCs w:val="18"/>
          <w:lang w:eastAsia="zh-CN"/>
        </w:rPr>
        <w:t>的带宽。宽带连续干扰被认为具有一个大于</w:t>
      </w:r>
      <w:r>
        <w:rPr>
          <w:sz w:val="18"/>
          <w:szCs w:val="18"/>
          <w:lang w:eastAsia="zh-CN"/>
        </w:rPr>
        <w:t>1 MHz</w:t>
      </w:r>
      <w:r>
        <w:rPr>
          <w:rFonts w:hint="eastAsia"/>
          <w:sz w:val="18"/>
          <w:szCs w:val="18"/>
          <w:lang w:eastAsia="zh-CN"/>
        </w:rPr>
        <w:t>的带宽。</w:t>
      </w:r>
      <w:r>
        <w:rPr>
          <w:rFonts w:hint="eastAsia"/>
          <w:sz w:val="18"/>
          <w:szCs w:val="18"/>
          <w:lang w:val="fr-FR" w:eastAsia="zh-CN"/>
        </w:rPr>
        <w:t>7</w:t>
      </w:r>
      <w:r>
        <w:rPr>
          <w:sz w:val="18"/>
          <w:szCs w:val="18"/>
          <w:lang w:val="fr-FR" w:eastAsia="zh-CN"/>
        </w:rPr>
        <w:t>00 Hz</w:t>
      </w:r>
      <w:r>
        <w:rPr>
          <w:rFonts w:hint="eastAsia"/>
          <w:sz w:val="18"/>
          <w:szCs w:val="18"/>
          <w:lang w:val="fr-FR" w:eastAsia="zh-CN"/>
        </w:rPr>
        <w:t>至</w:t>
      </w:r>
      <w:r>
        <w:rPr>
          <w:sz w:val="18"/>
          <w:szCs w:val="18"/>
          <w:lang w:val="fr-FR" w:eastAsia="zh-CN"/>
        </w:rPr>
        <w:t>1 MHz</w:t>
      </w:r>
      <w:r>
        <w:rPr>
          <w:rFonts w:hint="eastAsia"/>
          <w:sz w:val="18"/>
          <w:szCs w:val="18"/>
          <w:lang w:eastAsia="zh-CN"/>
        </w:rPr>
        <w:t>之间的干扰带宽阈值可能需要进一步研究。</w:t>
      </w:r>
      <w:r>
        <w:rPr>
          <w:sz w:val="18"/>
          <w:szCs w:val="18"/>
          <w:lang w:eastAsia="zh-CN"/>
        </w:rPr>
        <w:t xml:space="preserve"> </w:t>
      </w:r>
    </w:p>
    <w:p w14:paraId="04F7D3EC" w14:textId="77777777" w:rsidR="00EF5BF3" w:rsidRDefault="00551D2B" w:rsidP="003872C2">
      <w:pPr>
        <w:pStyle w:val="TableLegendNote"/>
        <w:ind w:left="284" w:hanging="284"/>
        <w:rPr>
          <w:sz w:val="18"/>
          <w:szCs w:val="18"/>
          <w:lang w:eastAsia="zh-CN"/>
        </w:rPr>
      </w:pPr>
      <w:r>
        <w:rPr>
          <w:rFonts w:hint="eastAsia"/>
          <w:sz w:val="18"/>
          <w:szCs w:val="18"/>
          <w:lang w:eastAsia="zh-CN"/>
        </w:rPr>
        <w:t>注</w:t>
      </w:r>
      <w:r>
        <w:rPr>
          <w:sz w:val="18"/>
          <w:szCs w:val="18"/>
          <w:lang w:eastAsia="zh-CN"/>
        </w:rPr>
        <w:t xml:space="preserve">3 – </w:t>
      </w:r>
      <w:r>
        <w:rPr>
          <w:rFonts w:hint="eastAsia"/>
          <w:sz w:val="18"/>
          <w:szCs w:val="18"/>
          <w:lang w:eastAsia="zh-CN"/>
        </w:rPr>
        <w:t>所列出的上半球最大增益值适用于</w:t>
      </w:r>
      <w:r>
        <w:rPr>
          <w:sz w:val="18"/>
          <w:szCs w:val="18"/>
          <w:lang w:val="fr-FR" w:eastAsia="zh-CN"/>
        </w:rPr>
        <w:t>30°</w:t>
      </w:r>
      <w:r>
        <w:rPr>
          <w:rFonts w:hint="eastAsia"/>
          <w:sz w:val="18"/>
          <w:szCs w:val="18"/>
          <w:lang w:eastAsia="zh-CN"/>
        </w:rPr>
        <w:t>仰角</w:t>
      </w:r>
      <w:r>
        <w:rPr>
          <w:rFonts w:hint="eastAsia"/>
          <w:sz w:val="18"/>
          <w:szCs w:val="18"/>
          <w:lang w:val="fr-FR" w:eastAsia="zh-CN"/>
        </w:rPr>
        <w:t>（</w:t>
      </w:r>
      <w:r>
        <w:rPr>
          <w:rFonts w:hint="eastAsia"/>
          <w:sz w:val="18"/>
          <w:szCs w:val="18"/>
          <w:lang w:eastAsia="zh-CN"/>
        </w:rPr>
        <w:t>即</w:t>
      </w:r>
      <w:r>
        <w:rPr>
          <w:rFonts w:hint="eastAsia"/>
          <w:sz w:val="18"/>
          <w:szCs w:val="18"/>
          <w:lang w:val="fr-FR" w:eastAsia="zh-CN"/>
        </w:rPr>
        <w:t>，</w:t>
      </w:r>
      <w:r>
        <w:rPr>
          <w:rFonts w:hint="eastAsia"/>
          <w:sz w:val="18"/>
          <w:szCs w:val="18"/>
          <w:lang w:eastAsia="zh-CN"/>
        </w:rPr>
        <w:t>最大期望</w:t>
      </w:r>
      <w:r>
        <w:rPr>
          <w:sz w:val="18"/>
          <w:szCs w:val="18"/>
          <w:lang w:val="fr-FR" w:eastAsia="zh-CN"/>
        </w:rPr>
        <w:t>RFI</w:t>
      </w:r>
      <w:r>
        <w:rPr>
          <w:rFonts w:hint="eastAsia"/>
          <w:sz w:val="18"/>
          <w:szCs w:val="18"/>
          <w:lang w:eastAsia="zh-CN"/>
        </w:rPr>
        <w:t>到达角</w:t>
      </w:r>
      <w:r>
        <w:rPr>
          <w:rFonts w:hint="eastAsia"/>
          <w:sz w:val="18"/>
          <w:szCs w:val="18"/>
          <w:lang w:val="fr-FR" w:eastAsia="zh-CN"/>
        </w:rPr>
        <w:t>）</w:t>
      </w:r>
      <w:r>
        <w:rPr>
          <w:rFonts w:hint="eastAsia"/>
          <w:sz w:val="18"/>
          <w:szCs w:val="18"/>
          <w:lang w:eastAsia="zh-CN"/>
        </w:rPr>
        <w:t>。所列举的下半球最大增益值适用于</w:t>
      </w:r>
      <w:r>
        <w:rPr>
          <w:sz w:val="18"/>
          <w:szCs w:val="18"/>
          <w:lang w:eastAsia="zh-CN"/>
        </w:rPr>
        <w:t>5°</w:t>
      </w:r>
      <w:r>
        <w:rPr>
          <w:rFonts w:hint="eastAsia"/>
          <w:sz w:val="18"/>
          <w:szCs w:val="18"/>
          <w:lang w:eastAsia="zh-CN"/>
        </w:rPr>
        <w:t>仰角。</w:t>
      </w:r>
    </w:p>
    <w:p w14:paraId="3289C70C" w14:textId="77777777" w:rsidR="00EF5BF3" w:rsidRDefault="00551D2B" w:rsidP="003872C2">
      <w:pPr>
        <w:pStyle w:val="TableLegendNote"/>
        <w:ind w:left="284" w:hanging="284"/>
        <w:rPr>
          <w:sz w:val="18"/>
          <w:szCs w:val="18"/>
          <w:lang w:eastAsia="ja-JP"/>
        </w:rPr>
      </w:pPr>
      <w:r>
        <w:rPr>
          <w:rFonts w:hint="eastAsia"/>
          <w:sz w:val="18"/>
          <w:szCs w:val="18"/>
          <w:lang w:eastAsia="zh-CN"/>
        </w:rPr>
        <w:t>注</w:t>
      </w:r>
      <w:r>
        <w:rPr>
          <w:sz w:val="18"/>
          <w:szCs w:val="18"/>
          <w:lang w:eastAsia="zh-CN"/>
        </w:rPr>
        <w:t>4 – </w:t>
      </w:r>
      <w:r>
        <w:rPr>
          <w:rFonts w:hint="eastAsia"/>
          <w:sz w:val="18"/>
          <w:szCs w:val="18"/>
          <w:lang w:eastAsia="zh-CN"/>
        </w:rPr>
        <w:t>信号捕获是采用</w:t>
      </w:r>
      <w:r>
        <w:rPr>
          <w:sz w:val="18"/>
          <w:szCs w:val="18"/>
          <w:lang w:eastAsia="zh-CN"/>
        </w:rPr>
        <w:t>L1 C/A</w:t>
      </w:r>
      <w:r>
        <w:rPr>
          <w:rFonts w:hint="eastAsia"/>
          <w:sz w:val="18"/>
          <w:szCs w:val="18"/>
          <w:lang w:eastAsia="zh-CN"/>
        </w:rPr>
        <w:t>信号来完成的。见</w:t>
      </w:r>
      <w:r>
        <w:rPr>
          <w:sz w:val="18"/>
          <w:szCs w:val="18"/>
          <w:lang w:eastAsia="zh-CN"/>
        </w:rPr>
        <w:t>ITU-R M.1903</w:t>
      </w:r>
      <w:r>
        <w:rPr>
          <w:rFonts w:hint="eastAsia"/>
          <w:sz w:val="18"/>
          <w:szCs w:val="18"/>
          <w:lang w:eastAsia="zh-CN"/>
        </w:rPr>
        <w:t>建议书附件</w:t>
      </w:r>
      <w:r>
        <w:rPr>
          <w:sz w:val="18"/>
          <w:szCs w:val="18"/>
          <w:lang w:eastAsia="zh-CN"/>
        </w:rPr>
        <w:t>2</w:t>
      </w:r>
      <w:r>
        <w:rPr>
          <w:rFonts w:hint="eastAsia"/>
          <w:sz w:val="18"/>
          <w:szCs w:val="18"/>
          <w:lang w:eastAsia="zh-CN"/>
        </w:rPr>
        <w:t>表</w:t>
      </w:r>
      <w:r>
        <w:rPr>
          <w:sz w:val="18"/>
          <w:szCs w:val="18"/>
          <w:lang w:eastAsia="zh-CN"/>
        </w:rPr>
        <w:t>2-2</w:t>
      </w:r>
      <w:proofErr w:type="gramStart"/>
      <w:r>
        <w:rPr>
          <w:rFonts w:hint="eastAsia"/>
          <w:sz w:val="18"/>
          <w:szCs w:val="18"/>
          <w:lang w:eastAsia="zh-CN"/>
        </w:rPr>
        <w:t>的“</w:t>
      </w:r>
      <w:proofErr w:type="gramEnd"/>
      <w:r>
        <w:rPr>
          <w:sz w:val="18"/>
          <w:szCs w:val="18"/>
          <w:lang w:eastAsia="zh-CN"/>
        </w:rPr>
        <w:t>SBAS</w:t>
      </w:r>
      <w:r>
        <w:rPr>
          <w:rFonts w:hint="eastAsia"/>
          <w:sz w:val="18"/>
          <w:szCs w:val="18"/>
          <w:lang w:eastAsia="zh-CN"/>
        </w:rPr>
        <w:t>地面参考接收设备”列中的适当捕获门限行。</w:t>
      </w:r>
    </w:p>
    <w:p w14:paraId="6AA5E7AE" w14:textId="77777777" w:rsidR="00EF5BF3" w:rsidRDefault="00551D2B" w:rsidP="003872C2">
      <w:pPr>
        <w:pStyle w:val="TableLegendNote"/>
        <w:ind w:left="284" w:hanging="284"/>
        <w:rPr>
          <w:sz w:val="18"/>
          <w:szCs w:val="18"/>
          <w:lang w:eastAsia="zh-CN"/>
        </w:rPr>
      </w:pPr>
      <w:r>
        <w:rPr>
          <w:rFonts w:hint="eastAsia"/>
          <w:sz w:val="18"/>
          <w:szCs w:val="18"/>
          <w:lang w:eastAsia="zh-CN"/>
        </w:rPr>
        <w:t>注</w:t>
      </w:r>
      <w:r>
        <w:rPr>
          <w:sz w:val="18"/>
          <w:szCs w:val="18"/>
          <w:lang w:eastAsia="zh-CN"/>
        </w:rPr>
        <w:t>5 – </w:t>
      </w:r>
      <w:r>
        <w:rPr>
          <w:rFonts w:hint="eastAsia"/>
          <w:sz w:val="18"/>
          <w:szCs w:val="18"/>
          <w:lang w:eastAsia="zh-CN"/>
        </w:rPr>
        <w:t>信号捕获是采用</w:t>
      </w:r>
      <w:r>
        <w:rPr>
          <w:sz w:val="18"/>
          <w:szCs w:val="18"/>
          <w:lang w:eastAsia="zh-CN"/>
        </w:rPr>
        <w:t>L1 C/A</w:t>
      </w:r>
      <w:r>
        <w:rPr>
          <w:rFonts w:hint="eastAsia"/>
          <w:sz w:val="18"/>
          <w:szCs w:val="18"/>
          <w:lang w:eastAsia="zh-CN"/>
        </w:rPr>
        <w:t>信号来完成的。见</w:t>
      </w:r>
      <w:r>
        <w:rPr>
          <w:sz w:val="18"/>
          <w:szCs w:val="18"/>
          <w:lang w:eastAsia="zh-CN"/>
        </w:rPr>
        <w:t>ITU-R M.1903</w:t>
      </w:r>
      <w:r>
        <w:rPr>
          <w:rFonts w:hint="eastAsia"/>
          <w:sz w:val="18"/>
          <w:szCs w:val="18"/>
          <w:lang w:eastAsia="zh-CN"/>
        </w:rPr>
        <w:t>建议书附件</w:t>
      </w:r>
      <w:r>
        <w:rPr>
          <w:sz w:val="18"/>
          <w:szCs w:val="18"/>
          <w:lang w:eastAsia="zh-CN"/>
        </w:rPr>
        <w:t>2</w:t>
      </w:r>
      <w:r>
        <w:rPr>
          <w:rFonts w:hint="eastAsia"/>
          <w:sz w:val="18"/>
          <w:szCs w:val="18"/>
          <w:lang w:eastAsia="zh-CN"/>
        </w:rPr>
        <w:t>表</w:t>
      </w:r>
      <w:r>
        <w:rPr>
          <w:sz w:val="18"/>
          <w:szCs w:val="18"/>
          <w:lang w:eastAsia="zh-CN"/>
        </w:rPr>
        <w:t>2-2</w:t>
      </w:r>
      <w:proofErr w:type="gramStart"/>
      <w:r>
        <w:rPr>
          <w:rFonts w:hint="eastAsia"/>
          <w:sz w:val="18"/>
          <w:szCs w:val="18"/>
          <w:lang w:eastAsia="zh-CN"/>
        </w:rPr>
        <w:t>的“</w:t>
      </w:r>
      <w:proofErr w:type="gramEnd"/>
      <w:r>
        <w:rPr>
          <w:rFonts w:hint="eastAsia"/>
          <w:sz w:val="18"/>
          <w:szCs w:val="18"/>
          <w:lang w:eastAsia="zh-CN"/>
        </w:rPr>
        <w:t>高精度”列中的适当捕获门限行。</w:t>
      </w:r>
    </w:p>
    <w:p w14:paraId="79B5F39F" w14:textId="77777777" w:rsidR="00EF5BF3" w:rsidRDefault="00551D2B" w:rsidP="003872C2">
      <w:pPr>
        <w:pStyle w:val="TableLegendNote"/>
        <w:ind w:left="284" w:hanging="284"/>
        <w:rPr>
          <w:sz w:val="18"/>
          <w:szCs w:val="18"/>
          <w:lang w:eastAsia="zh-CN"/>
        </w:rPr>
      </w:pPr>
      <w:r>
        <w:rPr>
          <w:rFonts w:hint="eastAsia"/>
          <w:sz w:val="18"/>
          <w:szCs w:val="18"/>
          <w:lang w:eastAsia="zh-CN"/>
        </w:rPr>
        <w:t>注</w:t>
      </w:r>
      <w:r>
        <w:rPr>
          <w:sz w:val="18"/>
          <w:szCs w:val="18"/>
          <w:lang w:eastAsia="zh-CN"/>
        </w:rPr>
        <w:t>6 – </w:t>
      </w:r>
      <w:r>
        <w:rPr>
          <w:rFonts w:hint="eastAsia"/>
          <w:sz w:val="18"/>
          <w:szCs w:val="18"/>
          <w:lang w:val="fr-FR" w:eastAsia="zh-CN"/>
        </w:rPr>
        <w:t>这些接收机输入饱和电平适用于相应射频滤波器的</w:t>
      </w:r>
      <w:r>
        <w:rPr>
          <w:sz w:val="18"/>
          <w:szCs w:val="18"/>
          <w:lang w:val="fr-FR" w:eastAsia="zh-CN"/>
        </w:rPr>
        <w:t>3 dB</w:t>
      </w:r>
      <w:r>
        <w:rPr>
          <w:rFonts w:hint="eastAsia"/>
          <w:sz w:val="18"/>
          <w:szCs w:val="18"/>
          <w:lang w:val="fr-FR" w:eastAsia="zh-CN"/>
        </w:rPr>
        <w:t>带宽。</w:t>
      </w:r>
    </w:p>
    <w:p w14:paraId="54500CCD" w14:textId="77777777" w:rsidR="00EF5BF3" w:rsidRDefault="00551D2B" w:rsidP="003872C2">
      <w:pPr>
        <w:pStyle w:val="TableLegendNote"/>
        <w:ind w:left="284" w:hanging="284"/>
        <w:rPr>
          <w:sz w:val="18"/>
          <w:szCs w:val="18"/>
          <w:lang w:eastAsia="zh-CN"/>
        </w:rPr>
      </w:pPr>
      <w:r>
        <w:rPr>
          <w:rFonts w:hint="eastAsia"/>
          <w:sz w:val="18"/>
          <w:szCs w:val="18"/>
          <w:lang w:eastAsia="zh-CN"/>
        </w:rPr>
        <w:t>注</w:t>
      </w:r>
      <w:r>
        <w:rPr>
          <w:sz w:val="18"/>
          <w:szCs w:val="18"/>
          <w:lang w:eastAsia="zh-CN"/>
        </w:rPr>
        <w:t>7 – </w:t>
      </w:r>
      <w:r>
        <w:rPr>
          <w:rFonts w:hint="eastAsia"/>
          <w:sz w:val="18"/>
          <w:szCs w:val="18"/>
          <w:lang w:eastAsia="zh-CN"/>
        </w:rPr>
        <w:t>生存电平是一个具有</w:t>
      </w:r>
      <w:r>
        <w:rPr>
          <w:sz w:val="18"/>
          <w:szCs w:val="18"/>
          <w:lang w:eastAsia="zh-CN"/>
        </w:rPr>
        <w:t>10%</w:t>
      </w:r>
      <w:proofErr w:type="gramStart"/>
      <w:r>
        <w:rPr>
          <w:rFonts w:hint="eastAsia"/>
          <w:sz w:val="18"/>
          <w:szCs w:val="18"/>
          <w:lang w:eastAsia="zh-CN"/>
        </w:rPr>
        <w:t>最大占空</w:t>
      </w:r>
      <w:proofErr w:type="gramEnd"/>
      <w:r>
        <w:rPr>
          <w:rFonts w:hint="eastAsia"/>
          <w:sz w:val="18"/>
          <w:szCs w:val="18"/>
          <w:lang w:eastAsia="zh-CN"/>
        </w:rPr>
        <w:t>因子的脉冲信号的峰值功率电平。</w:t>
      </w:r>
    </w:p>
    <w:p w14:paraId="1E07FFFF" w14:textId="77777777" w:rsidR="00EF5BF3" w:rsidRDefault="00551D2B" w:rsidP="003872C2">
      <w:pPr>
        <w:pStyle w:val="TableLegendNote"/>
        <w:ind w:left="284" w:hanging="284"/>
        <w:rPr>
          <w:sz w:val="18"/>
          <w:szCs w:val="18"/>
          <w:lang w:eastAsia="zh-CN"/>
        </w:rPr>
      </w:pPr>
      <w:r>
        <w:rPr>
          <w:rFonts w:hint="eastAsia"/>
          <w:sz w:val="18"/>
          <w:szCs w:val="18"/>
          <w:lang w:eastAsia="zh-CN"/>
        </w:rPr>
        <w:t>注</w:t>
      </w:r>
      <w:r>
        <w:rPr>
          <w:sz w:val="18"/>
          <w:szCs w:val="18"/>
          <w:lang w:eastAsia="zh-CN"/>
        </w:rPr>
        <w:t>8 – </w:t>
      </w:r>
      <w:r>
        <w:rPr>
          <w:rFonts w:hint="eastAsia"/>
          <w:sz w:val="18"/>
          <w:szCs w:val="18"/>
          <w:lang w:eastAsia="zh-CN"/>
        </w:rPr>
        <w:t>此接收机类型同时工作在多个</w:t>
      </w:r>
      <w:r>
        <w:rPr>
          <w:sz w:val="18"/>
          <w:szCs w:val="18"/>
          <w:lang w:eastAsia="zh-CN"/>
        </w:rPr>
        <w:t>RNSS</w:t>
      </w:r>
      <w:r>
        <w:rPr>
          <w:rFonts w:hint="eastAsia"/>
          <w:sz w:val="18"/>
          <w:szCs w:val="18"/>
          <w:lang w:eastAsia="zh-CN"/>
        </w:rPr>
        <w:t>信号载频上。这些载频由</w:t>
      </w:r>
      <w:r>
        <w:rPr>
          <w:i/>
          <w:sz w:val="18"/>
          <w:szCs w:val="18"/>
          <w:lang w:eastAsia="zh-CN"/>
        </w:rPr>
        <w:t>f</w:t>
      </w:r>
      <w:r>
        <w:rPr>
          <w:i/>
          <w:sz w:val="18"/>
          <w:szCs w:val="18"/>
          <w:vertAlign w:val="subscript"/>
          <w:lang w:eastAsia="zh-CN"/>
        </w:rPr>
        <w:t>c</w:t>
      </w:r>
      <w:r>
        <w:rPr>
          <w:sz w:val="18"/>
          <w:szCs w:val="18"/>
          <w:lang w:eastAsia="zh-CN"/>
        </w:rPr>
        <w:t> </w:t>
      </w:r>
      <w:r>
        <w:rPr>
          <w:sz w:val="18"/>
          <w:szCs w:val="18"/>
          <w:lang w:eastAsia="zh-CN"/>
        </w:rPr>
        <w:t>（</w:t>
      </w:r>
      <w:r>
        <w:rPr>
          <w:sz w:val="18"/>
          <w:szCs w:val="18"/>
          <w:lang w:eastAsia="zh-CN"/>
        </w:rPr>
        <w:t>MHz</w:t>
      </w:r>
      <w:r>
        <w:rPr>
          <w:sz w:val="18"/>
          <w:szCs w:val="18"/>
          <w:lang w:eastAsia="zh-CN"/>
        </w:rPr>
        <w:t>）</w:t>
      </w:r>
      <w:r>
        <w:rPr>
          <w:sz w:val="18"/>
          <w:szCs w:val="18"/>
          <w:lang w:eastAsia="zh-CN"/>
        </w:rPr>
        <w:t> = 1 246.0 + 0.4375</w:t>
      </w:r>
      <w:r>
        <w:rPr>
          <w:i/>
          <w:iCs/>
          <w:sz w:val="18"/>
          <w:szCs w:val="18"/>
          <w:lang w:eastAsia="zh-CN"/>
        </w:rPr>
        <w:t>K</w:t>
      </w:r>
      <w:r>
        <w:rPr>
          <w:rFonts w:hint="eastAsia"/>
          <w:sz w:val="18"/>
          <w:szCs w:val="18"/>
          <w:lang w:eastAsia="zh-CN"/>
        </w:rPr>
        <w:t>规定，此处，</w:t>
      </w:r>
      <w:r>
        <w:rPr>
          <w:i/>
          <w:iCs/>
          <w:sz w:val="18"/>
          <w:szCs w:val="18"/>
          <w:lang w:eastAsia="zh-CN"/>
        </w:rPr>
        <w:t>K</w:t>
      </w:r>
      <w:r>
        <w:rPr>
          <w:sz w:val="18"/>
          <w:szCs w:val="18"/>
          <w:lang w:eastAsia="zh-CN"/>
        </w:rPr>
        <w:t> = −7</w:t>
      </w:r>
      <w:r>
        <w:rPr>
          <w:rFonts w:hint="eastAsia"/>
          <w:sz w:val="18"/>
          <w:szCs w:val="18"/>
          <w:lang w:eastAsia="zh-CN"/>
        </w:rPr>
        <w:t xml:space="preserve"> </w:t>
      </w:r>
      <w:r>
        <w:rPr>
          <w:rFonts w:hint="eastAsia"/>
          <w:sz w:val="18"/>
          <w:szCs w:val="18"/>
          <w:lang w:eastAsia="zh-CN"/>
        </w:rPr>
        <w:t>至</w:t>
      </w:r>
      <w:r>
        <w:rPr>
          <w:sz w:val="18"/>
          <w:szCs w:val="18"/>
          <w:lang w:eastAsia="zh-CN"/>
        </w:rPr>
        <w:t xml:space="preserve"> +6</w:t>
      </w:r>
      <w:r>
        <w:rPr>
          <w:rFonts w:hint="eastAsia"/>
          <w:sz w:val="18"/>
          <w:szCs w:val="18"/>
          <w:lang w:eastAsia="zh-CN"/>
        </w:rPr>
        <w:t>。</w:t>
      </w:r>
    </w:p>
    <w:p w14:paraId="33F4A637" w14:textId="77777777" w:rsidR="00EF5BF3" w:rsidRDefault="00551D2B" w:rsidP="003872C2">
      <w:pPr>
        <w:pStyle w:val="TableLegendNote"/>
        <w:ind w:left="284" w:hanging="284"/>
        <w:rPr>
          <w:sz w:val="18"/>
          <w:szCs w:val="18"/>
          <w:lang w:eastAsia="zh-CN"/>
        </w:rPr>
      </w:pPr>
      <w:r>
        <w:rPr>
          <w:rFonts w:hint="eastAsia"/>
          <w:sz w:val="18"/>
          <w:szCs w:val="18"/>
          <w:lang w:eastAsia="zh-CN"/>
        </w:rPr>
        <w:t>注</w:t>
      </w:r>
      <w:r>
        <w:rPr>
          <w:sz w:val="18"/>
          <w:szCs w:val="18"/>
          <w:lang w:eastAsia="zh-CN"/>
        </w:rPr>
        <w:t>9 – </w:t>
      </w:r>
      <w:r>
        <w:rPr>
          <w:rFonts w:hint="eastAsia"/>
          <w:sz w:val="18"/>
          <w:szCs w:val="18"/>
          <w:lang w:eastAsia="zh-CN"/>
        </w:rPr>
        <w:t>此门限应该考虑所有干扰的集合功率。该门限值不包括任何安全余量。</w:t>
      </w:r>
    </w:p>
    <w:p w14:paraId="4B9957E2" w14:textId="77777777" w:rsidR="00EF5BF3" w:rsidRDefault="00551D2B" w:rsidP="003872C2">
      <w:pPr>
        <w:pStyle w:val="TableLegendNote"/>
        <w:ind w:left="284" w:hanging="284"/>
        <w:rPr>
          <w:sz w:val="18"/>
          <w:szCs w:val="18"/>
          <w:lang w:eastAsia="zh-CN"/>
        </w:rPr>
      </w:pPr>
      <w:r>
        <w:rPr>
          <w:rFonts w:hint="eastAsia"/>
          <w:sz w:val="18"/>
          <w:szCs w:val="18"/>
          <w:lang w:eastAsia="zh-CN"/>
        </w:rPr>
        <w:t>注</w:t>
      </w:r>
      <w:r>
        <w:rPr>
          <w:sz w:val="18"/>
          <w:szCs w:val="18"/>
          <w:lang w:eastAsia="zh-CN"/>
        </w:rPr>
        <w:t>10 – </w:t>
      </w:r>
      <w:r>
        <w:rPr>
          <w:rFonts w:hint="eastAsia"/>
          <w:sz w:val="18"/>
          <w:szCs w:val="18"/>
          <w:lang w:eastAsia="zh-CN"/>
        </w:rPr>
        <w:t>给出的数值表示接收机的典型值。在一定条件下，可以对一些参数要求更为严格的数值（例如，过载后对恢复时间、集合干扰的门限值等）。</w:t>
      </w:r>
    </w:p>
    <w:p w14:paraId="54CD5304" w14:textId="77777777" w:rsidR="00EF5BF3" w:rsidRDefault="00551D2B" w:rsidP="003872C2">
      <w:pPr>
        <w:pStyle w:val="TableLegendNote"/>
        <w:ind w:left="284" w:hanging="284"/>
        <w:rPr>
          <w:sz w:val="18"/>
          <w:szCs w:val="18"/>
          <w:lang w:eastAsia="zh-CN"/>
        </w:rPr>
      </w:pPr>
      <w:r>
        <w:rPr>
          <w:rFonts w:hint="eastAsia"/>
          <w:sz w:val="18"/>
          <w:szCs w:val="18"/>
          <w:lang w:eastAsia="zh-CN"/>
        </w:rPr>
        <w:t>注</w:t>
      </w:r>
      <w:r>
        <w:rPr>
          <w:sz w:val="18"/>
          <w:szCs w:val="18"/>
          <w:lang w:eastAsia="zh-CN"/>
        </w:rPr>
        <w:t>11 – </w:t>
      </w:r>
      <w:r>
        <w:rPr>
          <w:rFonts w:hint="eastAsia"/>
          <w:sz w:val="18"/>
          <w:szCs w:val="18"/>
          <w:lang w:eastAsia="zh-CN"/>
        </w:rPr>
        <w:t>在</w:t>
      </w:r>
      <w:r>
        <w:rPr>
          <w:sz w:val="18"/>
          <w:szCs w:val="18"/>
          <w:lang w:eastAsia="zh-CN"/>
        </w:rPr>
        <w:t>5</w:t>
      </w:r>
      <w:r>
        <w:rPr>
          <w:rFonts w:hint="eastAsia"/>
          <w:sz w:val="18"/>
          <w:szCs w:val="18"/>
          <w:lang w:eastAsia="zh-CN"/>
        </w:rPr>
        <w:t>度仰角的最小接收机天线增益为</w:t>
      </w:r>
      <w:r>
        <w:rPr>
          <w:sz w:val="18"/>
          <w:szCs w:val="18"/>
          <w:lang w:eastAsia="zh-CN"/>
        </w:rPr>
        <w:t>−5.5 </w:t>
      </w:r>
      <w:proofErr w:type="spellStart"/>
      <w:r>
        <w:rPr>
          <w:sz w:val="18"/>
          <w:szCs w:val="18"/>
          <w:lang w:eastAsia="zh-CN"/>
        </w:rPr>
        <w:t>dBi</w:t>
      </w:r>
      <w:proofErr w:type="spellEnd"/>
      <w:r>
        <w:rPr>
          <w:rFonts w:hint="eastAsia"/>
          <w:sz w:val="18"/>
          <w:szCs w:val="18"/>
          <w:lang w:eastAsia="zh-CN"/>
        </w:rPr>
        <w:t>。</w:t>
      </w:r>
    </w:p>
    <w:p w14:paraId="63F69917" w14:textId="77777777" w:rsidR="00EF5BF3" w:rsidRDefault="00551D2B" w:rsidP="003872C2">
      <w:pPr>
        <w:pStyle w:val="TableLegendNote"/>
        <w:ind w:left="284" w:hanging="284"/>
        <w:rPr>
          <w:color w:val="000000"/>
          <w:sz w:val="18"/>
          <w:szCs w:val="18"/>
          <w:lang w:eastAsia="zh-CN"/>
        </w:rPr>
      </w:pPr>
      <w:r>
        <w:rPr>
          <w:rFonts w:hint="eastAsia"/>
          <w:sz w:val="18"/>
          <w:szCs w:val="18"/>
          <w:lang w:eastAsia="ja-JP"/>
        </w:rPr>
        <w:t>注</w:t>
      </w:r>
      <w:r>
        <w:rPr>
          <w:sz w:val="18"/>
          <w:szCs w:val="18"/>
          <w:lang w:eastAsia="ja-JP"/>
        </w:rPr>
        <w:t>12 – </w:t>
      </w:r>
      <w:r>
        <w:rPr>
          <w:rFonts w:hint="eastAsia"/>
          <w:sz w:val="18"/>
          <w:szCs w:val="18"/>
          <w:lang w:eastAsia="zh-CN"/>
        </w:rPr>
        <w:t>因为在一些</w:t>
      </w:r>
      <w:r>
        <w:rPr>
          <w:sz w:val="18"/>
          <w:szCs w:val="18"/>
          <w:lang w:eastAsia="zh-CN"/>
        </w:rPr>
        <w:t>RNSS</w:t>
      </w:r>
      <w:r>
        <w:rPr>
          <w:rFonts w:hint="eastAsia"/>
          <w:sz w:val="18"/>
          <w:szCs w:val="18"/>
          <w:lang w:eastAsia="zh-CN"/>
        </w:rPr>
        <w:t>接收机应用中的天线潜在地能够几乎指向任何方向</w:t>
      </w:r>
      <w:r>
        <w:rPr>
          <w:rFonts w:hint="eastAsia"/>
          <w:color w:val="000000"/>
          <w:sz w:val="18"/>
          <w:szCs w:val="18"/>
          <w:lang w:eastAsia="zh-CN"/>
        </w:rPr>
        <w:t>，下半球最大天线增益能够</w:t>
      </w:r>
      <w:r>
        <w:rPr>
          <w:rFonts w:hint="eastAsia"/>
          <w:color w:val="000000"/>
          <w:sz w:val="18"/>
          <w:szCs w:val="18"/>
          <w:lang w:eastAsia="ja-JP"/>
        </w:rPr>
        <w:t>（</w:t>
      </w:r>
      <w:r>
        <w:rPr>
          <w:rFonts w:hint="eastAsia"/>
          <w:color w:val="000000"/>
          <w:sz w:val="18"/>
          <w:szCs w:val="18"/>
          <w:lang w:eastAsia="zh-CN"/>
        </w:rPr>
        <w:t>在最差情况的条件下</w:t>
      </w:r>
      <w:r>
        <w:rPr>
          <w:rFonts w:hint="eastAsia"/>
          <w:color w:val="000000"/>
          <w:sz w:val="18"/>
          <w:szCs w:val="18"/>
          <w:lang w:eastAsia="ja-JP"/>
        </w:rPr>
        <w:t>）</w:t>
      </w:r>
      <w:r>
        <w:rPr>
          <w:rFonts w:hint="eastAsia"/>
          <w:color w:val="000000"/>
          <w:sz w:val="18"/>
          <w:szCs w:val="18"/>
          <w:lang w:eastAsia="zh-CN"/>
        </w:rPr>
        <w:t>等于上半球的。</w:t>
      </w:r>
    </w:p>
    <w:p w14:paraId="065C02FE" w14:textId="77777777" w:rsidR="00EF5BF3" w:rsidRDefault="00551D2B" w:rsidP="003872C2">
      <w:pPr>
        <w:pStyle w:val="Tablelegend"/>
        <w:ind w:hanging="284"/>
        <w:rPr>
          <w:sz w:val="18"/>
          <w:szCs w:val="18"/>
          <w:lang w:val="en-US" w:eastAsia="zh-CN"/>
        </w:rPr>
      </w:pPr>
      <w:r>
        <w:rPr>
          <w:rFonts w:hint="eastAsia"/>
          <w:sz w:val="18"/>
          <w:szCs w:val="18"/>
          <w:lang w:val="en-US" w:eastAsia="zh-CN"/>
        </w:rPr>
        <w:t>注</w:t>
      </w:r>
      <w:r>
        <w:rPr>
          <w:rFonts w:hint="eastAsia"/>
          <w:sz w:val="18"/>
          <w:szCs w:val="18"/>
          <w:lang w:val="en-US" w:eastAsia="zh-CN"/>
        </w:rPr>
        <w:t>13</w:t>
      </w:r>
      <w:r>
        <w:rPr>
          <w:sz w:val="18"/>
          <w:szCs w:val="18"/>
          <w:lang w:val="en-US" w:eastAsia="zh-CN"/>
        </w:rPr>
        <w:t xml:space="preserve"> </w:t>
      </w:r>
      <w:r>
        <w:rPr>
          <w:sz w:val="18"/>
          <w:szCs w:val="18"/>
          <w:lang w:eastAsia="zh-CN"/>
        </w:rPr>
        <w:t xml:space="preserve">– </w:t>
      </w:r>
      <w:r>
        <w:rPr>
          <w:rFonts w:hint="eastAsia"/>
          <w:sz w:val="18"/>
          <w:szCs w:val="18"/>
          <w:lang w:val="en-US" w:eastAsia="zh-CN"/>
        </w:rPr>
        <w:t>该接收机输入饱和电平适用于</w:t>
      </w:r>
      <w:r>
        <w:rPr>
          <w:rFonts w:hint="eastAsia"/>
          <w:sz w:val="18"/>
          <w:szCs w:val="18"/>
          <w:lang w:val="en-US" w:eastAsia="zh-CN"/>
        </w:rPr>
        <w:t>1</w:t>
      </w:r>
      <w:r>
        <w:rPr>
          <w:sz w:val="18"/>
          <w:szCs w:val="18"/>
          <w:lang w:eastAsia="ru-RU"/>
        </w:rPr>
        <w:t xml:space="preserve"> MHz</w:t>
      </w:r>
      <w:r>
        <w:rPr>
          <w:rFonts w:hint="eastAsia"/>
          <w:sz w:val="18"/>
          <w:szCs w:val="18"/>
          <w:lang w:val="en-US" w:eastAsia="zh-CN"/>
        </w:rPr>
        <w:t>带宽内的功率。</w:t>
      </w:r>
    </w:p>
    <w:p w14:paraId="12EB7283" w14:textId="77777777" w:rsidR="00EF5BF3" w:rsidRDefault="00551D2B" w:rsidP="003872C2">
      <w:pPr>
        <w:pStyle w:val="Tablelegend"/>
        <w:ind w:hanging="284"/>
        <w:rPr>
          <w:sz w:val="18"/>
          <w:szCs w:val="18"/>
          <w:lang w:val="en-GB" w:eastAsia="ru-RU"/>
        </w:rPr>
      </w:pPr>
      <w:r>
        <w:rPr>
          <w:rFonts w:hint="eastAsia"/>
          <w:sz w:val="18"/>
          <w:szCs w:val="18"/>
          <w:lang w:val="en-US" w:eastAsia="zh-CN"/>
        </w:rPr>
        <w:t>注</w:t>
      </w:r>
      <w:r>
        <w:rPr>
          <w:rFonts w:hint="eastAsia"/>
          <w:sz w:val="18"/>
          <w:szCs w:val="18"/>
          <w:lang w:val="en-US" w:eastAsia="zh-CN"/>
        </w:rPr>
        <w:t>1</w:t>
      </w:r>
      <w:r>
        <w:rPr>
          <w:sz w:val="18"/>
          <w:szCs w:val="18"/>
          <w:lang w:val="en-US" w:eastAsia="zh-CN"/>
        </w:rPr>
        <w:t xml:space="preserve">4 </w:t>
      </w:r>
      <w:r>
        <w:rPr>
          <w:sz w:val="18"/>
          <w:szCs w:val="18"/>
          <w:lang w:eastAsia="zh-CN"/>
        </w:rPr>
        <w:t xml:space="preserve">– </w:t>
      </w:r>
      <w:r>
        <w:rPr>
          <w:rFonts w:hint="eastAsia"/>
          <w:sz w:val="18"/>
          <w:szCs w:val="18"/>
          <w:lang w:val="en-US" w:eastAsia="zh-CN"/>
        </w:rPr>
        <w:t>这些行中的值将结合</w:t>
      </w:r>
      <w:r>
        <w:rPr>
          <w:rFonts w:hint="eastAsia"/>
          <w:sz w:val="18"/>
          <w:szCs w:val="18"/>
          <w:lang w:val="en-US" w:eastAsia="zh-CN"/>
        </w:rPr>
        <w:t>ITU-R M.2030</w:t>
      </w:r>
      <w:r>
        <w:rPr>
          <w:rFonts w:hint="eastAsia"/>
          <w:sz w:val="18"/>
          <w:szCs w:val="18"/>
          <w:lang w:val="en-US" w:eastAsia="zh-CN"/>
        </w:rPr>
        <w:t>建议书中给出的方法，用于评估脉冲源干扰。</w:t>
      </w:r>
    </w:p>
    <w:p w14:paraId="6D94D3D1" w14:textId="7E3C4803" w:rsidR="00EF5BF3" w:rsidRDefault="00551D2B" w:rsidP="003872C2">
      <w:pPr>
        <w:pStyle w:val="Tablelegend"/>
        <w:ind w:hanging="284"/>
        <w:rPr>
          <w:rFonts w:eastAsia="Times New Roman"/>
          <w:sz w:val="18"/>
          <w:szCs w:val="18"/>
          <w:lang w:val="en-GB" w:eastAsia="ru-RU"/>
        </w:rPr>
      </w:pPr>
      <w:r>
        <w:rPr>
          <w:rFonts w:eastAsia="Times New Roman" w:hint="eastAsia"/>
          <w:sz w:val="18"/>
          <w:szCs w:val="18"/>
          <w:lang w:val="en-GB" w:eastAsia="ru-RU"/>
        </w:rPr>
        <w:t>注15</w:t>
      </w:r>
      <w:r w:rsidR="003872C2">
        <w:rPr>
          <w:sz w:val="18"/>
          <w:szCs w:val="18"/>
          <w:lang w:val="en-US" w:eastAsia="zh-CN"/>
        </w:rPr>
        <w:t xml:space="preserve"> </w:t>
      </w:r>
      <w:r w:rsidR="003872C2">
        <w:rPr>
          <w:sz w:val="18"/>
          <w:szCs w:val="18"/>
          <w:lang w:eastAsia="zh-CN"/>
        </w:rPr>
        <w:t xml:space="preserve">– </w:t>
      </w:r>
      <w:r>
        <w:rPr>
          <w:rFonts w:eastAsia="Times New Roman" w:hint="eastAsia"/>
          <w:sz w:val="18"/>
          <w:szCs w:val="18"/>
          <w:lang w:val="en-GB" w:eastAsia="ru-RU"/>
        </w:rPr>
        <w:t>最大下半球增益值适用于5°仰角。</w:t>
      </w:r>
    </w:p>
    <w:p w14:paraId="77A5C108" w14:textId="231D1E64" w:rsidR="007D0163" w:rsidRDefault="007D0163" w:rsidP="003872C2">
      <w:pPr>
        <w:pStyle w:val="Tablelegend"/>
        <w:keepNext/>
        <w:keepLines/>
        <w:ind w:hanging="284"/>
        <w:rPr>
          <w:rFonts w:eastAsia="Times New Roman"/>
          <w:sz w:val="18"/>
          <w:szCs w:val="18"/>
          <w:lang w:val="en-GB" w:eastAsia="ru-RU"/>
        </w:rPr>
      </w:pPr>
      <w:r>
        <w:rPr>
          <w:rFonts w:ascii="STKaiti" w:eastAsia="STKaiti" w:hAnsi="STKaiti" w:hint="eastAsia"/>
          <w:sz w:val="18"/>
          <w:szCs w:val="18"/>
          <w:lang w:eastAsia="zh-CN"/>
        </w:rPr>
        <w:lastRenderedPageBreak/>
        <w:t>表1的注</w:t>
      </w:r>
      <w:r w:rsidRPr="007D0163">
        <w:rPr>
          <w:rFonts w:ascii="SimSun" w:hAnsi="SimSun" w:hint="eastAsia"/>
          <w:sz w:val="18"/>
          <w:szCs w:val="18"/>
          <w:lang w:eastAsia="zh-CN"/>
        </w:rPr>
        <w:t>（</w:t>
      </w:r>
      <w:r>
        <w:rPr>
          <w:rFonts w:ascii="STKaiti" w:eastAsia="STKaiti" w:hAnsi="STKaiti" w:hint="eastAsia"/>
          <w:sz w:val="18"/>
          <w:szCs w:val="18"/>
          <w:lang w:eastAsia="zh-CN"/>
        </w:rPr>
        <w:t>完</w:t>
      </w:r>
      <w:r w:rsidRPr="007D0163">
        <w:rPr>
          <w:rFonts w:asciiTheme="minorEastAsia" w:eastAsiaTheme="minorEastAsia" w:hAnsiTheme="minorEastAsia" w:hint="eastAsia"/>
          <w:sz w:val="18"/>
          <w:szCs w:val="18"/>
          <w:lang w:eastAsia="zh-CN"/>
        </w:rPr>
        <w:t>）</w:t>
      </w:r>
      <w:r w:rsidRPr="007D0163">
        <w:rPr>
          <w:rFonts w:ascii="SimSun" w:hAnsi="SimSun" w:hint="eastAsia"/>
          <w:sz w:val="18"/>
          <w:szCs w:val="18"/>
          <w:lang w:eastAsia="zh-CN"/>
        </w:rPr>
        <w:t>：</w:t>
      </w:r>
    </w:p>
    <w:p w14:paraId="018EFD07" w14:textId="71B63F42" w:rsidR="00EF5BF3" w:rsidRDefault="00551D2B" w:rsidP="003872C2">
      <w:pPr>
        <w:pStyle w:val="Tablelegend"/>
        <w:keepNext/>
        <w:keepLines/>
        <w:ind w:hanging="284"/>
        <w:rPr>
          <w:rFonts w:eastAsia="Times New Roman"/>
          <w:sz w:val="18"/>
          <w:szCs w:val="18"/>
          <w:lang w:val="en-GB" w:eastAsia="ru-RU"/>
        </w:rPr>
      </w:pPr>
      <w:r>
        <w:rPr>
          <w:rFonts w:eastAsia="Times New Roman" w:hint="eastAsia"/>
          <w:sz w:val="18"/>
          <w:szCs w:val="18"/>
          <w:lang w:val="en-GB" w:eastAsia="ru-RU"/>
        </w:rPr>
        <w:t>注16</w:t>
      </w:r>
      <w:r w:rsidR="003872C2">
        <w:rPr>
          <w:sz w:val="18"/>
          <w:szCs w:val="18"/>
          <w:lang w:val="en-US" w:eastAsia="zh-CN"/>
        </w:rPr>
        <w:t xml:space="preserve"> </w:t>
      </w:r>
      <w:r w:rsidR="003872C2">
        <w:rPr>
          <w:sz w:val="18"/>
          <w:szCs w:val="18"/>
          <w:lang w:eastAsia="zh-CN"/>
        </w:rPr>
        <w:t xml:space="preserve">– </w:t>
      </w:r>
      <w:r>
        <w:rPr>
          <w:rFonts w:eastAsia="Times New Roman" w:hint="eastAsia"/>
          <w:sz w:val="18"/>
          <w:szCs w:val="18"/>
          <w:lang w:val="en-GB" w:eastAsia="ru-RU"/>
        </w:rPr>
        <w:t xml:space="preserve">窄带连续干扰被视为带宽小于128 kHz。宽带连续干扰被认为具有大于1 MHz的带宽。带宽在128 kHz和1 </w:t>
      </w:r>
      <w:proofErr w:type="spellStart"/>
      <w:r>
        <w:rPr>
          <w:rFonts w:eastAsia="Times New Roman" w:hint="eastAsia"/>
          <w:sz w:val="18"/>
          <w:szCs w:val="18"/>
          <w:lang w:val="en-GB" w:eastAsia="ru-RU"/>
        </w:rPr>
        <w:t>MHz之间的干扰阈值可能需要进一步研究</w:t>
      </w:r>
      <w:proofErr w:type="spellEnd"/>
      <w:r>
        <w:rPr>
          <w:rFonts w:eastAsia="Times New Roman" w:hint="eastAsia"/>
          <w:sz w:val="18"/>
          <w:szCs w:val="18"/>
          <w:lang w:val="en-GB" w:eastAsia="ru-RU"/>
        </w:rPr>
        <w:t>。</w:t>
      </w:r>
    </w:p>
    <w:p w14:paraId="658DB202" w14:textId="56869FD8" w:rsidR="00EF5BF3" w:rsidRDefault="00551D2B" w:rsidP="003872C2">
      <w:pPr>
        <w:pStyle w:val="Tablelegend"/>
        <w:keepNext/>
        <w:keepLines/>
        <w:tabs>
          <w:tab w:val="clear" w:pos="284"/>
        </w:tabs>
        <w:ind w:left="0" w:firstLineChars="7" w:firstLine="13"/>
        <w:jc w:val="left"/>
        <w:rPr>
          <w:rFonts w:eastAsia="Times New Roman"/>
          <w:sz w:val="18"/>
          <w:szCs w:val="18"/>
          <w:lang w:val="en-GB" w:eastAsia="ru-RU"/>
        </w:rPr>
      </w:pPr>
      <w:r>
        <w:rPr>
          <w:rFonts w:eastAsia="Times New Roman" w:hint="eastAsia"/>
          <w:sz w:val="18"/>
          <w:szCs w:val="18"/>
          <w:lang w:val="en-GB" w:eastAsia="ru-RU"/>
        </w:rPr>
        <w:t>注17</w:t>
      </w:r>
      <w:r w:rsidR="003872C2">
        <w:rPr>
          <w:sz w:val="18"/>
          <w:szCs w:val="18"/>
          <w:lang w:val="en-US" w:eastAsia="zh-CN"/>
        </w:rPr>
        <w:t xml:space="preserve"> </w:t>
      </w:r>
      <w:r w:rsidR="003872C2">
        <w:rPr>
          <w:sz w:val="18"/>
          <w:szCs w:val="18"/>
          <w:lang w:eastAsia="zh-CN"/>
        </w:rPr>
        <w:t xml:space="preserve">– </w:t>
      </w:r>
      <w:r>
        <w:rPr>
          <w:rFonts w:eastAsia="Times New Roman" w:hint="eastAsia"/>
          <w:sz w:val="18"/>
          <w:szCs w:val="18"/>
          <w:lang w:val="en-GB" w:eastAsia="ru-RU"/>
        </w:rPr>
        <w:t>对于E6-BC，使用E1-BC信号进行信号采集。参见ITU</w:t>
      </w:r>
      <w:r>
        <w:rPr>
          <w:rFonts w:eastAsia="Times New Roman" w:hint="eastAsia"/>
          <w:sz w:val="18"/>
          <w:szCs w:val="18"/>
          <w:lang w:val="en-GB" w:eastAsia="ru-RU"/>
        </w:rPr>
        <w:noBreakHyphen/>
        <w:t>R M.1903建议</w:t>
      </w:r>
      <w:r>
        <w:rPr>
          <w:rFonts w:hint="eastAsia"/>
          <w:sz w:val="18"/>
          <w:szCs w:val="18"/>
          <w:lang w:val="en-US" w:eastAsia="zh-CN"/>
        </w:rPr>
        <w:t>书附件</w:t>
      </w:r>
      <w:r>
        <w:rPr>
          <w:rFonts w:eastAsia="Times New Roman" w:hint="eastAsia"/>
          <w:sz w:val="18"/>
          <w:szCs w:val="18"/>
          <w:lang w:val="en-GB" w:eastAsia="ru-RU"/>
        </w:rPr>
        <w:t>2表2</w:t>
      </w:r>
      <w:r>
        <w:rPr>
          <w:rFonts w:eastAsia="Times New Roman" w:hint="eastAsia"/>
          <w:sz w:val="18"/>
          <w:szCs w:val="18"/>
          <w:lang w:val="en-GB" w:eastAsia="ru-RU"/>
        </w:rPr>
        <w:noBreakHyphen/>
        <w:t>2</w:t>
      </w:r>
      <w:r>
        <w:rPr>
          <w:rFonts w:hint="eastAsia"/>
          <w:sz w:val="18"/>
          <w:szCs w:val="18"/>
          <w:lang w:val="en-GB" w:eastAsia="zh-CN"/>
        </w:rPr>
        <w:t>“</w:t>
      </w:r>
      <w:proofErr w:type="spellStart"/>
      <w:r>
        <w:rPr>
          <w:rFonts w:eastAsia="Times New Roman" w:hint="eastAsia"/>
          <w:sz w:val="18"/>
          <w:szCs w:val="18"/>
          <w:lang w:val="en-GB" w:eastAsia="ru-RU"/>
        </w:rPr>
        <w:t>高精度</w:t>
      </w:r>
      <w:proofErr w:type="spellEnd"/>
      <w:r>
        <w:rPr>
          <w:rFonts w:hint="eastAsia"/>
          <w:sz w:val="18"/>
          <w:szCs w:val="18"/>
          <w:lang w:val="en-GB" w:eastAsia="zh-CN"/>
        </w:rPr>
        <w:t>”</w:t>
      </w:r>
      <w:r>
        <w:rPr>
          <w:rFonts w:hint="eastAsia"/>
          <w:sz w:val="18"/>
          <w:szCs w:val="18"/>
          <w:lang w:val="en-US" w:eastAsia="zh-CN"/>
        </w:rPr>
        <w:t>列</w:t>
      </w:r>
      <w:r>
        <w:rPr>
          <w:rFonts w:eastAsia="Times New Roman" w:hint="eastAsia"/>
          <w:sz w:val="18"/>
          <w:szCs w:val="18"/>
          <w:lang w:val="en-GB" w:eastAsia="ru-RU"/>
        </w:rPr>
        <w:t>中适当的采集阈值行。对于L6信号，一些接收机使用L1频</w:t>
      </w:r>
      <w:r>
        <w:rPr>
          <w:rFonts w:hint="eastAsia"/>
          <w:sz w:val="18"/>
          <w:szCs w:val="18"/>
          <w:lang w:val="en-US" w:eastAsia="zh-CN"/>
        </w:rPr>
        <w:t>段内</w:t>
      </w:r>
      <w:r>
        <w:rPr>
          <w:rFonts w:eastAsia="Times New Roman" w:hint="eastAsia"/>
          <w:sz w:val="18"/>
          <w:szCs w:val="18"/>
          <w:lang w:val="en-GB" w:eastAsia="ru-RU"/>
        </w:rPr>
        <w:t>的信号来执行信号捕获，而其他接收机预期捕获模式的阈值比跟踪模式的阈值小6 dB。</w:t>
      </w:r>
    </w:p>
    <w:p w14:paraId="07F2E6F9" w14:textId="646EADA7" w:rsidR="00EF5BF3" w:rsidRDefault="00551D2B" w:rsidP="003872C2">
      <w:pPr>
        <w:pStyle w:val="Tablelegend"/>
        <w:keepNext/>
        <w:keepLines/>
        <w:ind w:hanging="284"/>
        <w:rPr>
          <w:rFonts w:eastAsia="Times New Roman"/>
          <w:sz w:val="18"/>
          <w:szCs w:val="18"/>
          <w:lang w:val="en-GB" w:eastAsia="ru-RU"/>
        </w:rPr>
      </w:pPr>
      <w:r>
        <w:rPr>
          <w:rFonts w:eastAsia="Times New Roman" w:hint="eastAsia"/>
          <w:sz w:val="18"/>
          <w:szCs w:val="18"/>
          <w:lang w:val="en-GB" w:eastAsia="ru-RU"/>
        </w:rPr>
        <w:t>注18</w:t>
      </w:r>
      <w:r w:rsidR="003872C2">
        <w:rPr>
          <w:sz w:val="18"/>
          <w:szCs w:val="18"/>
          <w:lang w:val="en-US" w:eastAsia="zh-CN"/>
        </w:rPr>
        <w:t xml:space="preserve"> </w:t>
      </w:r>
      <w:r w:rsidR="003872C2">
        <w:rPr>
          <w:sz w:val="18"/>
          <w:szCs w:val="18"/>
          <w:lang w:eastAsia="zh-CN"/>
        </w:rPr>
        <w:t xml:space="preserve">– </w:t>
      </w:r>
      <w:r>
        <w:rPr>
          <w:rFonts w:eastAsia="Times New Roman" w:hint="eastAsia"/>
          <w:sz w:val="18"/>
          <w:szCs w:val="18"/>
          <w:lang w:val="en-GB" w:eastAsia="ru-RU"/>
        </w:rPr>
        <w:t>40.92 MHz带宽用于E6-BC接收机，42.0 MHz带宽用于L6接收机。E6-BC接收机的噪声温度为722 K，L6接收机的噪声温度为645 K。</w:t>
      </w:r>
    </w:p>
    <w:p w14:paraId="0508C1FA" w14:textId="77777777" w:rsidR="003872C2" w:rsidRPr="003872C2" w:rsidRDefault="003872C2" w:rsidP="003872C2">
      <w:pPr>
        <w:rPr>
          <w:lang w:eastAsia="zh-CN"/>
        </w:rPr>
      </w:pPr>
    </w:p>
    <w:p w14:paraId="0C93A126" w14:textId="77777777" w:rsidR="00EF5BF3" w:rsidRDefault="00551D2B">
      <w:pPr>
        <w:jc w:val="center"/>
        <w:rPr>
          <w:lang w:val="en-GB"/>
        </w:rPr>
      </w:pPr>
      <w:r>
        <w:rPr>
          <w:lang w:val="en-GB"/>
        </w:rPr>
        <w:t>______________</w:t>
      </w:r>
    </w:p>
    <w:sectPr w:rsidR="00EF5BF3">
      <w:headerReference w:type="even" r:id="rId31"/>
      <w:headerReference w:type="default" r:id="rId32"/>
      <w:headerReference w:type="first" r:id="rId33"/>
      <w:pgSz w:w="16834" w:h="11907" w:orient="landscape"/>
      <w:pgMar w:top="1134" w:right="1418" w:bottom="1134" w:left="1134" w:header="720" w:footer="482"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EA16D" w14:textId="77777777" w:rsidR="00DC268E" w:rsidRDefault="00551D2B">
      <w:pPr>
        <w:spacing w:before="0"/>
      </w:pPr>
      <w:r>
        <w:separator/>
      </w:r>
    </w:p>
  </w:endnote>
  <w:endnote w:type="continuationSeparator" w:id="0">
    <w:p w14:paraId="0C8EDA30" w14:textId="77777777" w:rsidR="00DC268E" w:rsidRDefault="00551D2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STKaiti">
    <w:altName w:val="华文楷体"/>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23A8" w14:textId="0E594523" w:rsidR="00EF5BF3" w:rsidRPr="00551D2B" w:rsidRDefault="00EF5BF3" w:rsidP="00551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0FD5" w14:textId="5CB79471" w:rsidR="00EF5BF3" w:rsidRPr="00551D2B" w:rsidRDefault="00EF5BF3" w:rsidP="00551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9D53F" w14:textId="77777777" w:rsidR="00EF5BF3" w:rsidRDefault="00551D2B">
      <w:pPr>
        <w:spacing w:before="0"/>
      </w:pPr>
      <w:r>
        <w:separator/>
      </w:r>
    </w:p>
  </w:footnote>
  <w:footnote w:type="continuationSeparator" w:id="0">
    <w:p w14:paraId="7892666D" w14:textId="77777777" w:rsidR="00EF5BF3" w:rsidRDefault="00551D2B">
      <w:pPr>
        <w:spacing w:before="0"/>
      </w:pPr>
      <w:r>
        <w:continuationSeparator/>
      </w:r>
    </w:p>
  </w:footnote>
  <w:footnote w:id="1">
    <w:p w14:paraId="313F00D0" w14:textId="77777777" w:rsidR="00EF5BF3" w:rsidRDefault="00551D2B">
      <w:pPr>
        <w:pStyle w:val="FootnoteText"/>
        <w:rPr>
          <w:lang w:eastAsia="zh-CN"/>
        </w:rPr>
      </w:pPr>
      <w:r>
        <w:footnoteRef/>
      </w:r>
      <w:r>
        <w:rPr>
          <w:lang w:val="en-US" w:eastAsia="zh-CN"/>
        </w:rPr>
        <w:tab/>
        <w:t>SBAS</w:t>
      </w:r>
      <w:r>
        <w:rPr>
          <w:rFonts w:hint="eastAsia"/>
          <w:lang w:val="en-US" w:eastAsia="zh-CN"/>
        </w:rPr>
        <w:t>是通过</w:t>
      </w:r>
      <w:r>
        <w:rPr>
          <w:lang w:val="en-US" w:eastAsia="zh-CN"/>
        </w:rPr>
        <w:t>GSO</w:t>
      </w:r>
      <w:r>
        <w:rPr>
          <w:rFonts w:hint="eastAsia"/>
          <w:lang w:val="en-US" w:eastAsia="zh-CN"/>
        </w:rPr>
        <w:t>卫星信号提供</w:t>
      </w:r>
      <w:r>
        <w:rPr>
          <w:lang w:val="en-US" w:eastAsia="zh-CN"/>
        </w:rPr>
        <w:t>RNSS</w:t>
      </w:r>
      <w:r>
        <w:rPr>
          <w:rFonts w:hint="eastAsia"/>
          <w:lang w:val="en-US" w:eastAsia="zh-CN"/>
        </w:rPr>
        <w:t>地区测量误差修正和整体性数据的一种方式。</w:t>
      </w:r>
    </w:p>
  </w:footnote>
  <w:footnote w:id="2">
    <w:p w14:paraId="590EF897" w14:textId="79441DDB" w:rsidR="00EF5BF3" w:rsidRDefault="00551D2B">
      <w:pPr>
        <w:pStyle w:val="FootnoteText"/>
        <w:rPr>
          <w:lang w:eastAsia="zh-CN"/>
        </w:rPr>
      </w:pPr>
      <w:r>
        <w:rPr>
          <w:position w:val="6"/>
          <w:sz w:val="18"/>
        </w:rPr>
        <w:footnoteRef/>
      </w:r>
      <w:r>
        <w:rPr>
          <w:lang w:eastAsia="zh-CN"/>
        </w:rPr>
        <w:tab/>
      </w:r>
      <w:r>
        <w:rPr>
          <w:color w:val="000000"/>
          <w:lang w:eastAsia="zh-CN"/>
        </w:rPr>
        <w:t>L1 C/A</w:t>
      </w:r>
      <w:r>
        <w:rPr>
          <w:rFonts w:hint="eastAsia"/>
          <w:color w:val="000000"/>
          <w:lang w:val="en-US" w:eastAsia="zh-CN"/>
        </w:rPr>
        <w:t>信号和</w:t>
      </w:r>
      <w:r>
        <w:rPr>
          <w:lang w:eastAsia="zh-CN"/>
        </w:rPr>
        <w:t>L1 P(Y)</w:t>
      </w:r>
      <w:r>
        <w:rPr>
          <w:rFonts w:hint="eastAsia"/>
          <w:lang w:val="en-US" w:eastAsia="zh-CN"/>
        </w:rPr>
        <w:t>信号通过</w:t>
      </w:r>
      <w:r>
        <w:rPr>
          <w:lang w:eastAsia="zh-CN"/>
        </w:rPr>
        <w:t>1 559-1 610 MHz RNSS</w:t>
      </w:r>
      <w:r>
        <w:rPr>
          <w:rFonts w:hint="eastAsia"/>
          <w:lang w:val="en-US" w:eastAsia="zh-CN"/>
        </w:rPr>
        <w:t>频段传输</w:t>
      </w:r>
      <w:r>
        <w:rPr>
          <w:rFonts w:hint="eastAsia"/>
          <w:lang w:eastAsia="zh-CN"/>
        </w:rPr>
        <w:t>，</w:t>
      </w:r>
      <w:r>
        <w:rPr>
          <w:rFonts w:hint="eastAsia"/>
          <w:lang w:val="en-US" w:eastAsia="zh-CN"/>
        </w:rPr>
        <w:t>而</w:t>
      </w:r>
      <w:r>
        <w:rPr>
          <w:lang w:eastAsia="zh-CN"/>
        </w:rPr>
        <w:t>L2 P(Y)</w:t>
      </w:r>
      <w:r>
        <w:rPr>
          <w:rFonts w:hint="eastAsia"/>
          <w:lang w:val="en-US" w:eastAsia="zh-CN"/>
        </w:rPr>
        <w:t>信号通过</w:t>
      </w:r>
      <w:r>
        <w:rPr>
          <w:lang w:eastAsia="zh-CN"/>
        </w:rPr>
        <w:t>1 215-1 300 MHz RNSS</w:t>
      </w:r>
      <w:r>
        <w:rPr>
          <w:rFonts w:hint="eastAsia"/>
          <w:lang w:val="en-US" w:eastAsia="zh-CN"/>
        </w:rPr>
        <w:t>频段传输。有关这些信号的详细信息，见《</w:t>
      </w:r>
      <w:r>
        <w:rPr>
          <w:lang w:val="en-US" w:eastAsia="zh-CN"/>
        </w:rPr>
        <w:t>ITU</w:t>
      </w:r>
      <w:r w:rsidR="00DF3FA7">
        <w:rPr>
          <w:rFonts w:hint="eastAsia"/>
          <w:lang w:val="en-US" w:eastAsia="zh-CN"/>
        </w:rPr>
        <w:t>-</w:t>
      </w:r>
      <w:r>
        <w:rPr>
          <w:lang w:val="en-US" w:eastAsia="zh-CN"/>
        </w:rPr>
        <w:t>R M.1787</w:t>
      </w:r>
      <w:r>
        <w:rPr>
          <w:rFonts w:hint="eastAsia"/>
          <w:lang w:val="en-US" w:eastAsia="zh-CN"/>
        </w:rPr>
        <w:t>建议书》附件</w:t>
      </w:r>
      <w:r>
        <w:rPr>
          <w:lang w:val="en-US" w:eastAsia="zh-CN"/>
        </w:rPr>
        <w:t>2(GPS)</w:t>
      </w:r>
      <w:r>
        <w:rPr>
          <w:rFonts w:hint="eastAsia"/>
          <w:lang w:val="en-US" w:eastAsia="zh-CN"/>
        </w:rPr>
        <w:t>。</w:t>
      </w:r>
    </w:p>
  </w:footnote>
  <w:footnote w:id="3">
    <w:p w14:paraId="2E6393B5" w14:textId="77777777" w:rsidR="00EF5BF3" w:rsidRDefault="00551D2B">
      <w:pPr>
        <w:pStyle w:val="FootnoteText"/>
        <w:rPr>
          <w:lang w:eastAsia="zh-CN"/>
        </w:rPr>
      </w:pPr>
      <w:r>
        <w:footnoteRef/>
      </w:r>
      <w:r>
        <w:rPr>
          <w:rFonts w:hint="eastAsia"/>
          <w:lang w:val="en-US" w:eastAsia="zh-CN"/>
        </w:rPr>
        <w:tab/>
      </w:r>
      <w:r>
        <w:rPr>
          <w:lang w:val="en-US" w:eastAsia="zh-CN"/>
        </w:rPr>
        <w:t>Y</w:t>
      </w:r>
      <w:r>
        <w:rPr>
          <w:rFonts w:hint="eastAsia"/>
          <w:lang w:val="en-US" w:eastAsia="zh-CN"/>
        </w:rPr>
        <w:t>代码是</w:t>
      </w:r>
      <w:r>
        <w:rPr>
          <w:lang w:val="en-US" w:eastAsia="zh-CN"/>
        </w:rPr>
        <w:t>P</w:t>
      </w:r>
      <w:r>
        <w:rPr>
          <w:rFonts w:hint="eastAsia"/>
          <w:lang w:val="en-US" w:eastAsia="zh-CN"/>
        </w:rPr>
        <w:t>代码经过变址和加密处理形成的。</w:t>
      </w:r>
      <w:r>
        <w:rPr>
          <w:lang w:val="en-US" w:eastAsia="zh-CN"/>
        </w:rPr>
        <w:t>Y</w:t>
      </w:r>
      <w:r>
        <w:rPr>
          <w:rFonts w:hint="eastAsia"/>
          <w:lang w:val="en-US" w:eastAsia="zh-CN"/>
        </w:rPr>
        <w:t>代码和</w:t>
      </w:r>
      <w:r>
        <w:rPr>
          <w:lang w:val="en-US" w:eastAsia="zh-CN"/>
        </w:rPr>
        <w:t>P</w:t>
      </w:r>
      <w:r>
        <w:rPr>
          <w:rFonts w:hint="eastAsia"/>
          <w:lang w:val="en-US" w:eastAsia="zh-CN"/>
        </w:rPr>
        <w:t>代码的码片率和调制特点相同。</w:t>
      </w:r>
    </w:p>
  </w:footnote>
  <w:footnote w:id="4">
    <w:p w14:paraId="3D2656A1" w14:textId="77777777" w:rsidR="00EF5BF3" w:rsidRDefault="00551D2B">
      <w:pPr>
        <w:pStyle w:val="FootnoteText"/>
        <w:rPr>
          <w:lang w:eastAsia="zh-CN"/>
        </w:rPr>
      </w:pPr>
      <w:r>
        <w:footnoteRef/>
      </w:r>
      <w:r>
        <w:rPr>
          <w:lang w:val="en-US" w:eastAsia="zh-CN"/>
        </w:rPr>
        <w:tab/>
      </w:r>
      <w:r>
        <w:rPr>
          <w:rFonts w:hint="eastAsia"/>
          <w:lang w:val="en-US" w:eastAsia="zh-CN"/>
        </w:rPr>
        <w:t>有关</w:t>
      </w:r>
      <w:r>
        <w:rPr>
          <w:lang w:val="en-US" w:eastAsia="zh-CN"/>
        </w:rPr>
        <w:t>L2C</w:t>
      </w:r>
      <w:r>
        <w:rPr>
          <w:rFonts w:hint="eastAsia"/>
          <w:lang w:val="en-US" w:eastAsia="zh-CN"/>
        </w:rPr>
        <w:t>信号的详细信息，见</w:t>
      </w:r>
      <w:r>
        <w:rPr>
          <w:lang w:val="en-US" w:eastAsia="zh-CN"/>
        </w:rPr>
        <w:t>ITU</w:t>
      </w:r>
      <w:r>
        <w:rPr>
          <w:rFonts w:hint="eastAsia"/>
          <w:lang w:val="en-US" w:eastAsia="zh-CN"/>
        </w:rPr>
        <w:t>-</w:t>
      </w:r>
      <w:r>
        <w:rPr>
          <w:lang w:val="en-US" w:eastAsia="zh-CN"/>
        </w:rPr>
        <w:t>R M.1787</w:t>
      </w:r>
      <w:r>
        <w:rPr>
          <w:rFonts w:hint="eastAsia"/>
          <w:lang w:val="en-US" w:eastAsia="zh-CN"/>
        </w:rPr>
        <w:t>建议书附件</w:t>
      </w:r>
      <w:r>
        <w:rPr>
          <w:lang w:val="en-US" w:eastAsia="zh-CN"/>
        </w:rPr>
        <w:t>2</w:t>
      </w:r>
      <w:r>
        <w:rPr>
          <w:lang w:val="en-US" w:eastAsia="zh-CN"/>
        </w:rPr>
        <w:t>（</w:t>
      </w:r>
      <w:r>
        <w:rPr>
          <w:lang w:val="en-US" w:eastAsia="zh-CN"/>
        </w:rPr>
        <w:t>GPS</w:t>
      </w:r>
      <w:r>
        <w:rPr>
          <w:lang w:val="en-US" w:eastAsia="zh-CN"/>
        </w:rPr>
        <w:t>）</w:t>
      </w:r>
      <w:r>
        <w:rPr>
          <w:rFonts w:hint="eastAsia"/>
          <w:lang w:val="en-US" w:eastAsia="zh-CN"/>
        </w:rPr>
        <w:t>。</w:t>
      </w:r>
    </w:p>
  </w:footnote>
  <w:footnote w:id="5">
    <w:p w14:paraId="02D62A18" w14:textId="77777777" w:rsidR="00EF5BF3" w:rsidRDefault="00551D2B">
      <w:pPr>
        <w:pStyle w:val="FootnoteText"/>
        <w:rPr>
          <w:lang w:eastAsia="zh-CN"/>
        </w:rPr>
      </w:pPr>
      <w:r>
        <w:rPr>
          <w:rStyle w:val="FootnoteReference"/>
          <w:sz w:val="20"/>
          <w:szCs w:val="22"/>
        </w:rPr>
        <w:footnoteRef/>
      </w:r>
      <w:r>
        <w:rPr>
          <w:lang w:eastAsia="zh-CN"/>
        </w:rPr>
        <w:tab/>
      </w:r>
      <w:r>
        <w:rPr>
          <w:rFonts w:hint="eastAsia"/>
          <w:lang w:val="en-US" w:eastAsia="zh-CN"/>
        </w:rPr>
        <w:t>在</w:t>
      </w:r>
      <w:r>
        <w:rPr>
          <w:lang w:eastAsia="zh-CN"/>
        </w:rPr>
        <w:t>ITU-R M.1787</w:t>
      </w:r>
      <w:r>
        <w:rPr>
          <w:rFonts w:hint="eastAsia"/>
          <w:lang w:val="en-US" w:eastAsia="zh-CN"/>
        </w:rPr>
        <w:t>建议书附件</w:t>
      </w:r>
      <w:r>
        <w:rPr>
          <w:lang w:eastAsia="zh-CN"/>
        </w:rPr>
        <w:t>7</w:t>
      </w:r>
      <w:r>
        <w:rPr>
          <w:rFonts w:hint="eastAsia"/>
          <w:lang w:eastAsia="zh-CN"/>
        </w:rPr>
        <w:t>（</w:t>
      </w:r>
      <w:r>
        <w:rPr>
          <w:lang w:eastAsia="zh-CN"/>
        </w:rPr>
        <w:t>COMPASS</w:t>
      </w:r>
      <w:r>
        <w:rPr>
          <w:rFonts w:hint="eastAsia"/>
          <w:lang w:eastAsia="zh-CN"/>
        </w:rPr>
        <w:t>）</w:t>
      </w:r>
      <w:r>
        <w:rPr>
          <w:rFonts w:hint="eastAsia"/>
          <w:lang w:val="en-US" w:eastAsia="zh-CN"/>
        </w:rPr>
        <w:t>中可以找到</w:t>
      </w:r>
      <w:r>
        <w:rPr>
          <w:rFonts w:hint="eastAsia"/>
          <w:lang w:val="en-US" w:eastAsia="zh-CN"/>
        </w:rPr>
        <w:t>B3</w:t>
      </w:r>
      <w:r>
        <w:rPr>
          <w:rFonts w:hint="eastAsia"/>
          <w:lang w:val="en-US" w:eastAsia="zh-CN"/>
        </w:rPr>
        <w:t>和</w:t>
      </w:r>
      <w:r>
        <w:rPr>
          <w:rFonts w:hint="eastAsia"/>
          <w:lang w:val="en-US" w:eastAsia="zh-CN"/>
        </w:rPr>
        <w:t>B3A</w:t>
      </w:r>
      <w:r>
        <w:rPr>
          <w:rFonts w:hint="eastAsia"/>
          <w:lang w:val="en-US" w:eastAsia="zh-CN"/>
        </w:rPr>
        <w:t>信号的进一步细节。</w:t>
      </w:r>
    </w:p>
  </w:footnote>
  <w:footnote w:id="6">
    <w:p w14:paraId="6D1998C2" w14:textId="1E35C77C" w:rsidR="00EF5BF3" w:rsidRDefault="00551D2B">
      <w:pPr>
        <w:pStyle w:val="FootnoteText"/>
        <w:rPr>
          <w:lang w:val="en-GB" w:eastAsia="zh-CN"/>
        </w:rPr>
      </w:pPr>
      <w:r>
        <w:rPr>
          <w:rStyle w:val="FootnoteReference"/>
          <w:sz w:val="20"/>
          <w:szCs w:val="22"/>
        </w:rPr>
        <w:footnoteRef/>
      </w:r>
      <w:r>
        <w:rPr>
          <w:lang w:val="en-GB" w:eastAsia="zh-CN"/>
        </w:rPr>
        <w:tab/>
      </w:r>
      <w:r>
        <w:rPr>
          <w:rFonts w:hint="eastAsia"/>
          <w:lang w:val="en-GB" w:eastAsia="zh-CN"/>
        </w:rPr>
        <w:t>E1-BC</w:t>
      </w:r>
      <w:r>
        <w:rPr>
          <w:rFonts w:hint="eastAsia"/>
          <w:lang w:val="en-GB" w:eastAsia="zh-CN"/>
        </w:rPr>
        <w:t>信号位于</w:t>
      </w:r>
      <w:r>
        <w:rPr>
          <w:rFonts w:hint="eastAsia"/>
          <w:lang w:val="en-GB" w:eastAsia="zh-CN"/>
        </w:rPr>
        <w:t>1 559-1 610 MHz RNSS</w:t>
      </w:r>
      <w:r>
        <w:rPr>
          <w:rFonts w:hint="eastAsia"/>
          <w:lang w:val="en-GB" w:eastAsia="zh-CN"/>
        </w:rPr>
        <w:t>频段，而</w:t>
      </w:r>
      <w:r>
        <w:rPr>
          <w:rFonts w:hint="eastAsia"/>
          <w:lang w:val="en-GB" w:eastAsia="zh-CN"/>
        </w:rPr>
        <w:t>E6-BC</w:t>
      </w:r>
      <w:r>
        <w:rPr>
          <w:rFonts w:hint="eastAsia"/>
          <w:lang w:val="en-GB" w:eastAsia="zh-CN"/>
        </w:rPr>
        <w:t>信号位于</w:t>
      </w:r>
      <w:r>
        <w:rPr>
          <w:rFonts w:hint="eastAsia"/>
          <w:lang w:val="en-GB" w:eastAsia="zh-CN"/>
        </w:rPr>
        <w:t>1 215-1 300 MHz RNSS</w:t>
      </w:r>
      <w:r>
        <w:rPr>
          <w:rFonts w:hint="eastAsia"/>
          <w:lang w:val="en-GB" w:eastAsia="zh-CN"/>
        </w:rPr>
        <w:t>频段。这些信号的更多细节</w:t>
      </w:r>
      <w:r>
        <w:rPr>
          <w:rFonts w:hint="eastAsia"/>
          <w:lang w:val="en-US" w:eastAsia="zh-CN"/>
        </w:rPr>
        <w:t>见</w:t>
      </w:r>
      <w:r>
        <w:rPr>
          <w:rFonts w:hint="eastAsia"/>
          <w:lang w:val="en-GB" w:eastAsia="zh-CN"/>
        </w:rPr>
        <w:t>ITU</w:t>
      </w:r>
      <w:r w:rsidR="00ED095F">
        <w:rPr>
          <w:rFonts w:hint="eastAsia"/>
          <w:lang w:val="en-GB" w:eastAsia="zh-CN"/>
        </w:rPr>
        <w:t>-</w:t>
      </w:r>
      <w:r>
        <w:rPr>
          <w:rFonts w:hint="eastAsia"/>
          <w:lang w:val="en-GB" w:eastAsia="zh-CN"/>
        </w:rPr>
        <w:t>R M.1787</w:t>
      </w:r>
      <w:r>
        <w:rPr>
          <w:rFonts w:hint="eastAsia"/>
          <w:lang w:val="en-GB" w:eastAsia="zh-CN"/>
        </w:rPr>
        <w:t>建议</w:t>
      </w:r>
      <w:r>
        <w:rPr>
          <w:rFonts w:hint="eastAsia"/>
          <w:lang w:val="en-US" w:eastAsia="zh-CN"/>
        </w:rPr>
        <w:t>书附件</w:t>
      </w:r>
      <w:r>
        <w:rPr>
          <w:rFonts w:hint="eastAsia"/>
          <w:lang w:val="en-US" w:eastAsia="zh-CN"/>
        </w:rPr>
        <w:t>3</w:t>
      </w:r>
      <w:r>
        <w:rPr>
          <w:rFonts w:hint="eastAsia"/>
          <w:lang w:val="en-US" w:eastAsia="zh-CN"/>
        </w:rPr>
        <w:t>（</w:t>
      </w:r>
      <w:r>
        <w:rPr>
          <w:rFonts w:hint="eastAsia"/>
          <w:lang w:val="en-GB" w:eastAsia="zh-CN"/>
        </w:rPr>
        <w:t>伽利略）。</w:t>
      </w:r>
    </w:p>
  </w:footnote>
  <w:footnote w:id="7">
    <w:p w14:paraId="0A06339B" w14:textId="3928FBCD" w:rsidR="00EF5BF3" w:rsidRDefault="00551D2B">
      <w:pPr>
        <w:pStyle w:val="FootnoteText"/>
        <w:rPr>
          <w:lang w:val="en-US" w:eastAsia="zh-CN"/>
        </w:rPr>
      </w:pPr>
      <w:r>
        <w:rPr>
          <w:rStyle w:val="FootnoteReference"/>
          <w:sz w:val="20"/>
          <w:szCs w:val="22"/>
        </w:rPr>
        <w:footnoteRef/>
      </w:r>
      <w:r>
        <w:rPr>
          <w:lang w:val="en-GB" w:eastAsia="zh-CN"/>
        </w:rPr>
        <w:tab/>
      </w:r>
      <w:r>
        <w:rPr>
          <w:rFonts w:hint="eastAsia"/>
          <w:lang w:val="en-US" w:eastAsia="zh-CN"/>
        </w:rPr>
        <w:t>术语“</w:t>
      </w:r>
      <w:r>
        <w:rPr>
          <w:rFonts w:hint="eastAsia"/>
          <w:lang w:val="en-US" w:eastAsia="zh-CN"/>
        </w:rPr>
        <w:t>FDMA</w:t>
      </w:r>
      <w:r>
        <w:rPr>
          <w:rFonts w:hint="eastAsia"/>
          <w:lang w:val="en-US" w:eastAsia="zh-CN"/>
        </w:rPr>
        <w:t>”指的是频分多址调制技术，其中所有</w:t>
      </w:r>
      <w:r>
        <w:rPr>
          <w:rFonts w:hint="eastAsia"/>
          <w:lang w:val="en-US" w:eastAsia="zh-CN"/>
        </w:rPr>
        <w:t>RNSS</w:t>
      </w:r>
      <w:r>
        <w:rPr>
          <w:rFonts w:hint="eastAsia"/>
          <w:lang w:val="en-US" w:eastAsia="zh-CN"/>
        </w:rPr>
        <w:t>卫星使用相同的调制码，但是每个卫星在不同的载波频率上传输。术语“</w:t>
      </w:r>
      <w:r>
        <w:rPr>
          <w:rFonts w:hint="eastAsia"/>
          <w:lang w:val="en-US" w:eastAsia="zh-CN"/>
        </w:rPr>
        <w:t>CDMA</w:t>
      </w:r>
      <w:r>
        <w:rPr>
          <w:rFonts w:hint="eastAsia"/>
          <w:lang w:val="en-US" w:eastAsia="zh-CN"/>
        </w:rPr>
        <w:t>”指的是一种码分多址调制技术，其中所有的</w:t>
      </w:r>
      <w:r>
        <w:rPr>
          <w:rFonts w:hint="eastAsia"/>
          <w:lang w:val="en-US" w:eastAsia="zh-CN"/>
        </w:rPr>
        <w:t>RNSS</w:t>
      </w:r>
      <w:r>
        <w:rPr>
          <w:rFonts w:hint="eastAsia"/>
          <w:lang w:val="en-US" w:eastAsia="zh-CN"/>
        </w:rPr>
        <w:t>卫星信号均在相同的载波频率上传输，但使用不同的调制码。进一步的信号细节见</w:t>
      </w:r>
      <w:r>
        <w:rPr>
          <w:rFonts w:hint="eastAsia"/>
          <w:lang w:val="en-US" w:eastAsia="zh-CN"/>
        </w:rPr>
        <w:t>ITU</w:t>
      </w:r>
      <w:r w:rsidR="00DF3FA7">
        <w:rPr>
          <w:rFonts w:hint="eastAsia"/>
          <w:lang w:val="en-US" w:eastAsia="zh-CN"/>
        </w:rPr>
        <w:t>-</w:t>
      </w:r>
      <w:r>
        <w:rPr>
          <w:rFonts w:hint="eastAsia"/>
          <w:lang w:val="en-US" w:eastAsia="zh-CN"/>
        </w:rPr>
        <w:t>R M.1787</w:t>
      </w:r>
      <w:r>
        <w:rPr>
          <w:rFonts w:hint="eastAsia"/>
          <w:lang w:val="en-US" w:eastAsia="zh-CN"/>
        </w:rPr>
        <w:t>建议书附件</w:t>
      </w:r>
      <w:r>
        <w:rPr>
          <w:rFonts w:hint="eastAsia"/>
          <w:lang w:val="en-US" w:eastAsia="zh-CN"/>
        </w:rPr>
        <w:t>1</w:t>
      </w:r>
      <w:r>
        <w:rPr>
          <w:rFonts w:hint="eastAsia"/>
          <w:lang w:val="en-US" w:eastAsia="zh-CN"/>
        </w:rPr>
        <w:t>（</w:t>
      </w:r>
      <w:r>
        <w:rPr>
          <w:rFonts w:hint="eastAsia"/>
          <w:lang w:val="en-US" w:eastAsia="zh-CN"/>
        </w:rPr>
        <w:t>GLONASS</w:t>
      </w:r>
      <w:r>
        <w:rPr>
          <w:rFonts w:hint="eastAsia"/>
          <w:lang w:val="en-US" w:eastAsia="zh-CN"/>
        </w:rPr>
        <w:t>）附件</w:t>
      </w:r>
      <w:r>
        <w:rPr>
          <w:rFonts w:hint="eastAsia"/>
          <w:lang w:val="en-US" w:eastAsia="zh-CN"/>
        </w:rPr>
        <w:t>2</w:t>
      </w:r>
      <w:r>
        <w:rPr>
          <w:rFonts w:hint="eastAsia"/>
          <w:lang w:val="en-US" w:eastAsia="zh-CN"/>
        </w:rPr>
        <w:t>（</w:t>
      </w:r>
      <w:r>
        <w:rPr>
          <w:rFonts w:hint="eastAsia"/>
          <w:lang w:val="en-US" w:eastAsia="zh-CN"/>
        </w:rPr>
        <w:t>GPS</w:t>
      </w:r>
      <w:r>
        <w:rPr>
          <w:rFonts w:hint="eastAsia"/>
          <w:lang w:val="en-US" w:eastAsia="zh-CN"/>
        </w:rPr>
        <w:t>）。</w:t>
      </w:r>
    </w:p>
  </w:footnote>
  <w:footnote w:id="8">
    <w:p w14:paraId="2AF685B8" w14:textId="77777777" w:rsidR="00EF5BF3" w:rsidRDefault="00551D2B">
      <w:pPr>
        <w:pStyle w:val="FootnoteText"/>
        <w:rPr>
          <w:lang w:val="en-US" w:eastAsia="zh-CN"/>
        </w:rPr>
      </w:pPr>
      <w:r>
        <w:rPr>
          <w:rStyle w:val="FootnoteReference"/>
          <w:sz w:val="20"/>
          <w:szCs w:val="22"/>
        </w:rPr>
        <w:footnoteRef/>
      </w:r>
      <w:r>
        <w:rPr>
          <w:lang w:val="en-GB" w:eastAsia="zh-CN"/>
        </w:rPr>
        <w:t xml:space="preserve"> </w:t>
      </w:r>
      <w:r>
        <w:rPr>
          <w:lang w:val="en-GB" w:eastAsia="zh-CN"/>
        </w:rPr>
        <w:tab/>
      </w:r>
      <w:r>
        <w:rPr>
          <w:rFonts w:hint="eastAsia"/>
          <w:lang w:val="en-US" w:eastAsia="zh-CN"/>
        </w:rPr>
        <w:t>这里使用的连续干扰是指来自通常一直存在的相当恒定功率源的干扰。这与脉冲干扰不同，脉冲干扰由传输脉冲串和随后的非传输周期组成。后者与</w:t>
      </w:r>
      <w:r>
        <w:rPr>
          <w:rFonts w:hint="eastAsia"/>
          <w:lang w:val="en-US" w:eastAsia="zh-CN"/>
        </w:rPr>
        <w:t>RNSS</w:t>
      </w:r>
      <w:r>
        <w:rPr>
          <w:rFonts w:hint="eastAsia"/>
          <w:lang w:val="en-US" w:eastAsia="zh-CN"/>
        </w:rPr>
        <w:t>的兼容性是突发功率和持续时间以及传输占空比的函数。</w:t>
      </w:r>
    </w:p>
  </w:footnote>
  <w:footnote w:id="9">
    <w:p w14:paraId="4E74B777" w14:textId="77777777" w:rsidR="00EF5BF3" w:rsidRPr="0047509A" w:rsidRDefault="00551D2B">
      <w:pPr>
        <w:pStyle w:val="FootnoteText"/>
        <w:rPr>
          <w:lang w:val="en-US"/>
        </w:rPr>
      </w:pPr>
      <w:r>
        <w:footnoteRef/>
      </w:r>
      <w:r w:rsidRPr="0047509A">
        <w:rPr>
          <w:lang w:val="en-US" w:eastAsia="zh-CN"/>
        </w:rPr>
        <w:tab/>
        <w:t>RTCA</w:t>
      </w:r>
      <w:r w:rsidRPr="0047509A">
        <w:rPr>
          <w:rFonts w:hint="eastAsia"/>
          <w:lang w:val="en-US" w:eastAsia="zh-CN"/>
        </w:rPr>
        <w:t>，</w:t>
      </w:r>
      <w:r>
        <w:rPr>
          <w:rFonts w:hint="eastAsia"/>
          <w:lang w:val="en-US" w:eastAsia="zh-CN"/>
        </w:rPr>
        <w:t>总部位于美国</w:t>
      </w:r>
      <w:r w:rsidRPr="0047509A">
        <w:rPr>
          <w:rFonts w:hint="eastAsia"/>
          <w:lang w:val="en-US" w:eastAsia="zh-CN"/>
        </w:rPr>
        <w:t>，</w:t>
      </w:r>
      <w:r>
        <w:rPr>
          <w:rFonts w:hint="eastAsia"/>
          <w:lang w:val="en-US" w:eastAsia="zh-CN"/>
        </w:rPr>
        <w:t>及在欧洲的</w:t>
      </w:r>
      <w:r w:rsidRPr="0047509A">
        <w:rPr>
          <w:lang w:val="en-US" w:eastAsia="zh-CN"/>
        </w:rPr>
        <w:t>EUROCAE</w:t>
      </w:r>
      <w:r>
        <w:rPr>
          <w:rFonts w:hint="eastAsia"/>
          <w:lang w:val="en-US" w:eastAsia="zh-CN"/>
        </w:rPr>
        <w:t>。</w:t>
      </w:r>
    </w:p>
  </w:footnote>
  <w:footnote w:id="10">
    <w:p w14:paraId="6EAF1EFA" w14:textId="77777777" w:rsidR="00EF5BF3" w:rsidRPr="0047509A" w:rsidRDefault="00551D2B">
      <w:pPr>
        <w:pStyle w:val="FootnoteText"/>
        <w:rPr>
          <w:lang w:val="en-US"/>
        </w:rPr>
      </w:pPr>
      <w:r>
        <w:footnoteRef/>
      </w:r>
      <w:r w:rsidRPr="0047509A">
        <w:rPr>
          <w:lang w:val="en-US" w:eastAsia="zh-CN"/>
        </w:rPr>
        <w:tab/>
        <w:t>RTCA SC-159</w:t>
      </w:r>
      <w:r w:rsidRPr="0047509A">
        <w:rPr>
          <w:rFonts w:hint="eastAsia"/>
          <w:lang w:val="en-US" w:eastAsia="zh-CN"/>
        </w:rPr>
        <w:t>，“</w:t>
      </w:r>
      <w:r>
        <w:rPr>
          <w:rFonts w:hint="eastAsia"/>
          <w:lang w:val="en-US" w:eastAsia="zh-CN"/>
        </w:rPr>
        <w:t>对与</w:t>
      </w:r>
      <w:r w:rsidRPr="0047509A">
        <w:rPr>
          <w:lang w:val="en-US" w:eastAsia="zh-CN"/>
        </w:rPr>
        <w:t>GNSS L5/E5A</w:t>
      </w:r>
      <w:r>
        <w:rPr>
          <w:rFonts w:hint="eastAsia"/>
          <w:lang w:val="en-US" w:eastAsia="zh-CN"/>
        </w:rPr>
        <w:t>频段相关的射频干扰的评估</w:t>
      </w:r>
      <w:r w:rsidRPr="0047509A">
        <w:rPr>
          <w:rFonts w:asciiTheme="minorEastAsia" w:hAnsiTheme="minorEastAsia"/>
          <w:lang w:val="en-US" w:eastAsia="zh-CN"/>
        </w:rPr>
        <w:t>”</w:t>
      </w:r>
      <w:r w:rsidRPr="0047509A">
        <w:rPr>
          <w:rFonts w:hint="eastAsia"/>
          <w:lang w:val="en-US" w:eastAsia="zh-CN"/>
        </w:rPr>
        <w:t>，</w:t>
      </w:r>
      <w:r w:rsidRPr="0047509A">
        <w:rPr>
          <w:lang w:val="en-US" w:eastAsia="zh-CN"/>
        </w:rPr>
        <w:t>RTCA</w:t>
      </w:r>
      <w:r>
        <w:rPr>
          <w:rFonts w:hint="eastAsia"/>
          <w:lang w:val="en-US" w:eastAsia="zh-CN"/>
        </w:rPr>
        <w:t>文件编号</w:t>
      </w:r>
      <w:proofErr w:type="spellStart"/>
      <w:r w:rsidRPr="0047509A">
        <w:rPr>
          <w:lang w:val="en-US" w:eastAsia="zh-CN"/>
        </w:rPr>
        <w:t>No.RTCA</w:t>
      </w:r>
      <w:proofErr w:type="spellEnd"/>
      <w:r w:rsidRPr="0047509A">
        <w:rPr>
          <w:lang w:val="en-US" w:eastAsia="zh-CN"/>
        </w:rPr>
        <w:t>/DO-292</w:t>
      </w:r>
      <w:r w:rsidRPr="0047509A">
        <w:rPr>
          <w:rFonts w:hint="eastAsia"/>
          <w:lang w:val="en-US" w:eastAsia="zh-CN"/>
        </w:rPr>
        <w:t>，</w:t>
      </w:r>
      <w:r>
        <w:rPr>
          <w:rFonts w:hint="eastAsia"/>
          <w:lang w:val="en-US" w:eastAsia="zh-CN"/>
        </w:rPr>
        <w:t>华盛顿特区</w:t>
      </w:r>
      <w:r w:rsidRPr="0047509A">
        <w:rPr>
          <w:lang w:val="en-US" w:eastAsia="zh-CN"/>
        </w:rPr>
        <w:t>2004</w:t>
      </w:r>
      <w:r>
        <w:rPr>
          <w:rFonts w:hint="eastAsia"/>
          <w:lang w:val="en-US" w:eastAsia="zh-CN"/>
        </w:rPr>
        <w:t>年</w:t>
      </w:r>
      <w:r w:rsidRPr="0047509A">
        <w:rPr>
          <w:lang w:val="en-US" w:eastAsia="zh-CN"/>
        </w:rPr>
        <w:t>7</w:t>
      </w:r>
      <w:r>
        <w:rPr>
          <w:rFonts w:hint="eastAsia"/>
          <w:lang w:val="en-US" w:eastAsia="zh-CN"/>
        </w:rPr>
        <w:t>月</w:t>
      </w:r>
      <w:r w:rsidRPr="0047509A">
        <w:rPr>
          <w:lang w:val="en-US" w:eastAsia="zh-CN"/>
        </w:rPr>
        <w:t>29</w:t>
      </w:r>
      <w:r>
        <w:rPr>
          <w:rFonts w:hint="eastAsia"/>
          <w:lang w:val="en-US" w:eastAsia="zh-CN"/>
        </w:rPr>
        <w:t>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519F" w14:textId="77777777" w:rsidR="00EF5BF3" w:rsidRDefault="00EF5BF3">
    <w:pP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47CF" w14:textId="6F01EB3F" w:rsidR="003872C2" w:rsidRPr="008216CC" w:rsidRDefault="00551D2B">
    <w:pPr>
      <w:tabs>
        <w:tab w:val="clear" w:pos="794"/>
        <w:tab w:val="clear" w:pos="1191"/>
        <w:tab w:val="clear" w:pos="1588"/>
        <w:tab w:val="clear" w:pos="1985"/>
        <w:tab w:val="center" w:pos="7088"/>
        <w:tab w:val="right" w:pos="14034"/>
      </w:tabs>
      <w:jc w:val="left"/>
      <w:rPr>
        <w:b/>
        <w:bCs/>
      </w:rPr>
    </w:pPr>
    <w:r>
      <w:rPr>
        <w:b/>
      </w:rPr>
      <w:tab/>
    </w:r>
    <w:r>
      <w:rPr>
        <w:b/>
        <w:bCs/>
      </w:rPr>
      <w:fldChar w:fldCharType="begin"/>
    </w:r>
    <w:r>
      <w:rPr>
        <w:b/>
        <w:bCs/>
        <w:lang w:val="en-GB"/>
      </w:rPr>
      <w:instrText>styleref href</w:instrText>
    </w:r>
    <w:r>
      <w:rPr>
        <w:b/>
        <w:bCs/>
      </w:rPr>
      <w:fldChar w:fldCharType="separate"/>
    </w:r>
    <w:r w:rsidR="00B02881">
      <w:rPr>
        <w:b/>
        <w:bCs/>
        <w:noProof/>
        <w:lang w:val="en-GB"/>
      </w:rPr>
      <w:t>ITU-R  M.1902-2</w:t>
    </w:r>
    <w:r>
      <w:rPr>
        <w:b/>
        <w:bCs/>
      </w:rPr>
      <w:fldChar w:fldCharType="end"/>
    </w:r>
    <w:r>
      <w:rPr>
        <w:rFonts w:hint="eastAsia"/>
        <w:b/>
        <w:lang w:eastAsia="zh-CN"/>
      </w:rPr>
      <w:t>建议书</w:t>
    </w:r>
    <w:r>
      <w:rPr>
        <w:b/>
        <w:bCs/>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11</w:t>
    </w:r>
    <w:r>
      <w:rPr>
        <w:rStyle w:val="PageNumber"/>
        <w:b/>
        <w:bC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B03BF" w14:textId="31DD8229" w:rsidR="00EF5BF3" w:rsidRDefault="00551D2B">
    <w:pPr>
      <w:tabs>
        <w:tab w:val="clear" w:pos="794"/>
        <w:tab w:val="clear" w:pos="1191"/>
        <w:tab w:val="clear" w:pos="1588"/>
        <w:tab w:val="clear" w:pos="1985"/>
        <w:tab w:val="center" w:pos="7088"/>
        <w:tab w:val="right" w:pos="14034"/>
      </w:tabs>
      <w:jc w:val="left"/>
      <w:rPr>
        <w:b/>
      </w:rPr>
    </w:pPr>
    <w:r>
      <w:rPr>
        <w:b/>
      </w:rPr>
      <w:tab/>
    </w:r>
    <w:r>
      <w:rPr>
        <w:b/>
        <w:bCs/>
      </w:rPr>
      <w:fldChar w:fldCharType="begin"/>
    </w:r>
    <w:r>
      <w:rPr>
        <w:b/>
        <w:bCs/>
        <w:lang w:val="en-GB"/>
      </w:rPr>
      <w:instrText>styleref href</w:instrText>
    </w:r>
    <w:r>
      <w:rPr>
        <w:b/>
        <w:bCs/>
      </w:rPr>
      <w:fldChar w:fldCharType="separate"/>
    </w:r>
    <w:r w:rsidR="00B02881">
      <w:rPr>
        <w:b/>
        <w:bCs/>
        <w:noProof/>
        <w:lang w:val="en-GB"/>
      </w:rPr>
      <w:t>ITU-R  M.1902-2</w:t>
    </w:r>
    <w:r>
      <w:rPr>
        <w:b/>
        <w:bCs/>
      </w:rPr>
      <w:fldChar w:fldCharType="end"/>
    </w:r>
    <w:r>
      <w:rPr>
        <w:rFonts w:hint="eastAsia"/>
        <w:b/>
        <w:lang w:eastAsia="zh-CN"/>
      </w:rPr>
      <w:t>建议书</w:t>
    </w:r>
    <w:r>
      <w:rPr>
        <w:b/>
        <w:bCs/>
      </w:rPr>
      <w:tab/>
    </w:r>
    <w:r w:rsidR="00F21BD6">
      <w:rPr>
        <w:rStyle w:val="PageNumber"/>
        <w:b/>
        <w:bCs/>
      </w:rPr>
      <w:fldChar w:fldCharType="begin"/>
    </w:r>
    <w:r w:rsidR="00F21BD6">
      <w:rPr>
        <w:rStyle w:val="PageNumber"/>
        <w:b/>
        <w:bCs/>
      </w:rPr>
      <w:instrText xml:space="preserve"> PAGE </w:instrText>
    </w:r>
    <w:r w:rsidR="00F21BD6">
      <w:rPr>
        <w:rStyle w:val="PageNumber"/>
        <w:b/>
        <w:bCs/>
      </w:rPr>
      <w:fldChar w:fldCharType="separate"/>
    </w:r>
    <w:r w:rsidR="00F21BD6">
      <w:rPr>
        <w:rStyle w:val="PageNumber"/>
        <w:b/>
        <w:bCs/>
      </w:rPr>
      <w:t>9</w:t>
    </w:r>
    <w:r w:rsidR="00F21BD6">
      <w:rPr>
        <w:rStyle w:val="PageNumbe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739B" w14:textId="2F04284F" w:rsidR="00EF5BF3" w:rsidRDefault="0047509A">
    <w:pPr>
      <w:ind w:right="360" w:firstLine="360"/>
    </w:pPr>
    <w:r w:rsidRPr="002C05EA">
      <w:rPr>
        <w:noProof/>
        <w:lang w:val="en-GB" w:eastAsia="zh-CN"/>
      </w:rPr>
      <w:drawing>
        <wp:anchor distT="0" distB="0" distL="114300" distR="114300" simplePos="0" relativeHeight="251659264" behindDoc="1" locked="0" layoutInCell="1" allowOverlap="1" wp14:anchorId="4D8B30D2" wp14:editId="67663595">
          <wp:simplePos x="0" y="0"/>
          <wp:positionH relativeFrom="column">
            <wp:posOffset>-685800</wp:posOffset>
          </wp:positionH>
          <wp:positionV relativeFrom="paragraph">
            <wp:posOffset>-350520</wp:posOffset>
          </wp:positionV>
          <wp:extent cx="7553325" cy="10683240"/>
          <wp:effectExtent l="0" t="0" r="9525" b="3810"/>
          <wp:wrapNone/>
          <wp:docPr id="11" name="Picture 11"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06832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C7AC" w14:textId="0259C6C3" w:rsidR="00EF5BF3" w:rsidRDefault="00551D2B">
    <w:pPr>
      <w:pStyle w:val="Header"/>
    </w:pPr>
    <w:r>
      <w:tab/>
    </w:r>
    <w:r>
      <w:rPr>
        <w:b/>
        <w:bCs/>
        <w:lang w:val="en-GB"/>
      </w:rPr>
      <w:t>Rec.</w:t>
    </w:r>
    <w:r>
      <w:rPr>
        <w:lang w:val="en-GB"/>
      </w:rPr>
      <w:t xml:space="preserve"> </w:t>
    </w:r>
    <w:r>
      <w:rPr>
        <w:b/>
        <w:bCs/>
      </w:rPr>
      <w:fldChar w:fldCharType="begin"/>
    </w:r>
    <w:r>
      <w:rPr>
        <w:b/>
        <w:bCs/>
        <w:lang w:val="en-GB"/>
      </w:rPr>
      <w:instrText>styleref href</w:instrText>
    </w:r>
    <w:r>
      <w:rPr>
        <w:b/>
        <w:bCs/>
      </w:rPr>
      <w:fldChar w:fldCharType="separate"/>
    </w:r>
    <w:r w:rsidR="00B02881">
      <w:rPr>
        <w:b/>
        <w:bCs/>
        <w:noProof/>
        <w:lang w:val="en-GB"/>
      </w:rPr>
      <w:t>ITU-R  M.1902-2</w:t>
    </w:r>
    <w:r>
      <w:fldChar w:fldCharType="end"/>
    </w:r>
    <w:r>
      <w:rPr>
        <w:b/>
        <w:bCs/>
      </w:rPr>
      <w:tab/>
    </w:r>
    <w:r>
      <w:rPr>
        <w:b/>
        <w:bCs/>
      </w:rPr>
      <w:fldChar w:fldCharType="begin"/>
    </w:r>
    <w:r>
      <w:rPr>
        <w:b/>
        <w:bCs/>
      </w:rPr>
      <w:instrText xml:space="preserve"> PAGE </w:instrText>
    </w:r>
    <w:r>
      <w:rPr>
        <w:b/>
        <w:bCs/>
      </w:rPr>
      <w:fldChar w:fldCharType="separate"/>
    </w:r>
    <w:r>
      <w:rPr>
        <w:b/>
        <w:bCs/>
      </w:rPr>
      <w:t>7</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E9BC" w14:textId="6DE6A8A0" w:rsidR="00EF5BF3" w:rsidRDefault="00551D2B">
    <w:pPr>
      <w:tabs>
        <w:tab w:val="clear" w:pos="794"/>
        <w:tab w:val="clear" w:pos="1191"/>
        <w:tab w:val="clear" w:pos="1588"/>
        <w:tab w:val="clear" w:pos="1985"/>
        <w:tab w:val="center" w:pos="4848"/>
        <w:tab w:val="center" w:pos="9696"/>
      </w:tabs>
      <w:spacing w:before="0"/>
      <w:jc w:val="left"/>
      <w:rPr>
        <w:rFonts w:eastAsiaTheme="minorEastAsia"/>
        <w:b/>
        <w:bCs/>
        <w:lang w:eastAsia="zh-CN"/>
      </w:rPr>
    </w:pPr>
    <w:r>
      <w:rPr>
        <w:b/>
        <w:bCs/>
      </w:rPr>
      <w:fldChar w:fldCharType="begin"/>
    </w:r>
    <w:r>
      <w:rPr>
        <w:b/>
        <w:bCs/>
        <w:lang w:val="en-GB"/>
      </w:rPr>
      <w:instrText xml:space="preserve"> PAGE </w:instrText>
    </w:r>
    <w:r>
      <w:rPr>
        <w:b/>
        <w:bCs/>
      </w:rPr>
      <w:fldChar w:fldCharType="separate"/>
    </w:r>
    <w:r>
      <w:rPr>
        <w:b/>
        <w:bCs/>
        <w:lang w:val="en-GB"/>
      </w:rPr>
      <w:t>ii</w:t>
    </w:r>
    <w:r>
      <w:rPr>
        <w:b/>
        <w:bCs/>
      </w:rPr>
      <w:fldChar w:fldCharType="end"/>
    </w:r>
    <w:r>
      <w:rPr>
        <w:b/>
        <w:bCs/>
        <w:lang w:val="en-GB"/>
      </w:rPr>
      <w:tab/>
    </w:r>
    <w:r>
      <w:rPr>
        <w:b/>
        <w:bCs/>
      </w:rPr>
      <w:fldChar w:fldCharType="begin"/>
    </w:r>
    <w:r>
      <w:rPr>
        <w:b/>
        <w:bCs/>
        <w:lang w:val="en-GB"/>
      </w:rPr>
      <w:instrText>styleref href</w:instrText>
    </w:r>
    <w:r>
      <w:rPr>
        <w:b/>
        <w:bCs/>
      </w:rPr>
      <w:fldChar w:fldCharType="separate"/>
    </w:r>
    <w:r w:rsidR="00B02881">
      <w:rPr>
        <w:b/>
        <w:bCs/>
        <w:noProof/>
        <w:lang w:val="en-GB"/>
      </w:rPr>
      <w:t>ITU-R  M.1902-2</w:t>
    </w:r>
    <w:r>
      <w:rPr>
        <w:b/>
        <w:bCs/>
      </w:rPr>
      <w:fldChar w:fldCharType="end"/>
    </w:r>
    <w:r>
      <w:rPr>
        <w:rFonts w:eastAsiaTheme="minorEastAsia" w:hint="eastAsia"/>
        <w:b/>
        <w:bCs/>
        <w:lang w:eastAsia="zh-CN"/>
      </w:rPr>
      <w:t>建议书</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EAF0" w14:textId="608F7D9E" w:rsidR="00EF5BF3" w:rsidRDefault="00551D2B">
    <w:r>
      <w:tab/>
    </w:r>
    <w:r>
      <w:rPr>
        <w:b/>
        <w:bCs/>
      </w:rPr>
      <w:fldChar w:fldCharType="begin"/>
    </w:r>
    <w:r>
      <w:rPr>
        <w:b/>
        <w:bCs/>
        <w:lang w:val="en-GB"/>
      </w:rPr>
      <w:instrText xml:space="preserve"> DOCPROPERTY "Header" \* MERGEFORMAT </w:instrText>
    </w:r>
    <w:r>
      <w:rPr>
        <w:b/>
        <w:bCs/>
      </w:rPr>
      <w:fldChar w:fldCharType="separate"/>
    </w:r>
    <w:r w:rsidR="00B02881">
      <w:rPr>
        <w:lang w:val="en-US"/>
      </w:rPr>
      <w:t>Error! Unknown document property name.</w:t>
    </w:r>
    <w:r>
      <w:rPr>
        <w:b/>
        <w:bCs/>
      </w:rPr>
      <w:fldChar w:fldCharType="end"/>
    </w:r>
    <w:r>
      <w:rPr>
        <w:b/>
        <w:bCs/>
        <w:lang w:val="en-GB"/>
      </w:rPr>
      <w:t xml:space="preserve"> </w:t>
    </w:r>
    <w:r>
      <w:rPr>
        <w:b/>
        <w:bCs/>
      </w:rPr>
      <w:fldChar w:fldCharType="begin"/>
    </w:r>
    <w:r>
      <w:rPr>
        <w:b/>
        <w:bCs/>
        <w:lang w:val="en-GB"/>
      </w:rPr>
      <w:instrText>styleref href</w:instrText>
    </w:r>
    <w:r>
      <w:rPr>
        <w:b/>
        <w:bCs/>
      </w:rPr>
      <w:fldChar w:fldCharType="separate"/>
    </w:r>
    <w:r w:rsidR="00B02881">
      <w:rPr>
        <w:b/>
        <w:bCs/>
        <w:noProof/>
        <w:lang w:val="en-GB"/>
      </w:rPr>
      <w:t>ITU-R  M.1902-2</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iii</w:t>
    </w:r>
    <w:r>
      <w:rPr>
        <w:rStyle w:val="PageNumbe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3018" w14:textId="47289C69" w:rsidR="00EF5BF3" w:rsidRDefault="00551D2B">
    <w:pPr>
      <w:tabs>
        <w:tab w:val="clear" w:pos="794"/>
        <w:tab w:val="clear" w:pos="1191"/>
        <w:tab w:val="clear" w:pos="1588"/>
        <w:tab w:val="clear" w:pos="1985"/>
        <w:tab w:val="center" w:pos="4848"/>
        <w:tab w:val="center" w:pos="9696"/>
      </w:tabs>
      <w:spacing w:before="0"/>
      <w:jc w:val="left"/>
      <w:rPr>
        <w:b/>
        <w:bCs/>
      </w:rPr>
    </w:pPr>
    <w:r>
      <w:rPr>
        <w:b/>
        <w:bCs/>
      </w:rPr>
      <w:fldChar w:fldCharType="begin"/>
    </w:r>
    <w:r>
      <w:rPr>
        <w:b/>
        <w:bCs/>
        <w:lang w:val="en-GB"/>
      </w:rPr>
      <w:instrText xml:space="preserve"> PAGE </w:instrText>
    </w:r>
    <w:r>
      <w:rPr>
        <w:b/>
        <w:bCs/>
      </w:rPr>
      <w:fldChar w:fldCharType="separate"/>
    </w:r>
    <w:r>
      <w:rPr>
        <w:b/>
        <w:bCs/>
        <w:lang w:val="en-GB"/>
      </w:rPr>
      <w:t>8</w:t>
    </w:r>
    <w:r>
      <w:rPr>
        <w:b/>
        <w:bCs/>
      </w:rPr>
      <w:fldChar w:fldCharType="end"/>
    </w:r>
    <w:r>
      <w:rPr>
        <w:b/>
        <w:bCs/>
        <w:lang w:val="en-GB"/>
      </w:rPr>
      <w:tab/>
    </w:r>
    <w:r>
      <w:rPr>
        <w:b/>
        <w:bCs/>
      </w:rPr>
      <w:fldChar w:fldCharType="begin"/>
    </w:r>
    <w:r>
      <w:rPr>
        <w:b/>
        <w:bCs/>
        <w:lang w:val="en-GB"/>
      </w:rPr>
      <w:instrText>styleref href</w:instrText>
    </w:r>
    <w:r>
      <w:rPr>
        <w:b/>
        <w:bCs/>
      </w:rPr>
      <w:fldChar w:fldCharType="separate"/>
    </w:r>
    <w:r w:rsidR="00B02881">
      <w:rPr>
        <w:b/>
        <w:bCs/>
        <w:noProof/>
        <w:lang w:val="en-GB"/>
      </w:rPr>
      <w:t>ITU-R  M.1902-2</w:t>
    </w:r>
    <w:r>
      <w:rPr>
        <w:b/>
        <w:bCs/>
      </w:rPr>
      <w:fldChar w:fldCharType="end"/>
    </w:r>
    <w:r>
      <w:rPr>
        <w:rFonts w:hint="eastAsia"/>
        <w:b/>
        <w:lang w:eastAsia="zh-CN"/>
      </w:rPr>
      <w:t>建议书</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6D55" w14:textId="7CF7CCCF" w:rsidR="00EF5BF3" w:rsidRDefault="00551D2B">
    <w:pPr>
      <w:pStyle w:val="Header"/>
      <w:rPr>
        <w:rStyle w:val="PageNumber"/>
        <w:b/>
      </w:rPr>
    </w:pPr>
    <w:r>
      <w:rPr>
        <w:b/>
      </w:rPr>
      <w:tab/>
    </w:r>
    <w:r>
      <w:rPr>
        <w:b/>
        <w:bCs/>
      </w:rPr>
      <w:fldChar w:fldCharType="begin"/>
    </w:r>
    <w:r>
      <w:rPr>
        <w:b/>
        <w:bCs/>
        <w:lang w:val="en-GB"/>
      </w:rPr>
      <w:instrText>styleref href</w:instrText>
    </w:r>
    <w:r>
      <w:rPr>
        <w:b/>
        <w:bCs/>
      </w:rPr>
      <w:fldChar w:fldCharType="separate"/>
    </w:r>
    <w:r w:rsidR="00B02881">
      <w:rPr>
        <w:b/>
        <w:bCs/>
        <w:noProof/>
        <w:lang w:val="en-GB"/>
      </w:rPr>
      <w:t>ITU-R  M.1902-2</w:t>
    </w:r>
    <w:r>
      <w:rPr>
        <w:b/>
        <w:lang w:val="en-US"/>
      </w:rPr>
      <w:fldChar w:fldCharType="end"/>
    </w:r>
    <w:r>
      <w:rPr>
        <w:rFonts w:hint="eastAsia"/>
        <w:b/>
        <w:lang w:eastAsia="zh-CN"/>
      </w:rPr>
      <w:t>建议书</w:t>
    </w:r>
    <w:r>
      <w:rPr>
        <w:b/>
        <w:bCs/>
      </w:rPr>
      <w:tab/>
    </w:r>
    <w:r>
      <w:rPr>
        <w:b/>
        <w:bCs/>
      </w:rPr>
      <w:fldChar w:fldCharType="begin"/>
    </w:r>
    <w:r>
      <w:rPr>
        <w:b/>
        <w:bCs/>
      </w:rPr>
      <w:instrText xml:space="preserve"> PAGE </w:instrText>
    </w:r>
    <w:r>
      <w:rPr>
        <w:b/>
        <w:bCs/>
      </w:rPr>
      <w:fldChar w:fldCharType="separate"/>
    </w:r>
    <w:r>
      <w:rPr>
        <w:b/>
        <w:bCs/>
      </w:rPr>
      <w:t>7</w:t>
    </w:r>
    <w:r>
      <w:rPr>
        <w:b/>
        <w:lang w:val="en-U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8B82" w14:textId="36536CB6" w:rsidR="00EF5BF3" w:rsidRDefault="00551D2B">
    <w:pPr>
      <w:pStyle w:val="Header"/>
      <w:rPr>
        <w:b/>
      </w:rPr>
    </w:pPr>
    <w:r>
      <w:rPr>
        <w:b/>
      </w:rPr>
      <w:tab/>
    </w:r>
    <w:r>
      <w:rPr>
        <w:b/>
        <w:bCs/>
      </w:rPr>
      <w:fldChar w:fldCharType="begin"/>
    </w:r>
    <w:r>
      <w:rPr>
        <w:b/>
        <w:bCs/>
        <w:lang w:val="en-GB"/>
      </w:rPr>
      <w:instrText>styleref href</w:instrText>
    </w:r>
    <w:r>
      <w:rPr>
        <w:b/>
        <w:bCs/>
      </w:rPr>
      <w:fldChar w:fldCharType="separate"/>
    </w:r>
    <w:r w:rsidR="00B02881">
      <w:rPr>
        <w:b/>
        <w:bCs/>
        <w:noProof/>
        <w:lang w:val="en-GB"/>
      </w:rPr>
      <w:t>ITU-R  M.1902-2</w:t>
    </w:r>
    <w:r>
      <w:rPr>
        <w:b/>
      </w:rPr>
      <w:fldChar w:fldCharType="end"/>
    </w:r>
    <w:r>
      <w:rPr>
        <w:b/>
      </w:rPr>
      <w:t xml:space="preserve"> </w:t>
    </w:r>
    <w:r>
      <w:rPr>
        <w:rFonts w:hint="eastAsia"/>
        <w:b/>
        <w:lang w:eastAsia="zh-CN"/>
      </w:rPr>
      <w:t>建议书</w:t>
    </w:r>
    <w:r>
      <w:rPr>
        <w:b/>
        <w:bCs/>
      </w:rPr>
      <w:tab/>
    </w:r>
    <w:r>
      <w:rPr>
        <w:b/>
        <w:bCs/>
      </w:rPr>
      <w:fldChar w:fldCharType="begin"/>
    </w:r>
    <w:r>
      <w:rPr>
        <w:b/>
        <w:bCs/>
      </w:rPr>
      <w:instrText xml:space="preserve"> PAGE </w:instrText>
    </w:r>
    <w:r>
      <w:rPr>
        <w:b/>
        <w:bCs/>
      </w:rPr>
      <w:fldChar w:fldCharType="separate"/>
    </w:r>
    <w:r>
      <w:rPr>
        <w:b/>
        <w:bCs/>
      </w:rPr>
      <w:t>1</w:t>
    </w:r>
    <w:r>
      <w:rPr>
        <w:b/>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309B" w14:textId="5F3DCB16" w:rsidR="003872C2" w:rsidRPr="007D0163" w:rsidRDefault="00551D2B" w:rsidP="007D0163">
    <w:pPr>
      <w:tabs>
        <w:tab w:val="clear" w:pos="794"/>
        <w:tab w:val="clear" w:pos="1191"/>
        <w:tab w:val="clear" w:pos="1588"/>
        <w:tab w:val="clear" w:pos="1985"/>
        <w:tab w:val="center" w:pos="7230"/>
        <w:tab w:val="center" w:pos="9696"/>
      </w:tabs>
      <w:jc w:val="left"/>
      <w:rPr>
        <w:b/>
        <w:lang w:eastAsia="zh-CN"/>
      </w:rPr>
    </w:pPr>
    <w:r>
      <w:rPr>
        <w:rStyle w:val="PageNumber"/>
        <w:b/>
        <w:bCs/>
      </w:rPr>
      <w:fldChar w:fldCharType="begin"/>
    </w:r>
    <w:r>
      <w:rPr>
        <w:rStyle w:val="PageNumber"/>
        <w:b/>
        <w:bCs/>
        <w:lang w:val="en-GB"/>
      </w:rPr>
      <w:instrText xml:space="preserve"> PAGE </w:instrText>
    </w:r>
    <w:r>
      <w:rPr>
        <w:rStyle w:val="PageNumber"/>
        <w:b/>
        <w:bCs/>
      </w:rPr>
      <w:fldChar w:fldCharType="separate"/>
    </w:r>
    <w:r>
      <w:rPr>
        <w:rStyle w:val="PageNumber"/>
        <w:b/>
        <w:bCs/>
        <w:lang w:val="en-GB"/>
      </w:rPr>
      <w:t>10</w:t>
    </w:r>
    <w:r>
      <w:rPr>
        <w:rStyle w:val="PageNumber"/>
        <w:b/>
        <w:bCs/>
      </w:rPr>
      <w:fldChar w:fldCharType="end"/>
    </w:r>
    <w:r>
      <w:rPr>
        <w:b/>
        <w:lang w:val="en-GB"/>
      </w:rPr>
      <w:tab/>
    </w:r>
    <w:r>
      <w:rPr>
        <w:b/>
        <w:bCs/>
      </w:rPr>
      <w:fldChar w:fldCharType="begin"/>
    </w:r>
    <w:r>
      <w:rPr>
        <w:b/>
        <w:bCs/>
        <w:lang w:val="en-GB"/>
      </w:rPr>
      <w:instrText>styleref href</w:instrText>
    </w:r>
    <w:r>
      <w:rPr>
        <w:b/>
        <w:bCs/>
      </w:rPr>
      <w:fldChar w:fldCharType="separate"/>
    </w:r>
    <w:r w:rsidR="00B02881">
      <w:rPr>
        <w:b/>
        <w:bCs/>
        <w:noProof/>
        <w:lang w:val="en-GB"/>
      </w:rPr>
      <w:t>ITU-R  M.1902-2</w:t>
    </w:r>
    <w:r>
      <w:rPr>
        <w:b/>
        <w:bCs/>
      </w:rPr>
      <w:fldChar w:fldCharType="end"/>
    </w:r>
    <w:r>
      <w:rPr>
        <w:rFonts w:hint="eastAsia"/>
        <w:b/>
        <w:lang w:eastAsia="zh-CN"/>
      </w:rPr>
      <w:t>建议书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163"/>
    <w:rsid w:val="00003ACC"/>
    <w:rsid w:val="000069D4"/>
    <w:rsid w:val="000174AD"/>
    <w:rsid w:val="00022483"/>
    <w:rsid w:val="00024D75"/>
    <w:rsid w:val="000341BF"/>
    <w:rsid w:val="00047A1D"/>
    <w:rsid w:val="00056076"/>
    <w:rsid w:val="000604B9"/>
    <w:rsid w:val="00061C1E"/>
    <w:rsid w:val="00065E1D"/>
    <w:rsid w:val="000A020C"/>
    <w:rsid w:val="000A7D55"/>
    <w:rsid w:val="000B0BBB"/>
    <w:rsid w:val="000C12C8"/>
    <w:rsid w:val="000C2E8E"/>
    <w:rsid w:val="000D02EE"/>
    <w:rsid w:val="000E0E7C"/>
    <w:rsid w:val="000F186C"/>
    <w:rsid w:val="000F1B4B"/>
    <w:rsid w:val="00126F72"/>
    <w:rsid w:val="0012744F"/>
    <w:rsid w:val="00131178"/>
    <w:rsid w:val="00143436"/>
    <w:rsid w:val="00156F66"/>
    <w:rsid w:val="00163271"/>
    <w:rsid w:val="0016640A"/>
    <w:rsid w:val="00182528"/>
    <w:rsid w:val="0018500B"/>
    <w:rsid w:val="00191049"/>
    <w:rsid w:val="00196A19"/>
    <w:rsid w:val="001B7F4F"/>
    <w:rsid w:val="001C4694"/>
    <w:rsid w:val="001C64B9"/>
    <w:rsid w:val="001E249D"/>
    <w:rsid w:val="00202DC1"/>
    <w:rsid w:val="0021048D"/>
    <w:rsid w:val="002116EE"/>
    <w:rsid w:val="00217E3E"/>
    <w:rsid w:val="0022584C"/>
    <w:rsid w:val="002309D8"/>
    <w:rsid w:val="00273FA6"/>
    <w:rsid w:val="002849EF"/>
    <w:rsid w:val="002A7FE2"/>
    <w:rsid w:val="002C0786"/>
    <w:rsid w:val="002D0252"/>
    <w:rsid w:val="002E1B4F"/>
    <w:rsid w:val="002E336D"/>
    <w:rsid w:val="002E7C1A"/>
    <w:rsid w:val="002F2E67"/>
    <w:rsid w:val="002F7CB3"/>
    <w:rsid w:val="00315546"/>
    <w:rsid w:val="00330567"/>
    <w:rsid w:val="003632FE"/>
    <w:rsid w:val="00384385"/>
    <w:rsid w:val="00386A9D"/>
    <w:rsid w:val="003872C2"/>
    <w:rsid w:val="00391081"/>
    <w:rsid w:val="003933A8"/>
    <w:rsid w:val="003B2789"/>
    <w:rsid w:val="003B2DE5"/>
    <w:rsid w:val="003B7450"/>
    <w:rsid w:val="003C13CE"/>
    <w:rsid w:val="003C697E"/>
    <w:rsid w:val="003E2518"/>
    <w:rsid w:val="003E364A"/>
    <w:rsid w:val="003E7CEF"/>
    <w:rsid w:val="003F0656"/>
    <w:rsid w:val="0047509A"/>
    <w:rsid w:val="0048676C"/>
    <w:rsid w:val="004B1EF7"/>
    <w:rsid w:val="004B3FAD"/>
    <w:rsid w:val="004C5749"/>
    <w:rsid w:val="004C5E7F"/>
    <w:rsid w:val="004D18AD"/>
    <w:rsid w:val="004D2464"/>
    <w:rsid w:val="004E279C"/>
    <w:rsid w:val="00501DCA"/>
    <w:rsid w:val="00513A47"/>
    <w:rsid w:val="005252DD"/>
    <w:rsid w:val="005401D9"/>
    <w:rsid w:val="005408DF"/>
    <w:rsid w:val="005460A1"/>
    <w:rsid w:val="00551D2B"/>
    <w:rsid w:val="0055378C"/>
    <w:rsid w:val="005566C9"/>
    <w:rsid w:val="00562014"/>
    <w:rsid w:val="0056227F"/>
    <w:rsid w:val="00573344"/>
    <w:rsid w:val="0058330C"/>
    <w:rsid w:val="00583F9B"/>
    <w:rsid w:val="005876D9"/>
    <w:rsid w:val="005B0D29"/>
    <w:rsid w:val="005C1959"/>
    <w:rsid w:val="005C3DB3"/>
    <w:rsid w:val="005C57E8"/>
    <w:rsid w:val="005C7A67"/>
    <w:rsid w:val="005D20DD"/>
    <w:rsid w:val="005E5C10"/>
    <w:rsid w:val="005F0AF7"/>
    <w:rsid w:val="005F2C78"/>
    <w:rsid w:val="006051E2"/>
    <w:rsid w:val="00612A3D"/>
    <w:rsid w:val="006144E4"/>
    <w:rsid w:val="00623163"/>
    <w:rsid w:val="00634796"/>
    <w:rsid w:val="00650299"/>
    <w:rsid w:val="00655FC5"/>
    <w:rsid w:val="006673C9"/>
    <w:rsid w:val="00675C50"/>
    <w:rsid w:val="00683013"/>
    <w:rsid w:val="00686222"/>
    <w:rsid w:val="00695B31"/>
    <w:rsid w:val="006972BC"/>
    <w:rsid w:val="006D0D07"/>
    <w:rsid w:val="006F3562"/>
    <w:rsid w:val="00752D67"/>
    <w:rsid w:val="00764D95"/>
    <w:rsid w:val="0077155A"/>
    <w:rsid w:val="00774A7E"/>
    <w:rsid w:val="007757CE"/>
    <w:rsid w:val="00782C17"/>
    <w:rsid w:val="00784B87"/>
    <w:rsid w:val="007A7448"/>
    <w:rsid w:val="007B5AC9"/>
    <w:rsid w:val="007C532E"/>
    <w:rsid w:val="007D0163"/>
    <w:rsid w:val="007F1436"/>
    <w:rsid w:val="007F3549"/>
    <w:rsid w:val="00814E0A"/>
    <w:rsid w:val="008159E3"/>
    <w:rsid w:val="008216CC"/>
    <w:rsid w:val="00822581"/>
    <w:rsid w:val="00825374"/>
    <w:rsid w:val="008309DD"/>
    <w:rsid w:val="008310D3"/>
    <w:rsid w:val="0083227A"/>
    <w:rsid w:val="00866900"/>
    <w:rsid w:val="008703BF"/>
    <w:rsid w:val="00873B01"/>
    <w:rsid w:val="00876A8A"/>
    <w:rsid w:val="00881BA1"/>
    <w:rsid w:val="008876B1"/>
    <w:rsid w:val="00893762"/>
    <w:rsid w:val="008947B7"/>
    <w:rsid w:val="008A6DD1"/>
    <w:rsid w:val="008B0455"/>
    <w:rsid w:val="008B22C6"/>
    <w:rsid w:val="008B424F"/>
    <w:rsid w:val="008C2302"/>
    <w:rsid w:val="008C26B8"/>
    <w:rsid w:val="008E1394"/>
    <w:rsid w:val="008E297B"/>
    <w:rsid w:val="008F208F"/>
    <w:rsid w:val="0095651B"/>
    <w:rsid w:val="009752C7"/>
    <w:rsid w:val="00982084"/>
    <w:rsid w:val="0098719B"/>
    <w:rsid w:val="00993ED8"/>
    <w:rsid w:val="00995963"/>
    <w:rsid w:val="009B61EB"/>
    <w:rsid w:val="009C2064"/>
    <w:rsid w:val="009D1697"/>
    <w:rsid w:val="009E47F5"/>
    <w:rsid w:val="009F3A46"/>
    <w:rsid w:val="009F3AF0"/>
    <w:rsid w:val="009F6520"/>
    <w:rsid w:val="00A014F8"/>
    <w:rsid w:val="00A12DF6"/>
    <w:rsid w:val="00A278EA"/>
    <w:rsid w:val="00A42E26"/>
    <w:rsid w:val="00A5173C"/>
    <w:rsid w:val="00A56218"/>
    <w:rsid w:val="00A61AEF"/>
    <w:rsid w:val="00A635AE"/>
    <w:rsid w:val="00A726A0"/>
    <w:rsid w:val="00A77026"/>
    <w:rsid w:val="00AA1D4A"/>
    <w:rsid w:val="00AB19B9"/>
    <w:rsid w:val="00AB6DEC"/>
    <w:rsid w:val="00AD2345"/>
    <w:rsid w:val="00AD61FE"/>
    <w:rsid w:val="00AF173A"/>
    <w:rsid w:val="00AF713E"/>
    <w:rsid w:val="00B02881"/>
    <w:rsid w:val="00B066A4"/>
    <w:rsid w:val="00B07A13"/>
    <w:rsid w:val="00B4279B"/>
    <w:rsid w:val="00B45764"/>
    <w:rsid w:val="00B45FC9"/>
    <w:rsid w:val="00B76F35"/>
    <w:rsid w:val="00B81138"/>
    <w:rsid w:val="00B9531E"/>
    <w:rsid w:val="00BB2FD0"/>
    <w:rsid w:val="00BB36E2"/>
    <w:rsid w:val="00BC2628"/>
    <w:rsid w:val="00BC6235"/>
    <w:rsid w:val="00BC7CCF"/>
    <w:rsid w:val="00BD722A"/>
    <w:rsid w:val="00BE470B"/>
    <w:rsid w:val="00C06CE2"/>
    <w:rsid w:val="00C14705"/>
    <w:rsid w:val="00C24C4A"/>
    <w:rsid w:val="00C26869"/>
    <w:rsid w:val="00C427BD"/>
    <w:rsid w:val="00C56678"/>
    <w:rsid w:val="00C57A91"/>
    <w:rsid w:val="00C703CF"/>
    <w:rsid w:val="00C9330E"/>
    <w:rsid w:val="00CB6E83"/>
    <w:rsid w:val="00CC0161"/>
    <w:rsid w:val="00CC01C2"/>
    <w:rsid w:val="00CC2ECC"/>
    <w:rsid w:val="00CD3E21"/>
    <w:rsid w:val="00CE711C"/>
    <w:rsid w:val="00CF21F2"/>
    <w:rsid w:val="00CF298D"/>
    <w:rsid w:val="00CF6981"/>
    <w:rsid w:val="00D02712"/>
    <w:rsid w:val="00D046A7"/>
    <w:rsid w:val="00D055D3"/>
    <w:rsid w:val="00D124E9"/>
    <w:rsid w:val="00D214D0"/>
    <w:rsid w:val="00D361BD"/>
    <w:rsid w:val="00D467FC"/>
    <w:rsid w:val="00D6546B"/>
    <w:rsid w:val="00D7316F"/>
    <w:rsid w:val="00D75C7C"/>
    <w:rsid w:val="00D92C6A"/>
    <w:rsid w:val="00DA2360"/>
    <w:rsid w:val="00DB178B"/>
    <w:rsid w:val="00DC17D3"/>
    <w:rsid w:val="00DC268E"/>
    <w:rsid w:val="00DD24A2"/>
    <w:rsid w:val="00DD4BED"/>
    <w:rsid w:val="00DE39F0"/>
    <w:rsid w:val="00DF0AF3"/>
    <w:rsid w:val="00DF3FA7"/>
    <w:rsid w:val="00DF7E9F"/>
    <w:rsid w:val="00E20639"/>
    <w:rsid w:val="00E22CEC"/>
    <w:rsid w:val="00E23CBC"/>
    <w:rsid w:val="00E27D7E"/>
    <w:rsid w:val="00E42E13"/>
    <w:rsid w:val="00E566CC"/>
    <w:rsid w:val="00E56D5C"/>
    <w:rsid w:val="00E6257C"/>
    <w:rsid w:val="00E63C59"/>
    <w:rsid w:val="00E80738"/>
    <w:rsid w:val="00E83F30"/>
    <w:rsid w:val="00E863DB"/>
    <w:rsid w:val="00E869A5"/>
    <w:rsid w:val="00E93901"/>
    <w:rsid w:val="00ED095F"/>
    <w:rsid w:val="00EF5BF3"/>
    <w:rsid w:val="00F21BD6"/>
    <w:rsid w:val="00F21F34"/>
    <w:rsid w:val="00F25662"/>
    <w:rsid w:val="00F2681B"/>
    <w:rsid w:val="00F26903"/>
    <w:rsid w:val="00F5775C"/>
    <w:rsid w:val="00F6010D"/>
    <w:rsid w:val="00F71941"/>
    <w:rsid w:val="00F76174"/>
    <w:rsid w:val="00F93EFD"/>
    <w:rsid w:val="00FA124A"/>
    <w:rsid w:val="00FB1DF9"/>
    <w:rsid w:val="00FB4685"/>
    <w:rsid w:val="00FC08DD"/>
    <w:rsid w:val="00FC2316"/>
    <w:rsid w:val="00FC2CFD"/>
    <w:rsid w:val="020E7EC9"/>
    <w:rsid w:val="0B8F6A6E"/>
    <w:rsid w:val="0F932DF1"/>
    <w:rsid w:val="14D47A12"/>
    <w:rsid w:val="15AC2348"/>
    <w:rsid w:val="20421E64"/>
    <w:rsid w:val="24336F5C"/>
    <w:rsid w:val="2E8E43E5"/>
    <w:rsid w:val="356E0666"/>
    <w:rsid w:val="40761049"/>
    <w:rsid w:val="41844513"/>
    <w:rsid w:val="437139D1"/>
    <w:rsid w:val="474F0EA5"/>
    <w:rsid w:val="479051CF"/>
    <w:rsid w:val="4AA96028"/>
    <w:rsid w:val="4C9B06A4"/>
    <w:rsid w:val="4F1057B8"/>
    <w:rsid w:val="5713358E"/>
    <w:rsid w:val="580776AE"/>
    <w:rsid w:val="5CD853D7"/>
    <w:rsid w:val="604B413F"/>
    <w:rsid w:val="6358399A"/>
    <w:rsid w:val="64CB1E93"/>
    <w:rsid w:val="68370127"/>
    <w:rsid w:val="6C6807F4"/>
    <w:rsid w:val="795918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347FAE"/>
  <w15:docId w15:val="{94E7D239-D8DB-4CF0-A06B-F40095FA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qFormat="1"/>
    <w:lsdException w:name="index 5" w:qFormat="1"/>
    <w:lsdException w:name="index 6" w:qFormat="1"/>
    <w:lsdException w:name="index 7" w:qFormat="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semiHidden="1" w:unhideWhenUsed="1"/>
    <w:lsdException w:name="Normal Indent" w:qFormat="1"/>
    <w:lsdException w:name="footnote text" w:qFormat="1"/>
    <w:lsdException w:name="annotation text" w:semiHidden="1" w:unhideWhenUsed="1"/>
    <w:lsdException w:name="header" w:qFormat="1"/>
    <w:lsdException w:name="footer"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qFormat="1"/>
    <w:lsdException w:name="page number"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uiPriority w:val="99"/>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link w:val="Heading6Char"/>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qFormat/>
  </w:style>
  <w:style w:type="paragraph" w:styleId="TOC4">
    <w:name w:val="toc 4"/>
    <w:basedOn w:val="TOC3"/>
    <w:next w:val="Normal"/>
    <w:qFormat/>
    <w:pPr>
      <w:tabs>
        <w:tab w:val="left" w:pos="3261"/>
      </w:tabs>
      <w:spacing w:before="80"/>
      <w:ind w:left="3261" w:hanging="993"/>
    </w:pPr>
  </w:style>
  <w:style w:type="paragraph" w:styleId="TOC3">
    <w:name w:val="toc 3"/>
    <w:basedOn w:val="TOC2"/>
    <w:next w:val="Normal"/>
    <w:qFormat/>
    <w:pPr>
      <w:tabs>
        <w:tab w:val="left" w:pos="2155"/>
      </w:tabs>
      <w:ind w:left="2155" w:hanging="879"/>
    </w:pPr>
  </w:style>
  <w:style w:type="paragraph" w:styleId="TOC2">
    <w:name w:val="toc 2"/>
    <w:basedOn w:val="TOC1"/>
    <w:next w:val="Normal"/>
    <w:qFormat/>
    <w:pPr>
      <w:tabs>
        <w:tab w:val="left" w:pos="1276"/>
      </w:tabs>
      <w:spacing w:before="160"/>
      <w:ind w:left="1276" w:hanging="709"/>
    </w:pPr>
  </w:style>
  <w:style w:type="paragraph" w:styleId="TOC1">
    <w:name w:val="toc 1"/>
    <w:basedOn w:val="Normal"/>
    <w:next w:val="Normal"/>
    <w:qFormat/>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NormalIndent">
    <w:name w:val="Normal Indent"/>
    <w:basedOn w:val="Normal"/>
    <w:qFormat/>
    <w:pPr>
      <w:ind w:left="794"/>
    </w:pPr>
  </w:style>
  <w:style w:type="paragraph" w:styleId="Index5">
    <w:name w:val="index 5"/>
    <w:basedOn w:val="Normal"/>
    <w:next w:val="Normal"/>
    <w:qFormat/>
    <w:pPr>
      <w:ind w:left="1132"/>
    </w:pPr>
  </w:style>
  <w:style w:type="paragraph" w:styleId="Index6">
    <w:name w:val="index 6"/>
    <w:basedOn w:val="Normal"/>
    <w:next w:val="Normal"/>
    <w:qFormat/>
    <w:pPr>
      <w:ind w:left="1415"/>
    </w:pPr>
  </w:style>
  <w:style w:type="paragraph" w:styleId="Index4">
    <w:name w:val="index 4"/>
    <w:basedOn w:val="Normal"/>
    <w:next w:val="Normal"/>
    <w:qFormat/>
    <w:pPr>
      <w:ind w:left="849"/>
    </w:pPr>
  </w:style>
  <w:style w:type="paragraph" w:styleId="TOC5">
    <w:name w:val="toc 5"/>
    <w:basedOn w:val="TOC4"/>
    <w:next w:val="Normal"/>
    <w:qFormat/>
  </w:style>
  <w:style w:type="paragraph" w:styleId="TOC8">
    <w:name w:val="toc 8"/>
    <w:basedOn w:val="TOC4"/>
    <w:next w:val="Normal"/>
    <w:qFormat/>
  </w:style>
  <w:style w:type="paragraph" w:styleId="Index3">
    <w:name w:val="index 3"/>
    <w:basedOn w:val="Normal"/>
    <w:next w:val="Normal"/>
    <w:semiHidden/>
    <w:qFormat/>
    <w:pPr>
      <w:ind w:left="566"/>
    </w:pPr>
  </w:style>
  <w:style w:type="paragraph" w:styleId="BalloonText">
    <w:name w:val="Balloon Text"/>
    <w:basedOn w:val="Normal"/>
    <w:link w:val="BalloonTextChar"/>
    <w:semiHidden/>
    <w:unhideWhenUsed/>
    <w:qFormat/>
    <w:pPr>
      <w:spacing w:before="0"/>
    </w:pPr>
    <w:rPr>
      <w:rFonts w:ascii="Segoe UI" w:hAnsi="Segoe UI" w:cs="Segoe UI"/>
      <w:sz w:val="18"/>
      <w:szCs w:val="18"/>
    </w:rPr>
  </w:style>
  <w:style w:type="paragraph" w:styleId="Footer">
    <w:name w:val="footer"/>
    <w:basedOn w:val="Normal"/>
    <w:link w:val="FooterChar"/>
    <w:qFormat/>
    <w:pPr>
      <w:tabs>
        <w:tab w:val="clear" w:pos="794"/>
        <w:tab w:val="clear" w:pos="1191"/>
        <w:tab w:val="clear" w:pos="1588"/>
        <w:tab w:val="clear" w:pos="1985"/>
      </w:tabs>
      <w:spacing w:before="0"/>
    </w:pPr>
    <w:rPr>
      <w:sz w:val="18"/>
    </w:rPr>
  </w:style>
  <w:style w:type="paragraph" w:styleId="Header">
    <w:name w:val="header"/>
    <w:basedOn w:val="Normal"/>
    <w:link w:val="HeaderChar"/>
    <w:qFormat/>
    <w:pPr>
      <w:tabs>
        <w:tab w:val="clear" w:pos="794"/>
        <w:tab w:val="clear" w:pos="1191"/>
        <w:tab w:val="clear" w:pos="1588"/>
        <w:tab w:val="clear" w:pos="1985"/>
        <w:tab w:val="center" w:pos="4848"/>
        <w:tab w:val="right" w:pos="9696"/>
      </w:tabs>
      <w:spacing w:before="0"/>
      <w:jc w:val="center"/>
    </w:pPr>
  </w:style>
  <w:style w:type="paragraph" w:styleId="IndexHeading">
    <w:name w:val="index heading"/>
    <w:basedOn w:val="Normal"/>
    <w:next w:val="Index1"/>
    <w:qFormat/>
  </w:style>
  <w:style w:type="paragraph" w:styleId="Index1">
    <w:name w:val="index 1"/>
    <w:basedOn w:val="Normal"/>
    <w:next w:val="Normal"/>
    <w:semiHidden/>
    <w:qFormat/>
  </w:style>
  <w:style w:type="paragraph" w:styleId="FootnoteText">
    <w:name w:val="footnote text"/>
    <w:basedOn w:val="Normal"/>
    <w:link w:val="FootnoteTextChar"/>
    <w:qFormat/>
    <w:pPr>
      <w:keepLines/>
      <w:tabs>
        <w:tab w:val="left" w:pos="255"/>
      </w:tabs>
      <w:ind w:left="255" w:hanging="255"/>
    </w:pPr>
    <w:rPr>
      <w:sz w:val="22"/>
    </w:rPr>
  </w:style>
  <w:style w:type="paragraph" w:styleId="TOC6">
    <w:name w:val="toc 6"/>
    <w:basedOn w:val="TOC4"/>
    <w:next w:val="Normal"/>
    <w:qFormat/>
  </w:style>
  <w:style w:type="paragraph" w:styleId="Index7">
    <w:name w:val="index 7"/>
    <w:basedOn w:val="Normal"/>
    <w:next w:val="Normal"/>
    <w:qFormat/>
    <w:pPr>
      <w:ind w:left="1698"/>
    </w:pPr>
  </w:style>
  <w:style w:type="paragraph" w:styleId="Index2">
    <w:name w:val="index 2"/>
    <w:basedOn w:val="Normal"/>
    <w:next w:val="Normal"/>
    <w:semiHidden/>
    <w:qFormat/>
    <w:pPr>
      <w:ind w:left="283"/>
    </w:pPr>
  </w:style>
  <w:style w:type="table" w:styleId="TableGrid">
    <w:name w:val="Table Grid"/>
    <w:basedOn w:val="TableNormal"/>
    <w:uiPriority w:val="59"/>
    <w:qFormat/>
    <w:pPr>
      <w:tabs>
        <w:tab w:val="left" w:pos="794"/>
        <w:tab w:val="left" w:pos="1191"/>
        <w:tab w:val="left" w:pos="1588"/>
        <w:tab w:val="left" w:pos="1985"/>
      </w:tabs>
      <w:overflowPunct w:val="0"/>
      <w:autoSpaceDE w:val="0"/>
      <w:autoSpaceDN w:val="0"/>
      <w:adjustRightInd w:val="0"/>
      <w:spacing w:before="120"/>
      <w:jc w:val="both"/>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800080" w:themeColor="followedHyperlink"/>
      <w:u w:val="single"/>
    </w:rPr>
  </w:style>
  <w:style w:type="character" w:styleId="LineNumber">
    <w:name w:val="line number"/>
    <w:basedOn w:val="DefaultParagraphFont"/>
    <w:qFormat/>
  </w:style>
  <w:style w:type="character" w:styleId="Hyperlink">
    <w:name w:val="Hyperlink"/>
    <w:basedOn w:val="DefaultParagraphFont"/>
    <w:unhideWhenUsed/>
    <w:qFormat/>
    <w:rPr>
      <w:color w:val="0000FF" w:themeColor="hyperlink"/>
      <w:u w:val="single"/>
    </w:rPr>
  </w:style>
  <w:style w:type="character" w:styleId="FootnoteReference">
    <w:name w:val="footnote reference"/>
    <w:basedOn w:val="DefaultParagraphFont"/>
    <w:qFormat/>
    <w:rPr>
      <w:position w:val="6"/>
      <w:sz w:val="18"/>
    </w:rPr>
  </w:style>
  <w:style w:type="paragraph" w:customStyle="1" w:styleId="Normalaftertitle">
    <w:name w:val="Normal_after_title"/>
    <w:basedOn w:val="Normal"/>
    <w:next w:val="Normal"/>
    <w:pPr>
      <w:spacing w:before="320"/>
    </w:pPr>
  </w:style>
  <w:style w:type="paragraph" w:customStyle="1" w:styleId="Artheading">
    <w:name w:val="Art_heading"/>
    <w:basedOn w:val="Normal"/>
    <w:next w:val="Normal"/>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pPr>
      <w:keepNext w:val="0"/>
    </w:pPr>
  </w:style>
  <w:style w:type="paragraph" w:customStyle="1" w:styleId="FigureNo">
    <w:name w:val="Figure_No"/>
    <w:basedOn w:val="Normal"/>
    <w:next w:val="Figuretitle"/>
    <w:qFormat/>
    <w:pPr>
      <w:keepNext/>
      <w:keepLines/>
      <w:spacing w:before="480" w:after="80"/>
      <w:jc w:val="center"/>
    </w:pPr>
    <w:rPr>
      <w:caps/>
      <w:sz w:val="18"/>
    </w:rPr>
  </w:style>
  <w:style w:type="paragraph" w:customStyle="1" w:styleId="Figuretitle">
    <w:name w:val="Figure_title"/>
    <w:basedOn w:val="Normal"/>
    <w:next w:val="Figure"/>
    <w:qFormat/>
    <w:pPr>
      <w:keepNext/>
      <w:spacing w:before="0" w:after="120"/>
      <w:jc w:val="center"/>
    </w:pPr>
    <w:rPr>
      <w:rFonts w:ascii="Times New Roman Bold" w:hAnsi="Times New Roman Bold"/>
      <w:b/>
      <w:sz w:val="18"/>
    </w:rPr>
  </w:style>
  <w:style w:type="paragraph" w:customStyle="1" w:styleId="Figure">
    <w:name w:val="Figure"/>
    <w:basedOn w:val="FigureNo"/>
    <w:next w:val="Normal"/>
    <w:qFormat/>
    <w:pPr>
      <w:keepNext w:val="0"/>
      <w:spacing w:before="0" w:after="240"/>
    </w:pPr>
  </w:style>
  <w:style w:type="paragraph" w:customStyle="1" w:styleId="FirstFooter">
    <w:name w:val="FirstFooter"/>
    <w:basedOn w:val="Footer"/>
    <w:qFormat/>
    <w:pPr>
      <w:overflowPunct/>
      <w:autoSpaceDE/>
      <w:autoSpaceDN/>
      <w:adjustRightInd/>
      <w:spacing w:before="40"/>
      <w:textAlignment w:val="auto"/>
    </w:pPr>
    <w:rPr>
      <w:caps/>
    </w:rPr>
  </w:style>
  <w:style w:type="paragraph" w:customStyle="1" w:styleId="Note">
    <w:name w:val="Note"/>
    <w:basedOn w:val="Normal"/>
    <w:qFormat/>
    <w:pPr>
      <w:tabs>
        <w:tab w:val="clear" w:pos="794"/>
        <w:tab w:val="clear" w:pos="1191"/>
        <w:tab w:val="clear" w:pos="1588"/>
        <w:tab w:val="clear" w:pos="1985"/>
      </w:tabs>
      <w:spacing w:before="80"/>
    </w:pPr>
    <w:rPr>
      <w:sz w:val="22"/>
    </w:rPr>
  </w:style>
  <w:style w:type="paragraph" w:customStyle="1" w:styleId="PartNo">
    <w:name w:val="Part_No"/>
    <w:basedOn w:val="Normal"/>
    <w:next w:val="Normal"/>
    <w:qFormat/>
  </w:style>
  <w:style w:type="paragraph" w:customStyle="1" w:styleId="Partref">
    <w:name w:val="Part_ref"/>
    <w:basedOn w:val="Normal"/>
    <w:next w:val="Normal"/>
    <w:qFormat/>
    <w:pPr>
      <w:keepNext/>
      <w:keepLines/>
      <w:spacing w:after="280"/>
      <w:jc w:val="center"/>
    </w:pPr>
  </w:style>
  <w:style w:type="paragraph" w:customStyle="1" w:styleId="Parttitle">
    <w:name w:val="Part_title"/>
    <w:basedOn w:val="Normal"/>
    <w:next w:val="Normalaftertitle"/>
    <w:qFormat/>
    <w:pPr>
      <w:keepNext/>
      <w:keepLines/>
      <w:tabs>
        <w:tab w:val="clear" w:pos="794"/>
        <w:tab w:val="clear" w:pos="1191"/>
        <w:tab w:val="clear" w:pos="1588"/>
        <w:tab w:val="clear" w:pos="1985"/>
      </w:tabs>
      <w:spacing w:before="280" w:after="40"/>
      <w:jc w:val="center"/>
    </w:pPr>
    <w:rPr>
      <w:b/>
      <w:sz w:val="28"/>
    </w:rPr>
  </w:style>
  <w:style w:type="paragraph" w:customStyle="1" w:styleId="RecNo">
    <w:name w:val="Rec_No"/>
    <w:basedOn w:val="Normal"/>
    <w:next w:val="Rectitle"/>
    <w:qFormat/>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qFormat/>
    <w:pPr>
      <w:keepNext/>
      <w:keepLines/>
      <w:spacing w:before="240"/>
      <w:jc w:val="center"/>
    </w:pPr>
    <w:rPr>
      <w:b/>
      <w:sz w:val="28"/>
    </w:rPr>
  </w:style>
  <w:style w:type="paragraph" w:customStyle="1" w:styleId="Recref">
    <w:name w:val="Rec_ref"/>
    <w:basedOn w:val="Normal"/>
    <w:next w:val="Recdate"/>
    <w:qFormat/>
    <w:pPr>
      <w:jc w:val="center"/>
    </w:pPr>
  </w:style>
  <w:style w:type="paragraph" w:customStyle="1" w:styleId="Recdate">
    <w:name w:val="Rec_date"/>
    <w:basedOn w:val="Recref"/>
    <w:next w:val="Normalaftertitle"/>
    <w:qFormat/>
    <w:pPr>
      <w:jc w:val="right"/>
    </w:pPr>
  </w:style>
  <w:style w:type="paragraph" w:customStyle="1" w:styleId="Questiondate">
    <w:name w:val="Question_date"/>
    <w:basedOn w:val="Recdate"/>
    <w:next w:val="Normalaftertitle"/>
    <w:qFormat/>
  </w:style>
  <w:style w:type="paragraph" w:customStyle="1" w:styleId="QuestionNo">
    <w:name w:val="Question_No"/>
    <w:basedOn w:val="RecNo"/>
    <w:next w:val="Normal"/>
    <w:qFormat/>
  </w:style>
  <w:style w:type="paragraph" w:customStyle="1" w:styleId="Questiontitle">
    <w:name w:val="Question_title"/>
    <w:basedOn w:val="Normal"/>
    <w:next w:val="Questionref"/>
    <w:qFormat/>
  </w:style>
  <w:style w:type="paragraph" w:customStyle="1" w:styleId="Questionref">
    <w:name w:val="Question_ref"/>
    <w:basedOn w:val="Recref"/>
    <w:next w:val="Questiondate"/>
    <w:qFormat/>
  </w:style>
  <w:style w:type="paragraph" w:customStyle="1" w:styleId="Reftext">
    <w:name w:val="Ref_text"/>
    <w:basedOn w:val="Normal"/>
    <w:qFormat/>
    <w:pPr>
      <w:ind w:left="794" w:hanging="794"/>
    </w:pPr>
    <w:rPr>
      <w:sz w:val="22"/>
    </w:rPr>
  </w:style>
  <w:style w:type="paragraph" w:customStyle="1" w:styleId="Reftitle">
    <w:name w:val="Ref_title"/>
    <w:basedOn w:val="Normal"/>
    <w:next w:val="Reftext"/>
    <w:qForma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style>
  <w:style w:type="paragraph" w:customStyle="1" w:styleId="RepNo">
    <w:name w:val="Rep_No"/>
    <w:basedOn w:val="RecNo"/>
    <w:next w:val="Reptitle"/>
    <w:qFormat/>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sdate">
    <w:name w:val="Res_date"/>
    <w:basedOn w:val="Recdate"/>
    <w:next w:val="Normalaftertitle"/>
    <w:qFormat/>
  </w:style>
  <w:style w:type="paragraph" w:customStyle="1" w:styleId="ResNo">
    <w:name w:val="Res_No"/>
    <w:basedOn w:val="RecNo"/>
    <w:next w:val="Restitle"/>
    <w:qFormat/>
  </w:style>
  <w:style w:type="paragraph" w:customStyle="1" w:styleId="Restitle">
    <w:name w:val="Res_title"/>
    <w:basedOn w:val="Normal"/>
    <w:next w:val="Resref"/>
    <w:qFormat/>
    <w:pPr>
      <w:spacing w:before="240"/>
      <w:jc w:val="center"/>
    </w:pPr>
    <w:rPr>
      <w:b/>
      <w:sz w:val="28"/>
    </w:rPr>
  </w:style>
  <w:style w:type="paragraph" w:customStyle="1" w:styleId="Resref">
    <w:name w:val="Res_ref"/>
    <w:basedOn w:val="Recref"/>
    <w:next w:val="Resdate"/>
    <w:qFormat/>
  </w:style>
  <w:style w:type="paragraph" w:customStyle="1" w:styleId="SectionNo">
    <w:name w:val="Section_No"/>
    <w:basedOn w:val="Normal"/>
    <w:next w:val="Normal"/>
    <w:qFormat/>
  </w:style>
  <w:style w:type="paragraph" w:customStyle="1" w:styleId="Sectiontitle">
    <w:name w:val="Section_title"/>
    <w:basedOn w:val="Normal"/>
    <w:next w:val="Normalaftertitle"/>
    <w:qFormat/>
    <w:pPr>
      <w:keepNext/>
      <w:keepLines/>
      <w:tabs>
        <w:tab w:val="clear" w:pos="794"/>
        <w:tab w:val="clear" w:pos="1191"/>
        <w:tab w:val="clear" w:pos="1588"/>
        <w:tab w:val="clear" w:pos="1985"/>
      </w:tabs>
      <w:spacing w:before="280" w:after="40"/>
      <w:jc w:val="center"/>
    </w:pPr>
    <w:rPr>
      <w:b/>
      <w:sz w:val="28"/>
    </w:rPr>
  </w:style>
  <w:style w:type="paragraph" w:customStyle="1" w:styleId="Source">
    <w:name w:val="Source"/>
    <w:basedOn w:val="Normal"/>
    <w:next w:val="Normal"/>
    <w:qFormat/>
    <w:pPr>
      <w:spacing w:before="840"/>
      <w:jc w:val="center"/>
    </w:pPr>
    <w:rPr>
      <w:b/>
      <w:sz w:val="28"/>
    </w:rPr>
  </w:style>
  <w:style w:type="paragraph" w:customStyle="1" w:styleId="SpecialFooter">
    <w:name w:val="Special Footer"/>
    <w:basedOn w:val="Footer"/>
    <w:qFormat/>
    <w:pPr>
      <w:tabs>
        <w:tab w:val="left" w:pos="567"/>
        <w:tab w:val="left" w:pos="1134"/>
        <w:tab w:val="left" w:pos="1701"/>
        <w:tab w:val="left" w:pos="2268"/>
        <w:tab w:val="left" w:pos="2835"/>
      </w:tabs>
    </w:pPr>
    <w:rPr>
      <w:caps/>
    </w:rPr>
  </w:style>
  <w:style w:type="paragraph" w:customStyle="1" w:styleId="Tablehead">
    <w:name w:val="Table_head"/>
    <w:basedOn w:val="Normal"/>
    <w:next w:val="Normal"/>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uiPriority w:val="99"/>
    <w:qFormat/>
    <w:pPr>
      <w:keepNext/>
      <w:spacing w:before="360" w:after="120"/>
      <w:jc w:val="center"/>
    </w:pPr>
  </w:style>
  <w:style w:type="paragraph" w:customStyle="1" w:styleId="Tabletitle">
    <w:name w:val="Table_title"/>
    <w:basedOn w:val="Normal"/>
    <w:next w:val="Tablehead"/>
    <w:qFormat/>
    <w:pPr>
      <w:keepNext/>
      <w:spacing w:before="0" w:after="120"/>
      <w:jc w:val="center"/>
    </w:pPr>
    <w:rPr>
      <w:b/>
    </w:rPr>
  </w:style>
  <w:style w:type="paragraph" w:customStyle="1" w:styleId="Tableref">
    <w:name w:val="Table_ref"/>
    <w:basedOn w:val="Normal"/>
    <w:next w:val="Normal"/>
    <w:pPr>
      <w:keepNext/>
      <w:spacing w:before="560"/>
      <w:jc w:val="center"/>
    </w:pPr>
    <w:rPr>
      <w:sz w:val="20"/>
    </w:rPr>
  </w:style>
  <w:style w:type="paragraph" w:customStyle="1" w:styleId="Title1">
    <w:name w:val="Title 1"/>
    <w:basedOn w:val="Source"/>
    <w:next w:val="Normal"/>
    <w:pPr>
      <w:tabs>
        <w:tab w:val="left" w:pos="567"/>
        <w:tab w:val="left" w:pos="1701"/>
        <w:tab w:val="left" w:pos="2835"/>
      </w:tabs>
      <w:spacing w:before="240"/>
    </w:pPr>
    <w:rPr>
      <w:b w:val="0"/>
      <w:caps/>
    </w:rPr>
  </w:style>
  <w:style w:type="paragraph" w:customStyle="1" w:styleId="Title2">
    <w:name w:val="Title 2"/>
    <w:basedOn w:val="Source"/>
    <w:next w:val="Normal"/>
    <w:pPr>
      <w:overflowPunct/>
      <w:autoSpaceDE/>
      <w:autoSpaceDN/>
      <w:adjustRightInd/>
      <w:spacing w:before="480"/>
      <w:textAlignment w:val="auto"/>
    </w:pPr>
    <w:rPr>
      <w:b w:val="0"/>
      <w:caps/>
    </w:rPr>
  </w:style>
  <w:style w:type="paragraph" w:customStyle="1" w:styleId="Title3">
    <w:name w:val="Title 3"/>
    <w:basedOn w:val="Title2"/>
    <w:next w:val="Normal"/>
    <w:qFormat/>
    <w:pPr>
      <w:spacing w:before="240"/>
    </w:pPr>
    <w:rPr>
      <w:caps w:val="0"/>
    </w:rPr>
  </w:style>
  <w:style w:type="paragraph" w:customStyle="1" w:styleId="Title4">
    <w:name w:val="Title 4"/>
    <w:basedOn w:val="Title3"/>
    <w:next w:val="Heading1"/>
    <w:qFormat/>
    <w:rPr>
      <w:b/>
    </w:rPr>
  </w:style>
  <w:style w:type="paragraph" w:customStyle="1" w:styleId="toc0">
    <w:name w:val="toc 0"/>
    <w:basedOn w:val="Normal"/>
    <w:next w:val="TOC1"/>
    <w:qFormat/>
    <w:pPr>
      <w:tabs>
        <w:tab w:val="clear" w:pos="794"/>
        <w:tab w:val="clear" w:pos="1191"/>
        <w:tab w:val="clear" w:pos="1588"/>
        <w:tab w:val="clear" w:pos="1985"/>
        <w:tab w:val="right" w:pos="9611"/>
      </w:tabs>
    </w:pPr>
    <w:rPr>
      <w:i/>
    </w:rPr>
  </w:style>
  <w:style w:type="character" w:customStyle="1" w:styleId="Appdef">
    <w:name w:val="App_def"/>
    <w:basedOn w:val="DefaultParagraphFont"/>
    <w:qFormat/>
    <w:rPr>
      <w:rFonts w:ascii="Times New Roman" w:hAnsi="Times New Roman"/>
      <w:b/>
    </w:rPr>
  </w:style>
  <w:style w:type="character" w:customStyle="1" w:styleId="Appref">
    <w:name w:val="App_ref"/>
    <w:basedOn w:val="DefaultParagraphFont"/>
    <w:qFormat/>
  </w:style>
  <w:style w:type="character" w:customStyle="1" w:styleId="Artdef">
    <w:name w:val="Art_def"/>
    <w:basedOn w:val="DefaultParagraphFont"/>
    <w:qForma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qFormat/>
    <w:rPr>
      <w:b/>
    </w:rPr>
  </w:style>
  <w:style w:type="character" w:customStyle="1" w:styleId="Resdef">
    <w:name w:val="Res_def"/>
    <w:basedOn w:val="DefaultParagraphFont"/>
    <w:qFormat/>
    <w:rPr>
      <w:rFonts w:ascii="Times New Roman" w:hAnsi="Times New Roman"/>
      <w:b/>
    </w:rPr>
  </w:style>
  <w:style w:type="character" w:customStyle="1" w:styleId="Tablefreq">
    <w:name w:val="Table_freq"/>
    <w:basedOn w:val="DefaultParagraphFont"/>
    <w:qFormat/>
    <w:rPr>
      <w:b/>
      <w:color w:val="auto"/>
      <w:sz w:val="20"/>
    </w:rPr>
  </w:style>
  <w:style w:type="paragraph" w:customStyle="1" w:styleId="Formal">
    <w:name w:val="Formal"/>
    <w:basedOn w:val="ASN1"/>
    <w:qFormat/>
    <w:rPr>
      <w:b w:val="0"/>
    </w:rPr>
  </w:style>
  <w:style w:type="paragraph" w:customStyle="1" w:styleId="Section1">
    <w:name w:val="Section_1"/>
    <w:basedOn w:val="Normal"/>
    <w:qFormat/>
    <w:pPr>
      <w:tabs>
        <w:tab w:val="center" w:pos="4820"/>
      </w:tabs>
      <w:spacing w:before="360"/>
      <w:jc w:val="center"/>
    </w:pPr>
    <w:rPr>
      <w:b/>
    </w:rPr>
  </w:style>
  <w:style w:type="paragraph" w:customStyle="1" w:styleId="Section2">
    <w:name w:val="Section_2"/>
    <w:basedOn w:val="Section1"/>
    <w:qFormat/>
    <w:rPr>
      <w:b w:val="0"/>
      <w:i/>
    </w:rPr>
  </w:style>
  <w:style w:type="paragraph" w:customStyle="1" w:styleId="Headingi">
    <w:name w:val="Heading_i"/>
    <w:basedOn w:val="Heading3"/>
    <w:next w:val="Normal"/>
    <w:qFormat/>
    <w:pPr>
      <w:spacing w:before="160"/>
      <w:ind w:left="0" w:firstLine="0"/>
    </w:pPr>
    <w:rPr>
      <w:b w:val="0"/>
      <w:i/>
    </w:rPr>
  </w:style>
  <w:style w:type="paragraph" w:customStyle="1" w:styleId="Headingb">
    <w:name w:val="Heading_b"/>
    <w:basedOn w:val="Heading3"/>
    <w:next w:val="Normal"/>
    <w:qFormat/>
    <w:pPr>
      <w:spacing w:before="160"/>
      <w:ind w:left="0" w:firstLine="0"/>
      <w:outlineLvl w:val="9"/>
    </w:pPr>
  </w:style>
  <w:style w:type="paragraph" w:customStyle="1" w:styleId="AnnexNo">
    <w:name w:val="Annex_No"/>
    <w:basedOn w:val="Normal"/>
    <w:next w:val="Normal"/>
    <w:qFormat/>
    <w:pPr>
      <w:keepNext/>
      <w:keepLines/>
      <w:spacing w:before="480" w:after="80"/>
      <w:jc w:val="center"/>
    </w:pPr>
    <w:rPr>
      <w:caps/>
      <w:sz w:val="28"/>
    </w:rPr>
  </w:style>
  <w:style w:type="paragraph" w:customStyle="1" w:styleId="Annexref">
    <w:name w:val="Annex_ref"/>
    <w:basedOn w:val="Normal"/>
    <w:next w:val="Normalaftertitle"/>
    <w:qFormat/>
    <w:pPr>
      <w:keepNext/>
      <w:keepLines/>
      <w:spacing w:after="280"/>
      <w:jc w:val="center"/>
    </w:pPr>
  </w:style>
  <w:style w:type="paragraph" w:customStyle="1" w:styleId="Annextitle">
    <w:name w:val="Annex_title"/>
    <w:basedOn w:val="Normal"/>
    <w:next w:val="Normal"/>
    <w:qFormat/>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qFormat/>
  </w:style>
  <w:style w:type="paragraph" w:customStyle="1" w:styleId="Appendixref">
    <w:name w:val="Appendix_ref"/>
    <w:basedOn w:val="Annexref"/>
    <w:next w:val="Normalaftertitle"/>
    <w:qFormat/>
  </w:style>
  <w:style w:type="paragraph" w:customStyle="1" w:styleId="Appendixtitle">
    <w:name w:val="Appendix_title"/>
    <w:basedOn w:val="Annextitle"/>
    <w:next w:val="Normal"/>
    <w:qFormat/>
  </w:style>
  <w:style w:type="paragraph" w:customStyle="1" w:styleId="Border">
    <w:name w:val="Border"/>
    <w:basedOn w:val="Normal"/>
    <w:qFormat/>
    <w:pPr>
      <w:pBdr>
        <w:bottom w:val="single" w:sz="6" w:space="0" w:color="auto"/>
      </w:pBdr>
      <w:tabs>
        <w:tab w:val="left" w:pos="170"/>
        <w:tab w:val="left" w:pos="567"/>
        <w:tab w:val="left" w:pos="737"/>
        <w:tab w:val="left" w:pos="2977"/>
        <w:tab w:val="left" w:pos="3266"/>
      </w:tabs>
      <w:spacing w:before="0" w:line="10" w:lineRule="exact"/>
      <w:ind w:left="28" w:right="28"/>
      <w:jc w:val="center"/>
    </w:pPr>
    <w:rPr>
      <w:b/>
      <w:sz w:val="20"/>
    </w:rPr>
  </w:style>
  <w:style w:type="paragraph" w:customStyle="1" w:styleId="Normalaftertitle0">
    <w:name w:val="Normal after title"/>
    <w:basedOn w:val="Normal"/>
    <w:next w:val="Normal"/>
    <w:qFormat/>
    <w:pPr>
      <w:spacing w:before="280"/>
    </w:pPr>
  </w:style>
  <w:style w:type="paragraph" w:customStyle="1" w:styleId="Proposal">
    <w:name w:val="Proposal"/>
    <w:basedOn w:val="Normal"/>
    <w:next w:val="Normal"/>
    <w:qFormat/>
    <w:pPr>
      <w:keepNext/>
      <w:spacing w:before="240"/>
    </w:pPr>
    <w:rPr>
      <w:rFonts w:hAnsi="Times New Roman Bold"/>
      <w:b/>
    </w:rPr>
  </w:style>
  <w:style w:type="paragraph" w:customStyle="1" w:styleId="Reasons">
    <w:name w:val="Reasons"/>
    <w:basedOn w:val="Normal"/>
    <w:qFormat/>
  </w:style>
  <w:style w:type="paragraph" w:customStyle="1" w:styleId="Section3">
    <w:name w:val="Section_3"/>
    <w:basedOn w:val="Section1"/>
    <w:qFormat/>
    <w:rPr>
      <w:b w:val="0"/>
    </w:rPr>
  </w:style>
  <w:style w:type="paragraph" w:customStyle="1" w:styleId="TableTextS5">
    <w:name w:val="Table_TextS5"/>
    <w:basedOn w:val="Normal"/>
    <w:qFormat/>
    <w:pPr>
      <w:tabs>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pPr>
      <w:overflowPunct/>
      <w:autoSpaceDE/>
      <w:autoSpaceDN/>
      <w:adjustRightInd/>
      <w:spacing w:before="240"/>
      <w:jc w:val="center"/>
      <w:textAlignment w:val="auto"/>
    </w:pPr>
    <w:rPr>
      <w:sz w:val="28"/>
    </w:rPr>
  </w:style>
  <w:style w:type="paragraph" w:customStyle="1" w:styleId="AppArtNo">
    <w:name w:val="App_Art_No"/>
    <w:basedOn w:val="ArtNo"/>
    <w:qFormat/>
  </w:style>
  <w:style w:type="paragraph" w:customStyle="1" w:styleId="AppArttitle">
    <w:name w:val="App_Art_title"/>
    <w:basedOn w:val="Arttitle"/>
    <w:qFormat/>
  </w:style>
  <w:style w:type="paragraph" w:customStyle="1" w:styleId="ApptoAnnex">
    <w:name w:val="App_to_Annex"/>
    <w:basedOn w:val="AppendixNo"/>
    <w:next w:val="Normal"/>
    <w:qFormat/>
  </w:style>
  <w:style w:type="paragraph" w:customStyle="1" w:styleId="Committee">
    <w:name w:val="Committee"/>
    <w:basedOn w:val="Normal"/>
    <w:qFormat/>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qFormat/>
    <w:rPr>
      <w:rFonts w:ascii="Times New Roman" w:hAnsi="Times New Roman"/>
      <w:sz w:val="18"/>
      <w:lang w:val="fr-FR" w:eastAsia="en-US"/>
    </w:rPr>
  </w:style>
  <w:style w:type="character" w:customStyle="1" w:styleId="FootnoteTextChar">
    <w:name w:val="Footnote Text Char"/>
    <w:basedOn w:val="DefaultParagraphFont"/>
    <w:link w:val="FootnoteText"/>
    <w:qFormat/>
    <w:rPr>
      <w:rFonts w:ascii="Times New Roman" w:hAnsi="Times New Roman"/>
      <w:sz w:val="22"/>
      <w:lang w:val="fr-FR" w:eastAsia="en-US"/>
    </w:rPr>
  </w:style>
  <w:style w:type="character" w:customStyle="1" w:styleId="HeaderChar">
    <w:name w:val="Header Char"/>
    <w:basedOn w:val="DefaultParagraphFont"/>
    <w:link w:val="Header"/>
    <w:qFormat/>
    <w:rPr>
      <w:rFonts w:ascii="Times New Roman" w:hAnsi="Times New Roman"/>
      <w:sz w:val="24"/>
      <w:lang w:val="fr-FR" w:eastAsia="en-US"/>
    </w:rPr>
  </w:style>
  <w:style w:type="paragraph" w:customStyle="1" w:styleId="Normalend">
    <w:name w:val="Normal_end"/>
    <w:basedOn w:val="Normal"/>
    <w:next w:val="Normal"/>
    <w:qFormat/>
    <w:rPr>
      <w:lang w:val="en-US"/>
    </w:rPr>
  </w:style>
  <w:style w:type="paragraph" w:customStyle="1" w:styleId="Part1">
    <w:name w:val="Part_1"/>
    <w:basedOn w:val="Section1"/>
    <w:next w:val="Section1"/>
    <w:qFormat/>
  </w:style>
  <w:style w:type="paragraph" w:customStyle="1" w:styleId="Subsection1">
    <w:name w:val="Subsection_1"/>
    <w:basedOn w:val="Section1"/>
    <w:next w:val="Normalaftertitle0"/>
    <w:qFormat/>
  </w:style>
  <w:style w:type="paragraph" w:customStyle="1" w:styleId="Volumetitle">
    <w:name w:val="Volume_title"/>
    <w:basedOn w:val="Normal"/>
    <w:qFormat/>
    <w:pPr>
      <w:jc w:val="center"/>
    </w:pPr>
    <w:rPr>
      <w:b/>
      <w:bCs/>
      <w:sz w:val="28"/>
      <w:szCs w:val="28"/>
    </w:rPr>
  </w:style>
  <w:style w:type="paragraph" w:customStyle="1" w:styleId="Headingsplit">
    <w:name w:val="Heading_split"/>
    <w:basedOn w:val="Headingi"/>
    <w:qFormat/>
    <w:rPr>
      <w:lang w:val="en-US"/>
    </w:rPr>
  </w:style>
  <w:style w:type="paragraph" w:customStyle="1" w:styleId="Normalsplit">
    <w:name w:val="Normal_split"/>
    <w:basedOn w:val="Normal"/>
    <w:qFormat/>
  </w:style>
  <w:style w:type="character" w:customStyle="1" w:styleId="Provsplit">
    <w:name w:val="Prov_split"/>
    <w:basedOn w:val="DefaultParagraphFont"/>
    <w:qFormat/>
    <w:rPr>
      <w:rFonts w:ascii="Times New Roman" w:hAnsi="Times New Roman"/>
    </w:rPr>
  </w:style>
  <w:style w:type="paragraph" w:customStyle="1" w:styleId="Tablesplit">
    <w:name w:val="Table_split"/>
    <w:basedOn w:val="Tabletext"/>
    <w:qFormat/>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style>
  <w:style w:type="paragraph" w:customStyle="1" w:styleId="Methodheading2">
    <w:name w:val="Method_heading2"/>
    <w:basedOn w:val="Heading2"/>
    <w:next w:val="Normal"/>
    <w:qFormat/>
  </w:style>
  <w:style w:type="paragraph" w:customStyle="1" w:styleId="Methodheading3">
    <w:name w:val="Method_heading3"/>
    <w:basedOn w:val="Heading3"/>
    <w:next w:val="Normal"/>
    <w:qFormat/>
  </w:style>
  <w:style w:type="paragraph" w:customStyle="1" w:styleId="Methodheading4">
    <w:name w:val="Method_heading4"/>
    <w:basedOn w:val="Heading4"/>
    <w:next w:val="Normal"/>
    <w:qFormat/>
  </w:style>
  <w:style w:type="paragraph" w:customStyle="1" w:styleId="MethodHeadingb">
    <w:name w:val="Method_Headingb"/>
    <w:basedOn w:val="Headingb"/>
    <w:qFormat/>
    <w:pPr>
      <w:overflowPunct/>
      <w:autoSpaceDE/>
      <w:autoSpaceDN/>
      <w:adjustRightInd/>
      <w:spacing w:before="0"/>
      <w:textAlignment w:val="auto"/>
    </w:pPr>
  </w:style>
  <w:style w:type="character" w:customStyle="1" w:styleId="href">
    <w:name w:val="href"/>
    <w:basedOn w:val="DefaultParagraphFont"/>
    <w:qFormat/>
  </w:style>
  <w:style w:type="paragraph" w:customStyle="1" w:styleId="HeadingSum">
    <w:name w:val="Heading_Sum"/>
    <w:basedOn w:val="Headingb"/>
    <w:next w:val="Normal"/>
    <w:qFormat/>
    <w:pPr>
      <w:spacing w:before="240"/>
    </w:pPr>
    <w:rPr>
      <w:sz w:val="22"/>
    </w:rPr>
  </w:style>
  <w:style w:type="paragraph" w:styleId="ListParagraph">
    <w:name w:val="List Paragraph"/>
    <w:basedOn w:val="Normal"/>
    <w:uiPriority w:val="34"/>
    <w:qFormat/>
    <w:pPr>
      <w:ind w:left="720"/>
      <w:contextualSpacing/>
    </w:pPr>
  </w:style>
  <w:style w:type="paragraph" w:customStyle="1" w:styleId="Tablefin">
    <w:name w:val="Table_fin"/>
    <w:basedOn w:val="Normal"/>
    <w:next w:val="Normal"/>
    <w:qFormat/>
    <w:pPr>
      <w:spacing w:before="0"/>
    </w:pPr>
    <w:rPr>
      <w:sz w:val="20"/>
      <w:lang w:val="en-GB"/>
    </w:rPr>
  </w:style>
  <w:style w:type="character" w:customStyle="1" w:styleId="BalloonTextChar">
    <w:name w:val="Balloon Text Char"/>
    <w:basedOn w:val="DefaultParagraphFont"/>
    <w:link w:val="BalloonText"/>
    <w:semiHidden/>
    <w:qFormat/>
    <w:rPr>
      <w:rFonts w:ascii="Segoe UI" w:hAnsi="Segoe UI" w:cs="Segoe UI"/>
      <w:sz w:val="18"/>
      <w:szCs w:val="18"/>
      <w:lang w:val="en-GB" w:eastAsia="en-US"/>
    </w:rPr>
  </w:style>
  <w:style w:type="paragraph" w:customStyle="1" w:styleId="AnnexNoTitle">
    <w:name w:val="Annex_NoTitle"/>
    <w:basedOn w:val="Normal"/>
    <w:next w:val="Normalaftertitle"/>
    <w:qFormat/>
    <w:pPr>
      <w:keepNext/>
      <w:keepLines/>
      <w:spacing w:before="480" w:after="80"/>
      <w:jc w:val="center"/>
      <w:outlineLvl w:val="0"/>
    </w:pPr>
    <w:rPr>
      <w:b/>
      <w:sz w:val="28"/>
    </w:rPr>
  </w:style>
  <w:style w:type="paragraph" w:customStyle="1" w:styleId="AppendixNoTitle">
    <w:name w:val="Appendix_NoTitle"/>
    <w:basedOn w:val="AnnexNoTitle"/>
    <w:next w:val="Normal"/>
    <w:qFormat/>
  </w:style>
  <w:style w:type="paragraph" w:customStyle="1" w:styleId="Blanc">
    <w:name w:val="Blanc"/>
    <w:basedOn w:val="Normal"/>
    <w:next w:val="Tabletext"/>
    <w:qFormat/>
    <w:pPr>
      <w:keepNext/>
      <w:keepLines/>
      <w:tabs>
        <w:tab w:val="clear" w:pos="794"/>
        <w:tab w:val="clear" w:pos="1191"/>
        <w:tab w:val="clear" w:pos="1588"/>
        <w:tab w:val="clear" w:pos="1985"/>
      </w:tabs>
      <w:spacing w:before="0"/>
    </w:pPr>
    <w:rPr>
      <w:sz w:val="16"/>
      <w:lang w:val="en-GB"/>
    </w:rPr>
  </w:style>
  <w:style w:type="paragraph" w:customStyle="1" w:styleId="Line">
    <w:name w:val="Line"/>
    <w:basedOn w:val="Normal"/>
    <w:next w:val="Normal"/>
    <w:qFormat/>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Summary">
    <w:name w:val="Summary"/>
    <w:basedOn w:val="Normal"/>
    <w:next w:val="Normalaftertitle"/>
    <w:qFormat/>
    <w:pPr>
      <w:spacing w:after="480"/>
    </w:pPr>
    <w:rPr>
      <w:szCs w:val="24"/>
      <w:lang w:val="en-US" w:eastAsia="zh-CN"/>
    </w:rPr>
  </w:style>
  <w:style w:type="paragraph" w:customStyle="1" w:styleId="TableLegendNote">
    <w:name w:val="Table_Legend_Note"/>
    <w:basedOn w:val="Tablelegend"/>
    <w:next w:val="Tablelegend"/>
    <w:uiPriority w:val="99"/>
    <w:qFormat/>
    <w:pPr>
      <w:ind w:left="-85" w:firstLine="0"/>
    </w:pPr>
    <w:rPr>
      <w:lang w:val="en-US"/>
    </w:rPr>
  </w:style>
  <w:style w:type="paragraph" w:customStyle="1" w:styleId="tocpart">
    <w:name w:val="tocpart"/>
    <w:basedOn w:val="Normal"/>
    <w:qFormat/>
    <w:pPr>
      <w:tabs>
        <w:tab w:val="clear" w:pos="794"/>
        <w:tab w:val="clear" w:pos="1191"/>
        <w:tab w:val="clear" w:pos="1588"/>
        <w:tab w:val="clear" w:pos="1985"/>
        <w:tab w:val="left" w:pos="2693"/>
        <w:tab w:val="left" w:pos="8789"/>
        <w:tab w:val="right" w:pos="9639"/>
      </w:tabs>
      <w:ind w:left="2693" w:hanging="2693"/>
    </w:pPr>
  </w:style>
  <w:style w:type="paragraph" w:customStyle="1" w:styleId="toctemp">
    <w:name w:val="toctemp"/>
    <w:basedOn w:val="Normal"/>
    <w:qFormat/>
    <w:pPr>
      <w:tabs>
        <w:tab w:val="clear" w:pos="794"/>
        <w:tab w:val="clear" w:pos="1191"/>
        <w:tab w:val="clear" w:pos="1588"/>
        <w:tab w:val="clear" w:pos="1985"/>
        <w:tab w:val="left" w:pos="2693"/>
        <w:tab w:val="left" w:leader="dot" w:pos="8789"/>
        <w:tab w:val="right" w:pos="9639"/>
      </w:tabs>
      <w:ind w:left="2693" w:right="964" w:hanging="2693"/>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ableNo0">
    <w:name w:val="Table_No Знак"/>
    <w:link w:val="TableNo"/>
    <w:uiPriority w:val="99"/>
    <w:qFormat/>
    <w:locked/>
    <w:rPr>
      <w:rFonts w:ascii="Times New Roman" w:hAnsi="Times New Roman"/>
      <w:sz w:val="24"/>
      <w:lang w:val="fr-FR" w:eastAsia="en-US"/>
    </w:rPr>
  </w:style>
  <w:style w:type="character" w:customStyle="1" w:styleId="Heading6Char">
    <w:name w:val="Heading 6 Char"/>
    <w:basedOn w:val="DefaultParagraphFont"/>
    <w:link w:val="Heading6"/>
    <w:qFormat/>
    <w:locked/>
    <w:rPr>
      <w:rFonts w:ascii="Times New Roman" w:hAnsi="Times New Roman"/>
      <w:b/>
      <w:sz w:val="24"/>
      <w:lang w:val="fr-FR" w:eastAsia="en-US"/>
    </w:rPr>
  </w:style>
  <w:style w:type="character" w:customStyle="1" w:styleId="Heading1Char">
    <w:name w:val="Heading 1 Char"/>
    <w:basedOn w:val="DefaultParagraphFont"/>
    <w:link w:val="Heading1"/>
    <w:uiPriority w:val="99"/>
    <w:locked/>
    <w:rsid w:val="0047509A"/>
    <w:rPr>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https://www.itu.int/rec/R-REC-M.1904-1-201909-I/en"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www.itu.int/rec/R-REC-M.2030-0-201212-I/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www.itu.int/rec/R-REC-M.1903-1-201909-I/en" TargetMode="External"/><Relationship Id="rId25" Type="http://schemas.openxmlformats.org/officeDocument/2006/relationships/hyperlink" Target="https://www.itu.int/pub/R-REP-M.2496" TargetMode="Externa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yperlink" Target="https://www.itu.int/rec/R-REC-M.1901-2-201909-I/en" TargetMode="External"/><Relationship Id="rId20" Type="http://schemas.openxmlformats.org/officeDocument/2006/relationships/hyperlink" Target="https://www.itu.int/rec/R-REC-M.1906-1-201509-I/en"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zh" TargetMode="External"/><Relationship Id="rId24" Type="http://schemas.openxmlformats.org/officeDocument/2006/relationships/hyperlink" Target="https://www.itu.int/pub/R-REP-M.2458" TargetMode="Externa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https://www.itu.int/rec/R-REC-M.1787-3-201803-I/en" TargetMode="External"/><Relationship Id="rId23" Type="http://schemas.openxmlformats.org/officeDocument/2006/relationships/hyperlink" Target="https://www.itu.int/pub/R-REP-M.2220" TargetMode="External"/><Relationship Id="rId28" Type="http://schemas.openxmlformats.org/officeDocument/2006/relationships/footer" Target="footer1.xml"/><Relationship Id="rId10" Type="http://schemas.openxmlformats.org/officeDocument/2006/relationships/header" Target="header3.xml"/><Relationship Id="rId19" Type="http://schemas.openxmlformats.org/officeDocument/2006/relationships/hyperlink" Target="https://www.itu.int/rec/R-REC-M.1905-1-201909-I/en"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tu.int/rec/R-REC-M.1318-1-200710-I/en" TargetMode="External"/><Relationship Id="rId22" Type="http://schemas.openxmlformats.org/officeDocument/2006/relationships/hyperlink" Target="https://www.itu.int/rec/R-REC-M.2031-1-201509-I/en" TargetMode="External"/><Relationship Id="rId27" Type="http://schemas.openxmlformats.org/officeDocument/2006/relationships/header" Target="header7.xml"/><Relationship Id="rId30" Type="http://schemas.openxmlformats.org/officeDocument/2006/relationships/footer" Target="footer2.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4247DA6A-F523-4184-81E9-574D42FF28E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BR_Rec_2005.dotm</Template>
  <TotalTime>43</TotalTime>
  <Pages>14</Pages>
  <Words>8950</Words>
  <Characters>3989</Characters>
  <Application>Microsoft Office Word</Application>
  <DocSecurity>0</DocSecurity>
  <Lines>33</Lines>
  <Paragraphs>25</Paragraphs>
  <ScaleCrop>false</ScaleCrop>
  <HeadingPairs>
    <vt:vector size="2" baseType="variant">
      <vt:variant>
        <vt:lpstr>Title</vt:lpstr>
      </vt:variant>
      <vt:variant>
        <vt:i4>1</vt:i4>
      </vt:variant>
    </vt:vector>
  </HeadingPairs>
  <TitlesOfParts>
    <vt:vector size="1" baseType="lpstr">
      <vt:lpstr>ITU-R  M.1902-2 建议书(01/2022) 在1 215-1 300 MHz频段内运行的卫星无线电导航业务（空对地）接收地球站的特性和保护标准</vt:lpstr>
    </vt:vector>
  </TitlesOfParts>
  <Company>ITU</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M.1902-2 建议书(01/2022) 在1 215-1 300 MHz频段内运行的卫星无线电导航业务（空对地）接收地球站的特性和保护标准</dc:title>
  <dc:subject>M Series = Mobile, radiodetermination, amateur and related satellite services</dc:subject>
  <dc:creator>ITU Radiocommunication Bureau (BR)</dc:creator>
  <cp:keywords>M,1902-2</cp:keywords>
  <dc:description>Gachetc, 26/09/2019, ITU51013811</dc:description>
  <cp:lastModifiedBy>Liu, Sanping</cp:lastModifiedBy>
  <cp:revision>9</cp:revision>
  <cp:lastPrinted>2022-03-23T08:14:00Z</cp:lastPrinted>
  <dcterms:created xsi:type="dcterms:W3CDTF">2022-03-22T12:07:00Z</dcterms:created>
  <dcterms:modified xsi:type="dcterms:W3CDTF">2022-03-23T08:22:00Z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Language">
    <vt:lpwstr>English</vt:lpwstr>
  </property>
  <property fmtid="{D5CDD505-2E9C-101B-9397-08002B2CF9AE}" pid="6" name="Typist">
    <vt:lpwstr>Gachetc</vt:lpwstr>
  </property>
  <property fmtid="{D5CDD505-2E9C-101B-9397-08002B2CF9AE}" pid="7" name="Date completed">
    <vt:lpwstr>26 September 2019</vt:lpwstr>
  </property>
  <property fmtid="{D5CDD505-2E9C-101B-9397-08002B2CF9AE}" pid="8" name="KSOProductBuildVer">
    <vt:lpwstr>2052-11.1.0.11365</vt:lpwstr>
  </property>
  <property fmtid="{D5CDD505-2E9C-101B-9397-08002B2CF9AE}" pid="9" name="ICV">
    <vt:lpwstr>51CE920FE7954A6E9BADF00805B2A2B1</vt:lpwstr>
  </property>
</Properties>
</file>