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81FC9" w14:textId="77777777" w:rsidR="00042292" w:rsidRPr="00575CB8" w:rsidRDefault="00042292" w:rsidP="00042292">
      <w:pPr>
        <w:rPr>
          <w:lang w:val="en-US"/>
        </w:rPr>
      </w:pPr>
    </w:p>
    <w:p w14:paraId="44782F0C" w14:textId="77777777" w:rsidR="00042292" w:rsidRDefault="00042292" w:rsidP="00042292"/>
    <w:p w14:paraId="51B1AEB5" w14:textId="77777777" w:rsidR="00042292" w:rsidRDefault="00042292" w:rsidP="00042292"/>
    <w:p w14:paraId="28883D4E" w14:textId="77777777" w:rsidR="00042292" w:rsidRDefault="00042292" w:rsidP="00042292"/>
    <w:p w14:paraId="0DA4B43A" w14:textId="77777777" w:rsidR="00042292" w:rsidRDefault="00042292" w:rsidP="00042292"/>
    <w:p w14:paraId="02A2D537" w14:textId="77777777" w:rsidR="00042292" w:rsidRDefault="00042292" w:rsidP="00042292"/>
    <w:p w14:paraId="3BDA3EAD" w14:textId="77777777" w:rsidR="00042292" w:rsidRDefault="00042292" w:rsidP="00042292"/>
    <w:p w14:paraId="3EA34652" w14:textId="77777777" w:rsidR="00042292" w:rsidRDefault="00042292" w:rsidP="00042292"/>
    <w:p w14:paraId="18CD8F9C" w14:textId="77777777" w:rsidR="00042292" w:rsidRDefault="00042292" w:rsidP="00042292"/>
    <w:tbl>
      <w:tblPr>
        <w:tblW w:w="10089" w:type="dxa"/>
        <w:tblLook w:val="01E0" w:firstRow="1" w:lastRow="1" w:firstColumn="1" w:lastColumn="1" w:noHBand="0" w:noVBand="0"/>
      </w:tblPr>
      <w:tblGrid>
        <w:gridCol w:w="10089"/>
      </w:tblGrid>
      <w:tr w:rsidR="00042292" w:rsidRPr="00003F25" w14:paraId="7F69432C" w14:textId="77777777" w:rsidTr="00A07AEB">
        <w:tc>
          <w:tcPr>
            <w:tcW w:w="10089" w:type="dxa"/>
          </w:tcPr>
          <w:p w14:paraId="210B02A7"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3E71963D" w14:textId="3A0F093E" w:rsidR="00042292" w:rsidRPr="00A07AEB" w:rsidRDefault="00042292" w:rsidP="0021735B">
            <w:pPr>
              <w:spacing w:before="380" w:line="280" w:lineRule="exact"/>
              <w:jc w:val="right"/>
              <w:rPr>
                <w:rFonts w:ascii="Tahoma" w:hAnsi="Tahoma" w:cs="Tahoma"/>
                <w:b/>
                <w:bCs/>
                <w:iCs/>
                <w:color w:val="243285"/>
                <w:sz w:val="36"/>
                <w:szCs w:val="36"/>
                <w:lang w:val="es-ES_tradnl"/>
              </w:rPr>
            </w:pPr>
            <w:proofErr w:type="gramStart"/>
            <w:r w:rsidRPr="00A07AEB">
              <w:rPr>
                <w:rFonts w:ascii="Tahoma" w:hAnsi="Tahoma" w:cs="Tahoma"/>
                <w:b/>
                <w:bCs/>
                <w:iCs/>
                <w:color w:val="243285"/>
                <w:sz w:val="36"/>
                <w:szCs w:val="36"/>
                <w:lang w:val="es-ES_tradnl"/>
              </w:rPr>
              <w:t>Recomendación  UIT</w:t>
            </w:r>
            <w:proofErr w:type="gramEnd"/>
            <w:r w:rsidRPr="00A07AEB">
              <w:rPr>
                <w:rFonts w:ascii="Tahoma" w:hAnsi="Tahoma" w:cs="Tahoma"/>
                <w:b/>
                <w:bCs/>
                <w:iCs/>
                <w:color w:val="243285"/>
                <w:sz w:val="36"/>
                <w:szCs w:val="36"/>
                <w:lang w:val="es-ES_tradnl"/>
              </w:rPr>
              <w:t xml:space="preserve">-R  </w:t>
            </w:r>
            <w:r w:rsidR="00567624">
              <w:rPr>
                <w:rFonts w:ascii="Tahoma" w:hAnsi="Tahoma" w:cs="Tahoma"/>
                <w:b/>
                <w:bCs/>
                <w:iCs/>
                <w:color w:val="243285"/>
                <w:sz w:val="36"/>
                <w:szCs w:val="36"/>
                <w:lang w:val="es-ES_tradnl"/>
              </w:rPr>
              <w:t>M.</w:t>
            </w:r>
            <w:r w:rsidR="002B7933">
              <w:rPr>
                <w:rFonts w:ascii="Tahoma" w:hAnsi="Tahoma" w:cs="Tahoma"/>
                <w:b/>
                <w:bCs/>
                <w:iCs/>
                <w:color w:val="243285"/>
                <w:sz w:val="36"/>
                <w:szCs w:val="36"/>
                <w:lang w:val="es-ES_tradnl"/>
              </w:rPr>
              <w:t>1902-1</w:t>
            </w:r>
          </w:p>
          <w:p w14:paraId="269D6646" w14:textId="6B01BBA1"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2B7933">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sidR="002B7933">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042292" w:rsidRPr="00384656" w14:paraId="67BEC7A8" w14:textId="77777777" w:rsidTr="00A07AEB">
        <w:tc>
          <w:tcPr>
            <w:tcW w:w="10089" w:type="dxa"/>
          </w:tcPr>
          <w:p w14:paraId="0442F496"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17ADCCE0"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01997190" w14:textId="7DB20B5E" w:rsidR="0021735B" w:rsidRDefault="002B7933" w:rsidP="0021735B">
            <w:pPr>
              <w:spacing w:before="80" w:line="500" w:lineRule="exact"/>
              <w:jc w:val="right"/>
              <w:rPr>
                <w:rFonts w:ascii="Tahoma" w:hAnsi="Tahoma" w:cs="Tahoma"/>
                <w:b/>
                <w:bCs/>
                <w:color w:val="243285"/>
                <w:sz w:val="44"/>
                <w:szCs w:val="44"/>
                <w:lang w:val="es-ES_tradnl"/>
              </w:rPr>
            </w:pPr>
            <w:r w:rsidRPr="002B7933">
              <w:rPr>
                <w:rFonts w:ascii="Tahoma" w:hAnsi="Tahoma" w:cs="Tahoma"/>
                <w:b/>
                <w:bCs/>
                <w:color w:val="243285"/>
                <w:sz w:val="44"/>
                <w:szCs w:val="44"/>
                <w:lang w:val="es-ES_tradnl"/>
              </w:rPr>
              <w:t xml:space="preserve">Características y criterios de protección de las estaciones terrenas receptoras </w:t>
            </w:r>
            <w:r w:rsidRPr="002B7933">
              <w:rPr>
                <w:rFonts w:ascii="Tahoma" w:hAnsi="Tahoma" w:cs="Tahoma"/>
                <w:b/>
                <w:bCs/>
                <w:color w:val="243285"/>
                <w:sz w:val="44"/>
                <w:szCs w:val="44"/>
                <w:lang w:val="es-ES_tradnl"/>
              </w:rPr>
              <w:br/>
              <w:t>del servicio de radionavegación por satélite (espacio-Tierra)</w:t>
            </w:r>
            <w:r>
              <w:rPr>
                <w:rFonts w:ascii="Tahoma" w:hAnsi="Tahoma" w:cs="Tahoma"/>
                <w:b/>
                <w:bCs/>
                <w:color w:val="243285"/>
                <w:sz w:val="44"/>
                <w:szCs w:val="44"/>
                <w:lang w:val="es-ES_tradnl"/>
              </w:rPr>
              <w:t xml:space="preserve"> </w:t>
            </w:r>
            <w:r w:rsidRPr="002B7933">
              <w:rPr>
                <w:rFonts w:ascii="Tahoma" w:hAnsi="Tahoma" w:cs="Tahoma"/>
                <w:b/>
                <w:bCs/>
                <w:color w:val="243285"/>
                <w:sz w:val="44"/>
                <w:szCs w:val="44"/>
                <w:lang w:val="es-ES_tradnl"/>
              </w:rPr>
              <w:t xml:space="preserve">que funcionan </w:t>
            </w:r>
            <w:r>
              <w:rPr>
                <w:rFonts w:ascii="Tahoma" w:hAnsi="Tahoma" w:cs="Tahoma"/>
                <w:b/>
                <w:bCs/>
                <w:color w:val="243285"/>
                <w:sz w:val="44"/>
                <w:szCs w:val="44"/>
                <w:lang w:val="es-ES_tradnl"/>
              </w:rPr>
              <w:br/>
            </w:r>
            <w:r w:rsidRPr="002B7933">
              <w:rPr>
                <w:rFonts w:ascii="Tahoma" w:hAnsi="Tahoma" w:cs="Tahoma"/>
                <w:b/>
                <w:bCs/>
                <w:color w:val="243285"/>
                <w:sz w:val="44"/>
                <w:szCs w:val="44"/>
                <w:lang w:val="es-ES_tradnl"/>
              </w:rPr>
              <w:t>en la banda 1 215-1 300 MHz</w:t>
            </w:r>
          </w:p>
          <w:p w14:paraId="76A66006"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384656" w14:paraId="31730A09" w14:textId="77777777" w:rsidTr="00A07AEB">
        <w:tc>
          <w:tcPr>
            <w:tcW w:w="10089" w:type="dxa"/>
          </w:tcPr>
          <w:p w14:paraId="1CFE589E"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649A5E0B"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1116B220"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2EBC3F35"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06D195F8"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2554C4ED" w14:textId="77777777" w:rsidR="00042292" w:rsidRPr="0026666F" w:rsidRDefault="00042292" w:rsidP="00042292">
      <w:pPr>
        <w:spacing w:before="80"/>
        <w:rPr>
          <w:i/>
          <w:sz w:val="22"/>
          <w:lang w:val="es-ES_tradnl"/>
        </w:rPr>
      </w:pPr>
    </w:p>
    <w:p w14:paraId="401380C7" w14:textId="77777777" w:rsidR="00042292" w:rsidRPr="0026666F" w:rsidRDefault="00042292" w:rsidP="00042292">
      <w:pPr>
        <w:spacing w:before="80"/>
        <w:rPr>
          <w:i/>
          <w:sz w:val="22"/>
          <w:lang w:val="es-ES_tradnl"/>
        </w:rPr>
      </w:pPr>
    </w:p>
    <w:p w14:paraId="4740337A" w14:textId="77777777" w:rsidR="00042292" w:rsidRPr="0026666F" w:rsidRDefault="00042292" w:rsidP="00042292">
      <w:pPr>
        <w:spacing w:before="80"/>
        <w:rPr>
          <w:i/>
          <w:sz w:val="22"/>
          <w:lang w:val="es-ES_tradnl"/>
        </w:rPr>
      </w:pPr>
    </w:p>
    <w:p w14:paraId="0503995A"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14:paraId="761ED6DA"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18255C23"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C4C76C4"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C75250E"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51B5AA2"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570DCCE" w14:textId="77777777" w:rsidR="00042292" w:rsidRPr="007C36CA" w:rsidRDefault="00042292" w:rsidP="00042292">
      <w:pPr>
        <w:spacing w:before="0"/>
        <w:jc w:val="center"/>
        <w:rPr>
          <w:sz w:val="22"/>
          <w:lang w:val="es-ES_tradnl"/>
        </w:rPr>
      </w:pPr>
    </w:p>
    <w:p w14:paraId="15D3B084"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384656" w14:paraId="7BA71B16" w14:textId="77777777" w:rsidTr="00CB1354">
        <w:tc>
          <w:tcPr>
            <w:tcW w:w="9360" w:type="dxa"/>
            <w:gridSpan w:val="2"/>
          </w:tcPr>
          <w:p w14:paraId="75277E15"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71CEC6F"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274C557E" w14:textId="77777777" w:rsidTr="00CB1354">
        <w:tc>
          <w:tcPr>
            <w:tcW w:w="1140" w:type="dxa"/>
          </w:tcPr>
          <w:p w14:paraId="54C7271B"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77342A6B"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14:paraId="20F6EAF0" w14:textId="77777777" w:rsidTr="00CB1354">
        <w:tc>
          <w:tcPr>
            <w:tcW w:w="1140" w:type="dxa"/>
          </w:tcPr>
          <w:p w14:paraId="367877C0"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4696C456"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384656" w14:paraId="0935A863" w14:textId="77777777" w:rsidTr="00CB1354">
        <w:tc>
          <w:tcPr>
            <w:tcW w:w="1140" w:type="dxa"/>
          </w:tcPr>
          <w:p w14:paraId="3B9FCEE8"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7CD16C53"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73A1EA69" w14:textId="77777777" w:rsidTr="00CB1354">
        <w:tc>
          <w:tcPr>
            <w:tcW w:w="1140" w:type="dxa"/>
          </w:tcPr>
          <w:p w14:paraId="6A8997BB"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3B8EE2DC"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42292" w:rsidRPr="00ED2695" w14:paraId="52E28AC2" w14:textId="77777777" w:rsidTr="00CB1354">
        <w:tc>
          <w:tcPr>
            <w:tcW w:w="1140" w:type="dxa"/>
            <w:shd w:val="clear" w:color="auto" w:fill="auto"/>
          </w:tcPr>
          <w:p w14:paraId="25AAABD7"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1F8F2DF3"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14:paraId="3F0AFB82" w14:textId="77777777" w:rsidTr="00CB1354">
        <w:tc>
          <w:tcPr>
            <w:tcW w:w="1140" w:type="dxa"/>
            <w:shd w:val="clear" w:color="auto" w:fill="auto"/>
          </w:tcPr>
          <w:p w14:paraId="57F21941"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7DBFB836"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384656" w14:paraId="0F9D443A" w14:textId="77777777" w:rsidTr="00CB1354">
        <w:tc>
          <w:tcPr>
            <w:tcW w:w="1140" w:type="dxa"/>
            <w:shd w:val="clear" w:color="auto" w:fill="F3F3F3"/>
          </w:tcPr>
          <w:p w14:paraId="235F88DD"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23124993"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042292" w:rsidRPr="00384656" w14:paraId="6FE46EC1" w14:textId="77777777" w:rsidTr="00CB1354">
        <w:tc>
          <w:tcPr>
            <w:tcW w:w="1140" w:type="dxa"/>
          </w:tcPr>
          <w:p w14:paraId="1F4F24E9"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3A47CF31"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54B07E0C" w14:textId="77777777" w:rsidTr="00CB1354">
        <w:tc>
          <w:tcPr>
            <w:tcW w:w="1140" w:type="dxa"/>
          </w:tcPr>
          <w:p w14:paraId="2979C7CB"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3FF27CF4"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042292" w:rsidRPr="00384656" w14:paraId="12AC487C" w14:textId="77777777" w:rsidTr="00CB1354">
        <w:tc>
          <w:tcPr>
            <w:tcW w:w="1140" w:type="dxa"/>
          </w:tcPr>
          <w:p w14:paraId="11E0714C"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6A672967"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726959EE" w14:textId="77777777" w:rsidTr="00CB1354">
        <w:tc>
          <w:tcPr>
            <w:tcW w:w="1140" w:type="dxa"/>
          </w:tcPr>
          <w:p w14:paraId="76657E62"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2EAE5E6D" w14:textId="77777777"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14:paraId="4E33F2B2" w14:textId="77777777" w:rsidTr="00CB1354">
        <w:tc>
          <w:tcPr>
            <w:tcW w:w="1140" w:type="dxa"/>
          </w:tcPr>
          <w:p w14:paraId="4EABF399"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35AD2367" w14:textId="77777777"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384656" w14:paraId="76D6182F" w14:textId="77777777" w:rsidTr="00CB1354">
        <w:tc>
          <w:tcPr>
            <w:tcW w:w="1140" w:type="dxa"/>
          </w:tcPr>
          <w:p w14:paraId="39F26D0F"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244E9C7C"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43C0927A" w14:textId="77777777" w:rsidTr="00CB1354">
        <w:tc>
          <w:tcPr>
            <w:tcW w:w="1140" w:type="dxa"/>
            <w:shd w:val="clear" w:color="auto" w:fill="auto"/>
          </w:tcPr>
          <w:p w14:paraId="0E6ACCCC"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323F5C31" w14:textId="77777777"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14:paraId="56D9C197" w14:textId="77777777" w:rsidTr="00CB1354">
        <w:tc>
          <w:tcPr>
            <w:tcW w:w="1140" w:type="dxa"/>
          </w:tcPr>
          <w:p w14:paraId="4DC02185"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5ED2C4EE" w14:textId="77777777"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384656" w14:paraId="3CD7D653" w14:textId="77777777" w:rsidTr="00CB1354">
        <w:tc>
          <w:tcPr>
            <w:tcW w:w="1140" w:type="dxa"/>
          </w:tcPr>
          <w:p w14:paraId="7AE4A39B"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306564C6"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4A2EFB1F" w14:textId="77777777" w:rsidTr="00CB1354">
        <w:tc>
          <w:tcPr>
            <w:tcW w:w="1140" w:type="dxa"/>
          </w:tcPr>
          <w:p w14:paraId="3F45F230"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7968F293" w14:textId="77777777"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0764A8B6"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5C02A929" w14:textId="77777777" w:rsidTr="00CB1354">
        <w:tc>
          <w:tcPr>
            <w:tcW w:w="720" w:type="dxa"/>
          </w:tcPr>
          <w:p w14:paraId="3BA8F66E"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384656" w14:paraId="0E96555C" w14:textId="77777777" w:rsidTr="00A07AEB">
        <w:tc>
          <w:tcPr>
            <w:tcW w:w="9360" w:type="dxa"/>
          </w:tcPr>
          <w:p w14:paraId="6D206382"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385569E3" w14:textId="77777777" w:rsidR="00042292" w:rsidRPr="00763D08" w:rsidRDefault="00042292" w:rsidP="00042292">
      <w:pPr>
        <w:spacing w:before="0"/>
        <w:jc w:val="center"/>
        <w:rPr>
          <w:sz w:val="22"/>
          <w:lang w:val="es-ES_tradnl"/>
        </w:rPr>
      </w:pPr>
    </w:p>
    <w:p w14:paraId="3FCBFD89"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0FCA42F8"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5D77E189" w14:textId="77777777" w:rsidR="00042292" w:rsidRPr="00763D08" w:rsidRDefault="00042292" w:rsidP="00042292">
      <w:pPr>
        <w:spacing w:before="0"/>
        <w:jc w:val="center"/>
        <w:rPr>
          <w:sz w:val="22"/>
          <w:lang w:val="es-ES_tradnl"/>
        </w:rPr>
      </w:pPr>
    </w:p>
    <w:p w14:paraId="5B141C82"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AD7FAD">
        <w:rPr>
          <w:sz w:val="20"/>
          <w:lang w:val="es-ES_tradnl"/>
        </w:rPr>
        <w:t>20</w:t>
      </w:r>
    </w:p>
    <w:p w14:paraId="2D969BF7" w14:textId="77777777" w:rsidR="00042292" w:rsidRPr="006C718C" w:rsidRDefault="00042292" w:rsidP="00042292">
      <w:pPr>
        <w:spacing w:before="80"/>
        <w:rPr>
          <w:sz w:val="18"/>
          <w:szCs w:val="18"/>
          <w:lang w:val="es-ES_tradnl"/>
        </w:rPr>
      </w:pPr>
      <w:r w:rsidRPr="00763D08">
        <w:rPr>
          <w:sz w:val="18"/>
          <w:szCs w:val="18"/>
          <w:lang w:val="es-ES_tradnl"/>
        </w:rPr>
        <w:lastRenderedPageBreak/>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5EA2C6C" w14:textId="77777777"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61FE718A" w14:textId="164F2FFE" w:rsidR="002B7933" w:rsidRDefault="002B7933" w:rsidP="0021735B">
      <w:pPr>
        <w:pStyle w:val="RecNo"/>
        <w:spacing w:before="0"/>
        <w:rPr>
          <w:lang w:val="es-ES_tradnl"/>
        </w:rPr>
      </w:pPr>
      <w:bookmarkStart w:id="2" w:name="irecnoe"/>
      <w:bookmarkEnd w:id="2"/>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M</w:t>
      </w:r>
      <w:r w:rsidRPr="0010336F">
        <w:rPr>
          <w:rStyle w:val="href"/>
          <w:lang w:val="es-ES_tradnl"/>
        </w:rPr>
        <w:t>.</w:t>
      </w:r>
      <w:r>
        <w:rPr>
          <w:rStyle w:val="href"/>
          <w:lang w:val="es-ES_tradnl"/>
        </w:rPr>
        <w:t>1902-1</w:t>
      </w:r>
    </w:p>
    <w:p w14:paraId="3B59694E" w14:textId="77777777" w:rsidR="002B7933" w:rsidRPr="001868A7" w:rsidRDefault="002B7933" w:rsidP="002B7933">
      <w:pPr>
        <w:pStyle w:val="Rectitle"/>
        <w:rPr>
          <w:lang w:val="es-ES_tradnl"/>
        </w:rPr>
      </w:pPr>
      <w:r w:rsidRPr="001868A7">
        <w:rPr>
          <w:lang w:val="es-ES_tradnl"/>
        </w:rPr>
        <w:t xml:space="preserve">Características y criterios de protección de las estaciones terrenas receptoras </w:t>
      </w:r>
      <w:r w:rsidRPr="001868A7">
        <w:rPr>
          <w:lang w:val="es-ES_tradnl"/>
        </w:rPr>
        <w:br/>
        <w:t xml:space="preserve">del servicio de radionavegación por satélite (espacio-Tierra) </w:t>
      </w:r>
      <w:r w:rsidRPr="001868A7">
        <w:rPr>
          <w:lang w:val="es-ES_tradnl"/>
        </w:rPr>
        <w:br/>
        <w:t>que funcionan en la banda 1 215-1 300 MHz</w:t>
      </w:r>
    </w:p>
    <w:p w14:paraId="7029BB03" w14:textId="77777777" w:rsidR="002B7933" w:rsidRPr="001868A7" w:rsidRDefault="002B7933" w:rsidP="002B7933">
      <w:pPr>
        <w:pStyle w:val="Recref"/>
        <w:rPr>
          <w:lang w:val="es-ES_tradnl"/>
        </w:rPr>
      </w:pPr>
      <w:r w:rsidRPr="001868A7">
        <w:rPr>
          <w:lang w:val="es-ES_tradnl"/>
        </w:rPr>
        <w:t>(Cuestiones UIT</w:t>
      </w:r>
      <w:r w:rsidRPr="001868A7">
        <w:rPr>
          <w:lang w:val="es-ES_tradnl"/>
        </w:rPr>
        <w:noBreakHyphen/>
        <w:t>R 217-2/4 y UIT</w:t>
      </w:r>
      <w:r w:rsidRPr="001868A7">
        <w:rPr>
          <w:lang w:val="es-ES_tradnl"/>
        </w:rPr>
        <w:noBreakHyphen/>
        <w:t>R 288/4)</w:t>
      </w:r>
    </w:p>
    <w:p w14:paraId="0BF84E97" w14:textId="77777777" w:rsidR="002B7933" w:rsidRPr="001868A7" w:rsidRDefault="002B7933" w:rsidP="002B7933">
      <w:pPr>
        <w:pStyle w:val="Recdate"/>
        <w:rPr>
          <w:lang w:val="es-ES_tradnl"/>
        </w:rPr>
      </w:pPr>
      <w:r w:rsidRPr="001868A7">
        <w:rPr>
          <w:lang w:val="es-ES_tradnl"/>
        </w:rPr>
        <w:t>(2012-2019)</w:t>
      </w:r>
    </w:p>
    <w:p w14:paraId="1F094F85" w14:textId="77777777" w:rsidR="002B7933" w:rsidRPr="001868A7" w:rsidRDefault="002B7933" w:rsidP="002B7933">
      <w:pPr>
        <w:pStyle w:val="HeadingSum"/>
      </w:pPr>
      <w:r w:rsidRPr="001868A7">
        <w:t>Cometido</w:t>
      </w:r>
    </w:p>
    <w:p w14:paraId="433C59BD" w14:textId="791441E6" w:rsidR="002B7933" w:rsidRDefault="002B7933" w:rsidP="002B7933">
      <w:pPr>
        <w:pStyle w:val="Summary"/>
      </w:pPr>
      <w:r w:rsidRPr="001868A7">
        <w:t>En esta Recomendación figuran las características y los criterios de protección de las estaciones terrenas receptoras del servicio de radionavegación por satélite (SRNS) que funcionan en la banda 1 215</w:t>
      </w:r>
      <w:r w:rsidRPr="001868A7">
        <w:noBreakHyphen/>
        <w:t>1 300 MHz. Dicha información está destinada a analizar los efectos de la interferencia de radiofrecuencia en los receptores del SRNS (espacio-Tierra) que funcionan en la banda 1 215</w:t>
      </w:r>
      <w:r w:rsidRPr="001868A7">
        <w:noBreakHyphen/>
        <w:t>1 300 MHz causada por otras fuentes radioeléctricas distintas del SRNS.</w:t>
      </w:r>
    </w:p>
    <w:p w14:paraId="65FDC1FF" w14:textId="77777777" w:rsidR="00111A59" w:rsidRPr="00111A59" w:rsidRDefault="00111A59" w:rsidP="006E295C">
      <w:pPr>
        <w:pStyle w:val="Headingb"/>
        <w:rPr>
          <w:lang w:val="es-ES"/>
        </w:rPr>
      </w:pPr>
      <w:r w:rsidRPr="00111A59">
        <w:rPr>
          <w:lang w:val="es-ES"/>
        </w:rPr>
        <w:t>Palabras clave</w:t>
      </w:r>
    </w:p>
    <w:p w14:paraId="5308387D" w14:textId="77777777" w:rsidR="00111A59" w:rsidRPr="00111A59" w:rsidRDefault="00111A59" w:rsidP="006E295C">
      <w:pPr>
        <w:rPr>
          <w:lang w:val="es-ES"/>
        </w:rPr>
      </w:pPr>
      <w:r w:rsidRPr="00111A59">
        <w:rPr>
          <w:lang w:val="es-ES"/>
        </w:rPr>
        <w:t xml:space="preserve">SRNS, criterios de protección, efectos de la interferencia de radiofrecuencia </w:t>
      </w:r>
    </w:p>
    <w:p w14:paraId="7D6BFFFA" w14:textId="77777777" w:rsidR="00111A59" w:rsidRPr="00111A59" w:rsidRDefault="00111A59" w:rsidP="006E295C">
      <w:pPr>
        <w:pStyle w:val="Headingb"/>
        <w:rPr>
          <w:lang w:val="es-ES"/>
        </w:rPr>
      </w:pPr>
      <w:r w:rsidRPr="00111A59">
        <w:rPr>
          <w:lang w:val="es-ES"/>
        </w:rPr>
        <w:t>Abreviaturas/Glosario</w:t>
      </w:r>
    </w:p>
    <w:p w14:paraId="33482197" w14:textId="77777777" w:rsidR="00111A59" w:rsidRPr="00111A59" w:rsidRDefault="00111A59" w:rsidP="006E295C">
      <w:pPr>
        <w:rPr>
          <w:lang w:val="es-ES"/>
        </w:rPr>
      </w:pPr>
      <w:r w:rsidRPr="00111A59">
        <w:rPr>
          <w:lang w:val="es-ES"/>
        </w:rPr>
        <w:t xml:space="preserve">AWGN </w:t>
      </w:r>
      <w:r w:rsidRPr="00111A59">
        <w:rPr>
          <w:lang w:val="es-ES"/>
        </w:rPr>
        <w:tab/>
        <w:t>Ruido blanco gaussiano aditivo (</w:t>
      </w:r>
      <w:proofErr w:type="spellStart"/>
      <w:r w:rsidRPr="00111A59">
        <w:rPr>
          <w:i/>
          <w:iCs/>
          <w:lang w:val="es-ES"/>
        </w:rPr>
        <w:t>additive</w:t>
      </w:r>
      <w:proofErr w:type="spellEnd"/>
      <w:r w:rsidRPr="00111A59">
        <w:rPr>
          <w:i/>
          <w:iCs/>
          <w:lang w:val="es-ES"/>
        </w:rPr>
        <w:t xml:space="preserve"> </w:t>
      </w:r>
      <w:proofErr w:type="spellStart"/>
      <w:r w:rsidRPr="00111A59">
        <w:rPr>
          <w:i/>
          <w:iCs/>
          <w:lang w:val="es-ES"/>
        </w:rPr>
        <w:t>white</w:t>
      </w:r>
      <w:proofErr w:type="spellEnd"/>
      <w:r w:rsidRPr="00111A59">
        <w:rPr>
          <w:i/>
          <w:iCs/>
          <w:lang w:val="es-ES"/>
        </w:rPr>
        <w:t xml:space="preserve"> </w:t>
      </w:r>
      <w:proofErr w:type="spellStart"/>
      <w:r w:rsidRPr="00111A59">
        <w:rPr>
          <w:i/>
          <w:iCs/>
          <w:lang w:val="es-ES"/>
        </w:rPr>
        <w:t>gaussian</w:t>
      </w:r>
      <w:proofErr w:type="spellEnd"/>
      <w:r w:rsidRPr="00111A59">
        <w:rPr>
          <w:i/>
          <w:iCs/>
          <w:lang w:val="es-ES"/>
        </w:rPr>
        <w:t xml:space="preserve"> </w:t>
      </w:r>
      <w:proofErr w:type="spellStart"/>
      <w:r w:rsidRPr="00111A59">
        <w:rPr>
          <w:i/>
          <w:iCs/>
          <w:lang w:val="es-ES"/>
        </w:rPr>
        <w:t>noise</w:t>
      </w:r>
      <w:proofErr w:type="spellEnd"/>
      <w:r w:rsidRPr="00111A59">
        <w:rPr>
          <w:lang w:val="es-ES"/>
        </w:rPr>
        <w:t>)</w:t>
      </w:r>
    </w:p>
    <w:p w14:paraId="713D7CC9" w14:textId="77777777" w:rsidR="00111A59" w:rsidRPr="00111A59" w:rsidRDefault="00111A59" w:rsidP="006E295C">
      <w:pPr>
        <w:rPr>
          <w:lang w:val="es-ES"/>
        </w:rPr>
      </w:pPr>
      <w:r w:rsidRPr="00111A59">
        <w:rPr>
          <w:lang w:val="es-ES"/>
        </w:rPr>
        <w:t>PDC</w:t>
      </w:r>
      <w:r w:rsidRPr="00111A59">
        <w:rPr>
          <w:lang w:val="es-ES"/>
        </w:rPr>
        <w:tab/>
      </w:r>
      <w:r w:rsidRPr="00111A59">
        <w:rPr>
          <w:lang w:val="es-ES"/>
        </w:rPr>
        <w:tab/>
        <w:t>Ciclo de trabajo impulsivo (</w:t>
      </w:r>
      <w:r w:rsidRPr="00111A59">
        <w:rPr>
          <w:i/>
          <w:iCs/>
          <w:lang w:val="es-ES"/>
        </w:rPr>
        <w:t xml:space="preserve">pulse </w:t>
      </w:r>
      <w:proofErr w:type="spellStart"/>
      <w:r w:rsidRPr="00111A59">
        <w:rPr>
          <w:i/>
          <w:iCs/>
          <w:lang w:val="es-ES"/>
        </w:rPr>
        <w:t>duty</w:t>
      </w:r>
      <w:proofErr w:type="spellEnd"/>
      <w:r w:rsidRPr="00111A59">
        <w:rPr>
          <w:i/>
          <w:iCs/>
          <w:lang w:val="es-ES"/>
        </w:rPr>
        <w:t xml:space="preserve"> </w:t>
      </w:r>
      <w:proofErr w:type="spellStart"/>
      <w:r w:rsidRPr="00111A59">
        <w:rPr>
          <w:i/>
          <w:iCs/>
          <w:lang w:val="es-ES"/>
        </w:rPr>
        <w:t>cycle</w:t>
      </w:r>
      <w:proofErr w:type="spellEnd"/>
      <w:r w:rsidRPr="00111A59">
        <w:rPr>
          <w:lang w:val="es-ES"/>
        </w:rPr>
        <w:t>)</w:t>
      </w:r>
    </w:p>
    <w:p w14:paraId="5EE9308A" w14:textId="77777777" w:rsidR="00111A59" w:rsidRPr="00111A59" w:rsidRDefault="00111A59" w:rsidP="006E295C">
      <w:pPr>
        <w:rPr>
          <w:lang w:val="es-ES"/>
        </w:rPr>
      </w:pPr>
      <w:r w:rsidRPr="00111A59">
        <w:rPr>
          <w:lang w:val="es-ES"/>
        </w:rPr>
        <w:t xml:space="preserve">PNT </w:t>
      </w:r>
      <w:r w:rsidRPr="00111A59">
        <w:rPr>
          <w:lang w:val="es-ES"/>
        </w:rPr>
        <w:tab/>
      </w:r>
      <w:r w:rsidRPr="00111A59">
        <w:rPr>
          <w:lang w:val="es-ES"/>
        </w:rPr>
        <w:tab/>
        <w:t>Posición, navegación y temporización</w:t>
      </w:r>
    </w:p>
    <w:p w14:paraId="32F81259" w14:textId="77777777" w:rsidR="00111A59" w:rsidRPr="00111A59" w:rsidRDefault="00111A59" w:rsidP="006E295C">
      <w:pPr>
        <w:rPr>
          <w:lang w:val="es-ES"/>
        </w:rPr>
      </w:pPr>
      <w:r w:rsidRPr="00111A59">
        <w:rPr>
          <w:lang w:val="es-ES"/>
        </w:rPr>
        <w:t xml:space="preserve">PRF </w:t>
      </w:r>
      <w:r w:rsidRPr="00111A59">
        <w:rPr>
          <w:lang w:val="es-ES"/>
        </w:rPr>
        <w:tab/>
      </w:r>
      <w:r w:rsidRPr="00111A59">
        <w:rPr>
          <w:lang w:val="es-ES"/>
        </w:rPr>
        <w:tab/>
        <w:t>Frecuencia de repetición de impulsos (</w:t>
      </w:r>
      <w:r w:rsidRPr="00111A59">
        <w:rPr>
          <w:i/>
          <w:iCs/>
          <w:lang w:val="es-ES"/>
        </w:rPr>
        <w:t xml:space="preserve">Pulse </w:t>
      </w:r>
      <w:proofErr w:type="spellStart"/>
      <w:r w:rsidRPr="00111A59">
        <w:rPr>
          <w:i/>
          <w:iCs/>
          <w:lang w:val="es-ES"/>
        </w:rPr>
        <w:t>repetition</w:t>
      </w:r>
      <w:proofErr w:type="spellEnd"/>
      <w:r w:rsidRPr="00111A59">
        <w:rPr>
          <w:i/>
          <w:iCs/>
          <w:lang w:val="es-ES"/>
        </w:rPr>
        <w:t xml:space="preserve"> </w:t>
      </w:r>
      <w:proofErr w:type="spellStart"/>
      <w:r w:rsidRPr="00111A59">
        <w:rPr>
          <w:i/>
          <w:iCs/>
          <w:lang w:val="es-ES"/>
        </w:rPr>
        <w:t>frequency</w:t>
      </w:r>
      <w:proofErr w:type="spellEnd"/>
      <w:r w:rsidRPr="00111A59">
        <w:rPr>
          <w:lang w:val="es-ES"/>
        </w:rPr>
        <w:t>)</w:t>
      </w:r>
    </w:p>
    <w:p w14:paraId="71E4AF9A" w14:textId="77777777" w:rsidR="00111A59" w:rsidRPr="00111A59" w:rsidRDefault="00111A59" w:rsidP="006E295C">
      <w:pPr>
        <w:rPr>
          <w:lang w:val="es-ES"/>
        </w:rPr>
      </w:pPr>
      <w:r w:rsidRPr="00111A59">
        <w:rPr>
          <w:lang w:val="es-ES"/>
        </w:rPr>
        <w:t xml:space="preserve">RHCP </w:t>
      </w:r>
      <w:r w:rsidRPr="00111A59">
        <w:rPr>
          <w:lang w:val="es-ES"/>
        </w:rPr>
        <w:tab/>
      </w:r>
      <w:r w:rsidRPr="00111A59">
        <w:rPr>
          <w:lang w:val="es-ES"/>
        </w:rPr>
        <w:tab/>
        <w:t>Polarización circular dextrógira (</w:t>
      </w:r>
      <w:proofErr w:type="spellStart"/>
      <w:r w:rsidRPr="00111A59">
        <w:rPr>
          <w:i/>
          <w:iCs/>
          <w:lang w:val="es-ES"/>
        </w:rPr>
        <w:t>Right-hand</w:t>
      </w:r>
      <w:proofErr w:type="spellEnd"/>
      <w:r w:rsidRPr="00111A59">
        <w:rPr>
          <w:i/>
          <w:iCs/>
          <w:lang w:val="es-ES"/>
        </w:rPr>
        <w:t xml:space="preserve"> circular </w:t>
      </w:r>
      <w:proofErr w:type="spellStart"/>
      <w:r w:rsidRPr="00111A59">
        <w:rPr>
          <w:i/>
          <w:iCs/>
          <w:lang w:val="es-ES"/>
        </w:rPr>
        <w:t>polarization</w:t>
      </w:r>
      <w:proofErr w:type="spellEnd"/>
      <w:r w:rsidRPr="00111A59">
        <w:rPr>
          <w:lang w:val="es-ES"/>
        </w:rPr>
        <w:t>)</w:t>
      </w:r>
    </w:p>
    <w:p w14:paraId="6D31ADE4" w14:textId="5CF5028F" w:rsidR="00111A59" w:rsidRPr="006E295C" w:rsidRDefault="00111A59" w:rsidP="006E295C">
      <w:pPr>
        <w:rPr>
          <w:spacing w:val="-6"/>
          <w:lang w:val="es-ES"/>
        </w:rPr>
      </w:pPr>
      <w:r w:rsidRPr="006E295C">
        <w:rPr>
          <w:spacing w:val="-6"/>
          <w:lang w:val="es-ES"/>
        </w:rPr>
        <w:t xml:space="preserve">SQPN </w:t>
      </w:r>
      <w:r w:rsidRPr="006E295C">
        <w:rPr>
          <w:spacing w:val="-6"/>
          <w:lang w:val="es-ES"/>
        </w:rPr>
        <w:tab/>
      </w:r>
      <w:r w:rsidRPr="006E295C">
        <w:rPr>
          <w:spacing w:val="-6"/>
          <w:lang w:val="es-ES"/>
        </w:rPr>
        <w:tab/>
        <w:t xml:space="preserve">Ruido </w:t>
      </w:r>
      <w:proofErr w:type="spellStart"/>
      <w:r w:rsidRPr="006E295C">
        <w:rPr>
          <w:spacing w:val="-6"/>
          <w:lang w:val="es-ES"/>
        </w:rPr>
        <w:t>seudoaleatorio</w:t>
      </w:r>
      <w:proofErr w:type="spellEnd"/>
      <w:r w:rsidRPr="006E295C">
        <w:rPr>
          <w:spacing w:val="-6"/>
          <w:lang w:val="es-ES"/>
        </w:rPr>
        <w:t xml:space="preserve"> escalonado en cuadratura (</w:t>
      </w:r>
      <w:proofErr w:type="spellStart"/>
      <w:r w:rsidRPr="006E295C">
        <w:rPr>
          <w:i/>
          <w:iCs/>
          <w:spacing w:val="-6"/>
          <w:lang w:val="es-ES"/>
        </w:rPr>
        <w:t>Staggered</w:t>
      </w:r>
      <w:proofErr w:type="spellEnd"/>
      <w:r w:rsidRPr="006E295C">
        <w:rPr>
          <w:i/>
          <w:iCs/>
          <w:spacing w:val="-6"/>
          <w:lang w:val="es-ES"/>
        </w:rPr>
        <w:t xml:space="preserve"> </w:t>
      </w:r>
      <w:proofErr w:type="spellStart"/>
      <w:r w:rsidRPr="006E295C">
        <w:rPr>
          <w:i/>
          <w:iCs/>
          <w:spacing w:val="-6"/>
          <w:lang w:val="es-ES"/>
        </w:rPr>
        <w:t>quadrature</w:t>
      </w:r>
      <w:proofErr w:type="spellEnd"/>
      <w:r w:rsidRPr="006E295C">
        <w:rPr>
          <w:i/>
          <w:iCs/>
          <w:spacing w:val="-6"/>
          <w:lang w:val="es-ES"/>
        </w:rPr>
        <w:t xml:space="preserve"> </w:t>
      </w:r>
      <w:proofErr w:type="spellStart"/>
      <w:r w:rsidRPr="006E295C">
        <w:rPr>
          <w:i/>
          <w:iCs/>
          <w:spacing w:val="-6"/>
          <w:lang w:val="es-ES"/>
        </w:rPr>
        <w:t>pseudo-random</w:t>
      </w:r>
      <w:proofErr w:type="spellEnd"/>
      <w:r w:rsidRPr="006E295C">
        <w:rPr>
          <w:i/>
          <w:iCs/>
          <w:spacing w:val="-6"/>
          <w:lang w:val="es-ES"/>
        </w:rPr>
        <w:t xml:space="preserve"> </w:t>
      </w:r>
      <w:proofErr w:type="spellStart"/>
      <w:r w:rsidRPr="006E295C">
        <w:rPr>
          <w:i/>
          <w:iCs/>
          <w:spacing w:val="-6"/>
          <w:lang w:val="es-ES"/>
        </w:rPr>
        <w:t>noise</w:t>
      </w:r>
      <w:proofErr w:type="spellEnd"/>
      <w:r w:rsidRPr="006E295C">
        <w:rPr>
          <w:spacing w:val="-6"/>
          <w:lang w:val="es-ES"/>
        </w:rPr>
        <w:t>)</w:t>
      </w:r>
    </w:p>
    <w:p w14:paraId="25E8E2EA" w14:textId="77777777" w:rsidR="00111A59" w:rsidRPr="00111A59" w:rsidRDefault="00111A59" w:rsidP="006E295C">
      <w:pPr>
        <w:rPr>
          <w:lang w:val="es-ES"/>
        </w:rPr>
      </w:pPr>
      <w:r w:rsidRPr="00111A59">
        <w:rPr>
          <w:lang w:val="es-ES"/>
        </w:rPr>
        <w:t xml:space="preserve">SQPSK </w:t>
      </w:r>
      <w:r w:rsidRPr="00111A59">
        <w:rPr>
          <w:lang w:val="es-ES"/>
        </w:rPr>
        <w:tab/>
        <w:t>Modulación por desplazamiento alternado de fase en cuadratura (</w:t>
      </w:r>
      <w:proofErr w:type="spellStart"/>
      <w:r w:rsidRPr="00111A59">
        <w:rPr>
          <w:i/>
          <w:iCs/>
          <w:lang w:val="es-ES"/>
        </w:rPr>
        <w:t>Staggered</w:t>
      </w:r>
      <w:proofErr w:type="spellEnd"/>
      <w:r w:rsidRPr="00111A59">
        <w:rPr>
          <w:i/>
          <w:iCs/>
          <w:lang w:val="es-ES"/>
        </w:rPr>
        <w:t xml:space="preserve"> </w:t>
      </w:r>
      <w:proofErr w:type="spellStart"/>
      <w:r w:rsidRPr="00111A59">
        <w:rPr>
          <w:i/>
          <w:iCs/>
          <w:lang w:val="es-ES"/>
        </w:rPr>
        <w:t>quadrature</w:t>
      </w:r>
      <w:proofErr w:type="spellEnd"/>
      <w:r w:rsidRPr="00111A59">
        <w:rPr>
          <w:i/>
          <w:iCs/>
          <w:lang w:val="es-ES"/>
        </w:rPr>
        <w:t xml:space="preserve"> </w:t>
      </w:r>
      <w:r w:rsidRPr="00111A59">
        <w:rPr>
          <w:i/>
          <w:iCs/>
          <w:lang w:val="es-ES"/>
        </w:rPr>
        <w:tab/>
      </w:r>
      <w:r w:rsidRPr="00111A59">
        <w:rPr>
          <w:i/>
          <w:iCs/>
          <w:lang w:val="es-ES"/>
        </w:rPr>
        <w:tab/>
      </w:r>
      <w:proofErr w:type="spellStart"/>
      <w:r w:rsidRPr="00111A59">
        <w:rPr>
          <w:i/>
          <w:iCs/>
          <w:lang w:val="es-ES"/>
        </w:rPr>
        <w:t>phase</w:t>
      </w:r>
      <w:proofErr w:type="spellEnd"/>
      <w:r w:rsidRPr="00111A59">
        <w:rPr>
          <w:i/>
          <w:iCs/>
          <w:lang w:val="es-ES"/>
        </w:rPr>
        <w:t xml:space="preserve">-shift </w:t>
      </w:r>
      <w:proofErr w:type="spellStart"/>
      <w:r w:rsidRPr="00111A59">
        <w:rPr>
          <w:i/>
          <w:iCs/>
          <w:lang w:val="es-ES"/>
        </w:rPr>
        <w:t>keying</w:t>
      </w:r>
      <w:proofErr w:type="spellEnd"/>
      <w:r w:rsidRPr="00111A59">
        <w:rPr>
          <w:lang w:val="es-ES"/>
        </w:rPr>
        <w:t>)</w:t>
      </w:r>
    </w:p>
    <w:p w14:paraId="7255F1D0" w14:textId="77777777" w:rsidR="00111A59" w:rsidRPr="00111A59" w:rsidRDefault="00111A59" w:rsidP="006E295C">
      <w:pPr>
        <w:rPr>
          <w:lang w:val="es-ES"/>
        </w:rPr>
      </w:pPr>
      <w:r w:rsidRPr="00111A59">
        <w:rPr>
          <w:lang w:val="es-ES"/>
        </w:rPr>
        <w:t xml:space="preserve">SSC </w:t>
      </w:r>
      <w:r w:rsidRPr="00111A59">
        <w:rPr>
          <w:lang w:val="es-ES"/>
        </w:rPr>
        <w:tab/>
      </w:r>
      <w:r w:rsidRPr="00111A59">
        <w:rPr>
          <w:lang w:val="es-ES"/>
        </w:rPr>
        <w:tab/>
        <w:t>Coeficiente de separación espectral (</w:t>
      </w:r>
      <w:proofErr w:type="spellStart"/>
      <w:r w:rsidRPr="00111A59">
        <w:rPr>
          <w:i/>
          <w:iCs/>
          <w:lang w:val="es-ES"/>
        </w:rPr>
        <w:t>Spectral</w:t>
      </w:r>
      <w:proofErr w:type="spellEnd"/>
      <w:r w:rsidRPr="00111A59">
        <w:rPr>
          <w:i/>
          <w:iCs/>
          <w:lang w:val="es-ES"/>
        </w:rPr>
        <w:t xml:space="preserve"> </w:t>
      </w:r>
      <w:proofErr w:type="spellStart"/>
      <w:r w:rsidRPr="00111A59">
        <w:rPr>
          <w:i/>
          <w:iCs/>
          <w:lang w:val="es-ES"/>
        </w:rPr>
        <w:t>Separation</w:t>
      </w:r>
      <w:proofErr w:type="spellEnd"/>
      <w:r w:rsidRPr="00111A59">
        <w:rPr>
          <w:i/>
          <w:iCs/>
          <w:lang w:val="es-ES"/>
        </w:rPr>
        <w:t xml:space="preserve"> </w:t>
      </w:r>
      <w:proofErr w:type="spellStart"/>
      <w:r w:rsidRPr="00111A59">
        <w:rPr>
          <w:i/>
          <w:iCs/>
          <w:lang w:val="es-ES"/>
        </w:rPr>
        <w:t>Coefficient</w:t>
      </w:r>
      <w:proofErr w:type="spellEnd"/>
      <w:r w:rsidRPr="00111A59">
        <w:rPr>
          <w:lang w:val="es-ES"/>
        </w:rPr>
        <w:t>)</w:t>
      </w:r>
    </w:p>
    <w:p w14:paraId="0DFC8007" w14:textId="77777777" w:rsidR="00111A59" w:rsidRPr="00111A59" w:rsidRDefault="00111A59" w:rsidP="006E295C">
      <w:pPr>
        <w:pStyle w:val="Headingb"/>
        <w:rPr>
          <w:lang w:val="es-ES"/>
        </w:rPr>
      </w:pPr>
      <w:r w:rsidRPr="00111A59">
        <w:rPr>
          <w:lang w:val="es-ES"/>
        </w:rPr>
        <w:t>Recomendaciones e Informes de la UIT conexos</w:t>
      </w:r>
    </w:p>
    <w:p w14:paraId="2AC84856" w14:textId="77777777" w:rsidR="00111A59" w:rsidRPr="00111A59" w:rsidRDefault="00111A59" w:rsidP="006E295C">
      <w:pPr>
        <w:ind w:left="3600" w:hanging="3600"/>
        <w:rPr>
          <w:lang w:val="es-ES"/>
        </w:rPr>
      </w:pPr>
      <w:r w:rsidRPr="00111A59">
        <w:rPr>
          <w:lang w:val="es-ES"/>
        </w:rPr>
        <w:t>Recomendación UIT-R M.1318-1</w:t>
      </w:r>
      <w:r w:rsidRPr="00111A59">
        <w:rPr>
          <w:lang w:val="es-ES"/>
        </w:rPr>
        <w:tab/>
        <w:t xml:space="preserve">Modelo de evaluación de interferencias </w:t>
      </w:r>
      <w:proofErr w:type="gramStart"/>
      <w:r w:rsidRPr="00111A59">
        <w:rPr>
          <w:lang w:val="es-ES"/>
        </w:rPr>
        <w:t>continuas</w:t>
      </w:r>
      <w:proofErr w:type="gramEnd"/>
      <w:r w:rsidRPr="00111A59">
        <w:rPr>
          <w:lang w:val="es-ES"/>
        </w:rPr>
        <w:t xml:space="preserve"> causadas por otras fuentes radioeléctricas distintas a las del servicio de radionavegación por satélite a los sistemas y redes del servicio de radionavegación por satélite en las bandas 1 164-1 215 MHz, 1 215-1 300 MHz, 1 559-1 610 MHz y 5 010-5 030 MHz</w:t>
      </w:r>
    </w:p>
    <w:p w14:paraId="608BE322" w14:textId="36E62881" w:rsidR="00111A59" w:rsidRPr="00111A59" w:rsidRDefault="00111A59" w:rsidP="006E295C">
      <w:pPr>
        <w:ind w:left="3600" w:hanging="3600"/>
        <w:rPr>
          <w:lang w:val="es-ES"/>
        </w:rPr>
      </w:pPr>
      <w:r w:rsidRPr="00111A59">
        <w:rPr>
          <w:lang w:val="es-ES"/>
        </w:rPr>
        <w:t>Recomendación UIT-R M.1787-3</w:t>
      </w:r>
      <w:r w:rsidRPr="00111A59">
        <w:rPr>
          <w:lang w:val="es-ES"/>
        </w:rPr>
        <w:tab/>
        <w:t xml:space="preserve">Descripción de sistemas y redes del servicio de radionavegación por satélite (espacio-Tierra y espacio-espacio) y características técnicas de estaciones espaciales </w:t>
      </w:r>
      <w:r w:rsidR="006E295C">
        <w:rPr>
          <w:lang w:val="es-ES"/>
        </w:rPr>
        <w:br/>
      </w:r>
      <w:r w:rsidRPr="00111A59">
        <w:rPr>
          <w:lang w:val="es-ES"/>
        </w:rPr>
        <w:t>transmisoras que funcionan en las bandas 1 164-1 215 MHz, 1</w:t>
      </w:r>
      <w:r w:rsidR="006E295C">
        <w:rPr>
          <w:lang w:val="es-ES"/>
        </w:rPr>
        <w:t> </w:t>
      </w:r>
      <w:r w:rsidRPr="00111A59">
        <w:rPr>
          <w:lang w:val="es-ES"/>
        </w:rPr>
        <w:t xml:space="preserve">215-1 300 MHz y 1 559-1 610 MHz </w:t>
      </w:r>
    </w:p>
    <w:p w14:paraId="71956BA9" w14:textId="046F9C58" w:rsidR="00111A59" w:rsidRPr="00111A59" w:rsidRDefault="00111A59" w:rsidP="006E295C">
      <w:pPr>
        <w:ind w:left="3600" w:hanging="3600"/>
        <w:rPr>
          <w:lang w:val="es-ES"/>
        </w:rPr>
      </w:pPr>
      <w:r w:rsidRPr="00111A59">
        <w:rPr>
          <w:lang w:val="es-ES"/>
        </w:rPr>
        <w:t>Recomendación UIT-R M.1901-2</w:t>
      </w:r>
      <w:r w:rsidRPr="00111A59">
        <w:rPr>
          <w:lang w:val="es-ES"/>
        </w:rPr>
        <w:tab/>
        <w:t>Directrices sobre Recomendaciones del UIT R relativas a sistemas y redes del servicio de radionavegación por satélite que funcionan en las bandas de frecuencias 1 164-1 215 MHz, 1 215-1 300 MHz, 1 559-1 610 MHz, 5 000-5 010 MHz y 5</w:t>
      </w:r>
      <w:r w:rsidR="006E295C">
        <w:rPr>
          <w:lang w:val="es-ES"/>
        </w:rPr>
        <w:t> </w:t>
      </w:r>
      <w:r w:rsidRPr="00111A59">
        <w:rPr>
          <w:lang w:val="es-ES"/>
        </w:rPr>
        <w:t>010-5 030 MHz</w:t>
      </w:r>
    </w:p>
    <w:p w14:paraId="0C502A35" w14:textId="77777777" w:rsidR="00111A59" w:rsidRPr="00111A59" w:rsidRDefault="00111A59" w:rsidP="006E295C">
      <w:pPr>
        <w:ind w:left="3600" w:hanging="3600"/>
        <w:rPr>
          <w:lang w:val="es-ES"/>
        </w:rPr>
      </w:pPr>
      <w:r w:rsidRPr="00111A59">
        <w:rPr>
          <w:lang w:val="es-ES"/>
        </w:rPr>
        <w:t>Recomendación UIT-R M.1903-1</w:t>
      </w:r>
      <w:r w:rsidRPr="00111A59">
        <w:rPr>
          <w:lang w:val="es-ES"/>
        </w:rPr>
        <w:tab/>
        <w:t>Características y criterios de protección de las estaciones terrenas receptoras del servicio de radionavegación por satélite (espacio-Tierra) y de los receptores del servicio de radionavegación aeronáutica que funcionan en la banda 1 559-1 610 MHz</w:t>
      </w:r>
    </w:p>
    <w:p w14:paraId="7A6FF7CF" w14:textId="77777777" w:rsidR="00111A59" w:rsidRPr="00111A59" w:rsidRDefault="00111A59" w:rsidP="006E295C">
      <w:pPr>
        <w:ind w:left="3600" w:hanging="3600"/>
        <w:rPr>
          <w:lang w:val="es-ES"/>
        </w:rPr>
      </w:pPr>
      <w:r w:rsidRPr="00111A59">
        <w:rPr>
          <w:lang w:val="es-ES"/>
        </w:rPr>
        <w:t>Recomendación UIT-R M.1904-1</w:t>
      </w:r>
      <w:r w:rsidRPr="00111A59">
        <w:rPr>
          <w:lang w:val="es-ES"/>
        </w:rPr>
        <w:tab/>
        <w:t>Características, requisitos de calidad de funcionamiento y criterios de protección de las estaciones receptoras del servicio de radionavegación por satélite (espacio espacio) que funcionan en las bandas de frecuencias 1 164-1 215 MHz, 1 215-1 300 MHz y 1 559-1 610 MHz</w:t>
      </w:r>
    </w:p>
    <w:p w14:paraId="3482C81F" w14:textId="77777777" w:rsidR="00111A59" w:rsidRPr="00111A59" w:rsidRDefault="00111A59" w:rsidP="006E295C">
      <w:pPr>
        <w:ind w:left="3600" w:hanging="3600"/>
        <w:rPr>
          <w:lang w:val="es-ES"/>
        </w:rPr>
      </w:pPr>
      <w:r w:rsidRPr="00111A59">
        <w:rPr>
          <w:lang w:val="es-ES"/>
        </w:rPr>
        <w:t>Recomendación UIT-R M.1905-1</w:t>
      </w:r>
      <w:r w:rsidRPr="00111A59">
        <w:rPr>
          <w:lang w:val="es-ES"/>
        </w:rPr>
        <w:tab/>
        <w:t>Características y criterios de protección de las estaciones terrenas receptoras del servicio de radionavegación por satélite (espacio-Tierra) que funcionan en la banda 1 164-1 215 MHz</w:t>
      </w:r>
    </w:p>
    <w:p w14:paraId="184413EC" w14:textId="77777777" w:rsidR="00111A59" w:rsidRPr="00111A59" w:rsidRDefault="00111A59" w:rsidP="006E295C">
      <w:pPr>
        <w:ind w:left="3600" w:hanging="3600"/>
        <w:rPr>
          <w:lang w:val="es-ES"/>
        </w:rPr>
      </w:pPr>
      <w:r w:rsidRPr="00111A59">
        <w:rPr>
          <w:lang w:val="es-ES"/>
        </w:rPr>
        <w:t>Recomendación UIT-R M.1906-1</w:t>
      </w:r>
      <w:r w:rsidRPr="00111A59">
        <w:rPr>
          <w:lang w:val="es-ES"/>
        </w:rPr>
        <w:tab/>
        <w:t>Características y criterios de protección de las estaciones espaciales receptoras y características de las estaciones terrenas transmisoras del servicio de radionavegación por satélite (Tierra-espacio) que funcionan en la banda 5 000-5 010 MHz</w:t>
      </w:r>
    </w:p>
    <w:p w14:paraId="06BD033A" w14:textId="77777777" w:rsidR="00111A59" w:rsidRPr="00111A59" w:rsidRDefault="00111A59" w:rsidP="006E295C">
      <w:pPr>
        <w:ind w:left="3600" w:hanging="3600"/>
        <w:rPr>
          <w:lang w:val="es-ES"/>
        </w:rPr>
      </w:pPr>
      <w:r w:rsidRPr="00111A59">
        <w:rPr>
          <w:lang w:val="es-ES"/>
        </w:rPr>
        <w:t>Recomendación UIT-R M.2030-0</w:t>
      </w:r>
      <w:r w:rsidRPr="00111A59">
        <w:rPr>
          <w:lang w:val="es-ES"/>
        </w:rPr>
        <w:tab/>
        <w:t>Método de evaluación para la interferencia impulsiva causada por fuentes radioeléctricas pertinentes distintas de las del servicio de radionavegación por satélite a sistemas y redes del servicio de radionavegación por satélite en las bandas de frecuencias 1 164-1 215 MHz, 1 215-1 300 MHz y 1 559-1 610 MHz</w:t>
      </w:r>
    </w:p>
    <w:p w14:paraId="1C318E48" w14:textId="77777777" w:rsidR="00111A59" w:rsidRPr="00111A59" w:rsidRDefault="00111A59" w:rsidP="006E295C">
      <w:pPr>
        <w:ind w:left="3600" w:hanging="3600"/>
        <w:rPr>
          <w:lang w:val="es-ES"/>
        </w:rPr>
      </w:pPr>
      <w:r w:rsidRPr="00111A59">
        <w:rPr>
          <w:lang w:val="es-ES"/>
        </w:rPr>
        <w:t>Recomendación UIT-R M.2031-1</w:t>
      </w:r>
      <w:r w:rsidRPr="00111A59">
        <w:rPr>
          <w:lang w:val="es-ES"/>
        </w:rPr>
        <w:tab/>
        <w:t>Características y criterios de protección de las estaciones terrenas receptoras y características de las estaciones espaciales transmisoras del servicio de radionavegación por satélite (espacio-Tierra) que funcionan en la banda 5 010-5 030 MHz</w:t>
      </w:r>
    </w:p>
    <w:p w14:paraId="7D4B78E1" w14:textId="77777777" w:rsidR="002B7933" w:rsidRPr="001868A7" w:rsidRDefault="002B7933" w:rsidP="002B7933">
      <w:pPr>
        <w:pStyle w:val="Normalaftertitle"/>
        <w:rPr>
          <w:lang w:val="es-ES_tradnl"/>
        </w:rPr>
      </w:pPr>
      <w:r w:rsidRPr="001868A7">
        <w:rPr>
          <w:lang w:val="es-ES_tradnl"/>
        </w:rPr>
        <w:t>La Asamblea de Radiocomunicaciones de la UIT,</w:t>
      </w:r>
    </w:p>
    <w:p w14:paraId="53694C0B" w14:textId="77777777" w:rsidR="002B7933" w:rsidRPr="001868A7" w:rsidRDefault="002B7933" w:rsidP="002B7933">
      <w:pPr>
        <w:pStyle w:val="Call"/>
        <w:rPr>
          <w:lang w:val="es-ES_tradnl"/>
        </w:rPr>
      </w:pPr>
      <w:r w:rsidRPr="001868A7">
        <w:rPr>
          <w:lang w:val="es-ES_tradnl"/>
        </w:rPr>
        <w:t>considerando</w:t>
      </w:r>
    </w:p>
    <w:p w14:paraId="09972907" w14:textId="77777777" w:rsidR="002B7933" w:rsidRPr="001868A7" w:rsidRDefault="002B7933" w:rsidP="002B7933">
      <w:pPr>
        <w:rPr>
          <w:lang w:val="es-ES_tradnl"/>
        </w:rPr>
      </w:pPr>
      <w:r w:rsidRPr="006E295C">
        <w:rPr>
          <w:i/>
          <w:iCs/>
          <w:lang w:val="es-ES_tradnl"/>
        </w:rPr>
        <w:t>a)</w:t>
      </w:r>
      <w:r w:rsidRPr="001868A7">
        <w:rPr>
          <w:lang w:val="es-ES_tradnl"/>
        </w:rPr>
        <w:tab/>
        <w:t xml:space="preserve">que los sistemas y redes del servicio de radionavegación por satélite </w:t>
      </w:r>
      <w:r w:rsidRPr="001868A7">
        <w:rPr>
          <w:lang w:val="es-ES_tradnl" w:eastAsia="ja-JP"/>
        </w:rPr>
        <w:t>(SRNS) proporcionan información precisa a escala mundial para muchas aplicaciones de posicionamiento, navegación y temporización, incluidos los aspectos de seguridad en algunas bandas de frecuencia y bajo ciertas circunstancias y aplicaciones;</w:t>
      </w:r>
    </w:p>
    <w:p w14:paraId="070D9BA8" w14:textId="77777777" w:rsidR="002B7933" w:rsidRPr="001868A7" w:rsidRDefault="002B7933" w:rsidP="002B7933">
      <w:pPr>
        <w:rPr>
          <w:lang w:val="es-ES_tradnl"/>
        </w:rPr>
      </w:pPr>
      <w:r w:rsidRPr="006E295C">
        <w:rPr>
          <w:i/>
          <w:iCs/>
          <w:lang w:val="es-ES_tradnl" w:eastAsia="ja-JP"/>
        </w:rPr>
        <w:t>b)</w:t>
      </w:r>
      <w:r w:rsidRPr="001868A7">
        <w:rPr>
          <w:lang w:val="es-ES_tradnl"/>
        </w:rPr>
        <w:tab/>
        <w:t>que toda estación terrena adecuadamente equipada puede recibir información de navegación procedente de sistemas y redes del SRNS en todo el mundo;</w:t>
      </w:r>
    </w:p>
    <w:p w14:paraId="301932A8" w14:textId="77777777" w:rsidR="002B7933" w:rsidRPr="001868A7" w:rsidRDefault="002B7933" w:rsidP="002B7933">
      <w:pPr>
        <w:rPr>
          <w:lang w:val="es-ES_tradnl"/>
        </w:rPr>
      </w:pPr>
      <w:r w:rsidRPr="006E295C">
        <w:rPr>
          <w:i/>
          <w:iCs/>
          <w:lang w:val="es-ES_tradnl" w:eastAsia="ja-JP"/>
        </w:rPr>
        <w:t>c)</w:t>
      </w:r>
      <w:r w:rsidRPr="001868A7">
        <w:rPr>
          <w:lang w:val="es-ES_tradnl"/>
        </w:rPr>
        <w:tab/>
        <w:t>que la Recomendación UIT</w:t>
      </w:r>
      <w:r w:rsidRPr="001868A7">
        <w:rPr>
          <w:lang w:val="es-ES_tradnl"/>
        </w:rPr>
        <w:noBreakHyphen/>
        <w:t>R М.1787 proporciona descripciones técnicas de sistemas y redes del SRNS y características técnicas de estaciones espaciales transmisoras que funcionan en las bandas 1 164-1 215 MHz, 1 215-1 300 MHz</w:t>
      </w:r>
      <w:r w:rsidRPr="001868A7">
        <w:rPr>
          <w:lang w:val="es-ES_tradnl" w:eastAsia="ja-JP"/>
        </w:rPr>
        <w:t xml:space="preserve"> y </w:t>
      </w:r>
      <w:r w:rsidRPr="001868A7">
        <w:rPr>
          <w:lang w:val="es-ES_tradnl"/>
        </w:rPr>
        <w:t>1 559-1 610 MHz;</w:t>
      </w:r>
    </w:p>
    <w:p w14:paraId="51B91A77" w14:textId="77777777" w:rsidR="002B7933" w:rsidRPr="001868A7" w:rsidRDefault="002B7933" w:rsidP="002B7933">
      <w:pPr>
        <w:rPr>
          <w:lang w:val="es-ES_tradnl"/>
        </w:rPr>
      </w:pPr>
      <w:r w:rsidRPr="006E295C">
        <w:rPr>
          <w:i/>
          <w:iCs/>
          <w:lang w:val="es-ES_tradnl" w:eastAsia="ja-JP"/>
        </w:rPr>
        <w:t>d)</w:t>
      </w:r>
      <w:r w:rsidRPr="001868A7">
        <w:rPr>
          <w:lang w:val="es-ES_tradnl"/>
        </w:rPr>
        <w:tab/>
        <w:t>que la Recomendación UIT</w:t>
      </w:r>
      <w:r w:rsidRPr="001868A7">
        <w:rPr>
          <w:lang w:val="es-ES_tradnl"/>
        </w:rPr>
        <w:noBreakHyphen/>
        <w:t xml:space="preserve">R М.1904 proporcionan las características técnicas y los criterios de protección de las estaciones espaciales receptoras del SRNS (espacio-espacio) en las bandas 1 164-1 215 MHz, 1 215-1 300 MHz </w:t>
      </w:r>
      <w:r w:rsidRPr="001868A7">
        <w:rPr>
          <w:lang w:val="es-ES_tradnl" w:eastAsia="ja-JP"/>
        </w:rPr>
        <w:t xml:space="preserve">y </w:t>
      </w:r>
      <w:r w:rsidRPr="001868A7">
        <w:rPr>
          <w:lang w:val="es-ES_tradnl"/>
        </w:rPr>
        <w:t>1 559-1 610 MHz;</w:t>
      </w:r>
    </w:p>
    <w:p w14:paraId="4539335A" w14:textId="77777777" w:rsidR="002B7933" w:rsidRPr="001868A7" w:rsidRDefault="002B7933" w:rsidP="002B7933">
      <w:pPr>
        <w:rPr>
          <w:lang w:val="es-ES_tradnl"/>
        </w:rPr>
      </w:pPr>
      <w:r w:rsidRPr="006E295C">
        <w:rPr>
          <w:i/>
          <w:iCs/>
          <w:lang w:val="es-ES_tradnl" w:eastAsia="ja-JP"/>
        </w:rPr>
        <w:t>e)</w:t>
      </w:r>
      <w:r w:rsidRPr="001868A7">
        <w:rPr>
          <w:lang w:val="es-ES_tradnl"/>
        </w:rPr>
        <w:tab/>
        <w:t>que la Recomendación UIT</w:t>
      </w:r>
      <w:r w:rsidRPr="001868A7">
        <w:rPr>
          <w:lang w:val="es-ES_tradnl"/>
        </w:rPr>
        <w:noBreakHyphen/>
        <w:t xml:space="preserve">R M.1463 contiene las características de los sistemas de </w:t>
      </w:r>
      <w:proofErr w:type="spellStart"/>
      <w:r w:rsidRPr="001868A7">
        <w:rPr>
          <w:lang w:val="es-ES_tradnl"/>
        </w:rPr>
        <w:t>radiodeterminación</w:t>
      </w:r>
      <w:proofErr w:type="spellEnd"/>
      <w:r w:rsidRPr="001868A7">
        <w:rPr>
          <w:lang w:val="es-ES_tradnl"/>
        </w:rPr>
        <w:t xml:space="preserve"> en la banda 1 215-1 400 MHz;</w:t>
      </w:r>
    </w:p>
    <w:p w14:paraId="3E73E1A8" w14:textId="77777777" w:rsidR="002B7933" w:rsidRPr="001868A7" w:rsidRDefault="002B7933" w:rsidP="006E295C">
      <w:pPr>
        <w:keepNext/>
        <w:keepLines/>
        <w:rPr>
          <w:lang w:val="es-ES_tradnl" w:eastAsia="ja-JP"/>
        </w:rPr>
      </w:pPr>
      <w:r w:rsidRPr="006E295C">
        <w:rPr>
          <w:i/>
          <w:iCs/>
          <w:lang w:val="es-ES_tradnl" w:eastAsia="ja-JP"/>
        </w:rPr>
        <w:t>f)</w:t>
      </w:r>
      <w:r w:rsidRPr="001868A7">
        <w:rPr>
          <w:lang w:val="es-ES_tradnl" w:eastAsia="ja-JP"/>
        </w:rPr>
        <w:tab/>
        <w:t>que la Recomendación UIT</w:t>
      </w:r>
      <w:r w:rsidRPr="001868A7">
        <w:rPr>
          <w:lang w:val="es-ES_tradnl" w:eastAsia="ja-JP"/>
        </w:rPr>
        <w:noBreakHyphen/>
        <w:t xml:space="preserve">R M.1901 proporcionan directrices sobre esta y otras Recomendaciones del </w:t>
      </w:r>
      <w:r w:rsidRPr="001868A7">
        <w:rPr>
          <w:lang w:val="es-ES_tradnl"/>
        </w:rPr>
        <w:t>UIT</w:t>
      </w:r>
      <w:r w:rsidRPr="001868A7">
        <w:rPr>
          <w:lang w:val="es-ES_tradnl"/>
        </w:rPr>
        <w:noBreakHyphen/>
        <w:t>R relativas a sistemas y redes del SRNS que funcionan en las bandas de frecuencia 1 164-1 215 MHz, 1 215-1 300 MHz, 1 559-1 610 MHz, 5 000-5 010 MHz y 5 010-5 030 MHz</w:t>
      </w:r>
      <w:r w:rsidRPr="001868A7">
        <w:rPr>
          <w:lang w:val="es-ES_tradnl" w:eastAsia="ja-JP"/>
        </w:rPr>
        <w:t>,</w:t>
      </w:r>
    </w:p>
    <w:p w14:paraId="7EA4BB53" w14:textId="77777777" w:rsidR="002B7933" w:rsidRPr="001868A7" w:rsidRDefault="002B7933" w:rsidP="002B7933">
      <w:pPr>
        <w:pStyle w:val="Call"/>
        <w:rPr>
          <w:lang w:val="es-ES_tradnl"/>
        </w:rPr>
      </w:pPr>
      <w:r w:rsidRPr="001868A7">
        <w:rPr>
          <w:lang w:val="es-ES_tradnl" w:eastAsia="ja-JP"/>
        </w:rPr>
        <w:t>reconociendo</w:t>
      </w:r>
    </w:p>
    <w:p w14:paraId="10B3626E" w14:textId="77777777" w:rsidR="002B7933" w:rsidRPr="001868A7" w:rsidRDefault="002B7933" w:rsidP="002B7933">
      <w:pPr>
        <w:rPr>
          <w:lang w:val="es-ES_tradnl"/>
        </w:rPr>
      </w:pPr>
      <w:r w:rsidRPr="006E295C">
        <w:rPr>
          <w:i/>
          <w:iCs/>
          <w:lang w:val="es-ES_tradnl"/>
        </w:rPr>
        <w:t>a)</w:t>
      </w:r>
      <w:r w:rsidRPr="001868A7">
        <w:rPr>
          <w:lang w:val="es-ES_tradnl"/>
        </w:rPr>
        <w:tab/>
        <w:t>que la banda 1 215-1 300 MHz está atribuida a título primario al servicio de exploración de la Tierra por satélite (SETS) (activo), al servicio de radiolocalización, al SRNS (espacio-Tierra y espacio-espacio) y al servicio de investigación espacial (activo) en las tres Regiones;</w:t>
      </w:r>
    </w:p>
    <w:p w14:paraId="4CD3D26D" w14:textId="77777777" w:rsidR="002B7933" w:rsidRPr="001868A7" w:rsidRDefault="002B7933" w:rsidP="002B7933">
      <w:pPr>
        <w:rPr>
          <w:lang w:val="es-ES_tradnl" w:eastAsia="ja-JP"/>
        </w:rPr>
      </w:pPr>
      <w:r w:rsidRPr="006E295C">
        <w:rPr>
          <w:i/>
          <w:iCs/>
          <w:lang w:val="es-ES_tradnl" w:eastAsia="ja-JP"/>
        </w:rPr>
        <w:t>b</w:t>
      </w:r>
      <w:r w:rsidRPr="006E295C">
        <w:rPr>
          <w:i/>
          <w:iCs/>
          <w:lang w:val="es-ES_tradnl"/>
        </w:rPr>
        <w:t>)</w:t>
      </w:r>
      <w:r w:rsidRPr="001868A7">
        <w:rPr>
          <w:lang w:val="es-ES_tradnl"/>
        </w:rPr>
        <w:tab/>
      </w:r>
      <w:proofErr w:type="gramStart"/>
      <w:r w:rsidRPr="001868A7">
        <w:rPr>
          <w:lang w:val="es-ES_tradnl"/>
        </w:rPr>
        <w:t>que</w:t>
      </w:r>
      <w:proofErr w:type="gramEnd"/>
      <w:r w:rsidRPr="001868A7">
        <w:rPr>
          <w:lang w:val="es-ES_tradnl"/>
        </w:rPr>
        <w:t xml:space="preserve"> en un cierto número de países, la banda 1 215-1 300 MHz también contiene atribuciones primarias a los servicios fijo y móvil y/o al servicio de radionavegación (limitado en algunos casos a la utilización de la radionavegación aeronáutica en una parte de la banda);</w:t>
      </w:r>
    </w:p>
    <w:p w14:paraId="753C8FD6" w14:textId="77777777" w:rsidR="002B7933" w:rsidRPr="001868A7" w:rsidRDefault="002B7933" w:rsidP="005755F5">
      <w:pPr>
        <w:keepNext/>
        <w:keepLines/>
        <w:rPr>
          <w:lang w:val="es-ES_tradnl"/>
        </w:rPr>
      </w:pPr>
      <w:r w:rsidRPr="006E295C">
        <w:rPr>
          <w:i/>
          <w:iCs/>
          <w:lang w:val="es-ES_tradnl"/>
        </w:rPr>
        <w:lastRenderedPageBreak/>
        <w:t>c)</w:t>
      </w:r>
      <w:r w:rsidRPr="001868A7">
        <w:rPr>
          <w:lang w:val="es-ES_tradnl"/>
        </w:rPr>
        <w:tab/>
        <w:t>que el número </w:t>
      </w:r>
      <w:r w:rsidRPr="001868A7">
        <w:rPr>
          <w:b/>
          <w:bCs/>
          <w:lang w:val="es-ES_tradnl"/>
        </w:rPr>
        <w:t>5.329</w:t>
      </w:r>
      <w:r w:rsidRPr="001868A7">
        <w:rPr>
          <w:lang w:val="es-ES_tradnl"/>
        </w:rPr>
        <w:t xml:space="preserve"> del Reglamento de Radiocomunicaciones (RR) indica que: «</w:t>
      </w:r>
      <w:r w:rsidRPr="001868A7">
        <w:rPr>
          <w:lang w:val="es-ES_tradnl" w:eastAsia="zh-CN"/>
        </w:rPr>
        <w:t>La utilización por el servicio de radionavegación por satélite de la banda 1 215-1 300 MHz estará sujeta a la condición de no causar interferencias perjudiciales al servicio de radionavegación, autorizado en el número </w:t>
      </w:r>
      <w:r w:rsidRPr="001868A7">
        <w:rPr>
          <w:b/>
          <w:bCs/>
          <w:lang w:val="es-ES_tradnl"/>
        </w:rPr>
        <w:t>5.331</w:t>
      </w:r>
      <w:r w:rsidRPr="001868A7">
        <w:rPr>
          <w:rFonts w:ascii="TimesNewRoman,Bold" w:hAnsi="TimesNewRoman,Bold" w:cs="TimesNewRoman,Bold"/>
          <w:b/>
          <w:bCs/>
          <w:lang w:val="es-ES_tradnl" w:eastAsia="zh-CN"/>
        </w:rPr>
        <w:t xml:space="preserve"> </w:t>
      </w:r>
      <w:r w:rsidRPr="001868A7">
        <w:rPr>
          <w:lang w:val="es-ES_tradnl" w:eastAsia="zh-CN"/>
        </w:rPr>
        <w:t>ni reclamar protección con respecto al mismo. Además, la utilización del servicio de radionavegación por satélite en la banda 1 215-1 300 MHz estará sujeta a la condición de no causar interferencia perjudicial al servicio de radiolocalización. No se aplica el número </w:t>
      </w:r>
      <w:r w:rsidRPr="001868A7">
        <w:rPr>
          <w:b/>
          <w:bCs/>
          <w:lang w:val="es-ES_tradnl"/>
        </w:rPr>
        <w:t>5.43</w:t>
      </w:r>
      <w:r w:rsidRPr="001868A7">
        <w:rPr>
          <w:rFonts w:ascii="TimesNewRoman,Bold" w:hAnsi="TimesNewRoman,Bold" w:cs="TimesNewRoman,Bold"/>
          <w:b/>
          <w:bCs/>
          <w:lang w:val="es-ES_tradnl" w:eastAsia="zh-CN"/>
        </w:rPr>
        <w:t xml:space="preserve"> </w:t>
      </w:r>
      <w:r w:rsidRPr="001868A7">
        <w:rPr>
          <w:lang w:val="es-ES_tradnl" w:eastAsia="zh-CN"/>
        </w:rPr>
        <w:t>en relación con el servicio de radiolocalización. Se aplicará la Resolución </w:t>
      </w:r>
      <w:r w:rsidRPr="001868A7">
        <w:rPr>
          <w:b/>
          <w:bCs/>
          <w:lang w:val="es-ES_tradnl"/>
        </w:rPr>
        <w:t>608 (CMR</w:t>
      </w:r>
      <w:r w:rsidRPr="001868A7">
        <w:rPr>
          <w:b/>
          <w:bCs/>
          <w:lang w:val="es-ES_tradnl"/>
        </w:rPr>
        <w:noBreakHyphen/>
        <w:t>03)</w:t>
      </w:r>
      <w:r w:rsidRPr="001868A7">
        <w:rPr>
          <w:lang w:val="es-ES_tradnl" w:eastAsia="zh-CN"/>
        </w:rPr>
        <w:t>»</w:t>
      </w:r>
      <w:r w:rsidRPr="001868A7">
        <w:rPr>
          <w:lang w:val="es-ES_tradnl"/>
        </w:rPr>
        <w:t>;</w:t>
      </w:r>
    </w:p>
    <w:p w14:paraId="2F6708B1" w14:textId="77777777" w:rsidR="002B7933" w:rsidRPr="001868A7" w:rsidRDefault="002B7933" w:rsidP="002B7933">
      <w:pPr>
        <w:rPr>
          <w:lang w:val="es-ES_tradnl" w:eastAsia="ja-JP"/>
        </w:rPr>
      </w:pPr>
      <w:r w:rsidRPr="006E295C">
        <w:rPr>
          <w:i/>
          <w:iCs/>
          <w:lang w:val="es-ES_tradnl" w:eastAsia="ja-JP"/>
        </w:rPr>
        <w:t>d)</w:t>
      </w:r>
      <w:r w:rsidRPr="001868A7">
        <w:rPr>
          <w:lang w:val="es-ES_tradnl" w:eastAsia="ja-JP"/>
        </w:rPr>
        <w:tab/>
        <w:t>que el RR número </w:t>
      </w:r>
      <w:r w:rsidRPr="001868A7">
        <w:rPr>
          <w:b/>
          <w:bCs/>
          <w:lang w:val="es-ES_tradnl" w:eastAsia="ja-JP"/>
        </w:rPr>
        <w:t>5.332</w:t>
      </w:r>
      <w:r w:rsidRPr="001868A7">
        <w:rPr>
          <w:lang w:val="es-ES_tradnl" w:eastAsia="ja-JP"/>
        </w:rPr>
        <w:t xml:space="preserve"> señala que el SETS (activo) en la banda 1 215-1 260 MHz no deberá causar interferencia perjudicial al SRNS, </w:t>
      </w:r>
    </w:p>
    <w:p w14:paraId="1EC54332" w14:textId="77777777" w:rsidR="002B7933" w:rsidRPr="001868A7" w:rsidRDefault="002B7933" w:rsidP="002B7933">
      <w:pPr>
        <w:pStyle w:val="Call"/>
        <w:rPr>
          <w:lang w:val="es-ES_tradnl"/>
        </w:rPr>
      </w:pPr>
      <w:r w:rsidRPr="001868A7">
        <w:rPr>
          <w:lang w:val="es-ES_tradnl" w:eastAsia="ja-JP"/>
        </w:rPr>
        <w:t>observando</w:t>
      </w:r>
    </w:p>
    <w:p w14:paraId="10AFA74A" w14:textId="77777777" w:rsidR="002B7933" w:rsidRPr="001868A7" w:rsidRDefault="002B7933" w:rsidP="002B7933">
      <w:pPr>
        <w:rPr>
          <w:lang w:val="es-ES_tradnl" w:eastAsia="ja-JP"/>
        </w:rPr>
      </w:pPr>
      <w:r w:rsidRPr="001868A7">
        <w:rPr>
          <w:lang w:val="es-ES_tradnl"/>
        </w:rPr>
        <w:t xml:space="preserve">que la Recomendación </w:t>
      </w:r>
      <w:r w:rsidRPr="001868A7">
        <w:rPr>
          <w:lang w:val="es-ES_tradnl" w:eastAsia="ja-JP"/>
        </w:rPr>
        <w:t>UIT</w:t>
      </w:r>
      <w:r w:rsidRPr="001868A7">
        <w:rPr>
          <w:lang w:val="es-ES_tradnl" w:eastAsia="ja-JP"/>
        </w:rPr>
        <w:noBreakHyphen/>
        <w:t>R RS.1749 contiene las características de varios radares de abertura sintética a bordo de vehículos espaciales en la banda 1 215-1 300 MHz y la Recomendación UIT</w:t>
      </w:r>
      <w:r w:rsidRPr="001868A7">
        <w:rPr>
          <w:lang w:val="es-ES_tradnl" w:eastAsia="ja-JP"/>
        </w:rPr>
        <w:noBreakHyphen/>
        <w:t>R RS.1347 recomienda que se considere viable la compartición de la banda 1 215-1 260 MHz entre los radares de abertura sintética a bordo de vehículos espaciales y el SRNS basándose en demostraciones, incluidas las pruebas de compatibilidad en tierra,</w:t>
      </w:r>
    </w:p>
    <w:p w14:paraId="3DB1785B" w14:textId="77777777" w:rsidR="002B7933" w:rsidRPr="001868A7" w:rsidRDefault="002B7933" w:rsidP="002B7933">
      <w:pPr>
        <w:pStyle w:val="Call"/>
        <w:rPr>
          <w:lang w:val="es-ES_tradnl"/>
        </w:rPr>
      </w:pPr>
      <w:r w:rsidRPr="001868A7">
        <w:rPr>
          <w:lang w:val="es-ES_tradnl"/>
        </w:rPr>
        <w:t>recomienda</w:t>
      </w:r>
    </w:p>
    <w:p w14:paraId="5C6316EB" w14:textId="77777777" w:rsidR="002B7933" w:rsidRPr="001868A7" w:rsidRDefault="002B7933" w:rsidP="002B7933">
      <w:pPr>
        <w:rPr>
          <w:lang w:val="es-ES_tradnl"/>
        </w:rPr>
      </w:pPr>
      <w:r w:rsidRPr="001868A7">
        <w:rPr>
          <w:snapToGrid w:val="0"/>
          <w:lang w:val="es-ES_tradnl"/>
        </w:rPr>
        <w:t>que se utilicen las características y los criterios de protección de las estaciones terrenas receptoras que aparecen en el Anexo 1 para llevar a cabo los análisis de la repercusión de la interferencia causada por fuentes radioeléctricas distintas al SRNS en los receptores del SRNS (espacio-Tierra) que funcionan en la banda 1 215-1 300 MHz.</w:t>
      </w:r>
    </w:p>
    <w:p w14:paraId="607329BC" w14:textId="77777777" w:rsidR="002B7933" w:rsidRPr="001868A7" w:rsidRDefault="002B7933" w:rsidP="002B7933">
      <w:pPr>
        <w:rPr>
          <w:rFonts w:eastAsia="MS Mincho"/>
          <w:szCs w:val="24"/>
          <w:lang w:val="es-ES_tradnl"/>
        </w:rPr>
      </w:pPr>
    </w:p>
    <w:p w14:paraId="3D579F6F" w14:textId="77777777" w:rsidR="002B7933" w:rsidRPr="001868A7" w:rsidRDefault="002B7933" w:rsidP="002B7933">
      <w:pPr>
        <w:pStyle w:val="AnnexNoTitle"/>
        <w:rPr>
          <w:lang w:val="es-ES_tradnl"/>
        </w:rPr>
      </w:pPr>
      <w:r w:rsidRPr="001868A7">
        <w:rPr>
          <w:rFonts w:eastAsia="MS Mincho"/>
          <w:lang w:val="es-ES_tradnl"/>
        </w:rPr>
        <w:t>Anexo 1</w:t>
      </w:r>
      <w:r w:rsidRPr="001868A7">
        <w:rPr>
          <w:lang w:val="es-ES_tradnl"/>
        </w:rPr>
        <w:br/>
      </w:r>
      <w:r w:rsidRPr="001868A7">
        <w:rPr>
          <w:lang w:val="es-ES_tradnl"/>
        </w:rPr>
        <w:br/>
        <w:t xml:space="preserve">Características técnicas y criterios de protección de las estaciones </w:t>
      </w:r>
      <w:r w:rsidRPr="001868A7">
        <w:rPr>
          <w:lang w:val="es-ES_tradnl"/>
        </w:rPr>
        <w:br/>
        <w:t xml:space="preserve">terrenas receptoras del SRNS (espacio-Tierra) que funcionan </w:t>
      </w:r>
      <w:r w:rsidRPr="001868A7">
        <w:rPr>
          <w:lang w:val="es-ES_tradnl"/>
        </w:rPr>
        <w:br/>
        <w:t>en la banda 1 215-1 300 MHz</w:t>
      </w:r>
    </w:p>
    <w:p w14:paraId="658C4468" w14:textId="77777777" w:rsidR="002B7933" w:rsidRPr="001868A7" w:rsidRDefault="002B7933" w:rsidP="002B7933">
      <w:pPr>
        <w:pStyle w:val="Heading1"/>
        <w:rPr>
          <w:lang w:val="es-ES_tradnl"/>
        </w:rPr>
      </w:pPr>
      <w:r w:rsidRPr="001868A7">
        <w:rPr>
          <w:lang w:val="es-ES_tradnl"/>
        </w:rPr>
        <w:t>1</w:t>
      </w:r>
      <w:r w:rsidRPr="001868A7">
        <w:rPr>
          <w:lang w:val="es-ES_tradnl"/>
        </w:rPr>
        <w:tab/>
      </w:r>
      <w:proofErr w:type="gramStart"/>
      <w:r w:rsidRPr="001868A7">
        <w:rPr>
          <w:lang w:val="es-ES_tradnl"/>
        </w:rPr>
        <w:t>Introducción</w:t>
      </w:r>
      <w:proofErr w:type="gramEnd"/>
    </w:p>
    <w:p w14:paraId="512936E0" w14:textId="77777777" w:rsidR="002B7933" w:rsidRPr="001868A7" w:rsidRDefault="002B7933" w:rsidP="002B7933">
      <w:pPr>
        <w:rPr>
          <w:lang w:val="es-ES_tradnl"/>
        </w:rPr>
      </w:pPr>
      <w:r w:rsidRPr="001868A7">
        <w:rPr>
          <w:lang w:val="es-ES_tradnl"/>
        </w:rPr>
        <w:t xml:space="preserve">Probablemente las señales del satélite del SRNS en la banda de frecuencia 1 215-1 300 MHz serán utilizadas por varias clases de receptores que varían en cuanto a funciones y comportamiento. Los siguientes puntos incluyen una descripción general de cada tipo de receptor del </w:t>
      </w:r>
      <w:proofErr w:type="gramStart"/>
      <w:r w:rsidRPr="001868A7">
        <w:rPr>
          <w:lang w:val="es-ES_tradnl"/>
        </w:rPr>
        <w:t>SRNS</w:t>
      </w:r>
      <w:proofErr w:type="gramEnd"/>
      <w:r w:rsidRPr="001868A7">
        <w:rPr>
          <w:lang w:val="es-ES_tradnl"/>
        </w:rPr>
        <w:t xml:space="preserve"> así como una descripción de las características y de los criterios de protección del receptor. Varios receptores descritos son del tipo de banda multifrecuencia que utilizan o tienen previsto utilizar las señales del SRNS simultáneamente para esta y una o más bandas del SRNS.</w:t>
      </w:r>
    </w:p>
    <w:p w14:paraId="352B1B33" w14:textId="77777777" w:rsidR="002B7933" w:rsidRPr="001868A7" w:rsidRDefault="002B7933" w:rsidP="002B7933">
      <w:pPr>
        <w:pStyle w:val="Heading1"/>
        <w:rPr>
          <w:lang w:val="es-ES_tradnl"/>
        </w:rPr>
      </w:pPr>
      <w:r w:rsidRPr="001868A7">
        <w:rPr>
          <w:lang w:val="es-ES_tradnl"/>
        </w:rPr>
        <w:t>2</w:t>
      </w:r>
      <w:r w:rsidRPr="001868A7">
        <w:rPr>
          <w:lang w:val="es-ES_tradnl"/>
        </w:rPr>
        <w:tab/>
      </w:r>
      <w:proofErr w:type="gramStart"/>
      <w:r w:rsidRPr="001868A7">
        <w:rPr>
          <w:lang w:val="es-ES_tradnl"/>
        </w:rPr>
        <w:t>Descripción</w:t>
      </w:r>
      <w:proofErr w:type="gramEnd"/>
      <w:r w:rsidRPr="001868A7">
        <w:rPr>
          <w:lang w:val="es-ES_tradnl"/>
        </w:rPr>
        <w:t xml:space="preserve"> de las aplicaciones del receptor del SRNS</w:t>
      </w:r>
    </w:p>
    <w:p w14:paraId="51BF359D" w14:textId="77777777" w:rsidR="002B7933" w:rsidRPr="001868A7" w:rsidRDefault="002B7933" w:rsidP="002B7933">
      <w:pPr>
        <w:rPr>
          <w:lang w:val="es-ES_tradnl"/>
        </w:rPr>
      </w:pPr>
      <w:r w:rsidRPr="001868A7">
        <w:rPr>
          <w:lang w:val="es-ES_tradnl"/>
        </w:rPr>
        <w:t xml:space="preserve">Este punto describe varios tipos de receptores del SRNS actuales y previstos. </w:t>
      </w:r>
    </w:p>
    <w:p w14:paraId="2F78A9D1" w14:textId="77777777" w:rsidR="002B7933" w:rsidRPr="001868A7" w:rsidRDefault="002B7933" w:rsidP="002B7933">
      <w:pPr>
        <w:pStyle w:val="Heading2"/>
        <w:rPr>
          <w:lang w:val="es-ES_tradnl"/>
        </w:rPr>
      </w:pPr>
      <w:r w:rsidRPr="001868A7">
        <w:rPr>
          <w:lang w:val="es-ES_tradnl"/>
        </w:rPr>
        <w:lastRenderedPageBreak/>
        <w:t>2.1</w:t>
      </w:r>
      <w:r w:rsidRPr="001868A7">
        <w:rPr>
          <w:lang w:val="es-ES_tradnl"/>
        </w:rPr>
        <w:tab/>
        <w:t>Receptor de referencia en tierra del sistema de aumento basado en satélite</w:t>
      </w:r>
    </w:p>
    <w:p w14:paraId="43179257" w14:textId="77777777" w:rsidR="002B7933" w:rsidRPr="001868A7" w:rsidRDefault="002B7933" w:rsidP="002B7933">
      <w:pPr>
        <w:rPr>
          <w:lang w:val="es-ES_tradnl"/>
        </w:rPr>
      </w:pPr>
      <w:r w:rsidRPr="001868A7">
        <w:rPr>
          <w:lang w:val="es-ES_tradnl"/>
        </w:rPr>
        <w:t>Este tipo de receptor basado en tierra se utiliza en el funcionamiento de la red terrestre del sistema de aumento basado en satélite (SBAS)</w:t>
      </w:r>
      <w:r w:rsidRPr="001868A7">
        <w:rPr>
          <w:position w:val="6"/>
          <w:sz w:val="18"/>
          <w:lang w:val="es-ES_tradnl"/>
        </w:rPr>
        <w:footnoteReference w:id="1"/>
      </w:r>
      <w:r w:rsidRPr="001868A7">
        <w:rPr>
          <w:lang w:val="es-ES_tradnl"/>
        </w:rPr>
        <w:t xml:space="preserve"> para determinar los retardos ionosféricos y la integridad de la señal del SRNS. El receptor emplea una técnica de codificación parcial que explota una característica singular habilitada por la arquitectura particular de la señal del SRNS mediante la cual se realiza un seguimiento de las señales L1 y L2 P(Y), con ayuda del conocimiento de la fase de la portadora dinámica obtenido a partir del código L1 C/A</w:t>
      </w:r>
      <w:r w:rsidRPr="001868A7">
        <w:rPr>
          <w:position w:val="6"/>
          <w:sz w:val="18"/>
          <w:lang w:val="es-ES_tradnl"/>
        </w:rPr>
        <w:footnoteReference w:id="2"/>
      </w:r>
      <w:r w:rsidRPr="001868A7">
        <w:rPr>
          <w:lang w:val="es-ES_tradnl"/>
        </w:rPr>
        <w:t xml:space="preserve"> y del seguimiento de portadora, y del conocimiento de la velocidad media del reloj de </w:t>
      </w:r>
      <w:proofErr w:type="spellStart"/>
      <w:r w:rsidRPr="001868A7">
        <w:rPr>
          <w:lang w:val="es-ES_tradnl"/>
        </w:rPr>
        <w:t>encripción</w:t>
      </w:r>
      <w:proofErr w:type="spellEnd"/>
      <w:r w:rsidRPr="001868A7">
        <w:rPr>
          <w:lang w:val="es-ES_tradnl"/>
        </w:rPr>
        <w:t>. Esta técnica de correlación cruzada proporciona la capacidad de medir el retardo de la señal en L2 haciendo posible de esa forma determinar las variaciones en el retardo de la señal debidas a la ionosfera. El esquema de correlación cruzada es posible en parte por el hecho de que las señales L1 y L2 P(Y) tienen códigos idénticos. Este receptor también puede realizar una adquisición y seguimiento de las señales del satélite SBAS a la misma frecuencia que la portadora L1 C/A. Los receptores con codificación parcial son más sensibles a la interferencia porque funcionan sin la ventaja que supone conocer el código Y</w:t>
      </w:r>
      <w:r w:rsidRPr="001868A7">
        <w:rPr>
          <w:position w:val="6"/>
          <w:sz w:val="18"/>
          <w:lang w:val="es-ES_tradnl"/>
        </w:rPr>
        <w:footnoteReference w:id="3"/>
      </w:r>
      <w:r w:rsidRPr="001868A7">
        <w:rPr>
          <w:lang w:val="es-ES_tradnl"/>
        </w:rPr>
        <w:t xml:space="preserve">. La adquisición se lleva a cabo utilizando la señal de código L1 C/A. La adquisición en L2 no es aplicable a este tipo de receptor. Las características y los criterios de protección para este receptor aparecen en el Cuadro 1, columna 1. Como el receptor utiliza señales L1 C/A y </w:t>
      </w:r>
      <w:r w:rsidRPr="001868A7">
        <w:rPr>
          <w:color w:val="000000"/>
          <w:lang w:val="es-ES_tradnl"/>
        </w:rPr>
        <w:t>P(</w:t>
      </w:r>
      <w:r w:rsidRPr="001868A7">
        <w:rPr>
          <w:lang w:val="es-ES_tradnl"/>
        </w:rPr>
        <w:t>Y) simultáneamente con L2</w:t>
      </w:r>
      <w:r w:rsidRPr="001868A7">
        <w:rPr>
          <w:color w:val="000000"/>
          <w:lang w:val="es-ES_tradnl"/>
        </w:rPr>
        <w:t> P(</w:t>
      </w:r>
      <w:r w:rsidRPr="001868A7">
        <w:rPr>
          <w:lang w:val="es-ES_tradnl"/>
        </w:rPr>
        <w:t>Y), también es susceptible a la interferencia en la banda 1 559-1 610 MHz. Los criterios de protección y otras características para el receptor de referencia en tierra SBAS en esa banda de frecuencias se especifican en la Recomendación UIT</w:t>
      </w:r>
      <w:r w:rsidRPr="001868A7">
        <w:rPr>
          <w:lang w:val="es-ES_tradnl"/>
        </w:rPr>
        <w:noBreakHyphen/>
        <w:t>R M.1903.</w:t>
      </w:r>
    </w:p>
    <w:p w14:paraId="7A55DE28" w14:textId="77777777" w:rsidR="002B7933" w:rsidRPr="001868A7" w:rsidRDefault="002B7933" w:rsidP="002B7933">
      <w:pPr>
        <w:rPr>
          <w:lang w:val="es-ES_tradnl"/>
        </w:rPr>
      </w:pPr>
      <w:r w:rsidRPr="001868A7">
        <w:rPr>
          <w:lang w:val="es-ES_tradnl"/>
        </w:rPr>
        <w:t>Los receptores de referencia en tierra SBAS desempeñan cometidos críticos tales como la supervisión de la integridad de los sistemas del SRNS en las estaciones en tierra SBAS situadas en emplazamientos fijos conocidos. Por consiguiente, a estos receptores se les ofrece la adecuada protección para garantizar el acceso ininterrumpido continuo a las señales del SRNS, tales como, entre otras, las zonas físicas de amortiguación.</w:t>
      </w:r>
    </w:p>
    <w:p w14:paraId="4B389A78" w14:textId="77777777" w:rsidR="002B7933" w:rsidRPr="001868A7" w:rsidRDefault="002B7933" w:rsidP="002B7933">
      <w:pPr>
        <w:pStyle w:val="Heading2"/>
        <w:rPr>
          <w:lang w:val="es-ES_tradnl"/>
        </w:rPr>
      </w:pPr>
      <w:r w:rsidRPr="001868A7">
        <w:rPr>
          <w:lang w:val="es-ES_tradnl"/>
        </w:rPr>
        <w:t>2.2</w:t>
      </w:r>
      <w:r w:rsidRPr="001868A7">
        <w:rPr>
          <w:lang w:val="es-ES_tradnl"/>
        </w:rPr>
        <w:tab/>
        <w:t>Receptores del SRNS con codificación parcial</w:t>
      </w:r>
    </w:p>
    <w:p w14:paraId="558AC3D6" w14:textId="77777777" w:rsidR="002B7933" w:rsidRPr="001868A7" w:rsidRDefault="002B7933" w:rsidP="002B7933">
      <w:pPr>
        <w:pStyle w:val="Heading3"/>
        <w:rPr>
          <w:lang w:val="es-ES_tradnl"/>
        </w:rPr>
      </w:pPr>
      <w:r w:rsidRPr="001868A7">
        <w:rPr>
          <w:lang w:val="es-ES_tradnl"/>
        </w:rPr>
        <w:t>2.2.1</w:t>
      </w:r>
      <w:r w:rsidRPr="001868A7">
        <w:rPr>
          <w:lang w:val="es-ES_tradnl"/>
        </w:rPr>
        <w:tab/>
        <w:t>Receptores con codificación parcial de alta precisión</w:t>
      </w:r>
    </w:p>
    <w:p w14:paraId="4787C534" w14:textId="77777777" w:rsidR="002B7933" w:rsidRPr="001868A7" w:rsidRDefault="002B7933" w:rsidP="002B7933">
      <w:pPr>
        <w:rPr>
          <w:lang w:val="es-ES_tradnl"/>
        </w:rPr>
      </w:pPr>
      <w:r w:rsidRPr="001868A7">
        <w:rPr>
          <w:lang w:val="es-ES_tradnl"/>
        </w:rPr>
        <w:t>Los receptores con codificación parcial de alta precisión se utilizan fundamentalmente para levantamiento de planos y otras aplicaciones de precisión (por ejemplo, agricultura de precisión, investigaciones científicas, etc.) para las que deben realizarse mediciones del retardo ionosférico. De forma similar al receptor de referencia en tierra SBAS anterior, estos receptores con codificación parcial emplean una técnica mediante la que se efectúa un seguimiento de las señales L1 y L2 P(Y), ayudado por el conocimiento de la fase de la portadora dinámica obtenido a partir del seguimiento del código L1 C/A. Existen dos métodos básicos para ello: 1) se efectúa una correlación cruzada de las señales L1 y L2 P(Y), o 2) se realiza de hecho un seguimiento independiente de las señales. Los receptores de alta precisión llevan a cabo la adquisición y el seguimiento de las señales del SRNS en dos o tres bandas de frecuencias para el funcionamiento adecuado y requieren protección en todas las bandas utilizadas.</w:t>
      </w:r>
    </w:p>
    <w:p w14:paraId="3EA53B46" w14:textId="77777777" w:rsidR="002B7933" w:rsidRPr="001868A7" w:rsidRDefault="002B7933" w:rsidP="002B7933">
      <w:pPr>
        <w:rPr>
          <w:lang w:val="es-ES_tradnl"/>
        </w:rPr>
      </w:pPr>
      <w:r w:rsidRPr="001868A7">
        <w:rPr>
          <w:lang w:val="es-ES_tradnl"/>
        </w:rPr>
        <w:lastRenderedPageBreak/>
        <w:t>También existen variaciones a estos métodos o combinaciones de los dos métodos. En cualquier caso, el objetivo es proporcionar una estimación del retardo ionosférico o realizar un conjunto independiente de mediciones de la fase de portadora que soporten la rápida supresión de las ambigüedades de la longitud de onda, aun cuando el receptor se encuentre en movimiento. Este proceso proporciona una precisión de la posición mejorada. El esquema de correlación cruzada es posible por el hecho de que L1 y L2 tienen códigos P(Y) idénticos y casi sincronizados. Los códigos de la señal L2 P(Y) idénticos y casi sincronizados. Los códigos de la señal L2 P(Y) sufren un retardo en la ionosfera con respecto a los códigos de la señal L1 P(Y) y también van acompañados de avances en la fase de la portadora. La señal L1 P(Y) tiene un código y una portadora Doppler idénticos a los de la señal L1 C/A, lo que permite ayudar al seguimiento con codificación parcial utilizando bucles de seguimiento de anchura de banda muy estrecha. Este receptor tendrá características similares al receptor de referencia en tierra SBAS antes descrito, pero puede diferir en su susceptibilidad a la interferencia. Las características de este tipo de receptor aparecen en el Cuadro 1, columna 2. Como este receptor también utiliza las señales de la banda 1 559-1 610 MHz, puede sufrir interferencia en esa banda. En la Recomendación UIT</w:t>
      </w:r>
      <w:r w:rsidRPr="001868A7">
        <w:rPr>
          <w:lang w:val="es-ES_tradnl"/>
        </w:rPr>
        <w:noBreakHyphen/>
        <w:t>R M.1903 figuran los criterios de protección y otras características en la banda 1 559</w:t>
      </w:r>
      <w:r w:rsidRPr="001868A7">
        <w:rPr>
          <w:lang w:val="es-ES_tradnl"/>
        </w:rPr>
        <w:noBreakHyphen/>
        <w:t>1 610 MHz especificada para el receptor de alta precisión del tipo AMDC.</w:t>
      </w:r>
    </w:p>
    <w:p w14:paraId="63DFCF09" w14:textId="77777777" w:rsidR="002B7933" w:rsidRPr="001868A7" w:rsidRDefault="002B7933" w:rsidP="002B7933">
      <w:pPr>
        <w:pStyle w:val="Heading3"/>
        <w:rPr>
          <w:lang w:val="es-ES_tradnl"/>
        </w:rPr>
      </w:pPr>
      <w:r w:rsidRPr="001868A7">
        <w:rPr>
          <w:lang w:val="es-ES_tradnl"/>
        </w:rPr>
        <w:t>2.2.2</w:t>
      </w:r>
      <w:r w:rsidRPr="001868A7">
        <w:rPr>
          <w:lang w:val="es-ES_tradnl"/>
        </w:rPr>
        <w:tab/>
        <w:t>Receptores con codificación parcial de alta precisión de transición L2C</w:t>
      </w:r>
    </w:p>
    <w:p w14:paraId="1C16679C" w14:textId="77777777" w:rsidR="002B7933" w:rsidRPr="001868A7" w:rsidRDefault="002B7933" w:rsidP="002B7933">
      <w:pPr>
        <w:rPr>
          <w:lang w:val="es-ES_tradnl"/>
        </w:rPr>
      </w:pPr>
      <w:r w:rsidRPr="001868A7">
        <w:rPr>
          <w:lang w:val="es-ES_tradnl"/>
        </w:rPr>
        <w:t>Este receptor tiene todas las características del receptor con codificación parcial de alta precisión descrito en el § 2.2.1 y también realiza el seguimiento y la adquisición de la nueva señal L2C</w:t>
      </w:r>
      <w:r w:rsidRPr="001868A7">
        <w:rPr>
          <w:position w:val="6"/>
          <w:sz w:val="18"/>
          <w:lang w:val="es-ES_tradnl"/>
        </w:rPr>
        <w:footnoteReference w:id="4"/>
      </w:r>
      <w:r w:rsidRPr="001868A7">
        <w:rPr>
          <w:lang w:val="es-ES_tradnl"/>
        </w:rPr>
        <w:t xml:space="preserve"> en la portadora L2C recibida de los satélites de última generación disponibles. Este receptor utilizará la técnica de codificación parcial descrita anteriormente para efectuar la adquisición y el seguimiento de las señales L2 P(Y) en otros satélites de generaciones anteriores y puede emplear es técnica también en las señales L2 P(Y) procedentes de satélites de generaciones posteriores, al menos para proporcionar información de calibración para el funcionamiento L2C/L2 P(Y) híbrido. Este funcionamiento híbrido requiere conocer la diferencia de fase entre las señales L2C y L2 P(Y). La señal L2C ofrece más robustez que la que puede disponerse con el funcionamiento de codificación parcial L2 P(Y), que es más conveniente en entornos difíciles. Sin embargo, como los receptores con esta capacidad se utilizan en aplicaciones de sistemas que también emplean los receptores con codificación parcial L2 P(Y) tradicionales, en general esta robustez adicional no siempre está disponible. Por consiguiente, siguen aplicándose los niveles de potencia de interferencia umbral especificados en el Cuadro 1, columna 2.</w:t>
      </w:r>
    </w:p>
    <w:p w14:paraId="22918F42" w14:textId="77777777" w:rsidR="002B7933" w:rsidRPr="001868A7" w:rsidRDefault="002B7933" w:rsidP="002B7933">
      <w:pPr>
        <w:pStyle w:val="Heading2"/>
        <w:rPr>
          <w:lang w:val="es-ES_tradnl"/>
        </w:rPr>
      </w:pPr>
      <w:r w:rsidRPr="001868A7">
        <w:rPr>
          <w:lang w:val="es-ES_tradnl"/>
        </w:rPr>
        <w:t>2.3</w:t>
      </w:r>
      <w:r w:rsidRPr="001868A7">
        <w:rPr>
          <w:lang w:val="es-ES_tradnl"/>
        </w:rPr>
        <w:tab/>
        <w:t>Receptores de alta precisión que utilizan L2C</w:t>
      </w:r>
    </w:p>
    <w:p w14:paraId="4531AAAC" w14:textId="77777777" w:rsidR="002B7933" w:rsidRPr="001868A7" w:rsidRDefault="002B7933" w:rsidP="002B7933">
      <w:pPr>
        <w:rPr>
          <w:lang w:val="es-ES_tradnl"/>
        </w:rPr>
      </w:pPr>
      <w:r w:rsidRPr="001868A7">
        <w:rPr>
          <w:lang w:val="es-ES_tradnl"/>
        </w:rPr>
        <w:t>Este tipo de receptor es uno basado en tierra que realiza una adquisición y seguimiento de la señal </w:t>
      </w:r>
      <w:proofErr w:type="gramStart"/>
      <w:r w:rsidRPr="001868A7">
        <w:rPr>
          <w:lang w:val="es-ES_tradnl"/>
        </w:rPr>
        <w:t>L2C</w:t>
      </w:r>
      <w:proofErr w:type="gramEnd"/>
      <w:r w:rsidRPr="001868A7">
        <w:rPr>
          <w:lang w:val="es-ES_tradnl"/>
        </w:rPr>
        <w:t xml:space="preserve"> pero no necesariamente de la señal L2 P(Y). La función de este receptor es la misma que la del receptor con codificación parcial de alta precisión antes descrito, pero presenta una mayor robustez debido a la adquisición y seguimiento de la señal L2C.</w:t>
      </w:r>
    </w:p>
    <w:p w14:paraId="1D6D5E34" w14:textId="77777777" w:rsidR="002B7933" w:rsidRPr="001868A7" w:rsidRDefault="002B7933" w:rsidP="002B7933">
      <w:pPr>
        <w:rPr>
          <w:lang w:val="es-ES_tradnl"/>
        </w:rPr>
      </w:pPr>
      <w:r w:rsidRPr="001868A7">
        <w:rPr>
          <w:lang w:val="es-ES_tradnl"/>
        </w:rPr>
        <w:t xml:space="preserve">Este tipo de receptor efectúa la adquisición y el seguimiento del nuevo código L2C recibido de ciertos satélites de la última generación. Este receptor también puede utilizar la técnica de codificación parcial descrita antes para realizar la adquisición y el seguimiento de las señales L2 P(Y) también desde éstos y desde otros satélites, al menos para proporcionar la información de calibración para el funcionamiento L2C/L2 P(Y) híbrido. Este funcionamiento híbrido requiere conocer la diferencia de fase entre las señales L2C y L2 P(Y). Las características de este tipo de receptor que lleva a cabo la adquisición y el seguimiento de la señal L2C figuran en el Cuadro 1, columna 3. La señal L2C proporciona más robustez que la disponible con el funcionamiento con codificación parcial L2 P(Y), </w:t>
      </w:r>
      <w:r w:rsidRPr="001868A7">
        <w:rPr>
          <w:lang w:val="es-ES_tradnl"/>
        </w:rPr>
        <w:lastRenderedPageBreak/>
        <w:t>que es más conveniente en entornos difíciles. Sin embargo, como los receptores con esta capacidad se utilizan en aplicaciones de sistemas que también emplean los receptores con codificación parcial L2 P(Y) tradicionales, tradicionales, en general esta robustez adicional no siempre está disponible. Por consiguiente, también se aplican los niveles de potencia de interferencia umbral especificados en la columna 2 del Cuadro 1.</w:t>
      </w:r>
    </w:p>
    <w:p w14:paraId="07C3C2F1" w14:textId="77777777" w:rsidR="002B7933" w:rsidRPr="001868A7" w:rsidRDefault="002B7933" w:rsidP="002B7933">
      <w:pPr>
        <w:pStyle w:val="Heading2"/>
        <w:rPr>
          <w:lang w:val="es-ES_tradnl"/>
        </w:rPr>
      </w:pPr>
      <w:r w:rsidRPr="001868A7">
        <w:rPr>
          <w:lang w:val="es-ES_tradnl"/>
        </w:rPr>
        <w:t>2.4</w:t>
      </w:r>
      <w:r w:rsidRPr="001868A7">
        <w:rPr>
          <w:lang w:val="es-ES_tradnl"/>
        </w:rPr>
        <w:tab/>
        <w:t>Receptor de navegación aérea</w:t>
      </w:r>
    </w:p>
    <w:p w14:paraId="7C1A470D" w14:textId="77777777" w:rsidR="002B7933" w:rsidRPr="001868A7" w:rsidRDefault="002B7933" w:rsidP="002B7933">
      <w:pPr>
        <w:rPr>
          <w:lang w:val="es-ES_tradnl"/>
        </w:rPr>
      </w:pPr>
      <w:r w:rsidRPr="001868A7">
        <w:rPr>
          <w:lang w:val="es-ES_tradnl"/>
        </w:rPr>
        <w:t>La navegación aérea se refiere a un receptor a bordo de aeronave diseñado para utilizarse durante todas las fases del vuelo. Este tipo de receptor utiliza señales con AMCD y/o AMDF del SRNS</w:t>
      </w:r>
      <w:r w:rsidRPr="001868A7">
        <w:rPr>
          <w:position w:val="6"/>
          <w:sz w:val="18"/>
          <w:lang w:val="es-ES_tradnl"/>
        </w:rPr>
        <w:footnoteReference w:id="5"/>
      </w:r>
      <w:r w:rsidRPr="001868A7">
        <w:rPr>
          <w:lang w:val="es-ES_tradnl"/>
        </w:rPr>
        <w:t xml:space="preserve"> y puede funcionar en varias frecuencias portadoras simultáneamente. Las características de este tipo de receptor se especifican en el Cuadro 1, columna 4.</w:t>
      </w:r>
    </w:p>
    <w:p w14:paraId="1724C412" w14:textId="77777777" w:rsidR="002B7933" w:rsidRPr="001868A7" w:rsidRDefault="002B7933" w:rsidP="002B7933">
      <w:pPr>
        <w:rPr>
          <w:lang w:val="es-ES_tradnl" w:eastAsia="ja-JP"/>
        </w:rPr>
      </w:pPr>
      <w:r w:rsidRPr="001868A7">
        <w:rPr>
          <w:lang w:val="es-ES_tradnl"/>
        </w:rPr>
        <w:t xml:space="preserve">Las características de los receptores de navegación aérea también pueden aplicarse a los receptores diseñados para aplicaciones terrestres y marítimas no descritas en el presente Anexo. </w:t>
      </w:r>
    </w:p>
    <w:p w14:paraId="7882B43D" w14:textId="77777777" w:rsidR="002B7933" w:rsidRPr="001868A7" w:rsidRDefault="002B7933" w:rsidP="002B7933">
      <w:pPr>
        <w:pStyle w:val="Heading2"/>
        <w:rPr>
          <w:lang w:val="es-ES_tradnl"/>
        </w:rPr>
      </w:pPr>
      <w:r w:rsidRPr="001868A7">
        <w:rPr>
          <w:lang w:val="es-ES_tradnl"/>
        </w:rPr>
        <w:t>2.5</w:t>
      </w:r>
      <w:r w:rsidRPr="001868A7">
        <w:rPr>
          <w:lang w:val="es-ES_tradnl"/>
        </w:rPr>
        <w:tab/>
        <w:t>Posicionamiento en interiores</w:t>
      </w:r>
    </w:p>
    <w:p w14:paraId="49496FDC" w14:textId="77777777" w:rsidR="002B7933" w:rsidRPr="001868A7" w:rsidRDefault="002B7933" w:rsidP="002B7933">
      <w:pPr>
        <w:keepLines/>
        <w:rPr>
          <w:lang w:val="es-ES_tradnl"/>
        </w:rPr>
      </w:pPr>
      <w:r w:rsidRPr="001868A7">
        <w:rPr>
          <w:lang w:val="es-ES_tradnl"/>
        </w:rPr>
        <w:t xml:space="preserve">La categoría de posicionamiento en interiores representa a los receptores del SRNS destinados a su uso en interiores y que normalmente tiene una baja capacidad </w:t>
      </w:r>
      <w:r w:rsidRPr="001868A7">
        <w:rPr>
          <w:i/>
          <w:iCs/>
          <w:lang w:val="es-ES_tradnl"/>
        </w:rPr>
        <w:t>C</w:t>
      </w:r>
      <w:r w:rsidRPr="001868A7">
        <w:rPr>
          <w:lang w:val="es-ES_tradnl"/>
        </w:rPr>
        <w:t>/</w:t>
      </w:r>
      <w:r w:rsidRPr="001868A7">
        <w:rPr>
          <w:i/>
          <w:iCs/>
          <w:lang w:val="es-ES_tradnl"/>
        </w:rPr>
        <w:t>N</w:t>
      </w:r>
      <w:r w:rsidRPr="001868A7">
        <w:rPr>
          <w:vertAlign w:val="subscript"/>
          <w:lang w:val="es-ES_tradnl"/>
        </w:rPr>
        <w:t>0</w:t>
      </w:r>
      <w:r w:rsidRPr="001868A7">
        <w:rPr>
          <w:lang w:val="es-ES_tradnl"/>
        </w:rPr>
        <w:t xml:space="preserve"> (es decir, son receptores muy sensibles). Como no puede utilizarse seguimiento de portadora con las señales de baja potencia presentes en los entornos de interiores, en este tipo de receptor únicamente se emplea seguimiento de código. En el Cuadro 1, columna 5, se indican tres tipos de receptores, cada uno de los cuales utiliza un tipo distinto de señal del satélite del SRNS (AMDC para la señal L2C; o para señales GLONASS, AMDC y/o AMDF), diversas gamas de frecuencias y distintas anchuras de banda de filtro. Las características restantes y los criterios de protección son iguales. </w:t>
      </w:r>
    </w:p>
    <w:p w14:paraId="215533C0" w14:textId="77777777" w:rsidR="002B7933" w:rsidRPr="001868A7" w:rsidRDefault="002B7933" w:rsidP="002B7933">
      <w:pPr>
        <w:pStyle w:val="Heading2"/>
        <w:rPr>
          <w:lang w:val="es-ES_tradnl"/>
        </w:rPr>
      </w:pPr>
      <w:r w:rsidRPr="001868A7">
        <w:rPr>
          <w:lang w:val="es-ES_tradnl"/>
        </w:rPr>
        <w:t>2.6</w:t>
      </w:r>
      <w:r w:rsidRPr="001868A7">
        <w:rPr>
          <w:lang w:val="es-ES_tradnl"/>
        </w:rPr>
        <w:tab/>
        <w:t>«Otras»</w:t>
      </w:r>
    </w:p>
    <w:p w14:paraId="5CAF04A5" w14:textId="77777777" w:rsidR="002B7933" w:rsidRPr="001868A7" w:rsidRDefault="002B7933" w:rsidP="002B7933">
      <w:pPr>
        <w:rPr>
          <w:lang w:val="es-ES_tradnl"/>
        </w:rPr>
      </w:pPr>
      <w:r w:rsidRPr="001868A7">
        <w:rPr>
          <w:lang w:val="es-ES_tradnl"/>
        </w:rPr>
        <w:t>La categoría «Otras» se refiere a otras aplicaciones del SRNS que utilizan receptores polivalentes y manuales. Las características</w:t>
      </w:r>
      <w:r w:rsidRPr="001868A7">
        <w:rPr>
          <w:position w:val="6"/>
          <w:sz w:val="18"/>
          <w:lang w:val="es-ES_tradnl"/>
        </w:rPr>
        <w:footnoteReference w:id="6"/>
      </w:r>
      <w:r w:rsidRPr="001868A7">
        <w:rPr>
          <w:lang w:val="es-ES_tradnl"/>
        </w:rPr>
        <w:t xml:space="preserve"> y los criterios de protección para este tipo de receptor se especifican en el Cuadro 1, columna 6.</w:t>
      </w:r>
    </w:p>
    <w:p w14:paraId="41521B1D" w14:textId="77777777" w:rsidR="002B7933" w:rsidRPr="001868A7" w:rsidRDefault="002B7933" w:rsidP="002B7933">
      <w:pPr>
        <w:pStyle w:val="Heading2"/>
        <w:rPr>
          <w:lang w:val="es-ES_tradnl"/>
        </w:rPr>
      </w:pPr>
      <w:r w:rsidRPr="001868A7">
        <w:rPr>
          <w:lang w:val="es-ES_tradnl"/>
        </w:rPr>
        <w:t>2.7</w:t>
      </w:r>
      <w:r w:rsidRPr="001868A7">
        <w:rPr>
          <w:lang w:val="es-ES_tradnl"/>
        </w:rPr>
        <w:tab/>
        <w:t>Aplicaciones polivalentes</w:t>
      </w:r>
    </w:p>
    <w:p w14:paraId="05E6F3F7" w14:textId="77777777" w:rsidR="002B7933" w:rsidRPr="001868A7" w:rsidRDefault="002B7933" w:rsidP="002B7933">
      <w:pPr>
        <w:rPr>
          <w:lang w:val="es-ES_tradnl"/>
        </w:rPr>
      </w:pPr>
      <w:r w:rsidRPr="001868A7">
        <w:rPr>
          <w:lang w:val="es-ES_tradnl"/>
        </w:rPr>
        <w:t xml:space="preserve">La categoría polivalente representa varios tipos de receptores del SRNS. Estos receptores están diseñados para la navegación en vehículos, la navegación peatonal, el posicionamiento general, etc. En el Cuadro 1, columna 7, se indican tres tipos de receptores; cada uno de los cuales emplea un tipo diferente de señal del satélite del SRNS (AMDC para la señal L2C; para señales GLONASS, AMDC y/o AMDF), diversas gamas de frecuencias y diferentes anchuras de banda del filtro. Los criterios de protección y las restantes características son iguales. </w:t>
      </w:r>
    </w:p>
    <w:p w14:paraId="082A08B3" w14:textId="77777777" w:rsidR="002B7933" w:rsidRPr="001868A7" w:rsidRDefault="002B7933" w:rsidP="002B7933">
      <w:pPr>
        <w:pStyle w:val="Heading1"/>
        <w:rPr>
          <w:lang w:val="es-ES_tradnl"/>
        </w:rPr>
      </w:pPr>
      <w:r w:rsidRPr="001868A7">
        <w:rPr>
          <w:lang w:val="es-ES_tradnl"/>
        </w:rPr>
        <w:lastRenderedPageBreak/>
        <w:t>3</w:t>
      </w:r>
      <w:r w:rsidRPr="001868A7">
        <w:rPr>
          <w:lang w:val="es-ES_tradnl"/>
        </w:rPr>
        <w:tab/>
      </w:r>
      <w:proofErr w:type="gramStart"/>
      <w:r w:rsidRPr="001868A7">
        <w:rPr>
          <w:lang w:val="es-ES_tradnl"/>
        </w:rPr>
        <w:t>Efectos</w:t>
      </w:r>
      <w:proofErr w:type="gramEnd"/>
      <w:r w:rsidRPr="001868A7">
        <w:rPr>
          <w:lang w:val="es-ES_tradnl"/>
        </w:rPr>
        <w:t xml:space="preserve"> de la interferencia de radiofrecuencia impulsiva</w:t>
      </w:r>
      <w:r w:rsidRPr="001868A7">
        <w:rPr>
          <w:rStyle w:val="FootnoteReference"/>
          <w:b w:val="0"/>
          <w:lang w:val="es-ES_tradnl"/>
        </w:rPr>
        <w:footnoteReference w:id="7"/>
      </w:r>
    </w:p>
    <w:p w14:paraId="4F9C76D2" w14:textId="77777777" w:rsidR="002B7933" w:rsidRPr="001868A7" w:rsidRDefault="002B7933" w:rsidP="002B7933">
      <w:pPr>
        <w:rPr>
          <w:lang w:val="es-ES_tradnl"/>
        </w:rPr>
      </w:pPr>
      <w:r w:rsidRPr="001868A7">
        <w:rPr>
          <w:lang w:val="es-ES_tradnl"/>
        </w:rPr>
        <w:t xml:space="preserve">Además de la interferencia continua procedente de una variedad de fuentes, incluidas las estaciones espaciales del SRNS, los receptores del SRNS que funcionan en la banda 1 215-1 300 MHz están sujetos a la interferencia de radiofrecuencia impulsiva dentro de la banda y en la banda adyacente causada por los radares de radiolocalización y los transmisores del SRNA. La presencia de este tipo de interferencia impulsiva reduce la cantidad de interferencia de RF continua que puede tolerar el receptor del SRNS. El grado de interferencia de RF depende del número de fuentes situadas dentro del horizonte radioeléctrico de la antena receptora del SRNS. </w:t>
      </w:r>
    </w:p>
    <w:p w14:paraId="40872E2E" w14:textId="77777777" w:rsidR="002B7933" w:rsidRPr="001868A7" w:rsidRDefault="002B7933" w:rsidP="002B7933">
      <w:pPr>
        <w:rPr>
          <w:lang w:val="es-ES_tradnl"/>
        </w:rPr>
      </w:pPr>
      <w:r w:rsidRPr="001868A7">
        <w:rPr>
          <w:lang w:val="es-ES_tradnl"/>
        </w:rPr>
        <w:t xml:space="preserve">Se necesita un método distinto de análisis de la interferencia de RF para tener en cuenta la interferencia de RF impulsiva en la banda </w:t>
      </w:r>
      <w:r w:rsidRPr="001868A7">
        <w:rPr>
          <w:snapToGrid w:val="0"/>
          <w:lang w:val="es-ES_tradnl"/>
        </w:rPr>
        <w:t>1 215-1 300 MHz que, por ejemplo, en la banda 1 559-1 610 MHz, donde este tipo de interferencia es insignificante. Los estudios realizados por dos organismos de normas de aviación</w:t>
      </w:r>
      <w:r w:rsidRPr="001868A7">
        <w:rPr>
          <w:position w:val="6"/>
          <w:sz w:val="18"/>
          <w:lang w:val="es-ES_tradnl"/>
        </w:rPr>
        <w:footnoteReference w:id="8"/>
      </w:r>
      <w:r w:rsidRPr="001868A7">
        <w:rPr>
          <w:lang w:val="es-ES_tradnl"/>
        </w:rPr>
        <w:t xml:space="preserve"> han identificado un método de análisis que aborda el efecto combinado de la interferencia de RF impulsiva y continua</w:t>
      </w:r>
      <w:r w:rsidRPr="001868A7">
        <w:rPr>
          <w:position w:val="6"/>
          <w:sz w:val="18"/>
          <w:lang w:val="es-ES_tradnl"/>
        </w:rPr>
        <w:footnoteReference w:id="9"/>
      </w:r>
      <w:r w:rsidRPr="001868A7">
        <w:rPr>
          <w:lang w:val="es-ES_tradnl"/>
        </w:rPr>
        <w:t>. Se obtuvieron dos variaciones del método básico que dependen del tipo de reducción en el receptor del SRNS para fuentes impulsivas: una para receptores que integran la tecnología de supresión del impulso (desarrollada para el funcionamiento en entornos con una interferencia de RF impulsiva de ciclo activo alto) y otra para receptores polivalentes que trabajan en saturación (adecuada para entornos con una interferencia de RF impulsiva de ciclo activo bajo). Por ejemplo, el receptor de referencia en tierra SBAS (véase el § 2.1) incorpora la tecnología de supresión del impulso para lograr una mejor calidad de funcionamiento en presencia de esta interferencia de RF impulsiva</w:t>
      </w:r>
      <w:r w:rsidRPr="001868A7">
        <w:rPr>
          <w:snapToGrid w:val="0"/>
          <w:lang w:val="es-ES_tradnl"/>
        </w:rPr>
        <w:t>.</w:t>
      </w:r>
    </w:p>
    <w:p w14:paraId="1D037706" w14:textId="77777777" w:rsidR="002B7933" w:rsidRPr="001868A7" w:rsidRDefault="002B7933" w:rsidP="002B7933">
      <w:pPr>
        <w:pStyle w:val="Heading1"/>
        <w:rPr>
          <w:lang w:val="es-ES_tradnl"/>
        </w:rPr>
      </w:pPr>
      <w:r w:rsidRPr="001868A7">
        <w:rPr>
          <w:lang w:val="es-ES_tradnl"/>
        </w:rPr>
        <w:t>4</w:t>
      </w:r>
      <w:r w:rsidRPr="001868A7">
        <w:rPr>
          <w:lang w:val="es-ES_tradnl"/>
        </w:rPr>
        <w:tab/>
      </w:r>
      <w:proofErr w:type="gramStart"/>
      <w:r w:rsidRPr="001868A7">
        <w:rPr>
          <w:lang w:val="es-ES_tradnl"/>
        </w:rPr>
        <w:t>Características</w:t>
      </w:r>
      <w:proofErr w:type="gramEnd"/>
      <w:r w:rsidRPr="001868A7">
        <w:rPr>
          <w:lang w:val="es-ES_tradnl"/>
        </w:rPr>
        <w:t xml:space="preserve"> técnicas y criterios de protección del receptor del SRNS</w:t>
      </w:r>
    </w:p>
    <w:p w14:paraId="28F9F2A1" w14:textId="77777777" w:rsidR="002B7933" w:rsidRPr="001868A7" w:rsidRDefault="002B7933" w:rsidP="002B7933">
      <w:pPr>
        <w:rPr>
          <w:lang w:val="es-ES_tradnl"/>
        </w:rPr>
      </w:pPr>
      <w:r w:rsidRPr="001868A7">
        <w:rPr>
          <w:lang w:val="es-ES_tradnl"/>
        </w:rPr>
        <w:t>En el Cuadro 1 aparecen las características técnicas y los criterios de protección (máximos valores umbral de la interferencia combinada) para varios receptores y aplicaciones del SRNS representativos en la banda 1 215-1 300 MHz. En la Recomendación UIT-R M.1787 figura más información sobre la señal del SRNS.</w:t>
      </w:r>
    </w:p>
    <w:p w14:paraId="17DDCEFA" w14:textId="77777777" w:rsidR="002B7933" w:rsidRPr="001868A7" w:rsidRDefault="002B7933" w:rsidP="002B7933">
      <w:pPr>
        <w:ind w:right="-142"/>
        <w:rPr>
          <w:lang w:val="es-ES_tradnl"/>
        </w:rPr>
      </w:pPr>
      <w:r w:rsidRPr="001868A7">
        <w:rPr>
          <w:lang w:val="es-ES_tradnl"/>
        </w:rPr>
        <w:t>En el Cuadro 1 aparecen diferentes niveles de protección dependiendo de las aplicaciones del SRNS. En dicho Cuadro se han incluido los siguientes receptores y aplicaciones del SRNS:</w:t>
      </w:r>
    </w:p>
    <w:p w14:paraId="335A010C" w14:textId="77777777" w:rsidR="002B7933" w:rsidRPr="001868A7" w:rsidRDefault="002B7933" w:rsidP="002B7933">
      <w:pPr>
        <w:pStyle w:val="enumlev1"/>
        <w:rPr>
          <w:lang w:val="es-ES_tradnl"/>
        </w:rPr>
      </w:pPr>
      <w:r w:rsidRPr="001868A7">
        <w:rPr>
          <w:bCs/>
          <w:lang w:val="es-ES_tradnl"/>
        </w:rPr>
        <w:t>–</w:t>
      </w:r>
      <w:r w:rsidRPr="001868A7">
        <w:rPr>
          <w:b/>
          <w:lang w:val="es-ES_tradnl"/>
        </w:rPr>
        <w:tab/>
      </w:r>
      <w:r w:rsidRPr="001868A7">
        <w:rPr>
          <w:bCs/>
          <w:lang w:val="es-ES_tradnl"/>
        </w:rPr>
        <w:t>Receptor de referencia en tierra</w:t>
      </w:r>
      <w:r w:rsidRPr="001868A7">
        <w:rPr>
          <w:b/>
          <w:lang w:val="es-ES_tradnl"/>
        </w:rPr>
        <w:t xml:space="preserve"> </w:t>
      </w:r>
      <w:r w:rsidRPr="001868A7">
        <w:rPr>
          <w:bCs/>
          <w:lang w:val="es-ES_tradnl"/>
        </w:rPr>
        <w:t xml:space="preserve">SBAS </w:t>
      </w:r>
      <w:r w:rsidRPr="001868A7">
        <w:rPr>
          <w:lang w:val="es-ES_tradnl"/>
        </w:rPr>
        <w:t>(véase el § 2.1 y el Cuadro 1, columna 1).</w:t>
      </w:r>
    </w:p>
    <w:p w14:paraId="1EE6F3FE" w14:textId="77777777" w:rsidR="002B7933" w:rsidRPr="001868A7" w:rsidRDefault="002B7933" w:rsidP="002B7933">
      <w:pPr>
        <w:pStyle w:val="enumlev1"/>
        <w:rPr>
          <w:bCs/>
          <w:lang w:val="es-ES_tradnl"/>
        </w:rPr>
      </w:pPr>
      <w:r w:rsidRPr="001868A7">
        <w:rPr>
          <w:bCs/>
          <w:lang w:val="es-ES_tradnl"/>
        </w:rPr>
        <w:t>–</w:t>
      </w:r>
      <w:r w:rsidRPr="001868A7">
        <w:rPr>
          <w:b/>
          <w:lang w:val="es-ES_tradnl"/>
        </w:rPr>
        <w:tab/>
      </w:r>
      <w:r w:rsidRPr="001868A7">
        <w:rPr>
          <w:bCs/>
          <w:lang w:val="es-ES_tradnl"/>
        </w:rPr>
        <w:t>Receptor con codificación parcial de alta precisión (véase el § 2.2.1 y el Cuadro 1, columna 2). (Obsérvese que la columna 2 también se aplica al receptor con codificación parcial de alta precisión de transición L2C; véase el § 2.2.2.)</w:t>
      </w:r>
    </w:p>
    <w:p w14:paraId="1D2B0774" w14:textId="77777777" w:rsidR="002B7933" w:rsidRPr="001868A7" w:rsidRDefault="002B7933" w:rsidP="002B7933">
      <w:pPr>
        <w:pStyle w:val="enumlev1"/>
        <w:rPr>
          <w:bCs/>
          <w:lang w:val="es-ES_tradnl" w:eastAsia="ja-JP"/>
        </w:rPr>
      </w:pPr>
      <w:r w:rsidRPr="001868A7">
        <w:rPr>
          <w:bCs/>
          <w:lang w:val="es-ES_tradnl"/>
        </w:rPr>
        <w:t>–</w:t>
      </w:r>
      <w:r w:rsidRPr="001868A7">
        <w:rPr>
          <w:bCs/>
          <w:lang w:val="es-ES_tradnl"/>
        </w:rPr>
        <w:tab/>
        <w:t>Receptor de alta precisión que utiliza L2C (véase el § 2.3 y el Cuadro 1, columna 3).</w:t>
      </w:r>
    </w:p>
    <w:p w14:paraId="16C9BF1D" w14:textId="77777777" w:rsidR="002B7933" w:rsidRPr="001868A7" w:rsidRDefault="002B7933" w:rsidP="002B7933">
      <w:pPr>
        <w:pStyle w:val="enumlev1"/>
        <w:rPr>
          <w:bCs/>
          <w:lang w:val="es-ES_tradnl"/>
        </w:rPr>
      </w:pPr>
      <w:r w:rsidRPr="001868A7">
        <w:rPr>
          <w:bCs/>
          <w:lang w:val="es-ES_tradnl"/>
        </w:rPr>
        <w:t>–</w:t>
      </w:r>
      <w:r w:rsidRPr="001868A7">
        <w:rPr>
          <w:bCs/>
          <w:lang w:val="es-ES_tradnl"/>
        </w:rPr>
        <w:tab/>
        <w:t>Receptor de navegación aérea (2 tipos) (véase el § 2.4 y el Cuadro 1, columna 4).</w:t>
      </w:r>
    </w:p>
    <w:p w14:paraId="54B58A6F" w14:textId="77777777" w:rsidR="002B7933" w:rsidRPr="001868A7" w:rsidRDefault="002B7933" w:rsidP="002B7933">
      <w:pPr>
        <w:pStyle w:val="enumlev1"/>
        <w:rPr>
          <w:bCs/>
          <w:lang w:val="es-ES_tradnl"/>
        </w:rPr>
      </w:pPr>
      <w:r w:rsidRPr="001868A7">
        <w:rPr>
          <w:bCs/>
          <w:lang w:val="es-ES_tradnl"/>
        </w:rPr>
        <w:t>–</w:t>
      </w:r>
      <w:r w:rsidRPr="001868A7">
        <w:rPr>
          <w:bCs/>
          <w:lang w:val="es-ES_tradnl"/>
        </w:rPr>
        <w:tab/>
        <w:t>Posicionamiento en interiores (3 tipos) (véase el § 2.5 y el Cuadro 1, columna 5).</w:t>
      </w:r>
    </w:p>
    <w:p w14:paraId="538CA86D" w14:textId="77777777" w:rsidR="002B7933" w:rsidRPr="001868A7" w:rsidRDefault="002B7933" w:rsidP="002B7933">
      <w:pPr>
        <w:pStyle w:val="enumlev1"/>
        <w:rPr>
          <w:bCs/>
          <w:lang w:val="es-ES_tradnl"/>
        </w:rPr>
      </w:pPr>
      <w:r w:rsidRPr="001868A7">
        <w:rPr>
          <w:bCs/>
          <w:lang w:val="es-ES_tradnl" w:eastAsia="ja-JP"/>
        </w:rPr>
        <w:t>–</w:t>
      </w:r>
      <w:r w:rsidRPr="001868A7">
        <w:rPr>
          <w:bCs/>
          <w:lang w:val="es-ES_tradnl" w:eastAsia="ja-JP"/>
        </w:rPr>
        <w:tab/>
        <w:t>«Otras»</w:t>
      </w:r>
      <w:r w:rsidRPr="001868A7">
        <w:rPr>
          <w:bCs/>
          <w:lang w:val="es-ES_tradnl"/>
        </w:rPr>
        <w:t xml:space="preserve"> (véase el § 2.6 y el Cuadro 1, columna 6).</w:t>
      </w:r>
    </w:p>
    <w:p w14:paraId="56265136" w14:textId="77777777" w:rsidR="002B7933" w:rsidRPr="001868A7" w:rsidRDefault="002B7933" w:rsidP="002B7933">
      <w:pPr>
        <w:pStyle w:val="enumlev1"/>
        <w:rPr>
          <w:lang w:val="es-ES_tradnl"/>
        </w:rPr>
      </w:pPr>
      <w:r w:rsidRPr="001868A7">
        <w:rPr>
          <w:bCs/>
          <w:lang w:val="es-ES_tradnl"/>
        </w:rPr>
        <w:t>–</w:t>
      </w:r>
      <w:r w:rsidRPr="001868A7">
        <w:rPr>
          <w:bCs/>
          <w:lang w:val="es-ES_tradnl"/>
        </w:rPr>
        <w:tab/>
        <w:t>Polivalentes (3 tipos) (véase el § 2.7 y el Cuadro 1, columna 7).</w:t>
      </w:r>
    </w:p>
    <w:p w14:paraId="170668E0" w14:textId="77777777" w:rsidR="002B7933" w:rsidRPr="001868A7" w:rsidRDefault="002B7933" w:rsidP="002B7933">
      <w:pPr>
        <w:rPr>
          <w:lang w:val="es-ES_tradnl"/>
        </w:rPr>
        <w:sectPr w:rsidR="002B7933" w:rsidRPr="001868A7" w:rsidSect="00E24D4C">
          <w:headerReference w:type="even" r:id="rId14"/>
          <w:headerReference w:type="default" r:id="rId15"/>
          <w:pgSz w:w="11907" w:h="16834" w:code="9"/>
          <w:pgMar w:top="1418" w:right="1134" w:bottom="1134" w:left="1134" w:header="720" w:footer="482" w:gutter="0"/>
          <w:pgNumType w:start="1"/>
          <w:cols w:space="720"/>
        </w:sectPr>
      </w:pPr>
    </w:p>
    <w:p w14:paraId="6BF20E32" w14:textId="77777777" w:rsidR="002B7933" w:rsidRPr="001868A7" w:rsidRDefault="002B7933" w:rsidP="002B7933">
      <w:pPr>
        <w:pStyle w:val="TableNo"/>
        <w:spacing w:before="0"/>
        <w:rPr>
          <w:lang w:val="es-ES_tradnl"/>
        </w:rPr>
      </w:pPr>
      <w:r w:rsidRPr="001868A7">
        <w:rPr>
          <w:lang w:val="es-ES_tradnl"/>
        </w:rPr>
        <w:lastRenderedPageBreak/>
        <w:t>CUADRO 1</w:t>
      </w:r>
    </w:p>
    <w:p w14:paraId="4017968A" w14:textId="77777777" w:rsidR="002B7933" w:rsidRPr="001868A7" w:rsidRDefault="002B7933" w:rsidP="002B7933">
      <w:pPr>
        <w:pStyle w:val="Tabletitle"/>
        <w:rPr>
          <w:lang w:val="es-ES_tradnl"/>
        </w:rPr>
      </w:pPr>
      <w:r w:rsidRPr="001868A7">
        <w:rPr>
          <w:lang w:val="es-ES_tradnl"/>
        </w:rPr>
        <w:t>Características técnicas y criterios de protección para los receptores del SRNS (espacio-Tierra) que funcionan en la banda 1 215</w:t>
      </w:r>
      <w:r w:rsidRPr="001868A7">
        <w:rPr>
          <w:lang w:val="es-ES_tradnl"/>
        </w:rPr>
        <w:noBreakHyphen/>
        <w:t>1 300 MHz</w:t>
      </w:r>
    </w:p>
    <w:tbl>
      <w:tblPr>
        <w:tblW w:w="14459" w:type="dxa"/>
        <w:jc w:val="center"/>
        <w:tblLayout w:type="fixed"/>
        <w:tblLook w:val="0000" w:firstRow="0" w:lastRow="0" w:firstColumn="0" w:lastColumn="0" w:noHBand="0" w:noVBand="0"/>
      </w:tblPr>
      <w:tblGrid>
        <w:gridCol w:w="4590"/>
        <w:gridCol w:w="1417"/>
        <w:gridCol w:w="1418"/>
        <w:gridCol w:w="1361"/>
        <w:gridCol w:w="709"/>
        <w:gridCol w:w="279"/>
        <w:gridCol w:w="430"/>
        <w:gridCol w:w="421"/>
        <w:gridCol w:w="543"/>
        <w:gridCol w:w="118"/>
        <w:gridCol w:w="426"/>
        <w:gridCol w:w="1328"/>
        <w:gridCol w:w="420"/>
        <w:gridCol w:w="499"/>
        <w:gridCol w:w="69"/>
        <w:gridCol w:w="431"/>
      </w:tblGrid>
      <w:tr w:rsidR="002B7933" w:rsidRPr="001868A7" w14:paraId="7AB69424"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vAlign w:val="center"/>
          </w:tcPr>
          <w:p w14:paraId="63F70811" w14:textId="77777777" w:rsidR="002B7933" w:rsidRPr="001868A7" w:rsidRDefault="002B7933" w:rsidP="003644DD">
            <w:pPr>
              <w:pStyle w:val="Tablehead"/>
              <w:spacing w:before="60" w:after="60"/>
              <w:rPr>
                <w:rFonts w:eastAsia="MS PGothic"/>
                <w:sz w:val="18"/>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14:paraId="16FD6F83"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1</w:t>
            </w:r>
          </w:p>
        </w:tc>
        <w:tc>
          <w:tcPr>
            <w:tcW w:w="1418" w:type="dxa"/>
            <w:tcBorders>
              <w:top w:val="single" w:sz="4" w:space="0" w:color="auto"/>
              <w:left w:val="single" w:sz="4" w:space="0" w:color="auto"/>
              <w:bottom w:val="single" w:sz="4" w:space="0" w:color="auto"/>
              <w:right w:val="single" w:sz="4" w:space="0" w:color="auto"/>
            </w:tcBorders>
            <w:vAlign w:val="center"/>
          </w:tcPr>
          <w:p w14:paraId="13ABA752"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2</w:t>
            </w:r>
          </w:p>
        </w:tc>
        <w:tc>
          <w:tcPr>
            <w:tcW w:w="1361" w:type="dxa"/>
            <w:tcBorders>
              <w:top w:val="single" w:sz="4" w:space="0" w:color="auto"/>
              <w:left w:val="single" w:sz="4" w:space="0" w:color="auto"/>
              <w:bottom w:val="single" w:sz="4" w:space="0" w:color="auto"/>
              <w:right w:val="single" w:sz="4" w:space="0" w:color="auto"/>
            </w:tcBorders>
            <w:vAlign w:val="center"/>
          </w:tcPr>
          <w:p w14:paraId="3B3EA724"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3</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6D9EEC50"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4</w:t>
            </w:r>
          </w:p>
        </w:tc>
        <w:tc>
          <w:tcPr>
            <w:tcW w:w="1508" w:type="dxa"/>
            <w:gridSpan w:val="4"/>
            <w:tcBorders>
              <w:top w:val="single" w:sz="4" w:space="0" w:color="auto"/>
              <w:left w:val="single" w:sz="4" w:space="0" w:color="auto"/>
              <w:bottom w:val="single" w:sz="4" w:space="0" w:color="auto"/>
              <w:right w:val="single" w:sz="4" w:space="0" w:color="auto"/>
            </w:tcBorders>
            <w:vAlign w:val="center"/>
          </w:tcPr>
          <w:p w14:paraId="04DCA9E9"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5</w:t>
            </w:r>
          </w:p>
        </w:tc>
        <w:tc>
          <w:tcPr>
            <w:tcW w:w="1328" w:type="dxa"/>
            <w:tcBorders>
              <w:top w:val="single" w:sz="4" w:space="0" w:color="auto"/>
              <w:left w:val="single" w:sz="4" w:space="0" w:color="auto"/>
              <w:bottom w:val="single" w:sz="4" w:space="0" w:color="auto"/>
              <w:right w:val="single" w:sz="4" w:space="0" w:color="auto"/>
            </w:tcBorders>
            <w:vAlign w:val="center"/>
          </w:tcPr>
          <w:p w14:paraId="206EF20A" w14:textId="77777777" w:rsidR="002B7933" w:rsidRPr="001868A7" w:rsidRDefault="002B7933" w:rsidP="003644DD">
            <w:pPr>
              <w:pStyle w:val="Tablehead"/>
              <w:spacing w:before="60" w:after="60"/>
              <w:rPr>
                <w:sz w:val="18"/>
                <w:lang w:val="es-ES_tradnl"/>
              </w:rPr>
            </w:pPr>
            <w:r w:rsidRPr="001868A7">
              <w:rPr>
                <w:sz w:val="18"/>
                <w:lang w:val="es-ES_tradnl"/>
              </w:rPr>
              <w:t>6</w:t>
            </w:r>
          </w:p>
        </w:tc>
        <w:tc>
          <w:tcPr>
            <w:tcW w:w="1419" w:type="dxa"/>
            <w:gridSpan w:val="4"/>
            <w:tcBorders>
              <w:top w:val="single" w:sz="4" w:space="0" w:color="auto"/>
              <w:left w:val="single" w:sz="4" w:space="0" w:color="auto"/>
              <w:bottom w:val="single" w:sz="4" w:space="0" w:color="auto"/>
              <w:right w:val="single" w:sz="4" w:space="0" w:color="auto"/>
            </w:tcBorders>
            <w:vAlign w:val="center"/>
          </w:tcPr>
          <w:p w14:paraId="5B482B6B"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7</w:t>
            </w:r>
          </w:p>
        </w:tc>
      </w:tr>
      <w:tr w:rsidR="002B7933" w:rsidRPr="001868A7" w14:paraId="53690EDD"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vAlign w:val="center"/>
          </w:tcPr>
          <w:p w14:paraId="495E14FA"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Parámetro</w:t>
            </w:r>
          </w:p>
        </w:tc>
        <w:tc>
          <w:tcPr>
            <w:tcW w:w="1417" w:type="dxa"/>
            <w:tcBorders>
              <w:top w:val="single" w:sz="4" w:space="0" w:color="auto"/>
              <w:left w:val="single" w:sz="4" w:space="0" w:color="auto"/>
              <w:bottom w:val="single" w:sz="4" w:space="0" w:color="auto"/>
              <w:right w:val="single" w:sz="4" w:space="0" w:color="auto"/>
            </w:tcBorders>
            <w:vAlign w:val="center"/>
          </w:tcPr>
          <w:p w14:paraId="395783E0"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de referencia en tierra SBAS*</w:t>
            </w:r>
          </w:p>
        </w:tc>
        <w:tc>
          <w:tcPr>
            <w:tcW w:w="1418" w:type="dxa"/>
            <w:tcBorders>
              <w:top w:val="single" w:sz="4" w:space="0" w:color="auto"/>
              <w:left w:val="single" w:sz="4" w:space="0" w:color="auto"/>
              <w:bottom w:val="single" w:sz="4" w:space="0" w:color="auto"/>
              <w:right w:val="single" w:sz="4" w:space="0" w:color="auto"/>
            </w:tcBorders>
            <w:vAlign w:val="center"/>
          </w:tcPr>
          <w:p w14:paraId="6D6B0608"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con codificación parcial de alta precisión*</w:t>
            </w:r>
          </w:p>
        </w:tc>
        <w:tc>
          <w:tcPr>
            <w:tcW w:w="1361" w:type="dxa"/>
            <w:tcBorders>
              <w:top w:val="single" w:sz="4" w:space="0" w:color="auto"/>
              <w:left w:val="single" w:sz="4" w:space="0" w:color="auto"/>
              <w:bottom w:val="single" w:sz="4" w:space="0" w:color="auto"/>
              <w:right w:val="single" w:sz="4" w:space="0" w:color="auto"/>
            </w:tcBorders>
            <w:vAlign w:val="center"/>
          </w:tcPr>
          <w:p w14:paraId="3DD3630F"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de alta precisión que utiliza L2C*</w:t>
            </w:r>
          </w:p>
        </w:tc>
        <w:tc>
          <w:tcPr>
            <w:tcW w:w="1418"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8BFD8E"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de navegación aérea</w:t>
            </w:r>
            <w:r w:rsidRPr="001868A7">
              <w:rPr>
                <w:rFonts w:eastAsia="MS PGothic"/>
                <w:sz w:val="18"/>
                <w:lang w:val="es-ES_tradnl"/>
              </w:rPr>
              <w:br/>
              <w:t xml:space="preserve">(Nota </w:t>
            </w:r>
            <w:r w:rsidRPr="001868A7">
              <w:rPr>
                <w:sz w:val="18"/>
                <w:lang w:val="es-ES_tradnl"/>
              </w:rPr>
              <w:t>10</w:t>
            </w:r>
            <w:r w:rsidRPr="001868A7">
              <w:rPr>
                <w:rFonts w:eastAsia="MS PGothic"/>
                <w:sz w:val="18"/>
                <w:lang w:val="es-ES_tradnl"/>
              </w:rPr>
              <w:t>)</w:t>
            </w:r>
          </w:p>
        </w:tc>
        <w:tc>
          <w:tcPr>
            <w:tcW w:w="1508" w:type="dxa"/>
            <w:gridSpan w:val="4"/>
            <w:tcBorders>
              <w:top w:val="single" w:sz="4" w:space="0" w:color="auto"/>
              <w:left w:val="single" w:sz="4" w:space="0" w:color="auto"/>
              <w:bottom w:val="single" w:sz="4" w:space="0" w:color="auto"/>
              <w:right w:val="single" w:sz="4" w:space="0" w:color="auto"/>
            </w:tcBorders>
            <w:vAlign w:val="center"/>
          </w:tcPr>
          <w:p w14:paraId="228B18E3"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Posicionamiento en interiores</w:t>
            </w:r>
          </w:p>
        </w:tc>
        <w:tc>
          <w:tcPr>
            <w:tcW w:w="1328" w:type="dxa"/>
            <w:tcBorders>
              <w:top w:val="single" w:sz="4" w:space="0" w:color="auto"/>
              <w:left w:val="single" w:sz="4" w:space="0" w:color="auto"/>
              <w:bottom w:val="single" w:sz="4" w:space="0" w:color="auto"/>
              <w:right w:val="single" w:sz="4" w:space="0" w:color="auto"/>
            </w:tcBorders>
            <w:vAlign w:val="center"/>
          </w:tcPr>
          <w:p w14:paraId="4D46904F" w14:textId="77777777" w:rsidR="002B7933" w:rsidRPr="001868A7" w:rsidRDefault="002B7933" w:rsidP="003644DD">
            <w:pPr>
              <w:pStyle w:val="Tablehead"/>
              <w:spacing w:before="60" w:after="60"/>
              <w:rPr>
                <w:rFonts w:eastAsia="MS PGothic"/>
                <w:sz w:val="18"/>
                <w:lang w:val="es-ES_tradnl"/>
              </w:rPr>
            </w:pPr>
            <w:r w:rsidRPr="001868A7">
              <w:rPr>
                <w:sz w:val="18"/>
                <w:lang w:val="es-ES_tradnl"/>
              </w:rPr>
              <w:t>Otras</w:t>
            </w:r>
          </w:p>
        </w:tc>
        <w:tc>
          <w:tcPr>
            <w:tcW w:w="1419" w:type="dxa"/>
            <w:gridSpan w:val="4"/>
            <w:tcBorders>
              <w:top w:val="single" w:sz="4" w:space="0" w:color="auto"/>
              <w:left w:val="single" w:sz="4" w:space="0" w:color="auto"/>
              <w:bottom w:val="single" w:sz="4" w:space="0" w:color="auto"/>
              <w:right w:val="single" w:sz="4" w:space="0" w:color="auto"/>
            </w:tcBorders>
            <w:vAlign w:val="center"/>
          </w:tcPr>
          <w:p w14:paraId="271B0A5B"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Polivalente</w:t>
            </w:r>
          </w:p>
        </w:tc>
      </w:tr>
      <w:tr w:rsidR="002B7933" w:rsidRPr="001868A7" w14:paraId="7DD41EB3" w14:textId="77777777" w:rsidTr="00881739">
        <w:trPr>
          <w:cantSplit/>
          <w:trHeight w:val="2268"/>
          <w:jc w:val="center"/>
        </w:trPr>
        <w:tc>
          <w:tcPr>
            <w:tcW w:w="4590" w:type="dxa"/>
            <w:tcBorders>
              <w:top w:val="single" w:sz="4" w:space="0" w:color="auto"/>
              <w:left w:val="single" w:sz="4" w:space="0" w:color="auto"/>
              <w:bottom w:val="single" w:sz="4" w:space="0" w:color="auto"/>
              <w:right w:val="single" w:sz="4" w:space="0" w:color="auto"/>
            </w:tcBorders>
            <w:vAlign w:val="center"/>
          </w:tcPr>
          <w:p w14:paraId="006C0AE8" w14:textId="77777777" w:rsidR="002B7933" w:rsidRPr="001868A7" w:rsidRDefault="002B7933" w:rsidP="003644DD">
            <w:pPr>
              <w:pStyle w:val="Tabletext"/>
              <w:rPr>
                <w:rFonts w:eastAsia="MS PGothic"/>
                <w:sz w:val="18"/>
                <w:lang w:val="es-ES_tradnl"/>
              </w:rPr>
            </w:pPr>
            <w:r w:rsidRPr="001868A7">
              <w:rPr>
                <w:rFonts w:eastAsia="MS PGothic"/>
                <w:sz w:val="18"/>
                <w:lang w:val="es-ES_tradnl"/>
              </w:rPr>
              <w:t>Gama de frecuencias de la señal (MHz)</w:t>
            </w:r>
          </w:p>
        </w:tc>
        <w:tc>
          <w:tcPr>
            <w:tcW w:w="1417" w:type="dxa"/>
            <w:tcBorders>
              <w:top w:val="single" w:sz="4" w:space="0" w:color="auto"/>
              <w:left w:val="single" w:sz="4" w:space="0" w:color="auto"/>
              <w:bottom w:val="single" w:sz="4" w:space="0" w:color="auto"/>
              <w:right w:val="single" w:sz="4" w:space="0" w:color="auto"/>
            </w:tcBorders>
            <w:vAlign w:val="center"/>
          </w:tcPr>
          <w:p w14:paraId="4BEB18DC" w14:textId="77777777" w:rsidR="002B7933" w:rsidRPr="001868A7" w:rsidRDefault="002B7933" w:rsidP="003644DD">
            <w:pPr>
              <w:pStyle w:val="Tabletext"/>
              <w:ind w:left="-57" w:right="-57"/>
              <w:jc w:val="center"/>
              <w:rPr>
                <w:rFonts w:eastAsia="MS PGothic"/>
                <w:sz w:val="18"/>
                <w:lang w:val="es-ES_tradnl"/>
              </w:rPr>
            </w:pPr>
            <w:r w:rsidRPr="001868A7">
              <w:rPr>
                <w:rFonts w:eastAsia="MS PGothic"/>
                <w:sz w:val="18"/>
                <w:lang w:val="es-ES_tradnl"/>
              </w:rPr>
              <w:t xml:space="preserve">1 227,6 </w:t>
            </w:r>
            <w:r w:rsidRPr="001868A7">
              <w:rPr>
                <w:rFonts w:eastAsia="MS PGothic"/>
                <w:sz w:val="18"/>
                <w:lang w:val="es-ES_tradnl"/>
              </w:rPr>
              <w:sym w:font="Symbol" w:char="00B1"/>
            </w:r>
            <w:r w:rsidRPr="001868A7">
              <w:rPr>
                <w:rFonts w:eastAsia="MS PGothic"/>
                <w:sz w:val="18"/>
                <w:lang w:val="es-ES_tradnl"/>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15257AB4" w14:textId="77777777" w:rsidR="002B7933" w:rsidRPr="001868A7" w:rsidRDefault="002B7933" w:rsidP="003644DD">
            <w:pPr>
              <w:pStyle w:val="Tabletext"/>
              <w:ind w:left="-57" w:right="-57"/>
              <w:jc w:val="center"/>
              <w:rPr>
                <w:sz w:val="18"/>
                <w:lang w:val="es-ES_tradnl" w:eastAsia="ja-JP"/>
              </w:rPr>
            </w:pPr>
            <w:r w:rsidRPr="001868A7">
              <w:rPr>
                <w:rFonts w:eastAsia="MS PGothic"/>
                <w:sz w:val="18"/>
                <w:lang w:val="es-ES_tradnl"/>
              </w:rPr>
              <w:t xml:space="preserve">1 227,6 </w:t>
            </w:r>
            <w:r w:rsidRPr="001868A7">
              <w:rPr>
                <w:rFonts w:eastAsia="MS PGothic"/>
                <w:sz w:val="18"/>
                <w:lang w:val="es-ES_tradnl"/>
              </w:rPr>
              <w:sym w:font="Symbol" w:char="00B1"/>
            </w:r>
            <w:r w:rsidRPr="001868A7">
              <w:rPr>
                <w:rFonts w:eastAsia="MS PGothic"/>
                <w:sz w:val="18"/>
                <w:lang w:val="es-ES_tradnl"/>
              </w:rPr>
              <w:t xml:space="preserve"> 15,345</w:t>
            </w:r>
          </w:p>
        </w:tc>
        <w:tc>
          <w:tcPr>
            <w:tcW w:w="1361" w:type="dxa"/>
            <w:tcBorders>
              <w:top w:val="single" w:sz="4" w:space="0" w:color="auto"/>
              <w:left w:val="single" w:sz="4" w:space="0" w:color="auto"/>
              <w:bottom w:val="single" w:sz="4" w:space="0" w:color="auto"/>
              <w:right w:val="single" w:sz="4" w:space="0" w:color="auto"/>
            </w:tcBorders>
            <w:vAlign w:val="center"/>
          </w:tcPr>
          <w:p w14:paraId="59E114F8" w14:textId="77777777" w:rsidR="002B7933" w:rsidRPr="001868A7" w:rsidRDefault="002B7933" w:rsidP="003644DD">
            <w:pPr>
              <w:pStyle w:val="Tabletext"/>
              <w:ind w:left="-57" w:right="-57"/>
              <w:jc w:val="center"/>
              <w:rPr>
                <w:rFonts w:eastAsia="MS PGothic"/>
                <w:sz w:val="18"/>
                <w:lang w:val="es-ES_tradnl"/>
              </w:rPr>
            </w:pPr>
            <w:r w:rsidRPr="001868A7">
              <w:rPr>
                <w:sz w:val="18"/>
                <w:lang w:val="es-ES_tradnl" w:eastAsia="ja-JP"/>
              </w:rPr>
              <w:t xml:space="preserve">1 227,6 </w:t>
            </w:r>
            <w:r w:rsidRPr="001868A7">
              <w:rPr>
                <w:rFonts w:eastAsia="MS PGothic"/>
                <w:sz w:val="18"/>
                <w:lang w:val="es-ES_tradnl"/>
              </w:rPr>
              <w:sym w:font="Symbol" w:char="00B1"/>
            </w:r>
            <w:r w:rsidRPr="001868A7">
              <w:rPr>
                <w:rFonts w:eastAsia="MS PGothic"/>
                <w:sz w:val="18"/>
                <w:lang w:val="es-ES_tradnl"/>
              </w:rPr>
              <w:t xml:space="preserve"> 15,345</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2AEE562C" w14:textId="77777777" w:rsidR="002B7933" w:rsidRPr="001868A7" w:rsidRDefault="002B7933" w:rsidP="003644DD">
            <w:pPr>
              <w:pStyle w:val="Tabletext"/>
              <w:ind w:left="-57" w:right="-57"/>
              <w:jc w:val="center"/>
              <w:rPr>
                <w:sz w:val="18"/>
                <w:lang w:val="es-ES_tradnl" w:eastAsia="ja-JP"/>
              </w:rPr>
            </w:pPr>
            <w:r w:rsidRPr="001868A7">
              <w:rPr>
                <w:sz w:val="18"/>
                <w:lang w:val="es-ES_tradnl"/>
              </w:rPr>
              <w:t>1 246 + 0,4375*</w:t>
            </w:r>
            <w:r w:rsidRPr="001868A7">
              <w:rPr>
                <w:i/>
                <w:iCs/>
                <w:sz w:val="18"/>
                <w:lang w:val="es-ES_tradnl"/>
              </w:rPr>
              <w:t>K</w:t>
            </w:r>
            <w:r w:rsidRPr="001868A7">
              <w:rPr>
                <w:sz w:val="18"/>
                <w:lang w:val="es-ES_tradnl"/>
              </w:rPr>
              <w:t> ± 5,11,</w:t>
            </w:r>
            <w:r w:rsidRPr="001868A7">
              <w:rPr>
                <w:sz w:val="18"/>
                <w:lang w:val="es-ES_tradnl"/>
              </w:rPr>
              <w:br/>
              <w:t>donde</w:t>
            </w:r>
            <w:r w:rsidRPr="001868A7">
              <w:rPr>
                <w:sz w:val="18"/>
                <w:lang w:val="es-ES_tradnl"/>
              </w:rPr>
              <w:br/>
            </w:r>
            <w:r w:rsidRPr="001868A7">
              <w:rPr>
                <w:i/>
                <w:iCs/>
                <w:sz w:val="18"/>
                <w:lang w:val="es-ES_tradnl"/>
              </w:rPr>
              <w:t>K</w:t>
            </w:r>
            <w:r w:rsidRPr="001868A7">
              <w:rPr>
                <w:sz w:val="18"/>
                <w:lang w:val="es-ES_tradnl"/>
              </w:rPr>
              <w:t xml:space="preserve"> = </w:t>
            </w:r>
            <w:r w:rsidRPr="001868A7">
              <w:rPr>
                <w:rFonts w:eastAsia="MS PGothic"/>
                <w:sz w:val="18"/>
                <w:lang w:val="es-ES_tradnl"/>
              </w:rPr>
              <w:t>–</w:t>
            </w:r>
            <w:r w:rsidRPr="001868A7">
              <w:rPr>
                <w:sz w:val="18"/>
                <w:lang w:val="es-ES_tradnl"/>
              </w:rPr>
              <w:t>7, …, +6</w:t>
            </w:r>
            <w:r w:rsidRPr="001868A7">
              <w:rPr>
                <w:sz w:val="18"/>
                <w:lang w:val="es-ES_tradnl"/>
              </w:rPr>
              <w:br/>
            </w:r>
            <w:r w:rsidRPr="001868A7">
              <w:rPr>
                <w:sz w:val="18"/>
                <w:lang w:val="es-ES_tradnl" w:eastAsia="ja-JP"/>
              </w:rPr>
              <w:t>(Nota </w:t>
            </w:r>
            <w:r w:rsidRPr="001868A7">
              <w:rPr>
                <w:sz w:val="18"/>
                <w:lang w:val="es-ES_tradnl"/>
              </w:rPr>
              <w:t>8</w:t>
            </w:r>
            <w:r w:rsidRPr="001868A7">
              <w:rPr>
                <w:sz w:val="18"/>
                <w:lang w:val="es-ES_tradnl" w:eastAsia="ja-JP"/>
              </w:rPr>
              <w:t>)</w:t>
            </w:r>
          </w:p>
        </w:tc>
        <w:tc>
          <w:tcPr>
            <w:tcW w:w="430" w:type="dxa"/>
            <w:tcBorders>
              <w:top w:val="single" w:sz="4" w:space="0" w:color="auto"/>
              <w:left w:val="single" w:sz="4" w:space="0" w:color="auto"/>
              <w:bottom w:val="single" w:sz="4" w:space="0" w:color="auto"/>
              <w:right w:val="single" w:sz="4" w:space="0" w:color="auto"/>
            </w:tcBorders>
            <w:textDirection w:val="btLr"/>
            <w:vAlign w:val="center"/>
          </w:tcPr>
          <w:p w14:paraId="146C94ED" w14:textId="77777777" w:rsidR="002B7933" w:rsidRPr="001868A7" w:rsidRDefault="002B7933" w:rsidP="003644DD">
            <w:pPr>
              <w:pStyle w:val="Tabletext"/>
              <w:ind w:left="-57" w:right="-57"/>
              <w:jc w:val="center"/>
              <w:rPr>
                <w:sz w:val="18"/>
                <w:lang w:val="es-ES_tradnl" w:eastAsia="ja-JP"/>
              </w:rPr>
            </w:pPr>
            <w:r w:rsidRPr="001868A7">
              <w:rPr>
                <w:sz w:val="18"/>
                <w:lang w:val="es-ES_tradnl" w:eastAsia="ja-JP"/>
              </w:rPr>
              <w:t xml:space="preserve">1 248,06 </w:t>
            </w:r>
            <w:r w:rsidRPr="001868A7">
              <w:rPr>
                <w:sz w:val="18"/>
                <w:lang w:val="es-ES_tradnl" w:eastAsia="ja-JP"/>
              </w:rPr>
              <w:sym w:font="Symbol" w:char="F0B1"/>
            </w:r>
            <w:r w:rsidRPr="001868A7">
              <w:rPr>
                <w:sz w:val="18"/>
                <w:lang w:val="es-ES_tradnl" w:eastAsia="ja-JP"/>
              </w:rPr>
              <w:t xml:space="preserve"> 7,7</w:t>
            </w:r>
          </w:p>
        </w:tc>
        <w:tc>
          <w:tcPr>
            <w:tcW w:w="421" w:type="dxa"/>
            <w:tcBorders>
              <w:top w:val="single" w:sz="4" w:space="0" w:color="auto"/>
              <w:left w:val="single" w:sz="4" w:space="0" w:color="auto"/>
              <w:bottom w:val="single" w:sz="4" w:space="0" w:color="auto"/>
              <w:right w:val="single" w:sz="4" w:space="0" w:color="auto"/>
            </w:tcBorders>
            <w:textDirection w:val="btLr"/>
            <w:vAlign w:val="center"/>
          </w:tcPr>
          <w:p w14:paraId="249A11C1" w14:textId="77777777" w:rsidR="002B7933" w:rsidRPr="001868A7" w:rsidRDefault="002B7933" w:rsidP="003644DD">
            <w:pPr>
              <w:pStyle w:val="Tabletext"/>
              <w:jc w:val="center"/>
              <w:rPr>
                <w:sz w:val="18"/>
                <w:lang w:val="es-ES_tradnl" w:eastAsia="ja-JP"/>
              </w:rPr>
            </w:pPr>
            <w:r w:rsidRPr="001868A7">
              <w:rPr>
                <w:sz w:val="18"/>
                <w:lang w:val="es-ES_tradnl" w:eastAsia="ja-JP"/>
              </w:rPr>
              <w:t xml:space="preserve">1 227,6 </w:t>
            </w:r>
            <w:r w:rsidRPr="001868A7">
              <w:rPr>
                <w:rFonts w:eastAsia="MS PGothic"/>
                <w:sz w:val="18"/>
                <w:lang w:val="es-ES_tradnl"/>
              </w:rPr>
              <w:sym w:font="Symbol" w:char="00B1"/>
            </w:r>
            <w:r w:rsidRPr="001868A7">
              <w:rPr>
                <w:rFonts w:eastAsia="MS PGothic"/>
                <w:sz w:val="18"/>
                <w:lang w:val="es-ES_tradnl"/>
              </w:rPr>
              <w:t xml:space="preserve"> 12</w:t>
            </w:r>
          </w:p>
        </w:tc>
        <w:tc>
          <w:tcPr>
            <w:tcW w:w="661" w:type="dxa"/>
            <w:gridSpan w:val="2"/>
            <w:tcBorders>
              <w:top w:val="single" w:sz="4" w:space="0" w:color="auto"/>
              <w:left w:val="single" w:sz="4" w:space="0" w:color="auto"/>
              <w:bottom w:val="single" w:sz="4" w:space="0" w:color="auto"/>
              <w:right w:val="single" w:sz="4" w:space="0" w:color="auto"/>
            </w:tcBorders>
            <w:textDirection w:val="btLr"/>
            <w:vAlign w:val="center"/>
          </w:tcPr>
          <w:p w14:paraId="45A7E1CB" w14:textId="77777777" w:rsidR="002B7933" w:rsidRPr="001868A7" w:rsidRDefault="002B7933" w:rsidP="003644DD">
            <w:pPr>
              <w:pStyle w:val="Tabletext"/>
              <w:jc w:val="center"/>
              <w:rPr>
                <w:sz w:val="18"/>
                <w:lang w:val="es-ES_tradnl" w:eastAsia="ja-JP"/>
              </w:rPr>
            </w:pPr>
            <w:r w:rsidRPr="001868A7">
              <w:rPr>
                <w:sz w:val="18"/>
                <w:lang w:val="es-ES_tradnl"/>
              </w:rPr>
              <w:t>1 246 + 0,4375*</w:t>
            </w:r>
            <w:r w:rsidRPr="001868A7">
              <w:rPr>
                <w:i/>
                <w:iCs/>
                <w:sz w:val="18"/>
                <w:lang w:val="es-ES_tradnl"/>
              </w:rPr>
              <w:t>K</w:t>
            </w:r>
            <w:r w:rsidRPr="001868A7">
              <w:rPr>
                <w:sz w:val="18"/>
                <w:lang w:val="es-ES_tradnl"/>
              </w:rPr>
              <w:t xml:space="preserve"> ± 5,11</w:t>
            </w:r>
            <w:r w:rsidRPr="001868A7">
              <w:rPr>
                <w:sz w:val="18"/>
                <w:lang w:val="es-ES_tradnl"/>
              </w:rPr>
              <w:br/>
              <w:t xml:space="preserve">donde </w:t>
            </w:r>
            <w:r w:rsidRPr="001868A7">
              <w:rPr>
                <w:i/>
                <w:iCs/>
                <w:sz w:val="18"/>
                <w:lang w:val="es-ES_tradnl"/>
              </w:rPr>
              <w:t>K</w:t>
            </w:r>
            <w:r w:rsidRPr="001868A7">
              <w:rPr>
                <w:sz w:val="18"/>
                <w:lang w:val="es-ES_tradnl"/>
              </w:rPr>
              <w:t xml:space="preserve"> = </w:t>
            </w:r>
            <w:r w:rsidRPr="001868A7">
              <w:rPr>
                <w:rFonts w:eastAsia="MS PGothic"/>
                <w:sz w:val="18"/>
                <w:lang w:val="es-ES_tradnl"/>
              </w:rPr>
              <w:t>–</w:t>
            </w:r>
            <w:proofErr w:type="gramStart"/>
            <w:r w:rsidRPr="001868A7">
              <w:rPr>
                <w:sz w:val="18"/>
                <w:lang w:val="es-ES_tradnl"/>
              </w:rPr>
              <w:t>7, ..</w:t>
            </w:r>
            <w:proofErr w:type="gramEnd"/>
            <w:r w:rsidRPr="001868A7">
              <w:rPr>
                <w:sz w:val="18"/>
                <w:lang w:val="es-ES_tradnl"/>
              </w:rPr>
              <w:t>, +6</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14:paraId="548E09ED" w14:textId="77777777" w:rsidR="002B7933" w:rsidRPr="001868A7" w:rsidRDefault="002B7933" w:rsidP="003644DD">
            <w:pPr>
              <w:pStyle w:val="Tabletext"/>
              <w:jc w:val="center"/>
              <w:rPr>
                <w:sz w:val="18"/>
                <w:lang w:val="es-ES_tradnl" w:eastAsia="ja-JP"/>
              </w:rPr>
            </w:pPr>
            <w:r w:rsidRPr="001868A7">
              <w:rPr>
                <w:sz w:val="18"/>
                <w:lang w:val="es-ES_tradnl" w:eastAsia="ja-JP"/>
              </w:rPr>
              <w:t xml:space="preserve">1 248,06 </w:t>
            </w:r>
            <w:r w:rsidRPr="001868A7">
              <w:rPr>
                <w:sz w:val="18"/>
                <w:lang w:val="es-ES_tradnl" w:eastAsia="ja-JP"/>
              </w:rPr>
              <w:sym w:font="Symbol" w:char="F0B1"/>
            </w:r>
            <w:r w:rsidRPr="001868A7">
              <w:rPr>
                <w:sz w:val="18"/>
                <w:lang w:val="es-ES_tradnl" w:eastAsia="ja-JP"/>
              </w:rPr>
              <w:t xml:space="preserve"> 7,7</w:t>
            </w:r>
          </w:p>
        </w:tc>
        <w:tc>
          <w:tcPr>
            <w:tcW w:w="1328" w:type="dxa"/>
            <w:tcBorders>
              <w:top w:val="single" w:sz="4" w:space="0" w:color="auto"/>
              <w:left w:val="single" w:sz="4" w:space="0" w:color="auto"/>
              <w:bottom w:val="single" w:sz="4" w:space="0" w:color="auto"/>
              <w:right w:val="single" w:sz="4" w:space="0" w:color="auto"/>
            </w:tcBorders>
            <w:vAlign w:val="center"/>
          </w:tcPr>
          <w:p w14:paraId="681FB97D" w14:textId="77777777" w:rsidR="002B7933" w:rsidRPr="001868A7" w:rsidRDefault="002B7933" w:rsidP="003644DD">
            <w:pPr>
              <w:pStyle w:val="Tabletext"/>
              <w:jc w:val="center"/>
              <w:rPr>
                <w:sz w:val="18"/>
                <w:lang w:val="es-ES_tradnl" w:eastAsia="ja-JP"/>
              </w:rPr>
            </w:pPr>
            <w:r w:rsidRPr="001868A7">
              <w:rPr>
                <w:sz w:val="18"/>
                <w:lang w:val="es-ES_tradnl" w:eastAsia="ja-JP"/>
              </w:rPr>
              <w:t xml:space="preserve">1 278,75 </w:t>
            </w:r>
            <w:r w:rsidRPr="001868A7">
              <w:rPr>
                <w:rFonts w:eastAsia="MS PGothic"/>
                <w:sz w:val="18"/>
                <w:lang w:val="es-ES_tradnl"/>
              </w:rPr>
              <w:sym w:font="Symbol" w:char="00B1"/>
            </w:r>
            <w:r w:rsidRPr="001868A7">
              <w:rPr>
                <w:rFonts w:eastAsia="MS PGothic"/>
                <w:sz w:val="18"/>
                <w:lang w:val="es-ES_tradnl"/>
              </w:rPr>
              <w:t> 21</w:t>
            </w:r>
          </w:p>
        </w:tc>
        <w:tc>
          <w:tcPr>
            <w:tcW w:w="420" w:type="dxa"/>
            <w:tcBorders>
              <w:top w:val="single" w:sz="4" w:space="0" w:color="auto"/>
              <w:left w:val="single" w:sz="4" w:space="0" w:color="auto"/>
              <w:bottom w:val="single" w:sz="4" w:space="0" w:color="auto"/>
              <w:right w:val="single" w:sz="4" w:space="0" w:color="auto"/>
            </w:tcBorders>
            <w:textDirection w:val="btLr"/>
            <w:vAlign w:val="center"/>
          </w:tcPr>
          <w:p w14:paraId="241BDBEF" w14:textId="77777777" w:rsidR="002B7933" w:rsidRPr="001868A7" w:rsidRDefault="002B7933" w:rsidP="003644DD">
            <w:pPr>
              <w:pStyle w:val="Tabletext"/>
              <w:jc w:val="center"/>
              <w:rPr>
                <w:sz w:val="18"/>
                <w:lang w:val="es-ES_tradnl" w:eastAsia="ja-JP"/>
              </w:rPr>
            </w:pPr>
            <w:r w:rsidRPr="001868A7">
              <w:rPr>
                <w:sz w:val="18"/>
                <w:lang w:val="es-ES_tradnl" w:eastAsia="ja-JP"/>
              </w:rPr>
              <w:t xml:space="preserve">1 227,6 </w:t>
            </w:r>
            <w:r w:rsidRPr="001868A7">
              <w:rPr>
                <w:rFonts w:eastAsia="MS PGothic"/>
                <w:sz w:val="18"/>
                <w:lang w:val="es-ES_tradnl"/>
              </w:rPr>
              <w:sym w:font="Symbol" w:char="00B1"/>
            </w:r>
            <w:r w:rsidRPr="001868A7">
              <w:rPr>
                <w:rFonts w:eastAsia="MS PGothic"/>
                <w:sz w:val="18"/>
                <w:lang w:val="es-ES_tradnl"/>
              </w:rPr>
              <w:t xml:space="preserve"> 12</w:t>
            </w:r>
          </w:p>
        </w:tc>
        <w:tc>
          <w:tcPr>
            <w:tcW w:w="568" w:type="dxa"/>
            <w:gridSpan w:val="2"/>
            <w:tcBorders>
              <w:top w:val="single" w:sz="4" w:space="0" w:color="auto"/>
              <w:left w:val="single" w:sz="4" w:space="0" w:color="auto"/>
              <w:bottom w:val="single" w:sz="4" w:space="0" w:color="auto"/>
              <w:right w:val="single" w:sz="4" w:space="0" w:color="auto"/>
            </w:tcBorders>
            <w:textDirection w:val="btLr"/>
            <w:vAlign w:val="center"/>
          </w:tcPr>
          <w:p w14:paraId="5BD12C66" w14:textId="77777777" w:rsidR="002B7933" w:rsidRPr="001868A7" w:rsidRDefault="002B7933" w:rsidP="003644DD">
            <w:pPr>
              <w:pStyle w:val="Tabletext"/>
              <w:spacing w:before="0"/>
              <w:jc w:val="center"/>
              <w:rPr>
                <w:sz w:val="18"/>
                <w:lang w:val="es-ES_tradnl" w:eastAsia="ja-JP"/>
              </w:rPr>
            </w:pPr>
            <w:r w:rsidRPr="001868A7">
              <w:rPr>
                <w:sz w:val="18"/>
                <w:lang w:val="es-ES_tradnl"/>
              </w:rPr>
              <w:t>1 246 + 0,4375*</w:t>
            </w:r>
            <w:r w:rsidRPr="001868A7">
              <w:rPr>
                <w:i/>
                <w:iCs/>
                <w:sz w:val="18"/>
                <w:lang w:val="es-ES_tradnl"/>
              </w:rPr>
              <w:t>K</w:t>
            </w:r>
            <w:r w:rsidRPr="001868A7">
              <w:rPr>
                <w:sz w:val="18"/>
                <w:lang w:val="es-ES_tradnl"/>
              </w:rPr>
              <w:t xml:space="preserve"> ± 5,11</w:t>
            </w:r>
            <w:r w:rsidRPr="001868A7">
              <w:rPr>
                <w:sz w:val="18"/>
                <w:lang w:val="es-ES_tradnl"/>
              </w:rPr>
              <w:br/>
              <w:t xml:space="preserve">donde </w:t>
            </w:r>
            <w:r w:rsidRPr="001868A7">
              <w:rPr>
                <w:i/>
                <w:iCs/>
                <w:sz w:val="18"/>
                <w:lang w:val="es-ES_tradnl"/>
              </w:rPr>
              <w:t>K</w:t>
            </w:r>
            <w:r w:rsidRPr="001868A7">
              <w:rPr>
                <w:sz w:val="18"/>
                <w:lang w:val="es-ES_tradnl"/>
              </w:rPr>
              <w:t xml:space="preserve">= </w:t>
            </w:r>
            <w:r w:rsidRPr="001868A7">
              <w:rPr>
                <w:rFonts w:eastAsia="MS PGothic"/>
                <w:sz w:val="18"/>
                <w:lang w:val="es-ES_tradnl"/>
              </w:rPr>
              <w:t>–</w:t>
            </w:r>
            <w:proofErr w:type="gramStart"/>
            <w:r w:rsidRPr="001868A7">
              <w:rPr>
                <w:sz w:val="18"/>
                <w:lang w:val="es-ES_tradnl"/>
              </w:rPr>
              <w:t>7,..</w:t>
            </w:r>
            <w:proofErr w:type="gramEnd"/>
            <w:r w:rsidRPr="001868A7">
              <w:rPr>
                <w:sz w:val="18"/>
                <w:lang w:val="es-ES_tradnl"/>
              </w:rPr>
              <w:t>,+6</w:t>
            </w:r>
          </w:p>
        </w:tc>
        <w:tc>
          <w:tcPr>
            <w:tcW w:w="431" w:type="dxa"/>
            <w:tcBorders>
              <w:top w:val="single" w:sz="4" w:space="0" w:color="auto"/>
              <w:left w:val="single" w:sz="4" w:space="0" w:color="auto"/>
              <w:bottom w:val="single" w:sz="4" w:space="0" w:color="auto"/>
              <w:right w:val="single" w:sz="4" w:space="0" w:color="auto"/>
            </w:tcBorders>
            <w:textDirection w:val="btLr"/>
            <w:vAlign w:val="center"/>
          </w:tcPr>
          <w:p w14:paraId="02A13753" w14:textId="77777777" w:rsidR="002B7933" w:rsidRPr="001868A7" w:rsidRDefault="002B7933" w:rsidP="003644DD">
            <w:pPr>
              <w:pStyle w:val="Tabletext"/>
              <w:jc w:val="center"/>
              <w:rPr>
                <w:sz w:val="18"/>
                <w:szCs w:val="18"/>
                <w:lang w:val="es-ES_tradnl" w:eastAsia="ja-JP"/>
              </w:rPr>
            </w:pPr>
            <w:r w:rsidRPr="001868A7">
              <w:rPr>
                <w:sz w:val="18"/>
                <w:szCs w:val="18"/>
                <w:lang w:val="es-ES_tradnl"/>
              </w:rPr>
              <w:t xml:space="preserve">1 248,06 </w:t>
            </w:r>
            <w:r w:rsidRPr="001868A7">
              <w:rPr>
                <w:rFonts w:eastAsia="MS PGothic"/>
                <w:sz w:val="18"/>
                <w:szCs w:val="18"/>
                <w:lang w:val="es-ES_tradnl"/>
              </w:rPr>
              <w:sym w:font="Symbol" w:char="F0B1"/>
            </w:r>
            <w:r w:rsidRPr="001868A7">
              <w:rPr>
                <w:rFonts w:eastAsia="MS PGothic"/>
                <w:sz w:val="18"/>
                <w:szCs w:val="18"/>
                <w:lang w:val="es-ES_tradnl"/>
              </w:rPr>
              <w:t xml:space="preserve"> 7,7</w:t>
            </w:r>
          </w:p>
        </w:tc>
      </w:tr>
      <w:tr w:rsidR="002B7933" w:rsidRPr="001868A7" w14:paraId="5B340D28"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4DAAB808"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Máxima ganancia de antena en el hemisferio superior (dBi)</w:t>
            </w:r>
          </w:p>
        </w:tc>
        <w:tc>
          <w:tcPr>
            <w:tcW w:w="1417" w:type="dxa"/>
            <w:tcBorders>
              <w:top w:val="single" w:sz="4" w:space="0" w:color="auto"/>
              <w:left w:val="single" w:sz="4" w:space="0" w:color="auto"/>
              <w:bottom w:val="single" w:sz="4" w:space="0" w:color="auto"/>
              <w:right w:val="single" w:sz="4" w:space="0" w:color="auto"/>
            </w:tcBorders>
          </w:tcPr>
          <w:p w14:paraId="2962F72E"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–2,0 circular (Nota </w:t>
            </w:r>
            <w:r w:rsidRPr="001868A7">
              <w:rPr>
                <w:sz w:val="18"/>
                <w:lang w:val="es-ES_tradnl"/>
              </w:rPr>
              <w:t>3</w:t>
            </w:r>
            <w:r w:rsidRPr="001868A7">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54B1653E"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3,0 circular</w:t>
            </w:r>
          </w:p>
        </w:tc>
        <w:tc>
          <w:tcPr>
            <w:tcW w:w="1361" w:type="dxa"/>
            <w:tcBorders>
              <w:top w:val="single" w:sz="4" w:space="0" w:color="auto"/>
              <w:left w:val="single" w:sz="4" w:space="0" w:color="auto"/>
              <w:bottom w:val="single" w:sz="4" w:space="0" w:color="auto"/>
              <w:right w:val="single" w:sz="4" w:space="0" w:color="auto"/>
            </w:tcBorders>
          </w:tcPr>
          <w:p w14:paraId="3485EAF1"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3,0 circular</w:t>
            </w:r>
          </w:p>
        </w:tc>
        <w:tc>
          <w:tcPr>
            <w:tcW w:w="1418" w:type="dxa"/>
            <w:gridSpan w:val="3"/>
            <w:tcBorders>
              <w:top w:val="single" w:sz="4" w:space="0" w:color="auto"/>
              <w:left w:val="single" w:sz="4" w:space="0" w:color="auto"/>
              <w:bottom w:val="single" w:sz="4" w:space="0" w:color="auto"/>
              <w:right w:val="single" w:sz="4" w:space="0" w:color="auto"/>
            </w:tcBorders>
          </w:tcPr>
          <w:p w14:paraId="1092FD37" w14:textId="77777777" w:rsidR="002B7933" w:rsidRPr="001868A7" w:rsidRDefault="002B7933" w:rsidP="003644DD">
            <w:pPr>
              <w:pStyle w:val="Tabletext"/>
              <w:jc w:val="center"/>
              <w:rPr>
                <w:sz w:val="18"/>
                <w:lang w:val="es-ES_tradnl" w:eastAsia="ja-JP"/>
              </w:rPr>
            </w:pPr>
            <w:r w:rsidRPr="001868A7">
              <w:rPr>
                <w:sz w:val="18"/>
                <w:lang w:val="es-ES_tradnl" w:eastAsia="ja-JP"/>
              </w:rPr>
              <w:t>7 circular</w:t>
            </w:r>
            <w:r w:rsidRPr="001868A7">
              <w:rPr>
                <w:sz w:val="18"/>
                <w:lang w:val="es-ES_tradnl" w:eastAsia="ja-JP"/>
              </w:rPr>
              <w:br/>
              <w:t>(Nota 1</w:t>
            </w:r>
            <w:r w:rsidRPr="001868A7">
              <w:rPr>
                <w:sz w:val="18"/>
                <w:lang w:val="es-ES_tradnl"/>
              </w:rPr>
              <w:t>1</w:t>
            </w:r>
            <w:r w:rsidRPr="001868A7">
              <w:rPr>
                <w:sz w:val="18"/>
                <w:lang w:val="es-ES_tradnl" w:eastAsia="ja-JP"/>
              </w:rPr>
              <w:t>)</w:t>
            </w:r>
          </w:p>
        </w:tc>
        <w:tc>
          <w:tcPr>
            <w:tcW w:w="1508" w:type="dxa"/>
            <w:gridSpan w:val="4"/>
            <w:tcBorders>
              <w:top w:val="single" w:sz="4" w:space="0" w:color="auto"/>
              <w:left w:val="single" w:sz="4" w:space="0" w:color="auto"/>
              <w:bottom w:val="single" w:sz="4" w:space="0" w:color="auto"/>
              <w:right w:val="single" w:sz="4" w:space="0" w:color="auto"/>
            </w:tcBorders>
          </w:tcPr>
          <w:p w14:paraId="7208DC67" w14:textId="77777777" w:rsidR="002B7933" w:rsidRPr="001868A7" w:rsidRDefault="002B7933" w:rsidP="003644DD">
            <w:pPr>
              <w:pStyle w:val="Tabletext"/>
              <w:jc w:val="center"/>
              <w:rPr>
                <w:rFonts w:eastAsia="MS PGothic"/>
                <w:sz w:val="18"/>
                <w:lang w:val="es-ES_tradnl"/>
              </w:rPr>
            </w:pPr>
            <w:r w:rsidRPr="001868A7">
              <w:rPr>
                <w:sz w:val="18"/>
                <w:lang w:val="es-ES_tradnl" w:eastAsia="ja-JP"/>
              </w:rPr>
              <w:t>6</w:t>
            </w:r>
          </w:p>
        </w:tc>
        <w:tc>
          <w:tcPr>
            <w:tcW w:w="1328" w:type="dxa"/>
            <w:tcBorders>
              <w:top w:val="single" w:sz="4" w:space="0" w:color="auto"/>
              <w:left w:val="single" w:sz="4" w:space="0" w:color="auto"/>
              <w:bottom w:val="single" w:sz="4" w:space="0" w:color="auto"/>
              <w:right w:val="single" w:sz="4" w:space="0" w:color="auto"/>
            </w:tcBorders>
          </w:tcPr>
          <w:p w14:paraId="58FC48D0" w14:textId="77777777" w:rsidR="002B7933" w:rsidRPr="001868A7" w:rsidRDefault="002B7933" w:rsidP="003644DD">
            <w:pPr>
              <w:pStyle w:val="Tabletext"/>
              <w:jc w:val="center"/>
              <w:rPr>
                <w:rFonts w:eastAsia="MS PGothic"/>
                <w:sz w:val="18"/>
                <w:lang w:val="es-ES_tradnl"/>
              </w:rPr>
            </w:pPr>
            <w:r w:rsidRPr="001868A7">
              <w:rPr>
                <w:sz w:val="18"/>
                <w:lang w:val="es-ES_tradnl" w:eastAsia="ja-JP"/>
              </w:rPr>
              <w:t>6</w:t>
            </w:r>
          </w:p>
        </w:tc>
        <w:tc>
          <w:tcPr>
            <w:tcW w:w="1419" w:type="dxa"/>
            <w:gridSpan w:val="4"/>
            <w:tcBorders>
              <w:top w:val="single" w:sz="4" w:space="0" w:color="auto"/>
              <w:left w:val="single" w:sz="4" w:space="0" w:color="auto"/>
              <w:bottom w:val="single" w:sz="4" w:space="0" w:color="auto"/>
              <w:right w:val="single" w:sz="4" w:space="0" w:color="auto"/>
            </w:tcBorders>
          </w:tcPr>
          <w:p w14:paraId="618234E5" w14:textId="77777777" w:rsidR="002B7933" w:rsidRPr="001868A7" w:rsidRDefault="002B7933" w:rsidP="003644DD">
            <w:pPr>
              <w:pStyle w:val="Tabletext"/>
              <w:jc w:val="center"/>
              <w:rPr>
                <w:sz w:val="18"/>
                <w:lang w:val="es-ES_tradnl"/>
              </w:rPr>
            </w:pPr>
            <w:r w:rsidRPr="001868A7">
              <w:rPr>
                <w:sz w:val="18"/>
                <w:lang w:val="es-ES_tradnl" w:eastAsia="ja-JP"/>
              </w:rPr>
              <w:t>6</w:t>
            </w:r>
          </w:p>
        </w:tc>
      </w:tr>
      <w:tr w:rsidR="002B7933" w:rsidRPr="001868A7" w14:paraId="1ABDB69B"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76E99ACF"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Máxima ganancia de antena en el hemisferio inferior (dBi)</w:t>
            </w:r>
          </w:p>
        </w:tc>
        <w:tc>
          <w:tcPr>
            <w:tcW w:w="1417" w:type="dxa"/>
            <w:tcBorders>
              <w:top w:val="single" w:sz="4" w:space="0" w:color="auto"/>
              <w:left w:val="single" w:sz="4" w:space="0" w:color="auto"/>
              <w:bottom w:val="single" w:sz="4" w:space="0" w:color="auto"/>
              <w:right w:val="single" w:sz="4" w:space="0" w:color="auto"/>
            </w:tcBorders>
          </w:tcPr>
          <w:p w14:paraId="7AE4EAE3"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–5,0 circular (Nota </w:t>
            </w:r>
            <w:r w:rsidRPr="001868A7">
              <w:rPr>
                <w:sz w:val="18"/>
                <w:lang w:val="es-ES_tradnl"/>
              </w:rPr>
              <w:t>3</w:t>
            </w:r>
            <w:r w:rsidRPr="001868A7">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3B13F1B0"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 xml:space="preserve">–7 lineal </w:t>
            </w:r>
            <w:r w:rsidRPr="001868A7">
              <w:rPr>
                <w:rFonts w:eastAsia="MS PGothic"/>
                <w:sz w:val="18"/>
                <w:lang w:val="es-ES_tradnl"/>
              </w:rPr>
              <w:br/>
              <w:t xml:space="preserve">(&lt; 10° </w:t>
            </w:r>
            <w:proofErr w:type="spellStart"/>
            <w:r w:rsidRPr="001868A7">
              <w:rPr>
                <w:rFonts w:eastAsia="MS PGothic"/>
                <w:sz w:val="18"/>
                <w:lang w:val="es-ES_tradnl"/>
              </w:rPr>
              <w:t>elev</w:t>
            </w:r>
            <w:proofErr w:type="spellEnd"/>
            <w:r w:rsidRPr="001868A7">
              <w:rPr>
                <w:rFonts w:eastAsia="MS PGothic"/>
                <w:sz w:val="18"/>
                <w:lang w:val="es-ES_tradnl"/>
              </w:rPr>
              <w:t>.)</w:t>
            </w:r>
          </w:p>
        </w:tc>
        <w:tc>
          <w:tcPr>
            <w:tcW w:w="1361" w:type="dxa"/>
            <w:tcBorders>
              <w:top w:val="single" w:sz="4" w:space="0" w:color="auto"/>
              <w:left w:val="single" w:sz="4" w:space="0" w:color="auto"/>
              <w:bottom w:val="single" w:sz="4" w:space="0" w:color="auto"/>
              <w:right w:val="single" w:sz="4" w:space="0" w:color="auto"/>
            </w:tcBorders>
          </w:tcPr>
          <w:p w14:paraId="072BC415"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 xml:space="preserve">–7 lineal </w:t>
            </w:r>
            <w:r w:rsidRPr="001868A7">
              <w:rPr>
                <w:rFonts w:eastAsia="MS PGothic"/>
                <w:sz w:val="18"/>
                <w:lang w:val="es-ES_tradnl"/>
              </w:rPr>
              <w:br/>
              <w:t xml:space="preserve">(&lt; 10° </w:t>
            </w:r>
            <w:proofErr w:type="spellStart"/>
            <w:r w:rsidRPr="001868A7">
              <w:rPr>
                <w:rFonts w:eastAsia="MS PGothic"/>
                <w:sz w:val="18"/>
                <w:lang w:val="es-ES_tradnl"/>
              </w:rPr>
              <w:t>elev</w:t>
            </w:r>
            <w:proofErr w:type="spellEnd"/>
            <w:r w:rsidRPr="001868A7">
              <w:rPr>
                <w:rFonts w:eastAsia="MS PGothic"/>
                <w:sz w:val="18"/>
                <w:lang w:val="es-ES_tradnl"/>
              </w:rPr>
              <w:t>.)</w:t>
            </w:r>
          </w:p>
        </w:tc>
        <w:tc>
          <w:tcPr>
            <w:tcW w:w="1418" w:type="dxa"/>
            <w:gridSpan w:val="3"/>
            <w:tcBorders>
              <w:top w:val="single" w:sz="4" w:space="0" w:color="auto"/>
              <w:left w:val="single" w:sz="4" w:space="0" w:color="auto"/>
              <w:bottom w:val="single" w:sz="4" w:space="0" w:color="auto"/>
              <w:right w:val="single" w:sz="4" w:space="0" w:color="auto"/>
            </w:tcBorders>
          </w:tcPr>
          <w:p w14:paraId="350E169F"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10 circular</w:t>
            </w:r>
          </w:p>
        </w:tc>
        <w:tc>
          <w:tcPr>
            <w:tcW w:w="1508" w:type="dxa"/>
            <w:gridSpan w:val="4"/>
            <w:tcBorders>
              <w:top w:val="single" w:sz="4" w:space="0" w:color="auto"/>
              <w:left w:val="single" w:sz="4" w:space="0" w:color="auto"/>
              <w:bottom w:val="single" w:sz="4" w:space="0" w:color="auto"/>
              <w:right w:val="single" w:sz="4" w:space="0" w:color="auto"/>
            </w:tcBorders>
          </w:tcPr>
          <w:p w14:paraId="7886A60E" w14:textId="77777777" w:rsidR="002B7933" w:rsidRPr="001868A7" w:rsidRDefault="002B7933" w:rsidP="003644DD">
            <w:pPr>
              <w:pStyle w:val="Tabletext"/>
              <w:jc w:val="center"/>
              <w:rPr>
                <w:rFonts w:eastAsia="MS PGothic"/>
                <w:sz w:val="18"/>
                <w:lang w:val="es-ES_tradnl"/>
              </w:rPr>
            </w:pPr>
            <w:r w:rsidRPr="001868A7">
              <w:rPr>
                <w:sz w:val="18"/>
                <w:lang w:val="es-ES_tradnl" w:eastAsia="ja-JP"/>
              </w:rPr>
              <w:t>6</w:t>
            </w:r>
            <w:r w:rsidRPr="001868A7">
              <w:rPr>
                <w:sz w:val="18"/>
                <w:lang w:val="es-ES_tradnl" w:eastAsia="ja-JP"/>
              </w:rPr>
              <w:br/>
              <w:t>(Nota 12)</w:t>
            </w:r>
          </w:p>
        </w:tc>
        <w:tc>
          <w:tcPr>
            <w:tcW w:w="1328" w:type="dxa"/>
            <w:tcBorders>
              <w:top w:val="single" w:sz="4" w:space="0" w:color="auto"/>
              <w:left w:val="single" w:sz="4" w:space="0" w:color="auto"/>
              <w:bottom w:val="single" w:sz="4" w:space="0" w:color="auto"/>
              <w:right w:val="single" w:sz="4" w:space="0" w:color="auto"/>
            </w:tcBorders>
          </w:tcPr>
          <w:p w14:paraId="609D4E30" w14:textId="77777777" w:rsidR="002B7933" w:rsidRPr="001868A7" w:rsidRDefault="002B7933" w:rsidP="003644DD">
            <w:pPr>
              <w:pStyle w:val="Tabletext"/>
              <w:jc w:val="center"/>
              <w:rPr>
                <w:sz w:val="18"/>
                <w:lang w:val="es-ES_tradnl" w:eastAsia="ja-JP"/>
              </w:rPr>
            </w:pPr>
            <w:r w:rsidRPr="001868A7">
              <w:rPr>
                <w:sz w:val="18"/>
                <w:lang w:val="es-ES_tradnl" w:eastAsia="ja-JP"/>
              </w:rPr>
              <w:t>6</w:t>
            </w:r>
            <w:r w:rsidRPr="001868A7">
              <w:rPr>
                <w:sz w:val="18"/>
                <w:lang w:val="es-ES_tradnl" w:eastAsia="ja-JP"/>
              </w:rPr>
              <w:br/>
              <w:t>(Nota 12)</w:t>
            </w:r>
          </w:p>
        </w:tc>
        <w:tc>
          <w:tcPr>
            <w:tcW w:w="1419" w:type="dxa"/>
            <w:gridSpan w:val="4"/>
            <w:tcBorders>
              <w:top w:val="single" w:sz="4" w:space="0" w:color="auto"/>
              <w:left w:val="single" w:sz="4" w:space="0" w:color="auto"/>
              <w:bottom w:val="single" w:sz="4" w:space="0" w:color="auto"/>
              <w:right w:val="single" w:sz="4" w:space="0" w:color="auto"/>
            </w:tcBorders>
          </w:tcPr>
          <w:p w14:paraId="0DCD5EE2" w14:textId="77777777" w:rsidR="002B7933" w:rsidRPr="001868A7" w:rsidRDefault="002B7933" w:rsidP="003644DD">
            <w:pPr>
              <w:pStyle w:val="Tabletext"/>
              <w:jc w:val="center"/>
              <w:rPr>
                <w:sz w:val="18"/>
                <w:lang w:val="es-ES_tradnl"/>
              </w:rPr>
            </w:pPr>
            <w:r w:rsidRPr="001868A7">
              <w:rPr>
                <w:sz w:val="18"/>
                <w:lang w:val="es-ES_tradnl" w:eastAsia="ja-JP"/>
              </w:rPr>
              <w:t>6</w:t>
            </w:r>
            <w:r w:rsidRPr="001868A7">
              <w:rPr>
                <w:sz w:val="18"/>
                <w:lang w:val="es-ES_tradnl" w:eastAsia="ja-JP"/>
              </w:rPr>
              <w:br/>
              <w:t>(Nota 12)</w:t>
            </w:r>
          </w:p>
        </w:tc>
      </w:tr>
      <w:tr w:rsidR="002B7933" w:rsidRPr="001868A7" w14:paraId="7F0106D1"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7B131C1E"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Anchura de banda a 3 dB del filtro de RF (MHz)</w:t>
            </w:r>
          </w:p>
        </w:tc>
        <w:tc>
          <w:tcPr>
            <w:tcW w:w="1417" w:type="dxa"/>
            <w:tcBorders>
              <w:top w:val="single" w:sz="4" w:space="0" w:color="auto"/>
              <w:left w:val="single" w:sz="4" w:space="0" w:color="auto"/>
              <w:bottom w:val="single" w:sz="4" w:space="0" w:color="auto"/>
              <w:right w:val="single" w:sz="4" w:space="0" w:color="auto"/>
            </w:tcBorders>
          </w:tcPr>
          <w:p w14:paraId="272A9380"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24,0</w:t>
            </w:r>
          </w:p>
        </w:tc>
        <w:tc>
          <w:tcPr>
            <w:tcW w:w="1418" w:type="dxa"/>
            <w:tcBorders>
              <w:top w:val="single" w:sz="4" w:space="0" w:color="auto"/>
              <w:left w:val="single" w:sz="4" w:space="0" w:color="auto"/>
              <w:bottom w:val="single" w:sz="4" w:space="0" w:color="auto"/>
              <w:right w:val="single" w:sz="4" w:space="0" w:color="auto"/>
            </w:tcBorders>
          </w:tcPr>
          <w:p w14:paraId="27695EDB"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24,0</w:t>
            </w:r>
          </w:p>
        </w:tc>
        <w:tc>
          <w:tcPr>
            <w:tcW w:w="1361" w:type="dxa"/>
            <w:tcBorders>
              <w:top w:val="single" w:sz="4" w:space="0" w:color="auto"/>
              <w:left w:val="single" w:sz="4" w:space="0" w:color="auto"/>
              <w:bottom w:val="single" w:sz="4" w:space="0" w:color="auto"/>
              <w:right w:val="single" w:sz="4" w:space="0" w:color="auto"/>
            </w:tcBorders>
          </w:tcPr>
          <w:p w14:paraId="1068CABB" w14:textId="77777777" w:rsidR="002B7933" w:rsidRPr="001868A7" w:rsidRDefault="002B7933" w:rsidP="003644DD">
            <w:pPr>
              <w:pStyle w:val="Tabletext"/>
              <w:jc w:val="center"/>
              <w:rPr>
                <w:rFonts w:eastAsia="MS PGothic"/>
                <w:sz w:val="18"/>
                <w:lang w:val="es-ES_tradnl"/>
              </w:rPr>
            </w:pPr>
            <w:r w:rsidRPr="001868A7">
              <w:rPr>
                <w:sz w:val="18"/>
                <w:lang w:val="es-ES_tradnl" w:eastAsia="ja-JP"/>
              </w:rPr>
              <w:t>24,0</w:t>
            </w:r>
          </w:p>
        </w:tc>
        <w:tc>
          <w:tcPr>
            <w:tcW w:w="1418" w:type="dxa"/>
            <w:gridSpan w:val="3"/>
            <w:tcBorders>
              <w:top w:val="single" w:sz="4" w:space="0" w:color="auto"/>
              <w:left w:val="single" w:sz="4" w:space="0" w:color="auto"/>
              <w:bottom w:val="single" w:sz="4" w:space="0" w:color="auto"/>
              <w:right w:val="single" w:sz="4" w:space="0" w:color="auto"/>
            </w:tcBorders>
          </w:tcPr>
          <w:p w14:paraId="1F36333D" w14:textId="77777777" w:rsidR="002B7933" w:rsidRPr="001868A7" w:rsidRDefault="002B7933" w:rsidP="003644DD">
            <w:pPr>
              <w:pStyle w:val="Tabletext"/>
              <w:jc w:val="center"/>
              <w:rPr>
                <w:sz w:val="18"/>
                <w:lang w:val="es-ES_tradnl" w:eastAsia="ja-JP"/>
              </w:rPr>
            </w:pPr>
            <w:r w:rsidRPr="001868A7">
              <w:rPr>
                <w:sz w:val="18"/>
                <w:lang w:val="es-ES_tradnl" w:eastAsia="ja-JP"/>
              </w:rPr>
              <w:t>30</w:t>
            </w:r>
          </w:p>
        </w:tc>
        <w:tc>
          <w:tcPr>
            <w:tcW w:w="421" w:type="dxa"/>
            <w:tcBorders>
              <w:top w:val="single" w:sz="4" w:space="0" w:color="auto"/>
              <w:left w:val="single" w:sz="4" w:space="0" w:color="auto"/>
              <w:bottom w:val="single" w:sz="4" w:space="0" w:color="auto"/>
              <w:right w:val="single" w:sz="4" w:space="0" w:color="auto"/>
            </w:tcBorders>
          </w:tcPr>
          <w:p w14:paraId="7D5873B0" w14:textId="77777777" w:rsidR="002B7933" w:rsidRPr="001868A7" w:rsidRDefault="002B7933" w:rsidP="003644DD">
            <w:pPr>
              <w:pStyle w:val="Tabletext"/>
              <w:jc w:val="center"/>
              <w:rPr>
                <w:sz w:val="18"/>
                <w:lang w:val="es-ES_tradnl" w:eastAsia="ja-JP"/>
              </w:rPr>
            </w:pPr>
            <w:r w:rsidRPr="001868A7">
              <w:rPr>
                <w:sz w:val="18"/>
                <w:lang w:val="es-ES_tradnl" w:eastAsia="ja-JP"/>
              </w:rPr>
              <w:t>32</w:t>
            </w:r>
          </w:p>
        </w:tc>
        <w:tc>
          <w:tcPr>
            <w:tcW w:w="1087" w:type="dxa"/>
            <w:gridSpan w:val="3"/>
            <w:tcBorders>
              <w:top w:val="single" w:sz="4" w:space="0" w:color="auto"/>
              <w:left w:val="single" w:sz="4" w:space="0" w:color="auto"/>
              <w:bottom w:val="single" w:sz="4" w:space="0" w:color="auto"/>
              <w:right w:val="single" w:sz="4" w:space="0" w:color="auto"/>
            </w:tcBorders>
          </w:tcPr>
          <w:p w14:paraId="455B208C" w14:textId="77777777" w:rsidR="002B7933" w:rsidRPr="001868A7" w:rsidRDefault="002B7933" w:rsidP="003644DD">
            <w:pPr>
              <w:pStyle w:val="Tabletext"/>
              <w:jc w:val="center"/>
              <w:rPr>
                <w:sz w:val="18"/>
                <w:lang w:val="es-ES_tradnl" w:eastAsia="ja-JP"/>
              </w:rPr>
            </w:pPr>
            <w:r w:rsidRPr="001868A7">
              <w:rPr>
                <w:sz w:val="18"/>
                <w:lang w:val="es-ES_tradnl" w:eastAsia="ja-JP"/>
              </w:rPr>
              <w:t>30</w:t>
            </w:r>
          </w:p>
        </w:tc>
        <w:tc>
          <w:tcPr>
            <w:tcW w:w="1328" w:type="dxa"/>
            <w:tcBorders>
              <w:top w:val="single" w:sz="4" w:space="0" w:color="auto"/>
              <w:left w:val="single" w:sz="4" w:space="0" w:color="auto"/>
              <w:bottom w:val="single" w:sz="4" w:space="0" w:color="auto"/>
              <w:right w:val="single" w:sz="4" w:space="0" w:color="auto"/>
            </w:tcBorders>
          </w:tcPr>
          <w:p w14:paraId="53FC6D34" w14:textId="77777777" w:rsidR="002B7933" w:rsidRPr="001868A7" w:rsidRDefault="002B7933" w:rsidP="003644DD">
            <w:pPr>
              <w:pStyle w:val="Tabletext"/>
              <w:jc w:val="center"/>
              <w:rPr>
                <w:sz w:val="18"/>
                <w:lang w:val="es-ES_tradnl" w:eastAsia="ja-JP"/>
              </w:rPr>
            </w:pPr>
            <w:r w:rsidRPr="001868A7">
              <w:rPr>
                <w:sz w:val="18"/>
                <w:lang w:val="es-ES_tradnl" w:eastAsia="ja-JP"/>
              </w:rPr>
              <w:t>64</w:t>
            </w:r>
          </w:p>
        </w:tc>
        <w:tc>
          <w:tcPr>
            <w:tcW w:w="420" w:type="dxa"/>
            <w:tcBorders>
              <w:top w:val="single" w:sz="4" w:space="0" w:color="auto"/>
              <w:left w:val="single" w:sz="4" w:space="0" w:color="auto"/>
              <w:bottom w:val="single" w:sz="4" w:space="0" w:color="auto"/>
              <w:right w:val="single" w:sz="4" w:space="0" w:color="auto"/>
            </w:tcBorders>
          </w:tcPr>
          <w:p w14:paraId="15F655A2" w14:textId="77777777" w:rsidR="002B7933" w:rsidRPr="001868A7" w:rsidRDefault="002B7933" w:rsidP="003644DD">
            <w:pPr>
              <w:pStyle w:val="Tabletext"/>
              <w:jc w:val="center"/>
              <w:rPr>
                <w:sz w:val="18"/>
                <w:lang w:val="es-ES_tradnl" w:eastAsia="ja-JP"/>
              </w:rPr>
            </w:pPr>
            <w:r w:rsidRPr="001868A7">
              <w:rPr>
                <w:sz w:val="18"/>
                <w:lang w:val="es-ES_tradnl" w:eastAsia="ja-JP"/>
              </w:rPr>
              <w:t>32</w:t>
            </w:r>
          </w:p>
        </w:tc>
        <w:tc>
          <w:tcPr>
            <w:tcW w:w="999" w:type="dxa"/>
            <w:gridSpan w:val="3"/>
            <w:tcBorders>
              <w:top w:val="single" w:sz="4" w:space="0" w:color="auto"/>
              <w:left w:val="single" w:sz="4" w:space="0" w:color="auto"/>
              <w:bottom w:val="single" w:sz="4" w:space="0" w:color="auto"/>
              <w:right w:val="single" w:sz="4" w:space="0" w:color="auto"/>
            </w:tcBorders>
          </w:tcPr>
          <w:p w14:paraId="263FF75A" w14:textId="77777777" w:rsidR="002B7933" w:rsidRPr="001868A7" w:rsidRDefault="002B7933" w:rsidP="003644DD">
            <w:pPr>
              <w:pStyle w:val="Tabletext"/>
              <w:jc w:val="center"/>
              <w:rPr>
                <w:sz w:val="18"/>
                <w:lang w:val="es-ES_tradnl" w:eastAsia="ja-JP"/>
              </w:rPr>
            </w:pPr>
            <w:r w:rsidRPr="001868A7">
              <w:rPr>
                <w:sz w:val="18"/>
                <w:lang w:val="es-ES_tradnl" w:eastAsia="ja-JP"/>
              </w:rPr>
              <w:t>30</w:t>
            </w:r>
          </w:p>
        </w:tc>
      </w:tr>
      <w:tr w:rsidR="002B7933" w:rsidRPr="001868A7" w14:paraId="4CBE3B86"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656F78EF"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 xml:space="preserve">anchura de banda a 3 dB de filtro de </w:t>
            </w:r>
            <w:proofErr w:type="spellStart"/>
            <w:r w:rsidRPr="001868A7">
              <w:rPr>
                <w:rFonts w:eastAsia="MS PGothic"/>
                <w:sz w:val="18"/>
                <w:lang w:val="es-ES_tradnl"/>
              </w:rPr>
              <w:t>precorrelación</w:t>
            </w:r>
            <w:proofErr w:type="spellEnd"/>
            <w:r w:rsidRPr="001868A7">
              <w:rPr>
                <w:rFonts w:eastAsia="MS PGothic"/>
                <w:sz w:val="18"/>
                <w:lang w:val="es-ES_tradnl"/>
              </w:rPr>
              <w:t xml:space="preserve"> (MHz)</w:t>
            </w:r>
          </w:p>
        </w:tc>
        <w:tc>
          <w:tcPr>
            <w:tcW w:w="1417" w:type="dxa"/>
            <w:tcBorders>
              <w:top w:val="single" w:sz="4" w:space="0" w:color="auto"/>
              <w:left w:val="single" w:sz="4" w:space="0" w:color="auto"/>
              <w:bottom w:val="single" w:sz="4" w:space="0" w:color="auto"/>
              <w:right w:val="single" w:sz="4" w:space="0" w:color="auto"/>
            </w:tcBorders>
          </w:tcPr>
          <w:p w14:paraId="007F5028" w14:textId="77777777" w:rsidR="002B7933" w:rsidRPr="001868A7" w:rsidRDefault="002B7933" w:rsidP="003644DD">
            <w:pPr>
              <w:pStyle w:val="Tabletext"/>
              <w:jc w:val="center"/>
              <w:rPr>
                <w:rFonts w:eastAsia="MS PGothic"/>
                <w:sz w:val="18"/>
                <w:lang w:val="es-ES_tradnl"/>
              </w:rPr>
            </w:pPr>
            <w:r w:rsidRPr="001868A7">
              <w:rPr>
                <w:sz w:val="18"/>
                <w:lang w:val="es-ES_tradnl"/>
              </w:rPr>
              <w:t>20,46</w:t>
            </w:r>
          </w:p>
        </w:tc>
        <w:tc>
          <w:tcPr>
            <w:tcW w:w="1418" w:type="dxa"/>
            <w:tcBorders>
              <w:top w:val="single" w:sz="4" w:space="0" w:color="auto"/>
              <w:left w:val="single" w:sz="4" w:space="0" w:color="auto"/>
              <w:bottom w:val="single" w:sz="4" w:space="0" w:color="auto"/>
              <w:right w:val="single" w:sz="4" w:space="0" w:color="auto"/>
            </w:tcBorders>
          </w:tcPr>
          <w:p w14:paraId="2F32AE27" w14:textId="77777777" w:rsidR="002B7933" w:rsidRPr="001868A7" w:rsidRDefault="002B7933" w:rsidP="003644DD">
            <w:pPr>
              <w:pStyle w:val="Tabletext"/>
              <w:jc w:val="center"/>
              <w:rPr>
                <w:sz w:val="18"/>
                <w:lang w:val="es-ES_tradnl" w:eastAsia="ja-JP"/>
              </w:rPr>
            </w:pPr>
            <w:r w:rsidRPr="001868A7">
              <w:rPr>
                <w:sz w:val="18"/>
                <w:lang w:val="es-ES_tradnl"/>
              </w:rPr>
              <w:t>20,46</w:t>
            </w:r>
          </w:p>
        </w:tc>
        <w:tc>
          <w:tcPr>
            <w:tcW w:w="1361" w:type="dxa"/>
            <w:tcBorders>
              <w:top w:val="single" w:sz="4" w:space="0" w:color="auto"/>
              <w:left w:val="single" w:sz="4" w:space="0" w:color="auto"/>
              <w:bottom w:val="single" w:sz="4" w:space="0" w:color="auto"/>
              <w:right w:val="single" w:sz="4" w:space="0" w:color="auto"/>
            </w:tcBorders>
          </w:tcPr>
          <w:p w14:paraId="464FDAAC" w14:textId="77777777" w:rsidR="002B7933" w:rsidRPr="001868A7" w:rsidRDefault="002B7933" w:rsidP="003644DD">
            <w:pPr>
              <w:pStyle w:val="Tabletext"/>
              <w:jc w:val="center"/>
              <w:rPr>
                <w:sz w:val="18"/>
                <w:lang w:val="es-ES_tradnl"/>
              </w:rPr>
            </w:pPr>
            <w:r w:rsidRPr="001868A7">
              <w:rPr>
                <w:sz w:val="18"/>
                <w:lang w:val="es-ES_tradnl" w:eastAsia="ja-JP"/>
              </w:rPr>
              <w:t>20,46</w:t>
            </w:r>
          </w:p>
        </w:tc>
        <w:tc>
          <w:tcPr>
            <w:tcW w:w="709" w:type="dxa"/>
            <w:tcBorders>
              <w:top w:val="single" w:sz="4" w:space="0" w:color="auto"/>
              <w:left w:val="single" w:sz="4" w:space="0" w:color="auto"/>
              <w:bottom w:val="single" w:sz="4" w:space="0" w:color="auto"/>
              <w:right w:val="single" w:sz="4" w:space="0" w:color="auto"/>
            </w:tcBorders>
          </w:tcPr>
          <w:p w14:paraId="0084C8ED" w14:textId="77777777" w:rsidR="002B7933" w:rsidRPr="001868A7" w:rsidRDefault="002B7933" w:rsidP="003644DD">
            <w:pPr>
              <w:pStyle w:val="Tabletext"/>
              <w:jc w:val="center"/>
              <w:rPr>
                <w:sz w:val="18"/>
                <w:lang w:val="es-ES_tradnl" w:eastAsia="ja-JP"/>
              </w:rPr>
            </w:pPr>
            <w:r w:rsidRPr="001868A7">
              <w:rPr>
                <w:sz w:val="18"/>
                <w:lang w:val="es-ES_tradnl" w:eastAsia="ja-JP"/>
              </w:rPr>
              <w:t>20</w:t>
            </w:r>
          </w:p>
        </w:tc>
        <w:tc>
          <w:tcPr>
            <w:tcW w:w="709" w:type="dxa"/>
            <w:gridSpan w:val="2"/>
            <w:tcBorders>
              <w:top w:val="single" w:sz="4" w:space="0" w:color="auto"/>
              <w:left w:val="single" w:sz="4" w:space="0" w:color="auto"/>
              <w:bottom w:val="single" w:sz="4" w:space="0" w:color="auto"/>
              <w:right w:val="single" w:sz="4" w:space="0" w:color="auto"/>
            </w:tcBorders>
          </w:tcPr>
          <w:p w14:paraId="011CCC05" w14:textId="77777777" w:rsidR="002B7933" w:rsidRPr="001868A7" w:rsidRDefault="002B7933" w:rsidP="003644DD">
            <w:pPr>
              <w:pStyle w:val="Tabletext"/>
              <w:jc w:val="center"/>
              <w:rPr>
                <w:sz w:val="18"/>
                <w:lang w:val="es-ES_tradnl" w:eastAsia="ja-JP"/>
              </w:rPr>
            </w:pPr>
            <w:r w:rsidRPr="001868A7">
              <w:rPr>
                <w:sz w:val="18"/>
                <w:lang w:val="es-ES_tradnl" w:eastAsia="ja-JP"/>
              </w:rPr>
              <w:t>25</w:t>
            </w:r>
          </w:p>
        </w:tc>
        <w:tc>
          <w:tcPr>
            <w:tcW w:w="421" w:type="dxa"/>
            <w:tcBorders>
              <w:top w:val="single" w:sz="4" w:space="0" w:color="auto"/>
              <w:left w:val="single" w:sz="4" w:space="0" w:color="auto"/>
              <w:bottom w:val="single" w:sz="4" w:space="0" w:color="auto"/>
              <w:right w:val="single" w:sz="4" w:space="0" w:color="auto"/>
            </w:tcBorders>
          </w:tcPr>
          <w:p w14:paraId="48CB9DD4" w14:textId="77777777" w:rsidR="002B7933" w:rsidRPr="001868A7" w:rsidRDefault="002B7933" w:rsidP="003644DD">
            <w:pPr>
              <w:pStyle w:val="Tabletext"/>
              <w:jc w:val="center"/>
              <w:rPr>
                <w:sz w:val="18"/>
                <w:lang w:val="es-ES_tradnl" w:eastAsia="ja-JP"/>
              </w:rPr>
            </w:pPr>
            <w:r w:rsidRPr="001868A7">
              <w:rPr>
                <w:sz w:val="18"/>
                <w:lang w:val="es-ES_tradnl" w:eastAsia="ja-JP"/>
              </w:rPr>
              <w:t>2</w:t>
            </w:r>
          </w:p>
        </w:tc>
        <w:tc>
          <w:tcPr>
            <w:tcW w:w="543" w:type="dxa"/>
            <w:tcBorders>
              <w:top w:val="single" w:sz="4" w:space="0" w:color="auto"/>
              <w:left w:val="single" w:sz="4" w:space="0" w:color="auto"/>
              <w:bottom w:val="single" w:sz="4" w:space="0" w:color="auto"/>
              <w:right w:val="single" w:sz="4" w:space="0" w:color="auto"/>
            </w:tcBorders>
          </w:tcPr>
          <w:p w14:paraId="4672B454" w14:textId="77777777" w:rsidR="002B7933" w:rsidRPr="001868A7" w:rsidRDefault="002B7933" w:rsidP="003644DD">
            <w:pPr>
              <w:pStyle w:val="Tabletext"/>
              <w:jc w:val="center"/>
              <w:rPr>
                <w:sz w:val="18"/>
                <w:lang w:val="es-ES_tradnl" w:eastAsia="ja-JP"/>
              </w:rPr>
            </w:pPr>
            <w:r w:rsidRPr="001868A7">
              <w:rPr>
                <w:sz w:val="18"/>
                <w:lang w:val="es-ES_tradnl" w:eastAsia="ja-JP"/>
              </w:rPr>
              <w:t>20</w:t>
            </w:r>
          </w:p>
        </w:tc>
        <w:tc>
          <w:tcPr>
            <w:tcW w:w="544" w:type="dxa"/>
            <w:gridSpan w:val="2"/>
            <w:tcBorders>
              <w:top w:val="single" w:sz="4" w:space="0" w:color="auto"/>
              <w:left w:val="single" w:sz="4" w:space="0" w:color="auto"/>
              <w:bottom w:val="single" w:sz="4" w:space="0" w:color="auto"/>
              <w:right w:val="single" w:sz="4" w:space="0" w:color="auto"/>
            </w:tcBorders>
          </w:tcPr>
          <w:p w14:paraId="397CD1BC" w14:textId="77777777" w:rsidR="002B7933" w:rsidRPr="001868A7" w:rsidRDefault="002B7933" w:rsidP="003644DD">
            <w:pPr>
              <w:pStyle w:val="Tabletext"/>
              <w:jc w:val="center"/>
              <w:rPr>
                <w:sz w:val="18"/>
                <w:lang w:val="es-ES_tradnl" w:eastAsia="ja-JP"/>
              </w:rPr>
            </w:pPr>
            <w:r w:rsidRPr="001868A7">
              <w:rPr>
                <w:sz w:val="18"/>
                <w:lang w:val="es-ES_tradnl" w:eastAsia="ja-JP"/>
              </w:rPr>
              <w:t>25</w:t>
            </w:r>
          </w:p>
        </w:tc>
        <w:tc>
          <w:tcPr>
            <w:tcW w:w="1328" w:type="dxa"/>
            <w:tcBorders>
              <w:top w:val="single" w:sz="4" w:space="0" w:color="auto"/>
              <w:left w:val="single" w:sz="4" w:space="0" w:color="auto"/>
              <w:bottom w:val="single" w:sz="4" w:space="0" w:color="auto"/>
              <w:right w:val="single" w:sz="4" w:space="0" w:color="auto"/>
            </w:tcBorders>
          </w:tcPr>
          <w:p w14:paraId="0486DD43" w14:textId="77777777" w:rsidR="002B7933" w:rsidRPr="001868A7" w:rsidRDefault="002B7933" w:rsidP="003644DD">
            <w:pPr>
              <w:pStyle w:val="Tabletext"/>
              <w:jc w:val="center"/>
              <w:rPr>
                <w:sz w:val="18"/>
                <w:lang w:val="es-ES_tradnl" w:eastAsia="ja-JP"/>
              </w:rPr>
            </w:pPr>
            <w:r w:rsidRPr="001868A7">
              <w:rPr>
                <w:sz w:val="18"/>
                <w:lang w:val="es-ES_tradnl" w:eastAsia="ja-JP"/>
              </w:rPr>
              <w:t>50</w:t>
            </w:r>
          </w:p>
        </w:tc>
        <w:tc>
          <w:tcPr>
            <w:tcW w:w="420" w:type="dxa"/>
            <w:tcBorders>
              <w:top w:val="single" w:sz="4" w:space="0" w:color="auto"/>
              <w:left w:val="single" w:sz="4" w:space="0" w:color="auto"/>
              <w:bottom w:val="single" w:sz="4" w:space="0" w:color="auto"/>
              <w:right w:val="single" w:sz="4" w:space="0" w:color="auto"/>
            </w:tcBorders>
          </w:tcPr>
          <w:p w14:paraId="44E2FD26" w14:textId="77777777" w:rsidR="002B7933" w:rsidRPr="001868A7" w:rsidRDefault="002B7933" w:rsidP="003644DD">
            <w:pPr>
              <w:pStyle w:val="Tabletext"/>
              <w:jc w:val="center"/>
              <w:rPr>
                <w:sz w:val="18"/>
                <w:lang w:val="es-ES_tradnl" w:eastAsia="ja-JP"/>
              </w:rPr>
            </w:pPr>
            <w:r w:rsidRPr="001868A7">
              <w:rPr>
                <w:sz w:val="18"/>
                <w:lang w:val="es-ES_tradnl" w:eastAsia="ja-JP"/>
              </w:rPr>
              <w:t>2</w:t>
            </w:r>
          </w:p>
        </w:tc>
        <w:tc>
          <w:tcPr>
            <w:tcW w:w="499" w:type="dxa"/>
            <w:tcBorders>
              <w:top w:val="single" w:sz="4" w:space="0" w:color="auto"/>
              <w:left w:val="single" w:sz="4" w:space="0" w:color="auto"/>
              <w:bottom w:val="single" w:sz="4" w:space="0" w:color="auto"/>
              <w:right w:val="single" w:sz="4" w:space="0" w:color="auto"/>
            </w:tcBorders>
          </w:tcPr>
          <w:p w14:paraId="53168248" w14:textId="77777777" w:rsidR="002B7933" w:rsidRPr="001868A7" w:rsidRDefault="002B7933" w:rsidP="003644DD">
            <w:pPr>
              <w:pStyle w:val="Tabletext"/>
              <w:jc w:val="center"/>
              <w:rPr>
                <w:sz w:val="18"/>
                <w:lang w:val="es-ES_tradnl" w:eastAsia="ja-JP"/>
              </w:rPr>
            </w:pPr>
            <w:r w:rsidRPr="001868A7">
              <w:rPr>
                <w:sz w:val="18"/>
                <w:lang w:val="es-ES_tradnl" w:eastAsia="ja-JP"/>
              </w:rPr>
              <w:t>20</w:t>
            </w:r>
          </w:p>
        </w:tc>
        <w:tc>
          <w:tcPr>
            <w:tcW w:w="500" w:type="dxa"/>
            <w:gridSpan w:val="2"/>
            <w:tcBorders>
              <w:top w:val="single" w:sz="4" w:space="0" w:color="auto"/>
              <w:left w:val="single" w:sz="4" w:space="0" w:color="auto"/>
              <w:bottom w:val="single" w:sz="4" w:space="0" w:color="auto"/>
              <w:right w:val="single" w:sz="4" w:space="0" w:color="auto"/>
            </w:tcBorders>
          </w:tcPr>
          <w:p w14:paraId="2190D814" w14:textId="77777777" w:rsidR="002B7933" w:rsidRPr="001868A7" w:rsidRDefault="002B7933" w:rsidP="003644DD">
            <w:pPr>
              <w:pStyle w:val="Tabletext"/>
              <w:jc w:val="center"/>
              <w:rPr>
                <w:sz w:val="18"/>
                <w:lang w:val="es-ES_tradnl" w:eastAsia="ja-JP"/>
              </w:rPr>
            </w:pPr>
            <w:r w:rsidRPr="001868A7">
              <w:rPr>
                <w:sz w:val="18"/>
                <w:lang w:val="es-ES_tradnl" w:eastAsia="ja-JP"/>
              </w:rPr>
              <w:t>25</w:t>
            </w:r>
          </w:p>
        </w:tc>
      </w:tr>
      <w:tr w:rsidR="002B7933" w:rsidRPr="001868A7" w14:paraId="29FAA52F"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38FE6FBA"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Temperatura de ruido del sistema receptor (K)</w:t>
            </w:r>
          </w:p>
        </w:tc>
        <w:tc>
          <w:tcPr>
            <w:tcW w:w="1417" w:type="dxa"/>
            <w:tcBorders>
              <w:top w:val="single" w:sz="4" w:space="0" w:color="auto"/>
              <w:left w:val="single" w:sz="4" w:space="0" w:color="auto"/>
              <w:bottom w:val="single" w:sz="4" w:space="0" w:color="auto"/>
              <w:right w:val="single" w:sz="4" w:space="0" w:color="auto"/>
            </w:tcBorders>
          </w:tcPr>
          <w:p w14:paraId="14110991"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513</w:t>
            </w:r>
          </w:p>
        </w:tc>
        <w:tc>
          <w:tcPr>
            <w:tcW w:w="1418" w:type="dxa"/>
            <w:tcBorders>
              <w:top w:val="single" w:sz="4" w:space="0" w:color="auto"/>
              <w:left w:val="single" w:sz="4" w:space="0" w:color="auto"/>
              <w:bottom w:val="single" w:sz="4" w:space="0" w:color="auto"/>
              <w:right w:val="single" w:sz="4" w:space="0" w:color="auto"/>
            </w:tcBorders>
          </w:tcPr>
          <w:p w14:paraId="6CA8AEBA"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513</w:t>
            </w:r>
          </w:p>
        </w:tc>
        <w:tc>
          <w:tcPr>
            <w:tcW w:w="1361" w:type="dxa"/>
            <w:tcBorders>
              <w:top w:val="single" w:sz="4" w:space="0" w:color="auto"/>
              <w:left w:val="single" w:sz="4" w:space="0" w:color="auto"/>
              <w:bottom w:val="single" w:sz="4" w:space="0" w:color="auto"/>
              <w:right w:val="single" w:sz="4" w:space="0" w:color="auto"/>
            </w:tcBorders>
          </w:tcPr>
          <w:p w14:paraId="1E441879" w14:textId="77777777" w:rsidR="002B7933" w:rsidRPr="001868A7" w:rsidRDefault="002B7933" w:rsidP="003644DD">
            <w:pPr>
              <w:pStyle w:val="Tabletext"/>
              <w:jc w:val="center"/>
              <w:rPr>
                <w:rFonts w:eastAsia="MS PGothic"/>
                <w:sz w:val="18"/>
                <w:lang w:val="es-ES_tradnl"/>
              </w:rPr>
            </w:pPr>
            <w:r w:rsidRPr="001868A7">
              <w:rPr>
                <w:sz w:val="18"/>
                <w:lang w:val="es-ES_tradnl" w:eastAsia="ja-JP"/>
              </w:rPr>
              <w:t>513</w:t>
            </w:r>
          </w:p>
        </w:tc>
        <w:tc>
          <w:tcPr>
            <w:tcW w:w="1418" w:type="dxa"/>
            <w:gridSpan w:val="3"/>
            <w:tcBorders>
              <w:top w:val="single" w:sz="4" w:space="0" w:color="auto"/>
              <w:left w:val="single" w:sz="4" w:space="0" w:color="auto"/>
              <w:bottom w:val="single" w:sz="4" w:space="0" w:color="auto"/>
              <w:right w:val="single" w:sz="4" w:space="0" w:color="auto"/>
            </w:tcBorders>
          </w:tcPr>
          <w:p w14:paraId="356B9A06" w14:textId="77777777" w:rsidR="002B7933" w:rsidRPr="001868A7" w:rsidRDefault="002B7933" w:rsidP="003644DD">
            <w:pPr>
              <w:pStyle w:val="Tabletext"/>
              <w:jc w:val="center"/>
              <w:rPr>
                <w:sz w:val="18"/>
                <w:lang w:val="es-ES_tradnl" w:eastAsia="ja-JP"/>
              </w:rPr>
            </w:pPr>
            <w:r w:rsidRPr="001868A7">
              <w:rPr>
                <w:sz w:val="18"/>
                <w:lang w:val="es-ES_tradnl" w:eastAsia="ja-JP"/>
              </w:rPr>
              <w:t>400</w:t>
            </w:r>
          </w:p>
        </w:tc>
        <w:tc>
          <w:tcPr>
            <w:tcW w:w="1508" w:type="dxa"/>
            <w:gridSpan w:val="4"/>
            <w:tcBorders>
              <w:top w:val="single" w:sz="4" w:space="0" w:color="auto"/>
              <w:left w:val="single" w:sz="4" w:space="0" w:color="auto"/>
              <w:bottom w:val="single" w:sz="4" w:space="0" w:color="auto"/>
              <w:right w:val="single" w:sz="4" w:space="0" w:color="auto"/>
            </w:tcBorders>
          </w:tcPr>
          <w:p w14:paraId="7C009744" w14:textId="77777777" w:rsidR="002B7933" w:rsidRPr="001868A7" w:rsidRDefault="002B7933" w:rsidP="003644DD">
            <w:pPr>
              <w:pStyle w:val="Tabletext"/>
              <w:jc w:val="center"/>
              <w:rPr>
                <w:sz w:val="18"/>
                <w:lang w:val="es-ES_tradnl" w:eastAsia="ja-JP"/>
              </w:rPr>
            </w:pPr>
            <w:r w:rsidRPr="001868A7">
              <w:rPr>
                <w:sz w:val="18"/>
                <w:lang w:val="es-ES_tradnl" w:eastAsia="ja-JP"/>
              </w:rPr>
              <w:t>645</w:t>
            </w:r>
          </w:p>
        </w:tc>
        <w:tc>
          <w:tcPr>
            <w:tcW w:w="1328" w:type="dxa"/>
            <w:tcBorders>
              <w:top w:val="single" w:sz="4" w:space="0" w:color="auto"/>
              <w:left w:val="single" w:sz="4" w:space="0" w:color="auto"/>
              <w:bottom w:val="single" w:sz="4" w:space="0" w:color="auto"/>
              <w:right w:val="single" w:sz="4" w:space="0" w:color="auto"/>
            </w:tcBorders>
          </w:tcPr>
          <w:p w14:paraId="3DB809A8" w14:textId="77777777" w:rsidR="002B7933" w:rsidRPr="001868A7" w:rsidRDefault="002B7933" w:rsidP="003644DD">
            <w:pPr>
              <w:pStyle w:val="Tabletext"/>
              <w:jc w:val="center"/>
              <w:rPr>
                <w:sz w:val="18"/>
                <w:lang w:val="es-ES_tradnl" w:eastAsia="ja-JP"/>
              </w:rPr>
            </w:pPr>
            <w:r w:rsidRPr="001868A7">
              <w:rPr>
                <w:sz w:val="18"/>
                <w:lang w:val="es-ES_tradnl" w:eastAsia="ja-JP"/>
              </w:rPr>
              <w:t>645</w:t>
            </w:r>
          </w:p>
        </w:tc>
        <w:tc>
          <w:tcPr>
            <w:tcW w:w="1419" w:type="dxa"/>
            <w:gridSpan w:val="4"/>
            <w:tcBorders>
              <w:top w:val="single" w:sz="4" w:space="0" w:color="auto"/>
              <w:left w:val="single" w:sz="4" w:space="0" w:color="auto"/>
              <w:bottom w:val="single" w:sz="4" w:space="0" w:color="auto"/>
              <w:right w:val="single" w:sz="4" w:space="0" w:color="auto"/>
            </w:tcBorders>
          </w:tcPr>
          <w:p w14:paraId="585758E8" w14:textId="77777777" w:rsidR="002B7933" w:rsidRPr="001868A7" w:rsidRDefault="002B7933" w:rsidP="003644DD">
            <w:pPr>
              <w:pStyle w:val="Tabletext"/>
              <w:jc w:val="center"/>
              <w:rPr>
                <w:sz w:val="18"/>
                <w:lang w:val="es-ES_tradnl" w:eastAsia="ja-JP"/>
              </w:rPr>
            </w:pPr>
            <w:r w:rsidRPr="001868A7">
              <w:rPr>
                <w:sz w:val="18"/>
                <w:lang w:val="es-ES_tradnl" w:eastAsia="ja-JP"/>
              </w:rPr>
              <w:t>645</w:t>
            </w:r>
          </w:p>
        </w:tc>
      </w:tr>
      <w:tr w:rsidR="002B7933" w:rsidRPr="00384656" w14:paraId="7DD3723C" w14:textId="77777777" w:rsidTr="00881739">
        <w:trPr>
          <w:cantSplit/>
          <w:jc w:val="center"/>
        </w:trPr>
        <w:tc>
          <w:tcPr>
            <w:tcW w:w="14459" w:type="dxa"/>
            <w:gridSpan w:val="16"/>
            <w:tcBorders>
              <w:top w:val="single" w:sz="4" w:space="0" w:color="auto"/>
              <w:left w:val="single" w:sz="4" w:space="0" w:color="auto"/>
              <w:bottom w:val="single" w:sz="4" w:space="0" w:color="auto"/>
              <w:right w:val="single" w:sz="4" w:space="0" w:color="auto"/>
            </w:tcBorders>
          </w:tcPr>
          <w:p w14:paraId="0F9FBAF1" w14:textId="77777777" w:rsidR="002B7933" w:rsidRPr="001868A7" w:rsidRDefault="002B7933" w:rsidP="003644DD">
            <w:pPr>
              <w:pStyle w:val="Tabletext"/>
              <w:jc w:val="center"/>
              <w:rPr>
                <w:rFonts w:eastAsia="MS PGothic"/>
                <w:b/>
                <w:i/>
                <w:sz w:val="18"/>
                <w:lang w:val="es-ES_tradnl"/>
              </w:rPr>
            </w:pPr>
            <w:r w:rsidRPr="001868A7">
              <w:rPr>
                <w:rFonts w:eastAsia="MS PGothic"/>
                <w:b/>
                <w:i/>
                <w:sz w:val="18"/>
                <w:lang w:val="es-ES_tradnl"/>
              </w:rPr>
              <w:t>Umbrales para la interferencia continua</w:t>
            </w:r>
          </w:p>
        </w:tc>
      </w:tr>
      <w:tr w:rsidR="002B7933" w:rsidRPr="001868A7" w14:paraId="2B4A4FB7"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33D25AF6"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Nivel de potencia umbral en modo seguimiento de la interferencia combinada de banda estrecha a la salida de la antena pasiva (</w:t>
            </w:r>
            <w:proofErr w:type="spellStart"/>
            <w:r w:rsidRPr="001868A7">
              <w:rPr>
                <w:rFonts w:eastAsia="MS PGothic"/>
                <w:sz w:val="18"/>
                <w:lang w:val="es-ES_tradnl"/>
              </w:rPr>
              <w:t>dBW</w:t>
            </w:r>
            <w:proofErr w:type="spellEnd"/>
            <w:r w:rsidRPr="001868A7">
              <w:rPr>
                <w:rFonts w:eastAsia="MS PGothic"/>
                <w:sz w:val="18"/>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27F87040"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–137,5 (P(Y))</w:t>
            </w:r>
            <w:r w:rsidRPr="001868A7">
              <w:rPr>
                <w:rFonts w:eastAsia="MS PGothic"/>
                <w:sz w:val="18"/>
                <w:lang w:val="es-ES_tradnl"/>
              </w:rPr>
              <w:br/>
              <w:t>(Nota 1)</w:t>
            </w:r>
          </w:p>
        </w:tc>
        <w:tc>
          <w:tcPr>
            <w:tcW w:w="1418" w:type="dxa"/>
            <w:tcBorders>
              <w:top w:val="single" w:sz="4" w:space="0" w:color="auto"/>
              <w:left w:val="single" w:sz="4" w:space="0" w:color="auto"/>
              <w:bottom w:val="single" w:sz="4" w:space="0" w:color="auto"/>
              <w:right w:val="single" w:sz="4" w:space="0" w:color="auto"/>
            </w:tcBorders>
          </w:tcPr>
          <w:p w14:paraId="00F71BC6"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–137,4 (P(Y))</w:t>
            </w:r>
            <w:r w:rsidRPr="001868A7">
              <w:rPr>
                <w:rFonts w:eastAsia="MS PGothic"/>
                <w:sz w:val="18"/>
                <w:lang w:val="es-ES_tradnl"/>
              </w:rPr>
              <w:br/>
              <w:t>(Nota 1)</w:t>
            </w:r>
          </w:p>
        </w:tc>
        <w:tc>
          <w:tcPr>
            <w:tcW w:w="1361" w:type="dxa"/>
            <w:tcBorders>
              <w:top w:val="single" w:sz="4" w:space="0" w:color="auto"/>
              <w:left w:val="single" w:sz="4" w:space="0" w:color="auto"/>
              <w:bottom w:val="single" w:sz="4" w:space="0" w:color="auto"/>
              <w:right w:val="single" w:sz="4" w:space="0" w:color="auto"/>
            </w:tcBorders>
          </w:tcPr>
          <w:p w14:paraId="22F12A36"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–151,4</w:t>
            </w:r>
            <w:r w:rsidRPr="001868A7">
              <w:rPr>
                <w:rFonts w:eastAsia="MS PGothic"/>
                <w:sz w:val="18"/>
                <w:lang w:val="es-ES_tradnl"/>
              </w:rPr>
              <w:br/>
              <w:t>(Nota 1)</w:t>
            </w:r>
          </w:p>
        </w:tc>
        <w:tc>
          <w:tcPr>
            <w:tcW w:w="1418" w:type="dxa"/>
            <w:gridSpan w:val="3"/>
            <w:tcBorders>
              <w:top w:val="single" w:sz="4" w:space="0" w:color="auto"/>
              <w:left w:val="single" w:sz="4" w:space="0" w:color="auto"/>
              <w:bottom w:val="single" w:sz="4" w:space="0" w:color="auto"/>
              <w:right w:val="single" w:sz="4" w:space="0" w:color="auto"/>
            </w:tcBorders>
          </w:tcPr>
          <w:p w14:paraId="18ED24B3"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149</w:t>
            </w:r>
            <w:r w:rsidRPr="001868A7">
              <w:rPr>
                <w:sz w:val="18"/>
                <w:lang w:val="es-ES_tradnl" w:eastAsia="ja-JP"/>
              </w:rPr>
              <w:br/>
            </w:r>
            <w:r w:rsidRPr="001868A7">
              <w:rPr>
                <w:rFonts w:eastAsia="MS PGothic"/>
                <w:sz w:val="18"/>
                <w:lang w:val="es-ES_tradnl"/>
              </w:rPr>
              <w:t>(Nota 1)</w:t>
            </w:r>
            <w:r w:rsidRPr="001868A7">
              <w:rPr>
                <w:sz w:val="18"/>
                <w:lang w:val="es-ES_tradnl" w:eastAsia="ja-JP"/>
              </w:rPr>
              <w:t xml:space="preserve"> (Nota </w:t>
            </w:r>
            <w:r w:rsidRPr="001868A7">
              <w:rPr>
                <w:sz w:val="18"/>
                <w:lang w:val="es-ES_tradnl"/>
              </w:rPr>
              <w:t>9</w:t>
            </w:r>
            <w:r w:rsidRPr="001868A7">
              <w:rPr>
                <w:sz w:val="18"/>
                <w:lang w:val="es-ES_tradnl" w:eastAsia="ja-JP"/>
              </w:rPr>
              <w:t>)</w:t>
            </w:r>
          </w:p>
        </w:tc>
        <w:tc>
          <w:tcPr>
            <w:tcW w:w="1508" w:type="dxa"/>
            <w:gridSpan w:val="4"/>
            <w:tcBorders>
              <w:top w:val="single" w:sz="4" w:space="0" w:color="auto"/>
              <w:left w:val="single" w:sz="4" w:space="0" w:color="auto"/>
              <w:bottom w:val="single" w:sz="4" w:space="0" w:color="auto"/>
              <w:right w:val="single" w:sz="4" w:space="0" w:color="auto"/>
            </w:tcBorders>
          </w:tcPr>
          <w:p w14:paraId="5CA5A627"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w:t>
            </w:r>
            <w:r w:rsidRPr="001868A7">
              <w:rPr>
                <w:sz w:val="18"/>
                <w:lang w:val="es-ES_tradnl" w:eastAsia="ja-JP"/>
              </w:rPr>
              <w:t>193</w:t>
            </w:r>
            <w:r w:rsidRPr="001868A7">
              <w:rPr>
                <w:sz w:val="18"/>
                <w:lang w:val="es-ES_tradnl" w:eastAsia="ja-JP"/>
              </w:rPr>
              <w:br/>
              <w:t>(Nota 1)</w:t>
            </w:r>
          </w:p>
        </w:tc>
        <w:tc>
          <w:tcPr>
            <w:tcW w:w="1328" w:type="dxa"/>
            <w:tcBorders>
              <w:top w:val="single" w:sz="4" w:space="0" w:color="auto"/>
              <w:left w:val="single" w:sz="4" w:space="0" w:color="auto"/>
              <w:bottom w:val="single" w:sz="4" w:space="0" w:color="auto"/>
              <w:right w:val="single" w:sz="4" w:space="0" w:color="auto"/>
            </w:tcBorders>
          </w:tcPr>
          <w:p w14:paraId="59E4146C"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119</w:t>
            </w:r>
            <w:r w:rsidRPr="001868A7">
              <w:rPr>
                <w:sz w:val="18"/>
                <w:lang w:val="es-ES_tradnl" w:eastAsia="ja-JP"/>
              </w:rPr>
              <w:br/>
              <w:t xml:space="preserve">(Nota </w:t>
            </w:r>
            <w:r w:rsidRPr="001868A7">
              <w:rPr>
                <w:sz w:val="18"/>
                <w:lang w:val="es-ES_tradnl"/>
              </w:rPr>
              <w:t>2</w:t>
            </w:r>
            <w:r w:rsidRPr="001868A7">
              <w:rPr>
                <w:sz w:val="18"/>
                <w:lang w:val="es-ES_tradnl" w:eastAsia="ja-JP"/>
              </w:rPr>
              <w:t>)</w:t>
            </w:r>
          </w:p>
        </w:tc>
        <w:tc>
          <w:tcPr>
            <w:tcW w:w="1419" w:type="dxa"/>
            <w:gridSpan w:val="4"/>
            <w:tcBorders>
              <w:top w:val="single" w:sz="4" w:space="0" w:color="auto"/>
              <w:left w:val="single" w:sz="4" w:space="0" w:color="auto"/>
              <w:bottom w:val="single" w:sz="4" w:space="0" w:color="auto"/>
              <w:right w:val="single" w:sz="4" w:space="0" w:color="auto"/>
            </w:tcBorders>
          </w:tcPr>
          <w:p w14:paraId="1DF06B1F"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w:t>
            </w:r>
            <w:r w:rsidRPr="001868A7">
              <w:rPr>
                <w:sz w:val="18"/>
                <w:lang w:val="es-ES_tradnl" w:eastAsia="ja-JP"/>
              </w:rPr>
              <w:t>158</w:t>
            </w:r>
            <w:r w:rsidRPr="001868A7">
              <w:rPr>
                <w:sz w:val="18"/>
                <w:lang w:val="es-ES_tradnl" w:eastAsia="ja-JP"/>
              </w:rPr>
              <w:br/>
              <w:t>(Nota 1)</w:t>
            </w:r>
          </w:p>
        </w:tc>
      </w:tr>
      <w:tr w:rsidR="002B7933" w:rsidRPr="001868A7" w14:paraId="7D125C17"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5CE0F5F2"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Nivel de potencia umbral en modo adquisición de la interferencia combinada de banda estrecha a la salida de la antena pasiva (</w:t>
            </w:r>
            <w:proofErr w:type="spellStart"/>
            <w:r w:rsidRPr="001868A7">
              <w:rPr>
                <w:rFonts w:eastAsia="MS PGothic"/>
                <w:sz w:val="18"/>
                <w:lang w:val="es-ES_tradnl"/>
              </w:rPr>
              <w:t>dBW</w:t>
            </w:r>
            <w:proofErr w:type="spellEnd"/>
            <w:r w:rsidRPr="001868A7">
              <w:rPr>
                <w:rFonts w:eastAsia="MS PGothic"/>
                <w:sz w:val="18"/>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3D483648"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Véase Nota </w:t>
            </w:r>
            <w:r w:rsidRPr="001868A7">
              <w:rPr>
                <w:sz w:val="18"/>
                <w:lang w:val="es-ES_tradnl"/>
              </w:rPr>
              <w:t>4</w:t>
            </w:r>
          </w:p>
        </w:tc>
        <w:tc>
          <w:tcPr>
            <w:tcW w:w="1418" w:type="dxa"/>
            <w:tcBorders>
              <w:top w:val="single" w:sz="4" w:space="0" w:color="auto"/>
              <w:left w:val="single" w:sz="4" w:space="0" w:color="auto"/>
              <w:bottom w:val="single" w:sz="4" w:space="0" w:color="auto"/>
              <w:right w:val="single" w:sz="4" w:space="0" w:color="auto"/>
            </w:tcBorders>
          </w:tcPr>
          <w:p w14:paraId="16573B2E"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Véase Nota </w:t>
            </w:r>
            <w:r w:rsidRPr="001868A7">
              <w:rPr>
                <w:sz w:val="18"/>
                <w:lang w:val="es-ES_tradnl"/>
              </w:rPr>
              <w:t>5</w:t>
            </w:r>
          </w:p>
        </w:tc>
        <w:tc>
          <w:tcPr>
            <w:tcW w:w="1361" w:type="dxa"/>
            <w:tcBorders>
              <w:top w:val="single" w:sz="4" w:space="0" w:color="auto"/>
              <w:left w:val="single" w:sz="4" w:space="0" w:color="auto"/>
              <w:bottom w:val="single" w:sz="4" w:space="0" w:color="auto"/>
              <w:right w:val="single" w:sz="4" w:space="0" w:color="auto"/>
            </w:tcBorders>
          </w:tcPr>
          <w:p w14:paraId="2B861114"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–157,4</w:t>
            </w:r>
            <w:r w:rsidRPr="001868A7">
              <w:rPr>
                <w:rFonts w:eastAsia="MS PGothic"/>
                <w:sz w:val="18"/>
                <w:lang w:val="es-ES_tradnl"/>
              </w:rPr>
              <w:br/>
              <w:t>(Nota 1)</w:t>
            </w:r>
          </w:p>
        </w:tc>
        <w:tc>
          <w:tcPr>
            <w:tcW w:w="1418" w:type="dxa"/>
            <w:gridSpan w:val="3"/>
            <w:tcBorders>
              <w:top w:val="single" w:sz="4" w:space="0" w:color="auto"/>
              <w:left w:val="single" w:sz="4" w:space="0" w:color="auto"/>
              <w:bottom w:val="single" w:sz="4" w:space="0" w:color="auto"/>
              <w:right w:val="single" w:sz="4" w:space="0" w:color="auto"/>
            </w:tcBorders>
          </w:tcPr>
          <w:p w14:paraId="5149FD0A"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155</w:t>
            </w:r>
            <w:r w:rsidRPr="001868A7">
              <w:rPr>
                <w:sz w:val="18"/>
                <w:lang w:val="es-ES_tradnl" w:eastAsia="ja-JP"/>
              </w:rPr>
              <w:br/>
            </w:r>
            <w:r w:rsidRPr="001868A7">
              <w:rPr>
                <w:rFonts w:eastAsia="MS PGothic"/>
                <w:sz w:val="18"/>
                <w:lang w:val="es-ES_tradnl"/>
              </w:rPr>
              <w:t>(Nota 1)</w:t>
            </w:r>
            <w:r w:rsidRPr="001868A7">
              <w:rPr>
                <w:sz w:val="18"/>
                <w:lang w:val="es-ES_tradnl" w:eastAsia="ja-JP"/>
              </w:rPr>
              <w:t xml:space="preserve"> (Nota </w:t>
            </w:r>
            <w:r w:rsidRPr="001868A7">
              <w:rPr>
                <w:sz w:val="18"/>
                <w:lang w:val="es-ES_tradnl"/>
              </w:rPr>
              <w:t>9</w:t>
            </w:r>
            <w:r w:rsidRPr="001868A7">
              <w:rPr>
                <w:sz w:val="18"/>
                <w:lang w:val="es-ES_tradnl" w:eastAsia="ja-JP"/>
              </w:rPr>
              <w:t>)</w:t>
            </w:r>
          </w:p>
        </w:tc>
        <w:tc>
          <w:tcPr>
            <w:tcW w:w="1508" w:type="dxa"/>
            <w:gridSpan w:val="4"/>
            <w:tcBorders>
              <w:top w:val="single" w:sz="4" w:space="0" w:color="auto"/>
              <w:left w:val="single" w:sz="4" w:space="0" w:color="auto"/>
              <w:bottom w:val="single" w:sz="4" w:space="0" w:color="auto"/>
              <w:right w:val="single" w:sz="4" w:space="0" w:color="auto"/>
            </w:tcBorders>
          </w:tcPr>
          <w:p w14:paraId="1E7D3B22"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199</w:t>
            </w:r>
            <w:r w:rsidRPr="001868A7">
              <w:rPr>
                <w:sz w:val="18"/>
                <w:lang w:val="es-ES_tradnl" w:eastAsia="ja-JP"/>
              </w:rPr>
              <w:br/>
              <w:t>(Nota 1)</w:t>
            </w:r>
          </w:p>
        </w:tc>
        <w:tc>
          <w:tcPr>
            <w:tcW w:w="1328" w:type="dxa"/>
            <w:tcBorders>
              <w:top w:val="single" w:sz="4" w:space="0" w:color="auto"/>
              <w:left w:val="single" w:sz="4" w:space="0" w:color="auto"/>
              <w:bottom w:val="single" w:sz="4" w:space="0" w:color="auto"/>
              <w:right w:val="single" w:sz="4" w:space="0" w:color="auto"/>
            </w:tcBorders>
          </w:tcPr>
          <w:p w14:paraId="45523A4E"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125</w:t>
            </w:r>
            <w:r w:rsidRPr="001868A7">
              <w:rPr>
                <w:sz w:val="18"/>
                <w:lang w:val="es-ES_tradnl" w:eastAsia="ja-JP"/>
              </w:rPr>
              <w:br/>
              <w:t xml:space="preserve">(Nota </w:t>
            </w:r>
            <w:r w:rsidRPr="001868A7">
              <w:rPr>
                <w:sz w:val="18"/>
                <w:lang w:val="es-ES_tradnl"/>
              </w:rPr>
              <w:t>2</w:t>
            </w:r>
            <w:r w:rsidRPr="001868A7">
              <w:rPr>
                <w:sz w:val="18"/>
                <w:lang w:val="es-ES_tradnl" w:eastAsia="ja-JP"/>
              </w:rPr>
              <w:t>)</w:t>
            </w:r>
          </w:p>
        </w:tc>
        <w:tc>
          <w:tcPr>
            <w:tcW w:w="1419" w:type="dxa"/>
            <w:gridSpan w:val="4"/>
            <w:tcBorders>
              <w:top w:val="single" w:sz="4" w:space="0" w:color="auto"/>
              <w:left w:val="single" w:sz="4" w:space="0" w:color="auto"/>
              <w:bottom w:val="single" w:sz="4" w:space="0" w:color="auto"/>
              <w:right w:val="single" w:sz="4" w:space="0" w:color="auto"/>
            </w:tcBorders>
          </w:tcPr>
          <w:p w14:paraId="7E938997"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164</w:t>
            </w:r>
            <w:r w:rsidRPr="001868A7">
              <w:rPr>
                <w:sz w:val="18"/>
                <w:lang w:val="es-ES_tradnl" w:eastAsia="ja-JP"/>
              </w:rPr>
              <w:br/>
              <w:t>(Nota 1)</w:t>
            </w:r>
          </w:p>
        </w:tc>
      </w:tr>
      <w:tr w:rsidR="002B7933" w:rsidRPr="001868A7" w14:paraId="4C360F1B"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4463D079"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Nivel de densidad de potencia umbral en modo seguimiento de la interferencia combinada de banda amplia a la salida de la antena pasiva (dB(W/MHz))</w:t>
            </w:r>
          </w:p>
        </w:tc>
        <w:tc>
          <w:tcPr>
            <w:tcW w:w="1417" w:type="dxa"/>
            <w:tcBorders>
              <w:top w:val="single" w:sz="4" w:space="0" w:color="auto"/>
              <w:left w:val="single" w:sz="4" w:space="0" w:color="auto"/>
              <w:bottom w:val="single" w:sz="4" w:space="0" w:color="auto"/>
              <w:right w:val="single" w:sz="4" w:space="0" w:color="auto"/>
            </w:tcBorders>
          </w:tcPr>
          <w:p w14:paraId="44417E02"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–147,5 (P(Y))</w:t>
            </w:r>
            <w:r w:rsidRPr="001868A7">
              <w:rPr>
                <w:rFonts w:eastAsia="MS PGothic"/>
                <w:sz w:val="18"/>
                <w:lang w:val="es-ES_tradnl"/>
              </w:rPr>
              <w:br/>
              <w:t>(Nota 1)</w:t>
            </w:r>
          </w:p>
        </w:tc>
        <w:tc>
          <w:tcPr>
            <w:tcW w:w="1418" w:type="dxa"/>
            <w:tcBorders>
              <w:top w:val="single" w:sz="4" w:space="0" w:color="auto"/>
              <w:left w:val="single" w:sz="4" w:space="0" w:color="auto"/>
              <w:bottom w:val="single" w:sz="4" w:space="0" w:color="auto"/>
              <w:right w:val="single" w:sz="4" w:space="0" w:color="auto"/>
            </w:tcBorders>
          </w:tcPr>
          <w:p w14:paraId="1F8BFA94"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–147,4 (P(Y))</w:t>
            </w:r>
            <w:r w:rsidRPr="001868A7">
              <w:rPr>
                <w:rFonts w:eastAsia="MS PGothic"/>
                <w:sz w:val="18"/>
                <w:lang w:val="es-ES_tradnl"/>
              </w:rPr>
              <w:br/>
              <w:t>(Nota 1)</w:t>
            </w:r>
          </w:p>
        </w:tc>
        <w:tc>
          <w:tcPr>
            <w:tcW w:w="1361" w:type="dxa"/>
            <w:tcBorders>
              <w:top w:val="single" w:sz="4" w:space="0" w:color="auto"/>
              <w:left w:val="single" w:sz="4" w:space="0" w:color="auto"/>
              <w:bottom w:val="single" w:sz="4" w:space="0" w:color="auto"/>
              <w:right w:val="single" w:sz="4" w:space="0" w:color="auto"/>
            </w:tcBorders>
          </w:tcPr>
          <w:p w14:paraId="5818D02A"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–147,4</w:t>
            </w:r>
            <w:r w:rsidRPr="001868A7">
              <w:rPr>
                <w:rFonts w:eastAsia="MS PGothic"/>
                <w:sz w:val="18"/>
                <w:lang w:val="es-ES_tradnl"/>
              </w:rPr>
              <w:br/>
              <w:t>(Nota 1)</w:t>
            </w:r>
          </w:p>
        </w:tc>
        <w:tc>
          <w:tcPr>
            <w:tcW w:w="1418" w:type="dxa"/>
            <w:gridSpan w:val="3"/>
            <w:tcBorders>
              <w:top w:val="single" w:sz="4" w:space="0" w:color="auto"/>
              <w:left w:val="single" w:sz="4" w:space="0" w:color="auto"/>
              <w:bottom w:val="single" w:sz="4" w:space="0" w:color="auto"/>
              <w:right w:val="single" w:sz="4" w:space="0" w:color="auto"/>
            </w:tcBorders>
          </w:tcPr>
          <w:p w14:paraId="4AF6B146"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140</w:t>
            </w:r>
            <w:r w:rsidRPr="001868A7">
              <w:rPr>
                <w:sz w:val="18"/>
                <w:lang w:val="es-ES_tradnl" w:eastAsia="ja-JP"/>
              </w:rPr>
              <w:br/>
            </w:r>
            <w:r w:rsidRPr="001868A7">
              <w:rPr>
                <w:rFonts w:eastAsia="MS PGothic"/>
                <w:sz w:val="18"/>
                <w:lang w:val="es-ES_tradnl"/>
              </w:rPr>
              <w:t>(Nota 1)</w:t>
            </w:r>
            <w:r w:rsidRPr="001868A7">
              <w:rPr>
                <w:sz w:val="18"/>
                <w:lang w:val="es-ES_tradnl" w:eastAsia="ja-JP"/>
              </w:rPr>
              <w:t xml:space="preserve"> (Nota </w:t>
            </w:r>
            <w:r w:rsidRPr="001868A7">
              <w:rPr>
                <w:sz w:val="18"/>
                <w:lang w:val="es-ES_tradnl"/>
              </w:rPr>
              <w:t>9</w:t>
            </w:r>
            <w:r w:rsidRPr="001868A7">
              <w:rPr>
                <w:sz w:val="18"/>
                <w:lang w:val="es-ES_tradnl" w:eastAsia="ja-JP"/>
              </w:rPr>
              <w:t>)</w:t>
            </w:r>
          </w:p>
        </w:tc>
        <w:tc>
          <w:tcPr>
            <w:tcW w:w="1508" w:type="dxa"/>
            <w:gridSpan w:val="4"/>
            <w:tcBorders>
              <w:top w:val="single" w:sz="4" w:space="0" w:color="auto"/>
              <w:left w:val="single" w:sz="4" w:space="0" w:color="auto"/>
              <w:bottom w:val="single" w:sz="4" w:space="0" w:color="auto"/>
              <w:right w:val="single" w:sz="4" w:space="0" w:color="auto"/>
            </w:tcBorders>
          </w:tcPr>
          <w:p w14:paraId="74FBB859"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w:t>
            </w:r>
            <w:r w:rsidRPr="001868A7">
              <w:rPr>
                <w:sz w:val="18"/>
                <w:lang w:val="es-ES_tradnl" w:eastAsia="ja-JP"/>
              </w:rPr>
              <w:t>150</w:t>
            </w:r>
            <w:r w:rsidRPr="001868A7">
              <w:rPr>
                <w:sz w:val="18"/>
                <w:lang w:val="es-ES_tradnl" w:eastAsia="ja-JP"/>
              </w:rPr>
              <w:br/>
              <w:t>(Nota 1)</w:t>
            </w:r>
          </w:p>
        </w:tc>
        <w:tc>
          <w:tcPr>
            <w:tcW w:w="1328" w:type="dxa"/>
            <w:tcBorders>
              <w:top w:val="single" w:sz="4" w:space="0" w:color="auto"/>
              <w:left w:val="single" w:sz="4" w:space="0" w:color="auto"/>
              <w:bottom w:val="single" w:sz="4" w:space="0" w:color="auto"/>
              <w:right w:val="single" w:sz="4" w:space="0" w:color="auto"/>
            </w:tcBorders>
          </w:tcPr>
          <w:p w14:paraId="77DC1A13" w14:textId="77777777" w:rsidR="002B7933" w:rsidRPr="001868A7" w:rsidRDefault="002B7933" w:rsidP="003644DD">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121</w:t>
            </w:r>
            <w:r w:rsidRPr="001868A7">
              <w:rPr>
                <w:sz w:val="18"/>
                <w:lang w:val="es-ES_tradnl" w:eastAsia="ja-JP"/>
              </w:rPr>
              <w:br/>
              <w:t xml:space="preserve">(Nota </w:t>
            </w:r>
            <w:r w:rsidRPr="001868A7">
              <w:rPr>
                <w:sz w:val="18"/>
                <w:lang w:val="es-ES_tradnl"/>
              </w:rPr>
              <w:t>2</w:t>
            </w:r>
            <w:r w:rsidRPr="001868A7">
              <w:rPr>
                <w:sz w:val="18"/>
                <w:lang w:val="es-ES_tradnl" w:eastAsia="ja-JP"/>
              </w:rPr>
              <w:t>)</w:t>
            </w:r>
          </w:p>
        </w:tc>
        <w:tc>
          <w:tcPr>
            <w:tcW w:w="1419" w:type="dxa"/>
            <w:gridSpan w:val="4"/>
            <w:tcBorders>
              <w:top w:val="single" w:sz="4" w:space="0" w:color="auto"/>
              <w:left w:val="single" w:sz="4" w:space="0" w:color="auto"/>
              <w:bottom w:val="single" w:sz="4" w:space="0" w:color="auto"/>
              <w:right w:val="single" w:sz="4" w:space="0" w:color="auto"/>
            </w:tcBorders>
          </w:tcPr>
          <w:p w14:paraId="51E152E5"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w:t>
            </w:r>
            <w:r w:rsidRPr="001868A7">
              <w:rPr>
                <w:sz w:val="18"/>
                <w:lang w:val="es-ES_tradnl" w:eastAsia="ja-JP"/>
              </w:rPr>
              <w:t>139</w:t>
            </w:r>
            <w:r w:rsidRPr="001868A7">
              <w:rPr>
                <w:sz w:val="18"/>
                <w:lang w:val="es-ES_tradnl" w:eastAsia="ja-JP"/>
              </w:rPr>
              <w:br/>
              <w:t>(Nota 1)</w:t>
            </w:r>
          </w:p>
        </w:tc>
      </w:tr>
    </w:tbl>
    <w:p w14:paraId="3EB6E3C6" w14:textId="01EE0A6F" w:rsidR="002B7933" w:rsidRPr="001868A7" w:rsidRDefault="002B7933" w:rsidP="002B7933">
      <w:pPr>
        <w:pStyle w:val="TableNo"/>
        <w:rPr>
          <w:lang w:val="es-ES_tradnl"/>
        </w:rPr>
      </w:pPr>
      <w:r w:rsidRPr="001868A7">
        <w:rPr>
          <w:lang w:val="es-ES_tradnl"/>
        </w:rPr>
        <w:lastRenderedPageBreak/>
        <w:t>CUADRO 1 (</w:t>
      </w:r>
      <w:r w:rsidR="00881739">
        <w:rPr>
          <w:i/>
          <w:iCs/>
          <w:lang w:val="es-ES_tradnl"/>
        </w:rPr>
        <w:t>f</w:t>
      </w:r>
      <w:r w:rsidRPr="001868A7">
        <w:rPr>
          <w:i/>
          <w:iCs/>
          <w:lang w:val="es-ES_tradnl"/>
        </w:rPr>
        <w:t>in</w:t>
      </w:r>
      <w:r w:rsidRPr="001868A7">
        <w:rPr>
          <w:lang w:val="es-ES_tradnl"/>
        </w:rPr>
        <w:t>)</w:t>
      </w:r>
    </w:p>
    <w:tbl>
      <w:tblPr>
        <w:tblW w:w="14464" w:type="dxa"/>
        <w:jc w:val="center"/>
        <w:tblLayout w:type="fixed"/>
        <w:tblLook w:val="0000" w:firstRow="0" w:lastRow="0" w:firstColumn="0" w:lastColumn="0" w:noHBand="0" w:noVBand="0"/>
      </w:tblPr>
      <w:tblGrid>
        <w:gridCol w:w="4593"/>
        <w:gridCol w:w="1418"/>
        <w:gridCol w:w="1418"/>
        <w:gridCol w:w="1361"/>
        <w:gridCol w:w="1418"/>
        <w:gridCol w:w="1509"/>
        <w:gridCol w:w="1328"/>
        <w:gridCol w:w="1419"/>
      </w:tblGrid>
      <w:tr w:rsidR="002B7933" w:rsidRPr="001868A7" w14:paraId="634FDD41" w14:textId="77777777" w:rsidTr="00881739">
        <w:trPr>
          <w:jc w:val="center"/>
        </w:trPr>
        <w:tc>
          <w:tcPr>
            <w:tcW w:w="4590" w:type="dxa"/>
            <w:tcBorders>
              <w:top w:val="single" w:sz="4" w:space="0" w:color="auto"/>
              <w:left w:val="single" w:sz="4" w:space="0" w:color="auto"/>
              <w:bottom w:val="single" w:sz="4" w:space="0" w:color="auto"/>
              <w:right w:val="single" w:sz="4" w:space="0" w:color="auto"/>
            </w:tcBorders>
            <w:vAlign w:val="center"/>
          </w:tcPr>
          <w:p w14:paraId="424128E2" w14:textId="77777777" w:rsidR="002B7933" w:rsidRPr="001868A7" w:rsidRDefault="002B7933" w:rsidP="003644DD">
            <w:pPr>
              <w:pStyle w:val="Tablehead"/>
              <w:spacing w:before="60" w:after="60"/>
              <w:rPr>
                <w:rFonts w:eastAsia="MS PGothic"/>
                <w:sz w:val="18"/>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14:paraId="58CA3CF1"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90D765"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2</w:t>
            </w:r>
          </w:p>
        </w:tc>
        <w:tc>
          <w:tcPr>
            <w:tcW w:w="1361" w:type="dxa"/>
            <w:tcBorders>
              <w:top w:val="single" w:sz="4" w:space="0" w:color="auto"/>
              <w:left w:val="single" w:sz="4" w:space="0" w:color="auto"/>
              <w:bottom w:val="single" w:sz="4" w:space="0" w:color="auto"/>
              <w:right w:val="single" w:sz="4" w:space="0" w:color="auto"/>
            </w:tcBorders>
            <w:vAlign w:val="center"/>
          </w:tcPr>
          <w:p w14:paraId="0CA42279"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3</w:t>
            </w:r>
          </w:p>
        </w:tc>
        <w:tc>
          <w:tcPr>
            <w:tcW w:w="1418" w:type="dxa"/>
            <w:tcBorders>
              <w:top w:val="single" w:sz="4" w:space="0" w:color="auto"/>
              <w:left w:val="single" w:sz="4" w:space="0" w:color="auto"/>
              <w:bottom w:val="single" w:sz="4" w:space="0" w:color="auto"/>
              <w:right w:val="single" w:sz="4" w:space="0" w:color="auto"/>
            </w:tcBorders>
            <w:vAlign w:val="center"/>
          </w:tcPr>
          <w:p w14:paraId="0FCB3B33"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4</w:t>
            </w:r>
          </w:p>
        </w:tc>
        <w:tc>
          <w:tcPr>
            <w:tcW w:w="1508" w:type="dxa"/>
            <w:tcBorders>
              <w:top w:val="single" w:sz="4" w:space="0" w:color="auto"/>
              <w:left w:val="single" w:sz="4" w:space="0" w:color="auto"/>
              <w:bottom w:val="single" w:sz="4" w:space="0" w:color="auto"/>
              <w:right w:val="single" w:sz="4" w:space="0" w:color="auto"/>
            </w:tcBorders>
            <w:vAlign w:val="center"/>
          </w:tcPr>
          <w:p w14:paraId="02AAD2B2"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5</w:t>
            </w:r>
          </w:p>
        </w:tc>
        <w:tc>
          <w:tcPr>
            <w:tcW w:w="1328" w:type="dxa"/>
            <w:tcBorders>
              <w:top w:val="single" w:sz="4" w:space="0" w:color="auto"/>
              <w:left w:val="single" w:sz="4" w:space="0" w:color="auto"/>
              <w:bottom w:val="single" w:sz="4" w:space="0" w:color="auto"/>
              <w:right w:val="single" w:sz="4" w:space="0" w:color="auto"/>
            </w:tcBorders>
            <w:vAlign w:val="center"/>
          </w:tcPr>
          <w:p w14:paraId="6E61AEDC" w14:textId="77777777" w:rsidR="002B7933" w:rsidRPr="001868A7" w:rsidRDefault="002B7933" w:rsidP="003644DD">
            <w:pPr>
              <w:pStyle w:val="Tablehead"/>
              <w:spacing w:before="60" w:after="60"/>
              <w:rPr>
                <w:sz w:val="18"/>
                <w:lang w:val="es-ES_tradnl"/>
              </w:rPr>
            </w:pPr>
            <w:r w:rsidRPr="001868A7">
              <w:rPr>
                <w:sz w:val="18"/>
                <w:lang w:val="es-ES_tradnl"/>
              </w:rPr>
              <w:t>6</w:t>
            </w:r>
          </w:p>
        </w:tc>
        <w:tc>
          <w:tcPr>
            <w:tcW w:w="1419" w:type="dxa"/>
            <w:tcBorders>
              <w:top w:val="single" w:sz="4" w:space="0" w:color="auto"/>
              <w:left w:val="single" w:sz="4" w:space="0" w:color="auto"/>
              <w:bottom w:val="single" w:sz="4" w:space="0" w:color="auto"/>
              <w:right w:val="single" w:sz="4" w:space="0" w:color="auto"/>
            </w:tcBorders>
            <w:vAlign w:val="center"/>
          </w:tcPr>
          <w:p w14:paraId="347E109B"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7</w:t>
            </w:r>
          </w:p>
        </w:tc>
      </w:tr>
      <w:tr w:rsidR="002B7933" w:rsidRPr="001868A7" w14:paraId="18BBCF7F" w14:textId="77777777" w:rsidTr="00881739">
        <w:trPr>
          <w:jc w:val="center"/>
        </w:trPr>
        <w:tc>
          <w:tcPr>
            <w:tcW w:w="4590" w:type="dxa"/>
            <w:tcBorders>
              <w:top w:val="single" w:sz="4" w:space="0" w:color="auto"/>
              <w:left w:val="single" w:sz="4" w:space="0" w:color="auto"/>
              <w:bottom w:val="single" w:sz="4" w:space="0" w:color="auto"/>
              <w:right w:val="single" w:sz="4" w:space="0" w:color="auto"/>
            </w:tcBorders>
            <w:vAlign w:val="center"/>
          </w:tcPr>
          <w:p w14:paraId="09E7E361"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Parámetro</w:t>
            </w:r>
          </w:p>
        </w:tc>
        <w:tc>
          <w:tcPr>
            <w:tcW w:w="1417" w:type="dxa"/>
            <w:tcBorders>
              <w:top w:val="single" w:sz="4" w:space="0" w:color="auto"/>
              <w:left w:val="single" w:sz="4" w:space="0" w:color="auto"/>
              <w:bottom w:val="single" w:sz="4" w:space="0" w:color="auto"/>
              <w:right w:val="single" w:sz="4" w:space="0" w:color="auto"/>
            </w:tcBorders>
            <w:vAlign w:val="center"/>
          </w:tcPr>
          <w:p w14:paraId="200AAEC5"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de referencia en tierra SBAS*</w:t>
            </w:r>
          </w:p>
        </w:tc>
        <w:tc>
          <w:tcPr>
            <w:tcW w:w="1418" w:type="dxa"/>
            <w:tcBorders>
              <w:top w:val="single" w:sz="4" w:space="0" w:color="auto"/>
              <w:left w:val="single" w:sz="4" w:space="0" w:color="auto"/>
              <w:bottom w:val="single" w:sz="4" w:space="0" w:color="auto"/>
              <w:right w:val="single" w:sz="4" w:space="0" w:color="auto"/>
            </w:tcBorders>
            <w:vAlign w:val="center"/>
          </w:tcPr>
          <w:p w14:paraId="54DF8DB0"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con codificación parcial de alta precisión*</w:t>
            </w:r>
          </w:p>
        </w:tc>
        <w:tc>
          <w:tcPr>
            <w:tcW w:w="1361" w:type="dxa"/>
            <w:tcBorders>
              <w:top w:val="single" w:sz="4" w:space="0" w:color="auto"/>
              <w:left w:val="single" w:sz="4" w:space="0" w:color="auto"/>
              <w:bottom w:val="single" w:sz="4" w:space="0" w:color="auto"/>
              <w:right w:val="single" w:sz="4" w:space="0" w:color="auto"/>
            </w:tcBorders>
            <w:vAlign w:val="center"/>
          </w:tcPr>
          <w:p w14:paraId="1F4B75C7"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de alta precisión que utiliza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F208CB"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Receptor de navegación aérea</w:t>
            </w:r>
            <w:r w:rsidRPr="001868A7">
              <w:rPr>
                <w:rFonts w:eastAsia="MS PGothic"/>
                <w:sz w:val="18"/>
                <w:lang w:val="es-ES_tradnl"/>
              </w:rPr>
              <w:br/>
              <w:t xml:space="preserve">(Nota </w:t>
            </w:r>
            <w:r w:rsidRPr="001868A7">
              <w:rPr>
                <w:sz w:val="18"/>
                <w:lang w:val="es-ES_tradnl"/>
              </w:rPr>
              <w:t>10</w:t>
            </w:r>
            <w:r w:rsidRPr="001868A7">
              <w:rPr>
                <w:rFonts w:eastAsia="MS PGothic"/>
                <w:sz w:val="18"/>
                <w:lang w:val="es-ES_tradnl"/>
              </w:rPr>
              <w:t>)</w:t>
            </w:r>
          </w:p>
        </w:tc>
        <w:tc>
          <w:tcPr>
            <w:tcW w:w="1508" w:type="dxa"/>
            <w:tcBorders>
              <w:top w:val="single" w:sz="4" w:space="0" w:color="auto"/>
              <w:left w:val="single" w:sz="4" w:space="0" w:color="auto"/>
              <w:bottom w:val="single" w:sz="4" w:space="0" w:color="auto"/>
              <w:right w:val="single" w:sz="4" w:space="0" w:color="auto"/>
            </w:tcBorders>
            <w:vAlign w:val="center"/>
          </w:tcPr>
          <w:p w14:paraId="5C4821BF"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Posicionamiento en interiores</w:t>
            </w:r>
          </w:p>
        </w:tc>
        <w:tc>
          <w:tcPr>
            <w:tcW w:w="1328" w:type="dxa"/>
            <w:tcBorders>
              <w:top w:val="single" w:sz="4" w:space="0" w:color="auto"/>
              <w:left w:val="single" w:sz="4" w:space="0" w:color="auto"/>
              <w:bottom w:val="single" w:sz="4" w:space="0" w:color="auto"/>
              <w:right w:val="single" w:sz="4" w:space="0" w:color="auto"/>
            </w:tcBorders>
            <w:vAlign w:val="center"/>
          </w:tcPr>
          <w:p w14:paraId="56437999" w14:textId="77777777" w:rsidR="002B7933" w:rsidRPr="001868A7" w:rsidRDefault="002B7933" w:rsidP="003644DD">
            <w:pPr>
              <w:pStyle w:val="Tablehead"/>
              <w:spacing w:before="60" w:after="60"/>
              <w:rPr>
                <w:rFonts w:eastAsia="MS PGothic"/>
                <w:sz w:val="18"/>
                <w:lang w:val="es-ES_tradnl"/>
              </w:rPr>
            </w:pPr>
            <w:r w:rsidRPr="001868A7">
              <w:rPr>
                <w:sz w:val="18"/>
                <w:lang w:val="es-ES_tradnl"/>
              </w:rPr>
              <w:t>Otras</w:t>
            </w:r>
          </w:p>
        </w:tc>
        <w:tc>
          <w:tcPr>
            <w:tcW w:w="1419" w:type="dxa"/>
            <w:tcBorders>
              <w:top w:val="single" w:sz="4" w:space="0" w:color="auto"/>
              <w:left w:val="single" w:sz="4" w:space="0" w:color="auto"/>
              <w:bottom w:val="single" w:sz="4" w:space="0" w:color="auto"/>
              <w:right w:val="single" w:sz="4" w:space="0" w:color="auto"/>
            </w:tcBorders>
            <w:vAlign w:val="center"/>
          </w:tcPr>
          <w:p w14:paraId="759CBAEB" w14:textId="77777777" w:rsidR="002B7933" w:rsidRPr="001868A7" w:rsidRDefault="002B7933" w:rsidP="003644DD">
            <w:pPr>
              <w:pStyle w:val="Tablehead"/>
              <w:spacing w:before="60" w:after="60"/>
              <w:rPr>
                <w:rFonts w:eastAsia="MS PGothic"/>
                <w:sz w:val="18"/>
                <w:lang w:val="es-ES_tradnl"/>
              </w:rPr>
            </w:pPr>
            <w:r w:rsidRPr="001868A7">
              <w:rPr>
                <w:rFonts w:eastAsia="MS PGothic"/>
                <w:sz w:val="18"/>
                <w:lang w:val="es-ES_tradnl"/>
              </w:rPr>
              <w:t>Polivalente</w:t>
            </w:r>
          </w:p>
        </w:tc>
      </w:tr>
      <w:tr w:rsidR="00881739" w:rsidRPr="001868A7" w14:paraId="39BB9CEF" w14:textId="77777777" w:rsidTr="00881739">
        <w:trPr>
          <w:cantSplit/>
          <w:jc w:val="center"/>
        </w:trPr>
        <w:tc>
          <w:tcPr>
            <w:tcW w:w="4590" w:type="dxa"/>
            <w:tcBorders>
              <w:top w:val="single" w:sz="4" w:space="0" w:color="auto"/>
              <w:left w:val="single" w:sz="4" w:space="0" w:color="auto"/>
              <w:bottom w:val="single" w:sz="4" w:space="0" w:color="auto"/>
              <w:right w:val="single" w:sz="4" w:space="0" w:color="auto"/>
            </w:tcBorders>
          </w:tcPr>
          <w:p w14:paraId="334B0ACB" w14:textId="77777777" w:rsidR="00881739" w:rsidRPr="001868A7" w:rsidRDefault="00881739" w:rsidP="008E23D2">
            <w:pPr>
              <w:pStyle w:val="Tabletext"/>
              <w:jc w:val="left"/>
              <w:rPr>
                <w:sz w:val="18"/>
                <w:lang w:val="es-ES_tradnl"/>
              </w:rPr>
            </w:pPr>
            <w:r w:rsidRPr="001868A7">
              <w:rPr>
                <w:rFonts w:eastAsia="MS PGothic"/>
                <w:sz w:val="18"/>
                <w:lang w:val="es-ES_tradnl"/>
              </w:rPr>
              <w:t xml:space="preserve">Nivel de densidad de potencia umbral en modo adquisición de la interferencia combinada de banda amplia a la salida de la antena pasiva (dB(W/MHz)) </w:t>
            </w:r>
          </w:p>
        </w:tc>
        <w:tc>
          <w:tcPr>
            <w:tcW w:w="1417" w:type="dxa"/>
            <w:tcBorders>
              <w:top w:val="single" w:sz="4" w:space="0" w:color="auto"/>
              <w:left w:val="single" w:sz="4" w:space="0" w:color="auto"/>
              <w:bottom w:val="single" w:sz="4" w:space="0" w:color="auto"/>
              <w:right w:val="single" w:sz="4" w:space="0" w:color="auto"/>
            </w:tcBorders>
          </w:tcPr>
          <w:p w14:paraId="60E9D7D9" w14:textId="77777777" w:rsidR="00881739" w:rsidRPr="001868A7" w:rsidRDefault="00881739" w:rsidP="008E23D2">
            <w:pPr>
              <w:pStyle w:val="Tabletext"/>
              <w:jc w:val="center"/>
              <w:rPr>
                <w:rFonts w:eastAsia="MS PGothic"/>
                <w:sz w:val="18"/>
                <w:lang w:val="es-ES_tradnl"/>
              </w:rPr>
            </w:pPr>
            <w:r w:rsidRPr="001868A7">
              <w:rPr>
                <w:rFonts w:eastAsia="MS PGothic"/>
                <w:sz w:val="18"/>
                <w:lang w:val="es-ES_tradnl"/>
              </w:rPr>
              <w:t>Véase Nota </w:t>
            </w:r>
            <w:r w:rsidRPr="001868A7">
              <w:rPr>
                <w:sz w:val="18"/>
                <w:lang w:val="es-ES_tradnl"/>
              </w:rPr>
              <w:t>4</w:t>
            </w:r>
          </w:p>
        </w:tc>
        <w:tc>
          <w:tcPr>
            <w:tcW w:w="1418" w:type="dxa"/>
            <w:tcBorders>
              <w:top w:val="single" w:sz="4" w:space="0" w:color="auto"/>
              <w:left w:val="single" w:sz="4" w:space="0" w:color="auto"/>
              <w:bottom w:val="single" w:sz="4" w:space="0" w:color="auto"/>
              <w:right w:val="single" w:sz="4" w:space="0" w:color="auto"/>
            </w:tcBorders>
          </w:tcPr>
          <w:p w14:paraId="060A9254" w14:textId="77777777" w:rsidR="00881739" w:rsidRPr="001868A7" w:rsidRDefault="00881739" w:rsidP="008E23D2">
            <w:pPr>
              <w:pStyle w:val="Tabletext"/>
              <w:jc w:val="center"/>
              <w:rPr>
                <w:rFonts w:eastAsia="MS PGothic"/>
                <w:sz w:val="18"/>
                <w:lang w:val="es-ES_tradnl"/>
              </w:rPr>
            </w:pPr>
            <w:r w:rsidRPr="001868A7">
              <w:rPr>
                <w:rFonts w:eastAsia="MS PGothic"/>
                <w:sz w:val="18"/>
                <w:lang w:val="es-ES_tradnl"/>
              </w:rPr>
              <w:t>Véase Nota </w:t>
            </w:r>
            <w:r w:rsidRPr="001868A7">
              <w:rPr>
                <w:sz w:val="18"/>
                <w:lang w:val="es-ES_tradnl"/>
              </w:rPr>
              <w:t>5</w:t>
            </w:r>
          </w:p>
        </w:tc>
        <w:tc>
          <w:tcPr>
            <w:tcW w:w="1361" w:type="dxa"/>
            <w:tcBorders>
              <w:top w:val="single" w:sz="4" w:space="0" w:color="auto"/>
              <w:left w:val="single" w:sz="4" w:space="0" w:color="auto"/>
              <w:bottom w:val="single" w:sz="4" w:space="0" w:color="auto"/>
              <w:right w:val="single" w:sz="4" w:space="0" w:color="auto"/>
            </w:tcBorders>
          </w:tcPr>
          <w:p w14:paraId="5E9C429B" w14:textId="77777777" w:rsidR="00881739" w:rsidRPr="001868A7" w:rsidRDefault="00881739" w:rsidP="008E23D2">
            <w:pPr>
              <w:pStyle w:val="Tabletext"/>
              <w:jc w:val="center"/>
              <w:rPr>
                <w:rFonts w:eastAsia="MS PGothic"/>
                <w:sz w:val="18"/>
                <w:lang w:val="es-ES_tradnl"/>
              </w:rPr>
            </w:pPr>
            <w:r w:rsidRPr="001868A7">
              <w:rPr>
                <w:rFonts w:eastAsia="MS PGothic"/>
                <w:sz w:val="18"/>
                <w:lang w:val="es-ES_tradnl"/>
              </w:rPr>
              <w:t>–147,4</w:t>
            </w:r>
            <w:r w:rsidRPr="001868A7">
              <w:rPr>
                <w:rFonts w:eastAsia="MS PGothic"/>
                <w:sz w:val="18"/>
                <w:lang w:val="es-ES_tradnl"/>
              </w:rPr>
              <w:br/>
              <w:t>(Nota 1)</w:t>
            </w:r>
          </w:p>
        </w:tc>
        <w:tc>
          <w:tcPr>
            <w:tcW w:w="1418" w:type="dxa"/>
            <w:tcBorders>
              <w:top w:val="single" w:sz="4" w:space="0" w:color="auto"/>
              <w:left w:val="single" w:sz="4" w:space="0" w:color="auto"/>
              <w:bottom w:val="single" w:sz="4" w:space="0" w:color="auto"/>
              <w:right w:val="single" w:sz="4" w:space="0" w:color="auto"/>
            </w:tcBorders>
          </w:tcPr>
          <w:p w14:paraId="2BB426F3" w14:textId="77777777" w:rsidR="00881739" w:rsidRPr="001868A7" w:rsidRDefault="00881739" w:rsidP="008E23D2">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146</w:t>
            </w:r>
            <w:r w:rsidRPr="001868A7">
              <w:rPr>
                <w:sz w:val="18"/>
                <w:lang w:val="es-ES_tradnl" w:eastAsia="ja-JP"/>
              </w:rPr>
              <w:br/>
            </w:r>
            <w:r w:rsidRPr="001868A7">
              <w:rPr>
                <w:rFonts w:eastAsia="MS PGothic"/>
                <w:sz w:val="18"/>
                <w:lang w:val="es-ES_tradnl"/>
              </w:rPr>
              <w:t>(Nota 1)</w:t>
            </w:r>
            <w:r w:rsidRPr="001868A7">
              <w:rPr>
                <w:sz w:val="18"/>
                <w:lang w:val="es-ES_tradnl" w:eastAsia="ja-JP"/>
              </w:rPr>
              <w:t xml:space="preserve"> (Nota </w:t>
            </w:r>
            <w:r w:rsidRPr="001868A7">
              <w:rPr>
                <w:sz w:val="18"/>
                <w:lang w:val="es-ES_tradnl"/>
              </w:rPr>
              <w:t>9</w:t>
            </w:r>
            <w:r w:rsidRPr="001868A7">
              <w:rPr>
                <w:sz w:val="18"/>
                <w:lang w:val="es-ES_tradnl" w:eastAsia="ja-JP"/>
              </w:rPr>
              <w:t>)</w:t>
            </w:r>
          </w:p>
        </w:tc>
        <w:tc>
          <w:tcPr>
            <w:tcW w:w="1508" w:type="dxa"/>
            <w:tcBorders>
              <w:top w:val="single" w:sz="4" w:space="0" w:color="auto"/>
              <w:left w:val="single" w:sz="4" w:space="0" w:color="auto"/>
              <w:bottom w:val="single" w:sz="4" w:space="0" w:color="auto"/>
              <w:right w:val="single" w:sz="4" w:space="0" w:color="auto"/>
            </w:tcBorders>
          </w:tcPr>
          <w:p w14:paraId="39470EAC" w14:textId="77777777" w:rsidR="00881739" w:rsidRPr="001868A7" w:rsidRDefault="00881739" w:rsidP="008E23D2">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156</w:t>
            </w:r>
            <w:r w:rsidRPr="001868A7">
              <w:rPr>
                <w:sz w:val="18"/>
                <w:lang w:val="es-ES_tradnl" w:eastAsia="ja-JP"/>
              </w:rPr>
              <w:br/>
              <w:t>(Nota 1)</w:t>
            </w:r>
          </w:p>
        </w:tc>
        <w:tc>
          <w:tcPr>
            <w:tcW w:w="1328" w:type="dxa"/>
            <w:tcBorders>
              <w:top w:val="single" w:sz="4" w:space="0" w:color="auto"/>
              <w:left w:val="single" w:sz="4" w:space="0" w:color="auto"/>
              <w:bottom w:val="single" w:sz="4" w:space="0" w:color="auto"/>
              <w:right w:val="single" w:sz="4" w:space="0" w:color="auto"/>
            </w:tcBorders>
          </w:tcPr>
          <w:p w14:paraId="760AA084" w14:textId="77777777" w:rsidR="00881739" w:rsidRPr="001868A7" w:rsidRDefault="00881739" w:rsidP="008E23D2">
            <w:pPr>
              <w:pStyle w:val="Tabletext"/>
              <w:jc w:val="center"/>
              <w:rPr>
                <w:sz w:val="18"/>
                <w:lang w:val="es-ES_tradnl" w:eastAsia="ja-JP"/>
              </w:rPr>
            </w:pPr>
            <w:r w:rsidRPr="001868A7">
              <w:rPr>
                <w:rFonts w:eastAsia="MS PGothic"/>
                <w:sz w:val="18"/>
                <w:lang w:val="es-ES_tradnl"/>
              </w:rPr>
              <w:t>–</w:t>
            </w:r>
            <w:r w:rsidRPr="001868A7">
              <w:rPr>
                <w:sz w:val="18"/>
                <w:lang w:val="es-ES_tradnl" w:eastAsia="ja-JP"/>
              </w:rPr>
              <w:t>127</w:t>
            </w:r>
            <w:r w:rsidRPr="001868A7">
              <w:rPr>
                <w:sz w:val="18"/>
                <w:lang w:val="es-ES_tradnl" w:eastAsia="ja-JP"/>
              </w:rPr>
              <w:br/>
              <w:t xml:space="preserve">(Nota </w:t>
            </w:r>
            <w:r w:rsidRPr="001868A7">
              <w:rPr>
                <w:sz w:val="18"/>
                <w:lang w:val="es-ES_tradnl"/>
              </w:rPr>
              <w:t>2</w:t>
            </w:r>
            <w:r w:rsidRPr="001868A7">
              <w:rPr>
                <w:sz w:val="18"/>
                <w:lang w:val="es-ES_tradnl" w:eastAsia="ja-JP"/>
              </w:rPr>
              <w:t>)</w:t>
            </w:r>
          </w:p>
        </w:tc>
        <w:tc>
          <w:tcPr>
            <w:tcW w:w="1419" w:type="dxa"/>
            <w:tcBorders>
              <w:top w:val="single" w:sz="4" w:space="0" w:color="auto"/>
              <w:left w:val="single" w:sz="4" w:space="0" w:color="auto"/>
              <w:bottom w:val="single" w:sz="4" w:space="0" w:color="auto"/>
              <w:right w:val="single" w:sz="4" w:space="0" w:color="auto"/>
            </w:tcBorders>
          </w:tcPr>
          <w:p w14:paraId="10BCE576" w14:textId="77777777" w:rsidR="00881739" w:rsidRPr="001868A7" w:rsidRDefault="00881739" w:rsidP="008E23D2">
            <w:pPr>
              <w:pStyle w:val="Tabletext"/>
              <w:jc w:val="center"/>
              <w:rPr>
                <w:rFonts w:eastAsia="MS PGothic"/>
                <w:sz w:val="18"/>
                <w:lang w:val="es-ES_tradnl"/>
              </w:rPr>
            </w:pPr>
            <w:r w:rsidRPr="001868A7">
              <w:rPr>
                <w:rFonts w:eastAsia="MS PGothic"/>
                <w:sz w:val="18"/>
                <w:lang w:val="es-ES_tradnl"/>
              </w:rPr>
              <w:t>–</w:t>
            </w:r>
            <w:r w:rsidRPr="001868A7">
              <w:rPr>
                <w:sz w:val="18"/>
                <w:lang w:val="es-ES_tradnl" w:eastAsia="ja-JP"/>
              </w:rPr>
              <w:t>145</w:t>
            </w:r>
            <w:r w:rsidRPr="001868A7">
              <w:rPr>
                <w:sz w:val="18"/>
                <w:lang w:val="es-ES_tradnl" w:eastAsia="ja-JP"/>
              </w:rPr>
              <w:br/>
              <w:t>(Nota 1)</w:t>
            </w:r>
          </w:p>
        </w:tc>
      </w:tr>
      <w:tr w:rsidR="00881739" w:rsidRPr="00384656" w14:paraId="0C94AC1F" w14:textId="77777777" w:rsidTr="00881739">
        <w:trPr>
          <w:jc w:val="center"/>
        </w:trPr>
        <w:tc>
          <w:tcPr>
            <w:tcW w:w="14459" w:type="dxa"/>
            <w:gridSpan w:val="8"/>
            <w:tcBorders>
              <w:top w:val="single" w:sz="4" w:space="0" w:color="auto"/>
              <w:left w:val="single" w:sz="4" w:space="0" w:color="auto"/>
              <w:bottom w:val="single" w:sz="4" w:space="0" w:color="auto"/>
              <w:right w:val="single" w:sz="4" w:space="0" w:color="auto"/>
            </w:tcBorders>
          </w:tcPr>
          <w:p w14:paraId="343C68FE" w14:textId="77777777" w:rsidR="00881739" w:rsidRPr="001868A7" w:rsidRDefault="00881739" w:rsidP="008E23D2">
            <w:pPr>
              <w:pStyle w:val="Tabletext"/>
              <w:jc w:val="center"/>
              <w:rPr>
                <w:rFonts w:eastAsia="MS PGothic"/>
                <w:b/>
                <w:i/>
                <w:sz w:val="18"/>
                <w:lang w:val="es-ES_tradnl"/>
              </w:rPr>
            </w:pPr>
            <w:r w:rsidRPr="001868A7">
              <w:rPr>
                <w:rFonts w:eastAsia="MS PGothic"/>
                <w:b/>
                <w:i/>
                <w:sz w:val="18"/>
                <w:lang w:val="es-ES_tradnl"/>
              </w:rPr>
              <w:t>Umbrales para la interferencia impulsiva (véase la Nota 14)</w:t>
            </w:r>
          </w:p>
        </w:tc>
      </w:tr>
      <w:tr w:rsidR="002B7933" w:rsidRPr="001868A7" w14:paraId="1DDB9015" w14:textId="77777777" w:rsidTr="00881739">
        <w:trPr>
          <w:jc w:val="center"/>
        </w:trPr>
        <w:tc>
          <w:tcPr>
            <w:tcW w:w="4590" w:type="dxa"/>
            <w:tcBorders>
              <w:top w:val="single" w:sz="4" w:space="0" w:color="auto"/>
              <w:left w:val="single" w:sz="4" w:space="0" w:color="auto"/>
              <w:bottom w:val="single" w:sz="4" w:space="0" w:color="auto"/>
              <w:right w:val="single" w:sz="4" w:space="0" w:color="auto"/>
            </w:tcBorders>
          </w:tcPr>
          <w:p w14:paraId="7813F401" w14:textId="77777777" w:rsidR="002B7933" w:rsidRPr="001868A7" w:rsidRDefault="002B7933" w:rsidP="003644DD">
            <w:pPr>
              <w:pStyle w:val="Tabletext"/>
              <w:jc w:val="left"/>
              <w:rPr>
                <w:rFonts w:eastAsia="MS PGothic"/>
                <w:sz w:val="18"/>
                <w:lang w:val="es-ES_tradnl"/>
              </w:rPr>
            </w:pPr>
            <w:r w:rsidRPr="001868A7">
              <w:rPr>
                <w:rFonts w:eastAsia="MS PGothic"/>
                <w:sz w:val="18"/>
                <w:lang w:val="es-ES_tradnl"/>
              </w:rPr>
              <w:t>Nivel de saturación a la entrada del receptor (</w:t>
            </w:r>
            <w:proofErr w:type="spellStart"/>
            <w:r w:rsidRPr="001868A7">
              <w:rPr>
                <w:rFonts w:eastAsia="MS PGothic"/>
                <w:sz w:val="18"/>
                <w:lang w:val="es-ES_tradnl"/>
              </w:rPr>
              <w:t>dBW</w:t>
            </w:r>
            <w:proofErr w:type="spellEnd"/>
            <w:r w:rsidRPr="001868A7">
              <w:rPr>
                <w:rFonts w:eastAsia="MS PGothic"/>
                <w:sz w:val="18"/>
                <w:lang w:val="es-ES_tradnl"/>
              </w:rPr>
              <w:t>) (Nota 14)</w:t>
            </w:r>
          </w:p>
        </w:tc>
        <w:tc>
          <w:tcPr>
            <w:tcW w:w="1417" w:type="dxa"/>
            <w:tcBorders>
              <w:top w:val="single" w:sz="4" w:space="0" w:color="auto"/>
              <w:left w:val="single" w:sz="4" w:space="0" w:color="auto"/>
              <w:bottom w:val="single" w:sz="4" w:space="0" w:color="auto"/>
              <w:right w:val="single" w:sz="4" w:space="0" w:color="auto"/>
            </w:tcBorders>
          </w:tcPr>
          <w:p w14:paraId="3084C566"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–135,0</w:t>
            </w:r>
            <w:r w:rsidRPr="001868A7">
              <w:rPr>
                <w:rFonts w:eastAsia="MS PGothic"/>
                <w:sz w:val="18"/>
                <w:lang w:val="es-ES_tradnl"/>
              </w:rPr>
              <w:br/>
              <w:t>(Nota 6) (Nota 13)</w:t>
            </w:r>
          </w:p>
        </w:tc>
        <w:tc>
          <w:tcPr>
            <w:tcW w:w="1418" w:type="dxa"/>
            <w:tcBorders>
              <w:top w:val="single" w:sz="4" w:space="0" w:color="auto"/>
              <w:left w:val="single" w:sz="4" w:space="0" w:color="auto"/>
              <w:bottom w:val="single" w:sz="4" w:space="0" w:color="auto"/>
              <w:right w:val="single" w:sz="4" w:space="0" w:color="auto"/>
            </w:tcBorders>
            <w:vAlign w:val="center"/>
          </w:tcPr>
          <w:p w14:paraId="7095976B" w14:textId="77777777" w:rsidR="002B7933" w:rsidRPr="001868A7" w:rsidRDefault="002B7933" w:rsidP="003644DD">
            <w:pPr>
              <w:pStyle w:val="Tabletext"/>
              <w:jc w:val="center"/>
              <w:rPr>
                <w:rFonts w:eastAsia="MS PGothic"/>
                <w:color w:val="000000"/>
                <w:sz w:val="18"/>
                <w:szCs w:val="18"/>
                <w:lang w:val="es-ES_tradnl" w:eastAsia="zh-CN"/>
              </w:rPr>
            </w:pPr>
            <w:r w:rsidRPr="001868A7">
              <w:rPr>
                <w:rFonts w:eastAsia="MS PGothic"/>
                <w:color w:val="000000"/>
                <w:sz w:val="18"/>
                <w:szCs w:val="18"/>
                <w:lang w:val="es-ES_tradnl" w:eastAsia="zh-CN"/>
              </w:rPr>
              <w:t>–120</w:t>
            </w:r>
          </w:p>
          <w:p w14:paraId="35DEDB02" w14:textId="77777777" w:rsidR="002B7933" w:rsidRPr="001868A7" w:rsidRDefault="002B7933" w:rsidP="003644DD">
            <w:pPr>
              <w:pStyle w:val="Tabletext"/>
              <w:jc w:val="center"/>
              <w:rPr>
                <w:sz w:val="18"/>
                <w:szCs w:val="18"/>
                <w:lang w:val="es-ES_tradnl" w:eastAsia="ja-JP"/>
              </w:rPr>
            </w:pPr>
            <w:r w:rsidRPr="001868A7">
              <w:rPr>
                <w:rFonts w:eastAsia="MS PGothic"/>
                <w:sz w:val="18"/>
                <w:szCs w:val="18"/>
                <w:lang w:val="es-ES_tradnl"/>
              </w:rPr>
              <w:t>(Nota </w:t>
            </w:r>
            <w:r w:rsidRPr="001868A7">
              <w:rPr>
                <w:sz w:val="18"/>
                <w:szCs w:val="18"/>
                <w:lang w:val="es-ES_tradnl"/>
              </w:rPr>
              <w:t>6</w:t>
            </w:r>
            <w:r w:rsidRPr="001868A7">
              <w:rPr>
                <w:rFonts w:eastAsia="MS PGothic"/>
                <w:sz w:val="18"/>
                <w:szCs w:val="18"/>
                <w:lang w:val="es-ES_tradnl"/>
              </w:rPr>
              <w:t>)</w:t>
            </w:r>
          </w:p>
        </w:tc>
        <w:tc>
          <w:tcPr>
            <w:tcW w:w="1361" w:type="dxa"/>
            <w:tcBorders>
              <w:top w:val="single" w:sz="4" w:space="0" w:color="auto"/>
              <w:left w:val="single" w:sz="4" w:space="0" w:color="auto"/>
              <w:bottom w:val="single" w:sz="4" w:space="0" w:color="auto"/>
              <w:right w:val="single" w:sz="4" w:space="0" w:color="auto"/>
            </w:tcBorders>
            <w:vAlign w:val="center"/>
          </w:tcPr>
          <w:p w14:paraId="4184AE5F" w14:textId="77777777" w:rsidR="002B7933" w:rsidRPr="001868A7" w:rsidRDefault="002B7933" w:rsidP="003644DD">
            <w:pPr>
              <w:pStyle w:val="Tabletext"/>
              <w:jc w:val="center"/>
              <w:rPr>
                <w:color w:val="000000"/>
                <w:sz w:val="18"/>
                <w:szCs w:val="18"/>
                <w:lang w:val="es-ES_tradnl" w:eastAsia="ja-JP"/>
              </w:rPr>
            </w:pPr>
            <w:r w:rsidRPr="001868A7">
              <w:rPr>
                <w:color w:val="000000"/>
                <w:sz w:val="18"/>
                <w:szCs w:val="18"/>
                <w:lang w:val="es-ES_tradnl" w:eastAsia="ja-JP"/>
              </w:rPr>
              <w:t>–120</w:t>
            </w:r>
          </w:p>
          <w:p w14:paraId="1A2259C4" w14:textId="77777777" w:rsidR="002B7933" w:rsidRPr="001868A7" w:rsidRDefault="002B7933" w:rsidP="003644DD">
            <w:pPr>
              <w:pStyle w:val="Tabletext"/>
              <w:jc w:val="center"/>
              <w:rPr>
                <w:rFonts w:eastAsia="MS PGothic"/>
                <w:sz w:val="18"/>
                <w:szCs w:val="18"/>
                <w:lang w:val="es-ES_tradnl"/>
              </w:rPr>
            </w:pPr>
            <w:r w:rsidRPr="001868A7">
              <w:rPr>
                <w:rFonts w:eastAsia="MS PGothic"/>
                <w:sz w:val="18"/>
                <w:szCs w:val="18"/>
                <w:lang w:val="es-ES_tradnl"/>
              </w:rPr>
              <w:t>(Nota </w:t>
            </w:r>
            <w:r w:rsidRPr="001868A7">
              <w:rPr>
                <w:sz w:val="18"/>
                <w:szCs w:val="18"/>
                <w:lang w:val="es-ES_tradnl"/>
              </w:rPr>
              <w:t>6</w:t>
            </w:r>
            <w:r w:rsidRPr="001868A7">
              <w:rPr>
                <w:rFonts w:eastAsia="MS PGothic"/>
                <w:sz w:val="18"/>
                <w:szCs w:val="18"/>
                <w:lang w:val="es-ES_tradnl"/>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tcPr>
          <w:p w14:paraId="32DA7338"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–80</w:t>
            </w:r>
          </w:p>
        </w:tc>
        <w:tc>
          <w:tcPr>
            <w:tcW w:w="1508" w:type="dxa"/>
            <w:tcBorders>
              <w:top w:val="single" w:sz="4" w:space="0" w:color="auto"/>
              <w:left w:val="single" w:sz="4" w:space="0" w:color="auto"/>
              <w:bottom w:val="single" w:sz="4" w:space="0" w:color="auto"/>
              <w:right w:val="single" w:sz="4" w:space="0" w:color="auto"/>
            </w:tcBorders>
          </w:tcPr>
          <w:p w14:paraId="0182FBF9"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–70</w:t>
            </w:r>
          </w:p>
        </w:tc>
        <w:tc>
          <w:tcPr>
            <w:tcW w:w="1328" w:type="dxa"/>
            <w:tcBorders>
              <w:top w:val="single" w:sz="4" w:space="0" w:color="auto"/>
              <w:left w:val="single" w:sz="4" w:space="0" w:color="auto"/>
              <w:bottom w:val="single" w:sz="4" w:space="0" w:color="auto"/>
              <w:right w:val="single" w:sz="4" w:space="0" w:color="auto"/>
            </w:tcBorders>
          </w:tcPr>
          <w:p w14:paraId="19091DA8"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–70</w:t>
            </w:r>
          </w:p>
        </w:tc>
        <w:tc>
          <w:tcPr>
            <w:tcW w:w="1419" w:type="dxa"/>
            <w:tcBorders>
              <w:top w:val="single" w:sz="4" w:space="0" w:color="auto"/>
              <w:left w:val="single" w:sz="4" w:space="0" w:color="auto"/>
              <w:bottom w:val="single" w:sz="4" w:space="0" w:color="auto"/>
              <w:right w:val="single" w:sz="4" w:space="0" w:color="auto"/>
            </w:tcBorders>
          </w:tcPr>
          <w:p w14:paraId="0DC3713B"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–70</w:t>
            </w:r>
          </w:p>
        </w:tc>
      </w:tr>
      <w:tr w:rsidR="002B7933" w:rsidRPr="001868A7" w14:paraId="6864EE8F" w14:textId="77777777" w:rsidTr="00881739">
        <w:trPr>
          <w:jc w:val="center"/>
        </w:trPr>
        <w:tc>
          <w:tcPr>
            <w:tcW w:w="4590" w:type="dxa"/>
            <w:tcBorders>
              <w:top w:val="single" w:sz="4" w:space="0" w:color="auto"/>
              <w:left w:val="single" w:sz="4" w:space="0" w:color="auto"/>
              <w:bottom w:val="single" w:sz="4" w:space="0" w:color="auto"/>
              <w:right w:val="single" w:sz="4" w:space="0" w:color="auto"/>
            </w:tcBorders>
          </w:tcPr>
          <w:p w14:paraId="0B3334D6" w14:textId="77777777" w:rsidR="002B7933" w:rsidRPr="001868A7" w:rsidRDefault="002B7933" w:rsidP="003644DD">
            <w:pPr>
              <w:pStyle w:val="Tabletext"/>
              <w:jc w:val="left"/>
              <w:rPr>
                <w:sz w:val="18"/>
                <w:lang w:val="es-ES_tradnl"/>
              </w:rPr>
            </w:pPr>
            <w:r w:rsidRPr="001868A7">
              <w:rPr>
                <w:sz w:val="18"/>
                <w:lang w:val="es-ES_tradnl"/>
              </w:rPr>
              <w:t>Nivel de supervivencia del receptor (</w:t>
            </w:r>
            <w:proofErr w:type="spellStart"/>
            <w:r w:rsidRPr="001868A7">
              <w:rPr>
                <w:sz w:val="18"/>
                <w:lang w:val="es-ES_tradnl"/>
              </w:rPr>
              <w:t>dBW</w:t>
            </w:r>
            <w:proofErr w:type="spellEnd"/>
            <w:r w:rsidRPr="001868A7">
              <w:rPr>
                <w:sz w:val="18"/>
                <w:lang w:val="es-ES_tradnl"/>
              </w:rPr>
              <w:t xml:space="preserve">) </w:t>
            </w:r>
            <w:r w:rsidRPr="001868A7">
              <w:rPr>
                <w:rFonts w:eastAsia="MS PGothic"/>
                <w:sz w:val="18"/>
                <w:lang w:val="es-ES_tradnl"/>
              </w:rPr>
              <w:t>(Nota 14)</w:t>
            </w:r>
          </w:p>
        </w:tc>
        <w:tc>
          <w:tcPr>
            <w:tcW w:w="1417" w:type="dxa"/>
            <w:tcBorders>
              <w:top w:val="single" w:sz="4" w:space="0" w:color="auto"/>
              <w:left w:val="single" w:sz="4" w:space="0" w:color="auto"/>
              <w:bottom w:val="single" w:sz="4" w:space="0" w:color="auto"/>
              <w:right w:val="single" w:sz="4" w:space="0" w:color="auto"/>
            </w:tcBorders>
          </w:tcPr>
          <w:p w14:paraId="467E9E3E"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−10,0</w:t>
            </w:r>
            <w:r w:rsidRPr="001868A7">
              <w:rPr>
                <w:rFonts w:eastAsia="MS PGothic"/>
                <w:sz w:val="18"/>
                <w:lang w:val="es-ES_tradnl"/>
              </w:rPr>
              <w:br/>
              <w:t>(Nota </w:t>
            </w:r>
            <w:r w:rsidRPr="001868A7">
              <w:rPr>
                <w:sz w:val="18"/>
                <w:lang w:val="es-ES_tradnl"/>
              </w:rPr>
              <w:t>7</w:t>
            </w:r>
            <w:r w:rsidRPr="001868A7">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vAlign w:val="center"/>
          </w:tcPr>
          <w:p w14:paraId="02897DF7" w14:textId="77777777" w:rsidR="002B7933" w:rsidRPr="001868A7" w:rsidRDefault="002B7933" w:rsidP="003644DD">
            <w:pPr>
              <w:pStyle w:val="Tabletext"/>
              <w:jc w:val="center"/>
              <w:rPr>
                <w:sz w:val="18"/>
                <w:szCs w:val="18"/>
                <w:lang w:val="es-ES_tradnl" w:eastAsia="ja-JP"/>
              </w:rPr>
            </w:pPr>
            <w:r w:rsidRPr="001868A7">
              <w:rPr>
                <w:rFonts w:eastAsia="MS PGothic"/>
                <w:sz w:val="18"/>
                <w:szCs w:val="18"/>
                <w:lang w:val="es-ES_tradnl"/>
              </w:rPr>
              <w:t>–</w:t>
            </w:r>
            <w:r w:rsidRPr="001868A7">
              <w:rPr>
                <w:rFonts w:eastAsia="MS PGothic"/>
                <w:color w:val="000000"/>
                <w:sz w:val="18"/>
                <w:szCs w:val="18"/>
                <w:lang w:val="es-ES_tradnl" w:eastAsia="zh-CN"/>
              </w:rPr>
              <w:t>20</w:t>
            </w:r>
          </w:p>
        </w:tc>
        <w:tc>
          <w:tcPr>
            <w:tcW w:w="1361" w:type="dxa"/>
            <w:tcBorders>
              <w:top w:val="single" w:sz="4" w:space="0" w:color="auto"/>
              <w:left w:val="single" w:sz="4" w:space="0" w:color="auto"/>
              <w:bottom w:val="single" w:sz="4" w:space="0" w:color="auto"/>
              <w:right w:val="single" w:sz="4" w:space="0" w:color="auto"/>
            </w:tcBorders>
            <w:vAlign w:val="center"/>
          </w:tcPr>
          <w:p w14:paraId="6FB228D2" w14:textId="77777777" w:rsidR="002B7933" w:rsidRPr="001868A7" w:rsidRDefault="002B7933" w:rsidP="003644DD">
            <w:pPr>
              <w:pStyle w:val="Tabletext"/>
              <w:jc w:val="center"/>
              <w:rPr>
                <w:rFonts w:eastAsia="MS PGothic"/>
                <w:sz w:val="18"/>
                <w:szCs w:val="18"/>
                <w:lang w:val="es-ES_tradnl"/>
              </w:rPr>
            </w:pPr>
            <w:r w:rsidRPr="001868A7">
              <w:rPr>
                <w:rFonts w:eastAsia="MS PGothic"/>
                <w:sz w:val="18"/>
                <w:szCs w:val="18"/>
                <w:lang w:val="es-ES_tradnl"/>
              </w:rPr>
              <w:t>–</w:t>
            </w:r>
            <w:r w:rsidRPr="001868A7">
              <w:rPr>
                <w:color w:val="000000"/>
                <w:sz w:val="18"/>
                <w:szCs w:val="18"/>
                <w:lang w:val="es-ES_tradnl" w:eastAsia="ja-JP"/>
              </w:rPr>
              <w:t>20</w:t>
            </w:r>
          </w:p>
        </w:tc>
        <w:tc>
          <w:tcPr>
            <w:tcW w:w="1418" w:type="dxa"/>
            <w:tcBorders>
              <w:top w:val="single" w:sz="4" w:space="0" w:color="auto"/>
              <w:left w:val="single" w:sz="4" w:space="0" w:color="auto"/>
              <w:bottom w:val="single" w:sz="4" w:space="0" w:color="auto"/>
              <w:right w:val="single" w:sz="4" w:space="0" w:color="auto"/>
            </w:tcBorders>
          </w:tcPr>
          <w:p w14:paraId="20D4F40F" w14:textId="77777777" w:rsidR="002B7933" w:rsidRPr="001868A7" w:rsidRDefault="002B7933" w:rsidP="003644DD">
            <w:pPr>
              <w:pStyle w:val="Tabletext"/>
              <w:jc w:val="center"/>
              <w:rPr>
                <w:sz w:val="18"/>
                <w:lang w:val="es-ES_tradnl" w:eastAsia="ja-JP"/>
              </w:rPr>
            </w:pPr>
            <w:r w:rsidRPr="001868A7">
              <w:rPr>
                <w:sz w:val="18"/>
                <w:lang w:val="es-ES_tradnl" w:eastAsia="ja-JP"/>
              </w:rPr>
              <w:t>−1</w:t>
            </w:r>
          </w:p>
        </w:tc>
        <w:tc>
          <w:tcPr>
            <w:tcW w:w="1508" w:type="dxa"/>
            <w:tcBorders>
              <w:top w:val="single" w:sz="4" w:space="0" w:color="auto"/>
              <w:left w:val="single" w:sz="4" w:space="0" w:color="auto"/>
              <w:bottom w:val="single" w:sz="4" w:space="0" w:color="auto"/>
              <w:right w:val="single" w:sz="4" w:space="0" w:color="auto"/>
            </w:tcBorders>
          </w:tcPr>
          <w:p w14:paraId="24A39FEB" w14:textId="77777777" w:rsidR="002B7933" w:rsidRPr="001868A7" w:rsidRDefault="002B7933" w:rsidP="003644DD">
            <w:pPr>
              <w:pStyle w:val="Tabletext"/>
              <w:jc w:val="center"/>
              <w:rPr>
                <w:sz w:val="18"/>
                <w:lang w:val="es-ES_tradnl" w:eastAsia="ja-JP"/>
              </w:rPr>
            </w:pPr>
            <w:r w:rsidRPr="001868A7">
              <w:rPr>
                <w:sz w:val="18"/>
                <w:lang w:val="es-ES_tradnl" w:eastAsia="ja-JP"/>
              </w:rPr>
              <w:t>−20</w:t>
            </w:r>
          </w:p>
        </w:tc>
        <w:tc>
          <w:tcPr>
            <w:tcW w:w="1328" w:type="dxa"/>
            <w:tcBorders>
              <w:top w:val="single" w:sz="4" w:space="0" w:color="auto"/>
              <w:left w:val="single" w:sz="4" w:space="0" w:color="auto"/>
              <w:bottom w:val="single" w:sz="4" w:space="0" w:color="auto"/>
              <w:right w:val="single" w:sz="4" w:space="0" w:color="auto"/>
            </w:tcBorders>
          </w:tcPr>
          <w:p w14:paraId="343AC440" w14:textId="77777777" w:rsidR="002B7933" w:rsidRPr="001868A7" w:rsidRDefault="002B7933" w:rsidP="003644DD">
            <w:pPr>
              <w:pStyle w:val="Tabletext"/>
              <w:jc w:val="center"/>
              <w:rPr>
                <w:sz w:val="18"/>
                <w:lang w:val="es-ES_tradnl" w:eastAsia="ja-JP"/>
              </w:rPr>
            </w:pPr>
            <w:r w:rsidRPr="001868A7">
              <w:rPr>
                <w:sz w:val="18"/>
                <w:lang w:val="es-ES_tradnl" w:eastAsia="ja-JP"/>
              </w:rPr>
              <w:t>−20</w:t>
            </w:r>
          </w:p>
        </w:tc>
        <w:tc>
          <w:tcPr>
            <w:tcW w:w="1419" w:type="dxa"/>
            <w:tcBorders>
              <w:top w:val="single" w:sz="4" w:space="0" w:color="auto"/>
              <w:left w:val="single" w:sz="4" w:space="0" w:color="auto"/>
              <w:bottom w:val="single" w:sz="4" w:space="0" w:color="auto"/>
              <w:right w:val="single" w:sz="4" w:space="0" w:color="auto"/>
            </w:tcBorders>
          </w:tcPr>
          <w:p w14:paraId="4D87A8D6" w14:textId="77777777" w:rsidR="002B7933" w:rsidRPr="001868A7" w:rsidRDefault="002B7933" w:rsidP="003644DD">
            <w:pPr>
              <w:pStyle w:val="Tabletext"/>
              <w:jc w:val="center"/>
              <w:rPr>
                <w:sz w:val="18"/>
                <w:lang w:val="es-ES_tradnl" w:eastAsia="ja-JP"/>
              </w:rPr>
            </w:pPr>
            <w:r w:rsidRPr="001868A7">
              <w:rPr>
                <w:sz w:val="18"/>
                <w:lang w:val="es-ES_tradnl" w:eastAsia="ja-JP"/>
              </w:rPr>
              <w:t>−20</w:t>
            </w:r>
          </w:p>
        </w:tc>
      </w:tr>
      <w:tr w:rsidR="002B7933" w:rsidRPr="001868A7" w14:paraId="62E51542" w14:textId="77777777" w:rsidTr="00881739">
        <w:trPr>
          <w:jc w:val="center"/>
        </w:trPr>
        <w:tc>
          <w:tcPr>
            <w:tcW w:w="4590" w:type="dxa"/>
            <w:tcBorders>
              <w:top w:val="single" w:sz="4" w:space="0" w:color="auto"/>
              <w:left w:val="single" w:sz="4" w:space="0" w:color="auto"/>
              <w:bottom w:val="single" w:sz="4" w:space="0" w:color="auto"/>
              <w:right w:val="single" w:sz="4" w:space="0" w:color="auto"/>
            </w:tcBorders>
          </w:tcPr>
          <w:p w14:paraId="0320D578" w14:textId="77777777" w:rsidR="002B7933" w:rsidRPr="001868A7" w:rsidRDefault="002B7933" w:rsidP="003644DD">
            <w:pPr>
              <w:pStyle w:val="Tabletext"/>
              <w:jc w:val="left"/>
              <w:rPr>
                <w:sz w:val="18"/>
                <w:lang w:val="es-ES_tradnl"/>
              </w:rPr>
            </w:pPr>
            <w:r w:rsidRPr="001868A7">
              <w:rPr>
                <w:sz w:val="18"/>
                <w:lang w:val="es-ES_tradnl"/>
              </w:rPr>
              <w:t xml:space="preserve">Tiempo de recuperación de sobrecarga(s) </w:t>
            </w:r>
            <w:r w:rsidRPr="001868A7">
              <w:rPr>
                <w:rFonts w:eastAsia="MS PGothic"/>
                <w:sz w:val="18"/>
                <w:lang w:val="es-ES_tradnl"/>
              </w:rPr>
              <w:t>(Nota 14)</w:t>
            </w:r>
          </w:p>
        </w:tc>
        <w:tc>
          <w:tcPr>
            <w:tcW w:w="1417" w:type="dxa"/>
            <w:tcBorders>
              <w:top w:val="single" w:sz="4" w:space="0" w:color="auto"/>
              <w:left w:val="single" w:sz="4" w:space="0" w:color="auto"/>
              <w:bottom w:val="single" w:sz="4" w:space="0" w:color="auto"/>
              <w:right w:val="single" w:sz="4" w:space="0" w:color="auto"/>
            </w:tcBorders>
            <w:vAlign w:val="center"/>
          </w:tcPr>
          <w:p w14:paraId="1DAA1731" w14:textId="77777777" w:rsidR="002B7933" w:rsidRPr="001868A7" w:rsidRDefault="002B7933" w:rsidP="003644DD">
            <w:pPr>
              <w:pStyle w:val="Tabletext"/>
              <w:jc w:val="center"/>
              <w:rPr>
                <w:rFonts w:eastAsia="MS PGothic"/>
                <w:sz w:val="18"/>
                <w:lang w:val="es-ES_tradnl"/>
              </w:rPr>
            </w:pPr>
            <w:r w:rsidRPr="001868A7">
              <w:rPr>
                <w:rFonts w:eastAsia="MS PGothic"/>
                <w:sz w:val="18"/>
                <w:lang w:val="es-ES_tradnl"/>
              </w:rPr>
              <w:t>1,0 × 10</w:t>
            </w:r>
            <w:r w:rsidRPr="001868A7">
              <w:rPr>
                <w:rFonts w:eastAsia="MS PGothic"/>
                <w:sz w:val="18"/>
                <w:vertAlign w:val="superscript"/>
                <w:lang w:val="es-ES_tradnl"/>
              </w:rPr>
              <w:t>−6</w:t>
            </w:r>
          </w:p>
        </w:tc>
        <w:tc>
          <w:tcPr>
            <w:tcW w:w="1418" w:type="dxa"/>
            <w:tcBorders>
              <w:top w:val="single" w:sz="4" w:space="0" w:color="auto"/>
              <w:left w:val="single" w:sz="4" w:space="0" w:color="auto"/>
              <w:bottom w:val="single" w:sz="4" w:space="0" w:color="auto"/>
              <w:right w:val="single" w:sz="4" w:space="0" w:color="auto"/>
            </w:tcBorders>
            <w:vAlign w:val="center"/>
          </w:tcPr>
          <w:p w14:paraId="214867EE" w14:textId="77777777" w:rsidR="002B7933" w:rsidRPr="001868A7" w:rsidRDefault="002B7933" w:rsidP="003644DD">
            <w:pPr>
              <w:pStyle w:val="Tabletext"/>
              <w:jc w:val="center"/>
              <w:rPr>
                <w:sz w:val="18"/>
                <w:szCs w:val="18"/>
                <w:highlight w:val="green"/>
                <w:lang w:val="es-ES_tradnl" w:eastAsia="ja-JP"/>
              </w:rPr>
            </w:pPr>
            <w:r w:rsidRPr="001868A7">
              <w:rPr>
                <w:color w:val="000000"/>
                <w:sz w:val="18"/>
                <w:szCs w:val="18"/>
                <w:lang w:val="es-ES_tradnl" w:eastAsia="ja-JP"/>
              </w:rPr>
              <w:t>1,0 x 10</w:t>
            </w:r>
            <w:r w:rsidRPr="001868A7">
              <w:rPr>
                <w:color w:val="000000"/>
                <w:sz w:val="18"/>
                <w:szCs w:val="18"/>
                <w:vertAlign w:val="superscript"/>
                <w:lang w:val="es-ES_tradnl" w:eastAsia="ja-JP"/>
              </w:rPr>
              <w:t xml:space="preserve">−6 </w:t>
            </w:r>
          </w:p>
        </w:tc>
        <w:tc>
          <w:tcPr>
            <w:tcW w:w="1361" w:type="dxa"/>
            <w:tcBorders>
              <w:top w:val="single" w:sz="4" w:space="0" w:color="auto"/>
              <w:left w:val="single" w:sz="4" w:space="0" w:color="auto"/>
              <w:bottom w:val="single" w:sz="4" w:space="0" w:color="auto"/>
              <w:right w:val="single" w:sz="4" w:space="0" w:color="auto"/>
            </w:tcBorders>
            <w:vAlign w:val="center"/>
          </w:tcPr>
          <w:p w14:paraId="71C7D79F" w14:textId="77777777" w:rsidR="002B7933" w:rsidRPr="001868A7" w:rsidRDefault="002B7933" w:rsidP="003644DD">
            <w:pPr>
              <w:pStyle w:val="Tabletext"/>
              <w:jc w:val="center"/>
              <w:rPr>
                <w:sz w:val="18"/>
                <w:szCs w:val="18"/>
                <w:highlight w:val="green"/>
                <w:lang w:val="es-ES_tradnl" w:eastAsia="ja-JP"/>
              </w:rPr>
            </w:pPr>
            <w:r w:rsidRPr="001868A7">
              <w:rPr>
                <w:color w:val="000000"/>
                <w:sz w:val="18"/>
                <w:szCs w:val="18"/>
                <w:lang w:val="es-ES_tradnl" w:eastAsia="ja-JP"/>
              </w:rPr>
              <w:t>1,0 x 10</w:t>
            </w:r>
            <w:r w:rsidRPr="001868A7">
              <w:rPr>
                <w:color w:val="000000"/>
                <w:sz w:val="18"/>
                <w:szCs w:val="18"/>
                <w:vertAlign w:val="superscript"/>
                <w:lang w:val="es-ES_tradnl" w:eastAsia="ja-JP"/>
              </w:rPr>
              <w:t xml:space="preserve">−6 </w:t>
            </w:r>
          </w:p>
        </w:tc>
        <w:tc>
          <w:tcPr>
            <w:tcW w:w="1418" w:type="dxa"/>
            <w:tcBorders>
              <w:top w:val="single" w:sz="4" w:space="0" w:color="auto"/>
              <w:left w:val="single" w:sz="4" w:space="0" w:color="auto"/>
              <w:bottom w:val="single" w:sz="4" w:space="0" w:color="auto"/>
              <w:right w:val="single" w:sz="4" w:space="0" w:color="auto"/>
            </w:tcBorders>
            <w:vAlign w:val="center"/>
          </w:tcPr>
          <w:p w14:paraId="1AA7D784" w14:textId="77777777" w:rsidR="002B7933" w:rsidRPr="001868A7" w:rsidRDefault="002B7933" w:rsidP="003644DD">
            <w:pPr>
              <w:pStyle w:val="Tabletext"/>
              <w:jc w:val="center"/>
              <w:rPr>
                <w:sz w:val="18"/>
                <w:lang w:val="es-ES_tradnl" w:eastAsia="ja-JP"/>
              </w:rPr>
            </w:pPr>
            <w:r w:rsidRPr="001868A7">
              <w:rPr>
                <w:snapToGrid w:val="0"/>
                <w:sz w:val="18"/>
                <w:lang w:val="es-ES_tradnl"/>
              </w:rPr>
              <w:t>(1 a 30)</w:t>
            </w:r>
            <w:r w:rsidRPr="001868A7">
              <w:rPr>
                <w:sz w:val="18"/>
                <w:lang w:val="es-ES_tradnl" w:eastAsia="ja-JP"/>
              </w:rPr>
              <w:t xml:space="preserve"> </w:t>
            </w:r>
            <w:r w:rsidRPr="001868A7">
              <w:rPr>
                <w:sz w:val="18"/>
                <w:lang w:val="es-ES_tradnl" w:eastAsia="ja-JP"/>
              </w:rPr>
              <w:sym w:font="Symbol" w:char="00B4"/>
            </w:r>
            <w:r w:rsidRPr="001868A7">
              <w:rPr>
                <w:sz w:val="18"/>
                <w:lang w:val="es-ES_tradnl" w:eastAsia="ja-JP"/>
              </w:rPr>
              <w:t> </w:t>
            </w:r>
            <w:r w:rsidRPr="001868A7">
              <w:rPr>
                <w:snapToGrid w:val="0"/>
                <w:sz w:val="18"/>
                <w:lang w:val="es-ES_tradnl"/>
              </w:rPr>
              <w:t>10</w:t>
            </w:r>
            <w:r w:rsidRPr="001868A7">
              <w:rPr>
                <w:snapToGrid w:val="0"/>
                <w:sz w:val="18"/>
                <w:vertAlign w:val="superscript"/>
                <w:lang w:val="es-ES_tradnl"/>
              </w:rPr>
              <w:t>−6</w:t>
            </w:r>
          </w:p>
        </w:tc>
        <w:tc>
          <w:tcPr>
            <w:tcW w:w="1508" w:type="dxa"/>
            <w:tcBorders>
              <w:top w:val="single" w:sz="4" w:space="0" w:color="auto"/>
              <w:left w:val="single" w:sz="4" w:space="0" w:color="auto"/>
              <w:bottom w:val="single" w:sz="4" w:space="0" w:color="auto"/>
              <w:right w:val="single" w:sz="4" w:space="0" w:color="auto"/>
            </w:tcBorders>
            <w:vAlign w:val="center"/>
          </w:tcPr>
          <w:p w14:paraId="34039408" w14:textId="77777777" w:rsidR="002B7933" w:rsidRPr="001868A7" w:rsidRDefault="002B7933" w:rsidP="003644DD">
            <w:pPr>
              <w:pStyle w:val="Tabletext"/>
              <w:jc w:val="center"/>
              <w:rPr>
                <w:sz w:val="18"/>
                <w:lang w:val="es-ES_tradnl" w:eastAsia="ja-JP"/>
              </w:rPr>
            </w:pPr>
            <w:r w:rsidRPr="001868A7">
              <w:rPr>
                <w:snapToGrid w:val="0"/>
                <w:sz w:val="18"/>
                <w:lang w:val="es-ES_tradnl"/>
              </w:rPr>
              <w:t>30 </w:t>
            </w:r>
            <w:r w:rsidRPr="001868A7">
              <w:rPr>
                <w:rFonts w:eastAsia="MS PGothic"/>
                <w:sz w:val="18"/>
                <w:lang w:val="es-ES_tradnl"/>
              </w:rPr>
              <w:t>× </w:t>
            </w:r>
            <w:r w:rsidRPr="001868A7">
              <w:rPr>
                <w:snapToGrid w:val="0"/>
                <w:sz w:val="18"/>
                <w:lang w:val="es-ES_tradnl"/>
              </w:rPr>
              <w:t>10</w:t>
            </w:r>
            <w:r w:rsidRPr="001868A7">
              <w:rPr>
                <w:snapToGrid w:val="0"/>
                <w:sz w:val="18"/>
                <w:vertAlign w:val="superscript"/>
                <w:lang w:val="es-ES_tradnl"/>
              </w:rPr>
              <w:t>−6</w:t>
            </w:r>
          </w:p>
        </w:tc>
        <w:tc>
          <w:tcPr>
            <w:tcW w:w="1328" w:type="dxa"/>
            <w:tcBorders>
              <w:top w:val="single" w:sz="4" w:space="0" w:color="auto"/>
              <w:left w:val="single" w:sz="4" w:space="0" w:color="auto"/>
              <w:bottom w:val="single" w:sz="4" w:space="0" w:color="auto"/>
              <w:right w:val="single" w:sz="4" w:space="0" w:color="auto"/>
            </w:tcBorders>
            <w:vAlign w:val="center"/>
          </w:tcPr>
          <w:p w14:paraId="0852CFC6" w14:textId="77777777" w:rsidR="002B7933" w:rsidRPr="001868A7" w:rsidRDefault="002B7933" w:rsidP="003644DD">
            <w:pPr>
              <w:pStyle w:val="Tabletext"/>
              <w:jc w:val="center"/>
              <w:rPr>
                <w:sz w:val="18"/>
                <w:lang w:val="es-ES_tradnl" w:eastAsia="ja-JP"/>
              </w:rPr>
            </w:pPr>
            <w:r w:rsidRPr="001868A7">
              <w:rPr>
                <w:snapToGrid w:val="0"/>
                <w:sz w:val="18"/>
                <w:lang w:val="es-ES_tradnl"/>
              </w:rPr>
              <w:t>30 </w:t>
            </w:r>
            <w:r w:rsidRPr="001868A7">
              <w:rPr>
                <w:rFonts w:eastAsia="MS PGothic"/>
                <w:sz w:val="18"/>
                <w:lang w:val="es-ES_tradnl"/>
              </w:rPr>
              <w:t>× </w:t>
            </w:r>
            <w:r w:rsidRPr="001868A7">
              <w:rPr>
                <w:snapToGrid w:val="0"/>
                <w:sz w:val="18"/>
                <w:lang w:val="es-ES_tradnl"/>
              </w:rPr>
              <w:t>10</w:t>
            </w:r>
            <w:r w:rsidRPr="001868A7">
              <w:rPr>
                <w:snapToGrid w:val="0"/>
                <w:sz w:val="18"/>
                <w:vertAlign w:val="superscript"/>
                <w:lang w:val="es-ES_tradnl"/>
              </w:rPr>
              <w:t>−6</w:t>
            </w:r>
          </w:p>
        </w:tc>
        <w:tc>
          <w:tcPr>
            <w:tcW w:w="1419" w:type="dxa"/>
            <w:tcBorders>
              <w:top w:val="single" w:sz="4" w:space="0" w:color="auto"/>
              <w:left w:val="single" w:sz="4" w:space="0" w:color="auto"/>
              <w:bottom w:val="single" w:sz="4" w:space="0" w:color="auto"/>
              <w:right w:val="single" w:sz="4" w:space="0" w:color="auto"/>
            </w:tcBorders>
            <w:vAlign w:val="center"/>
          </w:tcPr>
          <w:p w14:paraId="6BF9A2BD" w14:textId="77777777" w:rsidR="002B7933" w:rsidRPr="001868A7" w:rsidRDefault="002B7933" w:rsidP="003644DD">
            <w:pPr>
              <w:pStyle w:val="Tabletext"/>
              <w:jc w:val="center"/>
              <w:rPr>
                <w:sz w:val="18"/>
                <w:lang w:val="es-ES_tradnl" w:eastAsia="ja-JP"/>
              </w:rPr>
            </w:pPr>
            <w:r w:rsidRPr="001868A7">
              <w:rPr>
                <w:snapToGrid w:val="0"/>
                <w:sz w:val="18"/>
                <w:lang w:val="es-ES_tradnl"/>
              </w:rPr>
              <w:t>30 </w:t>
            </w:r>
            <w:r w:rsidRPr="001868A7">
              <w:rPr>
                <w:rFonts w:eastAsia="MS PGothic"/>
                <w:sz w:val="18"/>
                <w:lang w:val="es-ES_tradnl"/>
              </w:rPr>
              <w:t>× </w:t>
            </w:r>
            <w:r w:rsidRPr="001868A7">
              <w:rPr>
                <w:snapToGrid w:val="0"/>
                <w:sz w:val="18"/>
                <w:lang w:val="es-ES_tradnl"/>
              </w:rPr>
              <w:t>10</w:t>
            </w:r>
            <w:r w:rsidRPr="001868A7">
              <w:rPr>
                <w:snapToGrid w:val="0"/>
                <w:sz w:val="18"/>
                <w:vertAlign w:val="superscript"/>
                <w:lang w:val="es-ES_tradnl"/>
              </w:rPr>
              <w:t>−6</w:t>
            </w:r>
          </w:p>
        </w:tc>
      </w:tr>
      <w:tr w:rsidR="002B7933" w:rsidRPr="00384656" w14:paraId="7548106C" w14:textId="77777777" w:rsidTr="00881739">
        <w:trPr>
          <w:jc w:val="center"/>
        </w:trPr>
        <w:tc>
          <w:tcPr>
            <w:tcW w:w="14459" w:type="dxa"/>
            <w:gridSpan w:val="8"/>
            <w:tcBorders>
              <w:top w:val="single" w:sz="4" w:space="0" w:color="auto"/>
              <w:left w:val="nil"/>
              <w:right w:val="nil"/>
            </w:tcBorders>
          </w:tcPr>
          <w:p w14:paraId="096D74B3" w14:textId="77777777" w:rsidR="002B7933" w:rsidRPr="001868A7" w:rsidRDefault="002B7933" w:rsidP="003644DD">
            <w:pPr>
              <w:pStyle w:val="Tablelegend"/>
              <w:spacing w:before="120"/>
              <w:ind w:left="199" w:hanging="284"/>
              <w:rPr>
                <w:i/>
                <w:sz w:val="18"/>
                <w:lang w:val="es-ES_tradnl"/>
              </w:rPr>
            </w:pPr>
            <w:r w:rsidRPr="001868A7">
              <w:rPr>
                <w:i/>
                <w:sz w:val="18"/>
                <w:lang w:val="es-ES_tradnl"/>
              </w:rPr>
              <w:t>Notas relativas al Cuadro 1:</w:t>
            </w:r>
          </w:p>
          <w:p w14:paraId="4722A3D6" w14:textId="77777777" w:rsidR="002B7933" w:rsidRPr="001868A7" w:rsidRDefault="002B7933" w:rsidP="003644DD">
            <w:pPr>
              <w:pStyle w:val="Tablelegend"/>
              <w:spacing w:before="120"/>
              <w:ind w:left="199" w:hanging="284"/>
              <w:rPr>
                <w:sz w:val="18"/>
                <w:lang w:val="es-ES_tradnl"/>
              </w:rPr>
            </w:pPr>
            <w:r w:rsidRPr="001868A7">
              <w:rPr>
                <w:sz w:val="18"/>
                <w:lang w:val="es-ES_tradnl"/>
              </w:rPr>
              <w:t>*</w:t>
            </w:r>
            <w:r w:rsidRPr="001868A7">
              <w:rPr>
                <w:sz w:val="18"/>
                <w:lang w:val="es-ES_tradnl"/>
              </w:rPr>
              <w:tab/>
              <w:t>Estas columnas se refieren a las características y los umbrales para los receptores del SRNS que funcionan en la banda 1 215-1 300 MHz. (Los receptores de este tipo funcionan con las señales descritas en el Anexo 2 a la Recomendación UIT-R M.1787.) Con respecto a las características y los criterios de protección para el funcionamiento del receptor en las bandas 1 559</w:t>
            </w:r>
            <w:r w:rsidRPr="001868A7">
              <w:rPr>
                <w:sz w:val="18"/>
                <w:lang w:val="es-ES_tradnl"/>
              </w:rPr>
              <w:noBreakHyphen/>
              <w:t>1 610 MHz y/o 1 164-1 215 MHz, véanse también las columnas del Cuadro correspondiente de las Recomendaciones UIT</w:t>
            </w:r>
            <w:r w:rsidRPr="001868A7">
              <w:rPr>
                <w:sz w:val="18"/>
                <w:lang w:val="es-ES_tradnl"/>
              </w:rPr>
              <w:noBreakHyphen/>
              <w:t>R M.1903 y/o UIT</w:t>
            </w:r>
            <w:r w:rsidRPr="001868A7">
              <w:rPr>
                <w:sz w:val="18"/>
                <w:lang w:val="es-ES_tradnl"/>
              </w:rPr>
              <w:noBreakHyphen/>
              <w:t>R M.1905, respectivamente.</w:t>
            </w:r>
          </w:p>
          <w:p w14:paraId="16F4140C" w14:textId="77777777" w:rsidR="002B7933" w:rsidRPr="001868A7" w:rsidRDefault="002B7933" w:rsidP="003644DD">
            <w:pPr>
              <w:pStyle w:val="TableLegendNote"/>
              <w:spacing w:before="60"/>
              <w:rPr>
                <w:rFonts w:eastAsia="Calibri"/>
                <w:sz w:val="18"/>
                <w:lang w:val="es-ES_tradnl"/>
              </w:rPr>
            </w:pPr>
            <w:r w:rsidRPr="001868A7">
              <w:rPr>
                <w:sz w:val="18"/>
                <w:lang w:val="es-ES_tradnl"/>
              </w:rPr>
              <w:t xml:space="preserve">NOTA 1 – Para el procesamiento de la señal P(Y), incluidas las técnicas de codificación parcial, se considera que la interferencia de banda estrecha tiene menos de 100 kHz de anchura de banda y la interferencia de banda amplia tiene más de 1 MHz de anchura de banda. Para el procesamiento de la señal L2C, se considera que la interferencia de banda estrecha tiene menos de 1 kHz de anchura de banda y la interferencia de banda amplia, más de 1 MHz de anchura de banda. Para el procesamiento de señales con AMDF y AMDC (frecuencia portadora </w:t>
            </w:r>
            <w:r w:rsidRPr="001868A7">
              <w:rPr>
                <w:rFonts w:eastAsia="Calibri"/>
                <w:sz w:val="18"/>
                <w:szCs w:val="18"/>
                <w:lang w:val="es-ES_tradnl" w:eastAsia="ru-RU"/>
              </w:rPr>
              <w:t>1 248,06 MHz)</w:t>
            </w:r>
            <w:r w:rsidRPr="001868A7">
              <w:rPr>
                <w:sz w:val="18"/>
                <w:lang w:val="es-ES_tradnl"/>
              </w:rPr>
              <w:t xml:space="preserve">, se considera que la interferencia continua de banda estrecha tiene una anchura de banda inferior a 1 kHz y la interferencia continua de banda amplia, una anchura de banda superior a </w:t>
            </w:r>
            <w:r w:rsidRPr="001868A7">
              <w:rPr>
                <w:rFonts w:eastAsia="Calibri"/>
                <w:sz w:val="18"/>
                <w:lang w:val="es-ES_tradnl"/>
              </w:rPr>
              <w:t xml:space="preserve">500 kHz. Los umbrales para las anchuras de banda de interferencia entre 100 kHz (para P(Y)) o 1 kHz (para L2C y AMDF/AMDC </w:t>
            </w:r>
            <w:r w:rsidRPr="001868A7">
              <w:rPr>
                <w:sz w:val="18"/>
                <w:lang w:val="es-ES_tradnl"/>
              </w:rPr>
              <w:t xml:space="preserve">(frecuencia portadora </w:t>
            </w:r>
            <w:r w:rsidRPr="001868A7">
              <w:rPr>
                <w:rFonts w:eastAsia="Calibri"/>
                <w:sz w:val="18"/>
                <w:szCs w:val="18"/>
                <w:lang w:val="es-ES_tradnl" w:eastAsia="ru-RU"/>
              </w:rPr>
              <w:t>1 248,06 MHz</w:t>
            </w:r>
            <w:r w:rsidRPr="001868A7">
              <w:rPr>
                <w:rFonts w:eastAsia="Calibri"/>
                <w:sz w:val="18"/>
                <w:lang w:val="es-ES_tradnl"/>
              </w:rPr>
              <w:t>) a 1 MHz (o para AMDF a 500 kHz) no están definidas y pueden requerir más estudios.</w:t>
            </w:r>
          </w:p>
          <w:p w14:paraId="2CB1D8E4" w14:textId="77777777" w:rsidR="002B7933" w:rsidRPr="001868A7" w:rsidRDefault="002B7933" w:rsidP="003644DD">
            <w:pPr>
              <w:pStyle w:val="TableLegendNote"/>
              <w:spacing w:before="60"/>
              <w:rPr>
                <w:sz w:val="18"/>
                <w:lang w:val="es-ES_tradnl"/>
              </w:rPr>
            </w:pPr>
            <w:r w:rsidRPr="001868A7">
              <w:rPr>
                <w:sz w:val="18"/>
                <w:lang w:val="es-ES_tradnl"/>
              </w:rPr>
              <w:t>NOTA 2 – Se considera que la interferencia continua de banda estrecha tiene una anchura de banda inferior a 700 Hz. La interferencia continua de banda amplia se considera que tiene una anchura de banda superior a 1 MHz. Los umbrales para el ancho de banda de interferencia entre 700 Hz y 1 MHz podrían requerir más estudios.</w:t>
            </w:r>
          </w:p>
          <w:p w14:paraId="3DDA7613" w14:textId="77777777" w:rsidR="002B7933" w:rsidRPr="001868A7" w:rsidRDefault="002B7933" w:rsidP="003644DD">
            <w:pPr>
              <w:pStyle w:val="TableLegendNote"/>
              <w:spacing w:before="60"/>
              <w:rPr>
                <w:sz w:val="18"/>
                <w:lang w:val="es-ES_tradnl"/>
              </w:rPr>
            </w:pPr>
            <w:r w:rsidRPr="001868A7">
              <w:rPr>
                <w:sz w:val="18"/>
                <w:lang w:val="es-ES_tradnl"/>
              </w:rPr>
              <w:t>NOTA 3 – La máxima ganancia en el hemisferio superior indicada se aplica para un ángulo de elevación de 30° (es decir, el máximo ángulo de llegada de la interferencia de RF esperada). El máximo valor de la ganancia en el hemisferio inferior indicada se aplica para un ángulo de elevación de 5°.</w:t>
            </w:r>
          </w:p>
          <w:p w14:paraId="00F0892E" w14:textId="77777777" w:rsidR="002B7933" w:rsidRPr="001868A7" w:rsidRDefault="002B7933" w:rsidP="003644DD">
            <w:pPr>
              <w:pStyle w:val="TableLegendNote"/>
              <w:spacing w:before="60"/>
              <w:rPr>
                <w:sz w:val="18"/>
                <w:lang w:val="es-ES_tradnl" w:eastAsia="ja-JP"/>
              </w:rPr>
            </w:pPr>
            <w:r w:rsidRPr="001868A7">
              <w:rPr>
                <w:sz w:val="18"/>
                <w:lang w:val="es-ES_tradnl"/>
              </w:rPr>
              <w:t>NOTA 4 – La adquisición de la señal se realiza utilizando la señal L1 C/A. Véase la fila adecuada del umbral de adquisición en la Recomendación UIT-R M.1903, Anexo 2, Cuadro 2</w:t>
            </w:r>
            <w:r w:rsidRPr="001868A7">
              <w:rPr>
                <w:sz w:val="18"/>
                <w:lang w:val="es-ES_tradnl"/>
              </w:rPr>
              <w:noBreakHyphen/>
              <w:t>2, columna «Receptor de referencia en tierra SBAS».</w:t>
            </w:r>
          </w:p>
          <w:p w14:paraId="26CB47C2" w14:textId="77777777" w:rsidR="002B7933" w:rsidRPr="001868A7" w:rsidRDefault="002B7933" w:rsidP="003644DD">
            <w:pPr>
              <w:pStyle w:val="TableLegendNote"/>
              <w:spacing w:before="60"/>
              <w:rPr>
                <w:sz w:val="18"/>
                <w:lang w:val="es-ES_tradnl"/>
              </w:rPr>
            </w:pPr>
            <w:r w:rsidRPr="001868A7">
              <w:rPr>
                <w:sz w:val="18"/>
                <w:lang w:val="es-ES_tradnl"/>
              </w:rPr>
              <w:t>NOTA 5 – La adquisición de la señal se realiza utilizando la señal L1 C/A. Véase la fila adecuada del umbral de adquisición en la Recomendación UIT</w:t>
            </w:r>
            <w:r w:rsidRPr="001868A7">
              <w:rPr>
                <w:sz w:val="18"/>
                <w:lang w:val="es-ES_tradnl"/>
              </w:rPr>
              <w:noBreakHyphen/>
              <w:t>R M.1903, Anexo 2, Cuadro 2</w:t>
            </w:r>
            <w:r w:rsidRPr="001868A7">
              <w:rPr>
                <w:sz w:val="18"/>
                <w:lang w:val="es-ES_tradnl"/>
              </w:rPr>
              <w:noBreakHyphen/>
              <w:t>2, columna «Alta precisión».</w:t>
            </w:r>
          </w:p>
          <w:p w14:paraId="5F8CB119" w14:textId="77777777" w:rsidR="002B7933" w:rsidRPr="001868A7" w:rsidRDefault="002B7933" w:rsidP="003644DD">
            <w:pPr>
              <w:pStyle w:val="TableLegendNote"/>
              <w:spacing w:before="60"/>
              <w:rPr>
                <w:sz w:val="18"/>
                <w:lang w:val="es-ES_tradnl"/>
              </w:rPr>
            </w:pPr>
            <w:r w:rsidRPr="001868A7">
              <w:rPr>
                <w:sz w:val="18"/>
                <w:lang w:val="es-ES_tradnl"/>
              </w:rPr>
              <w:t>NOTA 6 – Estos niveles de saturación a la entrada del receptor se aplican al ancho de banda de 3 dB del filtro RF correspondiente.</w:t>
            </w:r>
          </w:p>
          <w:p w14:paraId="29DF4433" w14:textId="68D37E9C" w:rsidR="002B7933" w:rsidRPr="00881739" w:rsidRDefault="002B7933" w:rsidP="003644DD">
            <w:pPr>
              <w:pStyle w:val="TableLegendNote"/>
              <w:spacing w:before="60"/>
              <w:rPr>
                <w:sz w:val="18"/>
                <w:lang w:val="es-ES_tradnl"/>
              </w:rPr>
            </w:pPr>
            <w:r w:rsidRPr="001868A7">
              <w:rPr>
                <w:sz w:val="18"/>
                <w:lang w:val="es-ES_tradnl"/>
              </w:rPr>
              <w:lastRenderedPageBreak/>
              <w:t>NOTA 7 – Este nivel de supervivencia es el nivel de potencia de cresta para una señal impulsiva con un máximo factor de actividad del 10%.</w:t>
            </w:r>
          </w:p>
        </w:tc>
      </w:tr>
      <w:tr w:rsidR="00881739" w:rsidRPr="00384656" w14:paraId="3A8B0B61" w14:textId="77777777" w:rsidTr="00881739">
        <w:trPr>
          <w:jc w:val="center"/>
        </w:trPr>
        <w:tc>
          <w:tcPr>
            <w:tcW w:w="14459" w:type="dxa"/>
            <w:gridSpan w:val="8"/>
            <w:tcBorders>
              <w:left w:val="nil"/>
              <w:right w:val="nil"/>
            </w:tcBorders>
          </w:tcPr>
          <w:p w14:paraId="05BF5539" w14:textId="28CC5FCD" w:rsidR="00881739" w:rsidRPr="00881739" w:rsidRDefault="00881739" w:rsidP="00881739">
            <w:pPr>
              <w:pStyle w:val="TableLegendNote"/>
              <w:spacing w:before="60"/>
              <w:rPr>
                <w:i/>
                <w:iCs/>
                <w:sz w:val="18"/>
                <w:lang w:val="es-ES"/>
              </w:rPr>
            </w:pPr>
            <w:r w:rsidRPr="00881739">
              <w:rPr>
                <w:i/>
                <w:iCs/>
                <w:sz w:val="18"/>
                <w:lang w:val="es-ES_tradnl"/>
              </w:rPr>
              <w:lastRenderedPageBreak/>
              <w:t xml:space="preserve">Notas </w:t>
            </w:r>
            <w:r w:rsidRPr="00881739">
              <w:rPr>
                <w:i/>
                <w:iCs/>
                <w:sz w:val="18"/>
                <w:lang w:val="es-ES_tradnl"/>
              </w:rPr>
              <w:t xml:space="preserve">relativas al </w:t>
            </w:r>
            <w:r w:rsidRPr="00881739">
              <w:rPr>
                <w:i/>
                <w:iCs/>
                <w:sz w:val="18"/>
                <w:lang w:val="es-ES_tradnl"/>
              </w:rPr>
              <w:t>Cuadro 1 (</w:t>
            </w:r>
            <w:r w:rsidRPr="00881739">
              <w:rPr>
                <w:i/>
                <w:iCs/>
                <w:sz w:val="18"/>
                <w:lang w:val="es-ES"/>
              </w:rPr>
              <w:t>fin)</w:t>
            </w:r>
            <w:r>
              <w:rPr>
                <w:i/>
                <w:iCs/>
                <w:sz w:val="18"/>
                <w:lang w:val="es-ES"/>
              </w:rPr>
              <w:t>:</w:t>
            </w:r>
          </w:p>
          <w:p w14:paraId="183517D8" w14:textId="77777777" w:rsidR="00881739" w:rsidRPr="001868A7" w:rsidRDefault="00881739" w:rsidP="00881739">
            <w:pPr>
              <w:pStyle w:val="TableLegendNote"/>
              <w:spacing w:before="120"/>
              <w:rPr>
                <w:rFonts w:eastAsia="MS PGothic"/>
                <w:sz w:val="18"/>
                <w:lang w:val="es-ES_tradnl"/>
              </w:rPr>
            </w:pPr>
            <w:r w:rsidRPr="001868A7">
              <w:rPr>
                <w:sz w:val="18"/>
                <w:lang w:val="es-ES_tradnl"/>
              </w:rPr>
              <w:t>NOTA 8 </w:t>
            </w:r>
            <w:r w:rsidRPr="001868A7">
              <w:rPr>
                <w:rFonts w:eastAsia="MS PGothic"/>
                <w:sz w:val="18"/>
                <w:lang w:val="es-ES_tradnl"/>
              </w:rPr>
              <w:t>–</w:t>
            </w:r>
            <w:r w:rsidRPr="001868A7">
              <w:rPr>
                <w:sz w:val="18"/>
                <w:lang w:val="es-ES_tradnl"/>
              </w:rPr>
              <w:t> </w:t>
            </w:r>
            <w:r w:rsidRPr="001868A7">
              <w:rPr>
                <w:rFonts w:eastAsia="MS PGothic"/>
                <w:sz w:val="18"/>
                <w:lang w:val="es-ES_tradnl"/>
              </w:rPr>
              <w:t xml:space="preserve">Este tipo de receptor funciona en varias frecuencias portadoras de la señal SRNS simultáneamente. Las frecuencias portadoras se definen como sigue </w:t>
            </w:r>
            <w:proofErr w:type="spellStart"/>
            <w:r w:rsidRPr="001868A7">
              <w:rPr>
                <w:rFonts w:eastAsia="MS PGothic"/>
                <w:i/>
                <w:sz w:val="18"/>
                <w:lang w:val="es-ES_tradnl"/>
              </w:rPr>
              <w:t>f</w:t>
            </w:r>
            <w:r w:rsidRPr="001868A7">
              <w:rPr>
                <w:rFonts w:eastAsia="MS PGothic"/>
                <w:i/>
                <w:sz w:val="18"/>
                <w:vertAlign w:val="subscript"/>
                <w:lang w:val="es-ES_tradnl"/>
              </w:rPr>
              <w:t>c</w:t>
            </w:r>
            <w:proofErr w:type="spellEnd"/>
            <w:r w:rsidRPr="001868A7">
              <w:rPr>
                <w:rFonts w:eastAsia="MS PGothic"/>
                <w:sz w:val="18"/>
                <w:lang w:val="es-ES_tradnl"/>
              </w:rPr>
              <w:t xml:space="preserve"> (MHz) = 1 246,0 + 0,4375 </w:t>
            </w:r>
            <w:r w:rsidRPr="001868A7">
              <w:rPr>
                <w:rFonts w:eastAsia="MS PGothic"/>
                <w:i/>
                <w:iCs/>
                <w:sz w:val="18"/>
                <w:lang w:val="es-ES_tradnl"/>
              </w:rPr>
              <w:t>K</w:t>
            </w:r>
            <w:r w:rsidRPr="001868A7">
              <w:rPr>
                <w:rFonts w:eastAsia="MS PGothic"/>
                <w:sz w:val="18"/>
                <w:lang w:val="es-ES_tradnl"/>
              </w:rPr>
              <w:t xml:space="preserve">, siendo </w:t>
            </w:r>
            <w:r w:rsidRPr="001868A7">
              <w:rPr>
                <w:rFonts w:eastAsia="MS PGothic"/>
                <w:i/>
                <w:iCs/>
                <w:sz w:val="18"/>
                <w:lang w:val="es-ES_tradnl"/>
              </w:rPr>
              <w:t>K</w:t>
            </w:r>
            <w:r w:rsidRPr="001868A7">
              <w:rPr>
                <w:rFonts w:eastAsia="MS PGothic"/>
                <w:sz w:val="18"/>
                <w:lang w:val="es-ES_tradnl"/>
              </w:rPr>
              <w:t> = −7 a +6.</w:t>
            </w:r>
          </w:p>
          <w:p w14:paraId="47E06C6B" w14:textId="77777777" w:rsidR="00881739" w:rsidRPr="001868A7" w:rsidRDefault="00881739" w:rsidP="00881739">
            <w:pPr>
              <w:pStyle w:val="TableLegendNote"/>
              <w:spacing w:before="60"/>
              <w:rPr>
                <w:sz w:val="18"/>
                <w:lang w:val="es-ES_tradnl"/>
              </w:rPr>
            </w:pPr>
            <w:r w:rsidRPr="001868A7">
              <w:rPr>
                <w:sz w:val="18"/>
                <w:lang w:val="es-ES_tradnl"/>
              </w:rPr>
              <w:t>NOTA 9 </w:t>
            </w:r>
            <w:r w:rsidRPr="001868A7">
              <w:rPr>
                <w:rFonts w:eastAsia="MS PGothic"/>
                <w:sz w:val="18"/>
                <w:lang w:val="es-ES_tradnl"/>
              </w:rPr>
              <w:t>–</w:t>
            </w:r>
            <w:r w:rsidRPr="001868A7">
              <w:rPr>
                <w:sz w:val="18"/>
                <w:lang w:val="es-ES_tradnl"/>
              </w:rPr>
              <w:t> Este umbral debe tener en cuenta la potencia combinada de todas las fuentes de interferencia. El valor umbral no incluye ningún margen de seguridad.</w:t>
            </w:r>
          </w:p>
          <w:p w14:paraId="7419DBA5" w14:textId="642CDB5C" w:rsidR="00881739" w:rsidRPr="00881739" w:rsidRDefault="00881739" w:rsidP="00881739">
            <w:pPr>
              <w:pStyle w:val="TableLegendNote"/>
              <w:spacing w:before="60"/>
              <w:rPr>
                <w:sz w:val="18"/>
                <w:lang w:val="es-ES_tradnl"/>
              </w:rPr>
            </w:pPr>
            <w:r w:rsidRPr="001868A7">
              <w:rPr>
                <w:sz w:val="18"/>
                <w:lang w:val="es-ES_tradnl"/>
              </w:rPr>
              <w:t>NOTA 10 – Los valores indicados representan las características típicas de los receptores. Bajo ciertas condiciones podrían necesitarse valores más rígidos para algunos parámetros (por ejemplo, tiempo de recuperación tras una sobrecarga, valores umbral de la interferencia combinada, etc.).</w:t>
            </w:r>
          </w:p>
          <w:p w14:paraId="1F0C3AE9" w14:textId="77777777" w:rsidR="00881739" w:rsidRPr="001868A7" w:rsidRDefault="00881739" w:rsidP="00881739">
            <w:pPr>
              <w:pStyle w:val="TableLegendNote"/>
              <w:spacing w:before="60"/>
              <w:rPr>
                <w:sz w:val="18"/>
                <w:lang w:val="es-ES_tradnl"/>
              </w:rPr>
            </w:pPr>
            <w:r w:rsidRPr="001868A7">
              <w:rPr>
                <w:sz w:val="18"/>
                <w:lang w:val="es-ES_tradnl"/>
              </w:rPr>
              <w:t>NOTA 11 </w:t>
            </w:r>
            <w:r w:rsidRPr="001868A7">
              <w:rPr>
                <w:rFonts w:eastAsia="MS PGothic"/>
                <w:sz w:val="18"/>
                <w:lang w:val="es-ES_tradnl"/>
              </w:rPr>
              <w:t>–</w:t>
            </w:r>
            <w:r w:rsidRPr="001868A7">
              <w:rPr>
                <w:sz w:val="18"/>
                <w:lang w:val="es-ES_tradnl"/>
              </w:rPr>
              <w:t> La mínima ganancia de antena para un ángulo de elevación de 5</w:t>
            </w:r>
            <w:r w:rsidRPr="001868A7">
              <w:rPr>
                <w:sz w:val="18"/>
                <w:lang w:val="es-ES_tradnl"/>
              </w:rPr>
              <w:sym w:font="Symbol" w:char="F0B0"/>
            </w:r>
            <w:r w:rsidRPr="001868A7">
              <w:rPr>
                <w:sz w:val="18"/>
                <w:lang w:val="es-ES_tradnl"/>
              </w:rPr>
              <w:t xml:space="preserve"> es −5,5 </w:t>
            </w:r>
            <w:proofErr w:type="spellStart"/>
            <w:r w:rsidRPr="001868A7">
              <w:rPr>
                <w:sz w:val="18"/>
                <w:lang w:val="es-ES_tradnl"/>
              </w:rPr>
              <w:t>dBic</w:t>
            </w:r>
            <w:proofErr w:type="spellEnd"/>
            <w:r w:rsidRPr="001868A7">
              <w:rPr>
                <w:sz w:val="18"/>
                <w:lang w:val="es-ES_tradnl"/>
              </w:rPr>
              <w:t>.</w:t>
            </w:r>
          </w:p>
          <w:p w14:paraId="333CBAC3" w14:textId="77777777" w:rsidR="00881739" w:rsidRPr="001868A7" w:rsidRDefault="00881739" w:rsidP="00881739">
            <w:pPr>
              <w:pStyle w:val="TableLegendNote"/>
              <w:spacing w:before="60"/>
              <w:rPr>
                <w:color w:val="000000"/>
                <w:sz w:val="18"/>
                <w:lang w:val="es-ES_tradnl" w:eastAsia="ja-JP"/>
              </w:rPr>
            </w:pPr>
            <w:r w:rsidRPr="001868A7">
              <w:rPr>
                <w:sz w:val="18"/>
                <w:lang w:val="es-ES_tradnl" w:eastAsia="ja-JP"/>
              </w:rPr>
              <w:t xml:space="preserve">NOTA 12 – Dado que en algunas aplicaciones del receptor del SRNS la antena podría apuntarse potencialmente en cualquier dirección, la máxima ganancia de antena en el hemisferio inferior podría ser igual </w:t>
            </w:r>
            <w:r w:rsidRPr="001868A7">
              <w:rPr>
                <w:color w:val="000000"/>
                <w:sz w:val="18"/>
                <w:lang w:val="es-ES_tradnl" w:eastAsia="ja-JP"/>
              </w:rPr>
              <w:t>(en condiciones más desfavorables) a la del hemisferio superior.</w:t>
            </w:r>
          </w:p>
          <w:p w14:paraId="3BD59492" w14:textId="77777777" w:rsidR="00881739" w:rsidRPr="001868A7" w:rsidRDefault="00881739" w:rsidP="00881739">
            <w:pPr>
              <w:pStyle w:val="TableLegendNote"/>
              <w:spacing w:before="60"/>
              <w:rPr>
                <w:sz w:val="18"/>
                <w:lang w:val="es-ES_tradnl" w:eastAsia="ja-JP"/>
              </w:rPr>
            </w:pPr>
            <w:r w:rsidRPr="001868A7">
              <w:rPr>
                <w:sz w:val="18"/>
                <w:lang w:val="es-ES_tradnl" w:eastAsia="ja-JP"/>
              </w:rPr>
              <w:t xml:space="preserve">NOTA 13: Este nivel de saturación a la entrada del receptor se corresponde a la energía en un ancho de banda de 1 MHz. </w:t>
            </w:r>
          </w:p>
          <w:p w14:paraId="0CD3F5D8" w14:textId="0BB174B1" w:rsidR="00881739" w:rsidRPr="001868A7" w:rsidRDefault="00881739" w:rsidP="00881739">
            <w:pPr>
              <w:pStyle w:val="Tablelegend"/>
              <w:spacing w:before="120"/>
              <w:ind w:left="199" w:hanging="284"/>
              <w:rPr>
                <w:i/>
                <w:sz w:val="18"/>
                <w:lang w:val="es-ES_tradnl"/>
              </w:rPr>
            </w:pPr>
            <w:r w:rsidRPr="001868A7">
              <w:rPr>
                <w:sz w:val="18"/>
                <w:lang w:val="es-ES_tradnl" w:eastAsia="ja-JP"/>
              </w:rPr>
              <w:t>NOTA 14: Los valores de estas filas deben utilizarse para evaluar la interferencia procedente de fuentes impulsivas junto con la metodología descrita en la Recomendación UIT-R M.2030.</w:t>
            </w:r>
          </w:p>
        </w:tc>
      </w:tr>
    </w:tbl>
    <w:p w14:paraId="68AAEC67" w14:textId="77777777" w:rsidR="002B7933" w:rsidRPr="001868A7" w:rsidRDefault="002B7933" w:rsidP="002B7933">
      <w:pPr>
        <w:rPr>
          <w:lang w:val="es-ES_tradnl"/>
        </w:rPr>
      </w:pPr>
    </w:p>
    <w:p w14:paraId="003C1E4A" w14:textId="77777777" w:rsidR="002B7933" w:rsidRPr="001868A7" w:rsidRDefault="002B7933" w:rsidP="002B7933">
      <w:pPr>
        <w:jc w:val="center"/>
        <w:rPr>
          <w:lang w:val="es-ES_tradnl"/>
        </w:rPr>
      </w:pPr>
      <w:r w:rsidRPr="001868A7">
        <w:rPr>
          <w:lang w:val="es-ES_tradnl"/>
        </w:rPr>
        <w:t>______________</w:t>
      </w:r>
    </w:p>
    <w:p w14:paraId="1BFA81BA" w14:textId="77777777" w:rsidR="00574749" w:rsidRDefault="00574749" w:rsidP="0021735B">
      <w:pPr>
        <w:rPr>
          <w:lang w:val="es-ES_tradnl"/>
        </w:rPr>
      </w:pPr>
    </w:p>
    <w:sectPr w:rsidR="00574749" w:rsidSect="000C5A77">
      <w:headerReference w:type="even" r:id="rId16"/>
      <w:headerReference w:type="default" r:id="rId17"/>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DF36E" w14:textId="77777777" w:rsidR="00A07AEB" w:rsidRDefault="00A07AEB">
      <w:r>
        <w:separator/>
      </w:r>
    </w:p>
  </w:endnote>
  <w:endnote w:type="continuationSeparator" w:id="0">
    <w:p w14:paraId="349C0662" w14:textId="77777777"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F8A0B" w14:textId="77777777" w:rsidR="00A07AEB" w:rsidRDefault="00A07AEB">
      <w:r>
        <w:separator/>
      </w:r>
    </w:p>
  </w:footnote>
  <w:footnote w:type="continuationSeparator" w:id="0">
    <w:p w14:paraId="1C51EA6F" w14:textId="77777777" w:rsidR="00A07AEB" w:rsidRDefault="00A07AEB">
      <w:r>
        <w:continuationSeparator/>
      </w:r>
    </w:p>
  </w:footnote>
  <w:footnote w:id="1">
    <w:p w14:paraId="1D629B75" w14:textId="77777777" w:rsidR="002B7933" w:rsidRPr="00283FCD" w:rsidRDefault="002B7933" w:rsidP="002B7933">
      <w:pPr>
        <w:pStyle w:val="FootnoteText"/>
        <w:rPr>
          <w:lang w:val="es-ES"/>
        </w:rPr>
      </w:pPr>
      <w:r w:rsidRPr="00E7210C">
        <w:rPr>
          <w:rStyle w:val="FootnoteReference"/>
        </w:rPr>
        <w:footnoteRef/>
      </w:r>
      <w:r w:rsidRPr="00283FCD">
        <w:rPr>
          <w:lang w:val="es-ES"/>
        </w:rPr>
        <w:t xml:space="preserve"> </w:t>
      </w:r>
      <w:r w:rsidRPr="00283FCD">
        <w:rPr>
          <w:lang w:val="es-ES"/>
        </w:rPr>
        <w:tab/>
        <w:t>SBAS es un medio de proporcionar corrección de errores y datos de integridad en las mediciones regionales del SRNS a través de las señales de un satélite OSG.</w:t>
      </w:r>
    </w:p>
  </w:footnote>
  <w:footnote w:id="2">
    <w:p w14:paraId="6AF28F2D" w14:textId="77777777" w:rsidR="002B7933" w:rsidRPr="00283FCD" w:rsidRDefault="002B7933" w:rsidP="002B7933">
      <w:pPr>
        <w:pStyle w:val="FootnoteText"/>
        <w:rPr>
          <w:lang w:val="es-ES"/>
        </w:rPr>
      </w:pPr>
      <w:r w:rsidRPr="00E7210C">
        <w:rPr>
          <w:rStyle w:val="FootnoteReference"/>
        </w:rPr>
        <w:footnoteRef/>
      </w:r>
      <w:r w:rsidRPr="00283FCD">
        <w:rPr>
          <w:lang w:val="es-ES"/>
        </w:rPr>
        <w:tab/>
      </w:r>
      <w:r w:rsidRPr="00283FCD">
        <w:rPr>
          <w:color w:val="000000"/>
          <w:lang w:val="es-ES"/>
        </w:rPr>
        <w:t xml:space="preserve">Las señales L1 C/A y </w:t>
      </w:r>
      <w:r w:rsidRPr="00283FCD">
        <w:rPr>
          <w:lang w:val="es-ES"/>
        </w:rPr>
        <w:t>L1 P(Y) se encuentran en la banda de frecuencias del SRNS 1 559-1 610 MHz, mientras que las señales L2 P(Y) están en la banda 1 215-1 300 MHz del SRNS. En el Anexo 2 (GPS) a la Recomendación UIT-R M.1787 aparecen más detalles de estas señales.</w:t>
      </w:r>
    </w:p>
  </w:footnote>
  <w:footnote w:id="3">
    <w:p w14:paraId="766B97FF" w14:textId="77777777" w:rsidR="002B7933" w:rsidRPr="00283FCD" w:rsidRDefault="002B7933" w:rsidP="002B7933">
      <w:pPr>
        <w:pStyle w:val="FootnoteText"/>
        <w:rPr>
          <w:lang w:val="es-ES"/>
        </w:rPr>
      </w:pPr>
      <w:r w:rsidRPr="00E7210C">
        <w:rPr>
          <w:rStyle w:val="FootnoteReference"/>
        </w:rPr>
        <w:footnoteRef/>
      </w:r>
      <w:r w:rsidRPr="00E7210C">
        <w:rPr>
          <w:rStyle w:val="FootnoteReference"/>
        </w:rPr>
        <w:t xml:space="preserve"> </w:t>
      </w:r>
      <w:r w:rsidRPr="00283FCD">
        <w:rPr>
          <w:lang w:val="es-ES"/>
        </w:rPr>
        <w:tab/>
        <w:t>El código Y es un código P modificado y encriptado con la misma velocidad de chip y características de modulación que las del código P.</w:t>
      </w:r>
    </w:p>
  </w:footnote>
  <w:footnote w:id="4">
    <w:p w14:paraId="18B30C26" w14:textId="77777777" w:rsidR="002B7933" w:rsidRPr="00283FCD" w:rsidRDefault="002B7933" w:rsidP="002B7933">
      <w:pPr>
        <w:pStyle w:val="FootnoteText"/>
        <w:rPr>
          <w:lang w:val="es-ES"/>
        </w:rPr>
      </w:pPr>
      <w:r w:rsidRPr="00E7210C">
        <w:rPr>
          <w:rStyle w:val="FootnoteReference"/>
        </w:rPr>
        <w:footnoteRef/>
      </w:r>
      <w:r w:rsidRPr="00283FCD">
        <w:rPr>
          <w:lang w:val="es-ES"/>
        </w:rPr>
        <w:tab/>
        <w:t>En el Anexo 2 (GPS) a la Recomendación UIT</w:t>
      </w:r>
      <w:r w:rsidRPr="00283FCD">
        <w:rPr>
          <w:lang w:val="es-ES"/>
        </w:rPr>
        <w:noBreakHyphen/>
        <w:t>R M.1787 aparecen más detalles de la señal L2C.</w:t>
      </w:r>
    </w:p>
  </w:footnote>
  <w:footnote w:id="5">
    <w:p w14:paraId="27E5C0AF" w14:textId="77777777" w:rsidR="002B7933" w:rsidRPr="00283FCD" w:rsidRDefault="002B7933" w:rsidP="002B7933">
      <w:pPr>
        <w:pStyle w:val="FootnoteText"/>
        <w:rPr>
          <w:lang w:val="es-ES"/>
        </w:rPr>
      </w:pPr>
      <w:r w:rsidRPr="00E7210C">
        <w:rPr>
          <w:rStyle w:val="FootnoteReference"/>
        </w:rPr>
        <w:footnoteRef/>
      </w:r>
      <w:r w:rsidRPr="00283FCD">
        <w:rPr>
          <w:lang w:val="es-ES"/>
        </w:rPr>
        <w:tab/>
        <w:t xml:space="preserve">El término «AMDF» se refiere a la técnica de modulación mediante acceso múltiple por división de frecuencia en la cual todos los satélites del SRNS utilizan el mismo código de modulación, pero cada satélite transmite en una frecuencia portadora distinta. El término </w:t>
      </w:r>
      <w:r>
        <w:rPr>
          <w:lang w:val="es-ES"/>
        </w:rPr>
        <w:t>«</w:t>
      </w:r>
      <w:r w:rsidRPr="00283FCD">
        <w:rPr>
          <w:lang w:val="es-ES"/>
        </w:rPr>
        <w:t>AMDC</w:t>
      </w:r>
      <w:r>
        <w:rPr>
          <w:lang w:val="es-ES"/>
        </w:rPr>
        <w:t>»</w:t>
      </w:r>
      <w:r w:rsidRPr="00283FCD">
        <w:rPr>
          <w:lang w:val="es-ES"/>
        </w:rPr>
        <w:t xml:space="preserve"> se refiere a una técnica en la que todas las señales de satélites del SRNS se transmiten en la misma frecuencia portadora con diferentes códigos de modulación. En el Anexo 1 (GLONASS) y Anexo 2 (GPS) a la Recomendación UIT</w:t>
      </w:r>
      <w:r w:rsidRPr="00283FCD">
        <w:rPr>
          <w:lang w:val="es-ES"/>
        </w:rPr>
        <w:noBreakHyphen/>
        <w:t>R M.1787 figuran más detalles al respecto.</w:t>
      </w:r>
    </w:p>
  </w:footnote>
  <w:footnote w:id="6">
    <w:p w14:paraId="341DB9DD" w14:textId="77777777" w:rsidR="002B7933" w:rsidRPr="00283FCD" w:rsidRDefault="002B7933" w:rsidP="002B7933">
      <w:pPr>
        <w:pStyle w:val="FootnoteText"/>
        <w:rPr>
          <w:lang w:val="es-ES"/>
        </w:rPr>
      </w:pPr>
      <w:r w:rsidRPr="00E7210C">
        <w:rPr>
          <w:rStyle w:val="FootnoteReference"/>
        </w:rPr>
        <w:footnoteRef/>
      </w:r>
      <w:r w:rsidRPr="00283FCD">
        <w:rPr>
          <w:lang w:val="es-ES"/>
        </w:rPr>
        <w:tab/>
        <w:t>En el Anexo 4 (QZSS) a la Recomendación UIT</w:t>
      </w:r>
      <w:r w:rsidRPr="00283FCD">
        <w:rPr>
          <w:lang w:val="es-ES"/>
        </w:rPr>
        <w:noBreakHyphen/>
        <w:t>R M.1787 aparecen más detalles sobre la señal del SRNS.</w:t>
      </w:r>
    </w:p>
  </w:footnote>
  <w:footnote w:id="7">
    <w:p w14:paraId="73702747" w14:textId="77777777" w:rsidR="002B7933" w:rsidRPr="00283FCD" w:rsidRDefault="002B7933" w:rsidP="002B7933">
      <w:pPr>
        <w:pStyle w:val="FootnoteText"/>
        <w:rPr>
          <w:lang w:val="es-ES"/>
        </w:rPr>
      </w:pPr>
      <w:r w:rsidRPr="00283FCD">
        <w:rPr>
          <w:rStyle w:val="FootnoteReference"/>
          <w:lang w:val="es-ES"/>
        </w:rPr>
        <w:footnoteRef/>
      </w:r>
      <w:r w:rsidRPr="00283FCD">
        <w:rPr>
          <w:lang w:val="es-ES"/>
        </w:rPr>
        <w:t xml:space="preserve"> </w:t>
      </w:r>
      <w:r w:rsidRPr="00283FCD">
        <w:rPr>
          <w:sz w:val="18"/>
          <w:szCs w:val="18"/>
          <w:lang w:val="es-ES"/>
        </w:rPr>
        <w:tab/>
      </w:r>
      <w:r w:rsidRPr="00283FCD">
        <w:rPr>
          <w:lang w:val="es-ES"/>
        </w:rPr>
        <w:t>Por interferencia continua se entiende la interferencia causada por fuentes de potencia bastante constante que generalmente está presente en todo momento, a diferencia de la interferencia impulsiv</w:t>
      </w:r>
      <w:r>
        <w:rPr>
          <w:lang w:val="es-ES"/>
        </w:rPr>
        <w:t>a</w:t>
      </w:r>
      <w:r w:rsidRPr="00283FCD">
        <w:rPr>
          <w:lang w:val="es-ES"/>
        </w:rPr>
        <w:t xml:space="preserve"> que consiste en ráfagas de transmisión seguidas de per</w:t>
      </w:r>
      <w:r>
        <w:rPr>
          <w:lang w:val="es-ES"/>
        </w:rPr>
        <w:t>i</w:t>
      </w:r>
      <w:r w:rsidRPr="00283FCD">
        <w:rPr>
          <w:lang w:val="es-ES"/>
        </w:rPr>
        <w:t>odos sin transmisiones. La compatibilidad de esta última con el SRNS es función de la potencia y la duración de la ráfaga, y del ciclo de trabajo de la transmisión.</w:t>
      </w:r>
    </w:p>
  </w:footnote>
  <w:footnote w:id="8">
    <w:p w14:paraId="309FC063" w14:textId="77777777" w:rsidR="002B7933" w:rsidRPr="00283FCD" w:rsidRDefault="002B7933" w:rsidP="002B7933">
      <w:pPr>
        <w:pStyle w:val="FootnoteText"/>
        <w:rPr>
          <w:lang w:val="es-ES"/>
        </w:rPr>
      </w:pPr>
      <w:r w:rsidRPr="00E7210C">
        <w:rPr>
          <w:rStyle w:val="FootnoteReference"/>
        </w:rPr>
        <w:footnoteRef/>
      </w:r>
      <w:r w:rsidRPr="00283FCD">
        <w:rPr>
          <w:lang w:val="es-ES"/>
        </w:rPr>
        <w:tab/>
        <w:t>RTCA, con sede en Estados Unidos de América, y EUROCAE en Europa.</w:t>
      </w:r>
    </w:p>
  </w:footnote>
  <w:footnote w:id="9">
    <w:p w14:paraId="7BA45786" w14:textId="77777777" w:rsidR="002B7933" w:rsidRPr="00283FCD" w:rsidRDefault="002B7933" w:rsidP="002B7933">
      <w:pPr>
        <w:pStyle w:val="FootnoteText"/>
        <w:rPr>
          <w:lang w:val="es-ES"/>
        </w:rPr>
      </w:pPr>
      <w:r w:rsidRPr="00E7210C">
        <w:rPr>
          <w:rStyle w:val="FootnoteReference"/>
        </w:rPr>
        <w:footnoteRef/>
      </w:r>
      <w:r w:rsidRPr="008D36F8">
        <w:rPr>
          <w:lang w:val="en-US"/>
        </w:rPr>
        <w:tab/>
        <w:t>RTCA SC-159, «Assessment of the radio frequency interference relevant to the GNSS L5/E5A frequency band», RTCA Document No. </w:t>
      </w:r>
      <w:r w:rsidRPr="00283FCD">
        <w:rPr>
          <w:lang w:val="es-ES"/>
        </w:rPr>
        <w:t>RTCA/DO-292, Washington, DC, 29 de julio de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697FA" w14:textId="77777777"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A2EB0" w14:textId="77777777" w:rsidR="00042292" w:rsidRDefault="00044D65" w:rsidP="00CB1354">
    <w:pPr>
      <w:ind w:right="360" w:firstLine="360"/>
    </w:pPr>
    <w:r>
      <w:rPr>
        <w:noProof/>
        <w:lang w:val="en-US"/>
      </w:rPr>
      <w:drawing>
        <wp:anchor distT="0" distB="0" distL="114300" distR="114300" simplePos="0" relativeHeight="251656704" behindDoc="1" locked="0" layoutInCell="1" allowOverlap="1" wp14:anchorId="2F615D73" wp14:editId="454AD5D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958E9" w14:textId="22DE89EB"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AD7FAD">
      <w:rPr>
        <w:rStyle w:val="PageNumber"/>
        <w:b/>
        <w:bCs/>
        <w:noProof/>
      </w:rPr>
      <w:t>ii</w:t>
    </w:r>
    <w:r>
      <w:rPr>
        <w:rStyle w:val="PageNumber"/>
        <w:b/>
        <w:bCs/>
      </w:rPr>
      <w:fldChar w:fldCharType="end"/>
    </w:r>
    <w:r w:rsidR="00042292">
      <w:tab/>
    </w:r>
    <w:fldSimple w:instr=" DOCPROPERTY &quot;Header&quot; \* MERGEFORMAT ">
      <w:r w:rsidR="00E7210C" w:rsidRPr="00E7210C">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E7210C">
      <w:rPr>
        <w:b/>
        <w:bCs/>
        <w:noProof/>
      </w:rPr>
      <w:t>UIT-R  M.1902-1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58F51" w14:textId="39263DEB" w:rsidR="00042292" w:rsidRDefault="00042292">
    <w:r>
      <w:tab/>
    </w:r>
    <w:fldSimple w:instr=" DOCPROPERTY &quot;Header&quot; \* MERGEFORMAT ">
      <w:r w:rsidR="00E7210C" w:rsidRPr="00E7210C">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E7210C">
      <w:rPr>
        <w:b/>
        <w:bCs/>
        <w:noProof/>
      </w:rPr>
      <w:t>UIT-R  M.1902-1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EAD68" w14:textId="6C55A89D" w:rsidR="002B7933" w:rsidRDefault="002B7933" w:rsidP="00E24D4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tab/>
    </w:r>
    <w:fldSimple w:instr=" DOCPROPERTY &quot;Header&quot; \* MERGEFORMAT ">
      <w:r w:rsidR="00E7210C" w:rsidRPr="00E7210C">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7210C">
      <w:rPr>
        <w:b/>
        <w:bCs/>
        <w:noProof/>
      </w:rPr>
      <w:t>UIT-R  M.1902-1</w:t>
    </w:r>
    <w:r w:rsidRPr="001B395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698AB" w14:textId="1F1E60A1" w:rsidR="002B7933" w:rsidRDefault="002B7933" w:rsidP="00335F11">
    <w:pPr>
      <w:pStyle w:val="Header"/>
      <w:jc w:val="left"/>
    </w:pPr>
    <w:r>
      <w:tab/>
    </w:r>
    <w:fldSimple w:instr=" DOCPROPERTY &quot;Header&quot; \* MERGEFORMAT ">
      <w:r w:rsidR="00E7210C" w:rsidRPr="00E7210C">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7210C">
      <w:rPr>
        <w:b/>
        <w:bCs/>
        <w:noProof/>
      </w:rPr>
      <w:t>UIT-R  M.1902-1</w:t>
    </w:r>
    <w:r w:rsidRPr="001B395D">
      <w:rPr>
        <w:b/>
        <w:bCs/>
      </w:rPr>
      <w:fldChar w:fldCharType="end"/>
    </w:r>
    <w:r>
      <w:rPr>
        <w:b/>
        <w:bCs/>
      </w:rPr>
      <w:tab/>
    </w:r>
    <w:r w:rsidRPr="00335F11">
      <w:rPr>
        <w:b/>
        <w:bCs/>
      </w:rPr>
      <w:fldChar w:fldCharType="begin"/>
    </w:r>
    <w:r w:rsidRPr="00335F11">
      <w:rPr>
        <w:b/>
        <w:bCs/>
      </w:rPr>
      <w:instrText xml:space="preserve"> PAGE   \* MERGEFORMAT </w:instrText>
    </w:r>
    <w:r w:rsidRPr="00335F11">
      <w:rPr>
        <w:b/>
        <w:bCs/>
      </w:rPr>
      <w:fldChar w:fldCharType="separate"/>
    </w:r>
    <w:r>
      <w:rPr>
        <w:b/>
        <w:bCs/>
        <w:noProof/>
      </w:rPr>
      <w:t>5</w:t>
    </w:r>
    <w:r w:rsidRPr="00335F11">
      <w:rPr>
        <w:b/>
        <w:bCs/>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978D8" w14:textId="6EBFB95D" w:rsidR="00607D68" w:rsidRDefault="006870AA" w:rsidP="000C5A77">
    <w:pPr>
      <w:tabs>
        <w:tab w:val="clear" w:pos="794"/>
        <w:tab w:val="clear" w:pos="1191"/>
        <w:tab w:val="clear" w:pos="1588"/>
        <w:tab w:val="clear" w:pos="1985"/>
        <w:tab w:val="center" w:pos="7088"/>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7172BA">
      <w:rPr>
        <w:rStyle w:val="PageNumber"/>
        <w:b/>
        <w:bCs/>
        <w:noProof/>
        <w:lang w:val="en-US"/>
      </w:rPr>
      <w:t>2</w:t>
    </w:r>
    <w:r>
      <w:rPr>
        <w:rStyle w:val="PageNumber"/>
        <w:b/>
        <w:bCs/>
      </w:rPr>
      <w:fldChar w:fldCharType="end"/>
    </w:r>
    <w:r w:rsidR="00607D68">
      <w:rPr>
        <w:lang w:val="en-US"/>
      </w:rPr>
      <w:tab/>
    </w:r>
    <w:fldSimple w:instr=" DOCPROPERTY &quot;Header&quot; \* MERGEFORMAT ">
      <w:r w:rsidR="00E7210C" w:rsidRPr="00E7210C">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E7210C">
      <w:rPr>
        <w:b/>
        <w:bCs/>
        <w:noProof/>
        <w:lang w:val="en-US"/>
      </w:rPr>
      <w:t>UIT-R  M.1902-1</w:t>
    </w:r>
    <w:r>
      <w:rPr>
        <w:b/>
        <w:bCs/>
      </w:rPr>
      <w:fldChar w:fldCharType="end"/>
    </w:r>
  </w:p>
  <w:p w14:paraId="128DB7BC" w14:textId="77777777" w:rsidR="00427ED9" w:rsidRDefault="00427E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C1C3" w14:textId="21A7AB74" w:rsidR="00607D68" w:rsidRPr="001B395D" w:rsidRDefault="00F32218" w:rsidP="00881739">
    <w:pPr>
      <w:pStyle w:val="Header"/>
      <w:tabs>
        <w:tab w:val="clear" w:pos="4848"/>
        <w:tab w:val="clear" w:pos="9696"/>
        <w:tab w:val="center" w:pos="6946"/>
        <w:tab w:val="right" w:pos="14282"/>
      </w:tabs>
      <w:jc w:val="left"/>
      <w:rPr>
        <w:b/>
        <w:bCs/>
      </w:rPr>
    </w:pPr>
    <w:r>
      <w:tab/>
    </w:r>
    <w:fldSimple w:instr=" DOCPROPERTY &quot;Header&quot; \* MERGEFORMAT ">
      <w:r w:rsidR="00E7210C" w:rsidRPr="00E7210C">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E7210C">
      <w:rPr>
        <w:b/>
        <w:bCs/>
        <w:noProof/>
      </w:rPr>
      <w:t>UIT-R  M.1902-1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AD7FAD">
      <w:rPr>
        <w:rStyle w:val="PageNumber"/>
        <w:b/>
        <w:bCs/>
        <w:noProof/>
      </w:rPr>
      <w:t>1</w:t>
    </w:r>
    <w:r w:rsidRPr="00F32218">
      <w:rPr>
        <w:rStyle w:val="PageNumber"/>
        <w:b/>
        <w:bCs/>
        <w:noProof/>
      </w:rPr>
      <w:fldChar w:fldCharType="end"/>
    </w:r>
  </w:p>
  <w:p w14:paraId="290642A3" w14:textId="77777777" w:rsidR="00427ED9" w:rsidRDefault="00427E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03F25"/>
    <w:rsid w:val="00042292"/>
    <w:rsid w:val="00044D65"/>
    <w:rsid w:val="000C5A77"/>
    <w:rsid w:val="00111A59"/>
    <w:rsid w:val="001B26B3"/>
    <w:rsid w:val="001B2F46"/>
    <w:rsid w:val="001B395D"/>
    <w:rsid w:val="0021735B"/>
    <w:rsid w:val="002963EA"/>
    <w:rsid w:val="002B7933"/>
    <w:rsid w:val="002D76C4"/>
    <w:rsid w:val="00383195"/>
    <w:rsid w:val="00384656"/>
    <w:rsid w:val="00410F5B"/>
    <w:rsid w:val="00427ED9"/>
    <w:rsid w:val="004968C5"/>
    <w:rsid w:val="004E4FBE"/>
    <w:rsid w:val="005418BE"/>
    <w:rsid w:val="00567624"/>
    <w:rsid w:val="00574749"/>
    <w:rsid w:val="005755F5"/>
    <w:rsid w:val="00607D68"/>
    <w:rsid w:val="00616F70"/>
    <w:rsid w:val="006870AA"/>
    <w:rsid w:val="006E295C"/>
    <w:rsid w:val="006F3D6E"/>
    <w:rsid w:val="007172BA"/>
    <w:rsid w:val="0072064A"/>
    <w:rsid w:val="0076082A"/>
    <w:rsid w:val="00881739"/>
    <w:rsid w:val="008C67E6"/>
    <w:rsid w:val="00906075"/>
    <w:rsid w:val="00982F3A"/>
    <w:rsid w:val="00A07AEB"/>
    <w:rsid w:val="00A6617B"/>
    <w:rsid w:val="00A80825"/>
    <w:rsid w:val="00AB0DC8"/>
    <w:rsid w:val="00AD7FAD"/>
    <w:rsid w:val="00B42F17"/>
    <w:rsid w:val="00B44E24"/>
    <w:rsid w:val="00C36A75"/>
    <w:rsid w:val="00C411AF"/>
    <w:rsid w:val="00CB1354"/>
    <w:rsid w:val="00CF7F63"/>
    <w:rsid w:val="00D131B8"/>
    <w:rsid w:val="00D33FA3"/>
    <w:rsid w:val="00D4362D"/>
    <w:rsid w:val="00DF4176"/>
    <w:rsid w:val="00DF4734"/>
    <w:rsid w:val="00E704B6"/>
    <w:rsid w:val="00E7210C"/>
    <w:rsid w:val="00ED4181"/>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B97B8"/>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17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755F5"/>
    <w:pPr>
      <w:keepNext/>
      <w:keepLines/>
      <w:spacing w:before="480"/>
      <w:ind w:left="794" w:hanging="794"/>
      <w:outlineLvl w:val="0"/>
    </w:pPr>
    <w:rPr>
      <w:b/>
    </w:rPr>
  </w:style>
  <w:style w:type="paragraph" w:styleId="Heading2">
    <w:name w:val="heading 2"/>
    <w:basedOn w:val="Heading1"/>
    <w:next w:val="Normal"/>
    <w:link w:val="Heading2Char"/>
    <w:qFormat/>
    <w:rsid w:val="005755F5"/>
    <w:pPr>
      <w:spacing w:before="320"/>
      <w:outlineLvl w:val="1"/>
    </w:pPr>
  </w:style>
  <w:style w:type="paragraph" w:styleId="Heading3">
    <w:name w:val="heading 3"/>
    <w:basedOn w:val="Heading1"/>
    <w:next w:val="Normal"/>
    <w:link w:val="Heading3Char"/>
    <w:qFormat/>
    <w:rsid w:val="005755F5"/>
    <w:pPr>
      <w:spacing w:before="200"/>
      <w:outlineLvl w:val="2"/>
    </w:pPr>
  </w:style>
  <w:style w:type="paragraph" w:styleId="Heading4">
    <w:name w:val="heading 4"/>
    <w:basedOn w:val="Heading3"/>
    <w:next w:val="Normal"/>
    <w:qFormat/>
    <w:rsid w:val="005755F5"/>
    <w:pPr>
      <w:tabs>
        <w:tab w:val="clear" w:pos="794"/>
        <w:tab w:val="left" w:pos="992"/>
      </w:tabs>
      <w:ind w:left="992" w:hanging="992"/>
      <w:outlineLvl w:val="3"/>
    </w:pPr>
  </w:style>
  <w:style w:type="paragraph" w:styleId="Heading5">
    <w:name w:val="heading 5"/>
    <w:basedOn w:val="Heading4"/>
    <w:next w:val="Normal"/>
    <w:qFormat/>
    <w:rsid w:val="005755F5"/>
    <w:pPr>
      <w:outlineLvl w:val="4"/>
    </w:pPr>
  </w:style>
  <w:style w:type="paragraph" w:styleId="Heading6">
    <w:name w:val="heading 6"/>
    <w:basedOn w:val="Heading4"/>
    <w:next w:val="Normal"/>
    <w:qFormat/>
    <w:rsid w:val="005755F5"/>
    <w:pPr>
      <w:tabs>
        <w:tab w:val="clear" w:pos="992"/>
        <w:tab w:val="clear" w:pos="1191"/>
      </w:tabs>
      <w:ind w:left="1588" w:hanging="1588"/>
      <w:outlineLvl w:val="5"/>
    </w:pPr>
  </w:style>
  <w:style w:type="paragraph" w:styleId="Heading7">
    <w:name w:val="heading 7"/>
    <w:basedOn w:val="Heading6"/>
    <w:next w:val="Normal"/>
    <w:qFormat/>
    <w:rsid w:val="005755F5"/>
    <w:pPr>
      <w:outlineLvl w:val="6"/>
    </w:pPr>
  </w:style>
  <w:style w:type="paragraph" w:styleId="Heading8">
    <w:name w:val="heading 8"/>
    <w:basedOn w:val="Heading6"/>
    <w:next w:val="Normal"/>
    <w:qFormat/>
    <w:rsid w:val="005755F5"/>
    <w:pPr>
      <w:outlineLvl w:val="7"/>
    </w:pPr>
  </w:style>
  <w:style w:type="paragraph" w:styleId="Heading9">
    <w:name w:val="heading 9"/>
    <w:basedOn w:val="Heading6"/>
    <w:next w:val="Normal"/>
    <w:qFormat/>
    <w:rsid w:val="005755F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55F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755F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755F5"/>
  </w:style>
  <w:style w:type="paragraph" w:customStyle="1" w:styleId="Headingb">
    <w:name w:val="Heading_b"/>
    <w:basedOn w:val="Heading3"/>
    <w:next w:val="Normal"/>
    <w:rsid w:val="005755F5"/>
    <w:pPr>
      <w:spacing w:before="160"/>
      <w:ind w:left="0" w:firstLine="0"/>
      <w:outlineLvl w:val="9"/>
    </w:pPr>
  </w:style>
  <w:style w:type="paragraph" w:customStyle="1" w:styleId="Headingi">
    <w:name w:val="Heading_i"/>
    <w:basedOn w:val="Heading3"/>
    <w:next w:val="Normal"/>
    <w:rsid w:val="005755F5"/>
    <w:pPr>
      <w:spacing w:before="160"/>
      <w:ind w:left="0" w:firstLine="0"/>
    </w:pPr>
    <w:rPr>
      <w:b w:val="0"/>
      <w:i/>
    </w:rPr>
  </w:style>
  <w:style w:type="character" w:customStyle="1" w:styleId="href">
    <w:name w:val="href"/>
    <w:basedOn w:val="DefaultParagraphFont"/>
    <w:rsid w:val="005755F5"/>
  </w:style>
  <w:style w:type="paragraph" w:customStyle="1" w:styleId="enumlev1">
    <w:name w:val="enumlev1"/>
    <w:basedOn w:val="Normal"/>
    <w:link w:val="enumlev1Char"/>
    <w:rsid w:val="005755F5"/>
    <w:pPr>
      <w:spacing w:before="80"/>
      <w:ind w:left="794" w:hanging="794"/>
    </w:pPr>
  </w:style>
  <w:style w:type="paragraph" w:customStyle="1" w:styleId="enumlev2">
    <w:name w:val="enumlev2"/>
    <w:basedOn w:val="enumlev1"/>
    <w:rsid w:val="005755F5"/>
    <w:pPr>
      <w:ind w:left="1191" w:hanging="397"/>
    </w:pPr>
  </w:style>
  <w:style w:type="paragraph" w:customStyle="1" w:styleId="enumlev3">
    <w:name w:val="enumlev3"/>
    <w:basedOn w:val="enumlev2"/>
    <w:rsid w:val="005755F5"/>
    <w:pPr>
      <w:ind w:left="1588"/>
    </w:pPr>
  </w:style>
  <w:style w:type="paragraph" w:customStyle="1" w:styleId="Normalaftertitle">
    <w:name w:val="Normal_after_title"/>
    <w:basedOn w:val="Normal"/>
    <w:next w:val="Normal"/>
    <w:rsid w:val="005755F5"/>
    <w:pPr>
      <w:spacing w:before="320"/>
    </w:pPr>
  </w:style>
  <w:style w:type="paragraph" w:customStyle="1" w:styleId="Note">
    <w:name w:val="Note"/>
    <w:basedOn w:val="Normal"/>
    <w:rsid w:val="005755F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755F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755F5"/>
    <w:pPr>
      <w:spacing w:before="240"/>
    </w:pPr>
    <w:rPr>
      <w:sz w:val="22"/>
      <w:lang w:val="es-ES_tradnl"/>
    </w:rPr>
  </w:style>
  <w:style w:type="paragraph" w:customStyle="1" w:styleId="Recref">
    <w:name w:val="Rec_ref"/>
    <w:basedOn w:val="Normal"/>
    <w:next w:val="Recdate"/>
    <w:rsid w:val="005755F5"/>
    <w:pPr>
      <w:jc w:val="center"/>
    </w:pPr>
  </w:style>
  <w:style w:type="paragraph" w:customStyle="1" w:styleId="Recdate">
    <w:name w:val="Rec_date"/>
    <w:basedOn w:val="Recref"/>
    <w:next w:val="Normalaftertitle"/>
    <w:rsid w:val="005755F5"/>
    <w:pPr>
      <w:jc w:val="right"/>
    </w:pPr>
  </w:style>
  <w:style w:type="paragraph" w:customStyle="1" w:styleId="AnnexNoTitle">
    <w:name w:val="Annex_NoTitle"/>
    <w:basedOn w:val="Normal"/>
    <w:next w:val="Normalaftertitle"/>
    <w:rsid w:val="005755F5"/>
    <w:pPr>
      <w:keepNext/>
      <w:keepLines/>
      <w:spacing w:before="480" w:after="80"/>
      <w:jc w:val="center"/>
    </w:pPr>
    <w:rPr>
      <w:b/>
      <w:sz w:val="28"/>
    </w:rPr>
  </w:style>
  <w:style w:type="paragraph" w:customStyle="1" w:styleId="AppendixNoTitle">
    <w:name w:val="Appendix_NoTitle"/>
    <w:basedOn w:val="AnnexNoTitle"/>
    <w:next w:val="Normal"/>
    <w:rsid w:val="005755F5"/>
  </w:style>
  <w:style w:type="paragraph" w:customStyle="1" w:styleId="Tablefin">
    <w:name w:val="Table_fin"/>
    <w:basedOn w:val="Normal"/>
    <w:next w:val="Normal"/>
    <w:rsid w:val="005755F5"/>
    <w:pPr>
      <w:spacing w:before="0"/>
    </w:pPr>
    <w:rPr>
      <w:sz w:val="20"/>
      <w:lang w:val="en-GB"/>
    </w:rPr>
  </w:style>
  <w:style w:type="paragraph" w:customStyle="1" w:styleId="Tablehead">
    <w:name w:val="Table_head"/>
    <w:basedOn w:val="Normal"/>
    <w:next w:val="Normal"/>
    <w:link w:val="TableheadChar"/>
    <w:rsid w:val="005755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755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755F5"/>
    <w:pPr>
      <w:keepNext/>
      <w:spacing w:before="360" w:after="120"/>
      <w:jc w:val="center"/>
    </w:pPr>
  </w:style>
  <w:style w:type="paragraph" w:customStyle="1" w:styleId="Tabletext">
    <w:name w:val="Table_text"/>
    <w:basedOn w:val="Normal"/>
    <w:link w:val="TabletextChar"/>
    <w:rsid w:val="005755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755F5"/>
    <w:pPr>
      <w:tabs>
        <w:tab w:val="clear" w:pos="1191"/>
        <w:tab w:val="clear" w:pos="1588"/>
        <w:tab w:val="clear" w:pos="1985"/>
        <w:tab w:val="center" w:pos="4820"/>
        <w:tab w:val="right" w:pos="9639"/>
      </w:tabs>
    </w:pPr>
  </w:style>
  <w:style w:type="paragraph" w:customStyle="1" w:styleId="Equationlegend">
    <w:name w:val="Equation_legend"/>
    <w:basedOn w:val="NormalIndent"/>
    <w:rsid w:val="005755F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755F5"/>
    <w:pPr>
      <w:ind w:left="794"/>
    </w:pPr>
  </w:style>
  <w:style w:type="paragraph" w:customStyle="1" w:styleId="Figurelegend">
    <w:name w:val="Figure_legend"/>
    <w:basedOn w:val="Normal"/>
    <w:rsid w:val="005755F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755F5"/>
    <w:pPr>
      <w:keepNext/>
      <w:keepLines/>
      <w:spacing w:before="480" w:after="80"/>
      <w:jc w:val="center"/>
    </w:pPr>
    <w:rPr>
      <w:caps/>
      <w:sz w:val="18"/>
    </w:rPr>
  </w:style>
  <w:style w:type="paragraph" w:customStyle="1" w:styleId="tocpart">
    <w:name w:val="tocpart"/>
    <w:basedOn w:val="Normal"/>
    <w:rsid w:val="005755F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755F5"/>
    <w:pPr>
      <w:keepNext/>
      <w:keepLines/>
      <w:spacing w:before="480"/>
      <w:jc w:val="center"/>
    </w:pPr>
    <w:rPr>
      <w:sz w:val="28"/>
    </w:rPr>
  </w:style>
  <w:style w:type="paragraph" w:customStyle="1" w:styleId="Arttitle">
    <w:name w:val="Art_title"/>
    <w:basedOn w:val="Normal"/>
    <w:next w:val="Normalaftertitle"/>
    <w:rsid w:val="005755F5"/>
    <w:pPr>
      <w:keepNext/>
      <w:keepLines/>
      <w:spacing w:before="240"/>
      <w:jc w:val="center"/>
    </w:pPr>
    <w:rPr>
      <w:b/>
      <w:sz w:val="28"/>
    </w:rPr>
  </w:style>
  <w:style w:type="paragraph" w:customStyle="1" w:styleId="Blanc">
    <w:name w:val="Blanc"/>
    <w:basedOn w:val="Normal"/>
    <w:next w:val="Tabletext"/>
    <w:rsid w:val="005755F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755F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755F5"/>
    <w:pPr>
      <w:keepNext/>
      <w:keepLines/>
      <w:spacing w:before="160"/>
      <w:ind w:left="794"/>
    </w:pPr>
    <w:rPr>
      <w:i/>
    </w:rPr>
  </w:style>
  <w:style w:type="paragraph" w:customStyle="1" w:styleId="ChapNo">
    <w:name w:val="Chap_No"/>
    <w:basedOn w:val="ArtNo"/>
    <w:next w:val="Chaptitle"/>
    <w:rsid w:val="005755F5"/>
    <w:rPr>
      <w:b/>
    </w:rPr>
  </w:style>
  <w:style w:type="paragraph" w:customStyle="1" w:styleId="Chaptitle">
    <w:name w:val="Chap_title"/>
    <w:basedOn w:val="Arttitle"/>
    <w:next w:val="Normalaftertitle"/>
    <w:rsid w:val="005755F5"/>
  </w:style>
  <w:style w:type="character" w:styleId="FootnoteReference">
    <w:name w:val="footnote reference"/>
    <w:basedOn w:val="DefaultParagraphFont"/>
    <w:rsid w:val="005755F5"/>
    <w:rPr>
      <w:position w:val="6"/>
      <w:sz w:val="18"/>
    </w:rPr>
  </w:style>
  <w:style w:type="paragraph" w:styleId="FootnoteText">
    <w:name w:val="footnote text"/>
    <w:basedOn w:val="Normal"/>
    <w:link w:val="FootnoteTextChar"/>
    <w:rsid w:val="005755F5"/>
    <w:pPr>
      <w:keepLines/>
      <w:tabs>
        <w:tab w:val="left" w:pos="255"/>
      </w:tabs>
      <w:ind w:left="255" w:hanging="255"/>
    </w:pPr>
    <w:rPr>
      <w:sz w:val="22"/>
    </w:rPr>
  </w:style>
  <w:style w:type="paragraph" w:styleId="Index1">
    <w:name w:val="index 1"/>
    <w:basedOn w:val="Normal"/>
    <w:next w:val="Normal"/>
    <w:semiHidden/>
    <w:rsid w:val="005755F5"/>
  </w:style>
  <w:style w:type="paragraph" w:styleId="Index2">
    <w:name w:val="index 2"/>
    <w:basedOn w:val="Normal"/>
    <w:next w:val="Normal"/>
    <w:semiHidden/>
    <w:rsid w:val="005755F5"/>
    <w:pPr>
      <w:ind w:left="283"/>
    </w:pPr>
  </w:style>
  <w:style w:type="paragraph" w:styleId="Index3">
    <w:name w:val="index 3"/>
    <w:basedOn w:val="Normal"/>
    <w:next w:val="Normal"/>
    <w:semiHidden/>
    <w:rsid w:val="005755F5"/>
    <w:pPr>
      <w:ind w:left="566"/>
    </w:pPr>
  </w:style>
  <w:style w:type="paragraph" w:styleId="IndexHeading">
    <w:name w:val="index heading"/>
    <w:basedOn w:val="Normal"/>
    <w:next w:val="Index1"/>
    <w:semiHidden/>
    <w:rsid w:val="005755F5"/>
  </w:style>
  <w:style w:type="paragraph" w:customStyle="1" w:styleId="Line">
    <w:name w:val="Line"/>
    <w:basedOn w:val="Normal"/>
    <w:next w:val="Normal"/>
    <w:rsid w:val="005755F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755F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755F5"/>
  </w:style>
  <w:style w:type="paragraph" w:customStyle="1" w:styleId="Partref">
    <w:name w:val="Part_ref"/>
    <w:basedOn w:val="Normal"/>
    <w:next w:val="Normal"/>
    <w:rsid w:val="005755F5"/>
    <w:pPr>
      <w:keepNext/>
      <w:keepLines/>
      <w:spacing w:after="280"/>
      <w:jc w:val="center"/>
    </w:pPr>
  </w:style>
  <w:style w:type="paragraph" w:customStyle="1" w:styleId="Parttitle">
    <w:name w:val="Part_title"/>
    <w:basedOn w:val="Normal"/>
    <w:next w:val="Normalaftertitle"/>
    <w:rsid w:val="005755F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755F5"/>
  </w:style>
  <w:style w:type="paragraph" w:customStyle="1" w:styleId="QuestionNo">
    <w:name w:val="Question_No"/>
    <w:basedOn w:val="RecNo"/>
    <w:next w:val="Normal"/>
    <w:rsid w:val="005755F5"/>
  </w:style>
  <w:style w:type="paragraph" w:customStyle="1" w:styleId="Questionref">
    <w:name w:val="Question_ref"/>
    <w:basedOn w:val="Recref"/>
    <w:next w:val="Questiondate"/>
    <w:rsid w:val="005755F5"/>
  </w:style>
  <w:style w:type="paragraph" w:customStyle="1" w:styleId="Questiontitle">
    <w:name w:val="Question_title"/>
    <w:basedOn w:val="Normal"/>
    <w:next w:val="Questionref"/>
    <w:rsid w:val="005755F5"/>
  </w:style>
  <w:style w:type="paragraph" w:customStyle="1" w:styleId="Reftext">
    <w:name w:val="Ref_text"/>
    <w:basedOn w:val="Normal"/>
    <w:rsid w:val="005755F5"/>
    <w:pPr>
      <w:ind w:left="794" w:hanging="794"/>
    </w:pPr>
    <w:rPr>
      <w:sz w:val="22"/>
    </w:rPr>
  </w:style>
  <w:style w:type="paragraph" w:customStyle="1" w:styleId="Reftitle">
    <w:name w:val="Ref_title"/>
    <w:basedOn w:val="Normal"/>
    <w:next w:val="Reftext"/>
    <w:rsid w:val="005755F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755F5"/>
  </w:style>
  <w:style w:type="paragraph" w:customStyle="1" w:styleId="RepNo">
    <w:name w:val="Rep_No"/>
    <w:basedOn w:val="RecNo"/>
    <w:next w:val="Reptitle"/>
    <w:rsid w:val="005755F5"/>
  </w:style>
  <w:style w:type="paragraph" w:customStyle="1" w:styleId="Repref">
    <w:name w:val="Rep_ref"/>
    <w:basedOn w:val="Recref"/>
    <w:next w:val="Repdate"/>
    <w:rsid w:val="005755F5"/>
  </w:style>
  <w:style w:type="paragraph" w:customStyle="1" w:styleId="Reptitle">
    <w:name w:val="Rep_title"/>
    <w:basedOn w:val="Rectitle"/>
    <w:next w:val="Repref"/>
    <w:rsid w:val="005755F5"/>
  </w:style>
  <w:style w:type="paragraph" w:customStyle="1" w:styleId="Resdate">
    <w:name w:val="Res_date"/>
    <w:basedOn w:val="Recdate"/>
    <w:next w:val="Normalaftertitle"/>
    <w:rsid w:val="005755F5"/>
  </w:style>
  <w:style w:type="paragraph" w:customStyle="1" w:styleId="ResNo">
    <w:name w:val="Res_No"/>
    <w:basedOn w:val="RecNo"/>
    <w:next w:val="Restitle"/>
    <w:rsid w:val="005755F5"/>
  </w:style>
  <w:style w:type="paragraph" w:customStyle="1" w:styleId="Resref">
    <w:name w:val="Res_ref"/>
    <w:basedOn w:val="Recref"/>
    <w:next w:val="Resdate"/>
    <w:rsid w:val="005755F5"/>
  </w:style>
  <w:style w:type="paragraph" w:customStyle="1" w:styleId="Restitle">
    <w:name w:val="Res_title"/>
    <w:basedOn w:val="Normal"/>
    <w:next w:val="Resref"/>
    <w:rsid w:val="005755F5"/>
    <w:pPr>
      <w:spacing w:before="240"/>
      <w:jc w:val="center"/>
    </w:pPr>
    <w:rPr>
      <w:b/>
      <w:sz w:val="28"/>
    </w:rPr>
  </w:style>
  <w:style w:type="paragraph" w:customStyle="1" w:styleId="SectionNo">
    <w:name w:val="Section_No"/>
    <w:basedOn w:val="Normal"/>
    <w:next w:val="Normal"/>
    <w:rsid w:val="005755F5"/>
  </w:style>
  <w:style w:type="paragraph" w:customStyle="1" w:styleId="Sectiontitle">
    <w:name w:val="Section_title"/>
    <w:basedOn w:val="Normal"/>
    <w:next w:val="Normalaftertitle"/>
    <w:rsid w:val="005755F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755F5"/>
    <w:pPr>
      <w:tabs>
        <w:tab w:val="clear" w:pos="794"/>
        <w:tab w:val="clear" w:pos="1191"/>
        <w:tab w:val="clear" w:pos="1588"/>
        <w:tab w:val="clear" w:pos="1985"/>
        <w:tab w:val="right" w:pos="9611"/>
      </w:tabs>
    </w:pPr>
    <w:rPr>
      <w:i/>
    </w:rPr>
  </w:style>
  <w:style w:type="paragraph" w:styleId="TOC1">
    <w:name w:val="toc 1"/>
    <w:basedOn w:val="Normal"/>
    <w:rsid w:val="005755F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755F5"/>
    <w:pPr>
      <w:tabs>
        <w:tab w:val="clear" w:pos="567"/>
        <w:tab w:val="left" w:pos="1276"/>
      </w:tabs>
      <w:spacing w:before="160"/>
      <w:ind w:left="1276" w:hanging="709"/>
    </w:pPr>
  </w:style>
  <w:style w:type="paragraph" w:styleId="TOC3">
    <w:name w:val="toc 3"/>
    <w:basedOn w:val="TOC2"/>
    <w:semiHidden/>
    <w:rsid w:val="005755F5"/>
    <w:pPr>
      <w:tabs>
        <w:tab w:val="clear" w:pos="1276"/>
        <w:tab w:val="left" w:pos="2155"/>
      </w:tabs>
      <w:ind w:left="2155" w:hanging="879"/>
    </w:pPr>
  </w:style>
  <w:style w:type="paragraph" w:styleId="TOC4">
    <w:name w:val="toc 4"/>
    <w:basedOn w:val="TOC3"/>
    <w:semiHidden/>
    <w:rsid w:val="005755F5"/>
    <w:pPr>
      <w:tabs>
        <w:tab w:val="left" w:pos="3261"/>
      </w:tabs>
      <w:spacing w:before="80"/>
      <w:ind w:left="3261" w:hanging="993"/>
    </w:pPr>
  </w:style>
  <w:style w:type="paragraph" w:styleId="TOC5">
    <w:name w:val="toc 5"/>
    <w:basedOn w:val="TOC4"/>
    <w:semiHidden/>
    <w:rsid w:val="005755F5"/>
  </w:style>
  <w:style w:type="paragraph" w:styleId="TOC6">
    <w:name w:val="toc 6"/>
    <w:basedOn w:val="TOC4"/>
    <w:semiHidden/>
    <w:rsid w:val="005755F5"/>
  </w:style>
  <w:style w:type="paragraph" w:styleId="TOC7">
    <w:name w:val="toc 7"/>
    <w:basedOn w:val="TOC4"/>
    <w:semiHidden/>
    <w:rsid w:val="005755F5"/>
  </w:style>
  <w:style w:type="paragraph" w:styleId="TOC8">
    <w:name w:val="toc 8"/>
    <w:basedOn w:val="TOC4"/>
    <w:semiHidden/>
    <w:rsid w:val="005755F5"/>
  </w:style>
  <w:style w:type="paragraph" w:customStyle="1" w:styleId="Rectitle">
    <w:name w:val="Rec_title"/>
    <w:basedOn w:val="Normal"/>
    <w:next w:val="Recref"/>
    <w:link w:val="Rectitle0"/>
    <w:rsid w:val="005755F5"/>
    <w:pPr>
      <w:keepNext/>
      <w:keepLines/>
      <w:spacing w:before="240"/>
      <w:jc w:val="center"/>
    </w:pPr>
    <w:rPr>
      <w:b/>
      <w:sz w:val="28"/>
    </w:rPr>
  </w:style>
  <w:style w:type="paragraph" w:customStyle="1" w:styleId="Annexref">
    <w:name w:val="Annex_ref"/>
    <w:basedOn w:val="Normal"/>
    <w:next w:val="Normalaftertitle"/>
    <w:rsid w:val="005755F5"/>
    <w:pPr>
      <w:keepNext/>
      <w:keepLines/>
      <w:spacing w:after="280"/>
      <w:jc w:val="center"/>
    </w:pPr>
  </w:style>
  <w:style w:type="paragraph" w:customStyle="1" w:styleId="Appendixref">
    <w:name w:val="Appendix_ref"/>
    <w:basedOn w:val="Annexref"/>
    <w:next w:val="Normalaftertitle"/>
    <w:rsid w:val="005755F5"/>
  </w:style>
  <w:style w:type="paragraph" w:customStyle="1" w:styleId="Figuretitle">
    <w:name w:val="Figure_title"/>
    <w:basedOn w:val="Normal"/>
    <w:next w:val="Figure"/>
    <w:rsid w:val="005755F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755F5"/>
    <w:pPr>
      <w:keepNext/>
      <w:spacing w:before="0" w:after="120"/>
      <w:jc w:val="center"/>
    </w:pPr>
    <w:rPr>
      <w:b/>
    </w:rPr>
  </w:style>
  <w:style w:type="paragraph" w:customStyle="1" w:styleId="Summary">
    <w:name w:val="Summary"/>
    <w:basedOn w:val="Normal"/>
    <w:next w:val="Normalaftertitle"/>
    <w:autoRedefine/>
    <w:rsid w:val="005755F5"/>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5755F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755F5"/>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2B7933"/>
    <w:rPr>
      <w:b/>
      <w:sz w:val="24"/>
      <w:lang w:val="fr-FR" w:eastAsia="en-US"/>
    </w:rPr>
  </w:style>
  <w:style w:type="character" w:customStyle="1" w:styleId="FootnoteTextChar">
    <w:name w:val="Footnote Text Char"/>
    <w:basedOn w:val="DefaultParagraphFont"/>
    <w:link w:val="FootnoteText"/>
    <w:rsid w:val="002B7933"/>
    <w:rPr>
      <w:sz w:val="22"/>
      <w:lang w:val="fr-FR" w:eastAsia="en-US"/>
    </w:rPr>
  </w:style>
  <w:style w:type="character" w:customStyle="1" w:styleId="enumlev1Char">
    <w:name w:val="enumlev1 Char"/>
    <w:link w:val="enumlev1"/>
    <w:locked/>
    <w:rsid w:val="002B7933"/>
    <w:rPr>
      <w:sz w:val="24"/>
      <w:lang w:val="fr-FR" w:eastAsia="en-US"/>
    </w:rPr>
  </w:style>
  <w:style w:type="character" w:customStyle="1" w:styleId="Rectitle0">
    <w:name w:val="Rec_title Знак"/>
    <w:link w:val="Rectitle"/>
    <w:locked/>
    <w:rsid w:val="002B7933"/>
    <w:rPr>
      <w:b/>
      <w:sz w:val="28"/>
      <w:lang w:val="fr-FR" w:eastAsia="en-US"/>
    </w:rPr>
  </w:style>
  <w:style w:type="character" w:customStyle="1" w:styleId="TableNo0">
    <w:name w:val="Table_No Знак"/>
    <w:link w:val="TableNo"/>
    <w:locked/>
    <w:rsid w:val="002B7933"/>
    <w:rPr>
      <w:sz w:val="24"/>
      <w:lang w:val="fr-FR" w:eastAsia="en-US"/>
    </w:rPr>
  </w:style>
  <w:style w:type="character" w:customStyle="1" w:styleId="Tabletitle0">
    <w:name w:val="Table_title Знак"/>
    <w:link w:val="Tabletitle"/>
    <w:locked/>
    <w:rsid w:val="002B793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37C67-C421-4997-843F-D1634A72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13</Pages>
  <Words>5074</Words>
  <Characters>26942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31953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9</cp:revision>
  <cp:lastPrinted>2020-06-12T07:21:00Z</cp:lastPrinted>
  <dcterms:created xsi:type="dcterms:W3CDTF">2020-06-11T13:33:00Z</dcterms:created>
  <dcterms:modified xsi:type="dcterms:W3CDTF">2020-06-12T07:24:00Z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