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p w:rsidR="0099568F" w:rsidRDefault="0099568F" w:rsidP="0099568F"/>
    <w:tbl>
      <w:tblPr>
        <w:tblW w:w="10089" w:type="dxa"/>
        <w:tblLook w:val="01E0" w:firstRow="1" w:lastRow="1" w:firstColumn="1" w:lastColumn="1" w:noHBand="0" w:noVBand="0"/>
      </w:tblPr>
      <w:tblGrid>
        <w:gridCol w:w="10089"/>
      </w:tblGrid>
      <w:tr w:rsidR="0099568F" w:rsidRPr="00A443C2" w:rsidTr="008B2B4E">
        <w:tc>
          <w:tcPr>
            <w:tcW w:w="10089" w:type="dxa"/>
          </w:tcPr>
          <w:p w:rsidR="0099568F" w:rsidRPr="00B033C8" w:rsidRDefault="0099568F" w:rsidP="008B2B4E">
            <w:pPr>
              <w:spacing w:before="380" w:line="280" w:lineRule="exact"/>
              <w:jc w:val="right"/>
              <w:rPr>
                <w:rFonts w:ascii="Tahoma" w:hAnsi="Tahoma" w:cs="Tahoma"/>
                <w:b/>
                <w:bCs/>
                <w:iCs/>
                <w:color w:val="243285"/>
                <w:sz w:val="32"/>
                <w:szCs w:val="32"/>
                <w:lang w:val="en-US"/>
              </w:rPr>
            </w:pPr>
          </w:p>
          <w:p w:rsidR="0099568F" w:rsidRPr="00A443C2" w:rsidRDefault="0099568F" w:rsidP="00D52E2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D52E22">
              <w:rPr>
                <w:rFonts w:ascii="Tahoma" w:hAnsi="Tahoma" w:cs="Tahoma"/>
                <w:b/>
                <w:bCs/>
                <w:iCs/>
                <w:color w:val="243285"/>
                <w:sz w:val="36"/>
                <w:szCs w:val="36"/>
              </w:rPr>
              <w:t>1902</w:t>
            </w:r>
          </w:p>
          <w:p w:rsidR="0099568F" w:rsidRPr="00A443C2" w:rsidRDefault="0099568F" w:rsidP="00EF671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F671E">
              <w:rPr>
                <w:rFonts w:ascii="Tahoma" w:hAnsi="Tahoma" w:cs="Tahoma"/>
                <w:b/>
                <w:bCs/>
                <w:iCs/>
                <w:color w:val="243285"/>
                <w:szCs w:val="24"/>
              </w:rPr>
              <w:t>1</w:t>
            </w:r>
            <w:r w:rsidRPr="00A443C2">
              <w:rPr>
                <w:rFonts w:ascii="Tahoma" w:hAnsi="Tahoma" w:cs="Tahoma"/>
                <w:b/>
                <w:bCs/>
                <w:iCs/>
                <w:color w:val="243285"/>
                <w:szCs w:val="24"/>
              </w:rPr>
              <w:t>/</w:t>
            </w:r>
            <w:r w:rsidR="00EF671E">
              <w:rPr>
                <w:rFonts w:ascii="Tahoma" w:hAnsi="Tahoma" w:cs="Tahoma"/>
                <w:b/>
                <w:bCs/>
                <w:iCs/>
                <w:color w:val="243285"/>
                <w:szCs w:val="24"/>
              </w:rPr>
              <w:t>2012</w:t>
            </w:r>
            <w:r w:rsidRPr="00A443C2">
              <w:rPr>
                <w:rFonts w:ascii="Tahoma" w:hAnsi="Tahoma" w:cs="Tahoma"/>
                <w:b/>
                <w:bCs/>
                <w:iCs/>
                <w:color w:val="243285"/>
                <w:szCs w:val="24"/>
              </w:rPr>
              <w:t>)</w:t>
            </w:r>
          </w:p>
        </w:tc>
      </w:tr>
      <w:tr w:rsidR="0099568F" w:rsidRPr="00F54FBD" w:rsidTr="008B2B4E">
        <w:tc>
          <w:tcPr>
            <w:tcW w:w="10089" w:type="dxa"/>
          </w:tcPr>
          <w:p w:rsidR="0099568F" w:rsidRDefault="0099568F" w:rsidP="008B2B4E">
            <w:pPr>
              <w:spacing w:before="80" w:line="500" w:lineRule="exact"/>
              <w:jc w:val="right"/>
              <w:rPr>
                <w:rFonts w:ascii="Tahoma" w:hAnsi="Tahoma" w:cs="Tahoma"/>
                <w:b/>
                <w:bCs/>
                <w:iCs/>
                <w:color w:val="243285"/>
                <w:sz w:val="44"/>
                <w:szCs w:val="44"/>
              </w:rPr>
            </w:pPr>
          </w:p>
          <w:p w:rsidR="0099568F" w:rsidRDefault="001A1B0B" w:rsidP="001A1B0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et critères de protection applicables aux stations terriennes de réception du service de radionavigation par satellite (espace vers Terre) fonctionnant dans la bande 1 215-1 300 MHz</w:t>
            </w:r>
          </w:p>
          <w:p w:rsidR="0099568F" w:rsidRPr="00F54FBD" w:rsidRDefault="0099568F" w:rsidP="008B2B4E">
            <w:pPr>
              <w:spacing w:before="80" w:line="500" w:lineRule="exact"/>
              <w:jc w:val="right"/>
              <w:rPr>
                <w:rFonts w:ascii="Tahoma" w:hAnsi="Tahoma" w:cs="Tahoma"/>
                <w:b/>
                <w:bCs/>
                <w:iCs/>
                <w:color w:val="243285"/>
                <w:sz w:val="44"/>
                <w:szCs w:val="44"/>
              </w:rPr>
            </w:pPr>
          </w:p>
        </w:tc>
      </w:tr>
      <w:tr w:rsidR="0099568F" w:rsidRPr="00F54FBD" w:rsidTr="008B2B4E">
        <w:tc>
          <w:tcPr>
            <w:tcW w:w="10089" w:type="dxa"/>
          </w:tcPr>
          <w:p w:rsidR="0099568F" w:rsidRPr="00F54FBD" w:rsidRDefault="0099568F" w:rsidP="008B2B4E">
            <w:pPr>
              <w:spacing w:before="80" w:line="280" w:lineRule="exact"/>
              <w:ind w:right="640"/>
              <w:rPr>
                <w:rFonts w:ascii="Tahoma" w:hAnsi="Tahoma" w:cs="Tahoma"/>
                <w:b/>
                <w:bCs/>
                <w:iCs/>
                <w:color w:val="243285"/>
                <w:sz w:val="32"/>
                <w:szCs w:val="32"/>
              </w:rPr>
            </w:pPr>
          </w:p>
          <w:p w:rsidR="0099568F" w:rsidRPr="00F54FBD" w:rsidRDefault="0099568F" w:rsidP="008B2B4E">
            <w:pPr>
              <w:spacing w:before="80" w:line="280" w:lineRule="exact"/>
              <w:ind w:right="640"/>
              <w:rPr>
                <w:rFonts w:ascii="Tahoma" w:hAnsi="Tahoma" w:cs="Tahoma"/>
                <w:b/>
                <w:bCs/>
                <w:iCs/>
                <w:color w:val="243285"/>
                <w:sz w:val="32"/>
                <w:szCs w:val="32"/>
              </w:rPr>
            </w:pPr>
          </w:p>
          <w:p w:rsidR="0099568F" w:rsidRPr="00F54FBD" w:rsidRDefault="0099568F" w:rsidP="008B2B4E">
            <w:pPr>
              <w:spacing w:before="80" w:after="180" w:line="360" w:lineRule="exact"/>
              <w:ind w:right="720"/>
              <w:rPr>
                <w:rFonts w:ascii="Tahoma" w:hAnsi="Tahoma" w:cs="Tahoma"/>
                <w:b/>
                <w:bCs/>
                <w:iCs/>
                <w:color w:val="243285"/>
                <w:sz w:val="36"/>
                <w:szCs w:val="36"/>
              </w:rPr>
            </w:pPr>
          </w:p>
          <w:p w:rsidR="0099568F" w:rsidRPr="00F54FBD" w:rsidRDefault="0099568F" w:rsidP="008B2B4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99568F" w:rsidRPr="00F54FBD" w:rsidRDefault="0099568F" w:rsidP="008B2B4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99568F" w:rsidRPr="00F54FBD" w:rsidRDefault="0099568F" w:rsidP="0099568F">
      <w:pPr>
        <w:spacing w:before="80"/>
        <w:rPr>
          <w:i/>
          <w:sz w:val="22"/>
        </w:rPr>
      </w:pPr>
    </w:p>
    <w:p w:rsidR="0099568F" w:rsidRPr="00F54FBD" w:rsidRDefault="0099568F" w:rsidP="0099568F">
      <w:pPr>
        <w:spacing w:before="80"/>
        <w:rPr>
          <w:i/>
          <w:sz w:val="22"/>
        </w:rPr>
      </w:pPr>
    </w:p>
    <w:p w:rsidR="0099568F" w:rsidRPr="00F54FBD" w:rsidRDefault="0099568F" w:rsidP="0099568F">
      <w:pPr>
        <w:spacing w:before="80"/>
        <w:rPr>
          <w:i/>
          <w:sz w:val="22"/>
        </w:rPr>
      </w:pPr>
    </w:p>
    <w:p w:rsidR="0099568F" w:rsidRPr="00F54FBD" w:rsidRDefault="0099568F" w:rsidP="0099568F">
      <w:pPr>
        <w:spacing w:before="80"/>
        <w:rPr>
          <w:i/>
          <w:sz w:val="22"/>
        </w:rPr>
      </w:pPr>
    </w:p>
    <w:p w:rsidR="0099568F" w:rsidRPr="00F54FBD" w:rsidRDefault="0099568F" w:rsidP="0099568F">
      <w:pPr>
        <w:spacing w:before="80"/>
        <w:rPr>
          <w:i/>
          <w:sz w:val="22"/>
        </w:rPr>
      </w:pPr>
    </w:p>
    <w:p w:rsidR="0099568F" w:rsidRPr="00F54FBD" w:rsidRDefault="0099568F" w:rsidP="0099568F">
      <w:pPr>
        <w:spacing w:before="80"/>
        <w:rPr>
          <w:i/>
          <w:sz w:val="22"/>
        </w:rPr>
      </w:pPr>
    </w:p>
    <w:p w:rsidR="0099568F" w:rsidRPr="00F54FBD" w:rsidRDefault="0099568F" w:rsidP="0099568F">
      <w:pPr>
        <w:pStyle w:val="Equation"/>
        <w:tabs>
          <w:tab w:val="clear" w:pos="4820"/>
          <w:tab w:val="clear" w:pos="9639"/>
          <w:tab w:val="left" w:pos="1191"/>
          <w:tab w:val="left" w:pos="1588"/>
          <w:tab w:val="left" w:pos="1985"/>
        </w:tabs>
        <w:rPr>
          <w:rFonts w:ascii="Palatino Linotype" w:hAnsi="Palatino Linotype"/>
        </w:rPr>
        <w:sectPr w:rsidR="0099568F" w:rsidRPr="00F54FBD">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99568F" w:rsidRPr="00F54FBD" w:rsidRDefault="0099568F" w:rsidP="00995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9568F" w:rsidRPr="00F54FBD" w:rsidRDefault="0099568F" w:rsidP="0099568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9568F" w:rsidRPr="00F54FBD" w:rsidRDefault="0099568F" w:rsidP="0099568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9568F" w:rsidRPr="00E44CBB" w:rsidRDefault="0099568F" w:rsidP="0099568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9568F" w:rsidRPr="00E44CBB" w:rsidRDefault="0099568F" w:rsidP="0099568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9568F" w:rsidRPr="00C95B6F" w:rsidRDefault="0099568F" w:rsidP="0099568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9568F" w:rsidRPr="009454F8" w:rsidTr="008B2B4E">
        <w:tc>
          <w:tcPr>
            <w:tcW w:w="9360" w:type="dxa"/>
            <w:gridSpan w:val="2"/>
          </w:tcPr>
          <w:p w:rsidR="0099568F" w:rsidRPr="009454F8" w:rsidRDefault="0099568F" w:rsidP="008B2B4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9568F" w:rsidRPr="009454F8"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Pr>
                  <w:rStyle w:val="Hyperlink"/>
                  <w:b w:val="0"/>
                  <w:bCs/>
                  <w:sz w:val="18"/>
                  <w:szCs w:val="18"/>
                </w:rPr>
                <w:t>http://www.itu.int/publ/R-REC/fr</w:t>
              </w:r>
            </w:hyperlink>
            <w:r w:rsidRPr="00BC0651">
              <w:rPr>
                <w:b w:val="0"/>
                <w:bCs/>
                <w:sz w:val="18"/>
                <w:szCs w:val="18"/>
              </w:rPr>
              <w:t>)</w:t>
            </w:r>
          </w:p>
        </w:tc>
      </w:tr>
      <w:tr w:rsidR="0099568F" w:rsidRPr="00036EE3" w:rsidTr="008B2B4E">
        <w:tc>
          <w:tcPr>
            <w:tcW w:w="1140" w:type="dxa"/>
          </w:tcPr>
          <w:p w:rsidR="0099568F" w:rsidRPr="00614CC6" w:rsidRDefault="0099568F" w:rsidP="008B2B4E">
            <w:pPr>
              <w:spacing w:before="90" w:after="100"/>
              <w:ind w:left="57"/>
              <w:rPr>
                <w:b/>
                <w:bCs/>
                <w:sz w:val="20"/>
                <w:lang w:val="en-US"/>
              </w:rPr>
            </w:pPr>
            <w:r w:rsidRPr="00614CC6">
              <w:rPr>
                <w:b/>
                <w:bCs/>
                <w:sz w:val="20"/>
                <w:lang w:val="en-US"/>
              </w:rPr>
              <w:t>Séries</w:t>
            </w:r>
          </w:p>
        </w:tc>
        <w:tc>
          <w:tcPr>
            <w:tcW w:w="8220" w:type="dxa"/>
          </w:tcPr>
          <w:p w:rsidR="0099568F" w:rsidRPr="00614CC6"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BO</w:t>
            </w:r>
          </w:p>
        </w:tc>
        <w:tc>
          <w:tcPr>
            <w:tcW w:w="8220" w:type="dxa"/>
          </w:tcPr>
          <w:p w:rsidR="0099568F" w:rsidRPr="00614CC6"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9568F" w:rsidRPr="009454F8"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BR</w:t>
            </w:r>
          </w:p>
        </w:tc>
        <w:tc>
          <w:tcPr>
            <w:tcW w:w="8220" w:type="dxa"/>
          </w:tcPr>
          <w:p w:rsidR="0099568F" w:rsidRPr="00614CC6"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BS</w:t>
            </w:r>
          </w:p>
        </w:tc>
        <w:tc>
          <w:tcPr>
            <w:tcW w:w="8220" w:type="dxa"/>
          </w:tcPr>
          <w:p w:rsidR="0099568F" w:rsidRPr="00614CC6"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9568F" w:rsidRPr="00ED2695" w:rsidTr="008B2B4E">
        <w:tc>
          <w:tcPr>
            <w:tcW w:w="1140" w:type="dxa"/>
            <w:shd w:val="clear" w:color="auto" w:fill="auto"/>
          </w:tcPr>
          <w:p w:rsidR="0099568F" w:rsidRPr="00614CC6" w:rsidRDefault="0099568F" w:rsidP="008B2B4E">
            <w:pPr>
              <w:spacing w:before="30" w:after="30"/>
              <w:ind w:left="57"/>
              <w:jc w:val="left"/>
              <w:rPr>
                <w:b/>
                <w:bCs/>
                <w:sz w:val="20"/>
                <w:lang w:val="en-US"/>
              </w:rPr>
            </w:pPr>
            <w:r w:rsidRPr="00614CC6">
              <w:rPr>
                <w:b/>
                <w:bCs/>
                <w:sz w:val="20"/>
                <w:lang w:val="en-US"/>
              </w:rPr>
              <w:t>BT</w:t>
            </w:r>
          </w:p>
        </w:tc>
        <w:tc>
          <w:tcPr>
            <w:tcW w:w="8220" w:type="dxa"/>
            <w:shd w:val="clear" w:color="auto" w:fill="auto"/>
          </w:tcPr>
          <w:p w:rsidR="0099568F" w:rsidRPr="00614CC6"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9568F" w:rsidRPr="00036EE3" w:rsidTr="008B2B4E">
        <w:tc>
          <w:tcPr>
            <w:tcW w:w="1140" w:type="dxa"/>
            <w:shd w:val="clear" w:color="auto" w:fill="auto"/>
          </w:tcPr>
          <w:p w:rsidR="0099568F" w:rsidRPr="00614CC6" w:rsidRDefault="0099568F" w:rsidP="008B2B4E">
            <w:pPr>
              <w:spacing w:before="30" w:after="30"/>
              <w:ind w:left="57"/>
              <w:jc w:val="left"/>
              <w:rPr>
                <w:b/>
                <w:bCs/>
                <w:sz w:val="20"/>
                <w:lang w:val="fr-CH"/>
              </w:rPr>
            </w:pPr>
            <w:r w:rsidRPr="00614CC6">
              <w:rPr>
                <w:b/>
                <w:bCs/>
                <w:sz w:val="20"/>
                <w:lang w:val="fr-CH"/>
              </w:rPr>
              <w:t>F</w:t>
            </w:r>
          </w:p>
        </w:tc>
        <w:tc>
          <w:tcPr>
            <w:tcW w:w="8220" w:type="dxa"/>
            <w:shd w:val="clear" w:color="auto" w:fill="auto"/>
          </w:tcPr>
          <w:p w:rsidR="0099568F" w:rsidRPr="00614CC6"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9568F" w:rsidRPr="00592F9F" w:rsidTr="008B2B4E">
        <w:tc>
          <w:tcPr>
            <w:tcW w:w="1140" w:type="dxa"/>
            <w:shd w:val="clear" w:color="auto" w:fill="F3F3F3"/>
          </w:tcPr>
          <w:p w:rsidR="0099568F" w:rsidRPr="00592F9F" w:rsidRDefault="0099568F" w:rsidP="008B2B4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9568F" w:rsidRPr="00592F9F"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9568F" w:rsidRPr="00036EE3" w:rsidTr="008B2B4E">
        <w:tc>
          <w:tcPr>
            <w:tcW w:w="1140" w:type="dxa"/>
          </w:tcPr>
          <w:p w:rsidR="0099568F" w:rsidRPr="00614CC6" w:rsidRDefault="0099568F" w:rsidP="008B2B4E">
            <w:pPr>
              <w:spacing w:before="30" w:after="30"/>
              <w:ind w:left="57"/>
              <w:jc w:val="left"/>
              <w:rPr>
                <w:b/>
                <w:bCs/>
                <w:sz w:val="20"/>
                <w:lang w:val="fr-CH"/>
              </w:rPr>
            </w:pPr>
            <w:r w:rsidRPr="00614CC6">
              <w:rPr>
                <w:b/>
                <w:bCs/>
                <w:sz w:val="20"/>
                <w:lang w:val="fr-CH"/>
              </w:rPr>
              <w:t>P</w:t>
            </w:r>
          </w:p>
        </w:tc>
        <w:tc>
          <w:tcPr>
            <w:tcW w:w="8220" w:type="dxa"/>
          </w:tcPr>
          <w:p w:rsidR="0099568F" w:rsidRPr="00614CC6" w:rsidRDefault="0099568F" w:rsidP="008B2B4E">
            <w:pPr>
              <w:spacing w:before="30" w:after="30"/>
              <w:jc w:val="left"/>
              <w:rPr>
                <w:sz w:val="20"/>
                <w:lang w:val="fr-CH"/>
              </w:rPr>
            </w:pPr>
            <w:r w:rsidRPr="00614CC6">
              <w:rPr>
                <w:sz w:val="20"/>
              </w:rPr>
              <w:t>Propagation des ondes radioélectriques</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RA</w:t>
            </w:r>
          </w:p>
        </w:tc>
        <w:tc>
          <w:tcPr>
            <w:tcW w:w="8220" w:type="dxa"/>
          </w:tcPr>
          <w:p w:rsidR="0099568F" w:rsidRPr="00614CC6"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RS</w:t>
            </w:r>
          </w:p>
        </w:tc>
        <w:tc>
          <w:tcPr>
            <w:tcW w:w="8220" w:type="dxa"/>
          </w:tcPr>
          <w:p w:rsidR="0099568F" w:rsidRPr="00614CC6" w:rsidRDefault="0099568F" w:rsidP="008B2B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S</w:t>
            </w:r>
          </w:p>
        </w:tc>
        <w:tc>
          <w:tcPr>
            <w:tcW w:w="8220" w:type="dxa"/>
          </w:tcPr>
          <w:p w:rsidR="0099568F" w:rsidRPr="00614CC6" w:rsidRDefault="0099568F" w:rsidP="008B2B4E">
            <w:pPr>
              <w:spacing w:before="30" w:after="30"/>
              <w:jc w:val="left"/>
              <w:rPr>
                <w:sz w:val="20"/>
                <w:lang w:val="en-US"/>
              </w:rPr>
            </w:pPr>
            <w:r w:rsidRPr="00614CC6">
              <w:rPr>
                <w:sz w:val="20"/>
              </w:rPr>
              <w:t>Service fixe par satellite</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SA</w:t>
            </w:r>
          </w:p>
        </w:tc>
        <w:tc>
          <w:tcPr>
            <w:tcW w:w="8220" w:type="dxa"/>
          </w:tcPr>
          <w:p w:rsidR="0099568F" w:rsidRPr="00614CC6" w:rsidRDefault="0099568F" w:rsidP="008B2B4E">
            <w:pPr>
              <w:spacing w:before="30" w:after="30"/>
              <w:jc w:val="left"/>
              <w:rPr>
                <w:sz w:val="20"/>
                <w:lang w:val="en-US"/>
              </w:rPr>
            </w:pPr>
            <w:r w:rsidRPr="00614CC6">
              <w:rPr>
                <w:sz w:val="20"/>
              </w:rPr>
              <w:t>Applications spatiales et météorologie</w:t>
            </w:r>
          </w:p>
        </w:tc>
      </w:tr>
      <w:tr w:rsidR="0099568F" w:rsidRPr="00614CC6"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SF</w:t>
            </w:r>
          </w:p>
        </w:tc>
        <w:tc>
          <w:tcPr>
            <w:tcW w:w="8220" w:type="dxa"/>
          </w:tcPr>
          <w:p w:rsidR="0099568F" w:rsidRPr="00614CC6" w:rsidRDefault="0099568F" w:rsidP="008B2B4E">
            <w:pPr>
              <w:spacing w:before="30" w:after="30"/>
              <w:jc w:val="left"/>
              <w:rPr>
                <w:sz w:val="20"/>
              </w:rPr>
            </w:pPr>
            <w:r w:rsidRPr="00614CC6">
              <w:rPr>
                <w:sz w:val="20"/>
              </w:rPr>
              <w:t>Partage des fréquences et coordination entre les systèmes du service fixe par satellite et du service fixe</w:t>
            </w:r>
          </w:p>
        </w:tc>
      </w:tr>
      <w:tr w:rsidR="0099568F" w:rsidRPr="00036EE3" w:rsidTr="008B2B4E">
        <w:tc>
          <w:tcPr>
            <w:tcW w:w="1140" w:type="dxa"/>
            <w:shd w:val="clear" w:color="auto" w:fill="auto"/>
          </w:tcPr>
          <w:p w:rsidR="0099568F" w:rsidRPr="00592F9F" w:rsidRDefault="0099568F" w:rsidP="008B2B4E">
            <w:pPr>
              <w:spacing w:before="30" w:after="30"/>
              <w:ind w:left="57"/>
              <w:jc w:val="left"/>
              <w:rPr>
                <w:b/>
                <w:bCs/>
                <w:sz w:val="20"/>
                <w:lang w:val="en-US"/>
              </w:rPr>
            </w:pPr>
            <w:r w:rsidRPr="00592F9F">
              <w:rPr>
                <w:b/>
                <w:bCs/>
                <w:sz w:val="20"/>
                <w:lang w:val="en-US"/>
              </w:rPr>
              <w:t>SM</w:t>
            </w:r>
          </w:p>
        </w:tc>
        <w:tc>
          <w:tcPr>
            <w:tcW w:w="8220" w:type="dxa"/>
            <w:shd w:val="clear" w:color="auto" w:fill="auto"/>
          </w:tcPr>
          <w:p w:rsidR="0099568F" w:rsidRPr="00592F9F" w:rsidRDefault="0099568F" w:rsidP="008B2B4E">
            <w:pPr>
              <w:spacing w:before="30" w:after="30"/>
              <w:jc w:val="left"/>
              <w:rPr>
                <w:sz w:val="20"/>
                <w:lang w:val="en-US"/>
              </w:rPr>
            </w:pPr>
            <w:r w:rsidRPr="00592F9F">
              <w:rPr>
                <w:sz w:val="20"/>
              </w:rPr>
              <w:t>Gestion du spectre</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SNG</w:t>
            </w:r>
          </w:p>
        </w:tc>
        <w:tc>
          <w:tcPr>
            <w:tcW w:w="8220" w:type="dxa"/>
          </w:tcPr>
          <w:p w:rsidR="0099568F" w:rsidRPr="00614CC6" w:rsidRDefault="0099568F" w:rsidP="008B2B4E">
            <w:pPr>
              <w:spacing w:before="30" w:after="30"/>
              <w:jc w:val="left"/>
              <w:rPr>
                <w:sz w:val="20"/>
                <w:lang w:val="en-US"/>
              </w:rPr>
            </w:pPr>
            <w:r w:rsidRPr="00614CC6">
              <w:rPr>
                <w:sz w:val="20"/>
              </w:rPr>
              <w:t>Reportage d'actualités par satellite</w:t>
            </w:r>
          </w:p>
        </w:tc>
      </w:tr>
      <w:tr w:rsidR="0099568F" w:rsidRPr="00614CC6"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TF</w:t>
            </w:r>
          </w:p>
        </w:tc>
        <w:tc>
          <w:tcPr>
            <w:tcW w:w="8220" w:type="dxa"/>
          </w:tcPr>
          <w:p w:rsidR="0099568F" w:rsidRPr="00614CC6" w:rsidRDefault="0099568F" w:rsidP="008B2B4E">
            <w:pPr>
              <w:spacing w:before="30" w:after="30"/>
              <w:jc w:val="left"/>
              <w:rPr>
                <w:sz w:val="20"/>
              </w:rPr>
            </w:pPr>
            <w:r w:rsidRPr="00614CC6">
              <w:rPr>
                <w:sz w:val="20"/>
              </w:rPr>
              <w:t>Emissions de fréquences étalon et de signaux horaires</w:t>
            </w:r>
          </w:p>
        </w:tc>
      </w:tr>
      <w:tr w:rsidR="0099568F" w:rsidRPr="00036EE3" w:rsidTr="008B2B4E">
        <w:tc>
          <w:tcPr>
            <w:tcW w:w="1140" w:type="dxa"/>
          </w:tcPr>
          <w:p w:rsidR="0099568F" w:rsidRPr="00614CC6" w:rsidRDefault="0099568F" w:rsidP="008B2B4E">
            <w:pPr>
              <w:spacing w:before="30" w:after="30"/>
              <w:ind w:left="57"/>
              <w:jc w:val="left"/>
              <w:rPr>
                <w:b/>
                <w:bCs/>
                <w:sz w:val="20"/>
                <w:lang w:val="en-US"/>
              </w:rPr>
            </w:pPr>
            <w:r w:rsidRPr="00614CC6">
              <w:rPr>
                <w:b/>
                <w:bCs/>
                <w:sz w:val="20"/>
                <w:lang w:val="en-US"/>
              </w:rPr>
              <w:t>V</w:t>
            </w:r>
          </w:p>
        </w:tc>
        <w:tc>
          <w:tcPr>
            <w:tcW w:w="8220" w:type="dxa"/>
          </w:tcPr>
          <w:p w:rsidR="0099568F" w:rsidRPr="00614CC6" w:rsidRDefault="0099568F" w:rsidP="008B2B4E">
            <w:pPr>
              <w:spacing w:before="30" w:after="140"/>
              <w:jc w:val="left"/>
              <w:rPr>
                <w:sz w:val="20"/>
                <w:lang w:val="en-US"/>
              </w:rPr>
            </w:pPr>
            <w:r w:rsidRPr="00614CC6">
              <w:rPr>
                <w:sz w:val="20"/>
              </w:rPr>
              <w:t>Vocabulaire et sujets associés</w:t>
            </w:r>
          </w:p>
        </w:tc>
      </w:tr>
    </w:tbl>
    <w:p w:rsidR="0099568F" w:rsidRPr="00036EE3" w:rsidRDefault="0099568F" w:rsidP="0099568F">
      <w:pPr>
        <w:spacing w:before="0"/>
        <w:jc w:val="center"/>
        <w:rPr>
          <w:sz w:val="20"/>
          <w:lang w:val="en-US"/>
        </w:rPr>
      </w:pPr>
    </w:p>
    <w:p w:rsidR="0099568F" w:rsidRPr="00036EE3" w:rsidRDefault="0099568F" w:rsidP="0099568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9568F" w:rsidRPr="00756B4D" w:rsidTr="008B2B4E">
        <w:tc>
          <w:tcPr>
            <w:tcW w:w="9360" w:type="dxa"/>
          </w:tcPr>
          <w:p w:rsidR="0099568F" w:rsidRPr="00756B4D" w:rsidRDefault="0099568F" w:rsidP="008B2B4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9568F" w:rsidRPr="00756B4D" w:rsidRDefault="0099568F" w:rsidP="0099568F">
      <w:pPr>
        <w:spacing w:before="0"/>
        <w:jc w:val="center"/>
        <w:rPr>
          <w:sz w:val="22"/>
        </w:rPr>
      </w:pPr>
    </w:p>
    <w:p w:rsidR="0099568F" w:rsidRPr="00614CC6" w:rsidRDefault="0099568F" w:rsidP="0099568F">
      <w:pPr>
        <w:spacing w:before="100"/>
        <w:jc w:val="right"/>
        <w:rPr>
          <w:i/>
          <w:iCs/>
          <w:sz w:val="20"/>
        </w:rPr>
      </w:pPr>
      <w:r w:rsidRPr="00614CC6">
        <w:rPr>
          <w:i/>
          <w:iCs/>
          <w:sz w:val="20"/>
        </w:rPr>
        <w:t>Publication électronique</w:t>
      </w:r>
    </w:p>
    <w:p w:rsidR="0099568F" w:rsidRPr="00614CC6" w:rsidRDefault="0099568F" w:rsidP="0099568F">
      <w:pPr>
        <w:spacing w:before="0"/>
        <w:jc w:val="right"/>
        <w:rPr>
          <w:sz w:val="20"/>
        </w:rPr>
      </w:pPr>
      <w:r w:rsidRPr="00614CC6">
        <w:rPr>
          <w:sz w:val="20"/>
        </w:rPr>
        <w:t>Genève, 20</w:t>
      </w:r>
      <w:r>
        <w:rPr>
          <w:sz w:val="20"/>
        </w:rPr>
        <w:t>12</w:t>
      </w:r>
    </w:p>
    <w:p w:rsidR="0099568F" w:rsidRPr="00614CC6" w:rsidRDefault="0099568F" w:rsidP="0099568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99568F" w:rsidRPr="00614CC6" w:rsidRDefault="0099568F" w:rsidP="0099568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9568F" w:rsidRPr="00614CC6" w:rsidRDefault="0099568F" w:rsidP="0099568F">
      <w:pPr>
        <w:spacing w:before="160"/>
        <w:rPr>
          <w:i/>
          <w:sz w:val="20"/>
          <w:highlight w:val="yellow"/>
        </w:rPr>
        <w:sectPr w:rsidR="0099568F" w:rsidRPr="00614CC6" w:rsidSect="008B2B4E">
          <w:headerReference w:type="even" r:id="rId14"/>
          <w:headerReference w:type="default" r:id="rId15"/>
          <w:pgSz w:w="11907" w:h="16834" w:code="9"/>
          <w:pgMar w:top="1418" w:right="1134" w:bottom="1134" w:left="1134" w:header="720" w:footer="482" w:gutter="0"/>
          <w:pgNumType w:fmt="lowerRoman" w:start="2"/>
          <w:cols w:space="720"/>
        </w:sectPr>
      </w:pPr>
    </w:p>
    <w:p w:rsidR="0099568F" w:rsidRPr="00756B4D" w:rsidRDefault="0099568F" w:rsidP="001A1B0B">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1A1B0B">
        <w:rPr>
          <w:rStyle w:val="href"/>
        </w:rPr>
        <w:t>1902</w:t>
      </w:r>
    </w:p>
    <w:p w:rsidR="00D52E22" w:rsidRPr="00633639" w:rsidRDefault="00D52E22" w:rsidP="00D52E22">
      <w:pPr>
        <w:pStyle w:val="Rectitle"/>
      </w:pPr>
      <w:r w:rsidRPr="00633639">
        <w:t>Caractéristiques et critères de protection applicables aux stations terrienne</w:t>
      </w:r>
      <w:r>
        <w:t>s</w:t>
      </w:r>
      <w:r w:rsidRPr="00633639">
        <w:t xml:space="preserve"> </w:t>
      </w:r>
      <w:r>
        <w:br/>
      </w:r>
      <w:r w:rsidRPr="00633639">
        <w:t>de réception du service de radionavigation par satellite (espace vers Terre) fonctionnant dans la bande 1 215-1 300 MHz</w:t>
      </w:r>
    </w:p>
    <w:p w:rsidR="00D52E22" w:rsidRPr="00633639" w:rsidRDefault="00D52E22" w:rsidP="00D52E22">
      <w:pPr>
        <w:pStyle w:val="Recref"/>
      </w:pPr>
      <w:r w:rsidRPr="00633639">
        <w:t>(Questions UIT</w:t>
      </w:r>
      <w:r w:rsidRPr="00633639">
        <w:noBreakHyphen/>
        <w:t>R 217-2/4 et UIT</w:t>
      </w:r>
      <w:r w:rsidRPr="00633639">
        <w:noBreakHyphen/>
        <w:t>R 288/4)</w:t>
      </w:r>
    </w:p>
    <w:p w:rsidR="00D52E22" w:rsidRPr="00633639" w:rsidRDefault="00D52E22" w:rsidP="00D52E22">
      <w:pPr>
        <w:pStyle w:val="Recdate"/>
      </w:pPr>
      <w:r w:rsidRPr="00633639">
        <w:t>(2012)</w:t>
      </w:r>
    </w:p>
    <w:p w:rsidR="00D52E22" w:rsidRPr="00633639" w:rsidRDefault="00D52E22" w:rsidP="00D52E22"/>
    <w:p w:rsidR="00D52E22" w:rsidRPr="00633639" w:rsidRDefault="00D52E22" w:rsidP="00542169">
      <w:pPr>
        <w:pStyle w:val="HeadingSum"/>
      </w:pPr>
      <w:r w:rsidRPr="00633639">
        <w:t>Domaine d'application</w:t>
      </w:r>
    </w:p>
    <w:p w:rsidR="00D52E22" w:rsidRPr="00633639" w:rsidRDefault="00D52E22" w:rsidP="00542169">
      <w:pPr>
        <w:pStyle w:val="Summary"/>
      </w:pPr>
      <w:r w:rsidRPr="00633639">
        <w:t>Les caractéristiques et les critères de protection applicables aux stations terriennes de réception du service de radionavigation par satellite (SRNS) fonctionnant dans la bande 1 215-1 300 MHz sont exposés dans la présente Recommandation. Ces informations sont destinées à être utilisées pour analyser l'incidence sur les récepteurs du SRNS (espace vers Terre) fonctionnant dans la bande 1</w:t>
      </w:r>
      <w:r>
        <w:t> </w:t>
      </w:r>
      <w:r w:rsidRPr="00633639">
        <w:t>215-1</w:t>
      </w:r>
      <w:r>
        <w:t> </w:t>
      </w:r>
      <w:r w:rsidRPr="00633639">
        <w:t xml:space="preserve">300 MHz des brouillages radioélectriques causés par des sources radioélectriques autres que celles du SRNS. </w:t>
      </w:r>
    </w:p>
    <w:p w:rsidR="00D52E22" w:rsidRPr="00633639" w:rsidRDefault="00D52E22" w:rsidP="00D52E22">
      <w:pPr>
        <w:pStyle w:val="Normalaftertitle"/>
      </w:pPr>
      <w:r w:rsidRPr="00633639">
        <w:t>L'Assemblée des radiocommunications de l'UIT,</w:t>
      </w:r>
    </w:p>
    <w:p w:rsidR="00D52E22" w:rsidRPr="00633639" w:rsidRDefault="00D52E22" w:rsidP="00D52E22">
      <w:pPr>
        <w:pStyle w:val="Call"/>
      </w:pPr>
      <w:r w:rsidRPr="00633639">
        <w:t>considérant</w:t>
      </w:r>
    </w:p>
    <w:p w:rsidR="00D52E22" w:rsidRPr="00633639" w:rsidRDefault="00D52E22" w:rsidP="00D52E22">
      <w:r w:rsidRPr="00633639">
        <w:t>a)</w:t>
      </w:r>
      <w:r w:rsidRPr="00633639">
        <w:tab/>
        <w:t>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applications;</w:t>
      </w:r>
    </w:p>
    <w:p w:rsidR="00D52E22" w:rsidRPr="00633639" w:rsidRDefault="00D52E22" w:rsidP="00D52E22">
      <w:r w:rsidRPr="00633639">
        <w:t>b)</w:t>
      </w:r>
      <w:r w:rsidRPr="00633639">
        <w:tab/>
        <w:t xml:space="preserve">que toute station terrienne dotée des équipements appropriés peut recevoir des informations sur la navigation provenant des systèmes et réseaux du SRNS à l'échelle mondiale; </w:t>
      </w:r>
    </w:p>
    <w:p w:rsidR="00D52E22" w:rsidRPr="00633639" w:rsidRDefault="00D52E22" w:rsidP="00D52E22">
      <w:r w:rsidRPr="00633639">
        <w:rPr>
          <w:lang w:eastAsia="ja-JP"/>
        </w:rPr>
        <w:t>c</w:t>
      </w:r>
      <w:r w:rsidRPr="00633639">
        <w:t>)</w:t>
      </w:r>
      <w:r w:rsidRPr="00633639">
        <w:tab/>
        <w:t>que la Recommandation UIT</w:t>
      </w:r>
      <w:r w:rsidRPr="00633639">
        <w:noBreakHyphen/>
        <w:t>R М.1787 fournit les descriptions techniques des systèmes et réseaux du SRNS ainsi que les caractéristiques techniques des stations spatiales d'émission fonctionnant dans les bandes 1 164-1 215 MHz, 1 215-1 300 MHz et 1 559-1 610 MHz;</w:t>
      </w:r>
    </w:p>
    <w:p w:rsidR="00D52E22" w:rsidRPr="00633639" w:rsidRDefault="00D52E22" w:rsidP="00D52E22">
      <w:pPr>
        <w:rPr>
          <w:lang w:eastAsia="ja-JP"/>
        </w:rPr>
      </w:pPr>
      <w:r w:rsidRPr="00633639">
        <w:rPr>
          <w:lang w:eastAsia="ja-JP"/>
        </w:rPr>
        <w:t>d</w:t>
      </w:r>
      <w:r w:rsidRPr="00633639">
        <w:t>)</w:t>
      </w:r>
      <w:r w:rsidRPr="00633639">
        <w:tab/>
        <w:t>que la Recommandation UIT</w:t>
      </w:r>
      <w:r w:rsidRPr="00633639">
        <w:noBreakHyphen/>
        <w:t>R М.1904 fournit les caractéristiques techniques et les critères de protection des stations spatiales de réception fonctionnant dans le SRNS (espace-espace) dans les bandes 1 164</w:t>
      </w:r>
      <w:r w:rsidRPr="00633639">
        <w:noBreakHyphen/>
        <w:t>1 215 MHz, 1 215-1 300 MHz et 1 559-1 610 MHz</w:t>
      </w:r>
      <w:r w:rsidRPr="00633639">
        <w:rPr>
          <w:lang w:eastAsia="ja-JP"/>
        </w:rPr>
        <w:t>;</w:t>
      </w:r>
    </w:p>
    <w:p w:rsidR="00D52E22" w:rsidRPr="00633639" w:rsidRDefault="00D52E22" w:rsidP="00D52E22">
      <w:pPr>
        <w:rPr>
          <w:lang w:eastAsia="ja-JP"/>
        </w:rPr>
      </w:pPr>
      <w:r w:rsidRPr="00633639">
        <w:rPr>
          <w:lang w:eastAsia="ja-JP"/>
        </w:rPr>
        <w:t>e)</w:t>
      </w:r>
      <w:r w:rsidRPr="00633639">
        <w:rPr>
          <w:lang w:eastAsia="ja-JP"/>
        </w:rPr>
        <w:tab/>
        <w:t xml:space="preserve">que la Recommandation </w:t>
      </w:r>
      <w:r w:rsidRPr="00633639">
        <w:t>UIT</w:t>
      </w:r>
      <w:r w:rsidRPr="00633639">
        <w:noBreakHyphen/>
        <w:t>R М.1463 définit les caractéristiques des systèmes du service de radiorepérage fonctionnant dans la bande 1 215-1 400 MHz</w:t>
      </w:r>
      <w:r>
        <w:t>;</w:t>
      </w:r>
    </w:p>
    <w:p w:rsidR="00D52E22" w:rsidRPr="00633639" w:rsidRDefault="00500A57" w:rsidP="00500A57">
      <w:r>
        <w:t>f</w:t>
      </w:r>
      <w:r w:rsidR="00D52E22" w:rsidRPr="00633639">
        <w:t>)</w:t>
      </w:r>
      <w:r w:rsidR="00D52E22" w:rsidRPr="00633639">
        <w:tab/>
        <w:t>que la Recommandation UIT</w:t>
      </w:r>
      <w:r w:rsidR="00D52E22" w:rsidRPr="00633639">
        <w:noBreakHyphen/>
        <w:t>R M.1901 donne des orientations générales sur la présente Recommandation et d'autres Recommandations UIT-R relatives aux systèmes et réseaux du SRNS fonctionnant dans les bandes de fréquences 1 16</w:t>
      </w:r>
      <w:r>
        <w:t>4-1 215 MHz, 1 215-1 300 MHz, 1 </w:t>
      </w:r>
      <w:r w:rsidR="00D52E22" w:rsidRPr="00633639">
        <w:t>559</w:t>
      </w:r>
      <w:r>
        <w:noBreakHyphen/>
      </w:r>
      <w:r w:rsidR="00D52E22" w:rsidRPr="00633639">
        <w:t>1 610 MHz, 5 000-5 010 MHz et 5 010</w:t>
      </w:r>
      <w:r w:rsidR="00D52E22" w:rsidRPr="00633639">
        <w:noBreakHyphen/>
        <w:t>5 030 MHz,</w:t>
      </w:r>
    </w:p>
    <w:p w:rsidR="00D52E22" w:rsidRPr="00633639" w:rsidRDefault="00D52E22" w:rsidP="00D52E22">
      <w:pPr>
        <w:pStyle w:val="Call"/>
      </w:pPr>
      <w:r w:rsidRPr="00633639">
        <w:t>reconnaissant</w:t>
      </w:r>
    </w:p>
    <w:p w:rsidR="00D52E22" w:rsidRPr="00633639" w:rsidRDefault="00D52E22" w:rsidP="00D52E22">
      <w:r w:rsidRPr="00633639">
        <w:rPr>
          <w:lang w:eastAsia="ja-JP"/>
        </w:rPr>
        <w:t>a</w:t>
      </w:r>
      <w:r w:rsidRPr="00633639">
        <w:t>)</w:t>
      </w:r>
      <w:r w:rsidRPr="00633639">
        <w:tab/>
        <w:t>que la bande 1 215-1</w:t>
      </w:r>
      <w:r>
        <w:t> </w:t>
      </w:r>
      <w:r w:rsidRPr="00633639">
        <w:t xml:space="preserve">300 MHz est attribuée à titre primaire au service d'exploration de la Terre par satellite (SETS) (active), au service de radiolocalisation, au SRNS (espace vers Terre et espace-espace) et au service de recherche spatiale </w:t>
      </w:r>
      <w:r w:rsidRPr="00633639">
        <w:rPr>
          <w:lang w:eastAsia="ja-JP"/>
        </w:rPr>
        <w:t>dans les trois Régions</w:t>
      </w:r>
      <w:r w:rsidRPr="00633639">
        <w:t>;</w:t>
      </w:r>
    </w:p>
    <w:p w:rsidR="00D52E22" w:rsidRPr="00633639" w:rsidRDefault="00D52E22" w:rsidP="00D52E22">
      <w:r w:rsidRPr="00633639">
        <w:rPr>
          <w:lang w:eastAsia="ja-JP"/>
        </w:rPr>
        <w:t>b</w:t>
      </w:r>
      <w:r w:rsidRPr="00633639">
        <w:t>)</w:t>
      </w:r>
      <w:r w:rsidRPr="00633639">
        <w:tab/>
        <w:t>que, dans un certain nombre de pays, la bande 1 215-1</w:t>
      </w:r>
      <w:r>
        <w:t> </w:t>
      </w:r>
      <w:r w:rsidRPr="00633639">
        <w:t>300 MHz contient également des attributions à titre primaire aux services fixe et mobile, et/ou au service de radionavigation (limité dans certains cas au service de radionavigation dans une partie de la bande);</w:t>
      </w:r>
    </w:p>
    <w:p w:rsidR="00D52E22" w:rsidRPr="00633639" w:rsidRDefault="00D52E22" w:rsidP="00D52E22">
      <w:r w:rsidRPr="00633639">
        <w:lastRenderedPageBreak/>
        <w:t>c)</w:t>
      </w:r>
      <w:r w:rsidRPr="00633639">
        <w:tab/>
        <w:t xml:space="preserve">que le numéro </w:t>
      </w:r>
      <w:r w:rsidRPr="004E5D5E">
        <w:rPr>
          <w:b/>
          <w:bCs/>
        </w:rPr>
        <w:t>5.329</w:t>
      </w:r>
      <w:r w:rsidRPr="00633639">
        <w:t xml:space="preserve"> du Règlement des radiocommunications dispose que la bande 1</w:t>
      </w:r>
      <w:r>
        <w:rPr>
          <w:sz w:val="12"/>
        </w:rPr>
        <w:t> </w:t>
      </w:r>
      <w:r w:rsidRPr="00633639">
        <w:t>215-1</w:t>
      </w:r>
      <w:r w:rsidRPr="004E5D5E">
        <w:t> </w:t>
      </w:r>
      <w:r w:rsidRPr="00633639">
        <w:t>300 MHz peut être utilisée par le service de radionavigation par satellite, sous réserve qu'il ne cause pas de brouillage préjudiciable au service de radionavigation autorisé au titre du numéro </w:t>
      </w:r>
      <w:r w:rsidRPr="00633639">
        <w:rPr>
          <w:b/>
          <w:bCs/>
        </w:rPr>
        <w:t>5.331</w:t>
      </w:r>
      <w:r w:rsidRPr="00633639">
        <w:t xml:space="preserve"> et ne demande pas à être protégé vis-à-vis de ce service. Par ailleurs, la bande 1</w:t>
      </w:r>
      <w:r w:rsidRPr="00633639">
        <w:rPr>
          <w:rFonts w:ascii="Tms Rmn" w:hAnsi="Tms Rmn"/>
          <w:sz w:val="12"/>
        </w:rPr>
        <w:t> </w:t>
      </w:r>
      <w:r w:rsidRPr="00633639">
        <w:t>215-1</w:t>
      </w:r>
      <w:r w:rsidRPr="004E5D5E">
        <w:t> </w:t>
      </w:r>
      <w:r w:rsidRPr="00633639">
        <w:t>300 MHz peut être utilisée par le service de radionavigation par satellite sous réserve qu'aucun brouillage préjudiciable ne soit causé au service de radiolocalisation. Le numéro </w:t>
      </w:r>
      <w:r w:rsidRPr="00633639">
        <w:rPr>
          <w:b/>
          <w:bCs/>
        </w:rPr>
        <w:t>5.43</w:t>
      </w:r>
      <w:r w:rsidRPr="00633639">
        <w:t xml:space="preserve"> ne s'applique pas vis</w:t>
      </w:r>
      <w:r w:rsidRPr="00633639">
        <w:noBreakHyphen/>
        <w:t>à</w:t>
      </w:r>
      <w:r w:rsidRPr="00633639">
        <w:noBreakHyphen/>
        <w:t>vis du service de radiolocalisation. La Résolution </w:t>
      </w:r>
      <w:r w:rsidRPr="004E5D5E">
        <w:t>608 (CMR</w:t>
      </w:r>
      <w:r w:rsidRPr="004E5D5E">
        <w:noBreakHyphen/>
        <w:t>03)</w:t>
      </w:r>
      <w:r w:rsidRPr="00633639">
        <w:rPr>
          <w:b/>
        </w:rPr>
        <w:t xml:space="preserve"> </w:t>
      </w:r>
      <w:r w:rsidRPr="00633639">
        <w:rPr>
          <w:bCs/>
        </w:rPr>
        <w:t>s'applique</w:t>
      </w:r>
      <w:r w:rsidRPr="00633639">
        <w:t>;</w:t>
      </w:r>
    </w:p>
    <w:p w:rsidR="00D52E22" w:rsidRPr="00633639" w:rsidRDefault="00D36519" w:rsidP="00D52E22">
      <w:r>
        <w:t>d</w:t>
      </w:r>
      <w:r w:rsidR="00D52E22" w:rsidRPr="00633639">
        <w:t>)</w:t>
      </w:r>
      <w:r w:rsidR="00D52E22" w:rsidRPr="00633639">
        <w:tab/>
        <w:t xml:space="preserve">que le numéro </w:t>
      </w:r>
      <w:r w:rsidR="00D52E22" w:rsidRPr="004E5D5E">
        <w:rPr>
          <w:b/>
          <w:bCs/>
        </w:rPr>
        <w:t>5.332</w:t>
      </w:r>
      <w:r w:rsidR="00D52E22" w:rsidRPr="00633639">
        <w:t xml:space="preserve"> du Règlement des radiocommunications dispose que le SETS (active) dans la bande 1</w:t>
      </w:r>
      <w:r w:rsidR="00D52E22" w:rsidRPr="00633639">
        <w:rPr>
          <w:sz w:val="12"/>
        </w:rPr>
        <w:t> </w:t>
      </w:r>
      <w:r w:rsidR="00D52E22" w:rsidRPr="00633639">
        <w:t>215-1</w:t>
      </w:r>
      <w:r w:rsidR="00D52E22" w:rsidRPr="004E5D5E">
        <w:t> </w:t>
      </w:r>
      <w:r w:rsidR="00D52E22" w:rsidRPr="00633639">
        <w:t>300 MHz ne doit pas causer de brouillage préjudiciable</w:t>
      </w:r>
      <w:r w:rsidR="00D52E22">
        <w:t xml:space="preserve"> au SRNS,</w:t>
      </w:r>
    </w:p>
    <w:p w:rsidR="00D52E22" w:rsidRPr="00633639" w:rsidRDefault="00D52E22" w:rsidP="00D52E22">
      <w:pPr>
        <w:pStyle w:val="Call"/>
      </w:pPr>
      <w:r w:rsidRPr="00633639">
        <w:rPr>
          <w:lang w:eastAsia="ja-JP"/>
        </w:rPr>
        <w:t>not</w:t>
      </w:r>
      <w:r w:rsidRPr="00633639">
        <w:t>ant</w:t>
      </w:r>
    </w:p>
    <w:p w:rsidR="00D52E22" w:rsidRPr="00633639" w:rsidRDefault="00D52E22" w:rsidP="00D52E22">
      <w:r w:rsidRPr="00633639">
        <w:t xml:space="preserve">que la </w:t>
      </w:r>
      <w:r w:rsidRPr="00633639">
        <w:rPr>
          <w:lang w:eastAsia="ja-JP"/>
        </w:rPr>
        <w:t>Recommandation UIT</w:t>
      </w:r>
      <w:r w:rsidRPr="00633639">
        <w:rPr>
          <w:lang w:eastAsia="ja-JP"/>
        </w:rPr>
        <w:noBreakHyphen/>
        <w:t>R RS.1749 définit les caractéristiques de divers radars spatioportés à synthèse d'ouverture fonctionnant dans la bande 1 215-1 300 MHz et que la Recommandation UIT</w:t>
      </w:r>
      <w:r w:rsidRPr="00633639">
        <w:rPr>
          <w:lang w:eastAsia="ja-JP"/>
        </w:rPr>
        <w:noBreakHyphen/>
        <w:t>R RS.1347 préconise que le partage entre les radars spatioportés à synthèse d'ouverture et le SRNS soit considéré comme possible dans la bande 1 215-1 260 MHz compte tenu des démonstrations, y compris des</w:t>
      </w:r>
      <w:r>
        <w:rPr>
          <w:lang w:eastAsia="ja-JP"/>
        </w:rPr>
        <w:t xml:space="preserve"> essais de compatibilité au sol,</w:t>
      </w:r>
    </w:p>
    <w:p w:rsidR="00D52E22" w:rsidRPr="00633639" w:rsidRDefault="00D52E22" w:rsidP="00D52E22">
      <w:pPr>
        <w:pStyle w:val="Call"/>
        <w:rPr>
          <w:snapToGrid w:val="0"/>
        </w:rPr>
      </w:pPr>
      <w:r w:rsidRPr="00633639">
        <w:rPr>
          <w:snapToGrid w:val="0"/>
        </w:rPr>
        <w:t>recommande</w:t>
      </w:r>
    </w:p>
    <w:p w:rsidR="00D52E22" w:rsidRPr="00633639" w:rsidRDefault="00D52E22" w:rsidP="00D52E22">
      <w:pPr>
        <w:rPr>
          <w:snapToGrid w:val="0"/>
        </w:rPr>
      </w:pPr>
      <w:r w:rsidRPr="00633639">
        <w:rPr>
          <w:b/>
          <w:bCs/>
          <w:snapToGrid w:val="0"/>
          <w:lang w:eastAsia="ja-JP"/>
        </w:rPr>
        <w:t>1</w:t>
      </w:r>
      <w:r w:rsidRPr="00633639">
        <w:rPr>
          <w:snapToGrid w:val="0"/>
          <w:lang w:eastAsia="ja-JP"/>
        </w:rPr>
        <w:tab/>
        <w:t xml:space="preserve">d'utiliser les caractéristiques et les critères de protection des stations terriennes de réception </w:t>
      </w:r>
      <w:r w:rsidRPr="00633639">
        <w:rPr>
          <w:snapToGrid w:val="0"/>
        </w:rPr>
        <w:t>indiquées dans l'Annexe</w:t>
      </w:r>
      <w:r w:rsidRPr="00633639">
        <w:rPr>
          <w:snapToGrid w:val="0"/>
          <w:lang w:eastAsia="ja-JP"/>
        </w:rPr>
        <w:t> </w:t>
      </w:r>
      <w:r w:rsidRPr="00633639">
        <w:rPr>
          <w:snapToGrid w:val="0"/>
        </w:rPr>
        <w:t xml:space="preserve">1 pour analyser l'incidence sur les récepteurs du SRNS (espace vers Terre) fonctionnant dans la bande </w:t>
      </w:r>
      <w:r w:rsidRPr="00633639">
        <w:rPr>
          <w:lang w:eastAsia="ja-JP"/>
        </w:rPr>
        <w:t xml:space="preserve">1 215-1 300 MHz </w:t>
      </w:r>
      <w:r w:rsidRPr="00633639">
        <w:rPr>
          <w:snapToGrid w:val="0"/>
        </w:rPr>
        <w:t>des brouillages causés par des sources radioélectriques autres que celles du SRNS</w:t>
      </w:r>
      <w:r>
        <w:rPr>
          <w:snapToGrid w:val="0"/>
        </w:rPr>
        <w:t>.</w:t>
      </w:r>
    </w:p>
    <w:p w:rsidR="00D52E22" w:rsidRDefault="00D52E22" w:rsidP="00D52E22">
      <w:pPr>
        <w:rPr>
          <w:rFonts w:eastAsia="MS Mincho"/>
          <w:szCs w:val="24"/>
        </w:rPr>
      </w:pPr>
    </w:p>
    <w:p w:rsidR="00BD0403" w:rsidRPr="00633639" w:rsidRDefault="00BD0403" w:rsidP="00D52E22">
      <w:pPr>
        <w:rPr>
          <w:rFonts w:eastAsia="MS Mincho"/>
          <w:szCs w:val="24"/>
        </w:rPr>
      </w:pPr>
    </w:p>
    <w:p w:rsidR="00D52E22" w:rsidRPr="00633639" w:rsidRDefault="00D52E22" w:rsidP="00D52E22">
      <w:pPr>
        <w:rPr>
          <w:rFonts w:eastAsia="MS Mincho"/>
          <w:szCs w:val="24"/>
        </w:rPr>
      </w:pPr>
    </w:p>
    <w:p w:rsidR="00D52E22" w:rsidRPr="00633639" w:rsidRDefault="00D52E22" w:rsidP="00D52E22">
      <w:pPr>
        <w:pStyle w:val="Rectitle"/>
      </w:pPr>
      <w:r w:rsidRPr="00633639">
        <w:rPr>
          <w:rFonts w:eastAsia="MS Mincho"/>
        </w:rPr>
        <w:t>Annexe 1</w:t>
      </w:r>
      <w:r w:rsidRPr="00633639">
        <w:br/>
      </w:r>
      <w:r w:rsidRPr="00633639">
        <w:br/>
        <w:t xml:space="preserve">Caractéristiques et critères de protection applicables aux stations terriennes </w:t>
      </w:r>
      <w:r>
        <w:br/>
      </w:r>
      <w:r w:rsidRPr="00633639">
        <w:t>de réception du service de radionavigation par satellite (espace vers Terre) fonctionnant dans la bande 1 215-1 300 MHz</w:t>
      </w:r>
    </w:p>
    <w:p w:rsidR="00D52E22" w:rsidRPr="00633639" w:rsidRDefault="00D52E22" w:rsidP="00D52E22">
      <w:pPr>
        <w:pStyle w:val="Heading1"/>
      </w:pPr>
      <w:r w:rsidRPr="00633639">
        <w:t>1</w:t>
      </w:r>
      <w:r w:rsidRPr="00633639">
        <w:tab/>
        <w:t>Introduction</w:t>
      </w:r>
    </w:p>
    <w:p w:rsidR="00D52E22" w:rsidRPr="00633639" w:rsidRDefault="00D52E22" w:rsidP="00D52E22">
      <w:r w:rsidRPr="00633639">
        <w:t>Plusieurs classes de récepteurs qui diffèrent en termes de fonctions et de qualité de fonctionnement vont vraisemblablement utiliser les signaux de satellites du SRNS dans la bande de fréquences 1 215-1 300 MHz. Dans les paragraphes qui suivent</w:t>
      </w:r>
      <w:r>
        <w:t>,</w:t>
      </w:r>
      <w:r w:rsidRPr="00633639">
        <w:t xml:space="preserve"> on trouvera une description générale de chaque type de récepteur ainsi que des caractéristiques et des critères de protection applicables aux différents récepteurs. Plusieurs de ces récepteurs sont des récepteurs multibandes qui utilisent ou prévoient d'utiliser des signaux du SRNS simultanément pour cette bande et une ou plusieurs autres bandes attribuées au SRNS.</w:t>
      </w:r>
    </w:p>
    <w:p w:rsidR="00D52E22" w:rsidRPr="00633639" w:rsidRDefault="00D52E22" w:rsidP="00D52E22">
      <w:pPr>
        <w:pStyle w:val="Heading1"/>
      </w:pPr>
      <w:r w:rsidRPr="00633639">
        <w:t>2</w:t>
      </w:r>
      <w:r w:rsidRPr="00633639">
        <w:tab/>
        <w:t>Descriptions des applications des récepteurs du SRNS</w:t>
      </w:r>
    </w:p>
    <w:p w:rsidR="00D52E22" w:rsidRPr="00633639" w:rsidRDefault="00D52E22" w:rsidP="00D52E22">
      <w:r w:rsidRPr="00633639">
        <w:t xml:space="preserve">Plusieurs types de récepteurs du SRNS existants ou en projet sont décrits dans les paragraphes qui suivent. </w:t>
      </w:r>
    </w:p>
    <w:p w:rsidR="00D52E22" w:rsidRPr="00633639" w:rsidRDefault="00D52E22" w:rsidP="00D52E22">
      <w:pPr>
        <w:pStyle w:val="Heading2"/>
      </w:pPr>
      <w:r w:rsidRPr="00633639">
        <w:lastRenderedPageBreak/>
        <w:t>2.1</w:t>
      </w:r>
      <w:r w:rsidRPr="00633639">
        <w:tab/>
        <w:t>Récepteur de référence au sol du système SBAS</w:t>
      </w:r>
      <w:r w:rsidRPr="00633639">
        <w:rPr>
          <w:position w:val="6"/>
          <w:sz w:val="18"/>
        </w:rPr>
        <w:footnoteReference w:id="1"/>
      </w:r>
      <w:r w:rsidRPr="00633639">
        <w:t xml:space="preserve"> </w:t>
      </w:r>
    </w:p>
    <w:p w:rsidR="00D52E22" w:rsidRPr="00633639" w:rsidRDefault="00D52E22" w:rsidP="00D52E22">
      <w:r w:rsidRPr="00633639">
        <w:t xml:space="preserve">Ce type de récepteur au sol est utilisé dans le réseau au sol du système complémentaire basé sur des satellites (SBAS) pour déterminer les temps de propagation dans l'ionosphère et l'intégrité des signaux du SRNS. Ce récepteur fait appel à une technique à code partiel qui exploite une fonctionnalité unique rendue possible par l'architecture particulière des signaux du SRNS selon laquelle la poursuite s'effectue sur les signaux L1 et L2 </w:t>
      </w:r>
      <w:r w:rsidRPr="00633639">
        <w:rPr>
          <w:color w:val="000000"/>
        </w:rPr>
        <w:t>P(</w:t>
      </w:r>
      <w:r w:rsidRPr="00633639">
        <w:t>Y), facilitée par une connaissance</w:t>
      </w:r>
      <w:r>
        <w:t>,</w:t>
      </w:r>
      <w:r w:rsidRPr="00633639">
        <w:t xml:space="preserve"> d'une part</w:t>
      </w:r>
      <w:r>
        <w:t>,</w:t>
      </w:r>
      <w:r w:rsidRPr="00633639">
        <w:t xml:space="preserve"> de la phase dynamique de la porteuse obtenue par poursuite de la porteuse et du signal L1 à code C/A</w:t>
      </w:r>
      <w:r w:rsidRPr="00633639">
        <w:rPr>
          <w:position w:val="6"/>
          <w:sz w:val="18"/>
        </w:rPr>
        <w:footnoteReference w:id="2"/>
      </w:r>
      <w:r w:rsidRPr="00633639">
        <w:t xml:space="preserve"> et</w:t>
      </w:r>
      <w:r>
        <w:t>,</w:t>
      </w:r>
      <w:r w:rsidRPr="00633639">
        <w:t xml:space="preserve"> d'autre part</w:t>
      </w:r>
      <w:r>
        <w:t>,</w:t>
      </w:r>
      <w:r w:rsidRPr="00633639">
        <w:t xml:space="preserve"> du rythme moyen de cryptage. Cette technique de corrélation croisée donne la possibilité de mesurer le temps de propagation du signal à L2, ce qui permet de déterminer les variations de temps de propagation du signal dues à l'ionosphère. Elle est rendue possible par le fait que les signaux L1 et L2 P(Y) ont des codes identiques. Ce récepteur doit aussi acquérir et poursuivre les signaux de satellite</w:t>
      </w:r>
      <w:r>
        <w:t>s</w:t>
      </w:r>
      <w:r w:rsidRPr="00633639">
        <w:t xml:space="preserve"> SBAS sur la même fréquence que la porteuse L1 C/A. Les récepteurs à code partiel sont plus sensibles aux brouillages car ils fonctionnent sans avoir l'avantage de connaître le code Y</w:t>
      </w:r>
      <w:r w:rsidRPr="00633639">
        <w:rPr>
          <w:position w:val="6"/>
          <w:sz w:val="18"/>
        </w:rPr>
        <w:footnoteReference w:id="3"/>
      </w:r>
      <w:r w:rsidRPr="00633639">
        <w:t>. L'acquisition est réalisée à l'aide du signal L1 à code C/A. Il n'y a pas d'acquisition à L2 pour ce type de récepteur. Les caractéristiques et les critères de protection applicables à ce récepteur sont indiqués dans le Tableau 1</w:t>
      </w:r>
      <w:r w:rsidRPr="00633639">
        <w:noBreakHyphen/>
        <w:t xml:space="preserve">1, colonne 1. Etant donné qu'il utilise les signaux L1 C/A et </w:t>
      </w:r>
      <w:r w:rsidRPr="00633639">
        <w:rPr>
          <w:color w:val="000000"/>
        </w:rPr>
        <w:t>P(</w:t>
      </w:r>
      <w:r w:rsidRPr="00633639">
        <w:t>Y) simultanément avec le signal L2</w:t>
      </w:r>
      <w:r w:rsidRPr="00633639">
        <w:rPr>
          <w:color w:val="000000"/>
        </w:rPr>
        <w:t xml:space="preserve"> P(</w:t>
      </w:r>
      <w:r w:rsidRPr="00633639">
        <w:t>Y), le récepteur est lui aussi sensible au brouillage dans la bande 1 559-1 610 MHz. Les critères de protection et d'autres caractéristiques du récepteur de référence au sol SBAS dans cette bande de fréquences sont spécifiés dans la Rec</w:t>
      </w:r>
      <w:r w:rsidRPr="00633639">
        <w:rPr>
          <w:lang w:eastAsia="ja-JP"/>
        </w:rPr>
        <w:t>ommandation</w:t>
      </w:r>
      <w:r w:rsidRPr="00633639">
        <w:t xml:space="preserve"> UIT</w:t>
      </w:r>
      <w:r w:rsidRPr="00633639">
        <w:noBreakHyphen/>
        <w:t>R M.1903.</w:t>
      </w:r>
    </w:p>
    <w:p w:rsidR="00D52E22" w:rsidRPr="00633639" w:rsidRDefault="00D52E22" w:rsidP="00D52E22">
      <w:r w:rsidRPr="00633639">
        <w:t xml:space="preserve">Les récepteurs de référence au sol SBAS ont des rôles essentiels, par exemple le contrôle de l'intégrité des systèmes du SRNS au niveau des stations au sol SBAS dans des emplacements fixes connus. Pour garantir à ces récepteurs un accès ininterrompu aux signaux du SRNS, il faut prévoir une protection, par exemple, sans toutefois s'y limiter, sous forme de zones tampon physiques. </w:t>
      </w:r>
    </w:p>
    <w:p w:rsidR="00D52E22" w:rsidRPr="00633639" w:rsidRDefault="00D52E22" w:rsidP="00D52E22">
      <w:pPr>
        <w:pStyle w:val="Heading2"/>
      </w:pPr>
      <w:r w:rsidRPr="00633639">
        <w:t>2.2</w:t>
      </w:r>
      <w:r w:rsidRPr="00633639">
        <w:tab/>
        <w:t>Récepteurs du SRNS à code partiel</w:t>
      </w:r>
    </w:p>
    <w:p w:rsidR="00D52E22" w:rsidRPr="00633639" w:rsidRDefault="00D52E22" w:rsidP="00D52E22">
      <w:pPr>
        <w:pStyle w:val="Heading3"/>
      </w:pPr>
      <w:r w:rsidRPr="00633639">
        <w:t>2.2.1</w:t>
      </w:r>
      <w:r w:rsidRPr="00633639">
        <w:tab/>
        <w:t xml:space="preserve">Récepteurs de haute précision à code partiel </w:t>
      </w:r>
    </w:p>
    <w:p w:rsidR="00D52E22" w:rsidRPr="00633639" w:rsidRDefault="00D52E22" w:rsidP="00D52E22">
      <w:r w:rsidRPr="00633639">
        <w:t>Ces récepteurs sont utilisés essentiellement pour des applications de surveillance et d'autres applications de localisation précise (par exemple, agriculture de précision, scientifique) o</w:t>
      </w:r>
      <w:r>
        <w:t>ù</w:t>
      </w:r>
      <w:r w:rsidRPr="00633639">
        <w:t xml:space="preserve"> l'on a besoin de mesurer les temps de propagation dans l'ionosphère. Comme les récepteurs de référence au sol SBAS, ces récepteurs à code partiel utilisent une technique selon laquelle la poursuite s'effectue sur les signaux L1 et L2 </w:t>
      </w:r>
      <w:r w:rsidRPr="00633639">
        <w:rPr>
          <w:color w:val="000000"/>
        </w:rPr>
        <w:t>P(</w:t>
      </w:r>
      <w:r w:rsidRPr="00633639">
        <w:t>Y), facilitée par une connaissance de la phase dynamique de la porteuse obtenue à partir de</w:t>
      </w:r>
      <w:r>
        <w:t xml:space="preserve"> la</w:t>
      </w:r>
      <w:r w:rsidRPr="00633639">
        <w:t xml:space="preserve"> poursuite d</w:t>
      </w:r>
      <w:r>
        <w:t>e</w:t>
      </w:r>
      <w:r w:rsidRPr="00633639">
        <w:t xml:space="preserve"> code L1 C/A. Deux méthodes de base sont utilisées: 1) corrélation croisée des signaux L1 et L2 P(Y); ou 2) poursuite indépendante des signaux. Pour pouvoir bien fonctionner, les récepteurs de haute précision acquièrent et poursuivent les signaux du SRNS dans deux ou trois bandes de fréquences et ils doivent être protégés dans toutes les bandes utilisées.</w:t>
      </w:r>
    </w:p>
    <w:p w:rsidR="00D52E22" w:rsidRPr="00633639" w:rsidRDefault="00D52E22" w:rsidP="00D52E22">
      <w:r w:rsidRPr="00633639">
        <w:t xml:space="preserve">Il existe aussi des variantes ou des combinaisons de ces deux méthodes. Quoiqu'il en soit, l'objectif est de fournir une estimation du temps de propagation dans l'ionosphère ou une série indépendante </w:t>
      </w:r>
      <w:r w:rsidRPr="00633639">
        <w:lastRenderedPageBreak/>
        <w:t>de mesures de la phase de la porteuse, ce qui contribue à supprimer rapidement les ambiguïtés de longueur d'onde, même lorsque le récepteur est en mouvement. Ce processus permet d'améliorer la précision de localisation. Le schéma de corrélation croisée est rendu possible par le fait que les signaux L1 et L2 ont des codes P(Y) identiques quasiment synchronisés. Les signaux L2 P(Y) sont retardés dans l'ionosphère par rapport aux signaux L1 P(Y) et aussi accompagnés d'avances de phase de la porteuse. Le signal L1 P(Y) a le même code et la même fréquence Doppler que le signal L1 C/A, ce qui facilite la poursuite à code partiel en utilisant des boucles de poursuite à largeur de bande très étroite. Ce récepteur aura des caractéristiques identiques à celles du récepteur de référence au sol SBAS décrit ci-dessus mais sa vulnérabilité au brouillage sera peut</w:t>
      </w:r>
      <w:r>
        <w:noBreakHyphen/>
      </w:r>
      <w:r w:rsidRPr="00633639">
        <w:t>être différente. Les caractéristiques de ce type de récepteur sont données dans le Tableau 1</w:t>
      </w:r>
      <w:r w:rsidRPr="00633639">
        <w:noBreakHyphen/>
        <w:t>1, colonne 2. Etant donné qu'il utilise aussi les signaux dans la bande 1 559-1 610 MHz, ce récepteur est vulnérable au brouillage dans cette bande. Les critères de protection et les autres caractéristiques dans la bande 1 559-1 610 MHz applicables aux récepteurs de haute précision de type AMRC sont donnés dans la Rec</w:t>
      </w:r>
      <w:r w:rsidRPr="00633639">
        <w:rPr>
          <w:lang w:eastAsia="ja-JP"/>
        </w:rPr>
        <w:t>ommandation</w:t>
      </w:r>
      <w:r w:rsidRPr="00633639">
        <w:t xml:space="preserve"> UIT</w:t>
      </w:r>
      <w:r w:rsidRPr="00633639">
        <w:noBreakHyphen/>
        <w:t>R M.1903.</w:t>
      </w:r>
    </w:p>
    <w:p w:rsidR="00D52E22" w:rsidRPr="00633639" w:rsidRDefault="00D52E22" w:rsidP="00D52E22">
      <w:pPr>
        <w:pStyle w:val="Heading3"/>
      </w:pPr>
      <w:r w:rsidRPr="00633639">
        <w:t>2.2.2</w:t>
      </w:r>
      <w:r w:rsidRPr="00633639">
        <w:tab/>
        <w:t xml:space="preserve">Récepteurs de haute précision à code partiel intermédiaires </w:t>
      </w:r>
      <w:r>
        <w:t xml:space="preserve">utilisant </w:t>
      </w:r>
      <w:r w:rsidRPr="00633639">
        <w:t>le signal L2C</w:t>
      </w:r>
    </w:p>
    <w:p w:rsidR="00D52E22" w:rsidRPr="00633639" w:rsidRDefault="00D52E22" w:rsidP="00D52E22">
      <w:r w:rsidRPr="00633639">
        <w:t>Ce récepteur a toutes les caractéristiques du récepteur de haute précision à code partiel décrit au § 2.2.1. Il acquiert et poursuit lui aussi le nouveau signal L2C</w:t>
      </w:r>
      <w:r w:rsidRPr="00633639">
        <w:rPr>
          <w:position w:val="6"/>
          <w:sz w:val="18"/>
        </w:rPr>
        <w:footnoteReference w:id="4"/>
      </w:r>
      <w:r w:rsidRPr="00633639">
        <w:t xml:space="preserve"> sur la porteuse L2 </w:t>
      </w:r>
      <w:r>
        <w:t xml:space="preserve">reçu </w:t>
      </w:r>
      <w:r w:rsidRPr="00633639">
        <w:t>des satellites de génération ultérieure disponibles. Ce récepteur utilisera la technique à code partiel décrite ci</w:t>
      </w:r>
      <w:r>
        <w:noBreakHyphen/>
      </w:r>
      <w:r w:rsidRPr="00633639">
        <w:t xml:space="preserve">dessus pour acquérir et poursuivre les signaux L2 P(Y) de satellites de génération </w:t>
      </w:r>
      <w:r>
        <w:t>an</w:t>
      </w:r>
      <w:r w:rsidRPr="00633639">
        <w:t>térieure et pourra utiliser cette technique avec les signaux L2 P(Y) reçus des satellites de génération ultérieure, au moins pour donner des informations d'étalonnage pour un fonctionnement hybride L2C/L2 P(Y). Ce fonctionnement nécessite que soit connue la différence de phase entre les signaux L2C et L2</w:t>
      </w:r>
      <w:r>
        <w:t> </w:t>
      </w:r>
      <w:r w:rsidRPr="00633639">
        <w:t>P(Y). Le signal L2C offre une plus grande robustesse que celle qui est disponible avec le fonctionnement à code partiel L2 P(Y) plus bénéfique dans des environnements contraints. Toutefois, étant donné que les récepteurs ayant cette fonctionnalité sont utilisés dans des applications qui utilisent les anciens récepteurs à code partiel L2 P(Y), en général, cette robustesse supplémentaire n'est pas toujours disponible. Les niveaux seuil de puissance brouilleuse spécifiés dans le Tableau 1</w:t>
      </w:r>
      <w:r w:rsidRPr="00633639">
        <w:noBreakHyphen/>
        <w:t>1, colonne 2</w:t>
      </w:r>
      <w:r>
        <w:t>,</w:t>
      </w:r>
      <w:r w:rsidRPr="00633639">
        <w:t xml:space="preserve"> continuent de s'appliquer.</w:t>
      </w:r>
    </w:p>
    <w:p w:rsidR="00D52E22" w:rsidRPr="00633639" w:rsidRDefault="00D52E22" w:rsidP="00D52E22">
      <w:pPr>
        <w:pStyle w:val="Heading2"/>
      </w:pPr>
      <w:r w:rsidRPr="00633639">
        <w:t>2.3</w:t>
      </w:r>
      <w:r w:rsidRPr="00633639">
        <w:tab/>
        <w:t>Récepteurs de haute précision utilisant le signal L2C</w:t>
      </w:r>
    </w:p>
    <w:p w:rsidR="00D52E22" w:rsidRPr="00633639" w:rsidRDefault="00D52E22" w:rsidP="00D52E22">
      <w:r w:rsidRPr="00633639">
        <w:t>Ce type de récepteur est un récepteur au sol qui acquiert et poursuit le signal L2C mais pas nécessairement le signal L2 P(Y). La fonction de ce récepteur est la même que celle du récepteur de haute précision à code partiel décrit plus haut, mais la robustesse est plus grande en raison de l'acquisition et de la poursuite du signal L2C.</w:t>
      </w:r>
    </w:p>
    <w:p w:rsidR="00D52E22" w:rsidRPr="00633639" w:rsidRDefault="00D52E22" w:rsidP="00D52E22">
      <w:r w:rsidRPr="00633639">
        <w:t>Ce type de récepteur acquiert et poursuit le nouveau code L2C reçu de certains satellites de génération ultérieure. Ce récepteur peut aussi utiliser la technique à code partiel décrite plus haut pour acquérir et poursuivre les signaux L2 P(Y) reçus de ces satellites et d'autres satellite</w:t>
      </w:r>
      <w:r>
        <w:t>s</w:t>
      </w:r>
      <w:r w:rsidRPr="00633639">
        <w:t>, au moins pour fournir des données d'étalonnage pour un fonctionnement hybride L2C/L2 P(Y). Ce fonctionnement nécessite que soit connue la différence de phase entre les signaux L2C et L2 P(Y). Les caractéristiques de ce type de récepteur qui acquiert et poursuit le signal L2C sont données dans le Tableau 1</w:t>
      </w:r>
      <w:r w:rsidRPr="00633639">
        <w:noBreakHyphen/>
        <w:t xml:space="preserve">1, colonne 3. Le signal L2C offre une plus grande robustesse que celle qui est disponible avec un fonctionnement à code partiel L2 P(Y) plus bénéfique dans des </w:t>
      </w:r>
      <w:bookmarkStart w:id="3" w:name="_GoBack"/>
      <w:bookmarkEnd w:id="3"/>
      <w:r w:rsidRPr="00633639">
        <w:t xml:space="preserve">environnements contraints. Toutefois, étant donné que les récepteurs ayant cette fonctionnalité sont utilisés dans des applications qui utilisent aussi les anciens récepteurs à code partiel L2 P(Y), en général, cette </w:t>
      </w:r>
      <w:r w:rsidRPr="00633639">
        <w:lastRenderedPageBreak/>
        <w:t>robustesse supplémentaire n'est pas toujours disponible. Les niveaux seuil de puissance brouilleuse spécifiés dans le Tableau 1</w:t>
      </w:r>
      <w:r w:rsidRPr="00633639">
        <w:noBreakHyphen/>
        <w:t>1, colonne 2</w:t>
      </w:r>
      <w:r>
        <w:t>,</w:t>
      </w:r>
      <w:r w:rsidRPr="00633639">
        <w:t xml:space="preserve"> continuent de s'appliquer.</w:t>
      </w:r>
    </w:p>
    <w:p w:rsidR="00D52E22" w:rsidRPr="00633639" w:rsidRDefault="00D52E22" w:rsidP="00D52E22">
      <w:pPr>
        <w:pStyle w:val="Heading2"/>
      </w:pPr>
      <w:r w:rsidRPr="00633639">
        <w:t>2.4</w:t>
      </w:r>
      <w:r w:rsidRPr="00633639">
        <w:tab/>
        <w:t>Récepteur de navigation aérienne</w:t>
      </w:r>
    </w:p>
    <w:p w:rsidR="00D52E22" w:rsidRPr="00633639" w:rsidRDefault="00D52E22" w:rsidP="00D52E22">
      <w:r w:rsidRPr="00633639">
        <w:t>Il s'agit d'un récepteur embarqué conçu pour être utilisé en vol pour une approche de précision. Ce type de récepteur utilise des signaux du SRNS AMRF</w:t>
      </w:r>
      <w:r w:rsidRPr="00633639">
        <w:rPr>
          <w:position w:val="6"/>
          <w:sz w:val="18"/>
        </w:rPr>
        <w:footnoteReference w:id="5"/>
      </w:r>
      <w:r w:rsidRPr="00633639">
        <w:t xml:space="preserve"> et fonctionne simultanément sur plusieurs fréquences porteuses. Les caractéristiques de ce type de récepteur sont données dans le Tableau 1</w:t>
      </w:r>
      <w:r w:rsidRPr="00633639">
        <w:noBreakHyphen/>
        <w:t>1, colonne 4.</w:t>
      </w:r>
    </w:p>
    <w:p w:rsidR="00D52E22" w:rsidRPr="00633639" w:rsidRDefault="00D52E22" w:rsidP="00D52E22">
      <w:pPr>
        <w:rPr>
          <w:lang w:eastAsia="ja-JP"/>
        </w:rPr>
      </w:pPr>
      <w:r w:rsidRPr="00633639">
        <w:t>Les caractéristiques des récepteurs de navigation aérienne AMRF peuvent aussi s'appliquer aux récepteurs conçus pour des applications terrestres et maritimes qui ne sont pas décrites dans la présente Annexe.</w:t>
      </w:r>
    </w:p>
    <w:p w:rsidR="00D52E22" w:rsidRPr="00633639" w:rsidRDefault="00D52E22" w:rsidP="00D52E22">
      <w:pPr>
        <w:pStyle w:val="Heading2"/>
      </w:pPr>
      <w:r w:rsidRPr="00633639">
        <w:t>2.5</w:t>
      </w:r>
      <w:r w:rsidRPr="00633639">
        <w:tab/>
        <w:t>Localisation à l'intérieur de bâtiments</w:t>
      </w:r>
    </w:p>
    <w:p w:rsidR="00D52E22" w:rsidRPr="00633639" w:rsidRDefault="00D52E22" w:rsidP="00D52E22">
      <w:pPr>
        <w:keepLines/>
      </w:pPr>
      <w:r w:rsidRPr="00633639">
        <w:t xml:space="preserve">Les récepteurs du SRNS de cette catégorie sont conçus pour être utilisés à l'intérieur de bâtiments et leur rapport </w:t>
      </w:r>
      <w:r w:rsidRPr="00633639">
        <w:rPr>
          <w:i/>
          <w:iCs/>
        </w:rPr>
        <w:t>C</w:t>
      </w:r>
      <w:r w:rsidRPr="00633639">
        <w:t>/</w:t>
      </w:r>
      <w:r w:rsidRPr="00633639">
        <w:rPr>
          <w:i/>
          <w:iCs/>
        </w:rPr>
        <w:t>N</w:t>
      </w:r>
      <w:r w:rsidRPr="00633639">
        <w:rPr>
          <w:vertAlign w:val="subscript"/>
        </w:rPr>
        <w:t>0</w:t>
      </w:r>
      <w:r w:rsidRPr="00633639">
        <w:t xml:space="preserve"> est faible (c'est</w:t>
      </w:r>
      <w:r w:rsidRPr="00633639">
        <w:noBreakHyphen/>
        <w:t>à</w:t>
      </w:r>
      <w:r w:rsidRPr="00633639">
        <w:noBreakHyphen/>
        <w:t>dire récepteurs très sensibles).</w:t>
      </w:r>
      <w:r w:rsidRPr="00633639">
        <w:rPr>
          <w:lang w:eastAsia="ja-JP"/>
        </w:rPr>
        <w:t xml:space="preserve"> Etant donné qu'on ne peut pas utiliser la poursuite de la porteuse avec les signaux de faible puissance présents à l'intérieur des bâtiments, seule la poursuite de code est utilisée avec ce type de récepteur. Deux types de récepteurs sont indiqués dans le</w:t>
      </w:r>
      <w:r w:rsidRPr="00633639">
        <w:t xml:space="preserve"> Tableau 1</w:t>
      </w:r>
      <w:r w:rsidRPr="00633639">
        <w:noBreakHyphen/>
        <w:t>1, colonne 5; chacun utilise un type de signal de satellite du SRNS différent</w:t>
      </w:r>
      <w:r w:rsidRPr="00633639">
        <w:rPr>
          <w:lang w:eastAsia="ja-JP"/>
        </w:rPr>
        <w:t xml:space="preserve"> (AMRC pour le signal L2C ou AMRF), ainsi qu'une gamme de fréquences et une largeur de bande de filtre différentes. Les critères de protection et les autres caractéristiques sont les mêmes.</w:t>
      </w:r>
    </w:p>
    <w:p w:rsidR="00D52E22" w:rsidRPr="00633639" w:rsidRDefault="00D52E22" w:rsidP="00D52E22">
      <w:pPr>
        <w:pStyle w:val="Heading2"/>
      </w:pPr>
      <w:r>
        <w:t>2.6</w:t>
      </w:r>
      <w:r>
        <w:tab/>
      </w:r>
      <w:r>
        <w:rPr>
          <w:lang w:val="fr-CH" w:eastAsia="zh-CN"/>
        </w:rPr>
        <w:t>«</w:t>
      </w:r>
      <w:r w:rsidRPr="00633639">
        <w:t>Autres récepteurs</w:t>
      </w:r>
      <w:r>
        <w:rPr>
          <w:lang w:val="fr-CH" w:eastAsia="zh-CN"/>
        </w:rPr>
        <w:t>»</w:t>
      </w:r>
    </w:p>
    <w:p w:rsidR="00D52E22" w:rsidRPr="00633639" w:rsidRDefault="00D52E22" w:rsidP="00D52E22">
      <w:r w:rsidRPr="00633639">
        <w:t>Il s'agit d'applications du SRNS qui utilisent des récepteurs du SRNS polyvalents et portatifs. Les caractéristiques</w:t>
      </w:r>
      <w:r w:rsidRPr="00633639">
        <w:rPr>
          <w:position w:val="6"/>
          <w:sz w:val="18"/>
        </w:rPr>
        <w:footnoteReference w:id="6"/>
      </w:r>
      <w:r w:rsidRPr="00633639">
        <w:t xml:space="preserve"> et les critères de protection applicables à ces récepteurs sont indiqués dans le Tableau 1</w:t>
      </w:r>
      <w:r w:rsidRPr="00633639">
        <w:noBreakHyphen/>
        <w:t>1, colonne 6.</w:t>
      </w:r>
    </w:p>
    <w:p w:rsidR="00D52E22" w:rsidRPr="00633639" w:rsidRDefault="00D52E22" w:rsidP="00D52E22">
      <w:pPr>
        <w:pStyle w:val="Heading2"/>
      </w:pPr>
      <w:r w:rsidRPr="00633639">
        <w:t>2.7</w:t>
      </w:r>
      <w:r w:rsidRPr="00633639">
        <w:tab/>
        <w:t xml:space="preserve">Récepteurs polyvalents </w:t>
      </w:r>
    </w:p>
    <w:p w:rsidR="00D52E22" w:rsidRPr="00633639" w:rsidRDefault="00D52E22" w:rsidP="00D52E22">
      <w:r w:rsidRPr="00633639">
        <w:t xml:space="preserve">Cette catégorie comprend plusieurs types de récepteurs du SRNS. Ces récepteurs sont conçus pour la navigation des véhicules, la navigation des piétons, pour une localisation générale. Deux </w:t>
      </w:r>
      <w:r>
        <w:t xml:space="preserve">types de </w:t>
      </w:r>
      <w:r w:rsidRPr="00633639">
        <w:t>récepteurs sont indiqués dans le Tableau 1</w:t>
      </w:r>
      <w:r w:rsidRPr="00633639">
        <w:noBreakHyphen/>
        <w:t>1, colonne 7; chacun utilise un type de signal de satellite du SRNS différent</w:t>
      </w:r>
      <w:r w:rsidRPr="00633639">
        <w:rPr>
          <w:lang w:eastAsia="ja-JP"/>
        </w:rPr>
        <w:t xml:space="preserve"> (AMRC pour le signal L2C ou AMRF), ainsi qu'une gamme de fréquences et une largeur de bande de filtre différentes. Les critères de protection et les autres caractéristiques sont les mêmes</w:t>
      </w:r>
      <w:r w:rsidRPr="00633639">
        <w:t xml:space="preserve">. </w:t>
      </w:r>
    </w:p>
    <w:p w:rsidR="00D52E22" w:rsidRPr="00633639" w:rsidRDefault="00D52E22" w:rsidP="00D52E22">
      <w:pPr>
        <w:pStyle w:val="Heading1"/>
      </w:pPr>
      <w:r w:rsidRPr="00633639">
        <w:t>3</w:t>
      </w:r>
      <w:r w:rsidRPr="00633639">
        <w:tab/>
        <w:t>Effets du brouillage radioélectrique par impulsions</w:t>
      </w:r>
    </w:p>
    <w:p w:rsidR="00D52E22" w:rsidRPr="00633639" w:rsidRDefault="00D52E22" w:rsidP="00D52E22">
      <w:pPr>
        <w:rPr>
          <w:snapToGrid w:val="0"/>
        </w:rPr>
      </w:pPr>
      <w:r w:rsidRPr="00633639">
        <w:t xml:space="preserve">En plus du brouillage continu imputable à des sources très diverses, y compris des stations spatiales du SRNS, les récepteurs du SRNS fonctionnant dans la bande 1 215-1 300 MHz subissent un brouillage radioélectrique (RFI) par impulsions dans la bande et dans les bandes adjacentes </w:t>
      </w:r>
      <w:r w:rsidRPr="00633639">
        <w:lastRenderedPageBreak/>
        <w:t>imputable aux radars de radiolocalisation et aux émetteurs du SRNA. La présence de brouillage RFI par impulsions réduit la quantité de brouillage RFI continu qu'un récepteur du SRNS peut tolérer. La quantité de brouillage RFI par impulsions dépend du nombre de sources de brouillage par impulsions situées dans l'horizon radioélectrique de l'antenne du récepteur du SRNS.</w:t>
      </w:r>
    </w:p>
    <w:p w:rsidR="00D52E22" w:rsidRPr="00633639" w:rsidRDefault="00D52E22" w:rsidP="00D52E22">
      <w:r w:rsidRPr="00633639">
        <w:rPr>
          <w:snapToGrid w:val="0"/>
        </w:rPr>
        <w:t>On a besoin d'une méthode d'analyse des brouillage</w:t>
      </w:r>
      <w:r>
        <w:rPr>
          <w:snapToGrid w:val="0"/>
        </w:rPr>
        <w:t>s</w:t>
      </w:r>
      <w:r w:rsidRPr="00633639">
        <w:rPr>
          <w:snapToGrid w:val="0"/>
        </w:rPr>
        <w:t xml:space="preserve"> RFI différente pour tenir compte du brouillage RFI par impulsions plus important dans la bande 1 215-1 300 MHz que dans la bande 1 559-1 610 MHz où ce brouillage est négligeable. Des études menées par deux organisations de normalisation dans le domaine de l'aéronautique</w:t>
      </w:r>
      <w:r w:rsidRPr="00633639">
        <w:rPr>
          <w:position w:val="6"/>
          <w:sz w:val="18"/>
        </w:rPr>
        <w:footnoteReference w:id="7"/>
      </w:r>
      <w:r w:rsidRPr="00633639">
        <w:t xml:space="preserve"> ont permis d'élaborer une méthode d'analyse qui tient compte de l'effet conjugué des brouillages RFI par impulsions et continus</w:t>
      </w:r>
      <w:r w:rsidRPr="00633639">
        <w:rPr>
          <w:position w:val="6"/>
          <w:sz w:val="18"/>
        </w:rPr>
        <w:footnoteReference w:id="8"/>
      </w:r>
      <w:r w:rsidRPr="00633639">
        <w:t xml:space="preserve">. Deux variations de la méthode de base ont été élaborées selon le type de limitation des brouillages par impulsions subis par les récepteurs du SRNS: </w:t>
      </w:r>
      <w:r w:rsidRPr="00633639">
        <w:rPr>
          <w:snapToGrid w:val="0"/>
        </w:rPr>
        <w:t xml:space="preserve">une pour les récepteurs avec suppression des brouillages par impulsions (brouillage RFI par impulsions avec rapport cyclique élevé) et une pour les récepteurs polyvalents (brouillage RFI par impulsions avec rapport cyclique faible). Le récepteur de référence au sol SBAS (voir § 2.1) intègre un mécanisme de suppression des impulsions pour pouvoir mieux fonctionner en présence de brouillage RFI par impulsions. </w:t>
      </w:r>
    </w:p>
    <w:p w:rsidR="00D52E22" w:rsidRPr="00633639" w:rsidRDefault="00D52E22" w:rsidP="00D52E22">
      <w:pPr>
        <w:pStyle w:val="Heading1"/>
      </w:pPr>
      <w:r w:rsidRPr="00633639">
        <w:t>4</w:t>
      </w:r>
      <w:r w:rsidRPr="00633639">
        <w:tab/>
        <w:t>Caractéristiques et critères de protection applicables aux récepteurs du SRNS</w:t>
      </w:r>
    </w:p>
    <w:p w:rsidR="00D52E22" w:rsidRPr="00633639" w:rsidRDefault="00D52E22" w:rsidP="00D52E22">
      <w:r w:rsidRPr="00633639">
        <w:t>Le Tableau 1</w:t>
      </w:r>
      <w:r w:rsidRPr="00633639">
        <w:noBreakHyphen/>
        <w:t>1 indique les caractéristiques techniques et les critères de protection (seuils de brouillage cumulatif maximaux) applicables à plusieurs récepteurs et applications représentatifs du SRNS dans la</w:t>
      </w:r>
      <w:r>
        <w:t xml:space="preserve"> </w:t>
      </w:r>
      <w:r w:rsidRPr="00633639">
        <w:t>bande 1 215-1 300 MHz. D'autres précisions sur les signaux du SRNS sont données dans la Rec</w:t>
      </w:r>
      <w:r w:rsidRPr="00633639">
        <w:rPr>
          <w:lang w:eastAsia="ja-JP"/>
        </w:rPr>
        <w:t>ommandation</w:t>
      </w:r>
      <w:r w:rsidRPr="00633639">
        <w:t xml:space="preserve"> UIT</w:t>
      </w:r>
      <w:r w:rsidRPr="00633639">
        <w:noBreakHyphen/>
        <w:t>R M.1787.</w:t>
      </w:r>
    </w:p>
    <w:p w:rsidR="00D52E22" w:rsidRPr="00633639" w:rsidRDefault="00D52E22" w:rsidP="00D52E22">
      <w:pPr>
        <w:ind w:right="-142"/>
      </w:pPr>
      <w:r w:rsidRPr="00633639">
        <w:t>Le Tableau 1</w:t>
      </w:r>
      <w:r w:rsidRPr="00633639">
        <w:noBreakHyphen/>
        <w:t>1 indique différents niveaux de protection selon les applications du SRNS. Les récepteurs et applications du SRNS suivants ont été inclus dans le Tableau:</w:t>
      </w:r>
    </w:p>
    <w:p w:rsidR="00D52E22" w:rsidRPr="00633639" w:rsidRDefault="00D52E22" w:rsidP="00D52E22">
      <w:pPr>
        <w:pStyle w:val="enumlev1"/>
      </w:pPr>
      <w:r w:rsidRPr="00633639">
        <w:rPr>
          <w:bCs/>
        </w:rPr>
        <w:t>–</w:t>
      </w:r>
      <w:r w:rsidRPr="00633639">
        <w:rPr>
          <w:b/>
        </w:rPr>
        <w:tab/>
      </w:r>
      <w:r w:rsidRPr="00633639">
        <w:rPr>
          <w:bCs/>
        </w:rPr>
        <w:t xml:space="preserve">Récepteur de référence au sol SBAS </w:t>
      </w:r>
      <w:r w:rsidRPr="00633639">
        <w:t>(voir § 2.1 et Tableau 1-1, colonne 1).</w:t>
      </w:r>
    </w:p>
    <w:p w:rsidR="00D52E22" w:rsidRPr="00633639" w:rsidRDefault="00D52E22" w:rsidP="00D52E22">
      <w:pPr>
        <w:pStyle w:val="enumlev1"/>
        <w:rPr>
          <w:bCs/>
        </w:rPr>
      </w:pPr>
      <w:r w:rsidRPr="00633639">
        <w:rPr>
          <w:bCs/>
        </w:rPr>
        <w:t>–</w:t>
      </w:r>
      <w:r w:rsidRPr="00633639">
        <w:rPr>
          <w:b/>
        </w:rPr>
        <w:tab/>
      </w:r>
      <w:r w:rsidRPr="00633639">
        <w:rPr>
          <w:bCs/>
        </w:rPr>
        <w:t>Récepteur de haute précision à code partiel</w:t>
      </w:r>
      <w:r w:rsidRPr="00633639">
        <w:rPr>
          <w:b/>
        </w:rPr>
        <w:t xml:space="preserve"> </w:t>
      </w:r>
      <w:r w:rsidRPr="00633639">
        <w:rPr>
          <w:bCs/>
        </w:rPr>
        <w:t>(voir § 2.2.1 et Tableau 1-1, colonne 2) (à noter que la colonne 2 s'applique aussi au récepteur de haute précision à code partiel intermédiaire utilisant le signal L2C; voir § 2.2.2).</w:t>
      </w:r>
    </w:p>
    <w:p w:rsidR="00D52E22" w:rsidRPr="00633639" w:rsidRDefault="00D52E22" w:rsidP="00D52E22">
      <w:pPr>
        <w:pStyle w:val="enumlev1"/>
        <w:rPr>
          <w:bCs/>
          <w:lang w:eastAsia="ja-JP"/>
        </w:rPr>
      </w:pPr>
      <w:r w:rsidRPr="00633639">
        <w:rPr>
          <w:bCs/>
        </w:rPr>
        <w:t>–</w:t>
      </w:r>
      <w:r w:rsidRPr="00633639">
        <w:rPr>
          <w:bCs/>
        </w:rPr>
        <w:tab/>
        <w:t>Récepteur de haute précision utilisant le signal L2C (voir</w:t>
      </w:r>
      <w:r>
        <w:rPr>
          <w:bCs/>
        </w:rPr>
        <w:t xml:space="preserve"> </w:t>
      </w:r>
      <w:r w:rsidRPr="00633639">
        <w:rPr>
          <w:bCs/>
        </w:rPr>
        <w:t>§ 2.3 et Tableau 1-1, colonne 3).</w:t>
      </w:r>
    </w:p>
    <w:p w:rsidR="00D52E22" w:rsidRPr="00633639" w:rsidRDefault="00D52E22" w:rsidP="00D52E22">
      <w:pPr>
        <w:pStyle w:val="enumlev1"/>
        <w:rPr>
          <w:bCs/>
        </w:rPr>
      </w:pPr>
      <w:r w:rsidRPr="00633639">
        <w:rPr>
          <w:bCs/>
        </w:rPr>
        <w:t>–</w:t>
      </w:r>
      <w:r w:rsidRPr="00633639">
        <w:rPr>
          <w:bCs/>
        </w:rPr>
        <w:tab/>
        <w:t>Récepteur de radionavigation aéronautique (voir § 2.4 et Tableau 1-1, colonne 4).</w:t>
      </w:r>
    </w:p>
    <w:p w:rsidR="00D52E22" w:rsidRPr="00633639" w:rsidRDefault="00D52E22" w:rsidP="00D52E22">
      <w:pPr>
        <w:pStyle w:val="enumlev1"/>
        <w:rPr>
          <w:bCs/>
        </w:rPr>
      </w:pPr>
      <w:r w:rsidRPr="00633639">
        <w:rPr>
          <w:bCs/>
        </w:rPr>
        <w:t>–</w:t>
      </w:r>
      <w:r w:rsidRPr="00633639">
        <w:rPr>
          <w:bCs/>
        </w:rPr>
        <w:tab/>
        <w:t>Récepteur de localisation à l'intérieur de bâtiments (2 types) (voir § 2.5 et Tableau 1-1, colonne 5).</w:t>
      </w:r>
    </w:p>
    <w:p w:rsidR="00D52E22" w:rsidRPr="00633639" w:rsidRDefault="00D52E22" w:rsidP="00D52E22">
      <w:pPr>
        <w:pStyle w:val="enumlev1"/>
        <w:rPr>
          <w:bCs/>
        </w:rPr>
      </w:pPr>
      <w:r w:rsidRPr="00633639">
        <w:rPr>
          <w:bCs/>
          <w:lang w:eastAsia="ja-JP"/>
        </w:rPr>
        <w:t>–</w:t>
      </w:r>
      <w:r w:rsidRPr="00633639">
        <w:rPr>
          <w:bCs/>
          <w:lang w:eastAsia="ja-JP"/>
        </w:rPr>
        <w:tab/>
      </w:r>
      <w:r>
        <w:rPr>
          <w:bCs/>
          <w:lang w:eastAsia="ja-JP"/>
        </w:rPr>
        <w:t>«</w:t>
      </w:r>
      <w:r w:rsidRPr="00633639">
        <w:rPr>
          <w:bCs/>
          <w:lang w:eastAsia="ja-JP"/>
        </w:rPr>
        <w:t>Autres récepteurs</w:t>
      </w:r>
      <w:r>
        <w:rPr>
          <w:bCs/>
          <w:lang w:eastAsia="ja-JP"/>
        </w:rPr>
        <w:t>»</w:t>
      </w:r>
      <w:r w:rsidRPr="00633639">
        <w:rPr>
          <w:bCs/>
        </w:rPr>
        <w:t xml:space="preserve"> (voir § 2.6 et Tableau 1-1, colonne 6).</w:t>
      </w:r>
    </w:p>
    <w:p w:rsidR="00D52E22" w:rsidRPr="00633639" w:rsidRDefault="00D52E22" w:rsidP="00D52E22">
      <w:pPr>
        <w:pStyle w:val="enumlev1"/>
      </w:pPr>
      <w:r w:rsidRPr="00633639">
        <w:rPr>
          <w:bCs/>
        </w:rPr>
        <w:t>–</w:t>
      </w:r>
      <w:r w:rsidRPr="00633639">
        <w:rPr>
          <w:bCs/>
        </w:rPr>
        <w:tab/>
        <w:t>Récepteurs polyvalents (2 types) (voir § 2.7 et Tableau 1-1, colonne 7).</w:t>
      </w:r>
    </w:p>
    <w:p w:rsidR="00D52E22" w:rsidRPr="00633639" w:rsidRDefault="00D52E22" w:rsidP="00D52E22">
      <w:pPr>
        <w:sectPr w:rsidR="00D52E22" w:rsidRPr="00633639" w:rsidSect="008B2B4E">
          <w:headerReference w:type="even" r:id="rId16"/>
          <w:headerReference w:type="default" r:id="rId17"/>
          <w:footerReference w:type="default" r:id="rId18"/>
          <w:footerReference w:type="first" r:id="rId19"/>
          <w:pgSz w:w="11907" w:h="16834" w:code="9"/>
          <w:pgMar w:top="1418" w:right="1134" w:bottom="1134" w:left="1134" w:header="720" w:footer="482" w:gutter="0"/>
          <w:pgNumType w:start="1"/>
          <w:cols w:space="720"/>
          <w:titlePg/>
          <w:docGrid w:linePitch="326"/>
        </w:sectPr>
      </w:pPr>
    </w:p>
    <w:p w:rsidR="00D52E22" w:rsidRPr="00633639" w:rsidRDefault="00D52E22" w:rsidP="00D52E22">
      <w:pPr>
        <w:pStyle w:val="TableNo"/>
        <w:spacing w:before="120"/>
      </w:pPr>
      <w:r w:rsidRPr="00633639">
        <w:lastRenderedPageBreak/>
        <w:t>TABLEAU 1-1</w:t>
      </w:r>
    </w:p>
    <w:p w:rsidR="00D52E22" w:rsidRPr="00633639" w:rsidRDefault="00D52E22" w:rsidP="00D52E22">
      <w:pPr>
        <w:pStyle w:val="Tabletitle"/>
      </w:pPr>
      <w:r w:rsidRPr="00633639">
        <w:t xml:space="preserve">Caractéristiques techniques et critères de protection applicables aux récepteurs du SRNS (espace vers Terre) </w:t>
      </w:r>
      <w:r>
        <w:br/>
      </w:r>
      <w:r w:rsidRPr="00633639">
        <w:t>fonctionnant dans la bande 1 215</w:t>
      </w:r>
      <w:r w:rsidRPr="00633639">
        <w:noBreakHyphen/>
        <w:t>1 300 MHz</w:t>
      </w:r>
    </w:p>
    <w:tbl>
      <w:tblPr>
        <w:tblW w:w="14459" w:type="dxa"/>
        <w:jc w:val="center"/>
        <w:tblLayout w:type="fixed"/>
        <w:tblLook w:val="0000" w:firstRow="0" w:lastRow="0" w:firstColumn="0" w:lastColumn="0" w:noHBand="0" w:noVBand="0"/>
      </w:tblPr>
      <w:tblGrid>
        <w:gridCol w:w="4534"/>
        <w:gridCol w:w="1417"/>
        <w:gridCol w:w="1418"/>
        <w:gridCol w:w="1418"/>
        <w:gridCol w:w="1418"/>
        <w:gridCol w:w="567"/>
        <w:gridCol w:w="851"/>
        <w:gridCol w:w="1418"/>
        <w:gridCol w:w="567"/>
        <w:gridCol w:w="851"/>
      </w:tblGrid>
      <w:tr w:rsidR="00D52E22" w:rsidRPr="00633639"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sz w:val="18"/>
              </w:rPr>
            </w:pPr>
            <w:r w:rsidRPr="00633639">
              <w:rPr>
                <w:sz w:val="18"/>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7</w:t>
            </w:r>
          </w:p>
        </w:tc>
      </w:tr>
      <w:tr w:rsidR="00D52E22" w:rsidRPr="00633639"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Paramètre</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référence au sol SBAS*</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haute précision à code partiel*</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haute précision utilisant le signal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52E22" w:rsidRPr="00633639" w:rsidRDefault="00D52E22" w:rsidP="008B2B4E">
            <w:pPr>
              <w:pStyle w:val="Tablehead"/>
              <w:rPr>
                <w:rFonts w:eastAsia="MS PGothic"/>
                <w:sz w:val="18"/>
              </w:rPr>
            </w:pPr>
            <w:r w:rsidRPr="00633639">
              <w:rPr>
                <w:rFonts w:eastAsia="MS PGothic"/>
                <w:sz w:val="18"/>
              </w:rPr>
              <w:t xml:space="preserve">Récepteur de navigation aérienne </w:t>
            </w:r>
            <w:r w:rsidRPr="00633639">
              <w:rPr>
                <w:rFonts w:eastAsia="MS PGothic"/>
                <w:sz w:val="18"/>
              </w:rPr>
              <w:br/>
              <w:t xml:space="preserve">(Note </w:t>
            </w:r>
            <w:r w:rsidRPr="00633639">
              <w:rPr>
                <w:sz w:val="18"/>
              </w:rPr>
              <w:t>10</w:t>
            </w:r>
            <w:r w:rsidRPr="00633639">
              <w:rPr>
                <w:rFonts w:eastAsia="MS PGothic"/>
                <w:sz w:val="18"/>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Localisation à l'intérieur de bâtiments</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sz w:val="18"/>
              </w:rPr>
              <w:t>Autres</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 xml:space="preserve">Récepteurs polyvalents </w:t>
            </w:r>
          </w:p>
        </w:tc>
      </w:tr>
      <w:tr w:rsidR="00D52E22" w:rsidRPr="00633639" w:rsidTr="008B2B4E">
        <w:trPr>
          <w:cantSplit/>
          <w:trHeight w:val="2268"/>
          <w:jc w:val="center"/>
        </w:trPr>
        <w:tc>
          <w:tcPr>
            <w:tcW w:w="4534"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rPr>
                <w:rFonts w:eastAsia="MS PGothic"/>
                <w:sz w:val="18"/>
              </w:rPr>
            </w:pPr>
            <w:r w:rsidRPr="00633639">
              <w:rPr>
                <w:rFonts w:eastAsia="MS PGothic"/>
                <w:sz w:val="18"/>
              </w:rPr>
              <w:t>Plage de fréquences du signal (MHz)</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ind w:left="-57" w:right="-57"/>
              <w:jc w:val="center"/>
              <w:rPr>
                <w:rFonts w:eastAsia="MS PGothic"/>
                <w:sz w:val="18"/>
              </w:rPr>
            </w:pPr>
            <w:r w:rsidRPr="00633639">
              <w:rPr>
                <w:rFonts w:eastAsia="MS PGothic"/>
                <w:sz w:val="18"/>
              </w:rPr>
              <w:t xml:space="preserve">1 227,6 </w:t>
            </w:r>
            <w:r w:rsidRPr="00633639">
              <w:rPr>
                <w:rFonts w:eastAsia="MS PGothic"/>
                <w:sz w:val="18"/>
              </w:rPr>
              <w:sym w:font="Symbol" w:char="00B1"/>
            </w:r>
            <w:r w:rsidRPr="00633639">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ind w:left="-57" w:right="-57"/>
              <w:jc w:val="center"/>
              <w:rPr>
                <w:sz w:val="18"/>
                <w:lang w:eastAsia="ja-JP"/>
              </w:rPr>
            </w:pPr>
            <w:r w:rsidRPr="00633639">
              <w:rPr>
                <w:rFonts w:eastAsia="MS PGothic"/>
                <w:sz w:val="18"/>
              </w:rPr>
              <w:t xml:space="preserve">1 227,6 </w:t>
            </w:r>
            <w:r w:rsidRPr="00633639">
              <w:rPr>
                <w:rFonts w:eastAsia="MS PGothic"/>
                <w:sz w:val="18"/>
              </w:rPr>
              <w:sym w:font="Symbol" w:char="00B1"/>
            </w:r>
            <w:r w:rsidRPr="00633639">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ind w:left="-57" w:right="-57"/>
              <w:jc w:val="center"/>
              <w:rPr>
                <w:rFonts w:eastAsia="MS PGothic"/>
                <w:sz w:val="18"/>
              </w:rPr>
            </w:pPr>
            <w:r w:rsidRPr="00633639">
              <w:rPr>
                <w:sz w:val="18"/>
                <w:lang w:eastAsia="ja-JP"/>
              </w:rPr>
              <w:t xml:space="preserve">1 227,6 </w:t>
            </w:r>
            <w:r w:rsidRPr="00633639">
              <w:rPr>
                <w:rFonts w:eastAsia="MS PGothic"/>
                <w:sz w:val="18"/>
              </w:rPr>
              <w:sym w:font="Symbol" w:char="00B1"/>
            </w:r>
            <w:r w:rsidRPr="00633639">
              <w:rPr>
                <w:rFonts w:eastAsia="MS PGothic"/>
                <w:sz w:val="18"/>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ind w:left="-57" w:right="-57"/>
              <w:jc w:val="center"/>
              <w:rPr>
                <w:sz w:val="18"/>
                <w:lang w:eastAsia="ja-JP"/>
              </w:rPr>
            </w:pPr>
            <w:r w:rsidRPr="00633639">
              <w:rPr>
                <w:sz w:val="18"/>
              </w:rPr>
              <w:t>1 246 + 0,4375*</w:t>
            </w:r>
            <w:r w:rsidRPr="00633639">
              <w:rPr>
                <w:i/>
                <w:iCs/>
                <w:sz w:val="18"/>
              </w:rPr>
              <w:t>K</w:t>
            </w:r>
            <w:r w:rsidRPr="00633639">
              <w:rPr>
                <w:sz w:val="18"/>
              </w:rPr>
              <w:t> ± 5,11,</w:t>
            </w:r>
            <w:r w:rsidRPr="00633639">
              <w:rPr>
                <w:sz w:val="18"/>
              </w:rPr>
              <w:br/>
              <w:t>où</w:t>
            </w:r>
            <w:r w:rsidRPr="00633639">
              <w:rPr>
                <w:sz w:val="18"/>
              </w:rPr>
              <w:br/>
            </w:r>
            <w:r w:rsidRPr="00633639">
              <w:rPr>
                <w:i/>
                <w:iCs/>
                <w:sz w:val="18"/>
              </w:rPr>
              <w:t>K</w:t>
            </w:r>
            <w:r w:rsidRPr="00633639">
              <w:rPr>
                <w:sz w:val="18"/>
              </w:rPr>
              <w:t xml:space="preserve"> = </w:t>
            </w:r>
            <w:r w:rsidRPr="00633639">
              <w:rPr>
                <w:rFonts w:eastAsia="MS PGothic"/>
                <w:sz w:val="18"/>
              </w:rPr>
              <w:t>–</w:t>
            </w:r>
            <w:r w:rsidRPr="00633639">
              <w:rPr>
                <w:sz w:val="18"/>
              </w:rPr>
              <w:t>7, …, +6</w:t>
            </w:r>
            <w:r w:rsidRPr="00633639">
              <w:rPr>
                <w:sz w:val="18"/>
              </w:rPr>
              <w:br/>
            </w:r>
            <w:r w:rsidRPr="00633639">
              <w:rPr>
                <w:sz w:val="18"/>
                <w:lang w:eastAsia="ja-JP"/>
              </w:rPr>
              <w:t>(Note </w:t>
            </w:r>
            <w:r w:rsidRPr="00633639">
              <w:rPr>
                <w:sz w:val="18"/>
              </w:rPr>
              <w:t>8</w:t>
            </w:r>
            <w:r w:rsidRPr="00633639">
              <w:rPr>
                <w:sz w:val="18"/>
                <w:lang w:eastAsia="ja-JP"/>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52E22" w:rsidRPr="00633639" w:rsidRDefault="00D52E22" w:rsidP="008B2B4E">
            <w:pPr>
              <w:pStyle w:val="Tabletext"/>
              <w:jc w:val="center"/>
              <w:rPr>
                <w:sz w:val="18"/>
                <w:lang w:eastAsia="ja-JP"/>
              </w:rPr>
            </w:pPr>
            <w:r w:rsidRPr="00633639">
              <w:rPr>
                <w:sz w:val="18"/>
                <w:lang w:eastAsia="ja-JP"/>
              </w:rPr>
              <w:t xml:space="preserve">1 227,6 </w:t>
            </w:r>
            <w:r w:rsidRPr="00633639">
              <w:rPr>
                <w:rFonts w:eastAsia="MS PGothic"/>
                <w:sz w:val="18"/>
              </w:rPr>
              <w:sym w:font="Symbol" w:char="00B1"/>
            </w:r>
            <w:r w:rsidRPr="00633639">
              <w:rPr>
                <w:rFonts w:eastAsia="MS PGothic"/>
                <w:sz w:val="18"/>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D52E22" w:rsidRPr="00633639" w:rsidRDefault="00D52E22" w:rsidP="008B2B4E">
            <w:pPr>
              <w:pStyle w:val="Tabletext"/>
              <w:jc w:val="center"/>
              <w:rPr>
                <w:sz w:val="18"/>
                <w:lang w:eastAsia="ja-JP"/>
              </w:rPr>
            </w:pPr>
            <w:r w:rsidRPr="00633639">
              <w:rPr>
                <w:sz w:val="18"/>
              </w:rPr>
              <w:t>1 246 + 0,4375*</w:t>
            </w:r>
            <w:r w:rsidRPr="00633639">
              <w:rPr>
                <w:i/>
                <w:iCs/>
                <w:sz w:val="18"/>
              </w:rPr>
              <w:t>K</w:t>
            </w:r>
            <w:r w:rsidRPr="00633639">
              <w:rPr>
                <w:sz w:val="18"/>
              </w:rPr>
              <w:t xml:space="preserve"> ± 5</w:t>
            </w:r>
            <w:r>
              <w:rPr>
                <w:sz w:val="18"/>
              </w:rPr>
              <w:t>,</w:t>
            </w:r>
            <w:r w:rsidRPr="00633639">
              <w:rPr>
                <w:sz w:val="18"/>
              </w:rPr>
              <w:t>11</w:t>
            </w:r>
            <w:r w:rsidRPr="00633639">
              <w:rPr>
                <w:sz w:val="18"/>
              </w:rPr>
              <w:br/>
              <w:t xml:space="preserve">où </w:t>
            </w:r>
            <w:r w:rsidRPr="00633639">
              <w:rPr>
                <w:i/>
                <w:iCs/>
                <w:sz w:val="18"/>
              </w:rPr>
              <w:t>K</w:t>
            </w:r>
            <w:r w:rsidRPr="00633639">
              <w:rPr>
                <w:sz w:val="18"/>
              </w:rPr>
              <w:t xml:space="preserve"> = </w:t>
            </w:r>
            <w:r w:rsidRPr="00633639">
              <w:rPr>
                <w:rFonts w:eastAsia="MS PGothic"/>
                <w:sz w:val="18"/>
              </w:rPr>
              <w:t>–</w:t>
            </w:r>
            <w:r w:rsidRPr="00633639">
              <w:rPr>
                <w:sz w:val="18"/>
              </w:rPr>
              <w:t>7, .., +6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 xml:space="preserve">1 278,75 </w:t>
            </w:r>
            <w:r w:rsidRPr="00633639">
              <w:rPr>
                <w:rFonts w:eastAsia="MS PGothic"/>
                <w:sz w:val="18"/>
              </w:rPr>
              <w:sym w:font="Symbol" w:char="00B1"/>
            </w:r>
            <w:r w:rsidRPr="00633639">
              <w:rPr>
                <w:rFonts w:eastAsia="MS PGothic"/>
                <w:sz w:val="18"/>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52E22" w:rsidRPr="00633639" w:rsidRDefault="00D52E22" w:rsidP="008B2B4E">
            <w:pPr>
              <w:pStyle w:val="Tabletext"/>
              <w:jc w:val="center"/>
              <w:rPr>
                <w:sz w:val="18"/>
                <w:lang w:eastAsia="ja-JP"/>
              </w:rPr>
            </w:pPr>
            <w:r w:rsidRPr="00633639">
              <w:rPr>
                <w:sz w:val="18"/>
                <w:lang w:eastAsia="ja-JP"/>
              </w:rPr>
              <w:t xml:space="preserve">1 227,6 </w:t>
            </w:r>
            <w:r w:rsidRPr="00633639">
              <w:rPr>
                <w:rFonts w:eastAsia="MS PGothic"/>
                <w:sz w:val="18"/>
              </w:rPr>
              <w:sym w:font="Symbol" w:char="00B1"/>
            </w:r>
            <w:r w:rsidRPr="00633639">
              <w:rPr>
                <w:rFonts w:eastAsia="MS PGothic"/>
                <w:sz w:val="18"/>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D52E22" w:rsidRPr="00633639" w:rsidRDefault="00D52E22" w:rsidP="008B2B4E">
            <w:pPr>
              <w:pStyle w:val="Tabletext"/>
              <w:jc w:val="center"/>
              <w:rPr>
                <w:sz w:val="18"/>
                <w:lang w:eastAsia="ja-JP"/>
              </w:rPr>
            </w:pPr>
            <w:r w:rsidRPr="00633639">
              <w:rPr>
                <w:sz w:val="18"/>
              </w:rPr>
              <w:t>1 246 + 0,4375*</w:t>
            </w:r>
            <w:r w:rsidRPr="00633639">
              <w:rPr>
                <w:i/>
                <w:iCs/>
                <w:sz w:val="18"/>
              </w:rPr>
              <w:t>K</w:t>
            </w:r>
            <w:r w:rsidRPr="00633639">
              <w:rPr>
                <w:sz w:val="18"/>
              </w:rPr>
              <w:t xml:space="preserve"> ± 5</w:t>
            </w:r>
            <w:r>
              <w:rPr>
                <w:sz w:val="18"/>
              </w:rPr>
              <w:t>,</w:t>
            </w:r>
            <w:r w:rsidRPr="00633639">
              <w:rPr>
                <w:sz w:val="18"/>
              </w:rPr>
              <w:t>11</w:t>
            </w:r>
            <w:r w:rsidRPr="00633639">
              <w:rPr>
                <w:sz w:val="18"/>
              </w:rPr>
              <w:br/>
              <w:t xml:space="preserve">où </w:t>
            </w:r>
            <w:r w:rsidRPr="00633639">
              <w:rPr>
                <w:i/>
                <w:iCs/>
                <w:sz w:val="18"/>
              </w:rPr>
              <w:t>K</w:t>
            </w:r>
            <w:r>
              <w:rPr>
                <w:i/>
                <w:iCs/>
                <w:sz w:val="18"/>
              </w:rPr>
              <w:t xml:space="preserve"> </w:t>
            </w:r>
            <w:r w:rsidRPr="00633639">
              <w:rPr>
                <w:sz w:val="18"/>
              </w:rPr>
              <w:t xml:space="preserve">= </w:t>
            </w:r>
            <w:r w:rsidRPr="00633639">
              <w:rPr>
                <w:rFonts w:eastAsia="MS PGothic"/>
                <w:sz w:val="18"/>
              </w:rPr>
              <w:t>–</w:t>
            </w:r>
            <w:r w:rsidRPr="00633639">
              <w:rPr>
                <w:sz w:val="18"/>
              </w:rPr>
              <w:t>7,</w:t>
            </w:r>
            <w:r>
              <w:rPr>
                <w:sz w:val="18"/>
              </w:rPr>
              <w:t xml:space="preserve"> </w:t>
            </w:r>
            <w:r w:rsidRPr="00633639">
              <w:rPr>
                <w:sz w:val="18"/>
              </w:rPr>
              <w:t>..,+6</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Gain maximal de l'antenne du récepteur dans l'hémisphère supérieur (dBi)</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–2,0 circulaire (Note </w:t>
            </w:r>
            <w:r w:rsidRPr="00633639">
              <w:rPr>
                <w:sz w:val="18"/>
              </w:rPr>
              <w:t>3</w:t>
            </w: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3,0 circulaire</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3,0 circulaire</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7 (Note 1</w:t>
            </w:r>
            <w:r w:rsidRPr="00633639">
              <w:rPr>
                <w:sz w:val="18"/>
              </w:rPr>
              <w:t>1</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rPr>
            </w:pPr>
            <w:r w:rsidRPr="00633639">
              <w:rPr>
                <w:sz w:val="18"/>
                <w:lang w:eastAsia="ja-JP"/>
              </w:rPr>
              <w:t>6</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Gain maximal de l'antenne du récepteur dans l'hémisphère inférieur (dBi)</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–5,0 circulaire (voir Note </w:t>
            </w:r>
            <w:r w:rsidRPr="00633639">
              <w:rPr>
                <w:sz w:val="18"/>
              </w:rPr>
              <w:t>3</w:t>
            </w: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–7 rectiligne (10° angle d'élévation)</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 xml:space="preserve">–7 rectiligne </w:t>
            </w:r>
            <w:r w:rsidRPr="00633639">
              <w:rPr>
                <w:rFonts w:eastAsia="MS PGothic"/>
                <w:sz w:val="18"/>
              </w:rPr>
              <w:br/>
              <w:t>(&lt; 10° angle d'élévation)</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6</w:t>
            </w:r>
            <w:r w:rsidRPr="00633639">
              <w:rPr>
                <w:sz w:val="18"/>
                <w:lang w:eastAsia="ja-JP"/>
              </w:rPr>
              <w:br/>
              <w:t>(Note 12)</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6</w:t>
            </w:r>
            <w:r w:rsidRPr="00633639">
              <w:rPr>
                <w:sz w:val="18"/>
                <w:lang w:eastAsia="ja-JP"/>
              </w:rPr>
              <w:br/>
              <w:t>(Note 12)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rPr>
            </w:pPr>
            <w:r w:rsidRPr="00633639">
              <w:rPr>
                <w:sz w:val="18"/>
                <w:lang w:eastAsia="ja-JP"/>
              </w:rPr>
              <w:t>6</w:t>
            </w:r>
            <w:r w:rsidRPr="00633639">
              <w:rPr>
                <w:sz w:val="18"/>
                <w:lang w:eastAsia="ja-JP"/>
              </w:rPr>
              <w:br/>
              <w:t>(Note 12)</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Largeur de bande à 3 dB du filtre RF (MHz)</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24,0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24,0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30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32</w:t>
            </w:r>
          </w:p>
        </w:tc>
        <w:tc>
          <w:tcPr>
            <w:tcW w:w="851"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30</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Largeur de bande à 3 dB du filtre de précorrélation (MHz)</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rPr>
            </w:pPr>
            <w:r w:rsidRPr="00633639">
              <w:rPr>
                <w:sz w:val="18"/>
                <w:lang w:eastAsia="ja-JP"/>
              </w:rPr>
              <w:t>20,46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w:t>
            </w:r>
          </w:p>
        </w:tc>
        <w:tc>
          <w:tcPr>
            <w:tcW w:w="851"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Température de bruit du récepteur (K)</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513</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513</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400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645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645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645</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Niveau de puissance seuil du brouillage cumulatif à bande étroite à la sortie de l'antenne passive (dBW) en mode poursuite</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–137,5 (P(Y))</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–137,4 (P(Y))</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–151,4 (Note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149 (Note </w:t>
            </w:r>
            <w:r w:rsidRPr="00633639">
              <w:rPr>
                <w:sz w:val="18"/>
              </w:rPr>
              <w:t>9</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w:t>
            </w:r>
            <w:r w:rsidRPr="00633639">
              <w:rPr>
                <w:sz w:val="18"/>
                <w:lang w:eastAsia="ja-JP"/>
              </w:rPr>
              <w:t>193</w:t>
            </w:r>
            <w:r w:rsidRPr="00633639">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119</w:t>
            </w:r>
            <w:r w:rsidRPr="00633639">
              <w:rPr>
                <w:sz w:val="18"/>
                <w:lang w:eastAsia="ja-JP"/>
              </w:rPr>
              <w:br/>
              <w:t xml:space="preserve">(Note </w:t>
            </w:r>
            <w:r w:rsidRPr="00633639">
              <w:rPr>
                <w:sz w:val="18"/>
              </w:rPr>
              <w:t>2</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w:t>
            </w:r>
            <w:r w:rsidRPr="00633639">
              <w:rPr>
                <w:sz w:val="18"/>
                <w:lang w:eastAsia="ja-JP"/>
              </w:rPr>
              <w:t>158</w:t>
            </w:r>
            <w:r w:rsidRPr="00633639">
              <w:rPr>
                <w:sz w:val="18"/>
                <w:lang w:eastAsia="ja-JP"/>
              </w:rPr>
              <w:br/>
              <w:t>(Note 1)</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Niveau de puissance seuil du brouillage cumulatif à bande étroite à la sortie de l'antenne passive (dBW) en mode acquisition</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Voir Note </w:t>
            </w:r>
            <w:r w:rsidRPr="00633639">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Voir Note </w:t>
            </w:r>
            <w:r w:rsidRPr="00633639">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–157,4 (Note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155 (Note </w:t>
            </w:r>
            <w:r w:rsidRPr="00633639">
              <w:rPr>
                <w:sz w:val="18"/>
              </w:rPr>
              <w:t>9</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199</w:t>
            </w:r>
            <w:r w:rsidRPr="00633639">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125</w:t>
            </w:r>
            <w:r w:rsidRPr="00633639">
              <w:rPr>
                <w:sz w:val="18"/>
                <w:lang w:eastAsia="ja-JP"/>
              </w:rPr>
              <w:br/>
              <w:t xml:space="preserve">(Note </w:t>
            </w:r>
            <w:r w:rsidRPr="00633639">
              <w:rPr>
                <w:sz w:val="18"/>
              </w:rPr>
              <w:t>2</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164</w:t>
            </w:r>
            <w:r w:rsidRPr="00633639">
              <w:rPr>
                <w:sz w:val="18"/>
                <w:lang w:eastAsia="ja-JP"/>
              </w:rPr>
              <w:br/>
              <w:t>(Note 1)</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rFonts w:eastAsia="MS PGothic"/>
                <w:sz w:val="18"/>
              </w:rPr>
            </w:pPr>
            <w:r w:rsidRPr="00633639">
              <w:rPr>
                <w:rFonts w:eastAsia="MS PGothic"/>
                <w:sz w:val="18"/>
              </w:rPr>
              <w:t>Niveau de densité de puissance seuil du brouillage cumulatif large bande à la sortie de l'antenne passive (dB(W/MHz)) en mode poursuite</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–147,5 (P(Y))</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–147,4 (P(Y))</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–147,4</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140 (Note </w:t>
            </w:r>
            <w:r w:rsidRPr="00633639">
              <w:rPr>
                <w:sz w:val="18"/>
              </w:rPr>
              <w:t>9</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w:t>
            </w:r>
            <w:r w:rsidRPr="00633639">
              <w:rPr>
                <w:sz w:val="18"/>
                <w:lang w:eastAsia="ja-JP"/>
              </w:rPr>
              <w:t>150</w:t>
            </w:r>
            <w:r w:rsidRPr="00633639">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121</w:t>
            </w:r>
            <w:r w:rsidRPr="00633639">
              <w:rPr>
                <w:sz w:val="18"/>
                <w:lang w:eastAsia="ja-JP"/>
              </w:rPr>
              <w:br/>
              <w:t xml:space="preserve">(Note </w:t>
            </w:r>
            <w:r w:rsidRPr="00633639">
              <w:rPr>
                <w:sz w:val="18"/>
              </w:rPr>
              <w:t>2</w:t>
            </w:r>
            <w:r w:rsidRPr="00633639">
              <w:rPr>
                <w:sz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w:t>
            </w:r>
            <w:r w:rsidRPr="00633639">
              <w:rPr>
                <w:sz w:val="18"/>
                <w:lang w:eastAsia="ja-JP"/>
              </w:rPr>
              <w:t>139</w:t>
            </w:r>
            <w:r w:rsidRPr="00633639">
              <w:rPr>
                <w:sz w:val="18"/>
                <w:lang w:eastAsia="ja-JP"/>
              </w:rPr>
              <w:br/>
              <w:t>(Note 1)</w:t>
            </w:r>
          </w:p>
        </w:tc>
      </w:tr>
    </w:tbl>
    <w:p w:rsidR="009A3426" w:rsidRDefault="009A3426">
      <w:pPr>
        <w:tabs>
          <w:tab w:val="clear" w:pos="794"/>
          <w:tab w:val="clear" w:pos="1191"/>
          <w:tab w:val="clear" w:pos="1588"/>
          <w:tab w:val="clear" w:pos="1985"/>
        </w:tabs>
        <w:overflowPunct/>
        <w:autoSpaceDE/>
        <w:autoSpaceDN/>
        <w:adjustRightInd/>
        <w:spacing w:before="0"/>
        <w:jc w:val="left"/>
        <w:textAlignment w:val="auto"/>
      </w:pPr>
    </w:p>
    <w:p w:rsidR="00D52E22" w:rsidRPr="00633639" w:rsidRDefault="00D52E22" w:rsidP="009A3426">
      <w:pPr>
        <w:pStyle w:val="TableNo"/>
        <w:spacing w:before="0"/>
      </w:pPr>
      <w:r w:rsidRPr="00633639">
        <w:lastRenderedPageBreak/>
        <w:t>TABLEAU 1-1 (</w:t>
      </w:r>
      <w:r w:rsidR="00F6608F">
        <w:rPr>
          <w:i/>
          <w:iCs/>
        </w:rPr>
        <w:t>suite</w:t>
      </w:r>
      <w:r w:rsidRPr="00633639">
        <w:t>)</w:t>
      </w:r>
    </w:p>
    <w:tbl>
      <w:tblPr>
        <w:tblW w:w="14459" w:type="dxa"/>
        <w:jc w:val="center"/>
        <w:tblLayout w:type="fixed"/>
        <w:tblLook w:val="0000" w:firstRow="0" w:lastRow="0" w:firstColumn="0" w:lastColumn="0" w:noHBand="0" w:noVBand="0"/>
      </w:tblPr>
      <w:tblGrid>
        <w:gridCol w:w="4534"/>
        <w:gridCol w:w="1417"/>
        <w:gridCol w:w="1418"/>
        <w:gridCol w:w="1418"/>
        <w:gridCol w:w="1418"/>
        <w:gridCol w:w="1418"/>
        <w:gridCol w:w="1418"/>
        <w:gridCol w:w="1418"/>
      </w:tblGrid>
      <w:tr w:rsidR="00D52E22" w:rsidRPr="00633639"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2</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sz w:val="18"/>
              </w:rPr>
            </w:pPr>
            <w:r w:rsidRPr="00633639">
              <w:rPr>
                <w:sz w:val="18"/>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7</w:t>
            </w:r>
          </w:p>
        </w:tc>
      </w:tr>
      <w:tr w:rsidR="00D52E22" w:rsidRPr="00633639" w:rsidTr="008B2B4E">
        <w:trPr>
          <w:cantSplit/>
          <w:tblHeader/>
          <w:jc w:val="center"/>
        </w:trPr>
        <w:tc>
          <w:tcPr>
            <w:tcW w:w="4534"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Paramètre</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référence au sol SBAS *</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haute précision à code partiel*</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Récepteur de haute précision utilisant le signal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52E22" w:rsidRPr="00633639" w:rsidRDefault="00D52E22" w:rsidP="008B2B4E">
            <w:pPr>
              <w:pStyle w:val="Tablehead"/>
              <w:rPr>
                <w:rFonts w:eastAsia="MS PGothic"/>
                <w:sz w:val="18"/>
              </w:rPr>
            </w:pPr>
            <w:r w:rsidRPr="00633639">
              <w:rPr>
                <w:rFonts w:eastAsia="MS PGothic"/>
                <w:sz w:val="18"/>
              </w:rPr>
              <w:t>Récepteur de navigation aérienne</w:t>
            </w:r>
            <w:r w:rsidRPr="00633639">
              <w:rPr>
                <w:rFonts w:eastAsia="MS PGothic"/>
                <w:sz w:val="18"/>
              </w:rPr>
              <w:br/>
              <w:t xml:space="preserve">(Note </w:t>
            </w:r>
            <w:r w:rsidRPr="00633639">
              <w:rPr>
                <w:sz w:val="18"/>
              </w:rPr>
              <w:t>10</w:t>
            </w: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Localisation à l'intérieur de bâtiments</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sz w:val="18"/>
              </w:rPr>
              <w:t>Autres</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head"/>
              <w:rPr>
                <w:rFonts w:eastAsia="MS PGothic"/>
                <w:sz w:val="18"/>
              </w:rPr>
            </w:pPr>
            <w:r w:rsidRPr="00633639">
              <w:rPr>
                <w:rFonts w:eastAsia="MS PGothic"/>
                <w:sz w:val="18"/>
              </w:rPr>
              <w:t xml:space="preserve">récepteurs polyvalents </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sz w:val="18"/>
              </w:rPr>
            </w:pPr>
            <w:r w:rsidRPr="00633639">
              <w:rPr>
                <w:rFonts w:eastAsia="MS PGothic"/>
                <w:sz w:val="18"/>
              </w:rPr>
              <w:t>Niveau de densité de puissance seuil du brouillage cumulatif large bande à la sortie de l'antenne passive (dB(W/MHz)) en mode acquisition</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Voir Note </w:t>
            </w:r>
            <w:r w:rsidRPr="00633639">
              <w:rPr>
                <w:sz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Voir Note </w:t>
            </w:r>
            <w:r w:rsidRPr="00633639">
              <w:rPr>
                <w:sz w:val="18"/>
              </w:rPr>
              <w:t>5</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–147,4</w:t>
            </w:r>
            <w:r w:rsidRPr="00633639">
              <w:rPr>
                <w:rFonts w:eastAsia="MS PGothic"/>
                <w:sz w:val="18"/>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146 (Note </w:t>
            </w:r>
            <w:r w:rsidRPr="00633639">
              <w:rPr>
                <w:sz w:val="18"/>
              </w:rPr>
              <w:t>9</w:t>
            </w: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156</w:t>
            </w:r>
            <w:r w:rsidRPr="00633639">
              <w:rPr>
                <w:sz w:val="18"/>
                <w:lang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127</w:t>
            </w:r>
            <w:r w:rsidRPr="00633639">
              <w:rPr>
                <w:sz w:val="18"/>
                <w:lang w:eastAsia="ja-JP"/>
              </w:rPr>
              <w:br/>
              <w:t xml:space="preserve">(Note </w:t>
            </w:r>
            <w:r w:rsidRPr="00633639">
              <w:rPr>
                <w:sz w:val="18"/>
              </w:rPr>
              <w:t>2</w:t>
            </w: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w:t>
            </w:r>
            <w:r w:rsidRPr="00633639">
              <w:rPr>
                <w:sz w:val="18"/>
                <w:lang w:eastAsia="ja-JP"/>
              </w:rPr>
              <w:t>145</w:t>
            </w:r>
            <w:r w:rsidRPr="00633639">
              <w:rPr>
                <w:sz w:val="18"/>
                <w:lang w:eastAsia="ja-JP"/>
              </w:rPr>
              <w:br/>
              <w:t>(Note 1)</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sz w:val="18"/>
              </w:rPr>
            </w:pPr>
            <w:r w:rsidRPr="00633639">
              <w:rPr>
                <w:sz w:val="18"/>
              </w:rPr>
              <w:t xml:space="preserve">Niveau de compression à l'entrée du récepteur (dBW) </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52E22" w:rsidRPr="00633639" w:rsidRDefault="00D52E22" w:rsidP="008B2B4E">
            <w:pPr>
              <w:pStyle w:val="Tabletext"/>
              <w:jc w:val="center"/>
              <w:rPr>
                <w:rFonts w:eastAsia="MS PGothic"/>
                <w:sz w:val="18"/>
              </w:rPr>
            </w:pPr>
            <w:r w:rsidRPr="00633639">
              <w:rPr>
                <w:rFonts w:eastAsia="MS PGothic"/>
                <w:sz w:val="18"/>
              </w:rPr>
              <w:t>–135,0 (Note </w:t>
            </w:r>
            <w:r w:rsidRPr="00633639">
              <w:rPr>
                <w:sz w:val="18"/>
              </w:rPr>
              <w:t>6</w:t>
            </w: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80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70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r w:rsidRPr="00633639">
              <w:rPr>
                <w:sz w:val="18"/>
                <w:lang w:eastAsia="ja-JP"/>
              </w:rPr>
              <w:t>70</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sz w:val="18"/>
              </w:rPr>
            </w:pPr>
            <w:r w:rsidRPr="00633639">
              <w:rPr>
                <w:sz w:val="18"/>
              </w:rPr>
              <w:t>Niveau de survie du récepteur (dBW)</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−10,0 (Note </w:t>
            </w:r>
            <w:r w:rsidRPr="00633639">
              <w:rPr>
                <w:sz w:val="18"/>
              </w:rPr>
              <w:t>7</w:t>
            </w: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rFonts w:eastAsia="MS PGothic"/>
                <w:sz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−20</w:t>
            </w:r>
          </w:p>
        </w:tc>
      </w:tr>
      <w:tr w:rsidR="00D52E22" w:rsidRPr="00633639" w:rsidTr="008B2B4E">
        <w:trPr>
          <w:cantSplit/>
          <w:jc w:val="center"/>
        </w:trPr>
        <w:tc>
          <w:tcPr>
            <w:tcW w:w="4534" w:type="dxa"/>
            <w:tcBorders>
              <w:top w:val="single" w:sz="4" w:space="0" w:color="auto"/>
              <w:left w:val="single" w:sz="4" w:space="0" w:color="auto"/>
              <w:bottom w:val="single" w:sz="4" w:space="0" w:color="auto"/>
              <w:right w:val="single" w:sz="4" w:space="0" w:color="auto"/>
            </w:tcBorders>
          </w:tcPr>
          <w:p w:rsidR="00D52E22" w:rsidRPr="00633639" w:rsidRDefault="00D52E22" w:rsidP="005C6CAE">
            <w:pPr>
              <w:pStyle w:val="Tabletext"/>
              <w:jc w:val="left"/>
              <w:rPr>
                <w:sz w:val="18"/>
              </w:rPr>
            </w:pPr>
            <w:r w:rsidRPr="00633639">
              <w:rPr>
                <w:sz w:val="18"/>
              </w:rPr>
              <w:t>Temps de rétablissement après surcharge (s)</w:t>
            </w:r>
          </w:p>
        </w:tc>
        <w:tc>
          <w:tcPr>
            <w:tcW w:w="1417"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rFonts w:eastAsia="MS PGothic"/>
                <w:sz w:val="18"/>
              </w:rPr>
            </w:pPr>
            <w:r w:rsidRPr="00633639">
              <w:rPr>
                <w:rFonts w:eastAsia="MS PGothic"/>
                <w:sz w:val="18"/>
              </w:rPr>
              <w:t>1,0 × 10</w:t>
            </w:r>
            <w:r w:rsidRPr="00633639">
              <w:rPr>
                <w:rFonts w:eastAsia="MS PGothic"/>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z w:val="18"/>
                <w:lang w:eastAsia="ja-JP"/>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52E22" w:rsidRPr="00633639" w:rsidRDefault="00D52E22" w:rsidP="008B2B4E">
            <w:pPr>
              <w:pStyle w:val="Tabletext"/>
              <w:jc w:val="center"/>
              <w:rPr>
                <w:sz w:val="18"/>
                <w:lang w:eastAsia="ja-JP"/>
              </w:rPr>
            </w:pPr>
            <w:r w:rsidRPr="00633639">
              <w:rPr>
                <w:snapToGrid w:val="0"/>
                <w:sz w:val="18"/>
              </w:rPr>
              <w:t>(1 à 30)</w:t>
            </w:r>
            <w:r w:rsidRPr="00633639">
              <w:rPr>
                <w:sz w:val="18"/>
                <w:lang w:eastAsia="ja-JP"/>
              </w:rPr>
              <w:t xml:space="preserve"> </w:t>
            </w:r>
            <w:r w:rsidRPr="00633639">
              <w:rPr>
                <w:sz w:val="18"/>
                <w:lang w:eastAsia="ja-JP"/>
              </w:rPr>
              <w:sym w:font="Symbol" w:char="00B4"/>
            </w:r>
            <w:r w:rsidRPr="00633639">
              <w:rPr>
                <w:sz w:val="18"/>
                <w:lang w:eastAsia="ja-JP"/>
              </w:rPr>
              <w:t> </w:t>
            </w:r>
            <w:r w:rsidRPr="00633639">
              <w:rPr>
                <w:snapToGrid w:val="0"/>
                <w:sz w:val="18"/>
              </w:rPr>
              <w:t>10</w:t>
            </w:r>
            <w:r w:rsidRPr="00633639">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napToGrid w:val="0"/>
                <w:sz w:val="18"/>
              </w:rPr>
              <w:t>30 </w:t>
            </w:r>
            <w:r w:rsidRPr="00633639">
              <w:rPr>
                <w:rFonts w:eastAsia="MS PGothic"/>
                <w:sz w:val="18"/>
              </w:rPr>
              <w:t>× </w:t>
            </w:r>
            <w:r w:rsidRPr="00633639">
              <w:rPr>
                <w:snapToGrid w:val="0"/>
                <w:sz w:val="18"/>
              </w:rPr>
              <w:t>10</w:t>
            </w:r>
            <w:r w:rsidRPr="00633639">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napToGrid w:val="0"/>
                <w:sz w:val="18"/>
              </w:rPr>
              <w:t>30 </w:t>
            </w:r>
            <w:r w:rsidRPr="00633639">
              <w:rPr>
                <w:rFonts w:eastAsia="MS PGothic"/>
                <w:sz w:val="18"/>
              </w:rPr>
              <w:t>× </w:t>
            </w:r>
            <w:r w:rsidRPr="00633639">
              <w:rPr>
                <w:snapToGrid w:val="0"/>
                <w:sz w:val="18"/>
              </w:rPr>
              <w:t>10</w:t>
            </w:r>
            <w:r w:rsidRPr="00633639">
              <w:rPr>
                <w:snapToGrid w:val="0"/>
                <w:sz w:val="18"/>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rsidR="00D52E22" w:rsidRPr="00633639" w:rsidRDefault="00D52E22" w:rsidP="008B2B4E">
            <w:pPr>
              <w:pStyle w:val="Tabletext"/>
              <w:jc w:val="center"/>
              <w:rPr>
                <w:sz w:val="18"/>
                <w:lang w:eastAsia="ja-JP"/>
              </w:rPr>
            </w:pPr>
            <w:r w:rsidRPr="00633639">
              <w:rPr>
                <w:snapToGrid w:val="0"/>
                <w:sz w:val="18"/>
              </w:rPr>
              <w:t>30 </w:t>
            </w:r>
            <w:r w:rsidRPr="00633639">
              <w:rPr>
                <w:rFonts w:eastAsia="MS PGothic"/>
                <w:sz w:val="18"/>
              </w:rPr>
              <w:t>× </w:t>
            </w:r>
            <w:r w:rsidRPr="00633639">
              <w:rPr>
                <w:snapToGrid w:val="0"/>
                <w:sz w:val="18"/>
              </w:rPr>
              <w:t>10</w:t>
            </w:r>
            <w:r w:rsidRPr="00633639">
              <w:rPr>
                <w:snapToGrid w:val="0"/>
                <w:sz w:val="18"/>
                <w:vertAlign w:val="superscript"/>
              </w:rPr>
              <w:t>−6</w:t>
            </w:r>
          </w:p>
        </w:tc>
      </w:tr>
      <w:tr w:rsidR="00D52E22" w:rsidRPr="00633639" w:rsidTr="008B2B4E">
        <w:trPr>
          <w:cantSplit/>
          <w:jc w:val="center"/>
        </w:trPr>
        <w:tc>
          <w:tcPr>
            <w:tcW w:w="14459" w:type="dxa"/>
            <w:gridSpan w:val="8"/>
            <w:tcBorders>
              <w:top w:val="single" w:sz="4" w:space="0" w:color="auto"/>
            </w:tcBorders>
          </w:tcPr>
          <w:p w:rsidR="00D52E22" w:rsidRPr="00633639" w:rsidRDefault="00D52E22" w:rsidP="008B2B4E">
            <w:pPr>
              <w:pStyle w:val="Tablelegend"/>
              <w:ind w:hanging="284"/>
              <w:rPr>
                <w:sz w:val="18"/>
              </w:rPr>
            </w:pPr>
            <w:r w:rsidRPr="00633639">
              <w:rPr>
                <w:sz w:val="18"/>
              </w:rPr>
              <w:t>*</w:t>
            </w:r>
            <w:r w:rsidRPr="00633639">
              <w:rPr>
                <w:sz w:val="18"/>
              </w:rPr>
              <w:tab/>
              <w:t>Ces colonnes du tableau couvrent les caractéristiques et les seuils pour les récepteurs du SRNS fonctionnant dans la bande 1 215-1 300 MHz</w:t>
            </w:r>
            <w:r>
              <w:rPr>
                <w:sz w:val="18"/>
              </w:rPr>
              <w:t xml:space="preserve"> </w:t>
            </w:r>
            <w:r w:rsidRPr="00633639">
              <w:rPr>
                <w:sz w:val="18"/>
              </w:rPr>
              <w:t>(les récepteurs de ce type fonctionnent avec les signaux décrits dans l'Annexe 2 de la Recommandation UIT</w:t>
            </w:r>
            <w:r w:rsidRPr="00633639">
              <w:rPr>
                <w:sz w:val="18"/>
              </w:rPr>
              <w:noBreakHyphen/>
              <w:t>R М.1787)</w:t>
            </w:r>
            <w:r>
              <w:rPr>
                <w:sz w:val="18"/>
              </w:rPr>
              <w:t>.</w:t>
            </w:r>
            <w:r w:rsidRPr="00633639">
              <w:rPr>
                <w:sz w:val="18"/>
              </w:rPr>
              <w:t xml:space="preserve"> Pour les caractéristiques et les critères de protection applicables aux récepteurs fonctionnant dans les bandes 1 559-1 610 MHz et/ou 1 164</w:t>
            </w:r>
            <w:r w:rsidRPr="00633639">
              <w:rPr>
                <w:sz w:val="18"/>
              </w:rPr>
              <w:noBreakHyphen/>
              <w:t>1 215 MHz, voir également les colonnes du tableau associé, respectivement dans les Recommandations UIT</w:t>
            </w:r>
            <w:r w:rsidRPr="00633639">
              <w:rPr>
                <w:sz w:val="18"/>
              </w:rPr>
              <w:noBreakHyphen/>
              <w:t>R M.190</w:t>
            </w:r>
            <w:r>
              <w:rPr>
                <w:sz w:val="18"/>
              </w:rPr>
              <w:t>3</w:t>
            </w:r>
            <w:r w:rsidRPr="00633639">
              <w:rPr>
                <w:sz w:val="18"/>
              </w:rPr>
              <w:t xml:space="preserve"> et/ou UIT</w:t>
            </w:r>
            <w:r w:rsidRPr="00633639">
              <w:rPr>
                <w:sz w:val="18"/>
              </w:rPr>
              <w:noBreakHyphen/>
              <w:t>R M.1905.</w:t>
            </w:r>
          </w:p>
          <w:p w:rsidR="00D52E22" w:rsidRPr="00633639" w:rsidRDefault="00D52E22" w:rsidP="008B2B4E">
            <w:pPr>
              <w:pStyle w:val="Tablelegend"/>
              <w:ind w:hanging="284"/>
              <w:rPr>
                <w:sz w:val="18"/>
              </w:rPr>
            </w:pPr>
            <w:r w:rsidRPr="00633639">
              <w:rPr>
                <w:sz w:val="18"/>
                <w:lang w:eastAsia="ja-JP"/>
              </w:rPr>
              <w:t>#</w:t>
            </w:r>
            <w:r w:rsidRPr="00633639">
              <w:rPr>
                <w:sz w:val="18"/>
                <w:lang w:eastAsia="ja-JP"/>
              </w:rPr>
              <w:tab/>
              <w:t>Les paramètres de réponse impulsionnelle pour ces récepteurs doivent faire l'objet d'un complément d'étude parallèlement aux travaux de l'UIT</w:t>
            </w:r>
            <w:r w:rsidRPr="00633639">
              <w:rPr>
                <w:sz w:val="18"/>
                <w:lang w:eastAsia="ja-JP"/>
              </w:rPr>
              <w:noBreakHyphen/>
              <w:t>R sur une méthode générale d'évaluation des brouillages RFI par impulsions.</w:t>
            </w:r>
          </w:p>
          <w:p w:rsidR="00D52E22" w:rsidRPr="00633639" w:rsidRDefault="00D52E22" w:rsidP="008B2B4E">
            <w:pPr>
              <w:pStyle w:val="TableLegendNote"/>
              <w:ind w:left="0"/>
              <w:rPr>
                <w:sz w:val="18"/>
                <w:lang w:val="fr-FR"/>
              </w:rPr>
            </w:pPr>
            <w:r w:rsidRPr="00633639">
              <w:rPr>
                <w:sz w:val="18"/>
                <w:lang w:val="fr-FR"/>
              </w:rPr>
              <w:t xml:space="preserve">NOTE 1 – Pour le traitement des signaux P(Y), y compris celui utilisant les techniques à code partiel, le brouillage à bande étroite est réputé avoir une largeur de bande de moins de 100 kHz et le brouillage large bande est réputé avoir une largeur de bande de plus de 1 MHz. Pour le traitement du signal L2C, le brouillage à bande étroite est réputé avoir une largeur de bande de moins de 1 kHz et le brouillage large bande est réputé avoir une largeur de bande de plus de </w:t>
            </w:r>
            <w:r>
              <w:rPr>
                <w:sz w:val="18"/>
                <w:lang w:val="fr-FR"/>
              </w:rPr>
              <w:t>1</w:t>
            </w:r>
            <w:r w:rsidRPr="00633639">
              <w:rPr>
                <w:sz w:val="18"/>
                <w:lang w:val="fr-FR"/>
              </w:rPr>
              <w:t xml:space="preserve"> </w:t>
            </w:r>
            <w:r>
              <w:rPr>
                <w:sz w:val="18"/>
                <w:lang w:val="fr-FR"/>
              </w:rPr>
              <w:t>M</w:t>
            </w:r>
            <w:r w:rsidRPr="00633639">
              <w:rPr>
                <w:sz w:val="18"/>
                <w:lang w:val="fr-FR"/>
              </w:rPr>
              <w:t xml:space="preserve">Hz. Pour le traitement des signaux AMRF, le brouillage continu à bande étroite est réputé avoir une largeur de bande de moins </w:t>
            </w:r>
            <w:r>
              <w:rPr>
                <w:sz w:val="18"/>
                <w:lang w:val="fr-FR"/>
              </w:rPr>
              <w:t xml:space="preserve">de </w:t>
            </w:r>
            <w:r w:rsidRPr="00633639">
              <w:rPr>
                <w:sz w:val="18"/>
                <w:lang w:val="fr-FR"/>
              </w:rPr>
              <w:t>1 kHz et le brouillage continu large bande est réputé avoir une largeur de bande de plus de 500 kHz. Les valeurs seuils pour les largeurs de bande de brouillage comprises entre 100 kHz (signaux P(Y)) ou 1 kHz (signaux L2C et AMRF) et 1 MHz (ou pour les signaux AMRF 50</w:t>
            </w:r>
            <w:r>
              <w:rPr>
                <w:sz w:val="18"/>
                <w:lang w:val="fr-FR"/>
              </w:rPr>
              <w:t>0</w:t>
            </w:r>
            <w:r w:rsidRPr="00633639">
              <w:rPr>
                <w:sz w:val="18"/>
                <w:lang w:val="fr-FR"/>
              </w:rPr>
              <w:t xml:space="preserve"> kHz) ne sont pas définies et nécessiteront peut</w:t>
            </w:r>
            <w:r>
              <w:rPr>
                <w:sz w:val="18"/>
                <w:lang w:val="fr-FR"/>
              </w:rPr>
              <w:noBreakHyphen/>
            </w:r>
            <w:r w:rsidRPr="00633639">
              <w:rPr>
                <w:sz w:val="18"/>
                <w:lang w:val="fr-FR"/>
              </w:rPr>
              <w:t xml:space="preserve">être un complément d'étude. </w:t>
            </w:r>
          </w:p>
          <w:p w:rsidR="00D52E22" w:rsidRPr="00633639" w:rsidRDefault="00D52E22" w:rsidP="008B2B4E">
            <w:pPr>
              <w:pStyle w:val="TableLegendNote"/>
              <w:ind w:left="0"/>
              <w:rPr>
                <w:sz w:val="18"/>
                <w:lang w:val="fr-FR"/>
              </w:rPr>
            </w:pPr>
            <w:r w:rsidRPr="00633639">
              <w:rPr>
                <w:sz w:val="18"/>
                <w:lang w:val="fr-FR"/>
              </w:rPr>
              <w:t>NOTE 2 –</w:t>
            </w:r>
            <w:r w:rsidRPr="00633639">
              <w:rPr>
                <w:i/>
                <w:sz w:val="18"/>
                <w:lang w:val="fr-FR"/>
              </w:rPr>
              <w:t> </w:t>
            </w:r>
            <w:r w:rsidRPr="00633639">
              <w:rPr>
                <w:sz w:val="18"/>
                <w:lang w:val="fr-FR"/>
              </w:rPr>
              <w:t xml:space="preserve">Le brouillage continu à bande étroite est réputé avoir une largeur de bande de moins de 700 Hz. Le brouillage continu large bande est réputé avoir une largeur de bande de plus de 1 MHz. </w:t>
            </w:r>
          </w:p>
          <w:p w:rsidR="00D52E22" w:rsidRPr="00633639" w:rsidRDefault="00D52E22" w:rsidP="008B2B4E">
            <w:pPr>
              <w:pStyle w:val="Tabletext"/>
              <w:rPr>
                <w:sz w:val="18"/>
              </w:rPr>
            </w:pPr>
            <w:r w:rsidRPr="00633639">
              <w:rPr>
                <w:sz w:val="18"/>
              </w:rPr>
              <w:t>NOTE 3 – La valeur du gain maximal dans l'hémisphère supérieur indiquée s'applique à un angle d'élévation de 30° (l'angle d'arrivée maximal attendu pour le brouillage RFI). La valeur du gain maximal dans l'hémisphère inférieur indiquée s'applique à un angle d'élévation de 0° (horizon).</w:t>
            </w:r>
          </w:p>
          <w:p w:rsidR="00D52E22" w:rsidRPr="00633639" w:rsidRDefault="00D52E22" w:rsidP="008B2B4E">
            <w:pPr>
              <w:pStyle w:val="TableLegendNote"/>
              <w:ind w:left="0"/>
              <w:rPr>
                <w:sz w:val="18"/>
                <w:lang w:val="fr-FR"/>
              </w:rPr>
            </w:pPr>
            <w:r w:rsidRPr="00633639">
              <w:rPr>
                <w:sz w:val="18"/>
                <w:lang w:val="fr-FR"/>
              </w:rPr>
              <w:t>NOTE 4 – L'acquisition du signal se fait à l'aide du signal L1</w:t>
            </w:r>
            <w:r>
              <w:rPr>
                <w:sz w:val="18"/>
                <w:lang w:val="fr-FR"/>
              </w:rPr>
              <w:t xml:space="preserve"> </w:t>
            </w:r>
            <w:r w:rsidRPr="00633639">
              <w:rPr>
                <w:sz w:val="18"/>
                <w:lang w:val="fr-FR"/>
              </w:rPr>
              <w:t>C/A. Voir la ligne appropriée pour le seuil d'acquisition dans l'Annexe 2 de la Recommandation UIT-R M.1903, Tableau 2-2, colonne</w:t>
            </w:r>
            <w:r>
              <w:rPr>
                <w:sz w:val="18"/>
                <w:lang w:val="fr-FR"/>
              </w:rPr>
              <w:t> «</w:t>
            </w:r>
            <w:r w:rsidRPr="00633639">
              <w:rPr>
                <w:sz w:val="18"/>
                <w:lang w:val="fr-FR"/>
              </w:rPr>
              <w:t>Récepteur de référence au sol SBAS</w:t>
            </w:r>
            <w:r>
              <w:rPr>
                <w:sz w:val="18"/>
                <w:lang w:val="fr-FR"/>
              </w:rPr>
              <w:t>»</w:t>
            </w:r>
            <w:r w:rsidRPr="00633639">
              <w:rPr>
                <w:sz w:val="18"/>
                <w:lang w:val="fr-FR"/>
              </w:rPr>
              <w:t>.</w:t>
            </w:r>
          </w:p>
          <w:p w:rsidR="00D52E22" w:rsidRPr="00633639" w:rsidRDefault="00D52E22" w:rsidP="008B2B4E">
            <w:pPr>
              <w:pStyle w:val="Tabletext"/>
              <w:spacing w:before="120"/>
              <w:rPr>
                <w:sz w:val="18"/>
              </w:rPr>
            </w:pPr>
            <w:r w:rsidRPr="00633639">
              <w:rPr>
                <w:sz w:val="18"/>
              </w:rPr>
              <w:t>NOTE 5 – L'acquisition du signal se fait à l'aide du signal L1</w:t>
            </w:r>
            <w:r>
              <w:rPr>
                <w:sz w:val="18"/>
              </w:rPr>
              <w:t xml:space="preserve"> </w:t>
            </w:r>
            <w:r w:rsidRPr="00633639">
              <w:rPr>
                <w:sz w:val="18"/>
              </w:rPr>
              <w:t>C/A. Voir la ligne appropriée pour le seuil d'acquisition dans l'Annexe 2 de la Recommandation UIT-R M.1903, Tableau 2-2, colonne</w:t>
            </w:r>
            <w:r>
              <w:rPr>
                <w:sz w:val="18"/>
              </w:rPr>
              <w:t> «</w:t>
            </w:r>
            <w:r w:rsidRPr="00633639">
              <w:rPr>
                <w:sz w:val="18"/>
              </w:rPr>
              <w:t>Récepteur de haute précision</w:t>
            </w:r>
            <w:r>
              <w:rPr>
                <w:sz w:val="18"/>
              </w:rPr>
              <w:t>»</w:t>
            </w:r>
            <w:r w:rsidRPr="00633639">
              <w:rPr>
                <w:sz w:val="18"/>
              </w:rPr>
              <w:t>.</w:t>
            </w:r>
          </w:p>
          <w:p w:rsidR="00D52E22" w:rsidRDefault="00D52E22" w:rsidP="008B2B4E">
            <w:pPr>
              <w:pStyle w:val="Tabletext"/>
              <w:spacing w:before="120"/>
              <w:rPr>
                <w:sz w:val="18"/>
              </w:rPr>
            </w:pPr>
            <w:r w:rsidRPr="00633639">
              <w:rPr>
                <w:sz w:val="18"/>
              </w:rPr>
              <w:t>NOTE 6 – Le niveau de compression à l'entrée du récepteur correspond à une puissance dans une largeur de bande de 1 MHz.</w:t>
            </w:r>
          </w:p>
          <w:p w:rsidR="00D52E22" w:rsidRPr="00633639" w:rsidRDefault="00D52E22" w:rsidP="008B2B4E">
            <w:pPr>
              <w:pStyle w:val="TableLegendNote"/>
              <w:ind w:left="0"/>
              <w:rPr>
                <w:sz w:val="18"/>
                <w:lang w:val="fr-FR"/>
              </w:rPr>
            </w:pPr>
            <w:r w:rsidRPr="00633639">
              <w:rPr>
                <w:sz w:val="18"/>
                <w:lang w:val="fr-FR"/>
              </w:rPr>
              <w:t xml:space="preserve">NOTE 7 – Le niveau de survie est le niveau de puissance crête pour un signal par impulsions ayant un rapport cyclique maximal de 10%. </w:t>
            </w:r>
          </w:p>
          <w:p w:rsidR="00D52E22" w:rsidRPr="006512AE" w:rsidRDefault="00D52E22" w:rsidP="008B2B4E">
            <w:pPr>
              <w:pStyle w:val="TableLegendNote"/>
              <w:ind w:left="0"/>
              <w:rPr>
                <w:snapToGrid w:val="0"/>
                <w:sz w:val="18"/>
                <w:lang w:val="fr-CH"/>
              </w:rPr>
            </w:pPr>
            <w:r w:rsidRPr="00633639">
              <w:rPr>
                <w:rFonts w:eastAsia="MS PGothic"/>
                <w:sz w:val="18"/>
                <w:lang w:val="fr-FR" w:eastAsia="ja-JP"/>
              </w:rPr>
              <w:t>NOTE 8</w:t>
            </w:r>
            <w:r w:rsidRPr="00633639">
              <w:rPr>
                <w:rFonts w:eastAsia="MS PGothic"/>
                <w:sz w:val="18"/>
                <w:lang w:val="fr-FR"/>
              </w:rPr>
              <w:t xml:space="preserve"> – Ce type de récepteur fonctionne simultanément sur plusieurs fréquences porteuses. Ces fréquences sont définies par la relation </w:t>
            </w:r>
            <w:r w:rsidRPr="00633639">
              <w:rPr>
                <w:rFonts w:eastAsia="MS PGothic"/>
                <w:i/>
                <w:sz w:val="18"/>
                <w:lang w:val="fr-FR"/>
              </w:rPr>
              <w:t>f</w:t>
            </w:r>
            <w:r w:rsidRPr="00633639">
              <w:rPr>
                <w:rFonts w:eastAsia="MS PGothic"/>
                <w:i/>
                <w:sz w:val="18"/>
                <w:vertAlign w:val="subscript"/>
                <w:lang w:val="fr-FR"/>
              </w:rPr>
              <w:t>C</w:t>
            </w:r>
            <w:r w:rsidRPr="00633639">
              <w:rPr>
                <w:rFonts w:eastAsia="MS PGothic"/>
                <w:sz w:val="18"/>
                <w:lang w:val="fr-FR"/>
              </w:rPr>
              <w:t> (MHz) = 1 246</w:t>
            </w:r>
            <w:r>
              <w:rPr>
                <w:rFonts w:eastAsia="MS PGothic"/>
                <w:sz w:val="18"/>
                <w:lang w:val="fr-FR"/>
              </w:rPr>
              <w:t>,0</w:t>
            </w:r>
            <w:r w:rsidRPr="00633639">
              <w:rPr>
                <w:rFonts w:eastAsia="MS PGothic"/>
                <w:sz w:val="18"/>
                <w:lang w:val="fr-FR"/>
              </w:rPr>
              <w:t> + 0,4375</w:t>
            </w:r>
            <w:r>
              <w:rPr>
                <w:rFonts w:eastAsia="MS PGothic"/>
                <w:sz w:val="18"/>
                <w:lang w:val="fr-FR"/>
              </w:rPr>
              <w:t xml:space="preserve"> </w:t>
            </w:r>
            <w:r w:rsidRPr="00633639">
              <w:rPr>
                <w:rFonts w:eastAsia="MS PGothic"/>
                <w:i/>
                <w:iCs/>
                <w:sz w:val="18"/>
                <w:lang w:val="fr-FR"/>
              </w:rPr>
              <w:t>K</w:t>
            </w:r>
            <w:r w:rsidRPr="00633639">
              <w:rPr>
                <w:rFonts w:eastAsia="MS PGothic"/>
                <w:sz w:val="18"/>
                <w:lang w:val="fr-FR"/>
              </w:rPr>
              <w:t xml:space="preserve">, où </w:t>
            </w:r>
            <w:r w:rsidRPr="00633639">
              <w:rPr>
                <w:i/>
                <w:sz w:val="18"/>
                <w:lang w:val="fr-FR"/>
              </w:rPr>
              <w:t>K</w:t>
            </w:r>
            <w:r w:rsidRPr="00633639">
              <w:rPr>
                <w:sz w:val="18"/>
                <w:lang w:val="fr-FR"/>
              </w:rPr>
              <w:t xml:space="preserve"> est compris </w:t>
            </w:r>
            <w:r>
              <w:rPr>
                <w:sz w:val="18"/>
                <w:lang w:val="fr-FR"/>
              </w:rPr>
              <w:br/>
            </w:r>
            <w:r w:rsidRPr="00633639">
              <w:rPr>
                <w:sz w:val="18"/>
                <w:lang w:val="fr-FR"/>
              </w:rPr>
              <w:t>entre −7 et +6.</w:t>
            </w:r>
          </w:p>
        </w:tc>
      </w:tr>
    </w:tbl>
    <w:p w:rsidR="009A06A4" w:rsidRDefault="009A06A4">
      <w:r>
        <w:br w:type="page"/>
      </w:r>
    </w:p>
    <w:tbl>
      <w:tblPr>
        <w:tblW w:w="14459" w:type="dxa"/>
        <w:jc w:val="center"/>
        <w:tblLayout w:type="fixed"/>
        <w:tblLook w:val="0000" w:firstRow="0" w:lastRow="0" w:firstColumn="0" w:lastColumn="0" w:noHBand="0" w:noVBand="0"/>
      </w:tblPr>
      <w:tblGrid>
        <w:gridCol w:w="14459"/>
      </w:tblGrid>
      <w:tr w:rsidR="00D52E22" w:rsidRPr="00633639" w:rsidTr="008B2B4E">
        <w:trPr>
          <w:cantSplit/>
          <w:jc w:val="center"/>
        </w:trPr>
        <w:tc>
          <w:tcPr>
            <w:tcW w:w="14459" w:type="dxa"/>
          </w:tcPr>
          <w:p w:rsidR="00F6608F" w:rsidRDefault="00F6608F" w:rsidP="009A3426">
            <w:pPr>
              <w:pStyle w:val="TableLegendNote"/>
              <w:jc w:val="center"/>
              <w:rPr>
                <w:rFonts w:eastAsia="MS PGothic"/>
                <w:sz w:val="18"/>
                <w:lang w:val="fr-FR" w:eastAsia="ja-JP"/>
              </w:rPr>
            </w:pPr>
            <w:r w:rsidRPr="00633639">
              <w:lastRenderedPageBreak/>
              <w:t>TABLEAU 1-1 (</w:t>
            </w:r>
            <w:r>
              <w:rPr>
                <w:i/>
                <w:iCs/>
              </w:rPr>
              <w:t>fin</w:t>
            </w:r>
            <w:r w:rsidRPr="00633639">
              <w:t>)</w:t>
            </w:r>
          </w:p>
          <w:p w:rsidR="009A3426" w:rsidRDefault="009A3426" w:rsidP="008B2B4E">
            <w:pPr>
              <w:pStyle w:val="TableLegendNote"/>
              <w:ind w:left="0"/>
              <w:rPr>
                <w:rFonts w:eastAsia="MS PGothic"/>
                <w:sz w:val="18"/>
                <w:lang w:val="fr-FR" w:eastAsia="ja-JP"/>
              </w:rPr>
            </w:pPr>
          </w:p>
          <w:p w:rsidR="00D52E22" w:rsidRDefault="00D52E22" w:rsidP="008B2B4E">
            <w:pPr>
              <w:pStyle w:val="TableLegendNote"/>
              <w:ind w:left="0"/>
              <w:rPr>
                <w:rFonts w:eastAsia="MS PGothic"/>
                <w:sz w:val="18"/>
                <w:lang w:val="fr-FR" w:eastAsia="ja-JP"/>
              </w:rPr>
            </w:pPr>
            <w:r w:rsidRPr="00633639">
              <w:rPr>
                <w:rFonts w:eastAsia="MS PGothic"/>
                <w:sz w:val="18"/>
                <w:lang w:val="fr-FR" w:eastAsia="ja-JP"/>
              </w:rPr>
              <w:t>NOTE 9</w:t>
            </w:r>
            <w:r w:rsidRPr="00633639">
              <w:rPr>
                <w:rFonts w:eastAsia="MS PGothic"/>
                <w:sz w:val="18"/>
                <w:lang w:val="fr-FR"/>
              </w:rPr>
              <w:t> – Ce seuil devrait tenir compte de la puissance cumulative de tous les brouillages. La valeur seuil n'inclut pas de marge de sécurité.</w:t>
            </w:r>
          </w:p>
          <w:p w:rsidR="00D52E22" w:rsidRPr="00633639" w:rsidRDefault="00D52E22" w:rsidP="008B2B4E">
            <w:pPr>
              <w:pStyle w:val="TableLegendNote"/>
              <w:ind w:left="0"/>
              <w:rPr>
                <w:sz w:val="18"/>
                <w:lang w:val="fr-FR"/>
              </w:rPr>
            </w:pPr>
            <w:r w:rsidRPr="00633639">
              <w:rPr>
                <w:rFonts w:eastAsia="MS PGothic"/>
                <w:sz w:val="18"/>
                <w:lang w:val="fr-FR" w:eastAsia="ja-JP"/>
              </w:rPr>
              <w:t>NOTE 10</w:t>
            </w:r>
            <w:r w:rsidRPr="00633639">
              <w:rPr>
                <w:rFonts w:eastAsia="MS PGothic"/>
                <w:sz w:val="18"/>
                <w:lang w:val="fr-FR"/>
              </w:rPr>
              <w:t> – Les valeurs indiquées représentent les caractéristiques types des récepteurs. Dans certaines conditions</w:t>
            </w:r>
            <w:r>
              <w:rPr>
                <w:rFonts w:eastAsia="MS PGothic"/>
                <w:sz w:val="18"/>
                <w:lang w:val="fr-FR"/>
              </w:rPr>
              <w:t>,</w:t>
            </w:r>
            <w:r w:rsidRPr="00633639">
              <w:rPr>
                <w:rFonts w:eastAsia="MS PGothic"/>
                <w:sz w:val="18"/>
                <w:lang w:val="fr-FR"/>
              </w:rPr>
              <w:t xml:space="preserve"> des valeurs plus strictes pourraient être nécessaires pour certains paramètres (par exemple, temps de rétablissement après surcharge, valeurs seuil du brouillage cumulatif, etc.)</w:t>
            </w:r>
            <w:r w:rsidRPr="00633639">
              <w:rPr>
                <w:sz w:val="18"/>
                <w:lang w:val="fr-FR"/>
              </w:rPr>
              <w:t>.</w:t>
            </w:r>
          </w:p>
          <w:p w:rsidR="00214A4F" w:rsidRDefault="00D52E22" w:rsidP="00214A4F">
            <w:pPr>
              <w:pStyle w:val="TableLegendNote"/>
              <w:ind w:left="0"/>
              <w:rPr>
                <w:sz w:val="18"/>
                <w:lang w:val="fr-FR"/>
              </w:rPr>
            </w:pPr>
            <w:r w:rsidRPr="00633639">
              <w:rPr>
                <w:rFonts w:eastAsia="MS PGothic"/>
                <w:sz w:val="18"/>
                <w:lang w:val="fr-FR" w:eastAsia="ja-JP"/>
              </w:rPr>
              <w:t>NOTE 11</w:t>
            </w:r>
            <w:r w:rsidRPr="00633639">
              <w:rPr>
                <w:rFonts w:eastAsia="MS PGothic"/>
                <w:sz w:val="18"/>
                <w:lang w:val="fr-FR"/>
              </w:rPr>
              <w:t> – Le gain minimal de l'antenne de réception pour un angle d'élévation de 5° est de</w:t>
            </w:r>
            <w:r w:rsidRPr="00633639">
              <w:rPr>
                <w:sz w:val="18"/>
                <w:lang w:val="fr-FR"/>
              </w:rPr>
              <w:t xml:space="preserve"> −4,5 dBi</w:t>
            </w:r>
            <w:r w:rsidR="00214A4F">
              <w:rPr>
                <w:sz w:val="18"/>
                <w:lang w:val="fr-FR"/>
              </w:rPr>
              <w:t>.</w:t>
            </w:r>
          </w:p>
          <w:p w:rsidR="00D52E22" w:rsidRPr="00214A4F" w:rsidRDefault="00214A4F" w:rsidP="00214A4F">
            <w:pPr>
              <w:pStyle w:val="TableLegendNote"/>
              <w:ind w:left="0"/>
              <w:rPr>
                <w:sz w:val="18"/>
                <w:szCs w:val="18"/>
                <w:lang w:val="fr-FR"/>
              </w:rPr>
            </w:pPr>
            <w:r w:rsidRPr="00214A4F">
              <w:rPr>
                <w:sz w:val="18"/>
                <w:szCs w:val="18"/>
                <w:lang w:val="fr-CH" w:eastAsia="ja-JP"/>
              </w:rPr>
              <w:t>NOTE 12 – Etant donné que l'antenne, dans certaines applications des récepteurs du SRNS, pourrait être pointée pratiquement dans n'importe quelle direction, le gain maximal de l'antenne dans l'hémisphère inférieur pourrait (dans le cas le plus défavorable) être égal au gain maximal dans l'hémisphère supérieur</w:t>
            </w:r>
            <w:r w:rsidR="00D52E22" w:rsidRPr="00633639">
              <w:rPr>
                <w:sz w:val="18"/>
                <w:lang w:val="fr-FR"/>
              </w:rPr>
              <w:t>.</w:t>
            </w:r>
          </w:p>
        </w:tc>
      </w:tr>
    </w:tbl>
    <w:p w:rsidR="009A06A4" w:rsidRDefault="009A06A4" w:rsidP="00D52E22">
      <w:pPr>
        <w:tabs>
          <w:tab w:val="clear" w:pos="794"/>
          <w:tab w:val="clear" w:pos="1191"/>
          <w:tab w:val="clear" w:pos="1588"/>
          <w:tab w:val="clear" w:pos="1985"/>
        </w:tabs>
        <w:overflowPunct/>
        <w:autoSpaceDE/>
        <w:autoSpaceDN/>
        <w:adjustRightInd/>
        <w:spacing w:before="0"/>
        <w:textAlignment w:val="auto"/>
      </w:pPr>
    </w:p>
    <w:p w:rsidR="009A06A4" w:rsidRDefault="009A06A4">
      <w:pPr>
        <w:tabs>
          <w:tab w:val="clear" w:pos="794"/>
          <w:tab w:val="clear" w:pos="1191"/>
          <w:tab w:val="clear" w:pos="1588"/>
          <w:tab w:val="clear" w:pos="1985"/>
        </w:tabs>
        <w:overflowPunct/>
        <w:autoSpaceDE/>
        <w:autoSpaceDN/>
        <w:adjustRightInd/>
        <w:spacing w:before="0"/>
        <w:jc w:val="left"/>
        <w:textAlignment w:val="auto"/>
      </w:pPr>
    </w:p>
    <w:p w:rsidR="00D52E22" w:rsidRPr="00633639" w:rsidRDefault="00D52E22" w:rsidP="00D52E22">
      <w:pPr>
        <w:tabs>
          <w:tab w:val="clear" w:pos="794"/>
          <w:tab w:val="clear" w:pos="1191"/>
          <w:tab w:val="clear" w:pos="1588"/>
          <w:tab w:val="clear" w:pos="1985"/>
        </w:tabs>
        <w:overflowPunct/>
        <w:autoSpaceDE/>
        <w:autoSpaceDN/>
        <w:adjustRightInd/>
        <w:spacing w:before="0"/>
        <w:textAlignment w:val="auto"/>
      </w:pPr>
    </w:p>
    <w:p w:rsidR="00A6617B" w:rsidRDefault="00A6617B" w:rsidP="00242AEE">
      <w:pPr>
        <w:pStyle w:val="HeadingSum"/>
        <w:rPr>
          <w:lang w:val="fr-FR"/>
        </w:rPr>
      </w:pPr>
    </w:p>
    <w:p w:rsidR="00FA2049" w:rsidRPr="00FA2049" w:rsidRDefault="00FA2049" w:rsidP="00FA2049">
      <w:pPr>
        <w:jc w:val="center"/>
      </w:pPr>
      <w:r>
        <w:t>__________________</w:t>
      </w:r>
    </w:p>
    <w:sectPr w:rsidR="00FA2049" w:rsidRPr="00FA2049" w:rsidSect="003D1D33">
      <w:headerReference w:type="even" r:id="rId20"/>
      <w:headerReference w:type="default" r:id="rId2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E95" w:rsidRDefault="00A02E95">
      <w:r>
        <w:separator/>
      </w:r>
    </w:p>
  </w:endnote>
  <w:endnote w:type="continuationSeparator" w:id="0">
    <w:p w:rsidR="00A02E95" w:rsidRDefault="00A02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Pr="00346C12" w:rsidRDefault="00A02E95" w:rsidP="00346C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Pr="00346C12" w:rsidRDefault="00A02E95" w:rsidP="00346C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E95" w:rsidRDefault="00A02E95">
      <w:r>
        <w:separator/>
      </w:r>
    </w:p>
  </w:footnote>
  <w:footnote w:type="continuationSeparator" w:id="0">
    <w:p w:rsidR="00A02E95" w:rsidRDefault="00A02E95">
      <w:r>
        <w:continuationSeparator/>
      </w:r>
    </w:p>
  </w:footnote>
  <w:footnote w:id="1">
    <w:p w:rsidR="00A02E95" w:rsidRPr="00A30703" w:rsidRDefault="00A02E95" w:rsidP="00D52E22">
      <w:pPr>
        <w:pStyle w:val="FootnoteText"/>
        <w:rPr>
          <w:lang w:val="fr-CH"/>
        </w:rPr>
      </w:pPr>
      <w:r w:rsidRPr="007E3E21">
        <w:rPr>
          <w:rStyle w:val="FootnoteReference"/>
        </w:rPr>
        <w:footnoteRef/>
      </w:r>
      <w:r w:rsidRPr="00A30703">
        <w:rPr>
          <w:lang w:val="fr-CH"/>
        </w:rPr>
        <w:t xml:space="preserve"> </w:t>
      </w:r>
      <w:r w:rsidRPr="00A30703">
        <w:rPr>
          <w:lang w:val="fr-CH"/>
        </w:rPr>
        <w:tab/>
        <w:t xml:space="preserve">Le système SBAS permet de fournir des données d'intégrité et de correction des erreurs de mesure du SRNS via des signaux de </w:t>
      </w:r>
      <w:r w:rsidRPr="00A30703">
        <w:rPr>
          <w:rFonts w:cs="Arial"/>
          <w:lang w:val="fr-CH"/>
        </w:rPr>
        <w:t>satellite</w:t>
      </w:r>
      <w:r w:rsidRPr="00A30703">
        <w:rPr>
          <w:lang w:val="fr-CH"/>
        </w:rPr>
        <w:t xml:space="preserve"> OSG.</w:t>
      </w:r>
    </w:p>
  </w:footnote>
  <w:footnote w:id="2">
    <w:p w:rsidR="00A02E95" w:rsidRPr="00EE2AD4" w:rsidRDefault="00A02E95" w:rsidP="00D52E22">
      <w:pPr>
        <w:pStyle w:val="FootnoteText"/>
        <w:rPr>
          <w:lang w:val="fr-CH"/>
        </w:rPr>
      </w:pPr>
      <w:r w:rsidRPr="007E3E21">
        <w:rPr>
          <w:rStyle w:val="FootnoteReference"/>
        </w:rPr>
        <w:footnoteRef/>
      </w:r>
      <w:r w:rsidRPr="00EE2AD4">
        <w:rPr>
          <w:lang w:val="fr-CH"/>
        </w:rPr>
        <w:tab/>
      </w:r>
      <w:r w:rsidRPr="00EE2AD4">
        <w:rPr>
          <w:color w:val="000000"/>
          <w:lang w:val="fr-CH"/>
        </w:rPr>
        <w:t xml:space="preserve">Les signaux L1 C/A et </w:t>
      </w:r>
      <w:r w:rsidRPr="00EE2AD4">
        <w:rPr>
          <w:lang w:val="fr-CH"/>
        </w:rPr>
        <w:t>L1 P(Y) se trouvent dans la bande 1 559-1 610 MHz attribuée au S</w:t>
      </w:r>
      <w:r>
        <w:rPr>
          <w:lang w:val="fr-CH"/>
        </w:rPr>
        <w:t xml:space="preserve">RNS, tandis que les signaux </w:t>
      </w:r>
      <w:r w:rsidRPr="00EE2AD4">
        <w:rPr>
          <w:lang w:val="fr-CH"/>
        </w:rPr>
        <w:t xml:space="preserve">L2 P(Y) </w:t>
      </w:r>
      <w:r>
        <w:rPr>
          <w:lang w:val="fr-CH"/>
        </w:rPr>
        <w:t xml:space="preserve">se trouvent dans la bande </w:t>
      </w:r>
      <w:r w:rsidRPr="00EE2AD4">
        <w:rPr>
          <w:lang w:val="fr-CH"/>
        </w:rPr>
        <w:t xml:space="preserve">1 215-1 300 MHz </w:t>
      </w:r>
      <w:r>
        <w:rPr>
          <w:lang w:val="fr-CH"/>
        </w:rPr>
        <w:t>attribuée au SRNS</w:t>
      </w:r>
      <w:r w:rsidRPr="00EE2AD4">
        <w:rPr>
          <w:lang w:val="fr-CH"/>
        </w:rPr>
        <w:t>. D'autres précisions concernant</w:t>
      </w:r>
      <w:r>
        <w:rPr>
          <w:lang w:val="fr-CH"/>
        </w:rPr>
        <w:t xml:space="preserve"> c</w:t>
      </w:r>
      <w:r w:rsidRPr="00EE2AD4">
        <w:rPr>
          <w:lang w:val="fr-CH"/>
        </w:rPr>
        <w:t xml:space="preserve">es signaux </w:t>
      </w:r>
      <w:r>
        <w:rPr>
          <w:lang w:val="fr-CH"/>
        </w:rPr>
        <w:t>sont données dans l'</w:t>
      </w:r>
      <w:r w:rsidRPr="00EE2AD4">
        <w:rPr>
          <w:lang w:val="fr-CH"/>
        </w:rPr>
        <w:t>Annex</w:t>
      </w:r>
      <w:r>
        <w:rPr>
          <w:lang w:val="fr-CH"/>
        </w:rPr>
        <w:t>e</w:t>
      </w:r>
      <w:r w:rsidRPr="00EE2AD4">
        <w:rPr>
          <w:lang w:val="fr-CH"/>
        </w:rPr>
        <w:t xml:space="preserve"> 2 (GPS) </w:t>
      </w:r>
      <w:r>
        <w:rPr>
          <w:lang w:val="fr-CH"/>
        </w:rPr>
        <w:t>de la Recomma</w:t>
      </w:r>
      <w:r w:rsidRPr="00EE2AD4">
        <w:rPr>
          <w:lang w:val="fr-CH"/>
        </w:rPr>
        <w:t>ndation U</w:t>
      </w:r>
      <w:r>
        <w:rPr>
          <w:lang w:val="fr-CH"/>
        </w:rPr>
        <w:t>IT</w:t>
      </w:r>
      <w:r w:rsidRPr="00EE2AD4">
        <w:rPr>
          <w:lang w:val="fr-CH"/>
        </w:rPr>
        <w:noBreakHyphen/>
        <w:t>R M.1787.</w:t>
      </w:r>
    </w:p>
  </w:footnote>
  <w:footnote w:id="3">
    <w:p w:rsidR="00A02E95" w:rsidRPr="00853730" w:rsidRDefault="00A02E95" w:rsidP="00D52E22">
      <w:pPr>
        <w:pStyle w:val="FootnoteText"/>
        <w:rPr>
          <w:lang w:val="fr-CH"/>
        </w:rPr>
      </w:pPr>
      <w:r w:rsidRPr="007E3E21">
        <w:rPr>
          <w:rStyle w:val="FootnoteReference"/>
        </w:rPr>
        <w:footnoteRef/>
      </w:r>
      <w:r w:rsidRPr="00853730">
        <w:rPr>
          <w:lang w:val="fr-CH"/>
        </w:rPr>
        <w:t xml:space="preserve"> </w:t>
      </w:r>
      <w:r w:rsidRPr="00853730">
        <w:rPr>
          <w:lang w:val="fr-CH"/>
        </w:rPr>
        <w:tab/>
        <w:t>Le code Y est un code P modifié et crypté ayant le m</w:t>
      </w:r>
      <w:r>
        <w:rPr>
          <w:lang w:val="fr-CH"/>
        </w:rPr>
        <w:t xml:space="preserve">ême débit d'éléments et les mêmes </w:t>
      </w:r>
      <w:r w:rsidRPr="00853730">
        <w:rPr>
          <w:rFonts w:asciiTheme="majorBidi" w:hAnsiTheme="majorBidi" w:cstheme="majorBidi"/>
          <w:szCs w:val="24"/>
          <w:lang w:val="fr-CH"/>
        </w:rPr>
        <w:t>caractéristique</w:t>
      </w:r>
      <w:r>
        <w:rPr>
          <w:lang w:val="fr-CH"/>
        </w:rPr>
        <w:t>s de modulation que le code</w:t>
      </w:r>
      <w:r w:rsidRPr="00853730">
        <w:rPr>
          <w:lang w:val="fr-CH"/>
        </w:rPr>
        <w:t xml:space="preserve"> P.</w:t>
      </w:r>
    </w:p>
  </w:footnote>
  <w:footnote w:id="4">
    <w:p w:rsidR="00A02E95" w:rsidRPr="00EE7EA2" w:rsidRDefault="00A02E95" w:rsidP="00D52E22">
      <w:pPr>
        <w:pStyle w:val="FootnoteText"/>
        <w:rPr>
          <w:lang w:val="fr-CH"/>
        </w:rPr>
      </w:pPr>
      <w:r w:rsidRPr="007E3E21">
        <w:rPr>
          <w:rStyle w:val="FootnoteReference"/>
        </w:rPr>
        <w:footnoteRef/>
      </w:r>
      <w:r w:rsidRPr="00EE7EA2">
        <w:rPr>
          <w:lang w:val="fr-CH"/>
        </w:rPr>
        <w:tab/>
      </w:r>
      <w:r w:rsidRPr="00EE7EA2">
        <w:rPr>
          <w:color w:val="000000"/>
          <w:lang w:val="fr-CH"/>
        </w:rPr>
        <w:t>D'autres précisions</w:t>
      </w:r>
      <w:r w:rsidRPr="00EE7EA2">
        <w:rPr>
          <w:lang w:val="fr-CH"/>
        </w:rPr>
        <w:t xml:space="preserve"> concernant le signal L</w:t>
      </w:r>
      <w:r>
        <w:rPr>
          <w:lang w:val="fr-CH"/>
        </w:rPr>
        <w:t>2</w:t>
      </w:r>
      <w:r w:rsidRPr="00EE7EA2">
        <w:rPr>
          <w:lang w:val="fr-CH"/>
        </w:rPr>
        <w:t>C sont données dans l'Annexe</w:t>
      </w:r>
      <w:r>
        <w:rPr>
          <w:lang w:val="fr-CH"/>
        </w:rPr>
        <w:t xml:space="preserve"> 2 (GPS) de la </w:t>
      </w:r>
      <w:r w:rsidRPr="00EE7EA2">
        <w:rPr>
          <w:lang w:val="fr-CH"/>
        </w:rPr>
        <w:t>Recommandation</w:t>
      </w:r>
      <w:r>
        <w:rPr>
          <w:lang w:val="fr-CH"/>
        </w:rPr>
        <w:t> UIT</w:t>
      </w:r>
      <w:r>
        <w:rPr>
          <w:lang w:val="fr-CH"/>
        </w:rPr>
        <w:noBreakHyphen/>
        <w:t>R M.1787.</w:t>
      </w:r>
    </w:p>
  </w:footnote>
  <w:footnote w:id="5">
    <w:p w:rsidR="00A02E95" w:rsidRPr="00672E9D" w:rsidRDefault="00A02E95" w:rsidP="00D52E22">
      <w:pPr>
        <w:pStyle w:val="FootnoteText"/>
        <w:rPr>
          <w:lang w:val="fr-CH"/>
        </w:rPr>
      </w:pPr>
      <w:r w:rsidRPr="007E3E21">
        <w:rPr>
          <w:rStyle w:val="FootnoteReference"/>
        </w:rPr>
        <w:footnoteRef/>
      </w:r>
      <w:r w:rsidRPr="00672E9D">
        <w:rPr>
          <w:lang w:val="fr-CH"/>
        </w:rPr>
        <w:tab/>
        <w:t xml:space="preserve">L'expression </w:t>
      </w:r>
      <w:r w:rsidRPr="00C107A2">
        <w:rPr>
          <w:lang w:val="fr-CH" w:eastAsia="zh-CN"/>
        </w:rPr>
        <w:t>«</w:t>
      </w:r>
      <w:r w:rsidRPr="00672E9D">
        <w:rPr>
          <w:lang w:val="fr-CH"/>
        </w:rPr>
        <w:t>signaux du SRNS AMRF</w:t>
      </w:r>
      <w:r w:rsidRPr="00C107A2">
        <w:rPr>
          <w:lang w:val="fr-CH" w:eastAsia="zh-CN"/>
        </w:rPr>
        <w:t>»</w:t>
      </w:r>
      <w:r w:rsidRPr="00672E9D">
        <w:rPr>
          <w:lang w:val="fr-CH"/>
        </w:rPr>
        <w:t xml:space="preserve"> renvoie à une technologie selon laquelle tous les </w:t>
      </w:r>
      <w:r w:rsidRPr="00672E9D">
        <w:rPr>
          <w:rFonts w:cs="Arial"/>
          <w:lang w:val="fr-CH"/>
        </w:rPr>
        <w:t>satellite</w:t>
      </w:r>
      <w:r w:rsidRPr="00672E9D">
        <w:rPr>
          <w:lang w:val="fr-CH"/>
        </w:rPr>
        <w:t>s du SRNS utilisent le m</w:t>
      </w:r>
      <w:r>
        <w:rPr>
          <w:lang w:val="fr-CH"/>
        </w:rPr>
        <w:t xml:space="preserve">ême code de modulation, mais chaque </w:t>
      </w:r>
      <w:r w:rsidRPr="00672E9D">
        <w:rPr>
          <w:rFonts w:cs="Arial"/>
          <w:lang w:val="fr-CH"/>
        </w:rPr>
        <w:t>satellite</w:t>
      </w:r>
      <w:r>
        <w:rPr>
          <w:lang w:val="fr-CH"/>
        </w:rPr>
        <w:t xml:space="preserve"> émet sur une </w:t>
      </w:r>
      <w:r w:rsidRPr="00672E9D">
        <w:rPr>
          <w:lang w:val="fr-CH"/>
        </w:rPr>
        <w:t>fréquence</w:t>
      </w:r>
      <w:r>
        <w:rPr>
          <w:lang w:val="fr-CH"/>
        </w:rPr>
        <w:t xml:space="preserve"> porteuse différente. D'autres précisions sur les signaux sont données dans l'</w:t>
      </w:r>
      <w:r w:rsidRPr="00672E9D">
        <w:rPr>
          <w:lang w:val="fr-CH"/>
        </w:rPr>
        <w:t>Annex</w:t>
      </w:r>
      <w:r>
        <w:rPr>
          <w:lang w:val="fr-CH"/>
        </w:rPr>
        <w:t>e</w:t>
      </w:r>
      <w:r w:rsidRPr="00672E9D">
        <w:rPr>
          <w:lang w:val="fr-CH"/>
        </w:rPr>
        <w:t xml:space="preserve"> 1 (GLONASS) </w:t>
      </w:r>
      <w:r>
        <w:rPr>
          <w:lang w:val="fr-CH"/>
        </w:rPr>
        <w:t xml:space="preserve">de la </w:t>
      </w:r>
      <w:r w:rsidRPr="00672E9D">
        <w:rPr>
          <w:lang w:val="fr-CH"/>
        </w:rPr>
        <w:t>Recommandation U</w:t>
      </w:r>
      <w:r>
        <w:rPr>
          <w:lang w:val="fr-CH"/>
        </w:rPr>
        <w:t>IT</w:t>
      </w:r>
      <w:r w:rsidRPr="00672E9D">
        <w:rPr>
          <w:lang w:val="fr-CH"/>
        </w:rPr>
        <w:noBreakHyphen/>
        <w:t>R M.1787.</w:t>
      </w:r>
    </w:p>
  </w:footnote>
  <w:footnote w:id="6">
    <w:p w:rsidR="00A02E95" w:rsidRPr="00672E9D" w:rsidRDefault="00A02E95" w:rsidP="00D52E22">
      <w:pPr>
        <w:pStyle w:val="FootnoteText"/>
        <w:rPr>
          <w:lang w:val="fr-CH"/>
        </w:rPr>
      </w:pPr>
      <w:r w:rsidRPr="007E3E21">
        <w:rPr>
          <w:rStyle w:val="FootnoteReference"/>
        </w:rPr>
        <w:footnoteRef/>
      </w:r>
      <w:r w:rsidRPr="00672E9D">
        <w:rPr>
          <w:lang w:val="fr-CH"/>
        </w:rPr>
        <w:tab/>
        <w:t>D'autres précisions concernant les signaux du S</w:t>
      </w:r>
      <w:r>
        <w:rPr>
          <w:lang w:val="fr-CH"/>
        </w:rPr>
        <w:t>NR</w:t>
      </w:r>
      <w:r w:rsidRPr="00672E9D">
        <w:rPr>
          <w:lang w:val="fr-CH"/>
        </w:rPr>
        <w:t xml:space="preserve">S </w:t>
      </w:r>
      <w:r>
        <w:rPr>
          <w:lang w:val="fr-CH"/>
        </w:rPr>
        <w:t>sont données dans l'A</w:t>
      </w:r>
      <w:r w:rsidRPr="00672E9D">
        <w:rPr>
          <w:lang w:val="fr-CH"/>
        </w:rPr>
        <w:t>nnex</w:t>
      </w:r>
      <w:r>
        <w:rPr>
          <w:lang w:val="fr-CH"/>
        </w:rPr>
        <w:t>e </w:t>
      </w:r>
      <w:r w:rsidRPr="00672E9D">
        <w:rPr>
          <w:lang w:val="fr-CH"/>
        </w:rPr>
        <w:t xml:space="preserve">4 (QZSS) </w:t>
      </w:r>
      <w:r>
        <w:rPr>
          <w:lang w:val="fr-CH"/>
        </w:rPr>
        <w:t xml:space="preserve">de la </w:t>
      </w:r>
      <w:r w:rsidRPr="007935BA">
        <w:rPr>
          <w:lang w:val="fr-CH"/>
        </w:rPr>
        <w:t>Recommandation</w:t>
      </w:r>
      <w:r w:rsidRPr="00672E9D">
        <w:rPr>
          <w:lang w:val="fr-CH"/>
        </w:rPr>
        <w:t xml:space="preserve"> U</w:t>
      </w:r>
      <w:r>
        <w:rPr>
          <w:lang w:val="fr-CH"/>
        </w:rPr>
        <w:t>IT</w:t>
      </w:r>
      <w:r w:rsidRPr="00672E9D">
        <w:rPr>
          <w:lang w:val="fr-CH"/>
        </w:rPr>
        <w:noBreakHyphen/>
        <w:t>R M.1787.</w:t>
      </w:r>
    </w:p>
  </w:footnote>
  <w:footnote w:id="7">
    <w:p w:rsidR="00A02E95" w:rsidRPr="00032236" w:rsidRDefault="00A02E95" w:rsidP="00D52E22">
      <w:pPr>
        <w:pStyle w:val="FootnoteText"/>
        <w:rPr>
          <w:lang w:val="fr-CH"/>
        </w:rPr>
      </w:pPr>
      <w:r w:rsidRPr="004E5D5E">
        <w:rPr>
          <w:rStyle w:val="FootnoteReference"/>
        </w:rPr>
        <w:footnoteRef/>
      </w:r>
      <w:r w:rsidRPr="00032236">
        <w:rPr>
          <w:lang w:val="fr-CH"/>
        </w:rPr>
        <w:tab/>
        <w:t>RTCA,</w:t>
      </w:r>
      <w:r>
        <w:rPr>
          <w:lang w:val="fr-CH"/>
        </w:rPr>
        <w:t xml:space="preserve"> dont le siè</w:t>
      </w:r>
      <w:r w:rsidRPr="00032236">
        <w:rPr>
          <w:lang w:val="fr-CH"/>
        </w:rPr>
        <w:t xml:space="preserve">ge est </w:t>
      </w:r>
      <w:r>
        <w:rPr>
          <w:lang w:val="fr-CH"/>
        </w:rPr>
        <w:t xml:space="preserve">aux </w:t>
      </w:r>
      <w:r w:rsidRPr="00032236">
        <w:rPr>
          <w:lang w:val="fr-CH"/>
        </w:rPr>
        <w:t>Etats</w:t>
      </w:r>
      <w:r w:rsidRPr="00032236">
        <w:rPr>
          <w:lang w:val="fr-CH"/>
        </w:rPr>
        <w:noBreakHyphen/>
        <w:t>Unis</w:t>
      </w:r>
      <w:r>
        <w:rPr>
          <w:lang w:val="fr-CH"/>
        </w:rPr>
        <w:t xml:space="preserve">  et </w:t>
      </w:r>
      <w:r w:rsidRPr="00032236">
        <w:rPr>
          <w:lang w:val="fr-CH"/>
        </w:rPr>
        <w:t xml:space="preserve">EUROCAE </w:t>
      </w:r>
      <w:r>
        <w:rPr>
          <w:lang w:val="fr-CH"/>
        </w:rPr>
        <w:t>dont le siège est e</w:t>
      </w:r>
      <w:r w:rsidRPr="00032236">
        <w:rPr>
          <w:lang w:val="fr-CH"/>
        </w:rPr>
        <w:t>n Europe.</w:t>
      </w:r>
    </w:p>
  </w:footnote>
  <w:footnote w:id="8">
    <w:p w:rsidR="00A02E95" w:rsidRPr="004E5D5E" w:rsidRDefault="00A02E95" w:rsidP="00D52E22">
      <w:pPr>
        <w:pStyle w:val="FootnoteText"/>
        <w:rPr>
          <w:lang w:val="en-US"/>
        </w:rPr>
      </w:pPr>
      <w:r w:rsidRPr="004E5D5E">
        <w:rPr>
          <w:rStyle w:val="FootnoteReference"/>
        </w:rPr>
        <w:footnoteRef/>
      </w:r>
      <w:r w:rsidRPr="00903874">
        <w:rPr>
          <w:lang w:val="en-US"/>
        </w:rPr>
        <w:tab/>
        <w:t xml:space="preserve">RTCA SC-159, </w:t>
      </w:r>
      <w:r>
        <w:rPr>
          <w:lang w:val="en-US"/>
        </w:rPr>
        <w:t>«</w:t>
      </w:r>
      <w:r w:rsidRPr="00903874">
        <w:rPr>
          <w:lang w:val="en-US"/>
        </w:rPr>
        <w:t>Assessment of the radio frequency interference relevant to the GNSS L5/E5A frequency band</w:t>
      </w:r>
      <w:r>
        <w:rPr>
          <w:lang w:val="en-US"/>
        </w:rPr>
        <w:t>»</w:t>
      </w:r>
      <w:r w:rsidRPr="00903874">
        <w:rPr>
          <w:lang w:val="en-US"/>
        </w:rPr>
        <w:t>, RTCA Document No. </w:t>
      </w:r>
      <w:r w:rsidRPr="004E5D5E">
        <w:rPr>
          <w:lang w:val="en-US"/>
        </w:rPr>
        <w:t>RTCA/DO-292, Washington, DC, 29 juillet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rsidP="008B2B4E">
    <w:pPr>
      <w:pStyle w:val="Header"/>
      <w:ind w:right="360" w:firstLine="360"/>
    </w:pPr>
    <w:r>
      <w:rPr>
        <w:noProof/>
        <w:lang w:val="en-US" w:eastAsia="zh-CN"/>
      </w:rPr>
      <w:drawing>
        <wp:anchor distT="0" distB="0" distL="114300" distR="114300" simplePos="0" relativeHeight="251659264" behindDoc="1" locked="0" layoutInCell="1" allowOverlap="1" wp14:anchorId="42D65F24" wp14:editId="350CB64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rsidP="00346C12">
    <w:pPr>
      <w:pStyle w:val="Header"/>
      <w:jc w:val="left"/>
    </w:pPr>
    <w:r w:rsidRPr="00FC42AF">
      <w:tab/>
    </w:r>
    <w:fldSimple w:instr=" DOCPROPERTY &quot;Header&quot; \* MERGEFORMAT ">
      <w:r w:rsidR="00DB36FD" w:rsidRPr="00DB36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36FD">
      <w:rPr>
        <w:b/>
        <w:bCs/>
        <w:noProof/>
      </w:rPr>
      <w:t>UIT-R  M.1902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B36FD">
      <w:rPr>
        <w:rStyle w:val="PageNumber"/>
        <w:b/>
        <w:bCs/>
        <w:noProof/>
      </w:rPr>
      <w:t>1</w:t>
    </w:r>
    <w:r>
      <w:rPr>
        <w:rStyle w:val="PageNumber"/>
        <w:b/>
        <w:bCs/>
      </w:rPr>
      <w:fldChar w:fldCharType="end"/>
    </w:r>
    <w:r>
      <w:rPr>
        <w:b/>
        <w:bCs/>
      </w:rPr>
      <w:tab/>
    </w:r>
    <w:r>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Pr="00837CB5" w:rsidRDefault="00A02E9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36FD">
      <w:rPr>
        <w:rStyle w:val="PageNumber"/>
        <w:b/>
        <w:bCs/>
        <w:noProof/>
      </w:rPr>
      <w:t>ii</w:t>
    </w:r>
    <w:r>
      <w:rPr>
        <w:rStyle w:val="PageNumber"/>
        <w:b/>
        <w:bCs/>
      </w:rPr>
      <w:fldChar w:fldCharType="end"/>
    </w:r>
    <w:r w:rsidRPr="00837CB5">
      <w:tab/>
    </w:r>
    <w:fldSimple w:instr=" DOCPROPERTY &quot;Header&quot; \* MERGEFORMAT ">
      <w:r w:rsidR="00DB36FD" w:rsidRPr="00DB36F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B36FD">
      <w:rPr>
        <w:b/>
        <w:bCs/>
        <w:noProof/>
      </w:rPr>
      <w:t>UIT-R  M.1902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pPr>
      <w:pStyle w:val="Header"/>
    </w:pPr>
    <w:r>
      <w:tab/>
    </w:r>
    <w:fldSimple w:instr=" DOCPROPERTY &quot;Header&quot; \* MERGEFORMAT ">
      <w:r w:rsidR="00DB36FD" w:rsidRPr="00DB36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36FD">
      <w:rPr>
        <w:b/>
        <w:bCs/>
        <w:noProof/>
      </w:rPr>
      <w:t>UIT-R  M.1902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2169">
      <w:rPr>
        <w:rStyle w:val="PageNumber"/>
        <w:b/>
        <w:bCs/>
        <w:noProof/>
      </w:rPr>
      <w:t>ix</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Pr="00FC42AF" w:rsidRDefault="00A02E9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36FD">
      <w:rPr>
        <w:rStyle w:val="PageNumber"/>
        <w:b/>
        <w:bCs/>
        <w:noProof/>
      </w:rPr>
      <w:t>6</w:t>
    </w:r>
    <w:r>
      <w:rPr>
        <w:rStyle w:val="PageNumber"/>
        <w:b/>
        <w:bCs/>
      </w:rPr>
      <w:fldChar w:fldCharType="end"/>
    </w:r>
    <w:r w:rsidRPr="00FC42AF">
      <w:tab/>
    </w:r>
    <w:fldSimple w:instr=" DOCPROPERTY &quot;Header&quot; \* MERGEFORMAT ">
      <w:r w:rsidR="00DB36FD" w:rsidRPr="00DB36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36FD">
      <w:rPr>
        <w:b/>
        <w:bCs/>
        <w:noProof/>
      </w:rPr>
      <w:t>UIT-R  M.1902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rsidP="00346C12">
    <w:pPr>
      <w:pStyle w:val="Header"/>
    </w:pPr>
    <w:r>
      <w:tab/>
    </w:r>
    <w:fldSimple w:instr=" DOCPROPERTY &quot;Header&quot; \* MERGEFORMAT ">
      <w:r w:rsidR="00DB36FD" w:rsidRPr="00DB36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B36FD">
      <w:rPr>
        <w:b/>
        <w:bCs/>
        <w:noProof/>
      </w:rPr>
      <w:t>UIT-R  M.1902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B36FD">
      <w:rPr>
        <w:rStyle w:val="PageNumber"/>
        <w:b/>
        <w:bCs/>
        <w:noProof/>
      </w:rPr>
      <w:t>5</w:t>
    </w:r>
    <w:r>
      <w:rPr>
        <w:rStyle w:val="PageNumber"/>
        <w:b/>
        <w:bCs/>
      </w:rPr>
      <w:fldChar w:fldCharType="end"/>
    </w:r>
  </w:p>
  <w:p w:rsidR="00A02E95" w:rsidRPr="00A862AF" w:rsidRDefault="00A02E95" w:rsidP="008B2B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Pr="007518E4" w:rsidRDefault="007518E4" w:rsidP="007518E4">
    <w:pPr>
      <w:pStyle w:val="Header"/>
      <w:tabs>
        <w:tab w:val="clear" w:pos="4848"/>
        <w:tab w:val="clear" w:pos="9696"/>
        <w:tab w:val="center" w:pos="7088"/>
        <w:tab w:val="right" w:pos="14317"/>
      </w:tabs>
    </w:pPr>
    <w:r>
      <w:rPr>
        <w:rStyle w:val="PageNumber"/>
        <w:b/>
        <w:bCs/>
      </w:rPr>
      <w:fldChar w:fldCharType="begin"/>
    </w:r>
    <w:r>
      <w:rPr>
        <w:rStyle w:val="PageNumber"/>
        <w:b/>
        <w:bCs/>
      </w:rPr>
      <w:instrText xml:space="preserve"> PAGE </w:instrText>
    </w:r>
    <w:r>
      <w:rPr>
        <w:rStyle w:val="PageNumber"/>
        <w:b/>
        <w:bCs/>
      </w:rPr>
      <w:fldChar w:fldCharType="separate"/>
    </w:r>
    <w:r w:rsidR="00DB36FD">
      <w:rPr>
        <w:rStyle w:val="PageNumber"/>
        <w:b/>
        <w:bCs/>
        <w:noProof/>
      </w:rPr>
      <w:t>8</w:t>
    </w:r>
    <w:r>
      <w:rPr>
        <w:rStyle w:val="PageNumber"/>
        <w:b/>
        <w:bCs/>
      </w:rPr>
      <w:fldChar w:fldCharType="end"/>
    </w:r>
    <w:r>
      <w:tab/>
    </w:r>
    <w:fldSimple w:instr=" DOCPROPERTY &quot;Header&quot; \* MERGEFORMAT ">
      <w:r w:rsidR="00DB36FD" w:rsidRPr="00DB36FD">
        <w:rPr>
          <w:b/>
          <w:bCs/>
        </w:rPr>
        <w:t xml:space="preserve">Rec. </w:t>
      </w:r>
    </w:fldSimple>
    <w:r w:rsidR="00A02E95">
      <w:rPr>
        <w:b/>
        <w:bCs/>
      </w:rPr>
      <w:t xml:space="preserve"> </w:t>
    </w:r>
    <w:r w:rsidR="00A02E95">
      <w:rPr>
        <w:b/>
        <w:bCs/>
      </w:rPr>
      <w:fldChar w:fldCharType="begin"/>
    </w:r>
    <w:r w:rsidR="00A02E95">
      <w:rPr>
        <w:b/>
        <w:bCs/>
      </w:rPr>
      <w:instrText>styleref href</w:instrText>
    </w:r>
    <w:r w:rsidR="00A02E95">
      <w:rPr>
        <w:b/>
        <w:bCs/>
      </w:rPr>
      <w:fldChar w:fldCharType="separate"/>
    </w:r>
    <w:r w:rsidR="00DB36FD">
      <w:rPr>
        <w:b/>
        <w:bCs/>
        <w:noProof/>
      </w:rPr>
      <w:t>UIT-R  M.1902</w:t>
    </w:r>
    <w:r w:rsidR="00A02E95">
      <w:rPr>
        <w:b/>
        <w:bCs/>
      </w:rPr>
      <w:fldChar w:fldCharType="end"/>
    </w:r>
    <w:r w:rsidR="00A02E95">
      <w:ptab w:relativeTo="margin" w:alignment="right" w:leader="none"/>
    </w:r>
    <w:r w:rsidR="00A02E95">
      <w:rPr>
        <w:rStyle w:val="PageNumber"/>
        <w:b/>
        <w:bCs/>
      </w:rPr>
      <w:ptab w:relativeTo="margin" w:alignment="right" w:leader="none"/>
    </w:r>
    <w:r w:rsidR="00A02E95">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E95" w:rsidRDefault="00A02E95" w:rsidP="00A02E95">
    <w:pPr>
      <w:pStyle w:val="Header"/>
      <w:tabs>
        <w:tab w:val="clear" w:pos="4848"/>
        <w:tab w:val="clear" w:pos="9696"/>
        <w:tab w:val="center" w:pos="7088"/>
        <w:tab w:val="right" w:pos="14317"/>
      </w:tabs>
    </w:pPr>
    <w:r>
      <w:ptab w:relativeTo="margin" w:alignment="left" w:leader="none"/>
    </w:r>
    <w:r>
      <w:ptab w:relativeTo="margin" w:alignment="left" w:leader="dot"/>
    </w:r>
    <w:r>
      <w:tab/>
    </w:r>
    <w:fldSimple w:instr=" DOCPROPERTY &quot;Header&quot; \* MERGEFORMAT ">
      <w:r w:rsidR="00DB36FD" w:rsidRPr="00DB36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36FD">
      <w:rPr>
        <w:b/>
        <w:bCs/>
        <w:noProof/>
      </w:rPr>
      <w:t>UIT-R  M.1902</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DB36FD">
      <w:rPr>
        <w:rStyle w:val="PageNumber"/>
        <w:b/>
        <w:bCs/>
        <w:noProof/>
      </w:rPr>
      <w:t>7</w:t>
    </w:r>
    <w:r>
      <w:rPr>
        <w:rStyle w:val="PageNumber"/>
        <w:b/>
        <w:bCs/>
      </w:rPr>
      <w:fldChar w:fldCharType="end"/>
    </w:r>
    <w:r>
      <w:rPr>
        <w:rStyle w:val="PageNumber"/>
        <w:b/>
        <w:bCs/>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68F"/>
    <w:rsid w:val="001A1B0B"/>
    <w:rsid w:val="001B11C2"/>
    <w:rsid w:val="00214A4F"/>
    <w:rsid w:val="00217EBF"/>
    <w:rsid w:val="00242AEE"/>
    <w:rsid w:val="002D76C4"/>
    <w:rsid w:val="00346C12"/>
    <w:rsid w:val="003D1D33"/>
    <w:rsid w:val="004C3FBC"/>
    <w:rsid w:val="00500A57"/>
    <w:rsid w:val="0052529D"/>
    <w:rsid w:val="00542169"/>
    <w:rsid w:val="005C6CAE"/>
    <w:rsid w:val="00607D68"/>
    <w:rsid w:val="00685D7A"/>
    <w:rsid w:val="007468DA"/>
    <w:rsid w:val="007518E4"/>
    <w:rsid w:val="007E3E21"/>
    <w:rsid w:val="008B2B4E"/>
    <w:rsid w:val="0099568F"/>
    <w:rsid w:val="009A06A4"/>
    <w:rsid w:val="009A3426"/>
    <w:rsid w:val="009E00A8"/>
    <w:rsid w:val="00A02E95"/>
    <w:rsid w:val="00A6617B"/>
    <w:rsid w:val="00AB0DC8"/>
    <w:rsid w:val="00B44E24"/>
    <w:rsid w:val="00BD0403"/>
    <w:rsid w:val="00D36519"/>
    <w:rsid w:val="00D52E22"/>
    <w:rsid w:val="00D80195"/>
    <w:rsid w:val="00DB36FD"/>
    <w:rsid w:val="00DF4176"/>
    <w:rsid w:val="00EF469E"/>
    <w:rsid w:val="00EF671E"/>
    <w:rsid w:val="00F6608F"/>
    <w:rsid w:val="00FA20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6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568F"/>
    <w:rPr>
      <w:color w:val="0000FF"/>
      <w:u w:val="single"/>
    </w:rPr>
  </w:style>
  <w:style w:type="character" w:customStyle="1" w:styleId="enumlev1Char">
    <w:name w:val="enumlev1 Char"/>
    <w:link w:val="enumlev1"/>
    <w:locked/>
    <w:rsid w:val="00D52E22"/>
    <w:rPr>
      <w:sz w:val="24"/>
      <w:lang w:val="fr-FR" w:eastAsia="en-US"/>
    </w:rPr>
  </w:style>
  <w:style w:type="character" w:customStyle="1" w:styleId="Rectitle0">
    <w:name w:val="Rec_title Знак"/>
    <w:link w:val="Rectitle"/>
    <w:locked/>
    <w:rsid w:val="00D52E22"/>
    <w:rPr>
      <w:b/>
      <w:sz w:val="28"/>
      <w:lang w:val="fr-FR" w:eastAsia="en-US"/>
    </w:rPr>
  </w:style>
  <w:style w:type="character" w:customStyle="1" w:styleId="TableNo0">
    <w:name w:val="Table_No Знак"/>
    <w:link w:val="TableNo"/>
    <w:locked/>
    <w:rsid w:val="00D52E22"/>
    <w:rPr>
      <w:sz w:val="24"/>
      <w:lang w:val="fr-FR" w:eastAsia="en-US"/>
    </w:rPr>
  </w:style>
  <w:style w:type="character" w:customStyle="1" w:styleId="Tabletitle0">
    <w:name w:val="Table_title Знак"/>
    <w:link w:val="Tabletitle"/>
    <w:locked/>
    <w:rsid w:val="00D52E22"/>
    <w:rPr>
      <w:b/>
      <w:sz w:val="24"/>
      <w:lang w:val="fr-FR" w:eastAsia="en-US"/>
    </w:rPr>
  </w:style>
  <w:style w:type="character" w:customStyle="1" w:styleId="FootnoteTextChar">
    <w:name w:val="Footnote Text Char"/>
    <w:basedOn w:val="DefaultParagraphFont"/>
    <w:link w:val="FootnoteText"/>
    <w:rsid w:val="00D52E22"/>
    <w:rPr>
      <w:sz w:val="22"/>
      <w:lang w:val="fr-FR" w:eastAsia="en-US"/>
    </w:rPr>
  </w:style>
  <w:style w:type="paragraph" w:customStyle="1" w:styleId="Artheading">
    <w:name w:val="Art_heading"/>
    <w:basedOn w:val="Normal"/>
    <w:next w:val="Normalaftertitle"/>
    <w:rsid w:val="00D52E22"/>
    <w:pPr>
      <w:spacing w:before="480"/>
      <w:jc w:val="center"/>
    </w:pPr>
    <w:rPr>
      <w:b/>
      <w:sz w:val="28"/>
    </w:rPr>
  </w:style>
  <w:style w:type="character" w:styleId="EndnoteReference">
    <w:name w:val="endnote reference"/>
    <w:basedOn w:val="DefaultParagraphFont"/>
    <w:rsid w:val="00D52E22"/>
    <w:rPr>
      <w:vertAlign w:val="superscript"/>
    </w:rPr>
  </w:style>
  <w:style w:type="paragraph" w:customStyle="1" w:styleId="Figurewithouttitle">
    <w:name w:val="Figure_without_title"/>
    <w:basedOn w:val="Normal"/>
    <w:next w:val="Normalaftertitle"/>
    <w:rsid w:val="00D52E22"/>
    <w:pPr>
      <w:keepLines/>
      <w:spacing w:before="240" w:after="120"/>
      <w:jc w:val="center"/>
    </w:pPr>
  </w:style>
  <w:style w:type="paragraph" w:customStyle="1" w:styleId="FirstFooter">
    <w:name w:val="FirstFooter"/>
    <w:basedOn w:val="Footer"/>
    <w:rsid w:val="00D52E2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52E22"/>
    <w:pPr>
      <w:spacing w:before="840" w:after="200"/>
      <w:jc w:val="center"/>
    </w:pPr>
    <w:rPr>
      <w:b/>
      <w:sz w:val="28"/>
    </w:rPr>
  </w:style>
  <w:style w:type="paragraph" w:customStyle="1" w:styleId="SpecialFooter">
    <w:name w:val="Special Footer"/>
    <w:basedOn w:val="Footer"/>
    <w:rsid w:val="00D52E2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52E22"/>
    <w:pPr>
      <w:keepNext/>
      <w:spacing w:before="0" w:after="120"/>
      <w:jc w:val="center"/>
    </w:pPr>
  </w:style>
  <w:style w:type="paragraph" w:customStyle="1" w:styleId="Title1">
    <w:name w:val="Title 1"/>
    <w:basedOn w:val="Source"/>
    <w:next w:val="Title2"/>
    <w:rsid w:val="00D52E2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52E22"/>
  </w:style>
  <w:style w:type="paragraph" w:customStyle="1" w:styleId="Title3">
    <w:name w:val="Title 3"/>
    <w:basedOn w:val="Title2"/>
    <w:next w:val="Title4"/>
    <w:rsid w:val="00D52E22"/>
    <w:rPr>
      <w:caps w:val="0"/>
    </w:rPr>
  </w:style>
  <w:style w:type="paragraph" w:customStyle="1" w:styleId="Title4">
    <w:name w:val="Title 4"/>
    <w:basedOn w:val="Title3"/>
    <w:next w:val="Heading1"/>
    <w:rsid w:val="00D52E22"/>
    <w:rPr>
      <w:b/>
    </w:rPr>
  </w:style>
  <w:style w:type="character" w:customStyle="1" w:styleId="Appdef">
    <w:name w:val="App_def"/>
    <w:basedOn w:val="DefaultParagraphFont"/>
    <w:rsid w:val="00D52E22"/>
    <w:rPr>
      <w:rFonts w:ascii="Times New Roman" w:hAnsi="Times New Roman"/>
      <w:b/>
    </w:rPr>
  </w:style>
  <w:style w:type="character" w:customStyle="1" w:styleId="Appref">
    <w:name w:val="App_ref"/>
    <w:basedOn w:val="DefaultParagraphFont"/>
    <w:rsid w:val="00D52E22"/>
  </w:style>
  <w:style w:type="character" w:customStyle="1" w:styleId="Artdef">
    <w:name w:val="Art_def"/>
    <w:basedOn w:val="DefaultParagraphFont"/>
    <w:rsid w:val="00D52E22"/>
    <w:rPr>
      <w:rFonts w:ascii="Times New Roman" w:hAnsi="Times New Roman"/>
      <w:b/>
    </w:rPr>
  </w:style>
  <w:style w:type="character" w:customStyle="1" w:styleId="Artref">
    <w:name w:val="Art_ref"/>
    <w:basedOn w:val="DefaultParagraphFont"/>
    <w:rsid w:val="00D52E22"/>
  </w:style>
  <w:style w:type="character" w:customStyle="1" w:styleId="Recdef">
    <w:name w:val="Rec_def"/>
    <w:basedOn w:val="DefaultParagraphFont"/>
    <w:rsid w:val="00D52E22"/>
    <w:rPr>
      <w:b/>
    </w:rPr>
  </w:style>
  <w:style w:type="character" w:customStyle="1" w:styleId="Resdef">
    <w:name w:val="Res_def"/>
    <w:basedOn w:val="DefaultParagraphFont"/>
    <w:rsid w:val="00D52E22"/>
    <w:rPr>
      <w:rFonts w:ascii="Times New Roman" w:hAnsi="Times New Roman"/>
      <w:b/>
    </w:rPr>
  </w:style>
  <w:style w:type="character" w:customStyle="1" w:styleId="Tablefreq">
    <w:name w:val="Table_freq"/>
    <w:basedOn w:val="DefaultParagraphFont"/>
    <w:rsid w:val="00D52E22"/>
    <w:rPr>
      <w:b/>
      <w:color w:val="auto"/>
    </w:rPr>
  </w:style>
  <w:style w:type="paragraph" w:customStyle="1" w:styleId="Formal">
    <w:name w:val="Formal"/>
    <w:basedOn w:val="ASN1"/>
    <w:rsid w:val="00D52E2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D52E2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52E22"/>
    <w:pPr>
      <w:tabs>
        <w:tab w:val="clear" w:pos="794"/>
        <w:tab w:val="clear" w:pos="1191"/>
        <w:tab w:val="clear" w:pos="1588"/>
        <w:tab w:val="clear" w:pos="1985"/>
      </w:tabs>
      <w:spacing w:before="240"/>
      <w:jc w:val="center"/>
    </w:pPr>
    <w:rPr>
      <w:i/>
    </w:rPr>
  </w:style>
  <w:style w:type="character" w:customStyle="1" w:styleId="FooterChar">
    <w:name w:val="Footer Char"/>
    <w:basedOn w:val="DefaultParagraphFont"/>
    <w:link w:val="Footer"/>
    <w:rsid w:val="00D52E22"/>
    <w:rPr>
      <w:noProof/>
      <w:sz w:val="18"/>
      <w:lang w:val="fr-FR" w:eastAsia="en-US"/>
    </w:rPr>
  </w:style>
  <w:style w:type="character" w:customStyle="1" w:styleId="HeaderChar">
    <w:name w:val="Header Char"/>
    <w:basedOn w:val="DefaultParagraphFont"/>
    <w:link w:val="Header"/>
    <w:rsid w:val="00D52E22"/>
    <w:rPr>
      <w:sz w:val="24"/>
      <w:lang w:val="fr-FR" w:eastAsia="en-US"/>
    </w:rPr>
  </w:style>
  <w:style w:type="paragraph" w:styleId="BalloonText">
    <w:name w:val="Balloon Text"/>
    <w:basedOn w:val="Normal"/>
    <w:link w:val="BalloonTextChar"/>
    <w:rsid w:val="00542169"/>
    <w:pPr>
      <w:spacing w:before="0"/>
    </w:pPr>
    <w:rPr>
      <w:rFonts w:ascii="Tahoma" w:hAnsi="Tahoma" w:cs="Tahoma"/>
      <w:sz w:val="16"/>
      <w:szCs w:val="16"/>
    </w:rPr>
  </w:style>
  <w:style w:type="character" w:customStyle="1" w:styleId="BalloonTextChar">
    <w:name w:val="Balloon Text Char"/>
    <w:basedOn w:val="DefaultParagraphFont"/>
    <w:link w:val="BalloonText"/>
    <w:rsid w:val="0054216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56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568F"/>
    <w:rPr>
      <w:color w:val="0000FF"/>
      <w:u w:val="single"/>
    </w:rPr>
  </w:style>
  <w:style w:type="character" w:customStyle="1" w:styleId="enumlev1Char">
    <w:name w:val="enumlev1 Char"/>
    <w:link w:val="enumlev1"/>
    <w:locked/>
    <w:rsid w:val="00D52E22"/>
    <w:rPr>
      <w:sz w:val="24"/>
      <w:lang w:val="fr-FR" w:eastAsia="en-US"/>
    </w:rPr>
  </w:style>
  <w:style w:type="character" w:customStyle="1" w:styleId="Rectitle0">
    <w:name w:val="Rec_title Знак"/>
    <w:link w:val="Rectitle"/>
    <w:locked/>
    <w:rsid w:val="00D52E22"/>
    <w:rPr>
      <w:b/>
      <w:sz w:val="28"/>
      <w:lang w:val="fr-FR" w:eastAsia="en-US"/>
    </w:rPr>
  </w:style>
  <w:style w:type="character" w:customStyle="1" w:styleId="TableNo0">
    <w:name w:val="Table_No Знак"/>
    <w:link w:val="TableNo"/>
    <w:locked/>
    <w:rsid w:val="00D52E22"/>
    <w:rPr>
      <w:sz w:val="24"/>
      <w:lang w:val="fr-FR" w:eastAsia="en-US"/>
    </w:rPr>
  </w:style>
  <w:style w:type="character" w:customStyle="1" w:styleId="Tabletitle0">
    <w:name w:val="Table_title Знак"/>
    <w:link w:val="Tabletitle"/>
    <w:locked/>
    <w:rsid w:val="00D52E22"/>
    <w:rPr>
      <w:b/>
      <w:sz w:val="24"/>
      <w:lang w:val="fr-FR" w:eastAsia="en-US"/>
    </w:rPr>
  </w:style>
  <w:style w:type="character" w:customStyle="1" w:styleId="FootnoteTextChar">
    <w:name w:val="Footnote Text Char"/>
    <w:basedOn w:val="DefaultParagraphFont"/>
    <w:link w:val="FootnoteText"/>
    <w:rsid w:val="00D52E22"/>
    <w:rPr>
      <w:sz w:val="22"/>
      <w:lang w:val="fr-FR" w:eastAsia="en-US"/>
    </w:rPr>
  </w:style>
  <w:style w:type="paragraph" w:customStyle="1" w:styleId="Artheading">
    <w:name w:val="Art_heading"/>
    <w:basedOn w:val="Normal"/>
    <w:next w:val="Normalaftertitle"/>
    <w:rsid w:val="00D52E22"/>
    <w:pPr>
      <w:spacing w:before="480"/>
      <w:jc w:val="center"/>
    </w:pPr>
    <w:rPr>
      <w:b/>
      <w:sz w:val="28"/>
    </w:rPr>
  </w:style>
  <w:style w:type="character" w:styleId="EndnoteReference">
    <w:name w:val="endnote reference"/>
    <w:basedOn w:val="DefaultParagraphFont"/>
    <w:rsid w:val="00D52E22"/>
    <w:rPr>
      <w:vertAlign w:val="superscript"/>
    </w:rPr>
  </w:style>
  <w:style w:type="paragraph" w:customStyle="1" w:styleId="Figurewithouttitle">
    <w:name w:val="Figure_without_title"/>
    <w:basedOn w:val="Normal"/>
    <w:next w:val="Normalaftertitle"/>
    <w:rsid w:val="00D52E22"/>
    <w:pPr>
      <w:keepLines/>
      <w:spacing w:before="240" w:after="120"/>
      <w:jc w:val="center"/>
    </w:pPr>
  </w:style>
  <w:style w:type="paragraph" w:customStyle="1" w:styleId="FirstFooter">
    <w:name w:val="FirstFooter"/>
    <w:basedOn w:val="Footer"/>
    <w:rsid w:val="00D52E2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52E22"/>
    <w:pPr>
      <w:spacing w:before="840" w:after="200"/>
      <w:jc w:val="center"/>
    </w:pPr>
    <w:rPr>
      <w:b/>
      <w:sz w:val="28"/>
    </w:rPr>
  </w:style>
  <w:style w:type="paragraph" w:customStyle="1" w:styleId="SpecialFooter">
    <w:name w:val="Special Footer"/>
    <w:basedOn w:val="Footer"/>
    <w:rsid w:val="00D52E2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52E22"/>
    <w:pPr>
      <w:keepNext/>
      <w:spacing w:before="0" w:after="120"/>
      <w:jc w:val="center"/>
    </w:pPr>
  </w:style>
  <w:style w:type="paragraph" w:customStyle="1" w:styleId="Title1">
    <w:name w:val="Title 1"/>
    <w:basedOn w:val="Source"/>
    <w:next w:val="Title2"/>
    <w:rsid w:val="00D52E2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52E22"/>
  </w:style>
  <w:style w:type="paragraph" w:customStyle="1" w:styleId="Title3">
    <w:name w:val="Title 3"/>
    <w:basedOn w:val="Title2"/>
    <w:next w:val="Title4"/>
    <w:rsid w:val="00D52E22"/>
    <w:rPr>
      <w:caps w:val="0"/>
    </w:rPr>
  </w:style>
  <w:style w:type="paragraph" w:customStyle="1" w:styleId="Title4">
    <w:name w:val="Title 4"/>
    <w:basedOn w:val="Title3"/>
    <w:next w:val="Heading1"/>
    <w:rsid w:val="00D52E22"/>
    <w:rPr>
      <w:b/>
    </w:rPr>
  </w:style>
  <w:style w:type="character" w:customStyle="1" w:styleId="Appdef">
    <w:name w:val="App_def"/>
    <w:basedOn w:val="DefaultParagraphFont"/>
    <w:rsid w:val="00D52E22"/>
    <w:rPr>
      <w:rFonts w:ascii="Times New Roman" w:hAnsi="Times New Roman"/>
      <w:b/>
    </w:rPr>
  </w:style>
  <w:style w:type="character" w:customStyle="1" w:styleId="Appref">
    <w:name w:val="App_ref"/>
    <w:basedOn w:val="DefaultParagraphFont"/>
    <w:rsid w:val="00D52E22"/>
  </w:style>
  <w:style w:type="character" w:customStyle="1" w:styleId="Artdef">
    <w:name w:val="Art_def"/>
    <w:basedOn w:val="DefaultParagraphFont"/>
    <w:rsid w:val="00D52E22"/>
    <w:rPr>
      <w:rFonts w:ascii="Times New Roman" w:hAnsi="Times New Roman"/>
      <w:b/>
    </w:rPr>
  </w:style>
  <w:style w:type="character" w:customStyle="1" w:styleId="Artref">
    <w:name w:val="Art_ref"/>
    <w:basedOn w:val="DefaultParagraphFont"/>
    <w:rsid w:val="00D52E22"/>
  </w:style>
  <w:style w:type="character" w:customStyle="1" w:styleId="Recdef">
    <w:name w:val="Rec_def"/>
    <w:basedOn w:val="DefaultParagraphFont"/>
    <w:rsid w:val="00D52E22"/>
    <w:rPr>
      <w:b/>
    </w:rPr>
  </w:style>
  <w:style w:type="character" w:customStyle="1" w:styleId="Resdef">
    <w:name w:val="Res_def"/>
    <w:basedOn w:val="DefaultParagraphFont"/>
    <w:rsid w:val="00D52E22"/>
    <w:rPr>
      <w:rFonts w:ascii="Times New Roman" w:hAnsi="Times New Roman"/>
      <w:b/>
    </w:rPr>
  </w:style>
  <w:style w:type="character" w:customStyle="1" w:styleId="Tablefreq">
    <w:name w:val="Table_freq"/>
    <w:basedOn w:val="DefaultParagraphFont"/>
    <w:rsid w:val="00D52E22"/>
    <w:rPr>
      <w:b/>
      <w:color w:val="auto"/>
    </w:rPr>
  </w:style>
  <w:style w:type="paragraph" w:customStyle="1" w:styleId="Formal">
    <w:name w:val="Formal"/>
    <w:basedOn w:val="ASN1"/>
    <w:rsid w:val="00D52E2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D52E2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52E22"/>
    <w:pPr>
      <w:tabs>
        <w:tab w:val="clear" w:pos="794"/>
        <w:tab w:val="clear" w:pos="1191"/>
        <w:tab w:val="clear" w:pos="1588"/>
        <w:tab w:val="clear" w:pos="1985"/>
      </w:tabs>
      <w:spacing w:before="240"/>
      <w:jc w:val="center"/>
    </w:pPr>
    <w:rPr>
      <w:i/>
    </w:rPr>
  </w:style>
  <w:style w:type="character" w:customStyle="1" w:styleId="FooterChar">
    <w:name w:val="Footer Char"/>
    <w:basedOn w:val="DefaultParagraphFont"/>
    <w:link w:val="Footer"/>
    <w:rsid w:val="00D52E22"/>
    <w:rPr>
      <w:noProof/>
      <w:sz w:val="18"/>
      <w:lang w:val="fr-FR" w:eastAsia="en-US"/>
    </w:rPr>
  </w:style>
  <w:style w:type="character" w:customStyle="1" w:styleId="HeaderChar">
    <w:name w:val="Header Char"/>
    <w:basedOn w:val="DefaultParagraphFont"/>
    <w:link w:val="Header"/>
    <w:rsid w:val="00D52E22"/>
    <w:rPr>
      <w:sz w:val="24"/>
      <w:lang w:val="fr-FR" w:eastAsia="en-US"/>
    </w:rPr>
  </w:style>
  <w:style w:type="paragraph" w:styleId="BalloonText">
    <w:name w:val="Balloon Text"/>
    <w:basedOn w:val="Normal"/>
    <w:link w:val="BalloonTextChar"/>
    <w:rsid w:val="00542169"/>
    <w:pPr>
      <w:spacing w:before="0"/>
    </w:pPr>
    <w:rPr>
      <w:rFonts w:ascii="Tahoma" w:hAnsi="Tahoma" w:cs="Tahoma"/>
      <w:sz w:val="16"/>
      <w:szCs w:val="16"/>
    </w:rPr>
  </w:style>
  <w:style w:type="character" w:customStyle="1" w:styleId="BalloonTextChar">
    <w:name w:val="Balloon Text Char"/>
    <w:basedOn w:val="DefaultParagraphFont"/>
    <w:link w:val="BalloonText"/>
    <w:rsid w:val="0054216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itu.int/ITU-R/go/patents/fr"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4801A-321B-4798-883E-1C876EF2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183</TotalTime>
  <Pages>11</Pages>
  <Words>4425</Words>
  <Characters>23655</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25</cp:revision>
  <cp:lastPrinted>2012-05-31T12:08:00Z</cp:lastPrinted>
  <dcterms:created xsi:type="dcterms:W3CDTF">2012-05-29T12:27:00Z</dcterms:created>
  <dcterms:modified xsi:type="dcterms:W3CDTF">2012-05-31T12:29:00Z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