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903874">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903874">
              <w:rPr>
                <w:rFonts w:ascii="Tahoma" w:hAnsi="Tahoma" w:cs="Tahoma"/>
                <w:b/>
                <w:bCs/>
                <w:iCs/>
                <w:color w:val="243285"/>
                <w:sz w:val="36"/>
                <w:szCs w:val="36"/>
              </w:rPr>
              <w:t>1902</w:t>
            </w:r>
          </w:p>
          <w:p w:rsidR="00FE79FE" w:rsidRPr="004F65E4" w:rsidRDefault="00FE79FE" w:rsidP="00903874">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903874">
              <w:rPr>
                <w:rFonts w:ascii="Tahoma" w:hAnsi="Tahoma" w:cs="Tahoma"/>
                <w:b/>
                <w:bCs/>
                <w:iCs/>
                <w:color w:val="243285"/>
                <w:szCs w:val="24"/>
              </w:rPr>
              <w:t>01</w:t>
            </w:r>
            <w:r w:rsidRPr="004F65E4">
              <w:rPr>
                <w:rFonts w:ascii="Tahoma" w:hAnsi="Tahoma" w:cs="Tahoma"/>
                <w:b/>
                <w:bCs/>
                <w:iCs/>
                <w:color w:val="243285"/>
                <w:szCs w:val="24"/>
              </w:rPr>
              <w:t>/</w:t>
            </w:r>
            <w:r w:rsidR="00903874">
              <w:rPr>
                <w:rFonts w:ascii="Tahoma" w:hAnsi="Tahoma" w:cs="Tahoma"/>
                <w:b/>
                <w:bCs/>
                <w:iCs/>
                <w:color w:val="243285"/>
                <w:szCs w:val="24"/>
              </w:rPr>
              <w:t>2012</w:t>
            </w:r>
            <w:r w:rsidRPr="004F65E4">
              <w:rPr>
                <w:rFonts w:ascii="Tahoma" w:hAnsi="Tahoma" w:cs="Tahoma"/>
                <w:b/>
                <w:bCs/>
                <w:iCs/>
                <w:color w:val="243285"/>
                <w:szCs w:val="24"/>
              </w:rPr>
              <w:t>)</w:t>
            </w:r>
          </w:p>
        </w:tc>
      </w:tr>
      <w:tr w:rsidR="00FE79FE" w:rsidRPr="00AF3B6D">
        <w:tc>
          <w:tcPr>
            <w:tcW w:w="10089" w:type="dxa"/>
          </w:tcPr>
          <w:p w:rsidR="00013002" w:rsidRPr="00903874"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903874" w:rsidP="00903874">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Characteristics and protection criteria</w:t>
            </w:r>
            <w:r>
              <w:rPr>
                <w:rFonts w:ascii="Tahoma" w:hAnsi="Tahoma" w:cs="Tahoma"/>
                <w:b/>
                <w:bCs/>
                <w:iCs/>
                <w:color w:val="243285"/>
                <w:sz w:val="44"/>
                <w:szCs w:val="44"/>
                <w:lang w:val="en-US"/>
              </w:rPr>
              <w:br/>
              <w:t>for receiving earth stations in the radionavigation-satellite service</w:t>
            </w:r>
            <w:r>
              <w:rPr>
                <w:rFonts w:ascii="Tahoma" w:hAnsi="Tahoma" w:cs="Tahoma"/>
                <w:b/>
                <w:bCs/>
                <w:iCs/>
                <w:color w:val="243285"/>
                <w:sz w:val="44"/>
                <w:szCs w:val="44"/>
                <w:lang w:val="en-US"/>
              </w:rPr>
              <w:br/>
              <w:t>(space-to-Earth) operating</w:t>
            </w:r>
            <w:r>
              <w:rPr>
                <w:rFonts w:ascii="Tahoma" w:hAnsi="Tahoma" w:cs="Tahoma"/>
                <w:b/>
                <w:bCs/>
                <w:iCs/>
                <w:color w:val="243285"/>
                <w:sz w:val="44"/>
                <w:szCs w:val="44"/>
                <w:lang w:val="en-US"/>
              </w:rPr>
              <w:br/>
              <w:t>in the band 1 215-1 300 MHz</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FD15CF" w:rsidRPr="00903874" w:rsidRDefault="00FD15CF" w:rsidP="00FD15CF">
            <w:pPr>
              <w:spacing w:before="80" w:line="280" w:lineRule="exact"/>
              <w:ind w:right="640"/>
              <w:rPr>
                <w:rFonts w:ascii="Tahoma" w:hAnsi="Tahoma" w:cs="Tahoma"/>
                <w:b/>
                <w:bCs/>
                <w:iCs/>
                <w:color w:val="243285"/>
                <w:sz w:val="32"/>
                <w:szCs w:val="32"/>
                <w:lang w:val="en-US"/>
              </w:rPr>
            </w:pPr>
          </w:p>
          <w:p w:rsidR="00FD15CF" w:rsidRPr="00903874"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9"/>
          <w:headerReference w:type="defaul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AF3B6D">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2"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AF3B6D"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AF3B6D"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AF3B6D">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AF3B6D">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AF3B6D">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AF3B6D">
        <w:rPr>
          <w:sz w:val="20"/>
          <w:lang w:val="en-US"/>
        </w:rPr>
        <w:t>2</w:t>
      </w:r>
    </w:p>
    <w:p w:rsidR="00470E28" w:rsidRDefault="00470E28" w:rsidP="00906589">
      <w:pPr>
        <w:jc w:val="center"/>
        <w:rPr>
          <w:sz w:val="22"/>
          <w:lang w:val="en-US"/>
        </w:rPr>
      </w:pPr>
    </w:p>
    <w:p w:rsidR="00586EF8" w:rsidRPr="00470E28" w:rsidRDefault="00586EF8" w:rsidP="00AF3B6D">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F06BF">
        <w:rPr>
          <w:sz w:val="20"/>
          <w:lang w:val="en-US"/>
        </w:rPr>
        <w:t>1</w:t>
      </w:r>
      <w:r w:rsidR="00AF3B6D">
        <w:rPr>
          <w:sz w:val="20"/>
          <w:lang w:val="en-US"/>
        </w:rPr>
        <w:t>2</w:t>
      </w:r>
      <w:bookmarkStart w:id="2" w:name="_GoBack"/>
      <w:bookmarkEnd w:id="2"/>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03874" w:rsidRDefault="00903874" w:rsidP="0041667C">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1902</w:t>
      </w:r>
    </w:p>
    <w:p w:rsidR="00903874" w:rsidRPr="00903874" w:rsidRDefault="00903874" w:rsidP="00903874">
      <w:pPr>
        <w:pStyle w:val="Rectitle"/>
        <w:rPr>
          <w:lang w:val="en-US"/>
        </w:rPr>
      </w:pPr>
      <w:r w:rsidRPr="00903874">
        <w:rPr>
          <w:lang w:val="en-US"/>
        </w:rPr>
        <w:t xml:space="preserve">Characteristics and protection criteria for receiving </w:t>
      </w:r>
      <w:r w:rsidRPr="00903874">
        <w:rPr>
          <w:lang w:val="en-US" w:eastAsia="ja-JP"/>
        </w:rPr>
        <w:t>e</w:t>
      </w:r>
      <w:r w:rsidR="00AE3483">
        <w:rPr>
          <w:lang w:val="en-US"/>
        </w:rPr>
        <w:t>arth stations</w:t>
      </w:r>
      <w:r w:rsidRPr="00903874">
        <w:rPr>
          <w:lang w:val="en-US"/>
        </w:rPr>
        <w:br/>
        <w:t>in the radionavigation-sat</w:t>
      </w:r>
      <w:r w:rsidR="00AE3483">
        <w:rPr>
          <w:lang w:val="en-US"/>
        </w:rPr>
        <w:t>ellite service (space-to-Earth)</w:t>
      </w:r>
      <w:r w:rsidRPr="00903874">
        <w:rPr>
          <w:lang w:val="en-US"/>
        </w:rPr>
        <w:br/>
        <w:t>operating in the band 1 215-1 300 MHz</w:t>
      </w:r>
    </w:p>
    <w:p w:rsidR="00903874" w:rsidRDefault="00903874" w:rsidP="00903874">
      <w:pPr>
        <w:pStyle w:val="Recref"/>
        <w:rPr>
          <w:lang w:val="en-US"/>
        </w:rPr>
      </w:pPr>
      <w:r w:rsidRPr="00903874">
        <w:rPr>
          <w:lang w:val="en-US"/>
        </w:rPr>
        <w:t>(Questions ITU</w:t>
      </w:r>
      <w:r w:rsidRPr="00903874">
        <w:rPr>
          <w:lang w:val="en-US"/>
        </w:rPr>
        <w:noBreakHyphen/>
        <w:t>R 217-2/4 and ITU</w:t>
      </w:r>
      <w:r w:rsidRPr="00903874">
        <w:rPr>
          <w:lang w:val="en-US"/>
        </w:rPr>
        <w:noBreakHyphen/>
        <w:t>R 288/4)</w:t>
      </w:r>
    </w:p>
    <w:p w:rsidR="00801229" w:rsidRPr="00801229" w:rsidRDefault="00801229" w:rsidP="00801229">
      <w:pPr>
        <w:pStyle w:val="Recdate"/>
        <w:rPr>
          <w:lang w:val="en-US"/>
        </w:rPr>
      </w:pPr>
      <w:r>
        <w:rPr>
          <w:lang w:val="en-US"/>
        </w:rPr>
        <w:t>(2012)</w:t>
      </w:r>
    </w:p>
    <w:p w:rsidR="002A162A" w:rsidRPr="005A1063" w:rsidRDefault="002A162A" w:rsidP="002A162A">
      <w:pPr>
        <w:rPr>
          <w:lang w:val="en-US"/>
        </w:rPr>
      </w:pPr>
    </w:p>
    <w:p w:rsidR="00903874" w:rsidRPr="005A1063" w:rsidRDefault="00903874" w:rsidP="00801229">
      <w:pPr>
        <w:pStyle w:val="HeadingSum"/>
        <w:rPr>
          <w:lang w:val="en-US"/>
        </w:rPr>
      </w:pPr>
      <w:r w:rsidRPr="005A1063">
        <w:rPr>
          <w:lang w:val="en-US"/>
        </w:rPr>
        <w:t>Scope</w:t>
      </w:r>
    </w:p>
    <w:p w:rsidR="00903874" w:rsidRPr="005A1063" w:rsidRDefault="00903874" w:rsidP="00801229">
      <w:pPr>
        <w:pStyle w:val="Summary"/>
        <w:rPr>
          <w:lang w:val="en-US"/>
        </w:rPr>
      </w:pPr>
      <w:r w:rsidRPr="005A1063">
        <w:rPr>
          <w:lang w:val="en-US"/>
        </w:rPr>
        <w:t xml:space="preserve">Characteristics and protection criteria for radionavigation-satellite service (RNSS) receiving earth stations operating in the band 1 215-1 300 MHz are presented in this Recommendation. This information is intended for performing analyses of radio-frequency </w:t>
      </w:r>
      <w:r w:rsidRPr="005A1063">
        <w:rPr>
          <w:snapToGrid w:val="0"/>
          <w:lang w:val="en-US"/>
        </w:rPr>
        <w:t xml:space="preserve">interference impact on RNSS (space-to-Earth) receivers operating in the band </w:t>
      </w:r>
      <w:r w:rsidRPr="005A1063">
        <w:rPr>
          <w:lang w:val="en-US"/>
        </w:rPr>
        <w:t>1 215-1 300 MHz</w:t>
      </w:r>
      <w:r w:rsidRPr="005A1063">
        <w:rPr>
          <w:snapToGrid w:val="0"/>
          <w:lang w:val="en-US"/>
        </w:rPr>
        <w:t xml:space="preserve"> from radio sources other than in the RNSS</w:t>
      </w:r>
      <w:r w:rsidRPr="005A1063">
        <w:rPr>
          <w:lang w:val="en-US"/>
        </w:rPr>
        <w:t>.</w:t>
      </w:r>
    </w:p>
    <w:p w:rsidR="00903874" w:rsidRPr="005A1063" w:rsidRDefault="00903874" w:rsidP="00AE3483">
      <w:pPr>
        <w:pStyle w:val="Normalaftertitle"/>
        <w:rPr>
          <w:lang w:val="en-US"/>
        </w:rPr>
      </w:pPr>
      <w:r w:rsidRPr="005A1063">
        <w:rPr>
          <w:lang w:val="en-US"/>
        </w:rPr>
        <w:t>The ITU Radiocommunication Assembly,</w:t>
      </w:r>
    </w:p>
    <w:p w:rsidR="00903874" w:rsidRPr="00903874" w:rsidRDefault="00903874" w:rsidP="00903874">
      <w:pPr>
        <w:pStyle w:val="Call"/>
        <w:rPr>
          <w:lang w:val="en-US"/>
        </w:rPr>
      </w:pPr>
      <w:r w:rsidRPr="00903874">
        <w:rPr>
          <w:lang w:val="en-US"/>
        </w:rPr>
        <w:t>considering</w:t>
      </w:r>
    </w:p>
    <w:p w:rsidR="00903874" w:rsidRPr="00903874" w:rsidRDefault="00903874" w:rsidP="00903874">
      <w:pPr>
        <w:rPr>
          <w:lang w:val="en-US"/>
        </w:rPr>
      </w:pPr>
      <w:r w:rsidRPr="00903874">
        <w:rPr>
          <w:lang w:val="en-US"/>
        </w:rPr>
        <w:t>a)</w:t>
      </w:r>
      <w:r w:rsidRPr="00903874">
        <w:rPr>
          <w:lang w:val="en-US"/>
        </w:rPr>
        <w:tab/>
        <w:t>that systems</w:t>
      </w:r>
      <w:r w:rsidRPr="00903874">
        <w:rPr>
          <w:lang w:val="en-US" w:eastAsia="ja-JP"/>
        </w:rPr>
        <w:t xml:space="preserve"> and networks</w:t>
      </w:r>
      <w:r w:rsidRPr="00903874">
        <w:rPr>
          <w:lang w:val="en-US"/>
        </w:rPr>
        <w:t xml:space="preserve"> </w:t>
      </w:r>
      <w:r w:rsidRPr="00903874">
        <w:rPr>
          <w:lang w:val="en-US" w:eastAsia="ja-JP"/>
        </w:rPr>
        <w:t xml:space="preserve">in the radionavigation-satellite service (RNSS) </w:t>
      </w:r>
      <w:r w:rsidRPr="00903874">
        <w:rPr>
          <w:lang w:val="en-US"/>
        </w:rPr>
        <w:t xml:space="preserve">provide worldwide accurate information for many positioning, navigation and timing applications, including safety aspects for some frequency bands and under certain circumstances and applications; </w:t>
      </w:r>
    </w:p>
    <w:p w:rsidR="00903874" w:rsidRPr="00903874" w:rsidRDefault="00903874" w:rsidP="00903874">
      <w:pPr>
        <w:rPr>
          <w:lang w:val="en-US"/>
        </w:rPr>
      </w:pPr>
      <w:r w:rsidRPr="00903874">
        <w:rPr>
          <w:lang w:val="en-US" w:eastAsia="ja-JP"/>
        </w:rPr>
        <w:t>b)</w:t>
      </w:r>
      <w:r w:rsidRPr="00903874">
        <w:rPr>
          <w:lang w:val="en-US"/>
        </w:rPr>
        <w:tab/>
        <w:t>that any properly equipped earth station may receive navigation information from systems and networks in the RNSS on a worldwide basis;</w:t>
      </w:r>
    </w:p>
    <w:p w:rsidR="00903874" w:rsidRPr="00903874" w:rsidRDefault="00903874" w:rsidP="00903874">
      <w:pPr>
        <w:rPr>
          <w:lang w:val="en-US"/>
        </w:rPr>
      </w:pPr>
      <w:r w:rsidRPr="00903874">
        <w:rPr>
          <w:lang w:val="en-US" w:eastAsia="ja-JP"/>
        </w:rPr>
        <w:t>c)</w:t>
      </w:r>
      <w:r w:rsidRPr="00903874">
        <w:rPr>
          <w:lang w:val="en-US"/>
        </w:rPr>
        <w:tab/>
        <w:t>that Rec</w:t>
      </w:r>
      <w:r w:rsidRPr="00903874">
        <w:rPr>
          <w:lang w:val="en-US" w:eastAsia="ja-JP"/>
        </w:rPr>
        <w:t>ommendation</w:t>
      </w:r>
      <w:r w:rsidRPr="00903874">
        <w:rPr>
          <w:lang w:val="en-US"/>
        </w:rPr>
        <w:t xml:space="preserve"> ITU</w:t>
      </w:r>
      <w:r w:rsidRPr="00903874">
        <w:rPr>
          <w:lang w:val="en-US"/>
        </w:rPr>
        <w:noBreakHyphen/>
        <w:t>R </w:t>
      </w:r>
      <w:r w:rsidRPr="003B1893">
        <w:t>М</w:t>
      </w:r>
      <w:r w:rsidRPr="00903874">
        <w:rPr>
          <w:lang w:val="en-US"/>
        </w:rPr>
        <w:t>.1787 provides technical descriptions of systems and networks in the RNSS and technical characteristics of transmitting space stations operating in the bands 1 164-1 215 MHz, 1 215-1 300 MHz</w:t>
      </w:r>
      <w:r w:rsidRPr="00903874">
        <w:rPr>
          <w:lang w:val="en-US" w:eastAsia="ja-JP"/>
        </w:rPr>
        <w:t xml:space="preserve"> and</w:t>
      </w:r>
      <w:r w:rsidRPr="00903874">
        <w:rPr>
          <w:lang w:val="en-US"/>
        </w:rPr>
        <w:t xml:space="preserve"> 1 559-1 610 MHz;</w:t>
      </w:r>
    </w:p>
    <w:p w:rsidR="00903874" w:rsidRPr="00903874" w:rsidRDefault="00903874" w:rsidP="00AD1B12">
      <w:pPr>
        <w:rPr>
          <w:lang w:val="en-US"/>
        </w:rPr>
      </w:pPr>
      <w:r w:rsidRPr="00903874">
        <w:rPr>
          <w:lang w:val="en-US" w:eastAsia="ja-JP"/>
        </w:rPr>
        <w:t>d)</w:t>
      </w:r>
      <w:r w:rsidRPr="00903874">
        <w:rPr>
          <w:lang w:val="en-US"/>
        </w:rPr>
        <w:tab/>
        <w:t>that Rec</w:t>
      </w:r>
      <w:r w:rsidRPr="00903874">
        <w:rPr>
          <w:lang w:val="en-US" w:eastAsia="ja-JP"/>
        </w:rPr>
        <w:t>ommendation</w:t>
      </w:r>
      <w:r w:rsidRPr="00903874">
        <w:rPr>
          <w:lang w:val="en-US"/>
        </w:rPr>
        <w:t xml:space="preserve"> ITU</w:t>
      </w:r>
      <w:r w:rsidRPr="00903874">
        <w:rPr>
          <w:lang w:val="en-US"/>
        </w:rPr>
        <w:noBreakHyphen/>
        <w:t>R </w:t>
      </w:r>
      <w:r w:rsidRPr="003B1893">
        <w:t>М</w:t>
      </w:r>
      <w:r w:rsidRPr="00903874">
        <w:rPr>
          <w:lang w:val="en-US"/>
        </w:rPr>
        <w:t>.</w:t>
      </w:r>
      <w:r w:rsidR="00AD1B12">
        <w:rPr>
          <w:lang w:val="en-US"/>
        </w:rPr>
        <w:t>1904</w:t>
      </w:r>
      <w:r w:rsidRPr="00903874">
        <w:rPr>
          <w:lang w:val="en-US"/>
        </w:rPr>
        <w:t xml:space="preserve"> provides technical characteristics and protection criteria of receiving space stations operating in the RNSS (space-to-space) in the bands 1 164-1 215 MHz, 1 215-1 300 MHz </w:t>
      </w:r>
      <w:r w:rsidRPr="00903874">
        <w:rPr>
          <w:lang w:val="en-US" w:eastAsia="ja-JP"/>
        </w:rPr>
        <w:t xml:space="preserve">and </w:t>
      </w:r>
      <w:r w:rsidRPr="00903874">
        <w:rPr>
          <w:lang w:val="en-US"/>
        </w:rPr>
        <w:t>1 559-1 610 MHz;</w:t>
      </w:r>
    </w:p>
    <w:p w:rsidR="00903874" w:rsidRPr="00903874" w:rsidRDefault="00903874" w:rsidP="00903874">
      <w:pPr>
        <w:rPr>
          <w:lang w:val="en-US"/>
        </w:rPr>
      </w:pPr>
      <w:r w:rsidRPr="00903874">
        <w:rPr>
          <w:lang w:val="en-US" w:eastAsia="ja-JP"/>
        </w:rPr>
        <w:t>e)</w:t>
      </w:r>
      <w:r w:rsidRPr="00903874">
        <w:rPr>
          <w:lang w:val="en-US"/>
        </w:rPr>
        <w:tab/>
        <w:t>that Rec</w:t>
      </w:r>
      <w:r w:rsidRPr="00903874">
        <w:rPr>
          <w:lang w:val="en-US" w:eastAsia="ja-JP"/>
        </w:rPr>
        <w:t>ommendation</w:t>
      </w:r>
      <w:r w:rsidRPr="00903874">
        <w:rPr>
          <w:lang w:val="en-US"/>
        </w:rPr>
        <w:t xml:space="preserve"> ITU</w:t>
      </w:r>
      <w:r w:rsidRPr="00903874">
        <w:rPr>
          <w:lang w:val="en-US"/>
        </w:rPr>
        <w:noBreakHyphen/>
        <w:t>R M.1463 contains system characteristics for radiodetermination systems in the 1 215-1 400 MHz band;</w:t>
      </w:r>
    </w:p>
    <w:p w:rsidR="00903874" w:rsidRPr="00903874" w:rsidRDefault="00903874" w:rsidP="00AD1B12">
      <w:pPr>
        <w:rPr>
          <w:lang w:val="en-US" w:eastAsia="ja-JP"/>
        </w:rPr>
      </w:pPr>
      <w:r w:rsidRPr="00903874">
        <w:rPr>
          <w:lang w:val="en-US" w:eastAsia="ja-JP"/>
        </w:rPr>
        <w:t>f)</w:t>
      </w:r>
      <w:r w:rsidRPr="00903874">
        <w:rPr>
          <w:lang w:val="en-US" w:eastAsia="ja-JP"/>
        </w:rPr>
        <w:tab/>
        <w:t>that Recommendation ITU</w:t>
      </w:r>
      <w:r w:rsidRPr="00903874">
        <w:rPr>
          <w:lang w:val="en-US" w:eastAsia="ja-JP"/>
        </w:rPr>
        <w:noBreakHyphen/>
        <w:t>R M.</w:t>
      </w:r>
      <w:r w:rsidR="00AD1B12">
        <w:rPr>
          <w:lang w:val="en-US" w:eastAsia="ja-JP"/>
        </w:rPr>
        <w:t>1901</w:t>
      </w:r>
      <w:r w:rsidRPr="00903874">
        <w:rPr>
          <w:lang w:val="en-US" w:eastAsia="ja-JP"/>
        </w:rPr>
        <w:t xml:space="preserve"> provides </w:t>
      </w:r>
      <w:r w:rsidRPr="00903874">
        <w:rPr>
          <w:lang w:val="en-US"/>
        </w:rPr>
        <w:t>guidance on this and other ITU</w:t>
      </w:r>
      <w:r w:rsidRPr="00903874">
        <w:rPr>
          <w:lang w:val="en-US"/>
        </w:rPr>
        <w:noBreakHyphen/>
        <w:t xml:space="preserve">R Recommendations related to systems and networks in the </w:t>
      </w:r>
      <w:r w:rsidR="00AD1B12">
        <w:rPr>
          <w:lang w:val="en-US"/>
        </w:rPr>
        <w:t>RNSS</w:t>
      </w:r>
      <w:r w:rsidRPr="00903874">
        <w:rPr>
          <w:lang w:val="en-US"/>
        </w:rPr>
        <w:t xml:space="preserve"> operating in the frequency bands 1 164-1 215 MHz, 1 215-1 300 MHz, 1 559-1 610 MHz, 5 000-5 010 MHz and 5 010</w:t>
      </w:r>
      <w:r w:rsidRPr="00903874">
        <w:rPr>
          <w:lang w:val="en-US"/>
        </w:rPr>
        <w:noBreakHyphen/>
        <w:t>5 030 MHz</w:t>
      </w:r>
      <w:r w:rsidRPr="00903874">
        <w:rPr>
          <w:lang w:val="en-US" w:eastAsia="ja-JP"/>
        </w:rPr>
        <w:t>,</w:t>
      </w:r>
    </w:p>
    <w:p w:rsidR="00903874" w:rsidRPr="00903874" w:rsidRDefault="00903874" w:rsidP="00903874">
      <w:pPr>
        <w:pStyle w:val="Call"/>
        <w:rPr>
          <w:lang w:val="en-US"/>
        </w:rPr>
      </w:pPr>
      <w:r w:rsidRPr="00903874">
        <w:rPr>
          <w:lang w:val="en-US" w:eastAsia="ja-JP"/>
        </w:rPr>
        <w:t>recogniz</w:t>
      </w:r>
      <w:r w:rsidRPr="00903874">
        <w:rPr>
          <w:lang w:val="en-US"/>
        </w:rPr>
        <w:t>ing</w:t>
      </w:r>
    </w:p>
    <w:p w:rsidR="00903874" w:rsidRPr="00903874" w:rsidRDefault="00903874" w:rsidP="00903874">
      <w:pPr>
        <w:rPr>
          <w:lang w:val="en-US"/>
        </w:rPr>
      </w:pPr>
      <w:r w:rsidRPr="00903874">
        <w:rPr>
          <w:lang w:val="en-US"/>
        </w:rPr>
        <w:t>a)</w:t>
      </w:r>
      <w:r w:rsidRPr="00903874">
        <w:rPr>
          <w:lang w:val="en-US"/>
        </w:rPr>
        <w:tab/>
        <w:t>that the band 1 215-1 300 MHz is allocated on a primary basis to the Earth exploration-satellite service (EESS) (active), radiolocation service, RNSS (space</w:t>
      </w:r>
      <w:r w:rsidRPr="00903874">
        <w:rPr>
          <w:lang w:val="en-US"/>
        </w:rPr>
        <w:noBreakHyphen/>
        <w:t>to-Earth and space</w:t>
      </w:r>
      <w:r w:rsidRPr="00903874">
        <w:rPr>
          <w:lang w:val="en-US"/>
        </w:rPr>
        <w:noBreakHyphen/>
        <w:t>to</w:t>
      </w:r>
      <w:r w:rsidRPr="00903874">
        <w:rPr>
          <w:lang w:val="en-US"/>
        </w:rPr>
        <w:noBreakHyphen/>
        <w:t>space) and space research service (active) in all three Regions;</w:t>
      </w:r>
    </w:p>
    <w:p w:rsidR="00903874" w:rsidRPr="00903874" w:rsidRDefault="00903874" w:rsidP="00903874">
      <w:pPr>
        <w:rPr>
          <w:lang w:val="en-US" w:eastAsia="ja-JP"/>
        </w:rPr>
      </w:pPr>
      <w:r w:rsidRPr="00903874">
        <w:rPr>
          <w:lang w:val="en-US" w:eastAsia="ja-JP"/>
        </w:rPr>
        <w:t>b</w:t>
      </w:r>
      <w:r w:rsidRPr="00903874">
        <w:rPr>
          <w:lang w:val="en-US"/>
        </w:rPr>
        <w:t>)</w:t>
      </w:r>
      <w:r w:rsidRPr="00903874">
        <w:rPr>
          <w:lang w:val="en-US"/>
        </w:rPr>
        <w:tab/>
        <w:t>that in a number of countries the band 1 215-1 300 MHz also contains primary allocations to the fixed and mobile services, and/or to the radionavigation service (limited in some cases to aeronautical radionavigation use in a portion of the band);</w:t>
      </w:r>
    </w:p>
    <w:p w:rsidR="00903874" w:rsidRPr="00903874" w:rsidRDefault="00903874" w:rsidP="00AD1B12">
      <w:pPr>
        <w:rPr>
          <w:lang w:val="en-US"/>
        </w:rPr>
      </w:pPr>
      <w:r w:rsidRPr="00903874">
        <w:rPr>
          <w:lang w:val="en-US"/>
        </w:rPr>
        <w:t>c)</w:t>
      </w:r>
      <w:r w:rsidRPr="00903874">
        <w:rPr>
          <w:lang w:val="en-US"/>
        </w:rPr>
        <w:tab/>
        <w:t>that No. </w:t>
      </w:r>
      <w:r w:rsidRPr="00AD1B12">
        <w:rPr>
          <w:b/>
          <w:bCs/>
          <w:lang w:val="en-US"/>
        </w:rPr>
        <w:t>5.329</w:t>
      </w:r>
      <w:r w:rsidRPr="00903874">
        <w:rPr>
          <w:lang w:val="en-US"/>
        </w:rPr>
        <w:t xml:space="preserve"> of the Radio Regulations (RR) states: “Use of the radionavigation-satellite service in the band 1 215-1 300 MHz shall be subject to the condition that no harmful interference is caused to, and no protection is claimed from, the radionavigation service authorized under RR No. </w:t>
      </w:r>
      <w:r w:rsidRPr="00AD1B12">
        <w:rPr>
          <w:b/>
          <w:bCs/>
          <w:lang w:val="en-US"/>
        </w:rPr>
        <w:t>5.331</w:t>
      </w:r>
      <w:r w:rsidRPr="00903874">
        <w:rPr>
          <w:lang w:val="en-US"/>
        </w:rPr>
        <w:t xml:space="preserve">. Furthermore, the use of the radionavigation-satellite service in the band </w:t>
      </w:r>
      <w:r w:rsidRPr="00903874">
        <w:rPr>
          <w:lang w:val="en-US"/>
        </w:rPr>
        <w:lastRenderedPageBreak/>
        <w:t>1 215</w:t>
      </w:r>
      <w:r w:rsidR="00AD1B12">
        <w:rPr>
          <w:lang w:val="en-US"/>
        </w:rPr>
        <w:noBreakHyphen/>
      </w:r>
      <w:r w:rsidRPr="00903874">
        <w:rPr>
          <w:lang w:val="en-US"/>
        </w:rPr>
        <w:t>1 300 MHz shall be subject to the condition that no harmful interference is caused to the radiolocation service. RR No. 5.43 shall not apply in respect of the radiolocation service. Resolution 608 (WRC</w:t>
      </w:r>
      <w:r w:rsidRPr="00903874">
        <w:rPr>
          <w:lang w:val="en-US"/>
        </w:rPr>
        <w:noBreakHyphen/>
        <w:t>03) shall apply”;</w:t>
      </w:r>
    </w:p>
    <w:p w:rsidR="00903874" w:rsidRPr="00903874" w:rsidRDefault="00903874" w:rsidP="00903874">
      <w:pPr>
        <w:rPr>
          <w:lang w:val="en-US" w:eastAsia="ja-JP"/>
        </w:rPr>
      </w:pPr>
      <w:r w:rsidRPr="00903874">
        <w:rPr>
          <w:lang w:val="en-US" w:eastAsia="ja-JP"/>
        </w:rPr>
        <w:t>d)</w:t>
      </w:r>
      <w:r w:rsidRPr="00903874">
        <w:rPr>
          <w:lang w:val="en-US" w:eastAsia="ja-JP"/>
        </w:rPr>
        <w:tab/>
        <w:t>that RR No. </w:t>
      </w:r>
      <w:r w:rsidRPr="00AD1B12">
        <w:rPr>
          <w:b/>
          <w:bCs/>
          <w:lang w:val="en-US" w:eastAsia="ja-JP"/>
        </w:rPr>
        <w:t>5.332</w:t>
      </w:r>
      <w:r w:rsidRPr="00903874">
        <w:rPr>
          <w:lang w:val="en-US" w:eastAsia="ja-JP"/>
        </w:rPr>
        <w:t xml:space="preserve"> states that EESS (active) in the band 1 215-1 260 MHz shall not cause harmful interference to RNSS, </w:t>
      </w:r>
    </w:p>
    <w:p w:rsidR="00903874" w:rsidRPr="00903874" w:rsidRDefault="00903874" w:rsidP="00903874">
      <w:pPr>
        <w:pStyle w:val="Call"/>
        <w:rPr>
          <w:lang w:val="en-US"/>
        </w:rPr>
      </w:pPr>
      <w:r w:rsidRPr="00903874">
        <w:rPr>
          <w:lang w:val="en-US" w:eastAsia="ja-JP"/>
        </w:rPr>
        <w:t>not</w:t>
      </w:r>
      <w:r w:rsidRPr="00903874">
        <w:rPr>
          <w:lang w:val="en-US"/>
        </w:rPr>
        <w:t>ing</w:t>
      </w:r>
    </w:p>
    <w:p w:rsidR="00903874" w:rsidRPr="00903874" w:rsidRDefault="00903874" w:rsidP="00903874">
      <w:pPr>
        <w:rPr>
          <w:lang w:val="en-US" w:eastAsia="ja-JP"/>
        </w:rPr>
      </w:pPr>
      <w:r w:rsidRPr="00903874">
        <w:rPr>
          <w:lang w:val="en-US"/>
        </w:rPr>
        <w:t xml:space="preserve">that </w:t>
      </w:r>
      <w:r w:rsidRPr="00903874">
        <w:rPr>
          <w:lang w:val="en-US" w:eastAsia="ja-JP"/>
        </w:rPr>
        <w:t>Recommendation ITU</w:t>
      </w:r>
      <w:r w:rsidRPr="00903874">
        <w:rPr>
          <w:lang w:val="en-US" w:eastAsia="ja-JP"/>
        </w:rPr>
        <w:noBreakHyphen/>
        <w:t>R RS.1749 contains characteristics for various space-borne synthetic aperture radars in the band 1 215-1 300 MHz and Recommendation ITU</w:t>
      </w:r>
      <w:r w:rsidRPr="00903874">
        <w:rPr>
          <w:lang w:val="en-US" w:eastAsia="ja-JP"/>
        </w:rPr>
        <w:noBreakHyphen/>
        <w:t>R RS.1347 recommends that sharing be considered feasible in the band 1 215-1 260 MHz between space-borne synthetic aperture radars and RNSS based on demonstrations including ground compatibility testing,</w:t>
      </w:r>
    </w:p>
    <w:p w:rsidR="00903874" w:rsidRPr="00903874" w:rsidRDefault="00903874" w:rsidP="00903874">
      <w:pPr>
        <w:pStyle w:val="Call"/>
        <w:rPr>
          <w:lang w:val="en-US"/>
        </w:rPr>
      </w:pPr>
      <w:r w:rsidRPr="00903874">
        <w:rPr>
          <w:lang w:val="en-US"/>
        </w:rPr>
        <w:t>recommends</w:t>
      </w:r>
    </w:p>
    <w:p w:rsidR="00903874" w:rsidRPr="00903874" w:rsidRDefault="00903874" w:rsidP="00903874">
      <w:pPr>
        <w:rPr>
          <w:lang w:val="en-US"/>
        </w:rPr>
      </w:pPr>
      <w:r w:rsidRPr="00903874">
        <w:rPr>
          <w:b/>
          <w:snapToGrid w:val="0"/>
          <w:lang w:val="en-US"/>
        </w:rPr>
        <w:t>1</w:t>
      </w:r>
      <w:r w:rsidRPr="00903874">
        <w:rPr>
          <w:snapToGrid w:val="0"/>
          <w:lang w:val="en-US"/>
        </w:rPr>
        <w:tab/>
        <w:t>that the characteristics and protection criteria of receiving earth stations given in Annex 1</w:t>
      </w:r>
      <w:r w:rsidRPr="00903874">
        <w:rPr>
          <w:snapToGrid w:val="0"/>
          <w:lang w:val="en-US" w:eastAsia="ja-JP"/>
        </w:rPr>
        <w:t xml:space="preserve"> should </w:t>
      </w:r>
      <w:r w:rsidRPr="00903874">
        <w:rPr>
          <w:snapToGrid w:val="0"/>
          <w:lang w:val="en-US"/>
        </w:rPr>
        <w:t>be used in performing analyses of the interference impact on RNSS (space-to-Earth) receivers operating in the band 1 215-1 300 MHz from radio sources other than in the RNSS.</w:t>
      </w:r>
    </w:p>
    <w:p w:rsidR="00903874" w:rsidRPr="00903874" w:rsidRDefault="00903874" w:rsidP="00903874">
      <w:pPr>
        <w:rPr>
          <w:rFonts w:eastAsia="MS Mincho"/>
          <w:szCs w:val="24"/>
          <w:lang w:val="en-US"/>
        </w:rPr>
      </w:pPr>
    </w:p>
    <w:p w:rsidR="00903874" w:rsidRPr="00903874" w:rsidRDefault="00903874" w:rsidP="00903874">
      <w:pPr>
        <w:rPr>
          <w:rFonts w:eastAsia="MS Mincho"/>
          <w:szCs w:val="24"/>
          <w:lang w:val="en-US"/>
        </w:rPr>
      </w:pPr>
    </w:p>
    <w:p w:rsidR="00903874" w:rsidRPr="00801229" w:rsidRDefault="00903874" w:rsidP="00801229">
      <w:pPr>
        <w:pStyle w:val="AnnexNoTitle"/>
        <w:rPr>
          <w:lang w:val="en-US"/>
        </w:rPr>
      </w:pPr>
      <w:r w:rsidRPr="00801229">
        <w:rPr>
          <w:rFonts w:eastAsia="MS Mincho"/>
          <w:lang w:val="en-US"/>
        </w:rPr>
        <w:t>Annex 1</w:t>
      </w:r>
      <w:r w:rsidR="00801229" w:rsidRPr="00801229">
        <w:rPr>
          <w:lang w:val="en-US"/>
        </w:rPr>
        <w:br/>
      </w:r>
      <w:r w:rsidR="00801229">
        <w:rPr>
          <w:lang w:val="en-US"/>
        </w:rPr>
        <w:br/>
      </w:r>
      <w:r w:rsidRPr="00801229">
        <w:rPr>
          <w:lang w:val="en-US"/>
        </w:rPr>
        <w:t>Technical characteristics and protection criteria for receiving earth stations</w:t>
      </w:r>
      <w:r w:rsidR="00801229">
        <w:rPr>
          <w:lang w:val="en-US"/>
        </w:rPr>
        <w:br/>
      </w:r>
      <w:r w:rsidRPr="00801229">
        <w:rPr>
          <w:lang w:val="en-US"/>
        </w:rPr>
        <w:t>in</w:t>
      </w:r>
      <w:r w:rsidR="00801229">
        <w:rPr>
          <w:lang w:val="en-US"/>
        </w:rPr>
        <w:t xml:space="preserve"> </w:t>
      </w:r>
      <w:r w:rsidRPr="00801229">
        <w:rPr>
          <w:lang w:val="en-US"/>
        </w:rPr>
        <w:t>the RNSS (space-to-Earth) operating in the band 1 215-1 300 MHz</w:t>
      </w:r>
    </w:p>
    <w:p w:rsidR="00903874" w:rsidRPr="00903874" w:rsidRDefault="00903874" w:rsidP="00903874">
      <w:pPr>
        <w:pStyle w:val="Heading1"/>
        <w:rPr>
          <w:lang w:val="en-US"/>
        </w:rPr>
      </w:pPr>
      <w:r w:rsidRPr="00903874">
        <w:rPr>
          <w:lang w:val="en-US"/>
        </w:rPr>
        <w:t>1</w:t>
      </w:r>
      <w:r w:rsidRPr="00903874">
        <w:rPr>
          <w:lang w:val="en-US"/>
        </w:rPr>
        <w:tab/>
        <w:t>Introduction</w:t>
      </w:r>
    </w:p>
    <w:p w:rsidR="00903874" w:rsidRPr="00903874" w:rsidRDefault="00903874" w:rsidP="00903874">
      <w:pPr>
        <w:rPr>
          <w:lang w:val="en-US"/>
        </w:rPr>
      </w:pPr>
      <w:r w:rsidRPr="00903874">
        <w:rPr>
          <w:lang w:val="en-US"/>
        </w:rPr>
        <w:t>Several classes of receivers that vary in terms of function and performance are likely to use the RNSS satellite signals in the 1 215-1 300 MHz frequency band. The sections below include a general description of each type of RNSS receiver and a description of the receiver characteristics and protection criteria. Several of the receivers described are multiple-frequency band receiver types that use or plan to use RNSS signals simultaneously for this and one or more other RNSS bands.</w:t>
      </w:r>
    </w:p>
    <w:p w:rsidR="00903874" w:rsidRPr="00903874" w:rsidRDefault="00903874" w:rsidP="00903874">
      <w:pPr>
        <w:pStyle w:val="Heading1"/>
        <w:rPr>
          <w:lang w:val="en-US"/>
        </w:rPr>
      </w:pPr>
      <w:r w:rsidRPr="00903874">
        <w:rPr>
          <w:lang w:val="en-US"/>
        </w:rPr>
        <w:t>2</w:t>
      </w:r>
      <w:r w:rsidRPr="00903874">
        <w:rPr>
          <w:lang w:val="en-US"/>
        </w:rPr>
        <w:tab/>
        <w:t>RNSS receiver application descriptions</w:t>
      </w:r>
    </w:p>
    <w:p w:rsidR="00903874" w:rsidRPr="00903874" w:rsidRDefault="00903874" w:rsidP="00903874">
      <w:pPr>
        <w:rPr>
          <w:lang w:val="en-US"/>
        </w:rPr>
      </w:pPr>
      <w:r w:rsidRPr="00903874">
        <w:rPr>
          <w:lang w:val="en-US"/>
        </w:rPr>
        <w:t xml:space="preserve">This section describes several types of current and prospective RNSS receivers. </w:t>
      </w:r>
    </w:p>
    <w:p w:rsidR="00903874" w:rsidRPr="00903874" w:rsidRDefault="00903874" w:rsidP="00AD1B12">
      <w:pPr>
        <w:pStyle w:val="Heading2"/>
        <w:rPr>
          <w:lang w:val="en-US"/>
        </w:rPr>
      </w:pPr>
      <w:r w:rsidRPr="00903874">
        <w:rPr>
          <w:lang w:val="en-US"/>
        </w:rPr>
        <w:t>2.1</w:t>
      </w:r>
      <w:r w:rsidRPr="00903874">
        <w:rPr>
          <w:lang w:val="en-US"/>
        </w:rPr>
        <w:tab/>
      </w:r>
      <w:r w:rsidR="00AD1B12">
        <w:rPr>
          <w:lang w:val="en-US"/>
        </w:rPr>
        <w:t>Satellite-based augmentation system</w:t>
      </w:r>
      <w:r w:rsidRPr="003B1893">
        <w:rPr>
          <w:position w:val="6"/>
          <w:sz w:val="18"/>
        </w:rPr>
        <w:footnoteReference w:id="1"/>
      </w:r>
      <w:r w:rsidRPr="00903874">
        <w:rPr>
          <w:lang w:val="en-US"/>
        </w:rPr>
        <w:t xml:space="preserve"> ground reference receiver</w:t>
      </w:r>
    </w:p>
    <w:p w:rsidR="00903874" w:rsidRPr="00903874" w:rsidRDefault="00903874" w:rsidP="004F5481">
      <w:pPr>
        <w:rPr>
          <w:lang w:val="en-US"/>
        </w:rPr>
      </w:pPr>
      <w:r w:rsidRPr="00903874">
        <w:rPr>
          <w:lang w:val="en-US"/>
        </w:rPr>
        <w:t xml:space="preserve">This ground-based receiver type is used in </w:t>
      </w:r>
      <w:r w:rsidR="004F5481">
        <w:rPr>
          <w:lang w:val="en-US"/>
        </w:rPr>
        <w:t>satellite-based augmentation system (</w:t>
      </w:r>
      <w:r w:rsidRPr="00903874">
        <w:rPr>
          <w:lang w:val="en-US"/>
        </w:rPr>
        <w:t>SBAS</w:t>
      </w:r>
      <w:r w:rsidR="004F5481">
        <w:rPr>
          <w:lang w:val="en-US"/>
        </w:rPr>
        <w:t>)</w:t>
      </w:r>
      <w:r w:rsidRPr="00903874">
        <w:rPr>
          <w:lang w:val="en-US"/>
        </w:rPr>
        <w:t xml:space="preserve"> ground network operations to determine ionospheric delays and RNSS signal integrity. The receiver uses a semi-codeless technique </w:t>
      </w:r>
      <w:r w:rsidRPr="00903874">
        <w:rPr>
          <w:color w:val="000000"/>
          <w:lang w:val="en-US"/>
        </w:rPr>
        <w:t>t</w:t>
      </w:r>
      <w:r w:rsidRPr="00903874">
        <w:rPr>
          <w:lang w:val="en-US"/>
        </w:rPr>
        <w:t xml:space="preserve">hat exploits a unique feature enabled by the particular RNSS signal architecture whereby the L1 and L2 </w:t>
      </w:r>
      <w:r w:rsidRPr="00903874">
        <w:rPr>
          <w:color w:val="000000"/>
          <w:lang w:val="en-US"/>
        </w:rPr>
        <w:t>P(</w:t>
      </w:r>
      <w:r w:rsidRPr="00903874">
        <w:rPr>
          <w:lang w:val="en-US"/>
        </w:rPr>
        <w:t xml:space="preserve">Y) signals are tracked, aided by the knowledge of dynamic </w:t>
      </w:r>
      <w:r w:rsidRPr="00903874">
        <w:rPr>
          <w:lang w:val="en-US"/>
        </w:rPr>
        <w:lastRenderedPageBreak/>
        <w:t>carrier phase obtained from L1 C/A</w:t>
      </w:r>
      <w:r w:rsidRPr="003B1893">
        <w:rPr>
          <w:position w:val="6"/>
          <w:sz w:val="18"/>
        </w:rPr>
        <w:footnoteReference w:id="2"/>
      </w:r>
      <w:r w:rsidRPr="00903874">
        <w:rPr>
          <w:lang w:val="en-US"/>
        </w:rPr>
        <w:t xml:space="preserve"> code and carrier tracking, and the knowledge of the average encryption clocking rate. This cross-correlation technique provides the capability to measure the signal delay at L2, thus making it possible to determine the signal delay variations due to the ionosphere. The cross-correlation scheme is made possible in part by the fact that the L1 and L2 P(Y) signals have identical codes. This receiver must also acquire and track SBAS satellite signals at the same frequency as the L1 C/A carrier. Semi-codeless receivers are more sensitive to interference because they operate without benefit of knowing the Y code</w:t>
      </w:r>
      <w:r w:rsidRPr="003B1893">
        <w:rPr>
          <w:position w:val="6"/>
          <w:sz w:val="18"/>
        </w:rPr>
        <w:footnoteReference w:id="3"/>
      </w:r>
      <w:r w:rsidRPr="00903874">
        <w:rPr>
          <w:lang w:val="en-US"/>
        </w:rPr>
        <w:t>. Acquisition is performed using the L1 C/A code signal. Acquisition at L2 is not applicable for this type of receiver. The characteristics and protection criteria for this receiver are provided in Table 1</w:t>
      </w:r>
      <w:r w:rsidRPr="00903874">
        <w:rPr>
          <w:lang w:val="en-US"/>
        </w:rPr>
        <w:noBreakHyphen/>
        <w:t xml:space="preserve">1, column 1. Since the receiver uses L1 C/A and </w:t>
      </w:r>
      <w:r w:rsidRPr="00903874">
        <w:rPr>
          <w:color w:val="000000"/>
          <w:lang w:val="en-US"/>
        </w:rPr>
        <w:t>P(</w:t>
      </w:r>
      <w:r w:rsidRPr="00903874">
        <w:rPr>
          <w:lang w:val="en-US"/>
        </w:rPr>
        <w:t>Y) signals simultaneous with L2</w:t>
      </w:r>
      <w:r w:rsidRPr="00903874">
        <w:rPr>
          <w:color w:val="000000"/>
          <w:lang w:val="en-US"/>
        </w:rPr>
        <w:t xml:space="preserve"> P(</w:t>
      </w:r>
      <w:r w:rsidRPr="00903874">
        <w:rPr>
          <w:lang w:val="en-US"/>
        </w:rPr>
        <w:t>Y), it is also susceptible to interference in the band 1 559-1 610 MHz. Protection criteria and other characteristics for the SBAS ground reference receiver in that frequency band are specified in Rec</w:t>
      </w:r>
      <w:r w:rsidRPr="00903874">
        <w:rPr>
          <w:lang w:val="en-US" w:eastAsia="ja-JP"/>
        </w:rPr>
        <w:t>ommendation</w:t>
      </w:r>
      <w:r w:rsidRPr="00903874">
        <w:rPr>
          <w:lang w:val="en-US"/>
        </w:rPr>
        <w:t xml:space="preserve"> ITU</w:t>
      </w:r>
      <w:r w:rsidRPr="00903874">
        <w:rPr>
          <w:lang w:val="en-US"/>
        </w:rPr>
        <w:noBreakHyphen/>
        <w:t>R M.</w:t>
      </w:r>
      <w:r w:rsidR="004F5481">
        <w:rPr>
          <w:lang w:val="en-US"/>
        </w:rPr>
        <w:t>1903</w:t>
      </w:r>
      <w:r w:rsidRPr="00903874">
        <w:rPr>
          <w:lang w:val="en-US"/>
        </w:rPr>
        <w:t>.</w:t>
      </w:r>
    </w:p>
    <w:p w:rsidR="00903874" w:rsidRPr="00903874" w:rsidRDefault="00903874" w:rsidP="00903874">
      <w:pPr>
        <w:rPr>
          <w:lang w:val="en-US"/>
        </w:rPr>
      </w:pPr>
      <w:r w:rsidRPr="00903874">
        <w:rPr>
          <w:lang w:val="en-US"/>
        </w:rPr>
        <w:t>SBAS ground reference receivers serve critical roles, such as integrity monitoring of RNSS systems, at SBAS ground stations in known fixed locations. Hence appropriate protection to ensure continuous uninterrupted access to RNSS signals exists for these receivers, such as, but not limited to, physical buffer zones.</w:t>
      </w:r>
    </w:p>
    <w:p w:rsidR="00903874" w:rsidRPr="00903874" w:rsidRDefault="00903874" w:rsidP="00903874">
      <w:pPr>
        <w:pStyle w:val="Heading2"/>
        <w:rPr>
          <w:lang w:val="en-US"/>
        </w:rPr>
      </w:pPr>
      <w:r w:rsidRPr="00903874">
        <w:rPr>
          <w:lang w:val="en-US"/>
        </w:rPr>
        <w:t>2.2</w:t>
      </w:r>
      <w:r w:rsidRPr="00903874">
        <w:rPr>
          <w:lang w:val="en-US"/>
        </w:rPr>
        <w:tab/>
        <w:t>RNSS semi-codeless receivers</w:t>
      </w:r>
    </w:p>
    <w:p w:rsidR="00903874" w:rsidRPr="00903874" w:rsidRDefault="00903874" w:rsidP="00903874">
      <w:pPr>
        <w:pStyle w:val="Heading3"/>
        <w:rPr>
          <w:lang w:val="en-US"/>
        </w:rPr>
      </w:pPr>
      <w:r w:rsidRPr="00903874">
        <w:rPr>
          <w:lang w:val="en-US"/>
        </w:rPr>
        <w:t>2.2.1</w:t>
      </w:r>
      <w:r w:rsidRPr="00903874">
        <w:rPr>
          <w:lang w:val="en-US"/>
        </w:rPr>
        <w:tab/>
        <w:t>High-precision semi-codeless receivers</w:t>
      </w:r>
    </w:p>
    <w:p w:rsidR="00903874" w:rsidRPr="00903874" w:rsidRDefault="00903874" w:rsidP="00903874">
      <w:pPr>
        <w:rPr>
          <w:lang w:val="en-US"/>
        </w:rPr>
      </w:pPr>
      <w:r w:rsidRPr="00903874">
        <w:rPr>
          <w:lang w:val="en-US"/>
        </w:rPr>
        <w:t>High-precision semi-codeless receivers are used primarily for surveying and other precise positioning applications (e.g. precision agriculture, scientific) where measurements of ionospheric delay are required. Similar to the SBAS ground reference receiver above, these semi-codeless receivers use a technique whereby the L1 and L2 P(Y) signals are tracked, aided by the knowledge of dynamic carrier phase obtained from L1 C/A code tracking. There are two basic methods for this: 1) L1 and L2 P(Y) signals are cross-correlated, or 2) the signals are actually independently tracked. High-precision receivers acquire and track RNSS signals in two or three frequency bands for proper operation and require protection in all bands used.</w:t>
      </w:r>
    </w:p>
    <w:p w:rsidR="00903874" w:rsidRPr="00903874" w:rsidRDefault="00903874" w:rsidP="004F5481">
      <w:pPr>
        <w:rPr>
          <w:lang w:val="en-US"/>
        </w:rPr>
      </w:pPr>
      <w:r w:rsidRPr="00903874">
        <w:rPr>
          <w:lang w:val="en-US"/>
        </w:rPr>
        <w:t>There are also variations to these methods or combinations of the two methods. In any case, the purpose is to provide an estimate of the ionospheric delay or an independent set of carrier phase measurements that support rapid removal of wavelength ambiguities, even when the receiver is in motion. This process provides improved position accuracy. The cross-correlation scheme is made possible by the fact that L1 and L2 have identical, nearly synchronized P(Y) codes. The L2 P(Y) signal codes are delayed through the ionosphere relative to the L1 P(Y) signal codes, and also accompanied by carrier phase advances. The L1 P(Y) signal has the identical code and carrier Doppler as the L1 C/A signal, which allows the ability to aid the semi-codeless tracking using very narrow bandwidth tracking loops. This receiver will have characteristics similar to the SBAS ground reference receiver described above, but may differ in its susceptibility to interference. The characteristics of this type of receiver are provided in Table 1</w:t>
      </w:r>
      <w:r w:rsidRPr="00903874">
        <w:rPr>
          <w:lang w:val="en-US"/>
        </w:rPr>
        <w:noBreakHyphen/>
        <w:t>1, column 2. Since this receiver also uses 1 559-1 610 MHz band signals, it is susceptible to interference in that band. Protection criteria and other characteristics in the 1 559-1 610 MHz band specified for the CDMA-type high</w:t>
      </w:r>
      <w:r w:rsidRPr="00903874">
        <w:rPr>
          <w:lang w:val="en-US"/>
        </w:rPr>
        <w:noBreakHyphen/>
        <w:t>precision receiver are found in Rec</w:t>
      </w:r>
      <w:r w:rsidRPr="00903874">
        <w:rPr>
          <w:lang w:val="en-US" w:eastAsia="ja-JP"/>
        </w:rPr>
        <w:t>ommendation</w:t>
      </w:r>
      <w:r w:rsidRPr="00903874">
        <w:rPr>
          <w:lang w:val="en-US"/>
        </w:rPr>
        <w:t xml:space="preserve"> ITU</w:t>
      </w:r>
      <w:r w:rsidRPr="00903874">
        <w:rPr>
          <w:lang w:val="en-US"/>
        </w:rPr>
        <w:noBreakHyphen/>
        <w:t>R M.</w:t>
      </w:r>
      <w:r w:rsidR="004F5481">
        <w:rPr>
          <w:lang w:val="en-US"/>
        </w:rPr>
        <w:t>1903</w:t>
      </w:r>
      <w:r w:rsidRPr="00903874">
        <w:rPr>
          <w:lang w:val="en-US"/>
        </w:rPr>
        <w:t>.</w:t>
      </w:r>
    </w:p>
    <w:p w:rsidR="00903874" w:rsidRPr="00903874" w:rsidRDefault="00903874" w:rsidP="00903874">
      <w:pPr>
        <w:pStyle w:val="Heading3"/>
        <w:rPr>
          <w:lang w:val="en-US"/>
        </w:rPr>
      </w:pPr>
      <w:r w:rsidRPr="00903874">
        <w:rPr>
          <w:lang w:val="en-US"/>
        </w:rPr>
        <w:lastRenderedPageBreak/>
        <w:t>2.2.2</w:t>
      </w:r>
      <w:r w:rsidRPr="00903874">
        <w:rPr>
          <w:lang w:val="en-US"/>
        </w:rPr>
        <w:tab/>
        <w:t>L2C-transitional high-precision semi-codeless receivers</w:t>
      </w:r>
    </w:p>
    <w:p w:rsidR="00903874" w:rsidRPr="00903874" w:rsidRDefault="00903874" w:rsidP="00903874">
      <w:pPr>
        <w:rPr>
          <w:lang w:val="en-US"/>
        </w:rPr>
      </w:pPr>
      <w:r w:rsidRPr="00903874">
        <w:rPr>
          <w:lang w:val="en-US"/>
        </w:rPr>
        <w:t>This receiver has all the characteristics of the high-precision semi-codeless receiver in section 2.2.1 and also acquires and tracks the new L2C signal</w:t>
      </w:r>
      <w:r w:rsidRPr="003B1893">
        <w:rPr>
          <w:position w:val="6"/>
          <w:sz w:val="18"/>
        </w:rPr>
        <w:footnoteReference w:id="4"/>
      </w:r>
      <w:r w:rsidRPr="00903874">
        <w:rPr>
          <w:lang w:val="en-US"/>
        </w:rPr>
        <w:t xml:space="preserve"> on the L2 carrier received from available later-generation satellites. This receiver will use the semi-codeless technique described above to acquire and track L2 P(Y) signals on other earlier-generation satellites, and may use that technique on L2 P(Y) signals received from the later-generation satellites as well, at least to provide calibration information for the hybrid L2C/L2 P(Y) operations. This hybrid operation requires that the phase difference between the L2C and L2 P(Y) signals is known. The L2C signal provides more robustness than available with the L2 P(Y) semi-codeless operation that is beneficial in more stressed environments. However, since receivers with this capability are used in system applications that also use the legacy L2 P(Y) semi-codeless receivers, in general, this extra robustness is not always available. Thus, the threshold interference power levels specified in Table 1</w:t>
      </w:r>
      <w:r w:rsidRPr="00903874">
        <w:rPr>
          <w:lang w:val="en-US"/>
        </w:rPr>
        <w:noBreakHyphen/>
        <w:t>1, column 2 still apply.</w:t>
      </w:r>
    </w:p>
    <w:p w:rsidR="00903874" w:rsidRPr="00903874" w:rsidRDefault="00903874" w:rsidP="00903874">
      <w:pPr>
        <w:pStyle w:val="Heading2"/>
        <w:rPr>
          <w:lang w:val="en-US"/>
        </w:rPr>
      </w:pPr>
      <w:r w:rsidRPr="00903874">
        <w:rPr>
          <w:lang w:val="en-US"/>
        </w:rPr>
        <w:t>2.3</w:t>
      </w:r>
      <w:r w:rsidRPr="00903874">
        <w:rPr>
          <w:lang w:val="en-US"/>
        </w:rPr>
        <w:tab/>
        <w:t>High-precision receivers using L2C</w:t>
      </w:r>
    </w:p>
    <w:p w:rsidR="00903874" w:rsidRPr="00903874" w:rsidRDefault="00903874" w:rsidP="00903874">
      <w:pPr>
        <w:rPr>
          <w:lang w:val="en-US"/>
        </w:rPr>
      </w:pPr>
      <w:r w:rsidRPr="00903874">
        <w:rPr>
          <w:lang w:val="en-US"/>
        </w:rPr>
        <w:t>This receiver type is a ground-based receiver that will acquire and track the L2C signal, but not necessarily the L2 P(Y) signal. The function of this receiver is the same as the function of the high</w:t>
      </w:r>
      <w:r w:rsidRPr="00903874">
        <w:rPr>
          <w:lang w:val="en-US"/>
        </w:rPr>
        <w:noBreakHyphen/>
        <w:t>precision semi-codeless receiver described above, but with more robustness gained from acquiring and tracking the L2C signal.</w:t>
      </w:r>
    </w:p>
    <w:p w:rsidR="00903874" w:rsidRPr="00903874" w:rsidRDefault="00903874" w:rsidP="00903874">
      <w:pPr>
        <w:rPr>
          <w:lang w:val="en-US"/>
        </w:rPr>
      </w:pPr>
      <w:r w:rsidRPr="00903874">
        <w:rPr>
          <w:lang w:val="en-US"/>
        </w:rPr>
        <w:t>This receiver type acquires and tracks the new L2C code received from certain later-generation satellites. This receiver may also use the semi-codeless technique described above to acquire and track L2 P(Y) signals from these and other satellites as well, at least to provide calibration information for the hybrid L2C/L2 P(Y) operations. This hybrid operation requires that the phase difference between the L2C and L2 P(Y) signals is known. The characteristics of this type of receiver that acquires and tracks the L2C signal are provided in Table 1</w:t>
      </w:r>
      <w:r w:rsidRPr="00903874">
        <w:rPr>
          <w:lang w:val="en-US"/>
        </w:rPr>
        <w:noBreakHyphen/>
        <w:t>1, column 3. The L2C signal provides more robustness than available with the L2 P(Y) semi-codeless operation that is beneficial in more stressed environments. However, since receivers with this capability are used in system applications that also use the legacy L2 P(Y) semi-codeless receivers, in general, this extra robustness is not always available. Thus, the threshold interference power levels specified in column 2 of Table 1</w:t>
      </w:r>
      <w:r w:rsidRPr="00903874">
        <w:rPr>
          <w:lang w:val="en-US"/>
        </w:rPr>
        <w:noBreakHyphen/>
        <w:t>1 also apply.</w:t>
      </w:r>
    </w:p>
    <w:p w:rsidR="00903874" w:rsidRPr="00903874" w:rsidRDefault="00903874" w:rsidP="00903874">
      <w:pPr>
        <w:pStyle w:val="Heading2"/>
        <w:rPr>
          <w:lang w:val="en-US"/>
        </w:rPr>
      </w:pPr>
      <w:r w:rsidRPr="00903874">
        <w:rPr>
          <w:lang w:val="en-US"/>
        </w:rPr>
        <w:t>2.4</w:t>
      </w:r>
      <w:r w:rsidRPr="00903874">
        <w:rPr>
          <w:lang w:val="en-US"/>
        </w:rPr>
        <w:tab/>
        <w:t>Air-navigation receiver</w:t>
      </w:r>
    </w:p>
    <w:p w:rsidR="00903874" w:rsidRPr="00903874" w:rsidRDefault="00903874" w:rsidP="00903874">
      <w:pPr>
        <w:rPr>
          <w:lang w:val="en-US"/>
        </w:rPr>
      </w:pPr>
      <w:r w:rsidRPr="00903874">
        <w:rPr>
          <w:lang w:val="en-US"/>
        </w:rPr>
        <w:t>Air-navigation refers to an airborne receiver designed for use from en-route through precision approach. This receiver type uses FDMA RNSS signals</w:t>
      </w:r>
      <w:r w:rsidRPr="003B1893">
        <w:rPr>
          <w:position w:val="6"/>
          <w:sz w:val="18"/>
        </w:rPr>
        <w:footnoteReference w:id="5"/>
      </w:r>
      <w:r w:rsidRPr="00903874">
        <w:rPr>
          <w:lang w:val="en-US"/>
        </w:rPr>
        <w:t xml:space="preserve"> and operates on several carrier frequencies simultaneously. Characteristics of this receiver type are specified in Table 1</w:t>
      </w:r>
      <w:r w:rsidRPr="00903874">
        <w:rPr>
          <w:lang w:val="en-US"/>
        </w:rPr>
        <w:noBreakHyphen/>
        <w:t>1, column 4.</w:t>
      </w:r>
    </w:p>
    <w:p w:rsidR="00903874" w:rsidRPr="00903874" w:rsidRDefault="00903874" w:rsidP="00903874">
      <w:pPr>
        <w:rPr>
          <w:lang w:val="en-US" w:eastAsia="ja-JP"/>
        </w:rPr>
      </w:pPr>
      <w:r w:rsidRPr="00903874">
        <w:rPr>
          <w:lang w:val="en-US"/>
        </w:rPr>
        <w:t>Characteristics for the FDMA air-navigation receivers may also apply to receivers developed for land and maritime applications that are not described in this Annex.</w:t>
      </w:r>
    </w:p>
    <w:p w:rsidR="00903874" w:rsidRPr="00903874" w:rsidRDefault="00903874" w:rsidP="00903874">
      <w:pPr>
        <w:pStyle w:val="Heading2"/>
        <w:rPr>
          <w:lang w:val="en-US"/>
        </w:rPr>
      </w:pPr>
      <w:r w:rsidRPr="00903874">
        <w:rPr>
          <w:lang w:val="en-US"/>
        </w:rPr>
        <w:lastRenderedPageBreak/>
        <w:t>2.5</w:t>
      </w:r>
      <w:r w:rsidRPr="00903874">
        <w:rPr>
          <w:lang w:val="en-US"/>
        </w:rPr>
        <w:tab/>
        <w:t>Indoor positioning</w:t>
      </w:r>
    </w:p>
    <w:p w:rsidR="00903874" w:rsidRPr="00903874" w:rsidRDefault="00903874" w:rsidP="002A162A">
      <w:pPr>
        <w:keepLines/>
        <w:rPr>
          <w:lang w:val="en-US"/>
        </w:rPr>
      </w:pPr>
      <w:r w:rsidRPr="00903874">
        <w:rPr>
          <w:lang w:val="en-US"/>
        </w:rPr>
        <w:t xml:space="preserve">The indoor positioning category represents RNSS receivers intended </w:t>
      </w:r>
      <w:r w:rsidRPr="00903874">
        <w:rPr>
          <w:lang w:val="en-US" w:eastAsia="ja-JP"/>
        </w:rPr>
        <w:t>for indoor use</w:t>
      </w:r>
      <w:r w:rsidRPr="00903874">
        <w:rPr>
          <w:lang w:val="en-US"/>
        </w:rPr>
        <w:t xml:space="preserve"> and that typically have a low </w:t>
      </w:r>
      <w:r w:rsidRPr="00903874">
        <w:rPr>
          <w:i/>
          <w:iCs/>
          <w:lang w:val="en-US"/>
        </w:rPr>
        <w:t>C</w:t>
      </w:r>
      <w:r w:rsidRPr="00903874">
        <w:rPr>
          <w:lang w:val="en-US"/>
        </w:rPr>
        <w:t>/</w:t>
      </w:r>
      <w:r w:rsidRPr="00903874">
        <w:rPr>
          <w:i/>
          <w:iCs/>
          <w:lang w:val="en-US"/>
        </w:rPr>
        <w:t>N</w:t>
      </w:r>
      <w:r w:rsidRPr="00903874">
        <w:rPr>
          <w:vertAlign w:val="subscript"/>
          <w:lang w:val="en-US"/>
        </w:rPr>
        <w:t>0</w:t>
      </w:r>
      <w:r w:rsidRPr="00903874">
        <w:rPr>
          <w:lang w:val="en-US"/>
        </w:rPr>
        <w:t xml:space="preserve"> capability (i.e. very sensitive receivers).</w:t>
      </w:r>
      <w:r w:rsidRPr="00903874">
        <w:rPr>
          <w:lang w:val="en-US" w:eastAsia="ja-JP"/>
        </w:rPr>
        <w:t xml:space="preserve"> Because carrier tracking cannot be used with the low-power signals present in indoor environments, only</w:t>
      </w:r>
      <w:r w:rsidRPr="00903874">
        <w:rPr>
          <w:lang w:val="en-US"/>
        </w:rPr>
        <w:t xml:space="preserve"> code tracking </w:t>
      </w:r>
      <w:r w:rsidRPr="00903874">
        <w:rPr>
          <w:lang w:val="en-US" w:eastAsia="ja-JP"/>
        </w:rPr>
        <w:t>is used in this type of receiver. Two receiver types are listed</w:t>
      </w:r>
      <w:r w:rsidRPr="00903874">
        <w:rPr>
          <w:lang w:val="en-US"/>
        </w:rPr>
        <w:t xml:space="preserve"> in Table 1</w:t>
      </w:r>
      <w:r w:rsidRPr="00903874">
        <w:rPr>
          <w:lang w:val="en-US"/>
        </w:rPr>
        <w:noBreakHyphen/>
        <w:t xml:space="preserve">1, column 5; each of </w:t>
      </w:r>
      <w:r w:rsidRPr="00903874">
        <w:rPr>
          <w:lang w:val="en-US" w:eastAsia="ja-JP"/>
        </w:rPr>
        <w:t>which uses a different RNSS satellite signal type (either CDMA, for the L2C signal, or FDMA), frequency range and filter bandwidths. The protection criteria and remaining characteristics are the same.</w:t>
      </w:r>
    </w:p>
    <w:p w:rsidR="00903874" w:rsidRPr="00903874" w:rsidRDefault="00903874" w:rsidP="00903874">
      <w:pPr>
        <w:pStyle w:val="Heading2"/>
        <w:rPr>
          <w:lang w:val="en-US"/>
        </w:rPr>
      </w:pPr>
      <w:r w:rsidRPr="00903874">
        <w:rPr>
          <w:lang w:val="en-US"/>
        </w:rPr>
        <w:t>2.6</w:t>
      </w:r>
      <w:r w:rsidRPr="00903874">
        <w:rPr>
          <w:lang w:val="en-US"/>
        </w:rPr>
        <w:tab/>
        <w:t>“Others”</w:t>
      </w:r>
    </w:p>
    <w:p w:rsidR="00903874" w:rsidRPr="00903874" w:rsidRDefault="00903874" w:rsidP="00903874">
      <w:pPr>
        <w:rPr>
          <w:lang w:val="en-US"/>
        </w:rPr>
      </w:pPr>
      <w:r w:rsidRPr="00903874">
        <w:rPr>
          <w:lang w:val="en-US"/>
        </w:rPr>
        <w:t xml:space="preserve">The “Others” category represents </w:t>
      </w:r>
      <w:r w:rsidRPr="00903874">
        <w:rPr>
          <w:lang w:val="en-US" w:eastAsia="ja-JP"/>
        </w:rPr>
        <w:t xml:space="preserve">other RNSS applications using general-purpose and handheld </w:t>
      </w:r>
      <w:r w:rsidRPr="00903874">
        <w:rPr>
          <w:lang w:val="en-US"/>
        </w:rPr>
        <w:t>receivers. Characteristics</w:t>
      </w:r>
      <w:r w:rsidRPr="003B1893">
        <w:rPr>
          <w:position w:val="6"/>
          <w:sz w:val="18"/>
        </w:rPr>
        <w:footnoteReference w:id="6"/>
      </w:r>
      <w:r w:rsidRPr="00903874">
        <w:rPr>
          <w:lang w:val="en-US"/>
        </w:rPr>
        <w:t xml:space="preserve"> and protection criteria for this receiver type are specified in Table 1</w:t>
      </w:r>
      <w:r w:rsidRPr="00903874">
        <w:rPr>
          <w:lang w:val="en-US"/>
        </w:rPr>
        <w:noBreakHyphen/>
        <w:t>1, column 6.</w:t>
      </w:r>
    </w:p>
    <w:p w:rsidR="00903874" w:rsidRPr="00903874" w:rsidRDefault="00903874" w:rsidP="00903874">
      <w:pPr>
        <w:pStyle w:val="Heading2"/>
        <w:rPr>
          <w:lang w:val="en-US"/>
        </w:rPr>
      </w:pPr>
      <w:r w:rsidRPr="00903874">
        <w:rPr>
          <w:lang w:val="en-US"/>
        </w:rPr>
        <w:t>2.7</w:t>
      </w:r>
      <w:r w:rsidRPr="00903874">
        <w:rPr>
          <w:lang w:val="en-US"/>
        </w:rPr>
        <w:tab/>
        <w:t xml:space="preserve">General-purpose applications </w:t>
      </w:r>
    </w:p>
    <w:p w:rsidR="00903874" w:rsidRPr="00903874" w:rsidRDefault="00903874" w:rsidP="00903874">
      <w:pPr>
        <w:rPr>
          <w:lang w:val="en-US"/>
        </w:rPr>
      </w:pPr>
      <w:r w:rsidRPr="00903874">
        <w:rPr>
          <w:lang w:val="en-US"/>
        </w:rPr>
        <w:t xml:space="preserve">The general-purpose category represents several types of RNSS receivers. These receivers are designed for vehicular navigation, pedestrian navigation, general positioning, etc. </w:t>
      </w:r>
      <w:r w:rsidRPr="00903874">
        <w:rPr>
          <w:lang w:val="en-US" w:eastAsia="ja-JP"/>
        </w:rPr>
        <w:t xml:space="preserve">Two receiver types </w:t>
      </w:r>
      <w:r w:rsidRPr="00903874">
        <w:rPr>
          <w:lang w:val="en-US"/>
        </w:rPr>
        <w:t>are listed in Table 1</w:t>
      </w:r>
      <w:r w:rsidRPr="00903874">
        <w:rPr>
          <w:lang w:val="en-US"/>
        </w:rPr>
        <w:noBreakHyphen/>
        <w:t xml:space="preserve">1, column 7; each of </w:t>
      </w:r>
      <w:r w:rsidRPr="00903874">
        <w:rPr>
          <w:lang w:val="en-US" w:eastAsia="ja-JP"/>
        </w:rPr>
        <w:t>which uses a different RNSS satellite signal type (either CDMA, for the L2C signal, or FDMA), frequency range and filter bandwidths. The protection criteria and remaining characteristics are the same</w:t>
      </w:r>
      <w:r w:rsidRPr="00903874">
        <w:rPr>
          <w:lang w:val="en-US"/>
        </w:rPr>
        <w:t>.</w:t>
      </w:r>
    </w:p>
    <w:p w:rsidR="00903874" w:rsidRPr="00903874" w:rsidRDefault="00903874" w:rsidP="004F5481">
      <w:pPr>
        <w:pStyle w:val="Heading1"/>
        <w:rPr>
          <w:lang w:val="en-US"/>
        </w:rPr>
      </w:pPr>
      <w:r w:rsidRPr="00903874">
        <w:rPr>
          <w:lang w:val="en-US"/>
        </w:rPr>
        <w:t>3</w:t>
      </w:r>
      <w:r w:rsidRPr="00903874">
        <w:rPr>
          <w:lang w:val="en-US"/>
        </w:rPr>
        <w:tab/>
        <w:t xml:space="preserve">Pulsed radio-frequency interference </w:t>
      </w:r>
      <w:r w:rsidR="004F5481">
        <w:rPr>
          <w:lang w:val="en-US"/>
        </w:rPr>
        <w:t>radio frequency</w:t>
      </w:r>
      <w:r w:rsidRPr="00903874">
        <w:rPr>
          <w:lang w:val="en-US"/>
        </w:rPr>
        <w:t xml:space="preserve"> effects</w:t>
      </w:r>
    </w:p>
    <w:p w:rsidR="00903874" w:rsidRPr="00903874" w:rsidRDefault="00903874" w:rsidP="004F5481">
      <w:pPr>
        <w:rPr>
          <w:snapToGrid w:val="0"/>
          <w:lang w:val="en-US"/>
        </w:rPr>
      </w:pPr>
      <w:r w:rsidRPr="00903874">
        <w:rPr>
          <w:lang w:val="en-US"/>
        </w:rPr>
        <w:t xml:space="preserve">In addition to continuous interference from a variety of sources, including RNSS space stations, RNSS receivers operating in the 1 215-1 300 MHz band are subjected to in-band and adjacent band pulsed </w:t>
      </w:r>
      <w:r w:rsidR="00BB5EC2">
        <w:rPr>
          <w:lang w:val="en-US"/>
        </w:rPr>
        <w:t xml:space="preserve">radio frequency </w:t>
      </w:r>
      <w:r w:rsidRPr="00903874">
        <w:rPr>
          <w:lang w:val="en-US"/>
        </w:rPr>
        <w:t>interference</w:t>
      </w:r>
      <w:r w:rsidR="004F5481">
        <w:rPr>
          <w:lang w:val="en-US"/>
        </w:rPr>
        <w:t xml:space="preserve"> (RFI)</w:t>
      </w:r>
      <w:r w:rsidRPr="00903874">
        <w:rPr>
          <w:lang w:val="en-US"/>
        </w:rPr>
        <w:t xml:space="preserve"> from radiolocation radars and ARNS transmitters. The presence of pulsed RFI reduces the amount of continuous RFI that the RNSS receiver can tolerate. The amount of pulsed RFI depends on the number of pulsed sources within the radio horizon of the RNSS receive antenna.</w:t>
      </w:r>
    </w:p>
    <w:p w:rsidR="00903874" w:rsidRPr="00903874" w:rsidRDefault="00903874" w:rsidP="00903874">
      <w:pPr>
        <w:rPr>
          <w:lang w:val="en-US"/>
        </w:rPr>
      </w:pPr>
      <w:r w:rsidRPr="00903874">
        <w:rPr>
          <w:snapToGrid w:val="0"/>
          <w:lang w:val="en-US"/>
        </w:rPr>
        <w:t xml:space="preserve">A different RFI analysis method is needed to account for pulsed RFI in the 1 215-1 300 MHz band than, for example, in the 1 559-1 610 MHz band, where pulsed RFI is insignificant. </w:t>
      </w:r>
      <w:r w:rsidRPr="00903874">
        <w:rPr>
          <w:lang w:val="en-US"/>
        </w:rPr>
        <w:t>Studies by two aviation standards organizations</w:t>
      </w:r>
      <w:r w:rsidRPr="003B1893">
        <w:rPr>
          <w:position w:val="6"/>
          <w:sz w:val="18"/>
        </w:rPr>
        <w:footnoteReference w:id="7"/>
      </w:r>
      <w:r w:rsidRPr="00903874">
        <w:rPr>
          <w:lang w:val="en-US"/>
        </w:rPr>
        <w:t xml:space="preserve"> have identified an analysis method that addresses the combined effect of pulsed and continuous RFI</w:t>
      </w:r>
      <w:r w:rsidRPr="003B1893">
        <w:rPr>
          <w:position w:val="6"/>
          <w:sz w:val="18"/>
        </w:rPr>
        <w:footnoteReference w:id="8"/>
      </w:r>
      <w:r w:rsidRPr="00903874">
        <w:rPr>
          <w:lang w:val="en-US"/>
        </w:rPr>
        <w:t xml:space="preserve">. </w:t>
      </w:r>
      <w:r w:rsidRPr="00903874">
        <w:rPr>
          <w:snapToGrid w:val="0"/>
          <w:lang w:val="en-US"/>
        </w:rPr>
        <w:t>Two variations in the basic method were derived that depend on the type of RNSS receiver pulse mitigation: one for pulse-blanking receivers (with higher duty cycle pulsed RFI); and one for more general-purpose, saturating receivers (suitable for lower duty cycle pulsed RFI). The SBAS ground reference receiver (see § 2.1) incorporates pulse blanking for improved performance in the presence of pulsed RFI.</w:t>
      </w:r>
    </w:p>
    <w:p w:rsidR="00903874" w:rsidRPr="00903874" w:rsidRDefault="00903874" w:rsidP="00903874">
      <w:pPr>
        <w:pStyle w:val="Heading1"/>
        <w:rPr>
          <w:lang w:val="en-US"/>
        </w:rPr>
      </w:pPr>
      <w:r w:rsidRPr="00903874">
        <w:rPr>
          <w:lang w:val="en-US"/>
        </w:rPr>
        <w:t>4</w:t>
      </w:r>
      <w:r w:rsidRPr="00903874">
        <w:rPr>
          <w:lang w:val="en-US"/>
        </w:rPr>
        <w:tab/>
        <w:t>RNSS receiver technical characteristics and protection criteria</w:t>
      </w:r>
    </w:p>
    <w:p w:rsidR="00903874" w:rsidRPr="00903874" w:rsidRDefault="00903874" w:rsidP="00903874">
      <w:pPr>
        <w:rPr>
          <w:lang w:val="en-US"/>
        </w:rPr>
      </w:pPr>
      <w:r w:rsidRPr="00903874">
        <w:rPr>
          <w:lang w:val="en-US"/>
        </w:rPr>
        <w:t>Table 1</w:t>
      </w:r>
      <w:r w:rsidRPr="00903874">
        <w:rPr>
          <w:lang w:val="en-US"/>
        </w:rPr>
        <w:noBreakHyphen/>
        <w:t>1 lists technical characteristics and protection criteria (maximum aggregate interference thresholds) for several representative RNSS receivers and applications in the 1 215-1 300 MHz band. More RNSS signal information can be found in Rec</w:t>
      </w:r>
      <w:r w:rsidRPr="00903874">
        <w:rPr>
          <w:lang w:val="en-US" w:eastAsia="ja-JP"/>
        </w:rPr>
        <w:t>ommendation</w:t>
      </w:r>
      <w:r w:rsidRPr="00903874">
        <w:rPr>
          <w:lang w:val="en-US"/>
        </w:rPr>
        <w:t xml:space="preserve"> ITU</w:t>
      </w:r>
      <w:r w:rsidRPr="00903874">
        <w:rPr>
          <w:lang w:val="en-US"/>
        </w:rPr>
        <w:noBreakHyphen/>
        <w:t>R M.1787.</w:t>
      </w:r>
    </w:p>
    <w:p w:rsidR="00903874" w:rsidRPr="00903874" w:rsidRDefault="00903874" w:rsidP="00903874">
      <w:pPr>
        <w:ind w:right="-142"/>
        <w:rPr>
          <w:lang w:val="en-US"/>
        </w:rPr>
      </w:pPr>
      <w:r w:rsidRPr="00903874">
        <w:rPr>
          <w:lang w:val="en-US"/>
        </w:rPr>
        <w:lastRenderedPageBreak/>
        <w:t>Table 1</w:t>
      </w:r>
      <w:r w:rsidRPr="00903874">
        <w:rPr>
          <w:lang w:val="en-US"/>
        </w:rPr>
        <w:noBreakHyphen/>
        <w:t>1 proposes different levels of protection depending on the RNSS applications. The following RNSS receivers and applications have been included in the table:</w:t>
      </w:r>
    </w:p>
    <w:p w:rsidR="00903874" w:rsidRPr="00903874" w:rsidRDefault="00903874" w:rsidP="00903874">
      <w:pPr>
        <w:pStyle w:val="enumlev1"/>
        <w:rPr>
          <w:lang w:val="en-US"/>
        </w:rPr>
      </w:pPr>
      <w:r w:rsidRPr="00903874">
        <w:rPr>
          <w:bCs/>
          <w:lang w:val="en-US"/>
        </w:rPr>
        <w:t>–</w:t>
      </w:r>
      <w:r w:rsidRPr="00903874">
        <w:rPr>
          <w:b/>
          <w:lang w:val="en-US"/>
        </w:rPr>
        <w:tab/>
      </w:r>
      <w:r w:rsidRPr="00BB5EC2">
        <w:rPr>
          <w:bCs/>
          <w:lang w:val="en-US"/>
        </w:rPr>
        <w:t>SBAS ground reference receiver</w:t>
      </w:r>
      <w:r w:rsidRPr="00903874">
        <w:rPr>
          <w:lang w:val="en-US"/>
        </w:rPr>
        <w:t xml:space="preserve"> (see § 2.1 and Table 1-1, column 1).</w:t>
      </w:r>
    </w:p>
    <w:p w:rsidR="00903874" w:rsidRPr="004F5481" w:rsidRDefault="00903874" w:rsidP="00801229">
      <w:pPr>
        <w:pStyle w:val="enumlev1"/>
        <w:rPr>
          <w:bCs/>
          <w:lang w:val="en-US"/>
        </w:rPr>
      </w:pPr>
      <w:r w:rsidRPr="00903874">
        <w:rPr>
          <w:bCs/>
          <w:lang w:val="en-US"/>
        </w:rPr>
        <w:t>–</w:t>
      </w:r>
      <w:r w:rsidRPr="00903874">
        <w:rPr>
          <w:b/>
          <w:lang w:val="en-US"/>
        </w:rPr>
        <w:tab/>
      </w:r>
      <w:r w:rsidRPr="004F5481">
        <w:rPr>
          <w:bCs/>
          <w:lang w:val="en-US"/>
        </w:rPr>
        <w:t>High-precision semi-codeless receiver (see § 2.2.1 and Table 1-1, column 2) (Note that column 2 also applies to the L2C transitional high-precision, semi-codeless receiver; see § 2.2.2).</w:t>
      </w:r>
    </w:p>
    <w:p w:rsidR="00903874" w:rsidRPr="004F5481" w:rsidRDefault="00903874" w:rsidP="00903874">
      <w:pPr>
        <w:pStyle w:val="enumlev1"/>
        <w:rPr>
          <w:bCs/>
          <w:lang w:val="en-US" w:eastAsia="ja-JP"/>
        </w:rPr>
      </w:pPr>
      <w:r w:rsidRPr="004F5481">
        <w:rPr>
          <w:bCs/>
          <w:lang w:val="en-US"/>
        </w:rPr>
        <w:t>–</w:t>
      </w:r>
      <w:r w:rsidRPr="004F5481">
        <w:rPr>
          <w:bCs/>
          <w:lang w:val="en-US"/>
        </w:rPr>
        <w:tab/>
        <w:t>High-precision receiver using L2C (see § 2.3 and Table 1-1, column 3).</w:t>
      </w:r>
    </w:p>
    <w:p w:rsidR="00903874" w:rsidRPr="004F5481" w:rsidRDefault="00903874" w:rsidP="00903874">
      <w:pPr>
        <w:pStyle w:val="enumlev1"/>
        <w:rPr>
          <w:bCs/>
          <w:lang w:val="en-US"/>
        </w:rPr>
      </w:pPr>
      <w:r w:rsidRPr="004F5481">
        <w:rPr>
          <w:bCs/>
          <w:lang w:val="en-US"/>
        </w:rPr>
        <w:t>–</w:t>
      </w:r>
      <w:r w:rsidRPr="004F5481">
        <w:rPr>
          <w:bCs/>
          <w:lang w:val="en-US"/>
        </w:rPr>
        <w:tab/>
        <w:t>Air-navigation receiver (see § 2.4 and Table 1-1, column 4).</w:t>
      </w:r>
    </w:p>
    <w:p w:rsidR="00903874" w:rsidRPr="004F5481" w:rsidRDefault="00903874" w:rsidP="00903874">
      <w:pPr>
        <w:pStyle w:val="enumlev1"/>
        <w:rPr>
          <w:bCs/>
          <w:lang w:val="en-US"/>
        </w:rPr>
      </w:pPr>
      <w:r w:rsidRPr="004F5481">
        <w:rPr>
          <w:bCs/>
          <w:lang w:val="en-US"/>
        </w:rPr>
        <w:t>–</w:t>
      </w:r>
      <w:r w:rsidRPr="004F5481">
        <w:rPr>
          <w:bCs/>
          <w:lang w:val="en-US"/>
        </w:rPr>
        <w:tab/>
        <w:t>Indoor positioning (2 types) (see § 2.5 and Table 1-1, column 5).</w:t>
      </w:r>
    </w:p>
    <w:p w:rsidR="00903874" w:rsidRPr="004F5481" w:rsidRDefault="00903874" w:rsidP="00903874">
      <w:pPr>
        <w:pStyle w:val="enumlev1"/>
        <w:rPr>
          <w:bCs/>
          <w:lang w:val="en-US"/>
        </w:rPr>
      </w:pPr>
      <w:r w:rsidRPr="004F5481">
        <w:rPr>
          <w:bCs/>
          <w:lang w:val="en-US" w:eastAsia="ja-JP"/>
        </w:rPr>
        <w:t>–</w:t>
      </w:r>
      <w:r w:rsidRPr="004F5481">
        <w:rPr>
          <w:bCs/>
          <w:lang w:val="en-US" w:eastAsia="ja-JP"/>
        </w:rPr>
        <w:tab/>
        <w:t>“Others”</w:t>
      </w:r>
      <w:r w:rsidRPr="004F5481">
        <w:rPr>
          <w:bCs/>
          <w:lang w:val="en-US"/>
        </w:rPr>
        <w:t xml:space="preserve"> (see § 2.6 and Table 1-1, column 6).</w:t>
      </w:r>
    </w:p>
    <w:p w:rsidR="00934ED7" w:rsidRPr="00903874" w:rsidRDefault="00903874" w:rsidP="00903874">
      <w:pPr>
        <w:pStyle w:val="enumlev1"/>
        <w:rPr>
          <w:lang w:val="en-US"/>
        </w:rPr>
      </w:pPr>
      <w:r w:rsidRPr="004F5481">
        <w:rPr>
          <w:bCs/>
          <w:lang w:val="en-US"/>
        </w:rPr>
        <w:t>–</w:t>
      </w:r>
      <w:r w:rsidRPr="004F5481">
        <w:rPr>
          <w:bCs/>
          <w:lang w:val="en-US"/>
        </w:rPr>
        <w:tab/>
        <w:t>General-purpose (2 types) (see § 2.7 and Table 1-1, column 7).</w:t>
      </w:r>
    </w:p>
    <w:p w:rsidR="00FD5912" w:rsidRDefault="00FD5912" w:rsidP="00FD5912">
      <w:pPr>
        <w:rPr>
          <w:lang w:val="en-US"/>
        </w:rPr>
        <w:sectPr w:rsidR="00FD5912" w:rsidSect="007565CC">
          <w:pgSz w:w="11907" w:h="16834" w:code="9"/>
          <w:pgMar w:top="1418" w:right="1134" w:bottom="1134" w:left="1134" w:header="720" w:footer="482" w:gutter="0"/>
          <w:pgNumType w:start="1"/>
          <w:cols w:space="720"/>
        </w:sectPr>
      </w:pPr>
    </w:p>
    <w:p w:rsidR="00FD5912" w:rsidRPr="00FD5912" w:rsidRDefault="00FD5912" w:rsidP="00FD5912">
      <w:pPr>
        <w:pStyle w:val="TableNo"/>
        <w:rPr>
          <w:lang w:val="en-US"/>
        </w:rPr>
      </w:pPr>
      <w:r w:rsidRPr="00FD5912">
        <w:rPr>
          <w:lang w:val="en-US"/>
        </w:rPr>
        <w:lastRenderedPageBreak/>
        <w:t>TABLE 1-1</w:t>
      </w:r>
    </w:p>
    <w:p w:rsidR="00FD5912" w:rsidRPr="00FD5912" w:rsidRDefault="00FD5912" w:rsidP="00FD5912">
      <w:pPr>
        <w:pStyle w:val="Tabletitle"/>
        <w:rPr>
          <w:lang w:val="en-US"/>
        </w:rPr>
      </w:pPr>
      <w:r w:rsidRPr="00FD5912">
        <w:rPr>
          <w:lang w:val="en-US"/>
        </w:rPr>
        <w:t>Technical characteristics and protection criteria for RNSS receivers (space-to-Earth) operating in the band 1 215</w:t>
      </w:r>
      <w:r w:rsidRPr="00FD5912">
        <w:rPr>
          <w:lang w:val="en-US"/>
        </w:rPr>
        <w:noBreakHyphen/>
        <w:t>1 300 MHz</w:t>
      </w:r>
    </w:p>
    <w:tbl>
      <w:tblPr>
        <w:tblW w:w="14459" w:type="dxa"/>
        <w:jc w:val="center"/>
        <w:tblLayout w:type="fixed"/>
        <w:tblLook w:val="0000" w:firstRow="0" w:lastRow="0" w:firstColumn="0" w:lastColumn="0" w:noHBand="0" w:noVBand="0"/>
      </w:tblPr>
      <w:tblGrid>
        <w:gridCol w:w="4534"/>
        <w:gridCol w:w="1417"/>
        <w:gridCol w:w="1418"/>
        <w:gridCol w:w="1418"/>
        <w:gridCol w:w="1418"/>
        <w:gridCol w:w="567"/>
        <w:gridCol w:w="851"/>
        <w:gridCol w:w="1418"/>
        <w:gridCol w:w="567"/>
        <w:gridCol w:w="851"/>
      </w:tblGrid>
      <w:tr w:rsidR="00FD5912" w:rsidRPr="003B1893" w:rsidTr="009D5108">
        <w:trPr>
          <w:cantSplit/>
          <w:tblHeader/>
          <w:jc w:val="center"/>
        </w:trPr>
        <w:tc>
          <w:tcPr>
            <w:tcW w:w="4534"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head"/>
              <w:rPr>
                <w:rFonts w:eastAsia="MS PGothic"/>
                <w:sz w:val="18"/>
                <w:lang w:val="en-US"/>
              </w:rPr>
            </w:pPr>
          </w:p>
        </w:tc>
        <w:tc>
          <w:tcPr>
            <w:tcW w:w="1417"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head"/>
              <w:rPr>
                <w:rFonts w:eastAsia="MS PGothic"/>
                <w:sz w:val="18"/>
              </w:rPr>
            </w:pPr>
            <w:r w:rsidRPr="008A113A">
              <w:rPr>
                <w:rFonts w:eastAsia="MS PGothic"/>
                <w:sz w:val="18"/>
              </w:rPr>
              <w:t>1</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head"/>
              <w:rPr>
                <w:rFonts w:eastAsia="MS PGothic"/>
                <w:sz w:val="18"/>
              </w:rPr>
            </w:pPr>
            <w:r w:rsidRPr="008A113A">
              <w:rPr>
                <w:rFonts w:eastAsia="MS PGothic"/>
                <w:sz w:val="18"/>
              </w:rPr>
              <w:t>2</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head"/>
              <w:rPr>
                <w:rFonts w:eastAsia="MS PGothic"/>
                <w:sz w:val="18"/>
              </w:rPr>
            </w:pPr>
            <w:r w:rsidRPr="008A113A">
              <w:rPr>
                <w:rFonts w:eastAsia="MS PGothic"/>
                <w:sz w:val="18"/>
              </w:rPr>
              <w:t>3</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head"/>
              <w:rPr>
                <w:rFonts w:eastAsia="MS PGothic"/>
                <w:sz w:val="18"/>
              </w:rPr>
            </w:pPr>
            <w:r w:rsidRPr="008A113A">
              <w:rPr>
                <w:rFonts w:eastAsia="MS PGothic"/>
                <w:sz w:val="18"/>
              </w:rPr>
              <w:t>4</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head"/>
              <w:rPr>
                <w:rFonts w:eastAsia="MS PGothic"/>
                <w:sz w:val="18"/>
              </w:rPr>
            </w:pPr>
            <w:r w:rsidRPr="008A113A">
              <w:rPr>
                <w:rFonts w:eastAsia="MS PGothic"/>
                <w:sz w:val="18"/>
              </w:rPr>
              <w:t>5</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head"/>
              <w:rPr>
                <w:sz w:val="18"/>
              </w:rPr>
            </w:pPr>
            <w:r w:rsidRPr="008A113A">
              <w:rPr>
                <w:sz w:val="18"/>
              </w:rPr>
              <w:t>6</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head"/>
              <w:rPr>
                <w:rFonts w:eastAsia="MS PGothic"/>
                <w:sz w:val="18"/>
              </w:rPr>
            </w:pPr>
            <w:r w:rsidRPr="008A113A">
              <w:rPr>
                <w:rFonts w:eastAsia="MS PGothic"/>
                <w:sz w:val="18"/>
              </w:rPr>
              <w:t>7</w:t>
            </w:r>
          </w:p>
        </w:tc>
      </w:tr>
      <w:tr w:rsidR="00FD5912" w:rsidRPr="003B1893" w:rsidTr="009D5108">
        <w:trPr>
          <w:cantSplit/>
          <w:tblHeader/>
          <w:jc w:val="center"/>
        </w:trPr>
        <w:tc>
          <w:tcPr>
            <w:tcW w:w="4534"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4F5481">
            <w:pPr>
              <w:pStyle w:val="Tablehead"/>
              <w:rPr>
                <w:rFonts w:eastAsia="MS PGothic"/>
                <w:sz w:val="18"/>
              </w:rPr>
            </w:pPr>
            <w:r w:rsidRPr="008A113A">
              <w:rPr>
                <w:rFonts w:eastAsia="MS PGothic"/>
                <w:sz w:val="18"/>
              </w:rPr>
              <w:t>Parameter</w:t>
            </w:r>
          </w:p>
        </w:tc>
        <w:tc>
          <w:tcPr>
            <w:tcW w:w="1417"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head"/>
              <w:rPr>
                <w:rFonts w:eastAsia="MS PGothic"/>
                <w:sz w:val="18"/>
              </w:rPr>
            </w:pPr>
            <w:r w:rsidRPr="008A113A">
              <w:rPr>
                <w:rFonts w:eastAsia="MS PGothic"/>
                <w:sz w:val="18"/>
              </w:rPr>
              <w:t>SBAS ground reference receiver*</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head"/>
              <w:rPr>
                <w:rFonts w:eastAsia="MS PGothic"/>
                <w:sz w:val="18"/>
                <w:lang w:val="en-US"/>
              </w:rPr>
            </w:pPr>
            <w:r w:rsidRPr="008A113A">
              <w:rPr>
                <w:rFonts w:eastAsia="MS PGothic"/>
                <w:sz w:val="18"/>
                <w:lang w:val="en-US"/>
              </w:rPr>
              <w:t>High-precision semi-codeless receiver*</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head"/>
              <w:rPr>
                <w:rFonts w:eastAsia="MS PGothic"/>
                <w:sz w:val="18"/>
                <w:lang w:val="en-US"/>
              </w:rPr>
            </w:pPr>
            <w:r w:rsidRPr="008A113A">
              <w:rPr>
                <w:rFonts w:eastAsia="MS PGothic"/>
                <w:sz w:val="18"/>
                <w:lang w:val="en-US"/>
              </w:rPr>
              <w:t>High-precision receiver using L2C*</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D5912" w:rsidRPr="008A113A" w:rsidRDefault="00FD5912" w:rsidP="00AE3483">
            <w:pPr>
              <w:pStyle w:val="Tablehead"/>
              <w:rPr>
                <w:rFonts w:eastAsia="MS PGothic"/>
                <w:sz w:val="18"/>
              </w:rPr>
            </w:pPr>
            <w:r w:rsidRPr="008A113A">
              <w:rPr>
                <w:rFonts w:eastAsia="MS PGothic"/>
                <w:sz w:val="18"/>
              </w:rPr>
              <w:t>Air-navigation receiver</w:t>
            </w:r>
            <w:r w:rsidRPr="008A113A">
              <w:rPr>
                <w:rFonts w:eastAsia="MS PGothic"/>
                <w:sz w:val="18"/>
              </w:rPr>
              <w:br/>
              <w:t xml:space="preserve">(Note </w:t>
            </w:r>
            <w:r w:rsidRPr="008A113A">
              <w:rPr>
                <w:sz w:val="18"/>
              </w:rPr>
              <w:t>10</w:t>
            </w:r>
            <w:r w:rsidRPr="008A113A">
              <w:rPr>
                <w:rFonts w:eastAsia="MS PGothic"/>
                <w:sz w:val="18"/>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head"/>
              <w:rPr>
                <w:rFonts w:eastAsia="MS PGothic"/>
                <w:sz w:val="18"/>
              </w:rPr>
            </w:pPr>
            <w:r w:rsidRPr="008A113A">
              <w:rPr>
                <w:rFonts w:eastAsia="MS PGothic"/>
                <w:sz w:val="18"/>
              </w:rPr>
              <w:t>Indoor positioning</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head"/>
              <w:rPr>
                <w:rFonts w:eastAsia="MS PGothic"/>
                <w:sz w:val="18"/>
              </w:rPr>
            </w:pPr>
            <w:r w:rsidRPr="008A113A">
              <w:rPr>
                <w:sz w:val="18"/>
              </w:rPr>
              <w:t>Others</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D5912" w:rsidRPr="008A113A" w:rsidRDefault="00FD5912" w:rsidP="004F5481">
            <w:pPr>
              <w:pStyle w:val="Tablehead"/>
              <w:rPr>
                <w:rFonts w:eastAsia="MS PGothic"/>
                <w:sz w:val="18"/>
              </w:rPr>
            </w:pPr>
            <w:r w:rsidRPr="008A113A">
              <w:rPr>
                <w:rFonts w:eastAsia="MS PGothic"/>
                <w:sz w:val="18"/>
              </w:rPr>
              <w:t>General</w:t>
            </w:r>
            <w:r w:rsidR="004F5481">
              <w:rPr>
                <w:rFonts w:eastAsia="MS PGothic"/>
                <w:sz w:val="18"/>
              </w:rPr>
              <w:t xml:space="preserve"> </w:t>
            </w:r>
            <w:r w:rsidRPr="008A113A">
              <w:rPr>
                <w:rFonts w:eastAsia="MS PGothic"/>
                <w:sz w:val="18"/>
              </w:rPr>
              <w:t xml:space="preserve">purpose </w:t>
            </w:r>
          </w:p>
        </w:tc>
      </w:tr>
      <w:tr w:rsidR="00FD5912" w:rsidRPr="009D5108" w:rsidTr="009D5108">
        <w:trPr>
          <w:cantSplit/>
          <w:trHeight w:val="2268"/>
          <w:jc w:val="center"/>
        </w:trPr>
        <w:tc>
          <w:tcPr>
            <w:tcW w:w="4534"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rPr>
                <w:rFonts w:eastAsia="MS PGothic"/>
                <w:sz w:val="18"/>
              </w:rPr>
            </w:pPr>
            <w:r w:rsidRPr="008A113A">
              <w:rPr>
                <w:rFonts w:eastAsia="MS PGothic"/>
                <w:sz w:val="18"/>
              </w:rPr>
              <w:t>Signal frequency range (MHz)</w:t>
            </w:r>
          </w:p>
        </w:tc>
        <w:tc>
          <w:tcPr>
            <w:tcW w:w="1417"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9D5108">
            <w:pPr>
              <w:pStyle w:val="Tabletext"/>
              <w:ind w:left="-57" w:right="-57"/>
              <w:jc w:val="center"/>
              <w:rPr>
                <w:rFonts w:eastAsia="MS PGothic"/>
                <w:sz w:val="18"/>
              </w:rPr>
            </w:pPr>
            <w:r w:rsidRPr="008A113A">
              <w:rPr>
                <w:rFonts w:eastAsia="MS PGothic"/>
                <w:sz w:val="18"/>
              </w:rPr>
              <w:t xml:space="preserve">1 227.6 </w:t>
            </w:r>
            <w:r w:rsidRPr="008A113A">
              <w:rPr>
                <w:rFonts w:eastAsia="MS PGothic"/>
                <w:sz w:val="18"/>
              </w:rPr>
              <w:sym w:font="Symbol" w:char="00B1"/>
            </w:r>
            <w:r w:rsidRPr="008A113A">
              <w:rPr>
                <w:rFonts w:eastAsia="MS PGothic"/>
                <w:sz w:val="18"/>
              </w:rPr>
              <w:t xml:space="preserve"> 15.345</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9D5108">
            <w:pPr>
              <w:pStyle w:val="Tabletext"/>
              <w:ind w:left="-57" w:right="-57"/>
              <w:jc w:val="center"/>
              <w:rPr>
                <w:sz w:val="18"/>
                <w:lang w:eastAsia="ja-JP"/>
              </w:rPr>
            </w:pPr>
            <w:r w:rsidRPr="008A113A">
              <w:rPr>
                <w:rFonts w:eastAsia="MS PGothic"/>
                <w:sz w:val="18"/>
              </w:rPr>
              <w:t xml:space="preserve">1 227.6 </w:t>
            </w:r>
            <w:r w:rsidRPr="008A113A">
              <w:rPr>
                <w:rFonts w:eastAsia="MS PGothic"/>
                <w:sz w:val="18"/>
              </w:rPr>
              <w:sym w:font="Symbol" w:char="00B1"/>
            </w:r>
            <w:r w:rsidRPr="008A113A">
              <w:rPr>
                <w:rFonts w:eastAsia="MS PGothic"/>
                <w:sz w:val="18"/>
              </w:rPr>
              <w:t xml:space="preserve"> 15.345</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9D5108">
            <w:pPr>
              <w:pStyle w:val="Tabletext"/>
              <w:ind w:left="-57" w:right="-57"/>
              <w:jc w:val="center"/>
              <w:rPr>
                <w:rFonts w:eastAsia="MS PGothic"/>
                <w:sz w:val="18"/>
              </w:rPr>
            </w:pPr>
            <w:r w:rsidRPr="008A113A">
              <w:rPr>
                <w:sz w:val="18"/>
                <w:lang w:eastAsia="ja-JP"/>
              </w:rPr>
              <w:t xml:space="preserve">1 227.6 </w:t>
            </w:r>
            <w:r w:rsidRPr="008A113A">
              <w:rPr>
                <w:rFonts w:eastAsia="MS PGothic"/>
                <w:sz w:val="18"/>
              </w:rPr>
              <w:sym w:font="Symbol" w:char="00B1"/>
            </w:r>
            <w:r w:rsidRPr="008A113A">
              <w:rPr>
                <w:rFonts w:eastAsia="MS PGothic"/>
                <w:sz w:val="18"/>
              </w:rPr>
              <w:t xml:space="preserve"> 15.345</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9D5108" w:rsidRDefault="00FD5912" w:rsidP="009D5108">
            <w:pPr>
              <w:pStyle w:val="Tabletext"/>
              <w:ind w:left="-57" w:right="-57"/>
              <w:jc w:val="center"/>
              <w:rPr>
                <w:sz w:val="18"/>
                <w:lang w:val="en-US" w:eastAsia="ja-JP"/>
              </w:rPr>
            </w:pPr>
            <w:r w:rsidRPr="009D5108">
              <w:rPr>
                <w:sz w:val="18"/>
                <w:lang w:val="en-US"/>
              </w:rPr>
              <w:t>1 246 + 0.4375*</w:t>
            </w:r>
            <w:r w:rsidRPr="004F5481">
              <w:rPr>
                <w:i/>
                <w:iCs/>
                <w:sz w:val="18"/>
                <w:lang w:val="en-US"/>
              </w:rPr>
              <w:t>K</w:t>
            </w:r>
            <w:r w:rsidRPr="009D5108">
              <w:rPr>
                <w:sz w:val="18"/>
                <w:lang w:val="en-US"/>
              </w:rPr>
              <w:t> ± 5.11,</w:t>
            </w:r>
            <w:r w:rsidR="009D5108" w:rsidRPr="009D5108">
              <w:rPr>
                <w:sz w:val="18"/>
                <w:lang w:val="en-US"/>
              </w:rPr>
              <w:br/>
            </w:r>
            <w:r w:rsidRPr="009D5108">
              <w:rPr>
                <w:sz w:val="18"/>
                <w:lang w:val="en-US"/>
              </w:rPr>
              <w:t>where</w:t>
            </w:r>
            <w:r w:rsidR="009D5108">
              <w:rPr>
                <w:sz w:val="18"/>
                <w:lang w:val="en-US"/>
              </w:rPr>
              <w:br/>
            </w:r>
            <w:r w:rsidRPr="004F5481">
              <w:rPr>
                <w:i/>
                <w:iCs/>
                <w:sz w:val="18"/>
                <w:lang w:val="en-US"/>
              </w:rPr>
              <w:t>K</w:t>
            </w:r>
            <w:r w:rsidRPr="009D5108">
              <w:rPr>
                <w:sz w:val="18"/>
                <w:lang w:val="en-US"/>
              </w:rPr>
              <w:t xml:space="preserve"> = </w:t>
            </w:r>
            <w:r w:rsidR="009D5108" w:rsidRPr="009D5108">
              <w:rPr>
                <w:rFonts w:eastAsia="MS PGothic"/>
                <w:sz w:val="18"/>
                <w:lang w:val="en-US"/>
              </w:rPr>
              <w:t>–</w:t>
            </w:r>
            <w:r w:rsidRPr="009D5108">
              <w:rPr>
                <w:sz w:val="18"/>
                <w:lang w:val="en-US"/>
              </w:rPr>
              <w:t>7, …, +6</w:t>
            </w:r>
            <w:r w:rsidR="009D5108">
              <w:rPr>
                <w:sz w:val="18"/>
                <w:lang w:val="en-US"/>
              </w:rPr>
              <w:br/>
            </w:r>
            <w:r w:rsidRPr="009D5108">
              <w:rPr>
                <w:sz w:val="18"/>
                <w:lang w:val="en-US" w:eastAsia="ja-JP"/>
              </w:rPr>
              <w:t>(Note </w:t>
            </w:r>
            <w:r w:rsidRPr="009D5108">
              <w:rPr>
                <w:sz w:val="18"/>
                <w:lang w:val="en-US"/>
              </w:rPr>
              <w:t>8</w:t>
            </w:r>
            <w:r w:rsidRPr="009D5108">
              <w:rPr>
                <w:sz w:val="18"/>
                <w:lang w:val="en-US" w:eastAsia="ja-JP"/>
              </w:rPr>
              <w:t>)</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FD5912" w:rsidRPr="009D5108" w:rsidRDefault="00FD5912" w:rsidP="009D5108">
            <w:pPr>
              <w:pStyle w:val="Tabletext"/>
              <w:jc w:val="center"/>
              <w:rPr>
                <w:sz w:val="18"/>
                <w:lang w:val="en-US" w:eastAsia="ja-JP"/>
              </w:rPr>
            </w:pPr>
            <w:r w:rsidRPr="009D5108">
              <w:rPr>
                <w:sz w:val="18"/>
                <w:lang w:val="en-US" w:eastAsia="ja-JP"/>
              </w:rPr>
              <w:t xml:space="preserve">1 227.6 </w:t>
            </w:r>
            <w:r w:rsidRPr="008A113A">
              <w:rPr>
                <w:rFonts w:eastAsia="MS PGothic"/>
                <w:sz w:val="18"/>
              </w:rPr>
              <w:sym w:font="Symbol" w:char="00B1"/>
            </w:r>
            <w:r w:rsidRPr="009D5108">
              <w:rPr>
                <w:rFonts w:eastAsia="MS PGothic"/>
                <w:sz w:val="18"/>
                <w:lang w:val="en-US"/>
              </w:rPr>
              <w:t xml:space="preserve"> 12</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FD5912" w:rsidRPr="009D5108" w:rsidRDefault="00FD5912" w:rsidP="009D5108">
            <w:pPr>
              <w:pStyle w:val="Tabletext"/>
              <w:jc w:val="center"/>
              <w:rPr>
                <w:sz w:val="18"/>
                <w:lang w:val="en-US" w:eastAsia="ja-JP"/>
              </w:rPr>
            </w:pPr>
            <w:r w:rsidRPr="009D5108">
              <w:rPr>
                <w:sz w:val="18"/>
                <w:lang w:val="en-US"/>
              </w:rPr>
              <w:t>1 246 + 0.4375*</w:t>
            </w:r>
            <w:r w:rsidRPr="004F5481">
              <w:rPr>
                <w:i/>
                <w:iCs/>
                <w:sz w:val="18"/>
                <w:lang w:val="en-US"/>
              </w:rPr>
              <w:t>K</w:t>
            </w:r>
            <w:r w:rsidRPr="009D5108">
              <w:rPr>
                <w:sz w:val="18"/>
                <w:lang w:val="en-US"/>
              </w:rPr>
              <w:t xml:space="preserve"> ± 5.11</w:t>
            </w:r>
            <w:r w:rsidR="009D5108">
              <w:rPr>
                <w:sz w:val="18"/>
                <w:lang w:val="en-US"/>
              </w:rPr>
              <w:br/>
            </w:r>
            <w:r w:rsidRPr="009D5108">
              <w:rPr>
                <w:sz w:val="18"/>
                <w:lang w:val="en-US"/>
              </w:rPr>
              <w:t xml:space="preserve">where </w:t>
            </w:r>
            <w:r w:rsidRPr="004F5481">
              <w:rPr>
                <w:i/>
                <w:iCs/>
                <w:sz w:val="18"/>
                <w:lang w:val="en-US"/>
              </w:rPr>
              <w:t>K</w:t>
            </w:r>
            <w:r w:rsidRPr="009D5108">
              <w:rPr>
                <w:sz w:val="18"/>
                <w:lang w:val="en-US"/>
              </w:rPr>
              <w:t xml:space="preserve"> = </w:t>
            </w:r>
            <w:r w:rsidR="009D5108" w:rsidRPr="009D5108">
              <w:rPr>
                <w:rFonts w:eastAsia="MS PGothic"/>
                <w:sz w:val="18"/>
                <w:lang w:val="en-US"/>
              </w:rPr>
              <w:t>–</w:t>
            </w:r>
            <w:r w:rsidRPr="009D5108">
              <w:rPr>
                <w:sz w:val="18"/>
                <w:lang w:val="en-US"/>
              </w:rPr>
              <w:t>7, .., +6</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9D5108" w:rsidRDefault="00FD5912" w:rsidP="009D5108">
            <w:pPr>
              <w:pStyle w:val="Tabletext"/>
              <w:jc w:val="center"/>
              <w:rPr>
                <w:sz w:val="18"/>
                <w:lang w:val="en-US" w:eastAsia="ja-JP"/>
              </w:rPr>
            </w:pPr>
            <w:r w:rsidRPr="009D5108">
              <w:rPr>
                <w:sz w:val="18"/>
                <w:lang w:val="en-US" w:eastAsia="ja-JP"/>
              </w:rPr>
              <w:t xml:space="preserve">1 278.75 </w:t>
            </w:r>
            <w:r w:rsidRPr="008A113A">
              <w:rPr>
                <w:rFonts w:eastAsia="MS PGothic"/>
                <w:sz w:val="18"/>
              </w:rPr>
              <w:sym w:font="Symbol" w:char="00B1"/>
            </w:r>
            <w:r w:rsidRPr="009D5108">
              <w:rPr>
                <w:rFonts w:eastAsia="MS PGothic"/>
                <w:sz w:val="18"/>
                <w:lang w:val="en-US"/>
              </w:rPr>
              <w:t> 21</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FD5912" w:rsidRPr="009D5108" w:rsidRDefault="00FD5912" w:rsidP="009D5108">
            <w:pPr>
              <w:pStyle w:val="Tabletext"/>
              <w:jc w:val="center"/>
              <w:rPr>
                <w:sz w:val="18"/>
                <w:lang w:val="en-US" w:eastAsia="ja-JP"/>
              </w:rPr>
            </w:pPr>
            <w:r w:rsidRPr="009D5108">
              <w:rPr>
                <w:sz w:val="18"/>
                <w:lang w:val="en-US" w:eastAsia="ja-JP"/>
              </w:rPr>
              <w:t xml:space="preserve">1 227.6 </w:t>
            </w:r>
            <w:r w:rsidRPr="008A113A">
              <w:rPr>
                <w:rFonts w:eastAsia="MS PGothic"/>
                <w:sz w:val="18"/>
              </w:rPr>
              <w:sym w:font="Symbol" w:char="00B1"/>
            </w:r>
            <w:r w:rsidRPr="009D5108">
              <w:rPr>
                <w:rFonts w:eastAsia="MS PGothic"/>
                <w:sz w:val="18"/>
                <w:lang w:val="en-US"/>
              </w:rPr>
              <w:t xml:space="preserve"> 12</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FD5912" w:rsidRPr="009D5108" w:rsidRDefault="00FD5912" w:rsidP="009D5108">
            <w:pPr>
              <w:pStyle w:val="Tabletext"/>
              <w:jc w:val="center"/>
              <w:rPr>
                <w:sz w:val="18"/>
                <w:lang w:val="en-US" w:eastAsia="ja-JP"/>
              </w:rPr>
            </w:pPr>
            <w:r w:rsidRPr="009D5108">
              <w:rPr>
                <w:sz w:val="18"/>
                <w:lang w:val="en-US"/>
              </w:rPr>
              <w:t>1 246 + 0.4375*</w:t>
            </w:r>
            <w:r w:rsidRPr="004F5481">
              <w:rPr>
                <w:i/>
                <w:iCs/>
                <w:sz w:val="18"/>
                <w:lang w:val="en-US"/>
              </w:rPr>
              <w:t>K</w:t>
            </w:r>
            <w:r w:rsidRPr="009D5108">
              <w:rPr>
                <w:sz w:val="18"/>
                <w:lang w:val="en-US"/>
              </w:rPr>
              <w:t xml:space="preserve"> ± 5.11</w:t>
            </w:r>
            <w:r w:rsidR="009D5108">
              <w:rPr>
                <w:sz w:val="18"/>
                <w:lang w:val="en-US"/>
              </w:rPr>
              <w:br/>
            </w:r>
            <w:r w:rsidRPr="009D5108">
              <w:rPr>
                <w:sz w:val="18"/>
                <w:lang w:val="en-US"/>
              </w:rPr>
              <w:t xml:space="preserve">where </w:t>
            </w:r>
            <w:r w:rsidRPr="004F5481">
              <w:rPr>
                <w:i/>
                <w:iCs/>
                <w:sz w:val="18"/>
                <w:lang w:val="en-US"/>
              </w:rPr>
              <w:t>K</w:t>
            </w:r>
            <w:r w:rsidRPr="009D5108">
              <w:rPr>
                <w:sz w:val="18"/>
                <w:lang w:val="en-US"/>
              </w:rPr>
              <w:t xml:space="preserve">= </w:t>
            </w:r>
            <w:r w:rsidR="009D5108" w:rsidRPr="009D5108">
              <w:rPr>
                <w:rFonts w:eastAsia="MS PGothic"/>
                <w:sz w:val="18"/>
                <w:lang w:val="en-US"/>
              </w:rPr>
              <w:t>–</w:t>
            </w:r>
            <w:r w:rsidRPr="009D5108">
              <w:rPr>
                <w:sz w:val="18"/>
                <w:lang w:val="en-US"/>
              </w:rPr>
              <w:t>7,..,+6</w:t>
            </w:r>
          </w:p>
        </w:tc>
      </w:tr>
      <w:tr w:rsidR="00FD5912" w:rsidRPr="003B1893" w:rsidTr="009D5108">
        <w:trPr>
          <w:cantSplit/>
          <w:jc w:val="center"/>
        </w:trPr>
        <w:tc>
          <w:tcPr>
            <w:tcW w:w="4534" w:type="dxa"/>
            <w:tcBorders>
              <w:top w:val="single" w:sz="4" w:space="0" w:color="auto"/>
              <w:left w:val="single" w:sz="4" w:space="0" w:color="auto"/>
              <w:bottom w:val="single" w:sz="4" w:space="0" w:color="auto"/>
              <w:right w:val="single" w:sz="4" w:space="0" w:color="auto"/>
            </w:tcBorders>
          </w:tcPr>
          <w:p w:rsidR="00FD5912" w:rsidRPr="008A113A" w:rsidRDefault="00FD5912" w:rsidP="009D5108">
            <w:pPr>
              <w:pStyle w:val="Tabletext"/>
              <w:jc w:val="left"/>
              <w:rPr>
                <w:rFonts w:eastAsia="MS PGothic"/>
                <w:sz w:val="18"/>
                <w:lang w:val="en-US"/>
              </w:rPr>
            </w:pPr>
            <w:r w:rsidRPr="008A113A">
              <w:rPr>
                <w:rFonts w:eastAsia="MS PGothic"/>
                <w:sz w:val="18"/>
                <w:lang w:val="en-US"/>
              </w:rPr>
              <w:t>Maximum receiver antenna gain in upper hemisphere (dBi)</w:t>
            </w:r>
          </w:p>
        </w:tc>
        <w:tc>
          <w:tcPr>
            <w:tcW w:w="1417" w:type="dxa"/>
            <w:tcBorders>
              <w:top w:val="single" w:sz="4" w:space="0" w:color="auto"/>
              <w:left w:val="single" w:sz="4" w:space="0" w:color="auto"/>
              <w:bottom w:val="single" w:sz="4" w:space="0" w:color="auto"/>
              <w:right w:val="single" w:sz="4" w:space="0" w:color="auto"/>
            </w:tcBorders>
            <w:vAlign w:val="center"/>
          </w:tcPr>
          <w:p w:rsidR="00FD5912" w:rsidRPr="008A113A" w:rsidRDefault="009D5108" w:rsidP="009D5108">
            <w:pPr>
              <w:pStyle w:val="Tabletext"/>
              <w:jc w:val="center"/>
              <w:rPr>
                <w:rFonts w:eastAsia="MS PGothic"/>
                <w:sz w:val="18"/>
              </w:rPr>
            </w:pPr>
            <w:r>
              <w:rPr>
                <w:rFonts w:eastAsia="MS PGothic"/>
                <w:sz w:val="18"/>
              </w:rPr>
              <w:t>–</w:t>
            </w:r>
            <w:r w:rsidR="00FD5912" w:rsidRPr="008A113A">
              <w:rPr>
                <w:rFonts w:eastAsia="MS PGothic"/>
                <w:sz w:val="18"/>
              </w:rPr>
              <w:t>2.0 circular (Note </w:t>
            </w:r>
            <w:r w:rsidR="00FD5912" w:rsidRPr="008A113A">
              <w:rPr>
                <w:sz w:val="18"/>
              </w:rPr>
              <w:t>3</w:t>
            </w:r>
            <w:r w:rsidR="00FD5912" w:rsidRPr="008A113A">
              <w:rPr>
                <w:rFonts w:eastAsia="MS PGothic"/>
                <w:sz w:val="18"/>
              </w:rPr>
              <w:t>)</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rFonts w:eastAsia="MS PGothic"/>
                <w:sz w:val="18"/>
              </w:rPr>
            </w:pPr>
            <w:r w:rsidRPr="008A113A">
              <w:rPr>
                <w:rFonts w:eastAsia="MS PGothic"/>
                <w:sz w:val="18"/>
              </w:rPr>
              <w:t>3.0 circular</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rFonts w:eastAsia="MS PGothic"/>
                <w:sz w:val="18"/>
              </w:rPr>
            </w:pPr>
            <w:r w:rsidRPr="008A113A">
              <w:rPr>
                <w:rFonts w:eastAsia="MS PGothic"/>
                <w:sz w:val="18"/>
              </w:rPr>
              <w:t>3.0 circular</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sz w:val="18"/>
                <w:lang w:eastAsia="ja-JP"/>
              </w:rPr>
            </w:pPr>
            <w:r w:rsidRPr="008A113A">
              <w:rPr>
                <w:sz w:val="18"/>
                <w:lang w:eastAsia="ja-JP"/>
              </w:rPr>
              <w:t>7 (Note 1</w:t>
            </w:r>
            <w:r w:rsidRPr="008A113A">
              <w:rPr>
                <w:sz w:val="18"/>
              </w:rPr>
              <w:t>1</w:t>
            </w:r>
            <w:r w:rsidRPr="008A113A">
              <w:rPr>
                <w:sz w:val="18"/>
                <w:lang w:eastAsia="ja-JP"/>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rFonts w:eastAsia="MS PGothic"/>
                <w:sz w:val="18"/>
              </w:rPr>
            </w:pPr>
            <w:r w:rsidRPr="008A113A">
              <w:rPr>
                <w:sz w:val="18"/>
                <w:lang w:eastAsia="ja-JP"/>
              </w:rPr>
              <w:t>6</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rFonts w:eastAsia="MS PGothic"/>
                <w:sz w:val="18"/>
              </w:rPr>
            </w:pPr>
            <w:r w:rsidRPr="008A113A">
              <w:rPr>
                <w:sz w:val="18"/>
                <w:lang w:eastAsia="ja-JP"/>
              </w:rPr>
              <w:t>6</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sz w:val="18"/>
              </w:rPr>
            </w:pPr>
            <w:r w:rsidRPr="008A113A">
              <w:rPr>
                <w:sz w:val="18"/>
                <w:lang w:eastAsia="ja-JP"/>
              </w:rPr>
              <w:t>6</w:t>
            </w:r>
          </w:p>
        </w:tc>
      </w:tr>
      <w:tr w:rsidR="00FD5912" w:rsidRPr="003B1893" w:rsidTr="009D5108">
        <w:trPr>
          <w:cantSplit/>
          <w:jc w:val="center"/>
        </w:trPr>
        <w:tc>
          <w:tcPr>
            <w:tcW w:w="4534" w:type="dxa"/>
            <w:tcBorders>
              <w:top w:val="single" w:sz="4" w:space="0" w:color="auto"/>
              <w:left w:val="single" w:sz="4" w:space="0" w:color="auto"/>
              <w:bottom w:val="single" w:sz="4" w:space="0" w:color="auto"/>
              <w:right w:val="single" w:sz="4" w:space="0" w:color="auto"/>
            </w:tcBorders>
          </w:tcPr>
          <w:p w:rsidR="00FD5912" w:rsidRPr="008A113A" w:rsidRDefault="00FD5912" w:rsidP="009D5108">
            <w:pPr>
              <w:pStyle w:val="Tabletext"/>
              <w:jc w:val="left"/>
              <w:rPr>
                <w:rFonts w:eastAsia="MS PGothic"/>
                <w:sz w:val="18"/>
                <w:lang w:val="en-US"/>
              </w:rPr>
            </w:pPr>
            <w:r w:rsidRPr="008A113A">
              <w:rPr>
                <w:rFonts w:eastAsia="MS PGothic"/>
                <w:sz w:val="18"/>
                <w:lang w:val="en-US"/>
              </w:rPr>
              <w:t>Maximum receiver antenna gain in lower hemisphere (dBi)</w:t>
            </w:r>
          </w:p>
        </w:tc>
        <w:tc>
          <w:tcPr>
            <w:tcW w:w="1417" w:type="dxa"/>
            <w:tcBorders>
              <w:top w:val="single" w:sz="4" w:space="0" w:color="auto"/>
              <w:left w:val="single" w:sz="4" w:space="0" w:color="auto"/>
              <w:bottom w:val="single" w:sz="4" w:space="0" w:color="auto"/>
              <w:right w:val="single" w:sz="4" w:space="0" w:color="auto"/>
            </w:tcBorders>
            <w:vAlign w:val="center"/>
          </w:tcPr>
          <w:p w:rsidR="00FD5912" w:rsidRPr="008A113A" w:rsidRDefault="009D5108" w:rsidP="009D5108">
            <w:pPr>
              <w:pStyle w:val="Tabletext"/>
              <w:jc w:val="center"/>
              <w:rPr>
                <w:rFonts w:eastAsia="MS PGothic"/>
                <w:sz w:val="18"/>
              </w:rPr>
            </w:pPr>
            <w:r>
              <w:rPr>
                <w:rFonts w:eastAsia="MS PGothic"/>
                <w:sz w:val="18"/>
              </w:rPr>
              <w:t>–</w:t>
            </w:r>
            <w:r w:rsidR="00FD5912" w:rsidRPr="008A113A">
              <w:rPr>
                <w:rFonts w:eastAsia="MS PGothic"/>
                <w:sz w:val="18"/>
              </w:rPr>
              <w:t>5.0 circular (see Note </w:t>
            </w:r>
            <w:r w:rsidR="00FD5912" w:rsidRPr="008A113A">
              <w:rPr>
                <w:sz w:val="18"/>
              </w:rPr>
              <w:t>3</w:t>
            </w:r>
            <w:r w:rsidR="00FD5912" w:rsidRPr="008A113A">
              <w:rPr>
                <w:rFonts w:eastAsia="MS PGothic"/>
                <w:sz w:val="18"/>
              </w:rPr>
              <w:t>)</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9D5108" w:rsidP="009D5108">
            <w:pPr>
              <w:pStyle w:val="Tabletext"/>
              <w:jc w:val="center"/>
              <w:rPr>
                <w:rFonts w:eastAsia="MS PGothic"/>
                <w:sz w:val="18"/>
              </w:rPr>
            </w:pPr>
            <w:r>
              <w:rPr>
                <w:rFonts w:eastAsia="MS PGothic"/>
                <w:sz w:val="18"/>
              </w:rPr>
              <w:t>–</w:t>
            </w:r>
            <w:r w:rsidR="00FD5912" w:rsidRPr="008A113A">
              <w:rPr>
                <w:rFonts w:eastAsia="MS PGothic"/>
                <w:sz w:val="18"/>
              </w:rPr>
              <w:t xml:space="preserve">7 linear </w:t>
            </w:r>
            <w:r w:rsidR="00FD5912" w:rsidRPr="008A113A">
              <w:rPr>
                <w:rFonts w:eastAsia="MS PGothic"/>
                <w:sz w:val="18"/>
              </w:rPr>
              <w:br/>
              <w:t>(&lt; 10° elev.)</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9D5108" w:rsidP="009D5108">
            <w:pPr>
              <w:pStyle w:val="Tabletext"/>
              <w:jc w:val="center"/>
              <w:rPr>
                <w:rFonts w:eastAsia="MS PGothic"/>
                <w:sz w:val="18"/>
              </w:rPr>
            </w:pPr>
            <w:r>
              <w:rPr>
                <w:rFonts w:eastAsia="MS PGothic"/>
                <w:sz w:val="18"/>
              </w:rPr>
              <w:t>–</w:t>
            </w:r>
            <w:r w:rsidR="00FD5912" w:rsidRPr="008A113A">
              <w:rPr>
                <w:rFonts w:eastAsia="MS PGothic"/>
                <w:sz w:val="18"/>
              </w:rPr>
              <w:t xml:space="preserve">7 linear </w:t>
            </w:r>
            <w:r w:rsidR="00FD5912" w:rsidRPr="008A113A">
              <w:rPr>
                <w:rFonts w:eastAsia="MS PGothic"/>
                <w:sz w:val="18"/>
              </w:rPr>
              <w:br/>
              <w:t>(&lt; 10° elev.)</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9D5108" w:rsidP="009D5108">
            <w:pPr>
              <w:pStyle w:val="Tabletext"/>
              <w:jc w:val="center"/>
              <w:rPr>
                <w:sz w:val="18"/>
                <w:lang w:eastAsia="ja-JP"/>
              </w:rPr>
            </w:pPr>
            <w:r>
              <w:rPr>
                <w:rFonts w:eastAsia="MS PGothic"/>
                <w:sz w:val="18"/>
              </w:rPr>
              <w:t>–</w:t>
            </w:r>
            <w:r w:rsidR="00FD5912" w:rsidRPr="008A113A">
              <w:rPr>
                <w:sz w:val="18"/>
                <w:lang w:eastAsia="ja-JP"/>
              </w:rPr>
              <w:t>10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rFonts w:eastAsia="MS PGothic"/>
                <w:sz w:val="18"/>
              </w:rPr>
            </w:pPr>
            <w:r w:rsidRPr="008A113A">
              <w:rPr>
                <w:sz w:val="18"/>
                <w:lang w:eastAsia="ja-JP"/>
              </w:rPr>
              <w:t>6</w:t>
            </w:r>
            <w:r w:rsidRPr="008A113A">
              <w:rPr>
                <w:sz w:val="18"/>
                <w:lang w:eastAsia="ja-JP"/>
              </w:rPr>
              <w:br/>
              <w:t>(Note 12)</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sz w:val="18"/>
                <w:lang w:eastAsia="ja-JP"/>
              </w:rPr>
            </w:pPr>
            <w:r w:rsidRPr="008A113A">
              <w:rPr>
                <w:sz w:val="18"/>
                <w:lang w:eastAsia="ja-JP"/>
              </w:rPr>
              <w:t>6</w:t>
            </w:r>
            <w:r w:rsidRPr="008A113A">
              <w:rPr>
                <w:sz w:val="18"/>
                <w:lang w:eastAsia="ja-JP"/>
              </w:rPr>
              <w:br/>
              <w:t>(Note 12)</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sz w:val="18"/>
              </w:rPr>
            </w:pPr>
            <w:r w:rsidRPr="008A113A">
              <w:rPr>
                <w:sz w:val="18"/>
                <w:lang w:eastAsia="ja-JP"/>
              </w:rPr>
              <w:t>6</w:t>
            </w:r>
            <w:r w:rsidRPr="008A113A">
              <w:rPr>
                <w:sz w:val="18"/>
                <w:lang w:eastAsia="ja-JP"/>
              </w:rPr>
              <w:br/>
              <w:t>(Note 12)</w:t>
            </w:r>
          </w:p>
        </w:tc>
      </w:tr>
      <w:tr w:rsidR="00FD5912" w:rsidRPr="003B1893" w:rsidTr="009D5108">
        <w:trPr>
          <w:cantSplit/>
          <w:jc w:val="center"/>
        </w:trPr>
        <w:tc>
          <w:tcPr>
            <w:tcW w:w="4534" w:type="dxa"/>
            <w:tcBorders>
              <w:top w:val="single" w:sz="4" w:space="0" w:color="auto"/>
              <w:left w:val="single" w:sz="4" w:space="0" w:color="auto"/>
              <w:bottom w:val="single" w:sz="4" w:space="0" w:color="auto"/>
              <w:right w:val="single" w:sz="4" w:space="0" w:color="auto"/>
            </w:tcBorders>
          </w:tcPr>
          <w:p w:rsidR="00FD5912" w:rsidRPr="008A113A" w:rsidRDefault="00FD5912" w:rsidP="009D5108">
            <w:pPr>
              <w:pStyle w:val="Tabletext"/>
              <w:jc w:val="left"/>
              <w:rPr>
                <w:rFonts w:eastAsia="MS PGothic"/>
                <w:sz w:val="18"/>
                <w:lang w:val="en-US"/>
              </w:rPr>
            </w:pPr>
            <w:r w:rsidRPr="008A113A">
              <w:rPr>
                <w:rFonts w:eastAsia="MS PGothic"/>
                <w:sz w:val="18"/>
                <w:lang w:val="en-US"/>
              </w:rPr>
              <w:t>RF filter 3 dB bandwidth (MHz)</w:t>
            </w:r>
          </w:p>
        </w:tc>
        <w:tc>
          <w:tcPr>
            <w:tcW w:w="1417"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rFonts w:eastAsia="MS PGothic"/>
                <w:sz w:val="18"/>
              </w:rPr>
            </w:pPr>
            <w:r w:rsidRPr="008A113A">
              <w:rPr>
                <w:rFonts w:eastAsia="MS PGothic"/>
                <w:sz w:val="18"/>
              </w:rPr>
              <w:t>24.0</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sz w:val="18"/>
                <w:lang w:eastAsia="ja-JP"/>
              </w:rPr>
            </w:pPr>
            <w:r w:rsidRPr="008A113A">
              <w:rPr>
                <w:rFonts w:eastAsia="MS PGothic"/>
                <w:sz w:val="18"/>
              </w:rPr>
              <w:t>24.0</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rFonts w:eastAsia="MS PGothic"/>
                <w:sz w:val="18"/>
              </w:rPr>
            </w:pPr>
            <w:r w:rsidRPr="008A113A">
              <w:rPr>
                <w:sz w:val="18"/>
                <w:lang w:eastAsia="ja-JP"/>
              </w:rPr>
              <w:t>24.0</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sz w:val="18"/>
                <w:lang w:eastAsia="ja-JP"/>
              </w:rPr>
            </w:pPr>
            <w:r w:rsidRPr="008A113A">
              <w:rPr>
                <w:sz w:val="18"/>
                <w:lang w:eastAsia="ja-JP"/>
              </w:rPr>
              <w:t>30</w:t>
            </w:r>
          </w:p>
        </w:tc>
        <w:tc>
          <w:tcPr>
            <w:tcW w:w="567"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sz w:val="18"/>
                <w:lang w:eastAsia="ja-JP"/>
              </w:rPr>
            </w:pPr>
            <w:r w:rsidRPr="008A113A">
              <w:rPr>
                <w:sz w:val="18"/>
                <w:lang w:eastAsia="ja-JP"/>
              </w:rPr>
              <w:t>32</w:t>
            </w:r>
          </w:p>
        </w:tc>
        <w:tc>
          <w:tcPr>
            <w:tcW w:w="851"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sz w:val="18"/>
                <w:lang w:eastAsia="ja-JP"/>
              </w:rPr>
            </w:pPr>
            <w:r w:rsidRPr="008A113A">
              <w:rPr>
                <w:sz w:val="18"/>
                <w:lang w:eastAsia="ja-JP"/>
              </w:rPr>
              <w:t>30</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sz w:val="18"/>
                <w:lang w:eastAsia="ja-JP"/>
              </w:rPr>
            </w:pPr>
            <w:r w:rsidRPr="008A113A">
              <w:rPr>
                <w:sz w:val="18"/>
                <w:lang w:eastAsia="ja-JP"/>
              </w:rPr>
              <w:t>64</w:t>
            </w:r>
          </w:p>
        </w:tc>
        <w:tc>
          <w:tcPr>
            <w:tcW w:w="567"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sz w:val="18"/>
                <w:lang w:eastAsia="ja-JP"/>
              </w:rPr>
            </w:pPr>
            <w:r w:rsidRPr="008A113A">
              <w:rPr>
                <w:sz w:val="18"/>
                <w:lang w:eastAsia="ja-JP"/>
              </w:rPr>
              <w:t>32</w:t>
            </w:r>
          </w:p>
        </w:tc>
        <w:tc>
          <w:tcPr>
            <w:tcW w:w="851"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sz w:val="18"/>
                <w:lang w:eastAsia="ja-JP"/>
              </w:rPr>
            </w:pPr>
            <w:r w:rsidRPr="008A113A">
              <w:rPr>
                <w:sz w:val="18"/>
                <w:lang w:eastAsia="ja-JP"/>
              </w:rPr>
              <w:t>30</w:t>
            </w:r>
          </w:p>
        </w:tc>
      </w:tr>
      <w:tr w:rsidR="00FD5912" w:rsidRPr="003B1893" w:rsidTr="009D5108">
        <w:trPr>
          <w:cantSplit/>
          <w:jc w:val="center"/>
        </w:trPr>
        <w:tc>
          <w:tcPr>
            <w:tcW w:w="4534" w:type="dxa"/>
            <w:tcBorders>
              <w:top w:val="single" w:sz="4" w:space="0" w:color="auto"/>
              <w:left w:val="single" w:sz="4" w:space="0" w:color="auto"/>
              <w:bottom w:val="single" w:sz="4" w:space="0" w:color="auto"/>
              <w:right w:val="single" w:sz="4" w:space="0" w:color="auto"/>
            </w:tcBorders>
          </w:tcPr>
          <w:p w:rsidR="00FD5912" w:rsidRPr="008A113A" w:rsidRDefault="00FD5912" w:rsidP="009D5108">
            <w:pPr>
              <w:pStyle w:val="Tabletext"/>
              <w:jc w:val="left"/>
              <w:rPr>
                <w:rFonts w:eastAsia="MS PGothic"/>
                <w:sz w:val="18"/>
              </w:rPr>
            </w:pPr>
            <w:r w:rsidRPr="008A113A">
              <w:rPr>
                <w:rFonts w:eastAsia="MS PGothic"/>
                <w:sz w:val="18"/>
              </w:rPr>
              <w:t>Pre-correlation filter 3 dB bandwidth (MHz)</w:t>
            </w:r>
          </w:p>
        </w:tc>
        <w:tc>
          <w:tcPr>
            <w:tcW w:w="1417"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rFonts w:eastAsia="MS PGothic"/>
                <w:sz w:val="18"/>
              </w:rPr>
            </w:pPr>
            <w:r w:rsidRPr="008A113A">
              <w:rPr>
                <w:sz w:val="18"/>
              </w:rPr>
              <w:t>20.46</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sz w:val="18"/>
                <w:lang w:eastAsia="ja-JP"/>
              </w:rPr>
            </w:pPr>
            <w:r w:rsidRPr="008A113A">
              <w:rPr>
                <w:sz w:val="18"/>
              </w:rPr>
              <w:t>20.46</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sz w:val="18"/>
              </w:rPr>
            </w:pPr>
            <w:r w:rsidRPr="008A113A">
              <w:rPr>
                <w:sz w:val="18"/>
                <w:lang w:eastAsia="ja-JP"/>
              </w:rPr>
              <w:t>20.46</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sz w:val="18"/>
                <w:lang w:eastAsia="ja-JP"/>
              </w:rPr>
            </w:pPr>
            <w:r w:rsidRPr="008A113A">
              <w:rPr>
                <w:sz w:val="18"/>
                <w:lang w:eastAsia="ja-JP"/>
              </w:rPr>
              <w:t>20</w:t>
            </w:r>
          </w:p>
        </w:tc>
        <w:tc>
          <w:tcPr>
            <w:tcW w:w="567"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sz w:val="18"/>
                <w:lang w:eastAsia="ja-JP"/>
              </w:rPr>
            </w:pPr>
            <w:r w:rsidRPr="008A113A">
              <w:rPr>
                <w:sz w:val="18"/>
                <w:lang w:eastAsia="ja-JP"/>
              </w:rPr>
              <w:t>2</w:t>
            </w:r>
          </w:p>
        </w:tc>
        <w:tc>
          <w:tcPr>
            <w:tcW w:w="851"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sz w:val="18"/>
                <w:lang w:eastAsia="ja-JP"/>
              </w:rPr>
            </w:pPr>
            <w:r w:rsidRPr="008A113A">
              <w:rPr>
                <w:sz w:val="18"/>
                <w:lang w:eastAsia="ja-JP"/>
              </w:rPr>
              <w:t>20</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sz w:val="18"/>
                <w:lang w:eastAsia="ja-JP"/>
              </w:rPr>
            </w:pPr>
            <w:r w:rsidRPr="008A113A">
              <w:rPr>
                <w:sz w:val="18"/>
                <w:lang w:eastAsia="ja-JP"/>
              </w:rPr>
              <w:t>50</w:t>
            </w:r>
          </w:p>
        </w:tc>
        <w:tc>
          <w:tcPr>
            <w:tcW w:w="567"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sz w:val="18"/>
                <w:lang w:eastAsia="ja-JP"/>
              </w:rPr>
            </w:pPr>
            <w:r w:rsidRPr="008A113A">
              <w:rPr>
                <w:sz w:val="18"/>
                <w:lang w:eastAsia="ja-JP"/>
              </w:rPr>
              <w:t>2</w:t>
            </w:r>
          </w:p>
        </w:tc>
        <w:tc>
          <w:tcPr>
            <w:tcW w:w="851"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sz w:val="18"/>
                <w:lang w:eastAsia="ja-JP"/>
              </w:rPr>
            </w:pPr>
            <w:r w:rsidRPr="008A113A">
              <w:rPr>
                <w:sz w:val="18"/>
                <w:lang w:eastAsia="ja-JP"/>
              </w:rPr>
              <w:t>20</w:t>
            </w:r>
          </w:p>
        </w:tc>
      </w:tr>
      <w:tr w:rsidR="00FD5912" w:rsidRPr="003B1893" w:rsidTr="009D5108">
        <w:trPr>
          <w:cantSplit/>
          <w:jc w:val="center"/>
        </w:trPr>
        <w:tc>
          <w:tcPr>
            <w:tcW w:w="4534" w:type="dxa"/>
            <w:tcBorders>
              <w:top w:val="single" w:sz="4" w:space="0" w:color="auto"/>
              <w:left w:val="single" w:sz="4" w:space="0" w:color="auto"/>
              <w:bottom w:val="single" w:sz="4" w:space="0" w:color="auto"/>
              <w:right w:val="single" w:sz="4" w:space="0" w:color="auto"/>
            </w:tcBorders>
          </w:tcPr>
          <w:p w:rsidR="00FD5912" w:rsidRPr="008A113A" w:rsidRDefault="00FD5912" w:rsidP="009D5108">
            <w:pPr>
              <w:pStyle w:val="Tabletext"/>
              <w:jc w:val="left"/>
              <w:rPr>
                <w:rFonts w:eastAsia="MS PGothic"/>
                <w:sz w:val="18"/>
                <w:lang w:val="en-US"/>
              </w:rPr>
            </w:pPr>
            <w:r w:rsidRPr="008A113A">
              <w:rPr>
                <w:rFonts w:eastAsia="MS PGothic"/>
                <w:sz w:val="18"/>
                <w:lang w:val="en-US"/>
              </w:rPr>
              <w:t>Receiver system noise temperature (K)</w:t>
            </w:r>
          </w:p>
        </w:tc>
        <w:tc>
          <w:tcPr>
            <w:tcW w:w="1417"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rFonts w:eastAsia="MS PGothic"/>
                <w:sz w:val="18"/>
              </w:rPr>
            </w:pPr>
            <w:r w:rsidRPr="008A113A">
              <w:rPr>
                <w:rFonts w:eastAsia="MS PGothic"/>
                <w:sz w:val="18"/>
              </w:rPr>
              <w:t>513</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sz w:val="18"/>
                <w:lang w:eastAsia="ja-JP"/>
              </w:rPr>
            </w:pPr>
            <w:r w:rsidRPr="008A113A">
              <w:rPr>
                <w:rFonts w:eastAsia="MS PGothic"/>
                <w:sz w:val="18"/>
              </w:rPr>
              <w:t>513</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rFonts w:eastAsia="MS PGothic"/>
                <w:sz w:val="18"/>
              </w:rPr>
            </w:pPr>
            <w:r w:rsidRPr="008A113A">
              <w:rPr>
                <w:sz w:val="18"/>
                <w:lang w:eastAsia="ja-JP"/>
              </w:rPr>
              <w:t>513</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sz w:val="18"/>
                <w:lang w:eastAsia="ja-JP"/>
              </w:rPr>
            </w:pPr>
            <w:r w:rsidRPr="008A113A">
              <w:rPr>
                <w:sz w:val="18"/>
                <w:lang w:eastAsia="ja-JP"/>
              </w:rPr>
              <w:t>400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sz w:val="18"/>
                <w:lang w:eastAsia="ja-JP"/>
              </w:rPr>
            </w:pPr>
            <w:r w:rsidRPr="008A113A">
              <w:rPr>
                <w:sz w:val="18"/>
                <w:lang w:eastAsia="ja-JP"/>
              </w:rPr>
              <w:t>645</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sz w:val="18"/>
                <w:lang w:eastAsia="ja-JP"/>
              </w:rPr>
            </w:pPr>
            <w:r w:rsidRPr="008A113A">
              <w:rPr>
                <w:sz w:val="18"/>
                <w:lang w:eastAsia="ja-JP"/>
              </w:rPr>
              <w:t>645</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sz w:val="18"/>
                <w:lang w:eastAsia="ja-JP"/>
              </w:rPr>
            </w:pPr>
            <w:r w:rsidRPr="008A113A">
              <w:rPr>
                <w:sz w:val="18"/>
                <w:lang w:eastAsia="ja-JP"/>
              </w:rPr>
              <w:t>645</w:t>
            </w:r>
          </w:p>
        </w:tc>
      </w:tr>
      <w:tr w:rsidR="00FD5912" w:rsidRPr="003B1893" w:rsidTr="009D5108">
        <w:trPr>
          <w:cantSplit/>
          <w:jc w:val="center"/>
        </w:trPr>
        <w:tc>
          <w:tcPr>
            <w:tcW w:w="4534" w:type="dxa"/>
            <w:tcBorders>
              <w:top w:val="single" w:sz="4" w:space="0" w:color="auto"/>
              <w:left w:val="single" w:sz="4" w:space="0" w:color="auto"/>
              <w:bottom w:val="single" w:sz="4" w:space="0" w:color="auto"/>
              <w:right w:val="single" w:sz="4" w:space="0" w:color="auto"/>
            </w:tcBorders>
          </w:tcPr>
          <w:p w:rsidR="00FD5912" w:rsidRPr="008A113A" w:rsidRDefault="00FD5912" w:rsidP="009D5108">
            <w:pPr>
              <w:pStyle w:val="Tabletext"/>
              <w:jc w:val="left"/>
              <w:rPr>
                <w:rFonts w:eastAsia="MS PGothic"/>
                <w:sz w:val="18"/>
                <w:lang w:val="en-US"/>
              </w:rPr>
            </w:pPr>
            <w:r w:rsidRPr="008A113A">
              <w:rPr>
                <w:rFonts w:eastAsia="MS PGothic"/>
                <w:sz w:val="18"/>
                <w:lang w:val="en-US"/>
              </w:rPr>
              <w:t>Tracking mode threshold power level of aggregate narrow-band interference at the passive antenna output (dBW)</w:t>
            </w:r>
          </w:p>
        </w:tc>
        <w:tc>
          <w:tcPr>
            <w:tcW w:w="1417" w:type="dxa"/>
            <w:tcBorders>
              <w:top w:val="single" w:sz="4" w:space="0" w:color="auto"/>
              <w:left w:val="single" w:sz="4" w:space="0" w:color="auto"/>
              <w:bottom w:val="single" w:sz="4" w:space="0" w:color="auto"/>
              <w:right w:val="single" w:sz="4" w:space="0" w:color="auto"/>
            </w:tcBorders>
            <w:vAlign w:val="center"/>
          </w:tcPr>
          <w:p w:rsidR="00FD5912" w:rsidRPr="008A113A" w:rsidRDefault="009D5108" w:rsidP="00AE3483">
            <w:pPr>
              <w:pStyle w:val="Tabletext"/>
              <w:jc w:val="center"/>
              <w:rPr>
                <w:rFonts w:eastAsia="MS PGothic"/>
                <w:sz w:val="18"/>
              </w:rPr>
            </w:pPr>
            <w:r>
              <w:rPr>
                <w:rFonts w:eastAsia="MS PGothic"/>
                <w:sz w:val="18"/>
              </w:rPr>
              <w:t>–</w:t>
            </w:r>
            <w:r w:rsidR="00FD5912" w:rsidRPr="008A113A">
              <w:rPr>
                <w:rFonts w:eastAsia="MS PGothic"/>
                <w:sz w:val="18"/>
              </w:rPr>
              <w:t>137.5 (P(Y))</w:t>
            </w:r>
            <w:r w:rsidR="00FD5912" w:rsidRPr="008A113A">
              <w:rPr>
                <w:rFonts w:eastAsia="MS PGothic"/>
                <w:sz w:val="18"/>
              </w:rPr>
              <w:br/>
              <w:t>(Note 1)</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9D5108" w:rsidP="009D5108">
            <w:pPr>
              <w:pStyle w:val="Tabletext"/>
              <w:jc w:val="center"/>
              <w:rPr>
                <w:rFonts w:eastAsia="MS PGothic"/>
                <w:sz w:val="18"/>
              </w:rPr>
            </w:pPr>
            <w:r>
              <w:rPr>
                <w:rFonts w:eastAsia="MS PGothic"/>
                <w:sz w:val="18"/>
              </w:rPr>
              <w:t>–</w:t>
            </w:r>
            <w:r w:rsidR="00FD5912" w:rsidRPr="008A113A">
              <w:rPr>
                <w:rFonts w:eastAsia="MS PGothic"/>
                <w:sz w:val="18"/>
              </w:rPr>
              <w:t>137.4 (P(Y))</w:t>
            </w:r>
            <w:r w:rsidR="00FD5912" w:rsidRPr="008A113A">
              <w:rPr>
                <w:rFonts w:eastAsia="MS PGothic"/>
                <w:sz w:val="18"/>
              </w:rPr>
              <w:br/>
              <w:t>(Note 1)</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9D5108" w:rsidP="009D5108">
            <w:pPr>
              <w:pStyle w:val="Tabletext"/>
              <w:jc w:val="center"/>
              <w:rPr>
                <w:rFonts w:eastAsia="MS PGothic"/>
                <w:sz w:val="18"/>
              </w:rPr>
            </w:pPr>
            <w:r>
              <w:rPr>
                <w:rFonts w:eastAsia="MS PGothic"/>
                <w:sz w:val="18"/>
              </w:rPr>
              <w:t>–</w:t>
            </w:r>
            <w:r w:rsidR="00FD5912" w:rsidRPr="008A113A">
              <w:rPr>
                <w:rFonts w:eastAsia="MS PGothic"/>
                <w:sz w:val="18"/>
              </w:rPr>
              <w:t>151.4 (Note 1)</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9D5108" w:rsidP="009D5108">
            <w:pPr>
              <w:pStyle w:val="Tabletext"/>
              <w:jc w:val="center"/>
              <w:rPr>
                <w:sz w:val="18"/>
                <w:lang w:eastAsia="ja-JP"/>
              </w:rPr>
            </w:pPr>
            <w:r>
              <w:rPr>
                <w:rFonts w:eastAsia="MS PGothic"/>
                <w:sz w:val="18"/>
              </w:rPr>
              <w:t>–</w:t>
            </w:r>
            <w:r w:rsidR="00FD5912" w:rsidRPr="008A113A">
              <w:rPr>
                <w:sz w:val="18"/>
                <w:lang w:eastAsia="ja-JP"/>
              </w:rPr>
              <w:t>149 (Note </w:t>
            </w:r>
            <w:r w:rsidR="00FD5912" w:rsidRPr="008A113A">
              <w:rPr>
                <w:sz w:val="18"/>
              </w:rPr>
              <w:t>9</w:t>
            </w:r>
            <w:r w:rsidR="00FD5912" w:rsidRPr="008A113A">
              <w:rPr>
                <w:sz w:val="18"/>
                <w:lang w:eastAsia="ja-JP"/>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D5912" w:rsidRPr="008A113A" w:rsidRDefault="009D5108" w:rsidP="009D5108">
            <w:pPr>
              <w:pStyle w:val="Tabletext"/>
              <w:jc w:val="center"/>
              <w:rPr>
                <w:rFonts w:eastAsia="MS PGothic"/>
                <w:sz w:val="18"/>
              </w:rPr>
            </w:pPr>
            <w:r>
              <w:rPr>
                <w:rFonts w:eastAsia="MS PGothic"/>
                <w:sz w:val="18"/>
              </w:rPr>
              <w:t>–</w:t>
            </w:r>
            <w:r w:rsidR="00FD5912" w:rsidRPr="008A113A">
              <w:rPr>
                <w:sz w:val="18"/>
                <w:lang w:eastAsia="ja-JP"/>
              </w:rPr>
              <w:t>193</w:t>
            </w:r>
            <w:r w:rsidR="00FD5912" w:rsidRPr="008A113A">
              <w:rPr>
                <w:sz w:val="18"/>
                <w:lang w:eastAsia="ja-JP"/>
              </w:rPr>
              <w:br/>
              <w:t>(Note 1)</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9D5108" w:rsidP="009D5108">
            <w:pPr>
              <w:pStyle w:val="Tabletext"/>
              <w:jc w:val="center"/>
              <w:rPr>
                <w:sz w:val="18"/>
                <w:lang w:eastAsia="ja-JP"/>
              </w:rPr>
            </w:pPr>
            <w:r>
              <w:rPr>
                <w:rFonts w:eastAsia="MS PGothic"/>
                <w:sz w:val="18"/>
              </w:rPr>
              <w:t>–</w:t>
            </w:r>
            <w:r w:rsidR="00FD5912" w:rsidRPr="008A113A">
              <w:rPr>
                <w:sz w:val="18"/>
                <w:lang w:eastAsia="ja-JP"/>
              </w:rPr>
              <w:t>119</w:t>
            </w:r>
            <w:r w:rsidR="00FD5912" w:rsidRPr="008A113A">
              <w:rPr>
                <w:sz w:val="18"/>
                <w:lang w:eastAsia="ja-JP"/>
              </w:rPr>
              <w:br/>
              <w:t xml:space="preserve">(Note </w:t>
            </w:r>
            <w:r w:rsidR="00FD5912" w:rsidRPr="008A113A">
              <w:rPr>
                <w:sz w:val="18"/>
              </w:rPr>
              <w:t>2</w:t>
            </w:r>
            <w:r w:rsidR="00FD5912" w:rsidRPr="008A113A">
              <w:rPr>
                <w:sz w:val="18"/>
                <w:lang w:eastAsia="ja-JP"/>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D5912" w:rsidRPr="008A113A" w:rsidRDefault="009D5108" w:rsidP="009D5108">
            <w:pPr>
              <w:pStyle w:val="Tabletext"/>
              <w:jc w:val="center"/>
              <w:rPr>
                <w:rFonts w:eastAsia="MS PGothic"/>
                <w:sz w:val="18"/>
              </w:rPr>
            </w:pPr>
            <w:r>
              <w:rPr>
                <w:rFonts w:eastAsia="MS PGothic"/>
                <w:sz w:val="18"/>
              </w:rPr>
              <w:t>–</w:t>
            </w:r>
            <w:r w:rsidR="00FD5912" w:rsidRPr="008A113A">
              <w:rPr>
                <w:sz w:val="18"/>
                <w:lang w:eastAsia="ja-JP"/>
              </w:rPr>
              <w:t>158</w:t>
            </w:r>
            <w:r w:rsidR="00FD5912" w:rsidRPr="008A113A">
              <w:rPr>
                <w:sz w:val="18"/>
                <w:lang w:eastAsia="ja-JP"/>
              </w:rPr>
              <w:br/>
              <w:t>(Note 1)</w:t>
            </w:r>
          </w:p>
        </w:tc>
      </w:tr>
      <w:tr w:rsidR="00FD5912" w:rsidRPr="003B1893" w:rsidTr="009D5108">
        <w:trPr>
          <w:cantSplit/>
          <w:jc w:val="center"/>
        </w:trPr>
        <w:tc>
          <w:tcPr>
            <w:tcW w:w="4534" w:type="dxa"/>
            <w:tcBorders>
              <w:top w:val="single" w:sz="4" w:space="0" w:color="auto"/>
              <w:left w:val="single" w:sz="4" w:space="0" w:color="auto"/>
              <w:bottom w:val="single" w:sz="4" w:space="0" w:color="auto"/>
              <w:right w:val="single" w:sz="4" w:space="0" w:color="auto"/>
            </w:tcBorders>
          </w:tcPr>
          <w:p w:rsidR="00FD5912" w:rsidRPr="008A113A" w:rsidRDefault="00FD5912" w:rsidP="009D5108">
            <w:pPr>
              <w:pStyle w:val="Tabletext"/>
              <w:jc w:val="left"/>
              <w:rPr>
                <w:rFonts w:eastAsia="MS PGothic"/>
                <w:sz w:val="18"/>
                <w:lang w:val="en-US"/>
              </w:rPr>
            </w:pPr>
            <w:r w:rsidRPr="008A113A">
              <w:rPr>
                <w:rFonts w:eastAsia="MS PGothic"/>
                <w:sz w:val="18"/>
                <w:lang w:val="en-US"/>
              </w:rPr>
              <w:t>Acquisition mode threshold power level of aggregate narrow-band interference at the passive antenna output (dBW)</w:t>
            </w:r>
          </w:p>
        </w:tc>
        <w:tc>
          <w:tcPr>
            <w:tcW w:w="1417"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rFonts w:eastAsia="MS PGothic"/>
                <w:sz w:val="18"/>
              </w:rPr>
            </w:pPr>
            <w:r w:rsidRPr="008A113A">
              <w:rPr>
                <w:rFonts w:eastAsia="MS PGothic"/>
                <w:sz w:val="18"/>
              </w:rPr>
              <w:t>See Note </w:t>
            </w:r>
            <w:r w:rsidRPr="008A113A">
              <w:rPr>
                <w:sz w:val="18"/>
              </w:rPr>
              <w:t>4</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rFonts w:eastAsia="MS PGothic"/>
                <w:sz w:val="18"/>
              </w:rPr>
            </w:pPr>
            <w:r w:rsidRPr="008A113A">
              <w:rPr>
                <w:rFonts w:eastAsia="MS PGothic"/>
                <w:sz w:val="18"/>
              </w:rPr>
              <w:t>See Note </w:t>
            </w:r>
            <w:r w:rsidRPr="008A113A">
              <w:rPr>
                <w:sz w:val="18"/>
              </w:rPr>
              <w:t>5</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9D5108" w:rsidP="009D5108">
            <w:pPr>
              <w:pStyle w:val="Tabletext"/>
              <w:jc w:val="center"/>
              <w:rPr>
                <w:rFonts w:eastAsia="MS PGothic"/>
                <w:sz w:val="18"/>
              </w:rPr>
            </w:pPr>
            <w:r>
              <w:rPr>
                <w:rFonts w:eastAsia="MS PGothic"/>
                <w:sz w:val="18"/>
              </w:rPr>
              <w:t>–</w:t>
            </w:r>
            <w:r w:rsidR="00FD5912" w:rsidRPr="008A113A">
              <w:rPr>
                <w:rFonts w:eastAsia="MS PGothic"/>
                <w:sz w:val="18"/>
              </w:rPr>
              <w:t>157.4 (Note 1)</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9D5108" w:rsidP="009D5108">
            <w:pPr>
              <w:pStyle w:val="Tabletext"/>
              <w:jc w:val="center"/>
              <w:rPr>
                <w:sz w:val="18"/>
                <w:lang w:eastAsia="ja-JP"/>
              </w:rPr>
            </w:pPr>
            <w:r>
              <w:rPr>
                <w:rFonts w:eastAsia="MS PGothic"/>
                <w:sz w:val="18"/>
              </w:rPr>
              <w:t>–</w:t>
            </w:r>
            <w:r w:rsidR="00FD5912" w:rsidRPr="008A113A">
              <w:rPr>
                <w:sz w:val="18"/>
                <w:lang w:eastAsia="ja-JP"/>
              </w:rPr>
              <w:t>155 (Note </w:t>
            </w:r>
            <w:r w:rsidR="00FD5912" w:rsidRPr="008A113A">
              <w:rPr>
                <w:sz w:val="18"/>
              </w:rPr>
              <w:t>9</w:t>
            </w:r>
            <w:r w:rsidR="00FD5912" w:rsidRPr="008A113A">
              <w:rPr>
                <w:sz w:val="18"/>
                <w:lang w:eastAsia="ja-JP"/>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D5912" w:rsidRPr="008A113A" w:rsidRDefault="009D5108" w:rsidP="009D5108">
            <w:pPr>
              <w:pStyle w:val="Tabletext"/>
              <w:jc w:val="center"/>
              <w:rPr>
                <w:sz w:val="18"/>
                <w:lang w:eastAsia="ja-JP"/>
              </w:rPr>
            </w:pPr>
            <w:r>
              <w:rPr>
                <w:rFonts w:eastAsia="MS PGothic"/>
                <w:sz w:val="18"/>
              </w:rPr>
              <w:t>–</w:t>
            </w:r>
            <w:r w:rsidR="00FD5912" w:rsidRPr="008A113A">
              <w:rPr>
                <w:sz w:val="18"/>
                <w:lang w:eastAsia="ja-JP"/>
              </w:rPr>
              <w:t>199</w:t>
            </w:r>
            <w:r w:rsidR="00FD5912" w:rsidRPr="008A113A">
              <w:rPr>
                <w:sz w:val="18"/>
                <w:lang w:eastAsia="ja-JP"/>
              </w:rPr>
              <w:br/>
              <w:t>(Note 1)</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9D5108" w:rsidP="009D5108">
            <w:pPr>
              <w:pStyle w:val="Tabletext"/>
              <w:jc w:val="center"/>
              <w:rPr>
                <w:sz w:val="18"/>
                <w:lang w:eastAsia="ja-JP"/>
              </w:rPr>
            </w:pPr>
            <w:r>
              <w:rPr>
                <w:rFonts w:eastAsia="MS PGothic"/>
                <w:sz w:val="18"/>
              </w:rPr>
              <w:t>–</w:t>
            </w:r>
            <w:r w:rsidR="00FD5912" w:rsidRPr="008A113A">
              <w:rPr>
                <w:sz w:val="18"/>
                <w:lang w:eastAsia="ja-JP"/>
              </w:rPr>
              <w:t>125</w:t>
            </w:r>
            <w:r w:rsidR="00FD5912" w:rsidRPr="008A113A">
              <w:rPr>
                <w:sz w:val="18"/>
                <w:lang w:eastAsia="ja-JP"/>
              </w:rPr>
              <w:br/>
              <w:t xml:space="preserve">(Note </w:t>
            </w:r>
            <w:r w:rsidR="00FD5912" w:rsidRPr="008A113A">
              <w:rPr>
                <w:sz w:val="18"/>
              </w:rPr>
              <w:t>2</w:t>
            </w:r>
            <w:r w:rsidR="00FD5912" w:rsidRPr="008A113A">
              <w:rPr>
                <w:sz w:val="18"/>
                <w:lang w:eastAsia="ja-JP"/>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D5912" w:rsidRPr="008A113A" w:rsidRDefault="009D5108" w:rsidP="00AE3483">
            <w:pPr>
              <w:pStyle w:val="Tabletext"/>
              <w:jc w:val="center"/>
              <w:rPr>
                <w:sz w:val="18"/>
                <w:lang w:eastAsia="ja-JP"/>
              </w:rPr>
            </w:pPr>
            <w:r>
              <w:rPr>
                <w:rFonts w:eastAsia="MS PGothic"/>
                <w:sz w:val="18"/>
              </w:rPr>
              <w:t>–</w:t>
            </w:r>
            <w:r w:rsidR="00FD5912" w:rsidRPr="008A113A">
              <w:rPr>
                <w:rFonts w:eastAsia="MS PGothic"/>
                <w:sz w:val="18"/>
              </w:rPr>
              <w:t>−</w:t>
            </w:r>
            <w:r w:rsidR="00FD5912" w:rsidRPr="008A113A">
              <w:rPr>
                <w:sz w:val="18"/>
                <w:lang w:eastAsia="ja-JP"/>
              </w:rPr>
              <w:t>164</w:t>
            </w:r>
            <w:r w:rsidR="00FD5912" w:rsidRPr="008A113A">
              <w:rPr>
                <w:sz w:val="18"/>
                <w:lang w:eastAsia="ja-JP"/>
              </w:rPr>
              <w:br/>
              <w:t>(Note 1)</w:t>
            </w:r>
          </w:p>
        </w:tc>
      </w:tr>
      <w:tr w:rsidR="00FD5912" w:rsidRPr="003B1893" w:rsidTr="009D5108">
        <w:trPr>
          <w:cantSplit/>
          <w:jc w:val="center"/>
        </w:trPr>
        <w:tc>
          <w:tcPr>
            <w:tcW w:w="4534" w:type="dxa"/>
            <w:tcBorders>
              <w:top w:val="single" w:sz="4" w:space="0" w:color="auto"/>
              <w:left w:val="single" w:sz="4" w:space="0" w:color="auto"/>
              <w:bottom w:val="single" w:sz="4" w:space="0" w:color="auto"/>
              <w:right w:val="single" w:sz="4" w:space="0" w:color="auto"/>
            </w:tcBorders>
          </w:tcPr>
          <w:p w:rsidR="00FD5912" w:rsidRPr="008A113A" w:rsidRDefault="00FD5912" w:rsidP="009D5108">
            <w:pPr>
              <w:pStyle w:val="Tabletext"/>
              <w:jc w:val="left"/>
              <w:rPr>
                <w:rFonts w:eastAsia="MS PGothic"/>
                <w:sz w:val="18"/>
                <w:lang w:val="en-US"/>
              </w:rPr>
            </w:pPr>
            <w:r w:rsidRPr="008A113A">
              <w:rPr>
                <w:rFonts w:eastAsia="MS PGothic"/>
                <w:sz w:val="18"/>
                <w:lang w:val="en-US"/>
              </w:rPr>
              <w:t>Tracking mode threshold power density level of aggregate wideband interference at the passive antenna output (dB(W/MHz))</w:t>
            </w:r>
          </w:p>
        </w:tc>
        <w:tc>
          <w:tcPr>
            <w:tcW w:w="1417" w:type="dxa"/>
            <w:tcBorders>
              <w:top w:val="single" w:sz="4" w:space="0" w:color="auto"/>
              <w:left w:val="single" w:sz="4" w:space="0" w:color="auto"/>
              <w:bottom w:val="single" w:sz="4" w:space="0" w:color="auto"/>
              <w:right w:val="single" w:sz="4" w:space="0" w:color="auto"/>
            </w:tcBorders>
            <w:vAlign w:val="center"/>
          </w:tcPr>
          <w:p w:rsidR="00FD5912" w:rsidRPr="008A113A" w:rsidRDefault="009D5108" w:rsidP="009D5108">
            <w:pPr>
              <w:pStyle w:val="Tabletext"/>
              <w:jc w:val="center"/>
              <w:rPr>
                <w:rFonts w:eastAsia="MS PGothic"/>
                <w:sz w:val="18"/>
              </w:rPr>
            </w:pPr>
            <w:r>
              <w:rPr>
                <w:rFonts w:eastAsia="MS PGothic"/>
                <w:sz w:val="18"/>
              </w:rPr>
              <w:t>–</w:t>
            </w:r>
            <w:r w:rsidR="00FD5912" w:rsidRPr="008A113A">
              <w:rPr>
                <w:rFonts w:eastAsia="MS PGothic"/>
                <w:sz w:val="18"/>
              </w:rPr>
              <w:t>147.5 (P(Y))</w:t>
            </w:r>
            <w:r w:rsidR="00FD5912" w:rsidRPr="008A113A">
              <w:rPr>
                <w:rFonts w:eastAsia="MS PGothic"/>
                <w:sz w:val="18"/>
              </w:rPr>
              <w:br/>
              <w:t>(Note 1)</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9D5108" w:rsidP="009D5108">
            <w:pPr>
              <w:pStyle w:val="Tabletext"/>
              <w:jc w:val="center"/>
              <w:rPr>
                <w:rFonts w:eastAsia="MS PGothic"/>
                <w:sz w:val="18"/>
              </w:rPr>
            </w:pPr>
            <w:r>
              <w:rPr>
                <w:rFonts w:eastAsia="MS PGothic"/>
                <w:sz w:val="18"/>
              </w:rPr>
              <w:t>–</w:t>
            </w:r>
            <w:r w:rsidR="00FD5912" w:rsidRPr="008A113A">
              <w:rPr>
                <w:rFonts w:eastAsia="MS PGothic"/>
                <w:sz w:val="18"/>
              </w:rPr>
              <w:t>147.4 (P(Y))</w:t>
            </w:r>
            <w:r w:rsidR="00FD5912" w:rsidRPr="008A113A">
              <w:rPr>
                <w:rFonts w:eastAsia="MS PGothic"/>
                <w:sz w:val="18"/>
              </w:rPr>
              <w:br/>
              <w:t>(Note 1)</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9D5108" w:rsidP="009D5108">
            <w:pPr>
              <w:pStyle w:val="Tabletext"/>
              <w:jc w:val="center"/>
              <w:rPr>
                <w:rFonts w:eastAsia="MS PGothic"/>
                <w:sz w:val="18"/>
              </w:rPr>
            </w:pPr>
            <w:r>
              <w:rPr>
                <w:rFonts w:eastAsia="MS PGothic"/>
                <w:sz w:val="18"/>
              </w:rPr>
              <w:t>–</w:t>
            </w:r>
            <w:r w:rsidR="00FD5912" w:rsidRPr="008A113A">
              <w:rPr>
                <w:rFonts w:eastAsia="MS PGothic"/>
                <w:sz w:val="18"/>
              </w:rPr>
              <w:t>147.4</w:t>
            </w:r>
            <w:r w:rsidR="00FD5912" w:rsidRPr="008A113A">
              <w:rPr>
                <w:rFonts w:eastAsia="MS PGothic"/>
                <w:sz w:val="18"/>
              </w:rPr>
              <w:br/>
              <w:t>(Note 1)</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9D5108" w:rsidP="009D5108">
            <w:pPr>
              <w:pStyle w:val="Tabletext"/>
              <w:jc w:val="center"/>
              <w:rPr>
                <w:sz w:val="18"/>
                <w:lang w:eastAsia="ja-JP"/>
              </w:rPr>
            </w:pPr>
            <w:r>
              <w:rPr>
                <w:rFonts w:eastAsia="MS PGothic"/>
                <w:sz w:val="18"/>
              </w:rPr>
              <w:t>–</w:t>
            </w:r>
            <w:r w:rsidR="00FD5912" w:rsidRPr="008A113A">
              <w:rPr>
                <w:sz w:val="18"/>
                <w:lang w:eastAsia="ja-JP"/>
              </w:rPr>
              <w:t>140 (Note </w:t>
            </w:r>
            <w:r w:rsidR="00FD5912" w:rsidRPr="008A113A">
              <w:rPr>
                <w:sz w:val="18"/>
              </w:rPr>
              <w:t>9</w:t>
            </w:r>
            <w:r w:rsidR="00FD5912" w:rsidRPr="008A113A">
              <w:rPr>
                <w:sz w:val="18"/>
                <w:lang w:eastAsia="ja-JP"/>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D5912" w:rsidRPr="008A113A" w:rsidRDefault="009D5108" w:rsidP="009D5108">
            <w:pPr>
              <w:pStyle w:val="Tabletext"/>
              <w:jc w:val="center"/>
              <w:rPr>
                <w:rFonts w:eastAsia="MS PGothic"/>
                <w:sz w:val="18"/>
              </w:rPr>
            </w:pPr>
            <w:r>
              <w:rPr>
                <w:rFonts w:eastAsia="MS PGothic"/>
                <w:sz w:val="18"/>
              </w:rPr>
              <w:t>–</w:t>
            </w:r>
            <w:r w:rsidR="00FD5912" w:rsidRPr="008A113A">
              <w:rPr>
                <w:sz w:val="18"/>
                <w:lang w:eastAsia="ja-JP"/>
              </w:rPr>
              <w:t>150</w:t>
            </w:r>
            <w:r w:rsidR="00FD5912" w:rsidRPr="008A113A">
              <w:rPr>
                <w:sz w:val="18"/>
                <w:lang w:eastAsia="ja-JP"/>
              </w:rPr>
              <w:br/>
              <w:t>(Note 1)</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9D5108" w:rsidP="009D5108">
            <w:pPr>
              <w:pStyle w:val="Tabletext"/>
              <w:jc w:val="center"/>
              <w:rPr>
                <w:sz w:val="18"/>
                <w:lang w:eastAsia="ja-JP"/>
              </w:rPr>
            </w:pPr>
            <w:r>
              <w:rPr>
                <w:rFonts w:eastAsia="MS PGothic"/>
                <w:sz w:val="18"/>
              </w:rPr>
              <w:t>–</w:t>
            </w:r>
            <w:r w:rsidR="00FD5912" w:rsidRPr="008A113A">
              <w:rPr>
                <w:sz w:val="18"/>
                <w:lang w:eastAsia="ja-JP"/>
              </w:rPr>
              <w:t>121</w:t>
            </w:r>
            <w:r w:rsidR="00FD5912" w:rsidRPr="008A113A">
              <w:rPr>
                <w:sz w:val="18"/>
                <w:lang w:eastAsia="ja-JP"/>
              </w:rPr>
              <w:br/>
              <w:t xml:space="preserve">(Note </w:t>
            </w:r>
            <w:r w:rsidR="00FD5912" w:rsidRPr="008A113A">
              <w:rPr>
                <w:sz w:val="18"/>
              </w:rPr>
              <w:t>2</w:t>
            </w:r>
            <w:r w:rsidR="00FD5912" w:rsidRPr="008A113A">
              <w:rPr>
                <w:sz w:val="18"/>
                <w:lang w:eastAsia="ja-JP"/>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D5912" w:rsidRPr="008A113A" w:rsidRDefault="009D5108" w:rsidP="009D5108">
            <w:pPr>
              <w:pStyle w:val="Tabletext"/>
              <w:jc w:val="center"/>
              <w:rPr>
                <w:rFonts w:eastAsia="MS PGothic"/>
                <w:sz w:val="18"/>
              </w:rPr>
            </w:pPr>
            <w:r>
              <w:rPr>
                <w:rFonts w:eastAsia="MS PGothic"/>
                <w:sz w:val="18"/>
              </w:rPr>
              <w:t>–</w:t>
            </w:r>
            <w:r w:rsidR="00FD5912" w:rsidRPr="008A113A">
              <w:rPr>
                <w:sz w:val="18"/>
                <w:lang w:eastAsia="ja-JP"/>
              </w:rPr>
              <w:t>139</w:t>
            </w:r>
            <w:r w:rsidR="00FD5912" w:rsidRPr="008A113A">
              <w:rPr>
                <w:sz w:val="18"/>
                <w:lang w:eastAsia="ja-JP"/>
              </w:rPr>
              <w:br/>
              <w:t>(Note 1)</w:t>
            </w:r>
          </w:p>
        </w:tc>
      </w:tr>
      <w:tr w:rsidR="00FD5912" w:rsidRPr="009D5108" w:rsidTr="009D5108">
        <w:trPr>
          <w:cantSplit/>
          <w:jc w:val="center"/>
        </w:trPr>
        <w:tc>
          <w:tcPr>
            <w:tcW w:w="4534" w:type="dxa"/>
            <w:tcBorders>
              <w:top w:val="single" w:sz="4" w:space="0" w:color="auto"/>
              <w:left w:val="single" w:sz="4" w:space="0" w:color="auto"/>
              <w:bottom w:val="single" w:sz="4" w:space="0" w:color="auto"/>
              <w:right w:val="single" w:sz="4" w:space="0" w:color="auto"/>
            </w:tcBorders>
          </w:tcPr>
          <w:p w:rsidR="00FD5912" w:rsidRPr="008A113A" w:rsidRDefault="00FD5912" w:rsidP="009D5108">
            <w:pPr>
              <w:pStyle w:val="Tabletext"/>
              <w:jc w:val="left"/>
              <w:rPr>
                <w:sz w:val="18"/>
                <w:lang w:val="en-US"/>
              </w:rPr>
            </w:pPr>
            <w:r w:rsidRPr="008A113A">
              <w:rPr>
                <w:rFonts w:eastAsia="MS PGothic"/>
                <w:sz w:val="18"/>
                <w:lang w:val="en-US"/>
              </w:rPr>
              <w:t xml:space="preserve">Acquisition mode threshold power density level of aggregate wideband interference at the passive antenna output (dB(W/MHz)) </w:t>
            </w:r>
          </w:p>
        </w:tc>
        <w:tc>
          <w:tcPr>
            <w:tcW w:w="1417"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rFonts w:eastAsia="MS PGothic"/>
                <w:sz w:val="18"/>
              </w:rPr>
            </w:pPr>
            <w:r w:rsidRPr="008A113A">
              <w:rPr>
                <w:rFonts w:eastAsia="MS PGothic"/>
                <w:sz w:val="18"/>
              </w:rPr>
              <w:t>See Note </w:t>
            </w:r>
            <w:r w:rsidRPr="008A113A">
              <w:rPr>
                <w:sz w:val="18"/>
              </w:rPr>
              <w:t>4</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rFonts w:eastAsia="MS PGothic"/>
                <w:sz w:val="18"/>
              </w:rPr>
            </w:pPr>
            <w:r w:rsidRPr="008A113A">
              <w:rPr>
                <w:rFonts w:eastAsia="MS PGothic"/>
                <w:sz w:val="18"/>
              </w:rPr>
              <w:t>See Note </w:t>
            </w:r>
            <w:r w:rsidRPr="008A113A">
              <w:rPr>
                <w:sz w:val="18"/>
              </w:rPr>
              <w:t>5</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9D5108" w:rsidP="009D5108">
            <w:pPr>
              <w:pStyle w:val="Tabletext"/>
              <w:jc w:val="center"/>
              <w:rPr>
                <w:rFonts w:eastAsia="MS PGothic"/>
                <w:sz w:val="18"/>
              </w:rPr>
            </w:pPr>
            <w:r>
              <w:rPr>
                <w:rFonts w:eastAsia="MS PGothic"/>
                <w:sz w:val="18"/>
              </w:rPr>
              <w:t>–</w:t>
            </w:r>
            <w:r w:rsidR="00FD5912" w:rsidRPr="008A113A">
              <w:rPr>
                <w:rFonts w:eastAsia="MS PGothic"/>
                <w:sz w:val="18"/>
              </w:rPr>
              <w:t>147.4</w:t>
            </w:r>
            <w:r w:rsidR="00FD5912" w:rsidRPr="008A113A">
              <w:rPr>
                <w:rFonts w:eastAsia="MS PGothic"/>
                <w:sz w:val="18"/>
              </w:rPr>
              <w:br/>
              <w:t>(Note 1)</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9D5108" w:rsidP="009D5108">
            <w:pPr>
              <w:pStyle w:val="Tabletext"/>
              <w:jc w:val="center"/>
              <w:rPr>
                <w:sz w:val="18"/>
                <w:lang w:eastAsia="ja-JP"/>
              </w:rPr>
            </w:pPr>
            <w:r>
              <w:rPr>
                <w:rFonts w:eastAsia="MS PGothic"/>
                <w:sz w:val="18"/>
              </w:rPr>
              <w:t>–</w:t>
            </w:r>
            <w:r w:rsidR="00FD5912" w:rsidRPr="008A113A">
              <w:rPr>
                <w:sz w:val="18"/>
                <w:lang w:eastAsia="ja-JP"/>
              </w:rPr>
              <w:t>146 (Note </w:t>
            </w:r>
            <w:r w:rsidR="00FD5912" w:rsidRPr="008A113A">
              <w:rPr>
                <w:sz w:val="18"/>
              </w:rPr>
              <w:t>9</w:t>
            </w:r>
            <w:r w:rsidR="00FD5912" w:rsidRPr="008A113A">
              <w:rPr>
                <w:sz w:val="18"/>
                <w:lang w:eastAsia="ja-JP"/>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D5912" w:rsidRPr="008A113A" w:rsidRDefault="009D5108" w:rsidP="009D5108">
            <w:pPr>
              <w:pStyle w:val="Tabletext"/>
              <w:jc w:val="center"/>
              <w:rPr>
                <w:sz w:val="18"/>
                <w:lang w:eastAsia="ja-JP"/>
              </w:rPr>
            </w:pPr>
            <w:r>
              <w:rPr>
                <w:rFonts w:eastAsia="MS PGothic"/>
                <w:sz w:val="18"/>
              </w:rPr>
              <w:t>–</w:t>
            </w:r>
            <w:r w:rsidR="00FD5912" w:rsidRPr="008A113A">
              <w:rPr>
                <w:sz w:val="18"/>
                <w:lang w:eastAsia="ja-JP"/>
              </w:rPr>
              <w:t>156</w:t>
            </w:r>
            <w:r w:rsidR="00FD5912" w:rsidRPr="008A113A">
              <w:rPr>
                <w:sz w:val="18"/>
                <w:lang w:eastAsia="ja-JP"/>
              </w:rPr>
              <w:br/>
              <w:t>(Note 1)</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9D5108" w:rsidP="009D5108">
            <w:pPr>
              <w:pStyle w:val="Tabletext"/>
              <w:jc w:val="center"/>
              <w:rPr>
                <w:sz w:val="18"/>
                <w:lang w:eastAsia="ja-JP"/>
              </w:rPr>
            </w:pPr>
            <w:r>
              <w:rPr>
                <w:rFonts w:eastAsia="MS PGothic"/>
                <w:sz w:val="18"/>
              </w:rPr>
              <w:t>–</w:t>
            </w:r>
            <w:r w:rsidR="00FD5912" w:rsidRPr="008A113A">
              <w:rPr>
                <w:sz w:val="18"/>
                <w:lang w:eastAsia="ja-JP"/>
              </w:rPr>
              <w:t>127</w:t>
            </w:r>
            <w:r w:rsidR="00FD5912" w:rsidRPr="008A113A">
              <w:rPr>
                <w:sz w:val="18"/>
                <w:lang w:eastAsia="ja-JP"/>
              </w:rPr>
              <w:br/>
              <w:t xml:space="preserve">(Note </w:t>
            </w:r>
            <w:r w:rsidR="00FD5912" w:rsidRPr="008A113A">
              <w:rPr>
                <w:sz w:val="18"/>
              </w:rPr>
              <w:t>2</w:t>
            </w:r>
            <w:r w:rsidR="00FD5912" w:rsidRPr="008A113A">
              <w:rPr>
                <w:sz w:val="18"/>
                <w:lang w:eastAsia="ja-JP"/>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D5912" w:rsidRPr="009D5108" w:rsidRDefault="009D5108" w:rsidP="009D5108">
            <w:pPr>
              <w:pStyle w:val="Tabletext"/>
              <w:jc w:val="center"/>
              <w:rPr>
                <w:rFonts w:eastAsia="MS PGothic"/>
                <w:sz w:val="18"/>
                <w:lang w:val="en-US"/>
              </w:rPr>
            </w:pPr>
            <w:r>
              <w:rPr>
                <w:rFonts w:eastAsia="MS PGothic"/>
                <w:sz w:val="18"/>
              </w:rPr>
              <w:t>–</w:t>
            </w:r>
            <w:r w:rsidR="00FD5912" w:rsidRPr="009D5108">
              <w:rPr>
                <w:sz w:val="18"/>
                <w:lang w:val="en-US" w:eastAsia="ja-JP"/>
              </w:rPr>
              <w:t>145</w:t>
            </w:r>
            <w:r w:rsidRPr="009D5108">
              <w:rPr>
                <w:sz w:val="18"/>
                <w:lang w:val="en-US" w:eastAsia="ja-JP"/>
              </w:rPr>
              <w:br/>
            </w:r>
            <w:r w:rsidR="00FD5912" w:rsidRPr="009D5108">
              <w:rPr>
                <w:sz w:val="18"/>
                <w:lang w:val="en-US" w:eastAsia="ja-JP"/>
              </w:rPr>
              <w:t>(Note 1)</w:t>
            </w:r>
          </w:p>
        </w:tc>
      </w:tr>
    </w:tbl>
    <w:p w:rsidR="002A162A" w:rsidRDefault="002A162A" w:rsidP="002A162A">
      <w:pPr>
        <w:pStyle w:val="Tablefin"/>
        <w:rPr>
          <w:sz w:val="2"/>
        </w:rPr>
      </w:pPr>
    </w:p>
    <w:p w:rsidR="002A162A" w:rsidRPr="00FD5912" w:rsidRDefault="002A162A" w:rsidP="002A162A">
      <w:pPr>
        <w:pStyle w:val="TableNo"/>
        <w:rPr>
          <w:lang w:val="en-US"/>
        </w:rPr>
      </w:pPr>
      <w:r w:rsidRPr="00FD5912">
        <w:rPr>
          <w:lang w:val="en-US"/>
        </w:rPr>
        <w:lastRenderedPageBreak/>
        <w:t>TABLE 1-1</w:t>
      </w:r>
      <w:r>
        <w:rPr>
          <w:lang w:val="en-US"/>
        </w:rPr>
        <w:t xml:space="preserve"> (</w:t>
      </w:r>
      <w:r w:rsidRPr="002A162A">
        <w:rPr>
          <w:i/>
          <w:iCs/>
          <w:lang w:val="en-US"/>
        </w:rPr>
        <w:t>end</w:t>
      </w:r>
      <w:r>
        <w:rPr>
          <w:lang w:val="en-US"/>
        </w:rPr>
        <w:t>)</w:t>
      </w:r>
    </w:p>
    <w:tbl>
      <w:tblPr>
        <w:tblW w:w="14459" w:type="dxa"/>
        <w:jc w:val="center"/>
        <w:tblLayout w:type="fixed"/>
        <w:tblLook w:val="0000" w:firstRow="0" w:lastRow="0" w:firstColumn="0" w:lastColumn="0" w:noHBand="0" w:noVBand="0"/>
      </w:tblPr>
      <w:tblGrid>
        <w:gridCol w:w="4534"/>
        <w:gridCol w:w="1417"/>
        <w:gridCol w:w="1418"/>
        <w:gridCol w:w="1418"/>
        <w:gridCol w:w="1418"/>
        <w:gridCol w:w="1418"/>
        <w:gridCol w:w="1418"/>
        <w:gridCol w:w="1418"/>
      </w:tblGrid>
      <w:tr w:rsidR="002A162A" w:rsidRPr="008A113A" w:rsidTr="002A162A">
        <w:trPr>
          <w:cantSplit/>
          <w:tblHeader/>
          <w:jc w:val="center"/>
        </w:trPr>
        <w:tc>
          <w:tcPr>
            <w:tcW w:w="4534" w:type="dxa"/>
            <w:tcBorders>
              <w:top w:val="single" w:sz="4" w:space="0" w:color="auto"/>
              <w:left w:val="single" w:sz="4" w:space="0" w:color="auto"/>
              <w:bottom w:val="single" w:sz="4" w:space="0" w:color="auto"/>
              <w:right w:val="single" w:sz="4" w:space="0" w:color="auto"/>
            </w:tcBorders>
            <w:vAlign w:val="center"/>
          </w:tcPr>
          <w:p w:rsidR="002A162A" w:rsidRPr="008A113A" w:rsidRDefault="002A162A" w:rsidP="002A162A">
            <w:pPr>
              <w:pStyle w:val="Tablehead"/>
              <w:rPr>
                <w:rFonts w:eastAsia="MS PGothic"/>
                <w:sz w:val="18"/>
                <w:lang w:val="en-US"/>
              </w:rPr>
            </w:pPr>
          </w:p>
        </w:tc>
        <w:tc>
          <w:tcPr>
            <w:tcW w:w="1417" w:type="dxa"/>
            <w:tcBorders>
              <w:top w:val="single" w:sz="4" w:space="0" w:color="auto"/>
              <w:left w:val="single" w:sz="4" w:space="0" w:color="auto"/>
              <w:bottom w:val="single" w:sz="4" w:space="0" w:color="auto"/>
              <w:right w:val="single" w:sz="4" w:space="0" w:color="auto"/>
            </w:tcBorders>
            <w:vAlign w:val="center"/>
          </w:tcPr>
          <w:p w:rsidR="002A162A" w:rsidRPr="008A113A" w:rsidRDefault="002A162A" w:rsidP="002A162A">
            <w:pPr>
              <w:pStyle w:val="Tablehead"/>
              <w:rPr>
                <w:rFonts w:eastAsia="MS PGothic"/>
                <w:sz w:val="18"/>
              </w:rPr>
            </w:pPr>
            <w:r w:rsidRPr="008A113A">
              <w:rPr>
                <w:rFonts w:eastAsia="MS PGothic"/>
                <w:sz w:val="18"/>
              </w:rPr>
              <w:t>1</w:t>
            </w:r>
          </w:p>
        </w:tc>
        <w:tc>
          <w:tcPr>
            <w:tcW w:w="1418" w:type="dxa"/>
            <w:tcBorders>
              <w:top w:val="single" w:sz="4" w:space="0" w:color="auto"/>
              <w:left w:val="single" w:sz="4" w:space="0" w:color="auto"/>
              <w:bottom w:val="single" w:sz="4" w:space="0" w:color="auto"/>
              <w:right w:val="single" w:sz="4" w:space="0" w:color="auto"/>
            </w:tcBorders>
            <w:vAlign w:val="center"/>
          </w:tcPr>
          <w:p w:rsidR="002A162A" w:rsidRPr="008A113A" w:rsidRDefault="002A162A" w:rsidP="002A162A">
            <w:pPr>
              <w:pStyle w:val="Tablehead"/>
              <w:rPr>
                <w:rFonts w:eastAsia="MS PGothic"/>
                <w:sz w:val="18"/>
              </w:rPr>
            </w:pPr>
            <w:r w:rsidRPr="008A113A">
              <w:rPr>
                <w:rFonts w:eastAsia="MS PGothic"/>
                <w:sz w:val="18"/>
              </w:rPr>
              <w:t>2</w:t>
            </w:r>
          </w:p>
        </w:tc>
        <w:tc>
          <w:tcPr>
            <w:tcW w:w="1418" w:type="dxa"/>
            <w:tcBorders>
              <w:top w:val="single" w:sz="4" w:space="0" w:color="auto"/>
              <w:left w:val="single" w:sz="4" w:space="0" w:color="auto"/>
              <w:bottom w:val="single" w:sz="4" w:space="0" w:color="auto"/>
              <w:right w:val="single" w:sz="4" w:space="0" w:color="auto"/>
            </w:tcBorders>
            <w:vAlign w:val="center"/>
          </w:tcPr>
          <w:p w:rsidR="002A162A" w:rsidRPr="008A113A" w:rsidRDefault="002A162A" w:rsidP="002A162A">
            <w:pPr>
              <w:pStyle w:val="Tablehead"/>
              <w:rPr>
                <w:rFonts w:eastAsia="MS PGothic"/>
                <w:sz w:val="18"/>
              </w:rPr>
            </w:pPr>
            <w:r w:rsidRPr="008A113A">
              <w:rPr>
                <w:rFonts w:eastAsia="MS PGothic"/>
                <w:sz w:val="18"/>
              </w:rPr>
              <w:t>3</w:t>
            </w:r>
          </w:p>
        </w:tc>
        <w:tc>
          <w:tcPr>
            <w:tcW w:w="1418" w:type="dxa"/>
            <w:tcBorders>
              <w:top w:val="single" w:sz="4" w:space="0" w:color="auto"/>
              <w:left w:val="single" w:sz="4" w:space="0" w:color="auto"/>
              <w:bottom w:val="single" w:sz="4" w:space="0" w:color="auto"/>
              <w:right w:val="single" w:sz="4" w:space="0" w:color="auto"/>
            </w:tcBorders>
            <w:vAlign w:val="center"/>
          </w:tcPr>
          <w:p w:rsidR="002A162A" w:rsidRPr="008A113A" w:rsidRDefault="002A162A" w:rsidP="002A162A">
            <w:pPr>
              <w:pStyle w:val="Tablehead"/>
              <w:rPr>
                <w:rFonts w:eastAsia="MS PGothic"/>
                <w:sz w:val="18"/>
              </w:rPr>
            </w:pPr>
            <w:r w:rsidRPr="008A113A">
              <w:rPr>
                <w:rFonts w:eastAsia="MS PGothic"/>
                <w:sz w:val="18"/>
              </w:rPr>
              <w:t>4</w:t>
            </w:r>
          </w:p>
        </w:tc>
        <w:tc>
          <w:tcPr>
            <w:tcW w:w="1418" w:type="dxa"/>
            <w:tcBorders>
              <w:top w:val="single" w:sz="4" w:space="0" w:color="auto"/>
              <w:left w:val="single" w:sz="4" w:space="0" w:color="auto"/>
              <w:bottom w:val="single" w:sz="4" w:space="0" w:color="auto"/>
              <w:right w:val="single" w:sz="4" w:space="0" w:color="auto"/>
            </w:tcBorders>
            <w:vAlign w:val="center"/>
          </w:tcPr>
          <w:p w:rsidR="002A162A" w:rsidRPr="008A113A" w:rsidRDefault="002A162A" w:rsidP="002A162A">
            <w:pPr>
              <w:pStyle w:val="Tablehead"/>
              <w:rPr>
                <w:rFonts w:eastAsia="MS PGothic"/>
                <w:sz w:val="18"/>
              </w:rPr>
            </w:pPr>
            <w:r w:rsidRPr="008A113A">
              <w:rPr>
                <w:rFonts w:eastAsia="MS PGothic"/>
                <w:sz w:val="18"/>
              </w:rPr>
              <w:t>5</w:t>
            </w:r>
          </w:p>
        </w:tc>
        <w:tc>
          <w:tcPr>
            <w:tcW w:w="1418" w:type="dxa"/>
            <w:tcBorders>
              <w:top w:val="single" w:sz="4" w:space="0" w:color="auto"/>
              <w:left w:val="single" w:sz="4" w:space="0" w:color="auto"/>
              <w:bottom w:val="single" w:sz="4" w:space="0" w:color="auto"/>
              <w:right w:val="single" w:sz="4" w:space="0" w:color="auto"/>
            </w:tcBorders>
            <w:vAlign w:val="center"/>
          </w:tcPr>
          <w:p w:rsidR="002A162A" w:rsidRPr="008A113A" w:rsidRDefault="002A162A" w:rsidP="002A162A">
            <w:pPr>
              <w:pStyle w:val="Tablehead"/>
              <w:rPr>
                <w:sz w:val="18"/>
              </w:rPr>
            </w:pPr>
            <w:r w:rsidRPr="008A113A">
              <w:rPr>
                <w:sz w:val="18"/>
              </w:rPr>
              <w:t>6</w:t>
            </w:r>
          </w:p>
        </w:tc>
        <w:tc>
          <w:tcPr>
            <w:tcW w:w="1418" w:type="dxa"/>
            <w:tcBorders>
              <w:top w:val="single" w:sz="4" w:space="0" w:color="auto"/>
              <w:left w:val="single" w:sz="4" w:space="0" w:color="auto"/>
              <w:bottom w:val="single" w:sz="4" w:space="0" w:color="auto"/>
              <w:right w:val="single" w:sz="4" w:space="0" w:color="auto"/>
            </w:tcBorders>
            <w:vAlign w:val="center"/>
          </w:tcPr>
          <w:p w:rsidR="002A162A" w:rsidRPr="008A113A" w:rsidRDefault="002A162A" w:rsidP="002A162A">
            <w:pPr>
              <w:pStyle w:val="Tablehead"/>
              <w:rPr>
                <w:rFonts w:eastAsia="MS PGothic"/>
                <w:sz w:val="18"/>
              </w:rPr>
            </w:pPr>
            <w:r w:rsidRPr="008A113A">
              <w:rPr>
                <w:rFonts w:eastAsia="MS PGothic"/>
                <w:sz w:val="18"/>
              </w:rPr>
              <w:t>7</w:t>
            </w:r>
          </w:p>
        </w:tc>
      </w:tr>
      <w:tr w:rsidR="002A162A" w:rsidRPr="008A113A" w:rsidTr="002A162A">
        <w:trPr>
          <w:cantSplit/>
          <w:tblHeader/>
          <w:jc w:val="center"/>
        </w:trPr>
        <w:tc>
          <w:tcPr>
            <w:tcW w:w="4534" w:type="dxa"/>
            <w:tcBorders>
              <w:top w:val="single" w:sz="4" w:space="0" w:color="auto"/>
              <w:left w:val="single" w:sz="4" w:space="0" w:color="auto"/>
              <w:bottom w:val="single" w:sz="4" w:space="0" w:color="auto"/>
              <w:right w:val="single" w:sz="4" w:space="0" w:color="auto"/>
            </w:tcBorders>
            <w:vAlign w:val="center"/>
          </w:tcPr>
          <w:p w:rsidR="002A162A" w:rsidRPr="008A113A" w:rsidRDefault="002A162A" w:rsidP="002A162A">
            <w:pPr>
              <w:pStyle w:val="Tablehead"/>
              <w:rPr>
                <w:rFonts w:eastAsia="MS PGothic"/>
                <w:sz w:val="18"/>
              </w:rPr>
            </w:pPr>
            <w:r w:rsidRPr="008A113A">
              <w:rPr>
                <w:rFonts w:eastAsia="MS PGothic"/>
                <w:sz w:val="18"/>
              </w:rPr>
              <w:t>Parameter</w:t>
            </w:r>
          </w:p>
        </w:tc>
        <w:tc>
          <w:tcPr>
            <w:tcW w:w="1417" w:type="dxa"/>
            <w:tcBorders>
              <w:top w:val="single" w:sz="4" w:space="0" w:color="auto"/>
              <w:left w:val="single" w:sz="4" w:space="0" w:color="auto"/>
              <w:bottom w:val="single" w:sz="4" w:space="0" w:color="auto"/>
              <w:right w:val="single" w:sz="4" w:space="0" w:color="auto"/>
            </w:tcBorders>
            <w:vAlign w:val="center"/>
          </w:tcPr>
          <w:p w:rsidR="002A162A" w:rsidRPr="008A113A" w:rsidRDefault="002A162A" w:rsidP="002A162A">
            <w:pPr>
              <w:pStyle w:val="Tablehead"/>
              <w:rPr>
                <w:rFonts w:eastAsia="MS PGothic"/>
                <w:sz w:val="18"/>
              </w:rPr>
            </w:pPr>
            <w:r w:rsidRPr="008A113A">
              <w:rPr>
                <w:rFonts w:eastAsia="MS PGothic"/>
                <w:sz w:val="18"/>
              </w:rPr>
              <w:t>SBAS ground reference receiver*</w:t>
            </w:r>
          </w:p>
        </w:tc>
        <w:tc>
          <w:tcPr>
            <w:tcW w:w="1418" w:type="dxa"/>
            <w:tcBorders>
              <w:top w:val="single" w:sz="4" w:space="0" w:color="auto"/>
              <w:left w:val="single" w:sz="4" w:space="0" w:color="auto"/>
              <w:bottom w:val="single" w:sz="4" w:space="0" w:color="auto"/>
              <w:right w:val="single" w:sz="4" w:space="0" w:color="auto"/>
            </w:tcBorders>
            <w:vAlign w:val="center"/>
          </w:tcPr>
          <w:p w:rsidR="002A162A" w:rsidRPr="008A113A" w:rsidRDefault="002A162A" w:rsidP="002A162A">
            <w:pPr>
              <w:pStyle w:val="Tablehead"/>
              <w:rPr>
                <w:rFonts w:eastAsia="MS PGothic"/>
                <w:sz w:val="18"/>
                <w:lang w:val="en-US"/>
              </w:rPr>
            </w:pPr>
            <w:r w:rsidRPr="008A113A">
              <w:rPr>
                <w:rFonts w:eastAsia="MS PGothic"/>
                <w:sz w:val="18"/>
                <w:lang w:val="en-US"/>
              </w:rPr>
              <w:t>High-precision semi-codeless receiver*</w:t>
            </w:r>
          </w:p>
        </w:tc>
        <w:tc>
          <w:tcPr>
            <w:tcW w:w="1418" w:type="dxa"/>
            <w:tcBorders>
              <w:top w:val="single" w:sz="4" w:space="0" w:color="auto"/>
              <w:left w:val="single" w:sz="4" w:space="0" w:color="auto"/>
              <w:bottom w:val="single" w:sz="4" w:space="0" w:color="auto"/>
              <w:right w:val="single" w:sz="4" w:space="0" w:color="auto"/>
            </w:tcBorders>
            <w:vAlign w:val="center"/>
          </w:tcPr>
          <w:p w:rsidR="002A162A" w:rsidRPr="008A113A" w:rsidRDefault="002A162A" w:rsidP="002A162A">
            <w:pPr>
              <w:pStyle w:val="Tablehead"/>
              <w:rPr>
                <w:rFonts w:eastAsia="MS PGothic"/>
                <w:sz w:val="18"/>
                <w:lang w:val="en-US"/>
              </w:rPr>
            </w:pPr>
            <w:r w:rsidRPr="008A113A">
              <w:rPr>
                <w:rFonts w:eastAsia="MS PGothic"/>
                <w:sz w:val="18"/>
                <w:lang w:val="en-US"/>
              </w:rPr>
              <w:t>High-precision receiver using L2C*</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162A" w:rsidRPr="008A113A" w:rsidRDefault="002A162A" w:rsidP="002A162A">
            <w:pPr>
              <w:pStyle w:val="Tablehead"/>
              <w:rPr>
                <w:rFonts w:eastAsia="MS PGothic"/>
                <w:sz w:val="18"/>
              </w:rPr>
            </w:pPr>
            <w:r w:rsidRPr="008A113A">
              <w:rPr>
                <w:rFonts w:eastAsia="MS PGothic"/>
                <w:sz w:val="18"/>
              </w:rPr>
              <w:t>Air-navigation receiver</w:t>
            </w:r>
            <w:r w:rsidRPr="008A113A">
              <w:rPr>
                <w:rFonts w:eastAsia="MS PGothic"/>
                <w:sz w:val="18"/>
              </w:rPr>
              <w:br/>
              <w:t xml:space="preserve">(Note </w:t>
            </w:r>
            <w:r w:rsidRPr="008A113A">
              <w:rPr>
                <w:sz w:val="18"/>
              </w:rPr>
              <w:t>10</w:t>
            </w:r>
            <w:r w:rsidRPr="008A113A">
              <w:rPr>
                <w:rFonts w:eastAsia="MS PGothic"/>
                <w:sz w:val="18"/>
              </w:rPr>
              <w:t>)</w:t>
            </w:r>
          </w:p>
        </w:tc>
        <w:tc>
          <w:tcPr>
            <w:tcW w:w="1418" w:type="dxa"/>
            <w:tcBorders>
              <w:top w:val="single" w:sz="4" w:space="0" w:color="auto"/>
              <w:left w:val="single" w:sz="4" w:space="0" w:color="auto"/>
              <w:bottom w:val="single" w:sz="4" w:space="0" w:color="auto"/>
              <w:right w:val="single" w:sz="4" w:space="0" w:color="auto"/>
            </w:tcBorders>
            <w:vAlign w:val="center"/>
          </w:tcPr>
          <w:p w:rsidR="002A162A" w:rsidRPr="008A113A" w:rsidRDefault="002A162A" w:rsidP="002A162A">
            <w:pPr>
              <w:pStyle w:val="Tablehead"/>
              <w:rPr>
                <w:rFonts w:eastAsia="MS PGothic"/>
                <w:sz w:val="18"/>
              </w:rPr>
            </w:pPr>
            <w:r w:rsidRPr="008A113A">
              <w:rPr>
                <w:rFonts w:eastAsia="MS PGothic"/>
                <w:sz w:val="18"/>
              </w:rPr>
              <w:t>Indoor positioning</w:t>
            </w:r>
          </w:p>
        </w:tc>
        <w:tc>
          <w:tcPr>
            <w:tcW w:w="1418" w:type="dxa"/>
            <w:tcBorders>
              <w:top w:val="single" w:sz="4" w:space="0" w:color="auto"/>
              <w:left w:val="single" w:sz="4" w:space="0" w:color="auto"/>
              <w:bottom w:val="single" w:sz="4" w:space="0" w:color="auto"/>
              <w:right w:val="single" w:sz="4" w:space="0" w:color="auto"/>
            </w:tcBorders>
            <w:vAlign w:val="center"/>
          </w:tcPr>
          <w:p w:rsidR="002A162A" w:rsidRPr="008A113A" w:rsidRDefault="002A162A" w:rsidP="002A162A">
            <w:pPr>
              <w:pStyle w:val="Tablehead"/>
              <w:rPr>
                <w:rFonts w:eastAsia="MS PGothic"/>
                <w:sz w:val="18"/>
              </w:rPr>
            </w:pPr>
            <w:r w:rsidRPr="008A113A">
              <w:rPr>
                <w:sz w:val="18"/>
              </w:rPr>
              <w:t>Others</w:t>
            </w:r>
          </w:p>
        </w:tc>
        <w:tc>
          <w:tcPr>
            <w:tcW w:w="1418" w:type="dxa"/>
            <w:tcBorders>
              <w:top w:val="single" w:sz="4" w:space="0" w:color="auto"/>
              <w:left w:val="single" w:sz="4" w:space="0" w:color="auto"/>
              <w:bottom w:val="single" w:sz="4" w:space="0" w:color="auto"/>
              <w:right w:val="single" w:sz="4" w:space="0" w:color="auto"/>
            </w:tcBorders>
            <w:vAlign w:val="center"/>
          </w:tcPr>
          <w:p w:rsidR="002A162A" w:rsidRPr="008A113A" w:rsidRDefault="002A162A" w:rsidP="002A162A">
            <w:pPr>
              <w:pStyle w:val="Tablehead"/>
              <w:rPr>
                <w:rFonts w:eastAsia="MS PGothic"/>
                <w:sz w:val="18"/>
              </w:rPr>
            </w:pPr>
            <w:r w:rsidRPr="008A113A">
              <w:rPr>
                <w:rFonts w:eastAsia="MS PGothic"/>
                <w:sz w:val="18"/>
              </w:rPr>
              <w:t>General</w:t>
            </w:r>
            <w:r>
              <w:rPr>
                <w:rFonts w:eastAsia="MS PGothic"/>
                <w:sz w:val="18"/>
              </w:rPr>
              <w:t xml:space="preserve"> </w:t>
            </w:r>
            <w:r w:rsidRPr="008A113A">
              <w:rPr>
                <w:rFonts w:eastAsia="MS PGothic"/>
                <w:sz w:val="18"/>
              </w:rPr>
              <w:t xml:space="preserve">purpose </w:t>
            </w:r>
          </w:p>
        </w:tc>
      </w:tr>
      <w:tr w:rsidR="00FD5912" w:rsidRPr="009D5108" w:rsidTr="009D5108">
        <w:trPr>
          <w:cantSplit/>
          <w:jc w:val="center"/>
        </w:trPr>
        <w:tc>
          <w:tcPr>
            <w:tcW w:w="4534" w:type="dxa"/>
            <w:tcBorders>
              <w:top w:val="single" w:sz="4" w:space="0" w:color="auto"/>
              <w:left w:val="single" w:sz="4" w:space="0" w:color="auto"/>
              <w:bottom w:val="single" w:sz="4" w:space="0" w:color="auto"/>
              <w:right w:val="single" w:sz="4" w:space="0" w:color="auto"/>
            </w:tcBorders>
          </w:tcPr>
          <w:p w:rsidR="00FD5912" w:rsidRPr="008A113A" w:rsidRDefault="00FD5912" w:rsidP="009D5108">
            <w:pPr>
              <w:pStyle w:val="Tabletext"/>
              <w:jc w:val="left"/>
              <w:rPr>
                <w:sz w:val="18"/>
                <w:lang w:val="en-US"/>
              </w:rPr>
            </w:pPr>
            <w:r w:rsidRPr="008A113A">
              <w:rPr>
                <w:sz w:val="18"/>
                <w:lang w:val="en-US"/>
              </w:rPr>
              <w:t xml:space="preserve">Receiver input compression level (dBW) </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D5912" w:rsidRPr="009D5108" w:rsidRDefault="009D5108" w:rsidP="009D5108">
            <w:pPr>
              <w:pStyle w:val="Tabletext"/>
              <w:jc w:val="center"/>
              <w:rPr>
                <w:rFonts w:eastAsia="MS PGothic"/>
                <w:sz w:val="18"/>
                <w:lang w:val="en-US"/>
              </w:rPr>
            </w:pPr>
            <w:r>
              <w:rPr>
                <w:rFonts w:eastAsia="MS PGothic"/>
                <w:sz w:val="18"/>
                <w:lang w:val="en-US"/>
              </w:rPr>
              <w:t>–</w:t>
            </w:r>
            <w:r w:rsidR="00FD5912" w:rsidRPr="009D5108">
              <w:rPr>
                <w:rFonts w:eastAsia="MS PGothic"/>
                <w:sz w:val="18"/>
                <w:lang w:val="en-US"/>
              </w:rPr>
              <w:t>135.0 (Note </w:t>
            </w:r>
            <w:r w:rsidR="00FD5912" w:rsidRPr="009D5108">
              <w:rPr>
                <w:sz w:val="18"/>
                <w:lang w:val="en-US"/>
              </w:rPr>
              <w:t>6</w:t>
            </w:r>
            <w:r w:rsidR="00FD5912" w:rsidRPr="009D5108">
              <w:rPr>
                <w:rFonts w:eastAsia="MS PGothic"/>
                <w:sz w:val="18"/>
                <w:lang w:val="en-US"/>
              </w:rPr>
              <w:t>)</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9D5108" w:rsidRDefault="00FD5912" w:rsidP="00AE3483">
            <w:pPr>
              <w:pStyle w:val="Tabletext"/>
              <w:jc w:val="center"/>
              <w:rPr>
                <w:sz w:val="18"/>
                <w:lang w:val="en-US" w:eastAsia="ja-JP"/>
              </w:rPr>
            </w:pPr>
            <w:r w:rsidRPr="009D5108">
              <w:rPr>
                <w:rFonts w:eastAsia="MS PGothic"/>
                <w:sz w:val="18"/>
                <w:lang w:val="en-US"/>
              </w:rPr>
              <w:t>#</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9D5108" w:rsidRDefault="00FD5912" w:rsidP="00AE3483">
            <w:pPr>
              <w:pStyle w:val="Tabletext"/>
              <w:jc w:val="center"/>
              <w:rPr>
                <w:rFonts w:eastAsia="MS PGothic"/>
                <w:sz w:val="18"/>
                <w:lang w:val="en-US"/>
              </w:rPr>
            </w:pPr>
            <w:r w:rsidRPr="009D5108">
              <w:rPr>
                <w:sz w:val="18"/>
                <w:lang w:val="en-US" w:eastAsia="ja-JP"/>
              </w:rPr>
              <w:t>#</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9D5108" w:rsidRDefault="009D5108" w:rsidP="009D5108">
            <w:pPr>
              <w:pStyle w:val="Tabletext"/>
              <w:jc w:val="center"/>
              <w:rPr>
                <w:sz w:val="18"/>
                <w:lang w:val="en-US" w:eastAsia="ja-JP"/>
              </w:rPr>
            </w:pPr>
            <w:r>
              <w:rPr>
                <w:rFonts w:eastAsia="MS PGothic"/>
                <w:sz w:val="18"/>
              </w:rPr>
              <w:t>–</w:t>
            </w:r>
            <w:r w:rsidR="00FD5912" w:rsidRPr="009D5108">
              <w:rPr>
                <w:sz w:val="18"/>
                <w:lang w:val="en-US" w:eastAsia="ja-JP"/>
              </w:rPr>
              <w:t>80</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9D5108" w:rsidRDefault="009D5108" w:rsidP="009D5108">
            <w:pPr>
              <w:pStyle w:val="Tabletext"/>
              <w:jc w:val="center"/>
              <w:rPr>
                <w:sz w:val="18"/>
                <w:lang w:val="en-US" w:eastAsia="ja-JP"/>
              </w:rPr>
            </w:pPr>
            <w:r>
              <w:rPr>
                <w:rFonts w:eastAsia="MS PGothic"/>
                <w:sz w:val="18"/>
              </w:rPr>
              <w:t>–</w:t>
            </w:r>
            <w:r w:rsidR="00FD5912" w:rsidRPr="009D5108">
              <w:rPr>
                <w:sz w:val="18"/>
                <w:lang w:val="en-US" w:eastAsia="ja-JP"/>
              </w:rPr>
              <w:t>70</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9D5108" w:rsidRDefault="009D5108" w:rsidP="009D5108">
            <w:pPr>
              <w:pStyle w:val="Tabletext"/>
              <w:jc w:val="center"/>
              <w:rPr>
                <w:sz w:val="18"/>
                <w:lang w:val="en-US" w:eastAsia="ja-JP"/>
              </w:rPr>
            </w:pPr>
            <w:r>
              <w:rPr>
                <w:rFonts w:eastAsia="MS PGothic"/>
                <w:sz w:val="18"/>
              </w:rPr>
              <w:t>–</w:t>
            </w:r>
            <w:r w:rsidR="00FD5912" w:rsidRPr="009D5108">
              <w:rPr>
                <w:sz w:val="18"/>
                <w:lang w:val="en-US" w:eastAsia="ja-JP"/>
              </w:rPr>
              <w:t>70</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9D5108" w:rsidRDefault="009D5108" w:rsidP="009D5108">
            <w:pPr>
              <w:pStyle w:val="Tabletext"/>
              <w:jc w:val="center"/>
              <w:rPr>
                <w:sz w:val="18"/>
                <w:lang w:val="en-US" w:eastAsia="ja-JP"/>
              </w:rPr>
            </w:pPr>
            <w:r>
              <w:rPr>
                <w:rFonts w:eastAsia="MS PGothic"/>
                <w:sz w:val="18"/>
              </w:rPr>
              <w:t>–</w:t>
            </w:r>
            <w:r w:rsidR="00FD5912" w:rsidRPr="009D5108">
              <w:rPr>
                <w:sz w:val="18"/>
                <w:lang w:val="en-US" w:eastAsia="ja-JP"/>
              </w:rPr>
              <w:t>70</w:t>
            </w:r>
          </w:p>
        </w:tc>
      </w:tr>
      <w:tr w:rsidR="00FD5912" w:rsidRPr="003B1893" w:rsidTr="009D5108">
        <w:trPr>
          <w:cantSplit/>
          <w:jc w:val="center"/>
        </w:trPr>
        <w:tc>
          <w:tcPr>
            <w:tcW w:w="4534" w:type="dxa"/>
            <w:tcBorders>
              <w:top w:val="single" w:sz="4" w:space="0" w:color="auto"/>
              <w:left w:val="single" w:sz="4" w:space="0" w:color="auto"/>
              <w:bottom w:val="single" w:sz="4" w:space="0" w:color="auto"/>
              <w:right w:val="single" w:sz="4" w:space="0" w:color="auto"/>
            </w:tcBorders>
          </w:tcPr>
          <w:p w:rsidR="00FD5912" w:rsidRPr="009D5108" w:rsidRDefault="00FD5912" w:rsidP="009D5108">
            <w:pPr>
              <w:pStyle w:val="Tabletext"/>
              <w:jc w:val="left"/>
              <w:rPr>
                <w:sz w:val="18"/>
                <w:lang w:val="en-US"/>
              </w:rPr>
            </w:pPr>
            <w:r w:rsidRPr="009D5108">
              <w:rPr>
                <w:sz w:val="18"/>
                <w:lang w:val="en-US"/>
              </w:rPr>
              <w:t>Receiver survival level (dBW)</w:t>
            </w:r>
          </w:p>
        </w:tc>
        <w:tc>
          <w:tcPr>
            <w:tcW w:w="1417" w:type="dxa"/>
            <w:tcBorders>
              <w:top w:val="single" w:sz="4" w:space="0" w:color="auto"/>
              <w:left w:val="single" w:sz="4" w:space="0" w:color="auto"/>
              <w:bottom w:val="single" w:sz="4" w:space="0" w:color="auto"/>
              <w:right w:val="single" w:sz="4" w:space="0" w:color="auto"/>
            </w:tcBorders>
            <w:vAlign w:val="center"/>
          </w:tcPr>
          <w:p w:rsidR="00FD5912" w:rsidRPr="009D5108" w:rsidRDefault="00FD5912" w:rsidP="00AE3483">
            <w:pPr>
              <w:pStyle w:val="Tabletext"/>
              <w:jc w:val="center"/>
              <w:rPr>
                <w:rFonts w:eastAsia="MS PGothic"/>
                <w:sz w:val="18"/>
                <w:lang w:val="en-US"/>
              </w:rPr>
            </w:pPr>
            <w:r w:rsidRPr="009D5108">
              <w:rPr>
                <w:rFonts w:eastAsia="MS PGothic"/>
                <w:sz w:val="18"/>
                <w:lang w:val="en-US"/>
              </w:rPr>
              <w:t>−10.0 (Note </w:t>
            </w:r>
            <w:r w:rsidRPr="009D5108">
              <w:rPr>
                <w:sz w:val="18"/>
                <w:lang w:val="en-US"/>
              </w:rPr>
              <w:t>7</w:t>
            </w:r>
            <w:r w:rsidRPr="009D5108">
              <w:rPr>
                <w:rFonts w:eastAsia="MS PGothic"/>
                <w:sz w:val="18"/>
                <w:lang w:val="en-US"/>
              </w:rPr>
              <w:t>)</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9D5108" w:rsidRDefault="00FD5912" w:rsidP="00AE3483">
            <w:pPr>
              <w:pStyle w:val="Tabletext"/>
              <w:jc w:val="center"/>
              <w:rPr>
                <w:sz w:val="18"/>
                <w:lang w:val="en-US" w:eastAsia="ja-JP"/>
              </w:rPr>
            </w:pPr>
            <w:r w:rsidRPr="009D5108">
              <w:rPr>
                <w:rFonts w:eastAsia="MS PGothic"/>
                <w:sz w:val="18"/>
                <w:lang w:val="en-US"/>
              </w:rPr>
              <w:t>#</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9D5108" w:rsidRDefault="00FD5912" w:rsidP="00AE3483">
            <w:pPr>
              <w:pStyle w:val="Tabletext"/>
              <w:jc w:val="center"/>
              <w:rPr>
                <w:rFonts w:eastAsia="MS PGothic"/>
                <w:sz w:val="18"/>
                <w:lang w:val="en-US"/>
              </w:rPr>
            </w:pPr>
            <w:r w:rsidRPr="009D5108">
              <w:rPr>
                <w:sz w:val="18"/>
                <w:lang w:val="en-US" w:eastAsia="ja-JP"/>
              </w:rPr>
              <w:t>#</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sz w:val="18"/>
                <w:lang w:eastAsia="ja-JP"/>
              </w:rPr>
            </w:pPr>
            <w:r w:rsidRPr="008A113A">
              <w:rPr>
                <w:sz w:val="18"/>
                <w:lang w:eastAsia="ja-JP"/>
              </w:rPr>
              <w:t>−1</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sz w:val="18"/>
                <w:lang w:eastAsia="ja-JP"/>
              </w:rPr>
            </w:pPr>
            <w:r w:rsidRPr="008A113A">
              <w:rPr>
                <w:sz w:val="18"/>
                <w:lang w:eastAsia="ja-JP"/>
              </w:rPr>
              <w:t>−20</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sz w:val="18"/>
                <w:lang w:eastAsia="ja-JP"/>
              </w:rPr>
            </w:pPr>
            <w:r w:rsidRPr="008A113A">
              <w:rPr>
                <w:sz w:val="18"/>
                <w:lang w:eastAsia="ja-JP"/>
              </w:rPr>
              <w:t>−20</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sz w:val="18"/>
                <w:lang w:eastAsia="ja-JP"/>
              </w:rPr>
            </w:pPr>
            <w:r w:rsidRPr="008A113A">
              <w:rPr>
                <w:sz w:val="18"/>
                <w:lang w:eastAsia="ja-JP"/>
              </w:rPr>
              <w:t>−20</w:t>
            </w:r>
          </w:p>
        </w:tc>
      </w:tr>
      <w:tr w:rsidR="00FD5912" w:rsidRPr="003B1893" w:rsidTr="009D5108">
        <w:trPr>
          <w:cantSplit/>
          <w:jc w:val="center"/>
        </w:trPr>
        <w:tc>
          <w:tcPr>
            <w:tcW w:w="4534" w:type="dxa"/>
            <w:tcBorders>
              <w:top w:val="single" w:sz="4" w:space="0" w:color="auto"/>
              <w:left w:val="single" w:sz="4" w:space="0" w:color="auto"/>
              <w:bottom w:val="single" w:sz="4" w:space="0" w:color="auto"/>
              <w:right w:val="single" w:sz="4" w:space="0" w:color="auto"/>
            </w:tcBorders>
          </w:tcPr>
          <w:p w:rsidR="00FD5912" w:rsidRPr="008A113A" w:rsidRDefault="00FD5912" w:rsidP="009D5108">
            <w:pPr>
              <w:pStyle w:val="Tabletext"/>
              <w:jc w:val="left"/>
              <w:rPr>
                <w:sz w:val="18"/>
              </w:rPr>
            </w:pPr>
            <w:r w:rsidRPr="008A113A">
              <w:rPr>
                <w:sz w:val="18"/>
              </w:rPr>
              <w:t>Overload recovery time (s)</w:t>
            </w:r>
          </w:p>
        </w:tc>
        <w:tc>
          <w:tcPr>
            <w:tcW w:w="1417"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rFonts w:eastAsia="MS PGothic"/>
                <w:sz w:val="18"/>
              </w:rPr>
            </w:pPr>
            <w:r w:rsidRPr="008A113A">
              <w:rPr>
                <w:rFonts w:eastAsia="MS PGothic"/>
                <w:sz w:val="18"/>
              </w:rPr>
              <w:t>1.0 × 10</w:t>
            </w:r>
            <w:r w:rsidRPr="008A113A">
              <w:rPr>
                <w:rFonts w:eastAsia="MS PGothic"/>
                <w:sz w:val="18"/>
                <w:vertAlign w:val="superscript"/>
              </w:rPr>
              <w:t>−6</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sz w:val="18"/>
                <w:lang w:eastAsia="ja-JP"/>
              </w:rPr>
            </w:pPr>
            <w:r w:rsidRPr="008A113A">
              <w:rPr>
                <w:sz w:val="18"/>
                <w:lang w:eastAsia="ja-JP"/>
              </w:rPr>
              <w:t>#</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sz w:val="18"/>
                <w:lang w:eastAsia="ja-JP"/>
              </w:rPr>
            </w:pPr>
            <w:r w:rsidRPr="008A113A">
              <w:rPr>
                <w:sz w:val="18"/>
                <w:lang w:eastAsia="ja-JP"/>
              </w:rPr>
              <w:t>#</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D5912" w:rsidRPr="008A113A" w:rsidRDefault="00FD5912" w:rsidP="00AE3483">
            <w:pPr>
              <w:pStyle w:val="Tabletext"/>
              <w:jc w:val="center"/>
              <w:rPr>
                <w:sz w:val="18"/>
                <w:lang w:eastAsia="ja-JP"/>
              </w:rPr>
            </w:pPr>
            <w:r w:rsidRPr="008A113A">
              <w:rPr>
                <w:snapToGrid w:val="0"/>
                <w:sz w:val="18"/>
              </w:rPr>
              <w:t>(1 to 30)</w:t>
            </w:r>
            <w:r w:rsidRPr="008A113A">
              <w:rPr>
                <w:sz w:val="18"/>
                <w:lang w:eastAsia="ja-JP"/>
              </w:rPr>
              <w:t xml:space="preserve"> </w:t>
            </w:r>
            <w:r w:rsidRPr="008A113A">
              <w:rPr>
                <w:sz w:val="18"/>
                <w:lang w:eastAsia="ja-JP"/>
              </w:rPr>
              <w:sym w:font="Symbol" w:char="00B4"/>
            </w:r>
            <w:r w:rsidRPr="008A113A">
              <w:rPr>
                <w:sz w:val="18"/>
                <w:lang w:eastAsia="ja-JP"/>
              </w:rPr>
              <w:t> </w:t>
            </w:r>
            <w:r w:rsidRPr="008A113A">
              <w:rPr>
                <w:snapToGrid w:val="0"/>
                <w:sz w:val="18"/>
              </w:rPr>
              <w:t>10</w:t>
            </w:r>
            <w:r w:rsidRPr="008A113A">
              <w:rPr>
                <w:snapToGrid w:val="0"/>
                <w:sz w:val="18"/>
                <w:vertAlign w:val="superscript"/>
              </w:rPr>
              <w:t>−6</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sz w:val="18"/>
                <w:lang w:eastAsia="ja-JP"/>
              </w:rPr>
            </w:pPr>
            <w:r w:rsidRPr="008A113A">
              <w:rPr>
                <w:snapToGrid w:val="0"/>
                <w:sz w:val="18"/>
              </w:rPr>
              <w:t>30 </w:t>
            </w:r>
            <w:r w:rsidRPr="008A113A">
              <w:rPr>
                <w:rFonts w:eastAsia="MS PGothic"/>
                <w:sz w:val="18"/>
              </w:rPr>
              <w:t>× </w:t>
            </w:r>
            <w:r w:rsidRPr="008A113A">
              <w:rPr>
                <w:snapToGrid w:val="0"/>
                <w:sz w:val="18"/>
              </w:rPr>
              <w:t>10</w:t>
            </w:r>
            <w:r w:rsidRPr="008A113A">
              <w:rPr>
                <w:snapToGrid w:val="0"/>
                <w:sz w:val="18"/>
                <w:vertAlign w:val="superscript"/>
              </w:rPr>
              <w:t>−6</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sz w:val="18"/>
                <w:lang w:eastAsia="ja-JP"/>
              </w:rPr>
            </w:pPr>
            <w:r w:rsidRPr="008A113A">
              <w:rPr>
                <w:snapToGrid w:val="0"/>
                <w:sz w:val="18"/>
              </w:rPr>
              <w:t>30 </w:t>
            </w:r>
            <w:r w:rsidRPr="008A113A">
              <w:rPr>
                <w:rFonts w:eastAsia="MS PGothic"/>
                <w:sz w:val="18"/>
              </w:rPr>
              <w:t>× </w:t>
            </w:r>
            <w:r w:rsidRPr="008A113A">
              <w:rPr>
                <w:snapToGrid w:val="0"/>
                <w:sz w:val="18"/>
              </w:rPr>
              <w:t>10</w:t>
            </w:r>
            <w:r w:rsidRPr="008A113A">
              <w:rPr>
                <w:snapToGrid w:val="0"/>
                <w:sz w:val="18"/>
                <w:vertAlign w:val="superscript"/>
              </w:rPr>
              <w:t>−6</w:t>
            </w:r>
          </w:p>
        </w:tc>
        <w:tc>
          <w:tcPr>
            <w:tcW w:w="1418" w:type="dxa"/>
            <w:tcBorders>
              <w:top w:val="single" w:sz="4" w:space="0" w:color="auto"/>
              <w:left w:val="single" w:sz="4" w:space="0" w:color="auto"/>
              <w:bottom w:val="single" w:sz="4" w:space="0" w:color="auto"/>
              <w:right w:val="single" w:sz="4" w:space="0" w:color="auto"/>
            </w:tcBorders>
            <w:vAlign w:val="center"/>
          </w:tcPr>
          <w:p w:rsidR="00FD5912" w:rsidRPr="008A113A" w:rsidRDefault="00FD5912" w:rsidP="00AE3483">
            <w:pPr>
              <w:pStyle w:val="Tabletext"/>
              <w:jc w:val="center"/>
              <w:rPr>
                <w:sz w:val="18"/>
                <w:lang w:eastAsia="ja-JP"/>
              </w:rPr>
            </w:pPr>
            <w:r w:rsidRPr="008A113A">
              <w:rPr>
                <w:snapToGrid w:val="0"/>
                <w:sz w:val="18"/>
              </w:rPr>
              <w:t>30 </w:t>
            </w:r>
            <w:r w:rsidRPr="008A113A">
              <w:rPr>
                <w:rFonts w:eastAsia="MS PGothic"/>
                <w:sz w:val="18"/>
              </w:rPr>
              <w:t>× </w:t>
            </w:r>
            <w:r w:rsidRPr="008A113A">
              <w:rPr>
                <w:snapToGrid w:val="0"/>
                <w:sz w:val="18"/>
              </w:rPr>
              <w:t>10</w:t>
            </w:r>
            <w:r w:rsidRPr="008A113A">
              <w:rPr>
                <w:snapToGrid w:val="0"/>
                <w:sz w:val="18"/>
                <w:vertAlign w:val="superscript"/>
              </w:rPr>
              <w:t>−6</w:t>
            </w:r>
          </w:p>
        </w:tc>
      </w:tr>
      <w:tr w:rsidR="00FD5912" w:rsidRPr="00AF3B6D" w:rsidTr="008A113A">
        <w:trPr>
          <w:jc w:val="center"/>
        </w:trPr>
        <w:tc>
          <w:tcPr>
            <w:tcW w:w="14459" w:type="dxa"/>
            <w:gridSpan w:val="8"/>
            <w:tcBorders>
              <w:top w:val="single" w:sz="4" w:space="0" w:color="auto"/>
              <w:left w:val="nil"/>
              <w:right w:val="nil"/>
            </w:tcBorders>
          </w:tcPr>
          <w:p w:rsidR="00FD5912" w:rsidRPr="008A113A" w:rsidRDefault="00FD5912" w:rsidP="004F5481">
            <w:pPr>
              <w:pStyle w:val="Tablelegend"/>
              <w:rPr>
                <w:sz w:val="18"/>
                <w:lang w:val="en-US"/>
              </w:rPr>
            </w:pPr>
            <w:r w:rsidRPr="008A113A">
              <w:rPr>
                <w:sz w:val="18"/>
                <w:lang w:val="en-US"/>
              </w:rPr>
              <w:t>*</w:t>
            </w:r>
            <w:r w:rsidRPr="008A113A">
              <w:rPr>
                <w:sz w:val="18"/>
                <w:lang w:val="en-US"/>
              </w:rPr>
              <w:tab/>
              <w:t>These table columns cover characteristics and thresholds for RNSS receivers that operate in the 1 215-1 300 MHz band. (Receivers of this type operate with the signals described in Annex 2 to Recommendation ITU</w:t>
            </w:r>
            <w:r w:rsidRPr="008A113A">
              <w:rPr>
                <w:sz w:val="18"/>
                <w:lang w:val="en-US"/>
              </w:rPr>
              <w:noBreakHyphen/>
              <w:t>R </w:t>
            </w:r>
            <w:r w:rsidRPr="008A113A">
              <w:rPr>
                <w:sz w:val="18"/>
              </w:rPr>
              <w:t>М</w:t>
            </w:r>
            <w:r w:rsidRPr="008A113A">
              <w:rPr>
                <w:sz w:val="18"/>
                <w:lang w:val="en-US"/>
              </w:rPr>
              <w:t>.1787.) For characteristics and protection criteria for the receiver operation in the bands 1 559</w:t>
            </w:r>
            <w:r w:rsidRPr="008A113A">
              <w:rPr>
                <w:sz w:val="18"/>
                <w:lang w:val="en-US"/>
              </w:rPr>
              <w:noBreakHyphen/>
              <w:t>1 610 MHz and/or 1 164-1 215 MHz, refer also to the associated table columns in Recommendations ITU</w:t>
            </w:r>
            <w:r w:rsidRPr="008A113A">
              <w:rPr>
                <w:sz w:val="18"/>
                <w:lang w:val="en-US"/>
              </w:rPr>
              <w:noBreakHyphen/>
              <w:t>R M.</w:t>
            </w:r>
            <w:r w:rsidR="004F5481">
              <w:rPr>
                <w:sz w:val="18"/>
                <w:lang w:val="en-US"/>
              </w:rPr>
              <w:t>1903</w:t>
            </w:r>
            <w:r w:rsidRPr="008A113A">
              <w:rPr>
                <w:sz w:val="18"/>
                <w:lang w:val="en-US"/>
              </w:rPr>
              <w:t xml:space="preserve"> and/or ITU</w:t>
            </w:r>
            <w:r w:rsidRPr="008A113A">
              <w:rPr>
                <w:sz w:val="18"/>
                <w:lang w:val="en-US"/>
              </w:rPr>
              <w:noBreakHyphen/>
              <w:t>R M.</w:t>
            </w:r>
            <w:r w:rsidR="004F5481">
              <w:rPr>
                <w:sz w:val="18"/>
                <w:lang w:val="en-US"/>
              </w:rPr>
              <w:t>1905</w:t>
            </w:r>
            <w:r w:rsidRPr="008A113A">
              <w:rPr>
                <w:sz w:val="18"/>
                <w:lang w:val="en-US"/>
              </w:rPr>
              <w:t>, respectively.</w:t>
            </w:r>
          </w:p>
          <w:p w:rsidR="00FD5912" w:rsidRPr="008A113A" w:rsidRDefault="00FD5912" w:rsidP="00AE3483">
            <w:pPr>
              <w:pStyle w:val="Tablelegend"/>
              <w:rPr>
                <w:sz w:val="18"/>
                <w:lang w:val="en-US"/>
              </w:rPr>
            </w:pPr>
            <w:r w:rsidRPr="008A113A">
              <w:rPr>
                <w:sz w:val="18"/>
                <w:lang w:val="en-US"/>
              </w:rPr>
              <w:t>#</w:t>
            </w:r>
            <w:r w:rsidRPr="008A113A">
              <w:rPr>
                <w:sz w:val="18"/>
                <w:lang w:val="en-US"/>
              </w:rPr>
              <w:tab/>
              <w:t>Pulse response parameters for these receiver types are subject to further study in conjunction with ITU</w:t>
            </w:r>
            <w:r w:rsidRPr="008A113A">
              <w:rPr>
                <w:sz w:val="18"/>
                <w:lang w:val="en-US"/>
              </w:rPr>
              <w:noBreakHyphen/>
              <w:t>R work on a general pulsed RFI evaluation method.</w:t>
            </w:r>
          </w:p>
          <w:p w:rsidR="00FD5912" w:rsidRPr="009D5108" w:rsidRDefault="00FD5912" w:rsidP="009D5108">
            <w:pPr>
              <w:pStyle w:val="TableLegendNote"/>
              <w:rPr>
                <w:rFonts w:eastAsia="Calibri"/>
                <w:sz w:val="18"/>
              </w:rPr>
            </w:pPr>
            <w:r w:rsidRPr="009D5108">
              <w:rPr>
                <w:sz w:val="18"/>
              </w:rPr>
              <w:t>NOTE</w:t>
            </w:r>
            <w:r w:rsidR="009D5108">
              <w:rPr>
                <w:sz w:val="18"/>
              </w:rPr>
              <w:t> </w:t>
            </w:r>
            <w:r w:rsidRPr="009D5108">
              <w:rPr>
                <w:sz w:val="18"/>
              </w:rPr>
              <w:t>1</w:t>
            </w:r>
            <w:r w:rsidR="009D5108">
              <w:rPr>
                <w:sz w:val="18"/>
              </w:rPr>
              <w:t> </w:t>
            </w:r>
            <w:r w:rsidRPr="009D5108">
              <w:rPr>
                <w:sz w:val="18"/>
              </w:rPr>
              <w:t>–</w:t>
            </w:r>
            <w:r w:rsidR="009D5108">
              <w:rPr>
                <w:sz w:val="18"/>
              </w:rPr>
              <w:t> </w:t>
            </w:r>
            <w:r w:rsidRPr="009D5108">
              <w:rPr>
                <w:sz w:val="18"/>
              </w:rPr>
              <w:t>For P(Y) signal processing, including that using semi-codeless techniques, narrow-band interference is considered to have less than a 100 kHz bandwidth and wideband interference has greater than a 1 MHz bandwidth. For L2C signal processing, narrow-band interference is considered to have less than a 1 kHz bandwidth and wideband interference has greater than a 1 MHz bandwidth.</w:t>
            </w:r>
            <w:r w:rsidRPr="009D5108">
              <w:rPr>
                <w:rFonts w:eastAsia="Calibri"/>
                <w:sz w:val="18"/>
              </w:rPr>
              <w:t xml:space="preserve"> For FDMA signal processing, narrow-band continuous interference is considered to have less than a 1 kHz bandwidth, and wideband continuous interference is considered to have greater than a 500 kHz bandwidth. Thresholds for interference bandwidths between 100 kHz (for P(Y)) or 1 kHz (for L2C and FDMA) to 1 MHz (or for FDMA to 500 kHz) are undefined and may require further study.</w:t>
            </w:r>
          </w:p>
          <w:p w:rsidR="00FD5912" w:rsidRPr="009D5108" w:rsidRDefault="00FD5912" w:rsidP="009D5108">
            <w:pPr>
              <w:pStyle w:val="TableLegendNote"/>
              <w:rPr>
                <w:sz w:val="18"/>
              </w:rPr>
            </w:pPr>
            <w:r w:rsidRPr="009D5108">
              <w:rPr>
                <w:sz w:val="18"/>
              </w:rPr>
              <w:t>NOTE</w:t>
            </w:r>
            <w:r w:rsidR="009D5108">
              <w:rPr>
                <w:sz w:val="18"/>
              </w:rPr>
              <w:t> </w:t>
            </w:r>
            <w:r w:rsidRPr="009D5108">
              <w:rPr>
                <w:sz w:val="18"/>
              </w:rPr>
              <w:t>2</w:t>
            </w:r>
            <w:r w:rsidR="009D5108">
              <w:rPr>
                <w:sz w:val="18"/>
              </w:rPr>
              <w:t> </w:t>
            </w:r>
            <w:r w:rsidRPr="009D5108">
              <w:rPr>
                <w:sz w:val="18"/>
              </w:rPr>
              <w:t>–</w:t>
            </w:r>
            <w:r w:rsidR="009D5108">
              <w:rPr>
                <w:sz w:val="18"/>
              </w:rPr>
              <w:t> </w:t>
            </w:r>
            <w:r w:rsidRPr="009D5108">
              <w:rPr>
                <w:sz w:val="18"/>
              </w:rPr>
              <w:t xml:space="preserve">Narrow-band continuous interference is considered to have a bandwidth less than 700 Hz. Wideband continuous interference is considered to have a bandwidth greater than 1 MHz. </w:t>
            </w:r>
          </w:p>
          <w:p w:rsidR="00FD5912" w:rsidRPr="009D5108" w:rsidRDefault="00FD5912" w:rsidP="009D5108">
            <w:pPr>
              <w:pStyle w:val="TableLegendNote"/>
              <w:rPr>
                <w:sz w:val="18"/>
              </w:rPr>
            </w:pPr>
            <w:r w:rsidRPr="009D5108">
              <w:rPr>
                <w:sz w:val="18"/>
              </w:rPr>
              <w:t>NOTE 3 – The listed maximum upper hemisphere gain value applies for 30° elevation (i.e. maximum expected RFI arrival angle). The listed maximum lower hemisphere gain value applies for 0° elevation (i.e. at the horizon).</w:t>
            </w:r>
          </w:p>
          <w:p w:rsidR="00FD5912" w:rsidRPr="009D5108" w:rsidRDefault="00FD5912" w:rsidP="004F5481">
            <w:pPr>
              <w:pStyle w:val="TableLegendNote"/>
              <w:rPr>
                <w:sz w:val="18"/>
                <w:lang w:eastAsia="ja-JP"/>
              </w:rPr>
            </w:pPr>
            <w:r w:rsidRPr="009D5108">
              <w:rPr>
                <w:sz w:val="18"/>
              </w:rPr>
              <w:t>NOTE</w:t>
            </w:r>
            <w:r w:rsidR="009D5108">
              <w:rPr>
                <w:sz w:val="18"/>
              </w:rPr>
              <w:t> </w:t>
            </w:r>
            <w:r w:rsidRPr="009D5108">
              <w:rPr>
                <w:sz w:val="18"/>
              </w:rPr>
              <w:t>4</w:t>
            </w:r>
            <w:r w:rsidR="009D5108">
              <w:rPr>
                <w:sz w:val="18"/>
              </w:rPr>
              <w:t> </w:t>
            </w:r>
            <w:r w:rsidRPr="009D5108">
              <w:rPr>
                <w:sz w:val="18"/>
              </w:rPr>
              <w:t>–</w:t>
            </w:r>
            <w:r w:rsidR="009D5108">
              <w:rPr>
                <w:sz w:val="18"/>
              </w:rPr>
              <w:t> </w:t>
            </w:r>
            <w:r w:rsidRPr="009D5108">
              <w:rPr>
                <w:sz w:val="18"/>
              </w:rPr>
              <w:t>Signal acquisition is performed using the L1 C/A signal. See the appropriate acquisition threshold row in Recommendation ITU</w:t>
            </w:r>
            <w:r w:rsidRPr="009D5108">
              <w:rPr>
                <w:sz w:val="18"/>
              </w:rPr>
              <w:noBreakHyphen/>
              <w:t>R M.</w:t>
            </w:r>
            <w:r w:rsidR="004F5481">
              <w:rPr>
                <w:sz w:val="18"/>
              </w:rPr>
              <w:t>1903</w:t>
            </w:r>
            <w:r w:rsidRPr="009D5108">
              <w:rPr>
                <w:sz w:val="18"/>
              </w:rPr>
              <w:t xml:space="preserve"> Annex 2, Table 2</w:t>
            </w:r>
            <w:r w:rsidRPr="009D5108">
              <w:rPr>
                <w:sz w:val="18"/>
              </w:rPr>
              <w:noBreakHyphen/>
              <w:t>2, “SBAS Ground Reference Receiver” column.</w:t>
            </w:r>
          </w:p>
          <w:p w:rsidR="00FD5912" w:rsidRPr="009D5108" w:rsidRDefault="00FD5912" w:rsidP="004F5481">
            <w:pPr>
              <w:pStyle w:val="TableLegendNote"/>
              <w:rPr>
                <w:sz w:val="18"/>
              </w:rPr>
            </w:pPr>
            <w:r w:rsidRPr="009D5108">
              <w:rPr>
                <w:sz w:val="18"/>
              </w:rPr>
              <w:t>NOTE</w:t>
            </w:r>
            <w:r w:rsidR="009D5108">
              <w:rPr>
                <w:sz w:val="18"/>
              </w:rPr>
              <w:t> </w:t>
            </w:r>
            <w:r w:rsidRPr="009D5108">
              <w:rPr>
                <w:sz w:val="18"/>
              </w:rPr>
              <w:t>5</w:t>
            </w:r>
            <w:r w:rsidR="009D5108">
              <w:rPr>
                <w:sz w:val="18"/>
              </w:rPr>
              <w:t> </w:t>
            </w:r>
            <w:r w:rsidRPr="009D5108">
              <w:rPr>
                <w:sz w:val="18"/>
              </w:rPr>
              <w:t>–</w:t>
            </w:r>
            <w:r w:rsidR="009D5108">
              <w:rPr>
                <w:sz w:val="18"/>
              </w:rPr>
              <w:t> </w:t>
            </w:r>
            <w:r w:rsidRPr="009D5108">
              <w:rPr>
                <w:sz w:val="18"/>
              </w:rPr>
              <w:t>Signal acquisition is performed using the L1 C/A signal. See the appropriate acquisition threshold row in Recommendation ITU</w:t>
            </w:r>
            <w:r w:rsidRPr="009D5108">
              <w:rPr>
                <w:sz w:val="18"/>
              </w:rPr>
              <w:noBreakHyphen/>
              <w:t>R M.</w:t>
            </w:r>
            <w:r w:rsidR="004F5481">
              <w:rPr>
                <w:sz w:val="18"/>
              </w:rPr>
              <w:t>1903</w:t>
            </w:r>
            <w:r w:rsidRPr="009D5108">
              <w:rPr>
                <w:sz w:val="18"/>
              </w:rPr>
              <w:t xml:space="preserve"> Annex 2, Table 2</w:t>
            </w:r>
            <w:r w:rsidRPr="009D5108">
              <w:rPr>
                <w:sz w:val="18"/>
              </w:rPr>
              <w:noBreakHyphen/>
              <w:t>2, “High-precision” column.</w:t>
            </w:r>
          </w:p>
          <w:p w:rsidR="00FD5912" w:rsidRPr="009D5108" w:rsidRDefault="00FD5912" w:rsidP="009D5108">
            <w:pPr>
              <w:pStyle w:val="TableLegendNote"/>
              <w:rPr>
                <w:sz w:val="18"/>
              </w:rPr>
            </w:pPr>
            <w:r w:rsidRPr="009D5108">
              <w:rPr>
                <w:sz w:val="18"/>
              </w:rPr>
              <w:t>NOTE</w:t>
            </w:r>
            <w:r w:rsidR="009D5108">
              <w:rPr>
                <w:sz w:val="18"/>
              </w:rPr>
              <w:t> </w:t>
            </w:r>
            <w:r w:rsidRPr="009D5108">
              <w:rPr>
                <w:sz w:val="18"/>
              </w:rPr>
              <w:t>6</w:t>
            </w:r>
            <w:r w:rsidR="009D5108">
              <w:rPr>
                <w:sz w:val="18"/>
              </w:rPr>
              <w:t> </w:t>
            </w:r>
            <w:r w:rsidRPr="009D5108">
              <w:rPr>
                <w:sz w:val="18"/>
              </w:rPr>
              <w:t>–</w:t>
            </w:r>
            <w:r w:rsidR="009D5108">
              <w:rPr>
                <w:sz w:val="18"/>
              </w:rPr>
              <w:t> </w:t>
            </w:r>
            <w:r w:rsidRPr="009D5108">
              <w:rPr>
                <w:sz w:val="18"/>
              </w:rPr>
              <w:t>The input compression level is for power in a 1 MHz bandwidth.</w:t>
            </w:r>
          </w:p>
          <w:p w:rsidR="00FD5912" w:rsidRPr="009D5108" w:rsidRDefault="00FD5912" w:rsidP="009D5108">
            <w:pPr>
              <w:pStyle w:val="TableLegendNote"/>
              <w:rPr>
                <w:sz w:val="18"/>
              </w:rPr>
            </w:pPr>
            <w:r w:rsidRPr="009D5108">
              <w:rPr>
                <w:sz w:val="18"/>
              </w:rPr>
              <w:t>NOTE</w:t>
            </w:r>
            <w:r w:rsidR="009D5108">
              <w:rPr>
                <w:sz w:val="18"/>
              </w:rPr>
              <w:t> </w:t>
            </w:r>
            <w:r w:rsidRPr="009D5108">
              <w:rPr>
                <w:sz w:val="18"/>
              </w:rPr>
              <w:t>7</w:t>
            </w:r>
            <w:r w:rsidR="009D5108">
              <w:rPr>
                <w:sz w:val="18"/>
              </w:rPr>
              <w:t> </w:t>
            </w:r>
            <w:r w:rsidRPr="009D5108">
              <w:rPr>
                <w:sz w:val="18"/>
              </w:rPr>
              <w:t>–</w:t>
            </w:r>
            <w:r w:rsidR="009D5108">
              <w:rPr>
                <w:sz w:val="18"/>
              </w:rPr>
              <w:t> </w:t>
            </w:r>
            <w:r w:rsidRPr="009D5108">
              <w:rPr>
                <w:sz w:val="18"/>
              </w:rPr>
              <w:t>The survival level is the peak power level for a pulsed signal with a 10% maximum duty factor.</w:t>
            </w:r>
          </w:p>
          <w:p w:rsidR="00FD5912" w:rsidRPr="009D5108" w:rsidRDefault="00FD5912" w:rsidP="004F5481">
            <w:pPr>
              <w:pStyle w:val="TableLegendNote"/>
              <w:rPr>
                <w:rFonts w:eastAsia="MS PGothic"/>
                <w:sz w:val="18"/>
              </w:rPr>
            </w:pPr>
            <w:r w:rsidRPr="009D5108">
              <w:rPr>
                <w:sz w:val="18"/>
              </w:rPr>
              <w:t>NOTE</w:t>
            </w:r>
            <w:r w:rsidR="009D5108">
              <w:rPr>
                <w:sz w:val="18"/>
              </w:rPr>
              <w:t> </w:t>
            </w:r>
            <w:r w:rsidRPr="009D5108">
              <w:rPr>
                <w:sz w:val="18"/>
              </w:rPr>
              <w:t>8</w:t>
            </w:r>
            <w:r w:rsidR="009D5108">
              <w:rPr>
                <w:sz w:val="18"/>
              </w:rPr>
              <w:t> </w:t>
            </w:r>
            <w:r w:rsidRPr="009D5108">
              <w:rPr>
                <w:rFonts w:eastAsia="MS PGothic"/>
                <w:sz w:val="18"/>
              </w:rPr>
              <w:t>–</w:t>
            </w:r>
            <w:r w:rsidR="009D5108">
              <w:rPr>
                <w:sz w:val="18"/>
              </w:rPr>
              <w:t> </w:t>
            </w:r>
            <w:r w:rsidRPr="009D5108">
              <w:rPr>
                <w:rFonts w:eastAsia="MS PGothic"/>
                <w:sz w:val="18"/>
              </w:rPr>
              <w:t xml:space="preserve">This receiver type operates on several RNSS signal carrier frequencies simultaneously. The carrier frequencies are defined by </w:t>
            </w:r>
            <w:r w:rsidRPr="009D5108">
              <w:rPr>
                <w:rFonts w:eastAsia="MS PGothic"/>
                <w:i/>
                <w:sz w:val="18"/>
              </w:rPr>
              <w:t>f</w:t>
            </w:r>
            <w:r w:rsidRPr="009D5108">
              <w:rPr>
                <w:rFonts w:eastAsia="MS PGothic"/>
                <w:i/>
                <w:sz w:val="18"/>
                <w:vertAlign w:val="subscript"/>
              </w:rPr>
              <w:t>c</w:t>
            </w:r>
            <w:r w:rsidRPr="009D5108">
              <w:rPr>
                <w:rFonts w:eastAsia="MS PGothic"/>
                <w:sz w:val="18"/>
              </w:rPr>
              <w:t> (MHz) = 1 246.0 + 0.4375</w:t>
            </w:r>
            <w:r w:rsidR="004F5481">
              <w:rPr>
                <w:rFonts w:eastAsia="MS PGothic"/>
                <w:sz w:val="18"/>
              </w:rPr>
              <w:t xml:space="preserve"> </w:t>
            </w:r>
            <w:r w:rsidRPr="004F5481">
              <w:rPr>
                <w:rFonts w:eastAsia="MS PGothic"/>
                <w:i/>
                <w:iCs/>
                <w:sz w:val="18"/>
              </w:rPr>
              <w:t>K</w:t>
            </w:r>
            <w:r w:rsidRPr="009D5108">
              <w:rPr>
                <w:rFonts w:eastAsia="MS PGothic"/>
                <w:sz w:val="18"/>
              </w:rPr>
              <w:t xml:space="preserve">, where </w:t>
            </w:r>
            <w:r w:rsidRPr="004F5481">
              <w:rPr>
                <w:rFonts w:eastAsia="MS PGothic"/>
                <w:i/>
                <w:iCs/>
                <w:sz w:val="18"/>
              </w:rPr>
              <w:t>K</w:t>
            </w:r>
            <w:r w:rsidRPr="009D5108">
              <w:rPr>
                <w:rFonts w:eastAsia="MS PGothic"/>
                <w:sz w:val="18"/>
              </w:rPr>
              <w:t> = −7 to +6.</w:t>
            </w:r>
          </w:p>
          <w:p w:rsidR="00FD5912" w:rsidRPr="009D5108" w:rsidRDefault="00FD5912" w:rsidP="009D5108">
            <w:pPr>
              <w:pStyle w:val="TableLegendNote"/>
              <w:rPr>
                <w:sz w:val="18"/>
              </w:rPr>
            </w:pPr>
            <w:r w:rsidRPr="009D5108">
              <w:rPr>
                <w:sz w:val="18"/>
              </w:rPr>
              <w:t>NOTE</w:t>
            </w:r>
            <w:r w:rsidR="009D5108">
              <w:rPr>
                <w:sz w:val="18"/>
              </w:rPr>
              <w:t> </w:t>
            </w:r>
            <w:r w:rsidRPr="009D5108">
              <w:rPr>
                <w:sz w:val="18"/>
              </w:rPr>
              <w:t>9</w:t>
            </w:r>
            <w:r w:rsidR="009D5108">
              <w:rPr>
                <w:sz w:val="18"/>
              </w:rPr>
              <w:t> </w:t>
            </w:r>
            <w:r w:rsidRPr="009D5108">
              <w:rPr>
                <w:rFonts w:eastAsia="MS PGothic"/>
                <w:sz w:val="18"/>
              </w:rPr>
              <w:t>–</w:t>
            </w:r>
            <w:r w:rsidR="009D5108">
              <w:rPr>
                <w:sz w:val="18"/>
              </w:rPr>
              <w:t> </w:t>
            </w:r>
            <w:r w:rsidRPr="009D5108">
              <w:rPr>
                <w:sz w:val="18"/>
              </w:rPr>
              <w:t>This threshold should account for the aggregate power of all interference. The threshold value does not include any safety margin.</w:t>
            </w:r>
          </w:p>
          <w:p w:rsidR="00FD5912" w:rsidRPr="009D5108" w:rsidRDefault="00FD5912" w:rsidP="009D5108">
            <w:pPr>
              <w:pStyle w:val="TableLegendNote"/>
              <w:rPr>
                <w:sz w:val="18"/>
              </w:rPr>
            </w:pPr>
            <w:r w:rsidRPr="009D5108">
              <w:rPr>
                <w:sz w:val="18"/>
              </w:rPr>
              <w:t>NOTE</w:t>
            </w:r>
            <w:r w:rsidR="009D5108">
              <w:rPr>
                <w:sz w:val="18"/>
              </w:rPr>
              <w:t> </w:t>
            </w:r>
            <w:r w:rsidRPr="009D5108">
              <w:rPr>
                <w:sz w:val="18"/>
              </w:rPr>
              <w:t>10</w:t>
            </w:r>
            <w:r w:rsidR="009D5108">
              <w:rPr>
                <w:sz w:val="18"/>
              </w:rPr>
              <w:t> </w:t>
            </w:r>
            <w:r w:rsidRPr="009D5108">
              <w:rPr>
                <w:sz w:val="18"/>
              </w:rPr>
              <w:t>–</w:t>
            </w:r>
            <w:r w:rsidR="009D5108">
              <w:rPr>
                <w:sz w:val="18"/>
              </w:rPr>
              <w:t> </w:t>
            </w:r>
            <w:r w:rsidRPr="009D5108">
              <w:rPr>
                <w:sz w:val="18"/>
              </w:rPr>
              <w:t>Given values represent typical characteristics of receivers. Under certain conditions more rigid values for some parameters could be required (e.g. recovery time after overload, threshold values of aggregate interference, etc.).</w:t>
            </w:r>
          </w:p>
          <w:p w:rsidR="00FD5912" w:rsidRPr="009D5108" w:rsidRDefault="00FD5912" w:rsidP="009D5108">
            <w:pPr>
              <w:pStyle w:val="TableLegendNote"/>
              <w:rPr>
                <w:sz w:val="18"/>
              </w:rPr>
            </w:pPr>
            <w:r w:rsidRPr="009D5108">
              <w:rPr>
                <w:sz w:val="18"/>
              </w:rPr>
              <w:t>NOTE</w:t>
            </w:r>
            <w:r w:rsidR="009D5108">
              <w:rPr>
                <w:sz w:val="18"/>
              </w:rPr>
              <w:t> </w:t>
            </w:r>
            <w:r w:rsidRPr="009D5108">
              <w:rPr>
                <w:sz w:val="18"/>
              </w:rPr>
              <w:t>11</w:t>
            </w:r>
            <w:r w:rsidR="009D5108">
              <w:rPr>
                <w:sz w:val="18"/>
              </w:rPr>
              <w:t> </w:t>
            </w:r>
            <w:r w:rsidRPr="009D5108">
              <w:rPr>
                <w:rFonts w:eastAsia="MS PGothic"/>
                <w:sz w:val="18"/>
              </w:rPr>
              <w:t>–</w:t>
            </w:r>
            <w:r w:rsidR="009D5108">
              <w:rPr>
                <w:sz w:val="18"/>
              </w:rPr>
              <w:t> </w:t>
            </w:r>
            <w:r w:rsidRPr="009D5108">
              <w:rPr>
                <w:sz w:val="18"/>
              </w:rPr>
              <w:t>Minimum receiver antenna gain at 5 degrees elevation angle is −4.5 dBi.</w:t>
            </w:r>
          </w:p>
          <w:p w:rsidR="00FD5912" w:rsidRPr="008A113A" w:rsidRDefault="00FD5912" w:rsidP="009D5108">
            <w:pPr>
              <w:pStyle w:val="TableLegendNote"/>
              <w:rPr>
                <w:lang w:eastAsia="ja-JP"/>
              </w:rPr>
            </w:pPr>
            <w:r w:rsidRPr="009D5108">
              <w:rPr>
                <w:sz w:val="18"/>
                <w:lang w:eastAsia="ja-JP"/>
              </w:rPr>
              <w:t>NOTE</w:t>
            </w:r>
            <w:r w:rsidR="009D5108">
              <w:rPr>
                <w:sz w:val="18"/>
                <w:lang w:eastAsia="ja-JP"/>
              </w:rPr>
              <w:t> </w:t>
            </w:r>
            <w:r w:rsidRPr="009D5108">
              <w:rPr>
                <w:sz w:val="18"/>
                <w:lang w:eastAsia="ja-JP"/>
              </w:rPr>
              <w:t>12</w:t>
            </w:r>
            <w:r w:rsidR="009D5108">
              <w:rPr>
                <w:sz w:val="18"/>
                <w:lang w:eastAsia="ja-JP"/>
              </w:rPr>
              <w:t> </w:t>
            </w:r>
            <w:r w:rsidRPr="009D5108">
              <w:rPr>
                <w:sz w:val="18"/>
                <w:lang w:eastAsia="ja-JP"/>
              </w:rPr>
              <w:t>–</w:t>
            </w:r>
            <w:r w:rsidR="009D5108">
              <w:rPr>
                <w:sz w:val="18"/>
                <w:lang w:eastAsia="ja-JP"/>
              </w:rPr>
              <w:t> </w:t>
            </w:r>
            <w:r w:rsidRPr="009D5108">
              <w:rPr>
                <w:sz w:val="18"/>
                <w:lang w:eastAsia="ja-JP"/>
              </w:rPr>
              <w:t xml:space="preserve">Because the </w:t>
            </w:r>
            <w:r w:rsidRPr="009D5108">
              <w:rPr>
                <w:color w:val="000000"/>
                <w:sz w:val="18"/>
                <w:lang w:eastAsia="ja-JP"/>
              </w:rPr>
              <w:t>antenna in some RNSS receiver applications could potentially be pointed in almost any direction, the maximum antenna gain in the lower hemisphere could (under worst</w:t>
            </w:r>
            <w:r w:rsidRPr="009D5108">
              <w:rPr>
                <w:sz w:val="18"/>
              </w:rPr>
              <w:t>-</w:t>
            </w:r>
            <w:r w:rsidRPr="009D5108">
              <w:rPr>
                <w:color w:val="000000"/>
                <w:sz w:val="18"/>
                <w:lang w:eastAsia="ja-JP"/>
              </w:rPr>
              <w:t>case conditions) be equal to that for the upper hemisphere.</w:t>
            </w:r>
          </w:p>
        </w:tc>
      </w:tr>
    </w:tbl>
    <w:p w:rsidR="00903874" w:rsidRPr="00FD5912" w:rsidRDefault="00903874" w:rsidP="00FD5912">
      <w:pPr>
        <w:pStyle w:val="Tablefin"/>
        <w:rPr>
          <w:lang w:val="en-US"/>
        </w:rPr>
      </w:pPr>
    </w:p>
    <w:p w:rsidR="00903874" w:rsidRPr="00BF487A" w:rsidRDefault="00903874" w:rsidP="004F5481">
      <w:pPr>
        <w:pStyle w:val="Line"/>
        <w:ind w:left="6237" w:right="6237"/>
      </w:pPr>
    </w:p>
    <w:sectPr w:rsidR="00903874" w:rsidRPr="00BF487A" w:rsidSect="002A162A">
      <w:headerReference w:type="even" r:id="rId15"/>
      <w:headerReference w:type="default" r:id="rId16"/>
      <w:pgSz w:w="16834" w:h="11907" w:orient="landscape"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162A" w:rsidRDefault="002A162A">
      <w:r>
        <w:separator/>
      </w:r>
    </w:p>
  </w:endnote>
  <w:endnote w:type="continuationSeparator" w:id="0">
    <w:p w:rsidR="002A162A" w:rsidRDefault="002A1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PGothic">
    <w:panose1 w:val="020B0600070205080204"/>
    <w:charset w:val="80"/>
    <w:family w:val="swiss"/>
    <w:pitch w:val="variable"/>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162A" w:rsidRDefault="002A162A">
      <w:r>
        <w:separator/>
      </w:r>
    </w:p>
  </w:footnote>
  <w:footnote w:type="continuationSeparator" w:id="0">
    <w:p w:rsidR="002A162A" w:rsidRDefault="002A162A">
      <w:r>
        <w:continuationSeparator/>
      </w:r>
    </w:p>
  </w:footnote>
  <w:footnote w:id="1">
    <w:p w:rsidR="002A162A" w:rsidRPr="00903874" w:rsidRDefault="002A162A" w:rsidP="004F5481">
      <w:pPr>
        <w:pStyle w:val="FootnoteText"/>
        <w:rPr>
          <w:lang w:val="en-US"/>
        </w:rPr>
      </w:pPr>
      <w:r>
        <w:footnoteRef/>
      </w:r>
      <w:r w:rsidRPr="00903874">
        <w:rPr>
          <w:lang w:val="en-US"/>
        </w:rPr>
        <w:t xml:space="preserve"> </w:t>
      </w:r>
      <w:r w:rsidRPr="00903874">
        <w:rPr>
          <w:lang w:val="en-US"/>
        </w:rPr>
        <w:tab/>
        <w:t>SBAS is a means for providing RNSS regional measurement error correction and integrity data via GSO satellite signals.</w:t>
      </w:r>
    </w:p>
  </w:footnote>
  <w:footnote w:id="2">
    <w:p w:rsidR="002A162A" w:rsidRPr="00903874" w:rsidRDefault="002A162A" w:rsidP="00801229">
      <w:pPr>
        <w:pStyle w:val="FootnoteText"/>
        <w:rPr>
          <w:lang w:val="en-US"/>
        </w:rPr>
      </w:pPr>
      <w:r>
        <w:footnoteRef/>
      </w:r>
      <w:r w:rsidRPr="00903874">
        <w:rPr>
          <w:lang w:val="en-US"/>
        </w:rPr>
        <w:tab/>
      </w:r>
      <w:r w:rsidRPr="00903874">
        <w:rPr>
          <w:color w:val="000000"/>
          <w:lang w:val="en-US"/>
        </w:rPr>
        <w:t xml:space="preserve">The L1 C/A and </w:t>
      </w:r>
      <w:r w:rsidRPr="00903874">
        <w:rPr>
          <w:lang w:val="en-US"/>
        </w:rPr>
        <w:t>L1 P(Y) signals are in the 1 559-1 610 MHz RNSS frequency band while L2 P(Y) signals are in the 1 215-1 300 MHz RNSS band. Further details for these signals are found in Annex 2 (GPS) of Recommendation ITU</w:t>
      </w:r>
      <w:r w:rsidRPr="00903874">
        <w:rPr>
          <w:lang w:val="en-US"/>
        </w:rPr>
        <w:noBreakHyphen/>
        <w:t>R M.1787.</w:t>
      </w:r>
    </w:p>
  </w:footnote>
  <w:footnote w:id="3">
    <w:p w:rsidR="002A162A" w:rsidRPr="00903874" w:rsidRDefault="002A162A" w:rsidP="00801229">
      <w:pPr>
        <w:pStyle w:val="FootnoteText"/>
        <w:rPr>
          <w:lang w:val="en-US"/>
        </w:rPr>
      </w:pPr>
      <w:r>
        <w:footnoteRef/>
      </w:r>
      <w:r w:rsidRPr="00903874">
        <w:rPr>
          <w:lang w:val="en-US"/>
        </w:rPr>
        <w:t xml:space="preserve"> </w:t>
      </w:r>
      <w:r w:rsidRPr="00903874">
        <w:rPr>
          <w:lang w:val="en-US"/>
        </w:rPr>
        <w:tab/>
        <w:t>Y code is a modified and encrypted P code, having the same chipping rate and modulation characteristics as that of the P code.</w:t>
      </w:r>
    </w:p>
  </w:footnote>
  <w:footnote w:id="4">
    <w:p w:rsidR="002A162A" w:rsidRPr="00903874" w:rsidRDefault="002A162A" w:rsidP="00801229">
      <w:pPr>
        <w:pStyle w:val="FootnoteText"/>
        <w:rPr>
          <w:lang w:val="en-US"/>
        </w:rPr>
      </w:pPr>
      <w:r>
        <w:footnoteRef/>
      </w:r>
      <w:r w:rsidRPr="00903874">
        <w:rPr>
          <w:lang w:val="en-US"/>
        </w:rPr>
        <w:tab/>
        <w:t>Further details of the L2C signal are found in Annex 2 (GPS) of Recommendation ITU</w:t>
      </w:r>
      <w:r w:rsidRPr="00903874">
        <w:rPr>
          <w:lang w:val="en-US"/>
        </w:rPr>
        <w:noBreakHyphen/>
        <w:t>R M.1787.</w:t>
      </w:r>
    </w:p>
  </w:footnote>
  <w:footnote w:id="5">
    <w:p w:rsidR="002A162A" w:rsidRPr="00903874" w:rsidRDefault="002A162A" w:rsidP="00801229">
      <w:pPr>
        <w:pStyle w:val="FootnoteText"/>
        <w:rPr>
          <w:lang w:val="en-US"/>
        </w:rPr>
      </w:pPr>
      <w:r>
        <w:footnoteRef/>
      </w:r>
      <w:r w:rsidRPr="00903874">
        <w:rPr>
          <w:lang w:val="en-US"/>
        </w:rPr>
        <w:tab/>
        <w:t>The phrase “FDMA RNSS signals” refers to a technique in which all the RNSS satellites use the same modulation code, but each satellite transmits on a different carrier frequency. Further signal details are contained in Annex 1 (GLONASS) of Recommendation ITU</w:t>
      </w:r>
      <w:r w:rsidRPr="00903874">
        <w:rPr>
          <w:lang w:val="en-US"/>
        </w:rPr>
        <w:noBreakHyphen/>
        <w:t>R M.1787.</w:t>
      </w:r>
    </w:p>
  </w:footnote>
  <w:footnote w:id="6">
    <w:p w:rsidR="002A162A" w:rsidRPr="00903874" w:rsidRDefault="002A162A" w:rsidP="00801229">
      <w:pPr>
        <w:pStyle w:val="FootnoteText"/>
        <w:rPr>
          <w:lang w:val="en-US"/>
        </w:rPr>
      </w:pPr>
      <w:r>
        <w:footnoteRef/>
      </w:r>
      <w:r w:rsidRPr="00903874">
        <w:rPr>
          <w:lang w:val="en-US"/>
        </w:rPr>
        <w:tab/>
        <w:t>Further RNSS signal details are found in Annex 4 (QZSS) of Recommendation ITU</w:t>
      </w:r>
      <w:r w:rsidRPr="00903874">
        <w:rPr>
          <w:lang w:val="en-US"/>
        </w:rPr>
        <w:noBreakHyphen/>
        <w:t>R M.1787.</w:t>
      </w:r>
    </w:p>
  </w:footnote>
  <w:footnote w:id="7">
    <w:p w:rsidR="002A162A" w:rsidRPr="00903874" w:rsidRDefault="002A162A" w:rsidP="00801229">
      <w:pPr>
        <w:pStyle w:val="FootnoteText"/>
        <w:rPr>
          <w:lang w:val="en-US"/>
        </w:rPr>
      </w:pPr>
      <w:r>
        <w:footnoteRef/>
      </w:r>
      <w:r w:rsidRPr="00903874">
        <w:rPr>
          <w:lang w:val="en-US"/>
        </w:rPr>
        <w:tab/>
        <w:t>RTCA, headquartered in the United States</w:t>
      </w:r>
      <w:r>
        <w:rPr>
          <w:lang w:val="en-US"/>
        </w:rPr>
        <w:t xml:space="preserve"> of America</w:t>
      </w:r>
      <w:r w:rsidRPr="00903874">
        <w:rPr>
          <w:lang w:val="en-US"/>
        </w:rPr>
        <w:t>, and EUROCAE in Europe.</w:t>
      </w:r>
    </w:p>
  </w:footnote>
  <w:footnote w:id="8">
    <w:p w:rsidR="002A162A" w:rsidRDefault="002A162A" w:rsidP="00801229">
      <w:pPr>
        <w:pStyle w:val="FootnoteText"/>
      </w:pPr>
      <w:r>
        <w:footnoteRef/>
      </w:r>
      <w:r w:rsidRPr="00903874">
        <w:rPr>
          <w:lang w:val="en-US"/>
        </w:rPr>
        <w:tab/>
        <w:t>RTCA SC-159, “Assessment of the radio frequency interference relevant to the GNSS L5/E5A frequency band”, RTCA Document No. </w:t>
      </w:r>
      <w:r>
        <w:t xml:space="preserve">RTCA/DO-292, </w:t>
      </w:r>
      <w:smartTag w:uri="urn:schemas-microsoft-com:office:smarttags" w:element="PlaceType">
        <w:smartTag w:uri="urn:schemas-microsoft-com:office:smarttags" w:element="PlaceName">
          <w:r>
            <w:t>Washington</w:t>
          </w:r>
        </w:smartTag>
        <w:r>
          <w:t xml:space="preserve">, </w:t>
        </w:r>
        <w:smartTag w:uri="urn:schemas-microsoft-com:office:smarttags" w:element="place">
          <w:r>
            <w:t>DC</w:t>
          </w:r>
        </w:smartTag>
      </w:smartTag>
      <w:r>
        <w:t>, 29 July 2004.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62A" w:rsidRDefault="002A162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62A" w:rsidRDefault="002A162A" w:rsidP="00B033C8">
    <w:pPr>
      <w:pStyle w:val="Header"/>
      <w:ind w:right="360" w:firstLine="360"/>
    </w:pPr>
    <w:r>
      <w:rPr>
        <w:noProof/>
        <w:lang w:val="en-US" w:eastAsia="zh-CN"/>
      </w:rPr>
      <w:drawing>
        <wp:anchor distT="0" distB="0" distL="114300" distR="114300" simplePos="0" relativeHeight="251657728" behindDoc="1" locked="0" layoutInCell="1" allowOverlap="1" wp14:anchorId="0885F61B" wp14:editId="163F1A7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62A" w:rsidRPr="00FC42AF" w:rsidRDefault="002A162A">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AF3B6D">
      <w:rPr>
        <w:rStyle w:val="PageNumber"/>
        <w:b/>
        <w:bCs/>
        <w:noProof/>
      </w:rPr>
      <w:t>ii</w:t>
    </w:r>
    <w:r>
      <w:rPr>
        <w:rStyle w:val="PageNumber"/>
        <w:b/>
        <w:bCs/>
      </w:rPr>
      <w:fldChar w:fldCharType="end"/>
    </w:r>
    <w:r w:rsidRPr="00FC42AF">
      <w:tab/>
    </w:r>
    <w:r w:rsidR="00AF3B6D">
      <w:fldChar w:fldCharType="begin"/>
    </w:r>
    <w:r w:rsidR="00AF3B6D">
      <w:instrText xml:space="preserve"> DOCPROPERTY "Header" \* MERGEFORMAT </w:instrText>
    </w:r>
    <w:r w:rsidR="00AF3B6D">
      <w:fldChar w:fldCharType="separate"/>
    </w:r>
    <w:r w:rsidRPr="002A162A">
      <w:rPr>
        <w:b/>
        <w:bCs/>
      </w:rPr>
      <w:t xml:space="preserve">Rec. </w:t>
    </w:r>
    <w:r w:rsidR="00AF3B6D">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AF3B6D">
      <w:rPr>
        <w:b/>
        <w:bCs/>
        <w:noProof/>
      </w:rPr>
      <w:t>ITU-R  M.1902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62A" w:rsidRDefault="002A162A">
    <w:pPr>
      <w:pStyle w:val="Header"/>
    </w:pPr>
    <w:r>
      <w:tab/>
    </w:r>
    <w:r w:rsidR="00AF3B6D">
      <w:fldChar w:fldCharType="begin"/>
    </w:r>
    <w:r w:rsidR="00AF3B6D">
      <w:instrText xml:space="preserve"> DOCPROPERTY "Header" \* MERGEFORMAT </w:instrText>
    </w:r>
    <w:r w:rsidR="00AF3B6D">
      <w:fldChar w:fldCharType="separate"/>
    </w:r>
    <w:r w:rsidRPr="002A162A">
      <w:rPr>
        <w:b/>
        <w:bCs/>
      </w:rPr>
      <w:t xml:space="preserve">Rec. </w:t>
    </w:r>
    <w:r w:rsidR="00AF3B6D">
      <w:rPr>
        <w:b/>
        <w:bCs/>
      </w:rPr>
      <w:fldChar w:fldCharType="end"/>
    </w:r>
    <w:r>
      <w:rPr>
        <w:b/>
        <w:bCs/>
      </w:rPr>
      <w:t xml:space="preserve"> </w:t>
    </w:r>
    <w:r>
      <w:rPr>
        <w:b/>
        <w:bCs/>
      </w:rPr>
      <w:fldChar w:fldCharType="begin"/>
    </w:r>
    <w:r>
      <w:rPr>
        <w:b/>
        <w:bCs/>
      </w:rPr>
      <w:instrText>styleref href</w:instrText>
    </w:r>
    <w:r>
      <w:rPr>
        <w:b/>
        <w:bCs/>
      </w:rPr>
      <w:fldChar w:fldCharType="separate"/>
    </w:r>
    <w:r w:rsidR="00AF3B6D">
      <w:rPr>
        <w:b/>
        <w:bCs/>
        <w:noProof/>
      </w:rPr>
      <w:t>ITU-R  M.1902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F3B6D">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62A" w:rsidRPr="00FC42AF" w:rsidRDefault="002A162A" w:rsidP="00FD5912">
    <w:pPr>
      <w:pStyle w:val="Header"/>
      <w:tabs>
        <w:tab w:val="clear" w:pos="4848"/>
        <w:tab w:val="clear" w:pos="9696"/>
        <w:tab w:val="center" w:pos="7144"/>
        <w:tab w:val="right"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AF3B6D">
      <w:rPr>
        <w:rStyle w:val="PageNumber"/>
        <w:b/>
        <w:bCs/>
        <w:noProof/>
      </w:rPr>
      <w:t>8</w:t>
    </w:r>
    <w:r>
      <w:rPr>
        <w:rStyle w:val="PageNumber"/>
        <w:b/>
        <w:bCs/>
      </w:rPr>
      <w:fldChar w:fldCharType="end"/>
    </w:r>
    <w:r w:rsidRPr="00FC42AF">
      <w:tab/>
    </w:r>
    <w:r w:rsidR="00AF3B6D">
      <w:fldChar w:fldCharType="begin"/>
    </w:r>
    <w:r w:rsidR="00AF3B6D">
      <w:instrText xml:space="preserve"> DOCPROPERTY "Header" \* MERGEFORMAT </w:instrText>
    </w:r>
    <w:r w:rsidR="00AF3B6D">
      <w:fldChar w:fldCharType="separate"/>
    </w:r>
    <w:r w:rsidRPr="002A162A">
      <w:rPr>
        <w:b/>
        <w:bCs/>
      </w:rPr>
      <w:t xml:space="preserve">Rec. </w:t>
    </w:r>
    <w:r w:rsidR="00AF3B6D">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AF3B6D">
      <w:rPr>
        <w:b/>
        <w:bCs/>
        <w:noProof/>
      </w:rPr>
      <w:t>ITU-R  M.1902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62A" w:rsidRDefault="002A162A" w:rsidP="00FD5912">
    <w:pPr>
      <w:pStyle w:val="Header"/>
      <w:tabs>
        <w:tab w:val="clear" w:pos="4848"/>
        <w:tab w:val="clear" w:pos="9696"/>
        <w:tab w:val="center" w:pos="7144"/>
        <w:tab w:val="right" w:pos="14515"/>
      </w:tabs>
    </w:pPr>
    <w:r>
      <w:tab/>
    </w:r>
    <w:r w:rsidR="00AF3B6D">
      <w:fldChar w:fldCharType="begin"/>
    </w:r>
    <w:r w:rsidR="00AF3B6D">
      <w:instrText xml:space="preserve"> DOCPROPERTY "Header" \* MERGEFORMAT </w:instrText>
    </w:r>
    <w:r w:rsidR="00AF3B6D">
      <w:fldChar w:fldCharType="separate"/>
    </w:r>
    <w:r w:rsidRPr="002A162A">
      <w:rPr>
        <w:b/>
        <w:bCs/>
      </w:rPr>
      <w:t xml:space="preserve">Rec. </w:t>
    </w:r>
    <w:r w:rsidR="00AF3B6D">
      <w:rPr>
        <w:b/>
        <w:bCs/>
      </w:rPr>
      <w:fldChar w:fldCharType="end"/>
    </w:r>
    <w:r>
      <w:rPr>
        <w:b/>
        <w:bCs/>
      </w:rPr>
      <w:t xml:space="preserve"> </w:t>
    </w:r>
    <w:r>
      <w:rPr>
        <w:b/>
        <w:bCs/>
      </w:rPr>
      <w:fldChar w:fldCharType="begin"/>
    </w:r>
    <w:r>
      <w:rPr>
        <w:b/>
        <w:bCs/>
      </w:rPr>
      <w:instrText>styleref href</w:instrText>
    </w:r>
    <w:r>
      <w:rPr>
        <w:b/>
        <w:bCs/>
      </w:rPr>
      <w:fldChar w:fldCharType="separate"/>
    </w:r>
    <w:r w:rsidR="00AF3B6D">
      <w:rPr>
        <w:b/>
        <w:bCs/>
        <w:noProof/>
      </w:rPr>
      <w:t>ITU-R  M.1902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F3B6D">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536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A4386"/>
    <w:rsid w:val="000B7683"/>
    <w:rsid w:val="000D0677"/>
    <w:rsid w:val="000E6A6E"/>
    <w:rsid w:val="00102934"/>
    <w:rsid w:val="00147110"/>
    <w:rsid w:val="001511A6"/>
    <w:rsid w:val="001D7190"/>
    <w:rsid w:val="002058CE"/>
    <w:rsid w:val="002165F1"/>
    <w:rsid w:val="002572B3"/>
    <w:rsid w:val="00276D21"/>
    <w:rsid w:val="00291F7A"/>
    <w:rsid w:val="00296D7F"/>
    <w:rsid w:val="002A162A"/>
    <w:rsid w:val="002B3CF6"/>
    <w:rsid w:val="002C768A"/>
    <w:rsid w:val="002D76C4"/>
    <w:rsid w:val="002F06BF"/>
    <w:rsid w:val="002F5199"/>
    <w:rsid w:val="00333892"/>
    <w:rsid w:val="00356B5D"/>
    <w:rsid w:val="0041667C"/>
    <w:rsid w:val="00420DFD"/>
    <w:rsid w:val="00437A76"/>
    <w:rsid w:val="00470E28"/>
    <w:rsid w:val="00470FEC"/>
    <w:rsid w:val="004934C5"/>
    <w:rsid w:val="004A6CE6"/>
    <w:rsid w:val="004F5481"/>
    <w:rsid w:val="004F65E4"/>
    <w:rsid w:val="00554C61"/>
    <w:rsid w:val="00556548"/>
    <w:rsid w:val="00586EF8"/>
    <w:rsid w:val="005A1063"/>
    <w:rsid w:val="005B49AB"/>
    <w:rsid w:val="005B50E7"/>
    <w:rsid w:val="005D0454"/>
    <w:rsid w:val="005E7B4F"/>
    <w:rsid w:val="006003F5"/>
    <w:rsid w:val="00601882"/>
    <w:rsid w:val="00607D68"/>
    <w:rsid w:val="00613212"/>
    <w:rsid w:val="006149B1"/>
    <w:rsid w:val="00680D2B"/>
    <w:rsid w:val="00681B32"/>
    <w:rsid w:val="006B1D2B"/>
    <w:rsid w:val="006E1131"/>
    <w:rsid w:val="006E2037"/>
    <w:rsid w:val="006E6199"/>
    <w:rsid w:val="00712870"/>
    <w:rsid w:val="00743D85"/>
    <w:rsid w:val="00753CF4"/>
    <w:rsid w:val="007565CC"/>
    <w:rsid w:val="00763B9A"/>
    <w:rsid w:val="00770866"/>
    <w:rsid w:val="00794726"/>
    <w:rsid w:val="007A6AA8"/>
    <w:rsid w:val="007D224F"/>
    <w:rsid w:val="00801229"/>
    <w:rsid w:val="008310C9"/>
    <w:rsid w:val="00853CC5"/>
    <w:rsid w:val="008A113A"/>
    <w:rsid w:val="008C7848"/>
    <w:rsid w:val="00903874"/>
    <w:rsid w:val="00906589"/>
    <w:rsid w:val="00906AD6"/>
    <w:rsid w:val="00917AF2"/>
    <w:rsid w:val="0092418A"/>
    <w:rsid w:val="00934ED7"/>
    <w:rsid w:val="009543C3"/>
    <w:rsid w:val="00966E1B"/>
    <w:rsid w:val="009947C0"/>
    <w:rsid w:val="009D5108"/>
    <w:rsid w:val="009F2D2C"/>
    <w:rsid w:val="00A31928"/>
    <w:rsid w:val="00A62A14"/>
    <w:rsid w:val="00A6617B"/>
    <w:rsid w:val="00A71FE5"/>
    <w:rsid w:val="00A971A1"/>
    <w:rsid w:val="00AA3AD8"/>
    <w:rsid w:val="00AB0DC8"/>
    <w:rsid w:val="00AD1B12"/>
    <w:rsid w:val="00AE3483"/>
    <w:rsid w:val="00AF3B6D"/>
    <w:rsid w:val="00B033C8"/>
    <w:rsid w:val="00B33425"/>
    <w:rsid w:val="00B44E24"/>
    <w:rsid w:val="00B53EBC"/>
    <w:rsid w:val="00B54ECC"/>
    <w:rsid w:val="00B714F3"/>
    <w:rsid w:val="00B87B6B"/>
    <w:rsid w:val="00BB5EC2"/>
    <w:rsid w:val="00BC5D77"/>
    <w:rsid w:val="00BE262F"/>
    <w:rsid w:val="00BF487A"/>
    <w:rsid w:val="00C44EEB"/>
    <w:rsid w:val="00C46BD9"/>
    <w:rsid w:val="00C55258"/>
    <w:rsid w:val="00C73560"/>
    <w:rsid w:val="00CB0F14"/>
    <w:rsid w:val="00CD659B"/>
    <w:rsid w:val="00CE0A43"/>
    <w:rsid w:val="00D83556"/>
    <w:rsid w:val="00DF4176"/>
    <w:rsid w:val="00E17240"/>
    <w:rsid w:val="00E406BD"/>
    <w:rsid w:val="00E74595"/>
    <w:rsid w:val="00EB786E"/>
    <w:rsid w:val="00EB7C57"/>
    <w:rsid w:val="00ED2695"/>
    <w:rsid w:val="00F30C9B"/>
    <w:rsid w:val="00F354B1"/>
    <w:rsid w:val="00F93419"/>
    <w:rsid w:val="00FB0E4E"/>
    <w:rsid w:val="00FC42AF"/>
    <w:rsid w:val="00FD15CF"/>
    <w:rsid w:val="00FD5912"/>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15361">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0122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01229"/>
    <w:pPr>
      <w:keepNext/>
      <w:keepLines/>
      <w:spacing w:before="480"/>
      <w:ind w:left="794" w:hanging="794"/>
      <w:outlineLvl w:val="0"/>
    </w:pPr>
    <w:rPr>
      <w:b/>
    </w:rPr>
  </w:style>
  <w:style w:type="paragraph" w:styleId="Heading2">
    <w:name w:val="heading 2"/>
    <w:basedOn w:val="Heading1"/>
    <w:next w:val="Normal"/>
    <w:qFormat/>
    <w:rsid w:val="00801229"/>
    <w:pPr>
      <w:spacing w:before="320"/>
      <w:outlineLvl w:val="1"/>
    </w:pPr>
  </w:style>
  <w:style w:type="paragraph" w:styleId="Heading3">
    <w:name w:val="heading 3"/>
    <w:basedOn w:val="Heading1"/>
    <w:next w:val="Normal"/>
    <w:qFormat/>
    <w:rsid w:val="00801229"/>
    <w:pPr>
      <w:spacing w:before="200"/>
      <w:outlineLvl w:val="2"/>
    </w:pPr>
  </w:style>
  <w:style w:type="paragraph" w:styleId="Heading4">
    <w:name w:val="heading 4"/>
    <w:basedOn w:val="Heading3"/>
    <w:next w:val="Normal"/>
    <w:qFormat/>
    <w:rsid w:val="00801229"/>
    <w:pPr>
      <w:tabs>
        <w:tab w:val="clear" w:pos="794"/>
        <w:tab w:val="left" w:pos="992"/>
      </w:tabs>
      <w:ind w:left="992" w:hanging="992"/>
      <w:outlineLvl w:val="3"/>
    </w:pPr>
  </w:style>
  <w:style w:type="paragraph" w:styleId="Heading5">
    <w:name w:val="heading 5"/>
    <w:basedOn w:val="Heading4"/>
    <w:next w:val="Normal"/>
    <w:qFormat/>
    <w:rsid w:val="00801229"/>
    <w:pPr>
      <w:outlineLvl w:val="4"/>
    </w:pPr>
  </w:style>
  <w:style w:type="paragraph" w:styleId="Heading6">
    <w:name w:val="heading 6"/>
    <w:basedOn w:val="Heading4"/>
    <w:next w:val="Normal"/>
    <w:qFormat/>
    <w:rsid w:val="00801229"/>
    <w:pPr>
      <w:tabs>
        <w:tab w:val="clear" w:pos="992"/>
        <w:tab w:val="clear" w:pos="1191"/>
      </w:tabs>
      <w:ind w:left="1588" w:hanging="1588"/>
      <w:outlineLvl w:val="5"/>
    </w:pPr>
  </w:style>
  <w:style w:type="paragraph" w:styleId="Heading7">
    <w:name w:val="heading 7"/>
    <w:basedOn w:val="Heading6"/>
    <w:next w:val="Normal"/>
    <w:qFormat/>
    <w:rsid w:val="00801229"/>
    <w:pPr>
      <w:outlineLvl w:val="6"/>
    </w:pPr>
  </w:style>
  <w:style w:type="paragraph" w:styleId="Heading8">
    <w:name w:val="heading 8"/>
    <w:basedOn w:val="Heading6"/>
    <w:next w:val="Normal"/>
    <w:qFormat/>
    <w:rsid w:val="00801229"/>
    <w:pPr>
      <w:outlineLvl w:val="7"/>
    </w:pPr>
  </w:style>
  <w:style w:type="paragraph" w:styleId="Heading9">
    <w:name w:val="heading 9"/>
    <w:basedOn w:val="Heading6"/>
    <w:next w:val="Normal"/>
    <w:qFormat/>
    <w:rsid w:val="0080122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0122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0122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01229"/>
  </w:style>
  <w:style w:type="paragraph" w:customStyle="1" w:styleId="Headingb">
    <w:name w:val="Heading_b"/>
    <w:basedOn w:val="Heading3"/>
    <w:next w:val="Normal"/>
    <w:rsid w:val="00801229"/>
    <w:pPr>
      <w:spacing w:before="160"/>
      <w:ind w:left="0" w:firstLine="0"/>
      <w:outlineLvl w:val="9"/>
    </w:pPr>
  </w:style>
  <w:style w:type="paragraph" w:customStyle="1" w:styleId="Headingi">
    <w:name w:val="Heading_i"/>
    <w:basedOn w:val="Heading3"/>
    <w:next w:val="Normal"/>
    <w:rsid w:val="00801229"/>
    <w:pPr>
      <w:spacing w:before="160"/>
      <w:ind w:left="0" w:firstLine="0"/>
    </w:pPr>
    <w:rPr>
      <w:b w:val="0"/>
      <w:i/>
    </w:rPr>
  </w:style>
  <w:style w:type="character" w:customStyle="1" w:styleId="href">
    <w:name w:val="href"/>
    <w:basedOn w:val="DefaultParagraphFont"/>
    <w:rsid w:val="00801229"/>
  </w:style>
  <w:style w:type="paragraph" w:customStyle="1" w:styleId="AnnexNoTitle">
    <w:name w:val="Annex_NoTitle"/>
    <w:basedOn w:val="Normal"/>
    <w:next w:val="Normalaftertitle"/>
    <w:rsid w:val="00801229"/>
    <w:pPr>
      <w:keepNext/>
      <w:keepLines/>
      <w:spacing w:before="480" w:after="80"/>
      <w:jc w:val="center"/>
    </w:pPr>
    <w:rPr>
      <w:b/>
      <w:sz w:val="28"/>
    </w:rPr>
  </w:style>
  <w:style w:type="paragraph" w:customStyle="1" w:styleId="Normalaftertitle">
    <w:name w:val="Normal_after_title"/>
    <w:basedOn w:val="Normal"/>
    <w:next w:val="Normal"/>
    <w:rsid w:val="00801229"/>
    <w:pPr>
      <w:spacing w:before="320"/>
    </w:pPr>
  </w:style>
  <w:style w:type="paragraph" w:customStyle="1" w:styleId="enumlev2">
    <w:name w:val="enumlev2"/>
    <w:basedOn w:val="enumlev1"/>
    <w:rsid w:val="00801229"/>
    <w:pPr>
      <w:ind w:left="1191" w:hanging="397"/>
    </w:pPr>
  </w:style>
  <w:style w:type="paragraph" w:customStyle="1" w:styleId="enumlev1">
    <w:name w:val="enumlev1"/>
    <w:basedOn w:val="Normal"/>
    <w:link w:val="enumlev1Char"/>
    <w:rsid w:val="00801229"/>
    <w:pPr>
      <w:spacing w:before="80"/>
      <w:ind w:left="794" w:hanging="794"/>
    </w:pPr>
  </w:style>
  <w:style w:type="character" w:customStyle="1" w:styleId="enumlev1Char">
    <w:name w:val="enumlev1 Char"/>
    <w:link w:val="enumlev1"/>
    <w:locked/>
    <w:rsid w:val="00903874"/>
    <w:rPr>
      <w:sz w:val="24"/>
      <w:lang w:val="fr-FR" w:eastAsia="en-US"/>
    </w:rPr>
  </w:style>
  <w:style w:type="paragraph" w:customStyle="1" w:styleId="enumlev3">
    <w:name w:val="enumlev3"/>
    <w:basedOn w:val="enumlev2"/>
    <w:rsid w:val="00801229"/>
    <w:pPr>
      <w:ind w:left="1588"/>
    </w:pPr>
  </w:style>
  <w:style w:type="paragraph" w:customStyle="1" w:styleId="Note">
    <w:name w:val="Note"/>
    <w:basedOn w:val="Normal"/>
    <w:rsid w:val="0080122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0122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rsid w:val="00801229"/>
    <w:pPr>
      <w:keepNext/>
      <w:keepLines/>
      <w:spacing w:before="240"/>
      <w:jc w:val="center"/>
    </w:pPr>
    <w:rPr>
      <w:b/>
      <w:sz w:val="28"/>
    </w:rPr>
  </w:style>
  <w:style w:type="paragraph" w:customStyle="1" w:styleId="Recref">
    <w:name w:val="Rec_ref"/>
    <w:basedOn w:val="Normal"/>
    <w:next w:val="Recdate"/>
    <w:rsid w:val="00801229"/>
    <w:pPr>
      <w:jc w:val="center"/>
    </w:pPr>
  </w:style>
  <w:style w:type="paragraph" w:customStyle="1" w:styleId="Recdate">
    <w:name w:val="Rec_date"/>
    <w:basedOn w:val="Recref"/>
    <w:next w:val="Normalaftertitle"/>
    <w:rsid w:val="00801229"/>
    <w:pPr>
      <w:jc w:val="right"/>
    </w:pPr>
  </w:style>
  <w:style w:type="character" w:customStyle="1" w:styleId="Rectitle0">
    <w:name w:val="Rec_title Знак"/>
    <w:link w:val="Rectitle"/>
    <w:locked/>
    <w:rsid w:val="00903874"/>
    <w:rPr>
      <w:b/>
      <w:sz w:val="28"/>
      <w:lang w:val="fr-FR" w:eastAsia="en-US"/>
    </w:rPr>
  </w:style>
  <w:style w:type="paragraph" w:customStyle="1" w:styleId="HeadingSum">
    <w:name w:val="Heading_Sum"/>
    <w:basedOn w:val="Headingb"/>
    <w:next w:val="Normal"/>
    <w:autoRedefine/>
    <w:rsid w:val="00801229"/>
    <w:pPr>
      <w:spacing w:before="240"/>
    </w:pPr>
    <w:rPr>
      <w:sz w:val="22"/>
      <w:lang w:val="es-ES_tradnl"/>
    </w:rPr>
  </w:style>
  <w:style w:type="paragraph" w:customStyle="1" w:styleId="AppendixNoTitle">
    <w:name w:val="Appendix_NoTitle"/>
    <w:basedOn w:val="AnnexNoTitle"/>
    <w:next w:val="Normal"/>
    <w:rsid w:val="00801229"/>
  </w:style>
  <w:style w:type="paragraph" w:customStyle="1" w:styleId="Tablefin">
    <w:name w:val="Table_fin"/>
    <w:basedOn w:val="Normal"/>
    <w:next w:val="Normal"/>
    <w:rsid w:val="00801229"/>
    <w:pPr>
      <w:spacing w:before="0"/>
    </w:pPr>
    <w:rPr>
      <w:sz w:val="20"/>
      <w:lang w:val="en-GB"/>
    </w:rPr>
  </w:style>
  <w:style w:type="paragraph" w:customStyle="1" w:styleId="Tablehead">
    <w:name w:val="Table_head"/>
    <w:basedOn w:val="Normal"/>
    <w:next w:val="Normal"/>
    <w:rsid w:val="0080122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0122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801229"/>
    <w:pPr>
      <w:keepNext/>
      <w:spacing w:before="360" w:after="120"/>
      <w:jc w:val="center"/>
    </w:pPr>
  </w:style>
  <w:style w:type="character" w:customStyle="1" w:styleId="TableNo0">
    <w:name w:val="Table_No Знак"/>
    <w:link w:val="TableNo"/>
    <w:locked/>
    <w:rsid w:val="00FD5912"/>
    <w:rPr>
      <w:sz w:val="24"/>
      <w:lang w:val="fr-FR" w:eastAsia="en-US"/>
    </w:rPr>
  </w:style>
  <w:style w:type="paragraph" w:customStyle="1" w:styleId="Tabletext">
    <w:name w:val="Table_text"/>
    <w:basedOn w:val="Normal"/>
    <w:rsid w:val="0080122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01229"/>
    <w:pPr>
      <w:tabs>
        <w:tab w:val="clear" w:pos="1191"/>
        <w:tab w:val="clear" w:pos="1588"/>
        <w:tab w:val="clear" w:pos="1985"/>
        <w:tab w:val="center" w:pos="4820"/>
        <w:tab w:val="right" w:pos="9639"/>
      </w:tabs>
    </w:pPr>
  </w:style>
  <w:style w:type="paragraph" w:customStyle="1" w:styleId="Equationlegend">
    <w:name w:val="Equation_legend"/>
    <w:basedOn w:val="NormalIndent"/>
    <w:rsid w:val="0080122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01229"/>
    <w:pPr>
      <w:ind w:left="794"/>
    </w:pPr>
  </w:style>
  <w:style w:type="paragraph" w:customStyle="1" w:styleId="Figurelegend">
    <w:name w:val="Figure_legend"/>
    <w:basedOn w:val="Normal"/>
    <w:rsid w:val="0080122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01229"/>
    <w:pPr>
      <w:keepNext/>
      <w:keepLines/>
      <w:spacing w:before="480" w:after="80"/>
      <w:jc w:val="center"/>
    </w:pPr>
    <w:rPr>
      <w:caps/>
      <w:sz w:val="18"/>
    </w:rPr>
  </w:style>
  <w:style w:type="paragraph" w:customStyle="1" w:styleId="Figuretitle">
    <w:name w:val="Figure_title"/>
    <w:basedOn w:val="Normal"/>
    <w:next w:val="Figure"/>
    <w:rsid w:val="00801229"/>
    <w:pPr>
      <w:keepNext/>
      <w:spacing w:before="0" w:after="120"/>
      <w:jc w:val="center"/>
    </w:pPr>
    <w:rPr>
      <w:rFonts w:ascii="Times New Roman Bold" w:hAnsi="Times New Roman Bold"/>
      <w:b/>
      <w:sz w:val="18"/>
    </w:rPr>
  </w:style>
  <w:style w:type="paragraph" w:customStyle="1" w:styleId="Figure">
    <w:name w:val="Figure"/>
    <w:basedOn w:val="FigureNo"/>
    <w:next w:val="Normal"/>
    <w:rsid w:val="00801229"/>
    <w:pPr>
      <w:keepNext w:val="0"/>
      <w:spacing w:before="0" w:after="240"/>
    </w:pPr>
  </w:style>
  <w:style w:type="paragraph" w:customStyle="1" w:styleId="tocpart">
    <w:name w:val="tocpart"/>
    <w:basedOn w:val="Normal"/>
    <w:rsid w:val="0080122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01229"/>
    <w:pPr>
      <w:keepNext/>
      <w:keepLines/>
      <w:spacing w:before="480"/>
      <w:jc w:val="center"/>
    </w:pPr>
    <w:rPr>
      <w:sz w:val="28"/>
    </w:rPr>
  </w:style>
  <w:style w:type="paragraph" w:customStyle="1" w:styleId="Arttitle">
    <w:name w:val="Art_title"/>
    <w:basedOn w:val="Normal"/>
    <w:next w:val="Normalaftertitle"/>
    <w:rsid w:val="00801229"/>
    <w:pPr>
      <w:keepNext/>
      <w:keepLines/>
      <w:spacing w:before="240"/>
      <w:jc w:val="center"/>
    </w:pPr>
    <w:rPr>
      <w:b/>
      <w:sz w:val="28"/>
    </w:rPr>
  </w:style>
  <w:style w:type="paragraph" w:customStyle="1" w:styleId="Blanc">
    <w:name w:val="Blanc"/>
    <w:basedOn w:val="Normal"/>
    <w:next w:val="Tabletext"/>
    <w:rsid w:val="0080122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0122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01229"/>
    <w:pPr>
      <w:keepNext/>
      <w:keepLines/>
      <w:spacing w:before="160"/>
      <w:ind w:left="794"/>
    </w:pPr>
    <w:rPr>
      <w:i/>
    </w:rPr>
  </w:style>
  <w:style w:type="paragraph" w:customStyle="1" w:styleId="ChapNo">
    <w:name w:val="Chap_No"/>
    <w:basedOn w:val="ArtNo"/>
    <w:next w:val="Chaptitle"/>
    <w:rsid w:val="00801229"/>
    <w:rPr>
      <w:b/>
    </w:rPr>
  </w:style>
  <w:style w:type="paragraph" w:customStyle="1" w:styleId="Chaptitle">
    <w:name w:val="Chap_title"/>
    <w:basedOn w:val="Arttitle"/>
    <w:next w:val="Normalaftertitle"/>
    <w:rsid w:val="00801229"/>
  </w:style>
  <w:style w:type="paragraph" w:styleId="Index1">
    <w:name w:val="index 1"/>
    <w:basedOn w:val="Normal"/>
    <w:next w:val="Normal"/>
    <w:semiHidden/>
    <w:rsid w:val="00801229"/>
  </w:style>
  <w:style w:type="paragraph" w:styleId="Index2">
    <w:name w:val="index 2"/>
    <w:basedOn w:val="Normal"/>
    <w:next w:val="Normal"/>
    <w:semiHidden/>
    <w:rsid w:val="00801229"/>
    <w:pPr>
      <w:ind w:left="283"/>
    </w:pPr>
  </w:style>
  <w:style w:type="paragraph" w:styleId="Index3">
    <w:name w:val="index 3"/>
    <w:basedOn w:val="Normal"/>
    <w:next w:val="Normal"/>
    <w:semiHidden/>
    <w:rsid w:val="00801229"/>
    <w:pPr>
      <w:ind w:left="566"/>
    </w:pPr>
  </w:style>
  <w:style w:type="paragraph" w:styleId="IndexHeading">
    <w:name w:val="index heading"/>
    <w:basedOn w:val="Normal"/>
    <w:next w:val="Index1"/>
    <w:semiHidden/>
    <w:rsid w:val="00801229"/>
  </w:style>
  <w:style w:type="paragraph" w:customStyle="1" w:styleId="Line">
    <w:name w:val="Line"/>
    <w:basedOn w:val="Normal"/>
    <w:next w:val="Normal"/>
    <w:rsid w:val="0080122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0122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01229"/>
  </w:style>
  <w:style w:type="paragraph" w:customStyle="1" w:styleId="Partref">
    <w:name w:val="Part_ref"/>
    <w:basedOn w:val="Normal"/>
    <w:next w:val="Normal"/>
    <w:rsid w:val="00801229"/>
    <w:pPr>
      <w:keepNext/>
      <w:keepLines/>
      <w:spacing w:after="280"/>
      <w:jc w:val="center"/>
    </w:pPr>
  </w:style>
  <w:style w:type="paragraph" w:customStyle="1" w:styleId="Parttitle">
    <w:name w:val="Part_title"/>
    <w:basedOn w:val="Normal"/>
    <w:next w:val="Normalaftertitle"/>
    <w:rsid w:val="0080122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01229"/>
  </w:style>
  <w:style w:type="paragraph" w:customStyle="1" w:styleId="QuestionNo">
    <w:name w:val="Question_No"/>
    <w:basedOn w:val="RecNo"/>
    <w:next w:val="Normal"/>
    <w:rsid w:val="00801229"/>
  </w:style>
  <w:style w:type="paragraph" w:customStyle="1" w:styleId="Questionref">
    <w:name w:val="Question_ref"/>
    <w:basedOn w:val="Recref"/>
    <w:next w:val="Questiondate"/>
    <w:rsid w:val="00801229"/>
  </w:style>
  <w:style w:type="paragraph" w:customStyle="1" w:styleId="Questiontitle">
    <w:name w:val="Question_title"/>
    <w:basedOn w:val="Normal"/>
    <w:next w:val="Questionref"/>
    <w:rsid w:val="00801229"/>
  </w:style>
  <w:style w:type="paragraph" w:customStyle="1" w:styleId="Reftext">
    <w:name w:val="Ref_text"/>
    <w:basedOn w:val="Normal"/>
    <w:rsid w:val="00801229"/>
    <w:pPr>
      <w:ind w:left="794" w:hanging="794"/>
    </w:pPr>
    <w:rPr>
      <w:sz w:val="22"/>
    </w:rPr>
  </w:style>
  <w:style w:type="paragraph" w:customStyle="1" w:styleId="Reftitle">
    <w:name w:val="Ref_title"/>
    <w:basedOn w:val="Normal"/>
    <w:next w:val="Reftext"/>
    <w:rsid w:val="0080122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01229"/>
  </w:style>
  <w:style w:type="paragraph" w:customStyle="1" w:styleId="RepNo">
    <w:name w:val="Rep_No"/>
    <w:basedOn w:val="RecNo"/>
    <w:next w:val="Reptitle"/>
    <w:rsid w:val="00801229"/>
  </w:style>
  <w:style w:type="paragraph" w:customStyle="1" w:styleId="Reptitle">
    <w:name w:val="Rep_title"/>
    <w:basedOn w:val="Rectitle"/>
    <w:next w:val="Repref"/>
    <w:rsid w:val="00801229"/>
  </w:style>
  <w:style w:type="paragraph" w:customStyle="1" w:styleId="Repref">
    <w:name w:val="Rep_ref"/>
    <w:basedOn w:val="Recref"/>
    <w:next w:val="Repdate"/>
    <w:rsid w:val="00801229"/>
  </w:style>
  <w:style w:type="paragraph" w:customStyle="1" w:styleId="Resdate">
    <w:name w:val="Res_date"/>
    <w:basedOn w:val="Recdate"/>
    <w:next w:val="Normalaftertitle"/>
    <w:rsid w:val="00801229"/>
  </w:style>
  <w:style w:type="paragraph" w:customStyle="1" w:styleId="ResNo">
    <w:name w:val="Res_No"/>
    <w:basedOn w:val="RecNo"/>
    <w:next w:val="Restitle"/>
    <w:rsid w:val="00801229"/>
  </w:style>
  <w:style w:type="paragraph" w:customStyle="1" w:styleId="Restitle">
    <w:name w:val="Res_title"/>
    <w:basedOn w:val="Normal"/>
    <w:next w:val="Resref"/>
    <w:rsid w:val="00801229"/>
    <w:pPr>
      <w:spacing w:before="240"/>
      <w:jc w:val="center"/>
    </w:pPr>
    <w:rPr>
      <w:b/>
      <w:sz w:val="28"/>
    </w:rPr>
  </w:style>
  <w:style w:type="paragraph" w:customStyle="1" w:styleId="Resref">
    <w:name w:val="Res_ref"/>
    <w:basedOn w:val="Recref"/>
    <w:next w:val="Resdate"/>
    <w:rsid w:val="00801229"/>
  </w:style>
  <w:style w:type="paragraph" w:customStyle="1" w:styleId="SectionNo">
    <w:name w:val="Section_No"/>
    <w:basedOn w:val="Normal"/>
    <w:next w:val="Normal"/>
    <w:rsid w:val="00801229"/>
  </w:style>
  <w:style w:type="paragraph" w:customStyle="1" w:styleId="Sectiontitle">
    <w:name w:val="Section_title"/>
    <w:basedOn w:val="Normal"/>
    <w:next w:val="Normalaftertitle"/>
    <w:rsid w:val="0080122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01229"/>
    <w:pPr>
      <w:tabs>
        <w:tab w:val="clear" w:pos="794"/>
        <w:tab w:val="clear" w:pos="1191"/>
        <w:tab w:val="clear" w:pos="1588"/>
        <w:tab w:val="clear" w:pos="1985"/>
        <w:tab w:val="right" w:pos="9611"/>
      </w:tabs>
    </w:pPr>
    <w:rPr>
      <w:i/>
    </w:rPr>
  </w:style>
  <w:style w:type="paragraph" w:styleId="TOC1">
    <w:name w:val="toc 1"/>
    <w:basedOn w:val="Normal"/>
    <w:semiHidden/>
    <w:rsid w:val="0080122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01229"/>
    <w:pPr>
      <w:tabs>
        <w:tab w:val="clear" w:pos="567"/>
        <w:tab w:val="left" w:pos="1276"/>
      </w:tabs>
      <w:spacing w:before="160"/>
      <w:ind w:left="1276" w:hanging="709"/>
    </w:pPr>
  </w:style>
  <w:style w:type="paragraph" w:styleId="TOC3">
    <w:name w:val="toc 3"/>
    <w:basedOn w:val="TOC2"/>
    <w:semiHidden/>
    <w:rsid w:val="00801229"/>
    <w:pPr>
      <w:tabs>
        <w:tab w:val="clear" w:pos="1276"/>
        <w:tab w:val="left" w:pos="2155"/>
      </w:tabs>
      <w:ind w:left="2155" w:hanging="879"/>
    </w:pPr>
  </w:style>
  <w:style w:type="paragraph" w:styleId="TOC4">
    <w:name w:val="toc 4"/>
    <w:basedOn w:val="TOC3"/>
    <w:semiHidden/>
    <w:rsid w:val="00801229"/>
    <w:pPr>
      <w:tabs>
        <w:tab w:val="left" w:pos="3261"/>
      </w:tabs>
      <w:spacing w:before="80"/>
      <w:ind w:left="3261" w:hanging="993"/>
    </w:pPr>
  </w:style>
  <w:style w:type="paragraph" w:styleId="TOC5">
    <w:name w:val="toc 5"/>
    <w:basedOn w:val="TOC4"/>
    <w:semiHidden/>
    <w:rsid w:val="00801229"/>
  </w:style>
  <w:style w:type="paragraph" w:styleId="TOC6">
    <w:name w:val="toc 6"/>
    <w:basedOn w:val="TOC4"/>
    <w:semiHidden/>
    <w:rsid w:val="00801229"/>
  </w:style>
  <w:style w:type="paragraph" w:styleId="TOC7">
    <w:name w:val="toc 7"/>
    <w:basedOn w:val="TOC4"/>
    <w:semiHidden/>
    <w:rsid w:val="00801229"/>
  </w:style>
  <w:style w:type="paragraph" w:styleId="TOC8">
    <w:name w:val="toc 8"/>
    <w:basedOn w:val="TOC4"/>
    <w:semiHidden/>
    <w:rsid w:val="00801229"/>
  </w:style>
  <w:style w:type="paragraph" w:customStyle="1" w:styleId="Annexref">
    <w:name w:val="Annex_ref"/>
    <w:basedOn w:val="Normal"/>
    <w:next w:val="Normalaftertitle"/>
    <w:rsid w:val="00801229"/>
    <w:pPr>
      <w:keepNext/>
      <w:keepLines/>
      <w:spacing w:after="280"/>
      <w:jc w:val="center"/>
    </w:pPr>
  </w:style>
  <w:style w:type="paragraph" w:customStyle="1" w:styleId="Appendixref">
    <w:name w:val="Appendix_ref"/>
    <w:basedOn w:val="Annexref"/>
    <w:next w:val="Normalaftertitle"/>
    <w:rsid w:val="00801229"/>
  </w:style>
  <w:style w:type="paragraph" w:customStyle="1" w:styleId="Tabletitle">
    <w:name w:val="Table_title"/>
    <w:basedOn w:val="Normal"/>
    <w:next w:val="Tablehead"/>
    <w:link w:val="Tabletitle0"/>
    <w:rsid w:val="00801229"/>
    <w:pPr>
      <w:keepNext/>
      <w:spacing w:before="0" w:after="120"/>
      <w:jc w:val="center"/>
    </w:pPr>
    <w:rPr>
      <w:b/>
    </w:rPr>
  </w:style>
  <w:style w:type="character" w:customStyle="1" w:styleId="Tabletitle0">
    <w:name w:val="Table_title Знак"/>
    <w:link w:val="Tabletitle"/>
    <w:locked/>
    <w:rsid w:val="00FD5912"/>
    <w:rPr>
      <w:b/>
      <w:sz w:val="24"/>
      <w:lang w:val="fr-FR" w:eastAsia="en-US"/>
    </w:rPr>
  </w:style>
  <w:style w:type="paragraph" w:customStyle="1" w:styleId="Summary">
    <w:name w:val="Summary"/>
    <w:basedOn w:val="Normal"/>
    <w:next w:val="Normalaftertitle"/>
    <w:autoRedefine/>
    <w:rsid w:val="00801229"/>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801229"/>
    <w:pPr>
      <w:ind w:left="-85" w:firstLine="0"/>
    </w:pPr>
    <w:rPr>
      <w:lang w:val="en-US"/>
    </w:rPr>
  </w:style>
  <w:style w:type="character" w:styleId="FootnoteReference">
    <w:name w:val="footnote reference"/>
    <w:basedOn w:val="DefaultParagraphFont"/>
    <w:rsid w:val="00801229"/>
    <w:rPr>
      <w:position w:val="6"/>
      <w:sz w:val="18"/>
    </w:rPr>
  </w:style>
  <w:style w:type="paragraph" w:styleId="FootnoteText">
    <w:name w:val="footnote text"/>
    <w:basedOn w:val="Normal"/>
    <w:link w:val="FootnoteTextChar"/>
    <w:rsid w:val="00801229"/>
    <w:pPr>
      <w:keepLines/>
      <w:tabs>
        <w:tab w:val="left" w:pos="255"/>
      </w:tabs>
      <w:ind w:left="255" w:hanging="255"/>
    </w:pPr>
    <w:rPr>
      <w:sz w:val="22"/>
    </w:rPr>
  </w:style>
  <w:style w:type="character" w:customStyle="1" w:styleId="FootnoteTextChar">
    <w:name w:val="Footnote Text Char"/>
    <w:basedOn w:val="DefaultParagraphFont"/>
    <w:link w:val="FootnoteText"/>
    <w:rsid w:val="00801229"/>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0122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01229"/>
    <w:pPr>
      <w:keepNext/>
      <w:keepLines/>
      <w:spacing w:before="480"/>
      <w:ind w:left="794" w:hanging="794"/>
      <w:outlineLvl w:val="0"/>
    </w:pPr>
    <w:rPr>
      <w:b/>
    </w:rPr>
  </w:style>
  <w:style w:type="paragraph" w:styleId="Heading2">
    <w:name w:val="heading 2"/>
    <w:basedOn w:val="Heading1"/>
    <w:next w:val="Normal"/>
    <w:qFormat/>
    <w:rsid w:val="00801229"/>
    <w:pPr>
      <w:spacing w:before="320"/>
      <w:outlineLvl w:val="1"/>
    </w:pPr>
  </w:style>
  <w:style w:type="paragraph" w:styleId="Heading3">
    <w:name w:val="heading 3"/>
    <w:basedOn w:val="Heading1"/>
    <w:next w:val="Normal"/>
    <w:qFormat/>
    <w:rsid w:val="00801229"/>
    <w:pPr>
      <w:spacing w:before="200"/>
      <w:outlineLvl w:val="2"/>
    </w:pPr>
  </w:style>
  <w:style w:type="paragraph" w:styleId="Heading4">
    <w:name w:val="heading 4"/>
    <w:basedOn w:val="Heading3"/>
    <w:next w:val="Normal"/>
    <w:qFormat/>
    <w:rsid w:val="00801229"/>
    <w:pPr>
      <w:tabs>
        <w:tab w:val="clear" w:pos="794"/>
        <w:tab w:val="left" w:pos="992"/>
      </w:tabs>
      <w:ind w:left="992" w:hanging="992"/>
      <w:outlineLvl w:val="3"/>
    </w:pPr>
  </w:style>
  <w:style w:type="paragraph" w:styleId="Heading5">
    <w:name w:val="heading 5"/>
    <w:basedOn w:val="Heading4"/>
    <w:next w:val="Normal"/>
    <w:qFormat/>
    <w:rsid w:val="00801229"/>
    <w:pPr>
      <w:outlineLvl w:val="4"/>
    </w:pPr>
  </w:style>
  <w:style w:type="paragraph" w:styleId="Heading6">
    <w:name w:val="heading 6"/>
    <w:basedOn w:val="Heading4"/>
    <w:next w:val="Normal"/>
    <w:qFormat/>
    <w:rsid w:val="00801229"/>
    <w:pPr>
      <w:tabs>
        <w:tab w:val="clear" w:pos="992"/>
        <w:tab w:val="clear" w:pos="1191"/>
      </w:tabs>
      <w:ind w:left="1588" w:hanging="1588"/>
      <w:outlineLvl w:val="5"/>
    </w:pPr>
  </w:style>
  <w:style w:type="paragraph" w:styleId="Heading7">
    <w:name w:val="heading 7"/>
    <w:basedOn w:val="Heading6"/>
    <w:next w:val="Normal"/>
    <w:qFormat/>
    <w:rsid w:val="00801229"/>
    <w:pPr>
      <w:outlineLvl w:val="6"/>
    </w:pPr>
  </w:style>
  <w:style w:type="paragraph" w:styleId="Heading8">
    <w:name w:val="heading 8"/>
    <w:basedOn w:val="Heading6"/>
    <w:next w:val="Normal"/>
    <w:qFormat/>
    <w:rsid w:val="00801229"/>
    <w:pPr>
      <w:outlineLvl w:val="7"/>
    </w:pPr>
  </w:style>
  <w:style w:type="paragraph" w:styleId="Heading9">
    <w:name w:val="heading 9"/>
    <w:basedOn w:val="Heading6"/>
    <w:next w:val="Normal"/>
    <w:qFormat/>
    <w:rsid w:val="0080122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0122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0122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01229"/>
  </w:style>
  <w:style w:type="paragraph" w:customStyle="1" w:styleId="Headingb">
    <w:name w:val="Heading_b"/>
    <w:basedOn w:val="Heading3"/>
    <w:next w:val="Normal"/>
    <w:rsid w:val="00801229"/>
    <w:pPr>
      <w:spacing w:before="160"/>
      <w:ind w:left="0" w:firstLine="0"/>
      <w:outlineLvl w:val="9"/>
    </w:pPr>
  </w:style>
  <w:style w:type="paragraph" w:customStyle="1" w:styleId="Headingi">
    <w:name w:val="Heading_i"/>
    <w:basedOn w:val="Heading3"/>
    <w:next w:val="Normal"/>
    <w:rsid w:val="00801229"/>
    <w:pPr>
      <w:spacing w:before="160"/>
      <w:ind w:left="0" w:firstLine="0"/>
    </w:pPr>
    <w:rPr>
      <w:b w:val="0"/>
      <w:i/>
    </w:rPr>
  </w:style>
  <w:style w:type="character" w:customStyle="1" w:styleId="href">
    <w:name w:val="href"/>
    <w:basedOn w:val="DefaultParagraphFont"/>
    <w:rsid w:val="00801229"/>
  </w:style>
  <w:style w:type="paragraph" w:customStyle="1" w:styleId="AnnexNoTitle">
    <w:name w:val="Annex_NoTitle"/>
    <w:basedOn w:val="Normal"/>
    <w:next w:val="Normalaftertitle"/>
    <w:rsid w:val="00801229"/>
    <w:pPr>
      <w:keepNext/>
      <w:keepLines/>
      <w:spacing w:before="480" w:after="80"/>
      <w:jc w:val="center"/>
    </w:pPr>
    <w:rPr>
      <w:b/>
      <w:sz w:val="28"/>
    </w:rPr>
  </w:style>
  <w:style w:type="paragraph" w:customStyle="1" w:styleId="Normalaftertitle">
    <w:name w:val="Normal_after_title"/>
    <w:basedOn w:val="Normal"/>
    <w:next w:val="Normal"/>
    <w:rsid w:val="00801229"/>
    <w:pPr>
      <w:spacing w:before="320"/>
    </w:pPr>
  </w:style>
  <w:style w:type="paragraph" w:customStyle="1" w:styleId="enumlev2">
    <w:name w:val="enumlev2"/>
    <w:basedOn w:val="enumlev1"/>
    <w:rsid w:val="00801229"/>
    <w:pPr>
      <w:ind w:left="1191" w:hanging="397"/>
    </w:pPr>
  </w:style>
  <w:style w:type="paragraph" w:customStyle="1" w:styleId="enumlev1">
    <w:name w:val="enumlev1"/>
    <w:basedOn w:val="Normal"/>
    <w:link w:val="enumlev1Char"/>
    <w:rsid w:val="00801229"/>
    <w:pPr>
      <w:spacing w:before="80"/>
      <w:ind w:left="794" w:hanging="794"/>
    </w:pPr>
  </w:style>
  <w:style w:type="character" w:customStyle="1" w:styleId="enumlev1Char">
    <w:name w:val="enumlev1 Char"/>
    <w:link w:val="enumlev1"/>
    <w:locked/>
    <w:rsid w:val="00903874"/>
    <w:rPr>
      <w:sz w:val="24"/>
      <w:lang w:val="fr-FR" w:eastAsia="en-US"/>
    </w:rPr>
  </w:style>
  <w:style w:type="paragraph" w:customStyle="1" w:styleId="enumlev3">
    <w:name w:val="enumlev3"/>
    <w:basedOn w:val="enumlev2"/>
    <w:rsid w:val="00801229"/>
    <w:pPr>
      <w:ind w:left="1588"/>
    </w:pPr>
  </w:style>
  <w:style w:type="paragraph" w:customStyle="1" w:styleId="Note">
    <w:name w:val="Note"/>
    <w:basedOn w:val="Normal"/>
    <w:rsid w:val="0080122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0122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rsid w:val="00801229"/>
    <w:pPr>
      <w:keepNext/>
      <w:keepLines/>
      <w:spacing w:before="240"/>
      <w:jc w:val="center"/>
    </w:pPr>
    <w:rPr>
      <w:b/>
      <w:sz w:val="28"/>
    </w:rPr>
  </w:style>
  <w:style w:type="paragraph" w:customStyle="1" w:styleId="Recref">
    <w:name w:val="Rec_ref"/>
    <w:basedOn w:val="Normal"/>
    <w:next w:val="Recdate"/>
    <w:rsid w:val="00801229"/>
    <w:pPr>
      <w:jc w:val="center"/>
    </w:pPr>
  </w:style>
  <w:style w:type="paragraph" w:customStyle="1" w:styleId="Recdate">
    <w:name w:val="Rec_date"/>
    <w:basedOn w:val="Recref"/>
    <w:next w:val="Normalaftertitle"/>
    <w:rsid w:val="00801229"/>
    <w:pPr>
      <w:jc w:val="right"/>
    </w:pPr>
  </w:style>
  <w:style w:type="character" w:customStyle="1" w:styleId="Rectitle0">
    <w:name w:val="Rec_title Знак"/>
    <w:link w:val="Rectitle"/>
    <w:locked/>
    <w:rsid w:val="00903874"/>
    <w:rPr>
      <w:b/>
      <w:sz w:val="28"/>
      <w:lang w:val="fr-FR" w:eastAsia="en-US"/>
    </w:rPr>
  </w:style>
  <w:style w:type="paragraph" w:customStyle="1" w:styleId="HeadingSum">
    <w:name w:val="Heading_Sum"/>
    <w:basedOn w:val="Headingb"/>
    <w:next w:val="Normal"/>
    <w:autoRedefine/>
    <w:rsid w:val="00801229"/>
    <w:pPr>
      <w:spacing w:before="240"/>
    </w:pPr>
    <w:rPr>
      <w:sz w:val="22"/>
      <w:lang w:val="es-ES_tradnl"/>
    </w:rPr>
  </w:style>
  <w:style w:type="paragraph" w:customStyle="1" w:styleId="AppendixNoTitle">
    <w:name w:val="Appendix_NoTitle"/>
    <w:basedOn w:val="AnnexNoTitle"/>
    <w:next w:val="Normal"/>
    <w:rsid w:val="00801229"/>
  </w:style>
  <w:style w:type="paragraph" w:customStyle="1" w:styleId="Tablefin">
    <w:name w:val="Table_fin"/>
    <w:basedOn w:val="Normal"/>
    <w:next w:val="Normal"/>
    <w:rsid w:val="00801229"/>
    <w:pPr>
      <w:spacing w:before="0"/>
    </w:pPr>
    <w:rPr>
      <w:sz w:val="20"/>
      <w:lang w:val="en-GB"/>
    </w:rPr>
  </w:style>
  <w:style w:type="paragraph" w:customStyle="1" w:styleId="Tablehead">
    <w:name w:val="Table_head"/>
    <w:basedOn w:val="Normal"/>
    <w:next w:val="Normal"/>
    <w:rsid w:val="0080122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0122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801229"/>
    <w:pPr>
      <w:keepNext/>
      <w:spacing w:before="360" w:after="120"/>
      <w:jc w:val="center"/>
    </w:pPr>
  </w:style>
  <w:style w:type="character" w:customStyle="1" w:styleId="TableNo0">
    <w:name w:val="Table_No Знак"/>
    <w:link w:val="TableNo"/>
    <w:locked/>
    <w:rsid w:val="00FD5912"/>
    <w:rPr>
      <w:sz w:val="24"/>
      <w:lang w:val="fr-FR" w:eastAsia="en-US"/>
    </w:rPr>
  </w:style>
  <w:style w:type="paragraph" w:customStyle="1" w:styleId="Tabletext">
    <w:name w:val="Table_text"/>
    <w:basedOn w:val="Normal"/>
    <w:rsid w:val="0080122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01229"/>
    <w:pPr>
      <w:tabs>
        <w:tab w:val="clear" w:pos="1191"/>
        <w:tab w:val="clear" w:pos="1588"/>
        <w:tab w:val="clear" w:pos="1985"/>
        <w:tab w:val="center" w:pos="4820"/>
        <w:tab w:val="right" w:pos="9639"/>
      </w:tabs>
    </w:pPr>
  </w:style>
  <w:style w:type="paragraph" w:customStyle="1" w:styleId="Equationlegend">
    <w:name w:val="Equation_legend"/>
    <w:basedOn w:val="NormalIndent"/>
    <w:rsid w:val="0080122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01229"/>
    <w:pPr>
      <w:ind w:left="794"/>
    </w:pPr>
  </w:style>
  <w:style w:type="paragraph" w:customStyle="1" w:styleId="Figurelegend">
    <w:name w:val="Figure_legend"/>
    <w:basedOn w:val="Normal"/>
    <w:rsid w:val="0080122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01229"/>
    <w:pPr>
      <w:keepNext/>
      <w:keepLines/>
      <w:spacing w:before="480" w:after="80"/>
      <w:jc w:val="center"/>
    </w:pPr>
    <w:rPr>
      <w:caps/>
      <w:sz w:val="18"/>
    </w:rPr>
  </w:style>
  <w:style w:type="paragraph" w:customStyle="1" w:styleId="Figuretitle">
    <w:name w:val="Figure_title"/>
    <w:basedOn w:val="Normal"/>
    <w:next w:val="Figure"/>
    <w:rsid w:val="00801229"/>
    <w:pPr>
      <w:keepNext/>
      <w:spacing w:before="0" w:after="120"/>
      <w:jc w:val="center"/>
    </w:pPr>
    <w:rPr>
      <w:rFonts w:ascii="Times New Roman Bold" w:hAnsi="Times New Roman Bold"/>
      <w:b/>
      <w:sz w:val="18"/>
    </w:rPr>
  </w:style>
  <w:style w:type="paragraph" w:customStyle="1" w:styleId="Figure">
    <w:name w:val="Figure"/>
    <w:basedOn w:val="FigureNo"/>
    <w:next w:val="Normal"/>
    <w:rsid w:val="00801229"/>
    <w:pPr>
      <w:keepNext w:val="0"/>
      <w:spacing w:before="0" w:after="240"/>
    </w:pPr>
  </w:style>
  <w:style w:type="paragraph" w:customStyle="1" w:styleId="tocpart">
    <w:name w:val="tocpart"/>
    <w:basedOn w:val="Normal"/>
    <w:rsid w:val="0080122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01229"/>
    <w:pPr>
      <w:keepNext/>
      <w:keepLines/>
      <w:spacing w:before="480"/>
      <w:jc w:val="center"/>
    </w:pPr>
    <w:rPr>
      <w:sz w:val="28"/>
    </w:rPr>
  </w:style>
  <w:style w:type="paragraph" w:customStyle="1" w:styleId="Arttitle">
    <w:name w:val="Art_title"/>
    <w:basedOn w:val="Normal"/>
    <w:next w:val="Normalaftertitle"/>
    <w:rsid w:val="00801229"/>
    <w:pPr>
      <w:keepNext/>
      <w:keepLines/>
      <w:spacing w:before="240"/>
      <w:jc w:val="center"/>
    </w:pPr>
    <w:rPr>
      <w:b/>
      <w:sz w:val="28"/>
    </w:rPr>
  </w:style>
  <w:style w:type="paragraph" w:customStyle="1" w:styleId="Blanc">
    <w:name w:val="Blanc"/>
    <w:basedOn w:val="Normal"/>
    <w:next w:val="Tabletext"/>
    <w:rsid w:val="0080122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0122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01229"/>
    <w:pPr>
      <w:keepNext/>
      <w:keepLines/>
      <w:spacing w:before="160"/>
      <w:ind w:left="794"/>
    </w:pPr>
    <w:rPr>
      <w:i/>
    </w:rPr>
  </w:style>
  <w:style w:type="paragraph" w:customStyle="1" w:styleId="ChapNo">
    <w:name w:val="Chap_No"/>
    <w:basedOn w:val="ArtNo"/>
    <w:next w:val="Chaptitle"/>
    <w:rsid w:val="00801229"/>
    <w:rPr>
      <w:b/>
    </w:rPr>
  </w:style>
  <w:style w:type="paragraph" w:customStyle="1" w:styleId="Chaptitle">
    <w:name w:val="Chap_title"/>
    <w:basedOn w:val="Arttitle"/>
    <w:next w:val="Normalaftertitle"/>
    <w:rsid w:val="00801229"/>
  </w:style>
  <w:style w:type="paragraph" w:styleId="Index1">
    <w:name w:val="index 1"/>
    <w:basedOn w:val="Normal"/>
    <w:next w:val="Normal"/>
    <w:semiHidden/>
    <w:rsid w:val="00801229"/>
  </w:style>
  <w:style w:type="paragraph" w:styleId="Index2">
    <w:name w:val="index 2"/>
    <w:basedOn w:val="Normal"/>
    <w:next w:val="Normal"/>
    <w:semiHidden/>
    <w:rsid w:val="00801229"/>
    <w:pPr>
      <w:ind w:left="283"/>
    </w:pPr>
  </w:style>
  <w:style w:type="paragraph" w:styleId="Index3">
    <w:name w:val="index 3"/>
    <w:basedOn w:val="Normal"/>
    <w:next w:val="Normal"/>
    <w:semiHidden/>
    <w:rsid w:val="00801229"/>
    <w:pPr>
      <w:ind w:left="566"/>
    </w:pPr>
  </w:style>
  <w:style w:type="paragraph" w:styleId="IndexHeading">
    <w:name w:val="index heading"/>
    <w:basedOn w:val="Normal"/>
    <w:next w:val="Index1"/>
    <w:semiHidden/>
    <w:rsid w:val="00801229"/>
  </w:style>
  <w:style w:type="paragraph" w:customStyle="1" w:styleId="Line">
    <w:name w:val="Line"/>
    <w:basedOn w:val="Normal"/>
    <w:next w:val="Normal"/>
    <w:rsid w:val="0080122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0122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01229"/>
  </w:style>
  <w:style w:type="paragraph" w:customStyle="1" w:styleId="Partref">
    <w:name w:val="Part_ref"/>
    <w:basedOn w:val="Normal"/>
    <w:next w:val="Normal"/>
    <w:rsid w:val="00801229"/>
    <w:pPr>
      <w:keepNext/>
      <w:keepLines/>
      <w:spacing w:after="280"/>
      <w:jc w:val="center"/>
    </w:pPr>
  </w:style>
  <w:style w:type="paragraph" w:customStyle="1" w:styleId="Parttitle">
    <w:name w:val="Part_title"/>
    <w:basedOn w:val="Normal"/>
    <w:next w:val="Normalaftertitle"/>
    <w:rsid w:val="0080122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01229"/>
  </w:style>
  <w:style w:type="paragraph" w:customStyle="1" w:styleId="QuestionNo">
    <w:name w:val="Question_No"/>
    <w:basedOn w:val="RecNo"/>
    <w:next w:val="Normal"/>
    <w:rsid w:val="00801229"/>
  </w:style>
  <w:style w:type="paragraph" w:customStyle="1" w:styleId="Questionref">
    <w:name w:val="Question_ref"/>
    <w:basedOn w:val="Recref"/>
    <w:next w:val="Questiondate"/>
    <w:rsid w:val="00801229"/>
  </w:style>
  <w:style w:type="paragraph" w:customStyle="1" w:styleId="Questiontitle">
    <w:name w:val="Question_title"/>
    <w:basedOn w:val="Normal"/>
    <w:next w:val="Questionref"/>
    <w:rsid w:val="00801229"/>
  </w:style>
  <w:style w:type="paragraph" w:customStyle="1" w:styleId="Reftext">
    <w:name w:val="Ref_text"/>
    <w:basedOn w:val="Normal"/>
    <w:rsid w:val="00801229"/>
    <w:pPr>
      <w:ind w:left="794" w:hanging="794"/>
    </w:pPr>
    <w:rPr>
      <w:sz w:val="22"/>
    </w:rPr>
  </w:style>
  <w:style w:type="paragraph" w:customStyle="1" w:styleId="Reftitle">
    <w:name w:val="Ref_title"/>
    <w:basedOn w:val="Normal"/>
    <w:next w:val="Reftext"/>
    <w:rsid w:val="0080122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01229"/>
  </w:style>
  <w:style w:type="paragraph" w:customStyle="1" w:styleId="RepNo">
    <w:name w:val="Rep_No"/>
    <w:basedOn w:val="RecNo"/>
    <w:next w:val="Reptitle"/>
    <w:rsid w:val="00801229"/>
  </w:style>
  <w:style w:type="paragraph" w:customStyle="1" w:styleId="Reptitle">
    <w:name w:val="Rep_title"/>
    <w:basedOn w:val="Rectitle"/>
    <w:next w:val="Repref"/>
    <w:rsid w:val="00801229"/>
  </w:style>
  <w:style w:type="paragraph" w:customStyle="1" w:styleId="Repref">
    <w:name w:val="Rep_ref"/>
    <w:basedOn w:val="Recref"/>
    <w:next w:val="Repdate"/>
    <w:rsid w:val="00801229"/>
  </w:style>
  <w:style w:type="paragraph" w:customStyle="1" w:styleId="Resdate">
    <w:name w:val="Res_date"/>
    <w:basedOn w:val="Recdate"/>
    <w:next w:val="Normalaftertitle"/>
    <w:rsid w:val="00801229"/>
  </w:style>
  <w:style w:type="paragraph" w:customStyle="1" w:styleId="ResNo">
    <w:name w:val="Res_No"/>
    <w:basedOn w:val="RecNo"/>
    <w:next w:val="Restitle"/>
    <w:rsid w:val="00801229"/>
  </w:style>
  <w:style w:type="paragraph" w:customStyle="1" w:styleId="Restitle">
    <w:name w:val="Res_title"/>
    <w:basedOn w:val="Normal"/>
    <w:next w:val="Resref"/>
    <w:rsid w:val="00801229"/>
    <w:pPr>
      <w:spacing w:before="240"/>
      <w:jc w:val="center"/>
    </w:pPr>
    <w:rPr>
      <w:b/>
      <w:sz w:val="28"/>
    </w:rPr>
  </w:style>
  <w:style w:type="paragraph" w:customStyle="1" w:styleId="Resref">
    <w:name w:val="Res_ref"/>
    <w:basedOn w:val="Recref"/>
    <w:next w:val="Resdate"/>
    <w:rsid w:val="00801229"/>
  </w:style>
  <w:style w:type="paragraph" w:customStyle="1" w:styleId="SectionNo">
    <w:name w:val="Section_No"/>
    <w:basedOn w:val="Normal"/>
    <w:next w:val="Normal"/>
    <w:rsid w:val="00801229"/>
  </w:style>
  <w:style w:type="paragraph" w:customStyle="1" w:styleId="Sectiontitle">
    <w:name w:val="Section_title"/>
    <w:basedOn w:val="Normal"/>
    <w:next w:val="Normalaftertitle"/>
    <w:rsid w:val="0080122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01229"/>
    <w:pPr>
      <w:tabs>
        <w:tab w:val="clear" w:pos="794"/>
        <w:tab w:val="clear" w:pos="1191"/>
        <w:tab w:val="clear" w:pos="1588"/>
        <w:tab w:val="clear" w:pos="1985"/>
        <w:tab w:val="right" w:pos="9611"/>
      </w:tabs>
    </w:pPr>
    <w:rPr>
      <w:i/>
    </w:rPr>
  </w:style>
  <w:style w:type="paragraph" w:styleId="TOC1">
    <w:name w:val="toc 1"/>
    <w:basedOn w:val="Normal"/>
    <w:semiHidden/>
    <w:rsid w:val="0080122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01229"/>
    <w:pPr>
      <w:tabs>
        <w:tab w:val="clear" w:pos="567"/>
        <w:tab w:val="left" w:pos="1276"/>
      </w:tabs>
      <w:spacing w:before="160"/>
      <w:ind w:left="1276" w:hanging="709"/>
    </w:pPr>
  </w:style>
  <w:style w:type="paragraph" w:styleId="TOC3">
    <w:name w:val="toc 3"/>
    <w:basedOn w:val="TOC2"/>
    <w:semiHidden/>
    <w:rsid w:val="00801229"/>
    <w:pPr>
      <w:tabs>
        <w:tab w:val="clear" w:pos="1276"/>
        <w:tab w:val="left" w:pos="2155"/>
      </w:tabs>
      <w:ind w:left="2155" w:hanging="879"/>
    </w:pPr>
  </w:style>
  <w:style w:type="paragraph" w:styleId="TOC4">
    <w:name w:val="toc 4"/>
    <w:basedOn w:val="TOC3"/>
    <w:semiHidden/>
    <w:rsid w:val="00801229"/>
    <w:pPr>
      <w:tabs>
        <w:tab w:val="left" w:pos="3261"/>
      </w:tabs>
      <w:spacing w:before="80"/>
      <w:ind w:left="3261" w:hanging="993"/>
    </w:pPr>
  </w:style>
  <w:style w:type="paragraph" w:styleId="TOC5">
    <w:name w:val="toc 5"/>
    <w:basedOn w:val="TOC4"/>
    <w:semiHidden/>
    <w:rsid w:val="00801229"/>
  </w:style>
  <w:style w:type="paragraph" w:styleId="TOC6">
    <w:name w:val="toc 6"/>
    <w:basedOn w:val="TOC4"/>
    <w:semiHidden/>
    <w:rsid w:val="00801229"/>
  </w:style>
  <w:style w:type="paragraph" w:styleId="TOC7">
    <w:name w:val="toc 7"/>
    <w:basedOn w:val="TOC4"/>
    <w:semiHidden/>
    <w:rsid w:val="00801229"/>
  </w:style>
  <w:style w:type="paragraph" w:styleId="TOC8">
    <w:name w:val="toc 8"/>
    <w:basedOn w:val="TOC4"/>
    <w:semiHidden/>
    <w:rsid w:val="00801229"/>
  </w:style>
  <w:style w:type="paragraph" w:customStyle="1" w:styleId="Annexref">
    <w:name w:val="Annex_ref"/>
    <w:basedOn w:val="Normal"/>
    <w:next w:val="Normalaftertitle"/>
    <w:rsid w:val="00801229"/>
    <w:pPr>
      <w:keepNext/>
      <w:keepLines/>
      <w:spacing w:after="280"/>
      <w:jc w:val="center"/>
    </w:pPr>
  </w:style>
  <w:style w:type="paragraph" w:customStyle="1" w:styleId="Appendixref">
    <w:name w:val="Appendix_ref"/>
    <w:basedOn w:val="Annexref"/>
    <w:next w:val="Normalaftertitle"/>
    <w:rsid w:val="00801229"/>
  </w:style>
  <w:style w:type="paragraph" w:customStyle="1" w:styleId="Tabletitle">
    <w:name w:val="Table_title"/>
    <w:basedOn w:val="Normal"/>
    <w:next w:val="Tablehead"/>
    <w:link w:val="Tabletitle0"/>
    <w:rsid w:val="00801229"/>
    <w:pPr>
      <w:keepNext/>
      <w:spacing w:before="0" w:after="120"/>
      <w:jc w:val="center"/>
    </w:pPr>
    <w:rPr>
      <w:b/>
    </w:rPr>
  </w:style>
  <w:style w:type="character" w:customStyle="1" w:styleId="Tabletitle0">
    <w:name w:val="Table_title Знак"/>
    <w:link w:val="Tabletitle"/>
    <w:locked/>
    <w:rsid w:val="00FD5912"/>
    <w:rPr>
      <w:b/>
      <w:sz w:val="24"/>
      <w:lang w:val="fr-FR" w:eastAsia="en-US"/>
    </w:rPr>
  </w:style>
  <w:style w:type="paragraph" w:customStyle="1" w:styleId="Summary">
    <w:name w:val="Summary"/>
    <w:basedOn w:val="Normal"/>
    <w:next w:val="Normalaftertitle"/>
    <w:autoRedefine/>
    <w:rsid w:val="00801229"/>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801229"/>
    <w:pPr>
      <w:ind w:left="-85" w:firstLine="0"/>
    </w:pPr>
    <w:rPr>
      <w:lang w:val="en-US"/>
    </w:rPr>
  </w:style>
  <w:style w:type="character" w:styleId="FootnoteReference">
    <w:name w:val="footnote reference"/>
    <w:basedOn w:val="DefaultParagraphFont"/>
    <w:rsid w:val="00801229"/>
    <w:rPr>
      <w:position w:val="6"/>
      <w:sz w:val="18"/>
    </w:rPr>
  </w:style>
  <w:style w:type="paragraph" w:styleId="FootnoteText">
    <w:name w:val="footnote text"/>
    <w:basedOn w:val="Normal"/>
    <w:link w:val="FootnoteTextChar"/>
    <w:rsid w:val="00801229"/>
    <w:pPr>
      <w:keepLines/>
      <w:tabs>
        <w:tab w:val="left" w:pos="255"/>
      </w:tabs>
      <w:ind w:left="255" w:hanging="255"/>
    </w:pPr>
    <w:rPr>
      <w:sz w:val="22"/>
    </w:rPr>
  </w:style>
  <w:style w:type="character" w:customStyle="1" w:styleId="FootnoteTextChar">
    <w:name w:val="Footnote Text Char"/>
    <w:basedOn w:val="DefaultParagraphFont"/>
    <w:link w:val="FootnoteText"/>
    <w:rsid w:val="00801229"/>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2B4D0-801F-4A22-935A-8DE827B34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122</TotalTime>
  <Pages>10</Pages>
  <Words>3573</Words>
  <Characters>19948</Characters>
  <Application>Microsoft Office Word</Application>
  <DocSecurity>0</DocSecurity>
  <Lines>831</Lines>
  <Paragraphs>77</Paragraphs>
  <ScaleCrop>false</ScaleCrop>
  <HeadingPairs>
    <vt:vector size="2" baseType="variant">
      <vt:variant>
        <vt:lpstr>Title</vt:lpstr>
      </vt:variant>
      <vt:variant>
        <vt:i4>1</vt:i4>
      </vt:variant>
    </vt:vector>
  </HeadingPairs>
  <TitlesOfParts>
    <vt:vector size="1" baseType="lpstr">
      <vt:lpstr>RECOMMENDATION  ITU-R  M.1902 - Characteristics and protection criteria for receiving earth stations in the radionavigation-satellite service (space-to-Earth) operating in the band 1 215-1 300 MHz</vt:lpstr>
    </vt:vector>
  </TitlesOfParts>
  <Manager/>
  <Company>ITU</Company>
  <LinksUpToDate>false</LinksUpToDate>
  <CharactersWithSpaces>23444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M.1902 - Characteristics and protection criteria for receiving earth stations in the radionavigation-satellite service (space-to-Earth) operating in the band 1 215-1 300 MHz</dc:title>
  <dc:subject>M Series = Mobile, radiodetermination, amateur and related satellite services</dc:subject>
  <dc:creator>ITU Radiocommunication Bureau (BR)</dc:creator>
  <cp:keywords>M,1902</cp:keywords>
  <dc:description>Santosbo, 16.11.2011, MSB106309</dc:description>
  <cp:lastModifiedBy>Gachet, Christelle</cp:lastModifiedBy>
  <cp:revision>9</cp:revision>
  <cp:lastPrinted>2009-06-26T13:19:00Z</cp:lastPrinted>
  <dcterms:created xsi:type="dcterms:W3CDTF">2011-11-16T08:32:00Z</dcterms:created>
  <dcterms:modified xsi:type="dcterms:W3CDTF">2011-11-18T14:40:00Z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mercredi, 16. novembre 2011</vt:lpwstr>
  </property>
</Properties>
</file>