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CE193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CE193F">
              <w:rPr>
                <w:rFonts w:ascii="Tahoma" w:hAnsi="Tahoma" w:cs="Tahoma"/>
                <w:b/>
                <w:bCs/>
                <w:iCs/>
                <w:color w:val="243285"/>
                <w:sz w:val="36"/>
                <w:szCs w:val="36"/>
              </w:rPr>
              <w:t>1901</w:t>
            </w:r>
          </w:p>
          <w:p w:rsidR="00FE79FE" w:rsidRPr="004F65E4" w:rsidRDefault="00FE79FE" w:rsidP="00CE193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E193F">
              <w:rPr>
                <w:rFonts w:ascii="Tahoma" w:hAnsi="Tahoma" w:cs="Tahoma"/>
                <w:b/>
                <w:bCs/>
                <w:iCs/>
                <w:color w:val="243285"/>
                <w:szCs w:val="24"/>
              </w:rPr>
              <w:t>01</w:t>
            </w:r>
            <w:r w:rsidRPr="004F65E4">
              <w:rPr>
                <w:rFonts w:ascii="Tahoma" w:hAnsi="Tahoma" w:cs="Tahoma"/>
                <w:b/>
                <w:bCs/>
                <w:iCs/>
                <w:color w:val="243285"/>
                <w:szCs w:val="24"/>
              </w:rPr>
              <w:t>/</w:t>
            </w:r>
            <w:r w:rsidR="00CE193F">
              <w:rPr>
                <w:rFonts w:ascii="Tahoma" w:hAnsi="Tahoma" w:cs="Tahoma"/>
                <w:b/>
                <w:bCs/>
                <w:iCs/>
                <w:color w:val="243285"/>
                <w:szCs w:val="24"/>
              </w:rPr>
              <w:t>2012</w:t>
            </w:r>
            <w:r w:rsidRPr="004F65E4">
              <w:rPr>
                <w:rFonts w:ascii="Tahoma" w:hAnsi="Tahoma" w:cs="Tahoma"/>
                <w:b/>
                <w:bCs/>
                <w:iCs/>
                <w:color w:val="243285"/>
                <w:szCs w:val="24"/>
              </w:rPr>
              <w:t>)</w:t>
            </w:r>
          </w:p>
        </w:tc>
      </w:tr>
      <w:tr w:rsidR="00FE79FE" w:rsidRPr="001E098E">
        <w:tc>
          <w:tcPr>
            <w:tcW w:w="10089" w:type="dxa"/>
          </w:tcPr>
          <w:p w:rsidR="00013002" w:rsidRPr="00CE193F"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E193F" w:rsidP="00182746">
            <w:pPr>
              <w:spacing w:before="80" w:line="500" w:lineRule="exact"/>
              <w:jc w:val="right"/>
              <w:rPr>
                <w:rFonts w:ascii="Tahoma" w:hAnsi="Tahoma" w:cs="Tahoma"/>
                <w:b/>
                <w:bCs/>
                <w:iCs/>
                <w:color w:val="243285"/>
                <w:sz w:val="44"/>
                <w:szCs w:val="44"/>
                <w:lang w:val="en-US"/>
              </w:rPr>
            </w:pPr>
            <w:r w:rsidRPr="00CE193F">
              <w:rPr>
                <w:rFonts w:ascii="Tahoma" w:hAnsi="Tahoma" w:cs="Tahoma"/>
                <w:b/>
                <w:bCs/>
                <w:iCs/>
                <w:color w:val="243285"/>
                <w:sz w:val="44"/>
                <w:szCs w:val="44"/>
                <w:lang w:val="en-GB"/>
              </w:rPr>
              <w:t>Guidance on ITU</w:t>
            </w:r>
            <w:r w:rsidRPr="00CE193F">
              <w:rPr>
                <w:rFonts w:ascii="Tahoma" w:hAnsi="Tahoma" w:cs="Tahoma"/>
                <w:b/>
                <w:bCs/>
                <w:iCs/>
                <w:color w:val="243285"/>
                <w:sz w:val="44"/>
                <w:szCs w:val="44"/>
                <w:lang w:val="en-GB"/>
              </w:rPr>
              <w:noBreakHyphen/>
              <w:t>R Recommendations related to systems and networks in the radionavigation-satellite service operating in the frequency bands 1 164-1 215 MHz, 1 215-1 300 MHz, 1 559</w:t>
            </w:r>
            <w:r>
              <w:rPr>
                <w:rFonts w:ascii="Tahoma" w:hAnsi="Tahoma" w:cs="Tahoma"/>
                <w:b/>
                <w:bCs/>
                <w:iCs/>
                <w:color w:val="243285"/>
                <w:sz w:val="44"/>
                <w:szCs w:val="44"/>
                <w:lang w:val="en-GB"/>
              </w:rPr>
              <w:noBreakHyphen/>
            </w:r>
            <w:r w:rsidRPr="00CE193F">
              <w:rPr>
                <w:rFonts w:ascii="Tahoma" w:hAnsi="Tahoma" w:cs="Tahoma"/>
                <w:b/>
                <w:bCs/>
                <w:iCs/>
                <w:color w:val="243285"/>
                <w:sz w:val="44"/>
                <w:szCs w:val="44"/>
                <w:lang w:val="en-GB"/>
              </w:rPr>
              <w:t>1 610 MHz,</w:t>
            </w:r>
            <w:r>
              <w:rPr>
                <w:rFonts w:ascii="Tahoma" w:hAnsi="Tahoma" w:cs="Tahoma"/>
                <w:b/>
                <w:bCs/>
                <w:iCs/>
                <w:color w:val="243285"/>
                <w:sz w:val="44"/>
                <w:szCs w:val="44"/>
                <w:lang w:val="en-GB"/>
              </w:rPr>
              <w:t xml:space="preserve"> </w:t>
            </w:r>
            <w:r w:rsidRPr="00CE193F">
              <w:rPr>
                <w:rFonts w:ascii="Tahoma" w:hAnsi="Tahoma" w:cs="Tahoma"/>
                <w:b/>
                <w:bCs/>
                <w:iCs/>
                <w:color w:val="243285"/>
                <w:sz w:val="44"/>
                <w:szCs w:val="44"/>
                <w:lang w:val="en-GB"/>
              </w:rPr>
              <w:t>5 000</w:t>
            </w:r>
            <w:r w:rsidR="00182746">
              <w:rPr>
                <w:rFonts w:ascii="Tahoma" w:hAnsi="Tahoma" w:cs="Tahoma"/>
                <w:b/>
                <w:bCs/>
                <w:iCs/>
                <w:color w:val="243285"/>
                <w:sz w:val="44"/>
                <w:szCs w:val="44"/>
                <w:lang w:val="en-GB"/>
              </w:rPr>
              <w:noBreakHyphen/>
            </w:r>
            <w:r w:rsidRPr="00CE193F">
              <w:rPr>
                <w:rFonts w:ascii="Tahoma" w:hAnsi="Tahoma" w:cs="Tahoma"/>
                <w:b/>
                <w:bCs/>
                <w:iCs/>
                <w:color w:val="243285"/>
                <w:sz w:val="44"/>
                <w:szCs w:val="44"/>
                <w:lang w:val="en-GB"/>
              </w:rPr>
              <w:t>5 010 MHz and 5 010-5 030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CE193F" w:rsidRDefault="00FD15CF" w:rsidP="00FD15CF">
            <w:pPr>
              <w:spacing w:before="80" w:line="280" w:lineRule="exact"/>
              <w:ind w:right="640"/>
              <w:rPr>
                <w:rFonts w:ascii="Tahoma" w:hAnsi="Tahoma" w:cs="Tahoma"/>
                <w:b/>
                <w:bCs/>
                <w:iCs/>
                <w:color w:val="243285"/>
                <w:sz w:val="32"/>
                <w:szCs w:val="32"/>
                <w:lang w:val="en-US"/>
              </w:rPr>
            </w:pPr>
          </w:p>
          <w:p w:rsidR="00FD15CF" w:rsidRPr="00CE193F"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E098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E098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E098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E098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E098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1E098E">
      <w:pPr>
        <w:spacing w:before="0"/>
        <w:jc w:val="right"/>
        <w:rPr>
          <w:sz w:val="20"/>
          <w:lang w:val="en-US"/>
        </w:rPr>
      </w:pPr>
      <w:r w:rsidRPr="002F5199">
        <w:rPr>
          <w:sz w:val="20"/>
          <w:lang w:val="en-US"/>
        </w:rPr>
        <w:t>Geneva, 20</w:t>
      </w:r>
      <w:r w:rsidR="002F06BF">
        <w:rPr>
          <w:sz w:val="20"/>
          <w:lang w:val="en-US"/>
        </w:rPr>
        <w:t>1</w:t>
      </w:r>
      <w:r w:rsidR="001E098E">
        <w:rPr>
          <w:sz w:val="20"/>
          <w:lang w:val="en-US"/>
        </w:rPr>
        <w:t>2</w:t>
      </w:r>
    </w:p>
    <w:p w:rsidR="00470E28" w:rsidRDefault="00470E28" w:rsidP="00906589">
      <w:pPr>
        <w:jc w:val="center"/>
        <w:rPr>
          <w:sz w:val="22"/>
          <w:lang w:val="en-US"/>
        </w:rPr>
      </w:pPr>
    </w:p>
    <w:p w:rsidR="00586EF8" w:rsidRPr="00470E28" w:rsidRDefault="00586EF8" w:rsidP="001E098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1E098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E193F" w:rsidRPr="00CE193F" w:rsidRDefault="00934ED7" w:rsidP="00CE193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CE193F">
        <w:rPr>
          <w:rStyle w:val="href"/>
          <w:lang w:val="en-US"/>
        </w:rPr>
        <w:t>1901</w:t>
      </w:r>
    </w:p>
    <w:p w:rsidR="00CE193F" w:rsidRPr="00CE193F" w:rsidRDefault="00CE193F" w:rsidP="00CE193F">
      <w:pPr>
        <w:pStyle w:val="Rectitle"/>
        <w:rPr>
          <w:lang w:val="en-US"/>
        </w:rPr>
      </w:pPr>
      <w:r w:rsidRPr="00CE193F">
        <w:rPr>
          <w:lang w:val="en-US" w:eastAsia="ja-JP"/>
        </w:rPr>
        <w:t>Guidance on ITU</w:t>
      </w:r>
      <w:r w:rsidRPr="00CE193F">
        <w:rPr>
          <w:lang w:val="en-US" w:eastAsia="ja-JP"/>
        </w:rPr>
        <w:noBreakHyphen/>
        <w:t xml:space="preserve">R Recommendations related to systems and networks in the radionavigation-satellite service operating in the frequency bands </w:t>
      </w:r>
      <w:r w:rsidRPr="00CE193F">
        <w:rPr>
          <w:lang w:val="en-US" w:eastAsia="ja-JP"/>
        </w:rPr>
        <w:br/>
      </w:r>
      <w:r w:rsidRPr="00CE193F">
        <w:rPr>
          <w:lang w:val="en-US"/>
        </w:rPr>
        <w:t xml:space="preserve">1 164-1 215 MHz, 1 215-1 300 MHz, 1 559-1 610 MHz, </w:t>
      </w:r>
      <w:r w:rsidRPr="00CE193F">
        <w:rPr>
          <w:lang w:val="en-US"/>
        </w:rPr>
        <w:br/>
        <w:t>5 000-5 010 MHz and 5 010-5 030 MHz</w:t>
      </w:r>
    </w:p>
    <w:p w:rsidR="00CE193F" w:rsidRDefault="00CE193F" w:rsidP="00CE193F">
      <w:pPr>
        <w:pStyle w:val="Recref"/>
        <w:rPr>
          <w:lang w:val="en-US"/>
        </w:rPr>
      </w:pPr>
      <w:r w:rsidRPr="00CE193F">
        <w:rPr>
          <w:lang w:val="en-US"/>
        </w:rPr>
        <w:t>(Questions ITU</w:t>
      </w:r>
      <w:r w:rsidRPr="00CE193F">
        <w:rPr>
          <w:lang w:val="en-US"/>
        </w:rPr>
        <w:noBreakHyphen/>
        <w:t>R 217-2/4 and ITU</w:t>
      </w:r>
      <w:r w:rsidRPr="00CE193F">
        <w:rPr>
          <w:lang w:val="en-US"/>
        </w:rPr>
        <w:noBreakHyphen/>
        <w:t>R 288/4)</w:t>
      </w:r>
    </w:p>
    <w:p w:rsidR="00C77658" w:rsidRDefault="00C77658" w:rsidP="00CE193F">
      <w:pPr>
        <w:pStyle w:val="Recdate"/>
        <w:rPr>
          <w:lang w:val="en-US"/>
        </w:rPr>
      </w:pPr>
    </w:p>
    <w:p w:rsidR="00CE193F" w:rsidRPr="00CE193F" w:rsidRDefault="00CE193F" w:rsidP="00CE193F">
      <w:pPr>
        <w:pStyle w:val="Recdate"/>
        <w:rPr>
          <w:lang w:val="en-US"/>
        </w:rPr>
      </w:pPr>
      <w:r>
        <w:rPr>
          <w:lang w:val="en-US"/>
        </w:rPr>
        <w:t>(2012)</w:t>
      </w:r>
    </w:p>
    <w:p w:rsidR="00C77658" w:rsidRPr="001E098E" w:rsidRDefault="00C77658" w:rsidP="00C77658">
      <w:pPr>
        <w:rPr>
          <w:lang w:val="en-US"/>
        </w:rPr>
      </w:pPr>
    </w:p>
    <w:p w:rsidR="00CE193F" w:rsidRPr="001E098E" w:rsidRDefault="00CE193F" w:rsidP="005D0B61">
      <w:pPr>
        <w:pStyle w:val="HeadingSum"/>
        <w:rPr>
          <w:lang w:val="en-US"/>
        </w:rPr>
      </w:pPr>
      <w:r w:rsidRPr="001E098E">
        <w:rPr>
          <w:lang w:val="en-US"/>
        </w:rPr>
        <w:t>Scope</w:t>
      </w:r>
    </w:p>
    <w:p w:rsidR="00CE193F" w:rsidRPr="001E098E" w:rsidRDefault="00CE193F" w:rsidP="005D0B61">
      <w:pPr>
        <w:pStyle w:val="Summary"/>
        <w:rPr>
          <w:lang w:val="en-US"/>
        </w:rPr>
      </w:pPr>
      <w:r w:rsidRPr="001E098E">
        <w:rPr>
          <w:lang w:val="en-US" w:eastAsia="ja-JP"/>
        </w:rPr>
        <w:t>This Recommendation is intended to provide guidance on ITU</w:t>
      </w:r>
      <w:r w:rsidRPr="001E098E">
        <w:rPr>
          <w:lang w:val="en-US" w:eastAsia="ja-JP"/>
        </w:rPr>
        <w:noBreakHyphen/>
        <w:t>R Recommendations related to the technical characteristics and protection criteria of radionavigation-satellite service (RNSS)</w:t>
      </w:r>
      <w:r w:rsidRPr="001E098E">
        <w:rPr>
          <w:lang w:val="en-US"/>
        </w:rPr>
        <w:t xml:space="preserve"> receiving earth stations and </w:t>
      </w:r>
      <w:r w:rsidRPr="001E098E">
        <w:rPr>
          <w:snapToGrid w:val="0"/>
          <w:lang w:val="en-US"/>
        </w:rPr>
        <w:t xml:space="preserve">characteristics of RNSS </w:t>
      </w:r>
      <w:r w:rsidRPr="001E098E">
        <w:rPr>
          <w:lang w:val="en-US"/>
        </w:rPr>
        <w:t>transmitting space stations planned or operating</w:t>
      </w:r>
      <w:r w:rsidRPr="001E098E">
        <w:rPr>
          <w:lang w:val="en-US" w:eastAsia="ja-JP"/>
        </w:rPr>
        <w:t xml:space="preserve"> in the frequency bands 1 164</w:t>
      </w:r>
      <w:r w:rsidR="00182746" w:rsidRPr="001E098E">
        <w:rPr>
          <w:lang w:val="en-US" w:eastAsia="ja-JP"/>
        </w:rPr>
        <w:noBreakHyphen/>
      </w:r>
      <w:r w:rsidRPr="001E098E">
        <w:rPr>
          <w:lang w:val="en-US" w:eastAsia="ja-JP"/>
        </w:rPr>
        <w:t>1 215 MHz, 1 215-1 300 MHz, 1 559-1 610 MHz, 5 000-5 010 MHz and 5 010-5 030 MHz. In addition, this Recommendation gives a brief overview of those Recommendations.</w:t>
      </w:r>
    </w:p>
    <w:p w:rsidR="00CE193F" w:rsidRPr="001E098E" w:rsidRDefault="00CE193F" w:rsidP="005D0B61">
      <w:pPr>
        <w:pStyle w:val="Normalaftertitle"/>
        <w:rPr>
          <w:lang w:val="en-US"/>
        </w:rPr>
      </w:pPr>
      <w:r w:rsidRPr="001E098E">
        <w:rPr>
          <w:lang w:val="en-US"/>
        </w:rPr>
        <w:t>The ITU Radiocommunication Assembly,</w:t>
      </w:r>
    </w:p>
    <w:p w:rsidR="00CE193F" w:rsidRPr="00CE193F" w:rsidRDefault="00CE193F" w:rsidP="00CE193F">
      <w:pPr>
        <w:pStyle w:val="Call"/>
        <w:rPr>
          <w:lang w:val="en-US"/>
        </w:rPr>
      </w:pPr>
      <w:r w:rsidRPr="00CE193F">
        <w:rPr>
          <w:lang w:val="en-US"/>
        </w:rPr>
        <w:t>considering</w:t>
      </w:r>
    </w:p>
    <w:p w:rsidR="00CE193F" w:rsidRPr="00CE193F" w:rsidRDefault="00CE193F" w:rsidP="00CE193F">
      <w:pPr>
        <w:rPr>
          <w:lang w:val="en-US"/>
        </w:rPr>
      </w:pPr>
      <w:r w:rsidRPr="00CE193F">
        <w:rPr>
          <w:lang w:val="en-US"/>
        </w:rPr>
        <w:t>a)</w:t>
      </w:r>
      <w:r w:rsidRPr="00CE193F">
        <w:rPr>
          <w:lang w:val="en-US"/>
        </w:rPr>
        <w:tab/>
        <w:t>that systems</w:t>
      </w:r>
      <w:r w:rsidRPr="00CE193F">
        <w:rPr>
          <w:lang w:val="en-US" w:eastAsia="ja-JP"/>
        </w:rPr>
        <w:t xml:space="preserve"> and networks</w:t>
      </w:r>
      <w:r w:rsidRPr="00CE193F">
        <w:rPr>
          <w:lang w:val="en-US"/>
        </w:rPr>
        <w:t xml:space="preserve"> </w:t>
      </w:r>
      <w:r w:rsidRPr="00CE193F">
        <w:rPr>
          <w:lang w:val="en-US" w:eastAsia="ja-JP"/>
        </w:rPr>
        <w:t xml:space="preserve">in the radionavigation-satellite service (RNSS) </w:t>
      </w:r>
      <w:r w:rsidRPr="00CE193F">
        <w:rPr>
          <w:lang w:val="en-US"/>
        </w:rPr>
        <w:t xml:space="preserve">provide worldwide accurate information for many positioning, navigation and timing applications, including safety aspects for some frequency bands and under certain circumstances and applications; </w:t>
      </w:r>
    </w:p>
    <w:p w:rsidR="00CE193F" w:rsidRPr="00CE193F" w:rsidRDefault="00CE193F" w:rsidP="00CE193F">
      <w:pPr>
        <w:rPr>
          <w:lang w:val="en-US"/>
        </w:rPr>
      </w:pPr>
      <w:r w:rsidRPr="00CE193F">
        <w:rPr>
          <w:lang w:val="en-US"/>
        </w:rPr>
        <w:t>b)</w:t>
      </w:r>
      <w:r w:rsidRPr="00CE193F">
        <w:rPr>
          <w:lang w:val="en-US"/>
        </w:rPr>
        <w:tab/>
        <w:t>that there are several operating and planned systems</w:t>
      </w:r>
      <w:r w:rsidRPr="00CE193F">
        <w:rPr>
          <w:lang w:val="en-US" w:eastAsia="ja-JP"/>
        </w:rPr>
        <w:t xml:space="preserve"> and networks in the </w:t>
      </w:r>
      <w:r w:rsidRPr="00CE193F">
        <w:rPr>
          <w:lang w:val="en-US"/>
        </w:rPr>
        <w:t>RNSS;</w:t>
      </w:r>
    </w:p>
    <w:p w:rsidR="00CE193F" w:rsidRPr="00CE193F" w:rsidRDefault="00CE193F" w:rsidP="00CE193F">
      <w:pPr>
        <w:rPr>
          <w:lang w:val="en-US"/>
        </w:rPr>
      </w:pPr>
      <w:r w:rsidRPr="00CE193F">
        <w:rPr>
          <w:lang w:val="en-US" w:eastAsia="ja-JP"/>
        </w:rPr>
        <w:t>c</w:t>
      </w:r>
      <w:r w:rsidRPr="00CE193F">
        <w:rPr>
          <w:lang w:val="en-US"/>
        </w:rPr>
        <w:t>)</w:t>
      </w:r>
      <w:r w:rsidRPr="00CE193F">
        <w:rPr>
          <w:lang w:val="en-US"/>
        </w:rPr>
        <w:tab/>
        <w:t xml:space="preserve">that any properly equipped earth station may receive navigation information from systems </w:t>
      </w:r>
      <w:r w:rsidRPr="00CE193F">
        <w:rPr>
          <w:lang w:val="en-US" w:eastAsia="ja-JP"/>
        </w:rPr>
        <w:t xml:space="preserve">and networks in the </w:t>
      </w:r>
      <w:r w:rsidRPr="00CE193F">
        <w:rPr>
          <w:lang w:val="en-US"/>
        </w:rPr>
        <w:t>RNSS on a worldwide basis,</w:t>
      </w:r>
    </w:p>
    <w:p w:rsidR="00CE193F" w:rsidRPr="00CE193F" w:rsidRDefault="00CE193F" w:rsidP="00CE193F">
      <w:pPr>
        <w:pStyle w:val="Call"/>
        <w:rPr>
          <w:lang w:val="en-US"/>
        </w:rPr>
      </w:pPr>
      <w:r w:rsidRPr="00CE193F">
        <w:rPr>
          <w:lang w:val="en-US"/>
        </w:rPr>
        <w:t>noting</w:t>
      </w:r>
    </w:p>
    <w:p w:rsidR="00CE193F" w:rsidRPr="00CE193F" w:rsidRDefault="00CE193F" w:rsidP="001172C7">
      <w:pPr>
        <w:rPr>
          <w:lang w:val="en-US"/>
        </w:rPr>
      </w:pPr>
      <w:r w:rsidRPr="00CE193F">
        <w:rPr>
          <w:lang w:val="en-US" w:eastAsia="ja-JP"/>
        </w:rPr>
        <w:t>a</w:t>
      </w:r>
      <w:r w:rsidRPr="00CE193F">
        <w:rPr>
          <w:lang w:val="en-US"/>
        </w:rPr>
        <w:t>)</w:t>
      </w:r>
      <w:r w:rsidRPr="00CE193F">
        <w:rPr>
          <w:lang w:val="en-US"/>
        </w:rPr>
        <w:tab/>
        <w:t xml:space="preserve">that Recommendations </w:t>
      </w:r>
      <w:r w:rsidRPr="00CE193F">
        <w:rPr>
          <w:lang w:val="en-US" w:eastAsia="ja-JP"/>
        </w:rPr>
        <w:t>ITU</w:t>
      </w:r>
      <w:r w:rsidRPr="00CE193F">
        <w:rPr>
          <w:lang w:val="en-US" w:eastAsia="ja-JP"/>
        </w:rPr>
        <w:noBreakHyphen/>
        <w:t xml:space="preserve">R </w:t>
      </w:r>
      <w:r w:rsidRPr="00CE193F">
        <w:rPr>
          <w:lang w:val="en-US"/>
        </w:rPr>
        <w:t>M.</w:t>
      </w:r>
      <w:r w:rsidR="001172C7">
        <w:rPr>
          <w:lang w:val="en-US"/>
        </w:rPr>
        <w:t>1902</w:t>
      </w:r>
      <w:r w:rsidRPr="00CE193F">
        <w:rPr>
          <w:lang w:val="en-US"/>
        </w:rPr>
        <w:t>, ITU</w:t>
      </w:r>
      <w:r w:rsidRPr="00CE193F">
        <w:rPr>
          <w:lang w:val="en-US"/>
        </w:rPr>
        <w:noBreakHyphen/>
        <w:t>R M.</w:t>
      </w:r>
      <w:r w:rsidR="001172C7">
        <w:rPr>
          <w:lang w:val="en-US"/>
        </w:rPr>
        <w:t>1905</w:t>
      </w:r>
      <w:r w:rsidRPr="00CE193F">
        <w:rPr>
          <w:lang w:val="en-US"/>
        </w:rPr>
        <w:t>, ITU</w:t>
      </w:r>
      <w:r w:rsidRPr="00CE193F">
        <w:rPr>
          <w:lang w:val="en-US"/>
        </w:rPr>
        <w:noBreakHyphen/>
        <w:t>R M.</w:t>
      </w:r>
      <w:r w:rsidR="001172C7">
        <w:rPr>
          <w:lang w:val="en-US"/>
        </w:rPr>
        <w:t>1903</w:t>
      </w:r>
      <w:r w:rsidRPr="00CE193F">
        <w:rPr>
          <w:lang w:val="en-US"/>
        </w:rPr>
        <w:t xml:space="preserve"> and ITU</w:t>
      </w:r>
      <w:r w:rsidRPr="00CE193F">
        <w:rPr>
          <w:lang w:val="en-US"/>
        </w:rPr>
        <w:noBreakHyphen/>
        <w:t>R M.</w:t>
      </w:r>
      <w:r w:rsidR="001172C7">
        <w:rPr>
          <w:lang w:val="en-US"/>
        </w:rPr>
        <w:t>1904</w:t>
      </w:r>
      <w:r w:rsidRPr="00CE193F">
        <w:rPr>
          <w:lang w:val="en-US"/>
        </w:rPr>
        <w:t xml:space="preserve"> provide technical and operational characteristics of, and protection criteria for, system </w:t>
      </w:r>
      <w:r w:rsidRPr="00CE193F">
        <w:rPr>
          <w:lang w:val="en-US" w:eastAsia="ja-JP"/>
        </w:rPr>
        <w:t xml:space="preserve">and network </w:t>
      </w:r>
      <w:r w:rsidRPr="00CE193F">
        <w:rPr>
          <w:lang w:val="en-US"/>
        </w:rPr>
        <w:t>receivers (space-to-Earth and space-to-space) in the RNSS in the bands 1 164-1 215 MHz, 1 215</w:t>
      </w:r>
      <w:r w:rsidR="001172C7">
        <w:rPr>
          <w:lang w:val="en-US"/>
        </w:rPr>
        <w:noBreakHyphen/>
      </w:r>
      <w:r w:rsidRPr="00CE193F">
        <w:rPr>
          <w:lang w:val="en-US"/>
        </w:rPr>
        <w:t>1 300 MHz and 1 559-1 610 MHz;</w:t>
      </w:r>
    </w:p>
    <w:p w:rsidR="00CE193F" w:rsidRPr="00CE193F" w:rsidRDefault="00CE193F" w:rsidP="001172C7">
      <w:pPr>
        <w:rPr>
          <w:lang w:val="en-US"/>
        </w:rPr>
      </w:pPr>
      <w:r w:rsidRPr="00CE193F">
        <w:rPr>
          <w:lang w:val="en-US" w:eastAsia="ja-JP"/>
        </w:rPr>
        <w:t>b</w:t>
      </w:r>
      <w:r w:rsidRPr="00CE193F">
        <w:rPr>
          <w:lang w:val="en-US"/>
        </w:rPr>
        <w:t>)</w:t>
      </w:r>
      <w:r w:rsidRPr="00CE193F">
        <w:rPr>
          <w:lang w:val="en-US"/>
        </w:rPr>
        <w:tab/>
        <w:t xml:space="preserve">that Recommendation </w:t>
      </w:r>
      <w:r w:rsidRPr="00CE193F">
        <w:rPr>
          <w:lang w:val="en-US" w:eastAsia="ja-JP"/>
        </w:rPr>
        <w:t>ITU</w:t>
      </w:r>
      <w:r w:rsidRPr="00CE193F">
        <w:rPr>
          <w:lang w:val="en-US" w:eastAsia="ja-JP"/>
        </w:rPr>
        <w:noBreakHyphen/>
        <w:t xml:space="preserve">R </w:t>
      </w:r>
      <w:r w:rsidRPr="00CE193F">
        <w:rPr>
          <w:lang w:val="en-US"/>
        </w:rPr>
        <w:t>M.</w:t>
      </w:r>
      <w:r w:rsidR="001172C7">
        <w:rPr>
          <w:lang w:val="en-US"/>
        </w:rPr>
        <w:t>1906</w:t>
      </w:r>
      <w:r w:rsidRPr="00CE193F">
        <w:rPr>
          <w:lang w:val="en-US"/>
        </w:rPr>
        <w:t xml:space="preserve"> provides technical and operational characteristics and protection criteria of receiving space stations and characteristics of transmitting earth stations in the </w:t>
      </w:r>
      <w:r w:rsidR="001172C7">
        <w:rPr>
          <w:lang w:val="en-US"/>
        </w:rPr>
        <w:t>RNSS</w:t>
      </w:r>
      <w:r w:rsidRPr="00CE193F">
        <w:rPr>
          <w:lang w:val="en-US"/>
        </w:rPr>
        <w:t xml:space="preserve"> (Earth-to-space) operating in the band 5 000-5 010 MHz;</w:t>
      </w:r>
    </w:p>
    <w:p w:rsidR="00CE193F" w:rsidRPr="00CE193F" w:rsidRDefault="001172C7" w:rsidP="001172C7">
      <w:pPr>
        <w:rPr>
          <w:lang w:val="en-US"/>
        </w:rPr>
      </w:pPr>
      <w:r>
        <w:rPr>
          <w:lang w:val="en-US"/>
        </w:rPr>
        <w:t>c</w:t>
      </w:r>
      <w:r w:rsidR="00CE193F" w:rsidRPr="00CE193F">
        <w:rPr>
          <w:lang w:val="en-US"/>
        </w:rPr>
        <w:t>)</w:t>
      </w:r>
      <w:r w:rsidR="00CE193F" w:rsidRPr="00CE193F">
        <w:rPr>
          <w:lang w:val="en-US"/>
        </w:rPr>
        <w:tab/>
        <w:t>that Recommendation ITU</w:t>
      </w:r>
      <w:r w:rsidR="00CE193F" w:rsidRPr="00CE193F">
        <w:rPr>
          <w:lang w:val="en-US"/>
        </w:rPr>
        <w:noBreakHyphen/>
        <w:t xml:space="preserve">R M.1787 provides technical descriptions of systems </w:t>
      </w:r>
      <w:r w:rsidR="00CE193F" w:rsidRPr="00CE193F">
        <w:rPr>
          <w:lang w:val="en-US" w:eastAsia="ja-JP"/>
        </w:rPr>
        <w:t xml:space="preserve">and networks in the RNSS </w:t>
      </w:r>
      <w:r w:rsidR="00CE193F" w:rsidRPr="00CE193F">
        <w:rPr>
          <w:lang w:val="en-US"/>
        </w:rPr>
        <w:t xml:space="preserve">(space-to-Earth and space-to-space) </w:t>
      </w:r>
      <w:r w:rsidR="00CE193F" w:rsidRPr="00CE193F">
        <w:rPr>
          <w:lang w:val="en-US" w:eastAsia="ja-JP"/>
        </w:rPr>
        <w:t xml:space="preserve">and technical characteristics of </w:t>
      </w:r>
      <w:r w:rsidR="00CE193F" w:rsidRPr="00CE193F">
        <w:rPr>
          <w:lang w:val="en-US"/>
        </w:rPr>
        <w:t>transmitting space stations operating in the bands 1 164-1 215 MHz, 1 215-1 300 MHz and 1 559</w:t>
      </w:r>
      <w:r>
        <w:rPr>
          <w:lang w:val="en-US"/>
        </w:rPr>
        <w:noBreakHyphen/>
      </w:r>
      <w:r w:rsidR="00CE193F" w:rsidRPr="00CE193F">
        <w:rPr>
          <w:lang w:val="en-US"/>
        </w:rPr>
        <w:t>1 610 MHz;</w:t>
      </w:r>
    </w:p>
    <w:p w:rsidR="00CE193F" w:rsidRPr="00CE193F" w:rsidRDefault="001172C7" w:rsidP="001172C7">
      <w:pPr>
        <w:rPr>
          <w:lang w:val="en-US"/>
        </w:rPr>
      </w:pPr>
      <w:r>
        <w:rPr>
          <w:lang w:val="en-US"/>
        </w:rPr>
        <w:t>d</w:t>
      </w:r>
      <w:r w:rsidR="00CE193F" w:rsidRPr="00CE193F">
        <w:rPr>
          <w:lang w:val="en-US"/>
        </w:rPr>
        <w:t>)</w:t>
      </w:r>
      <w:r w:rsidR="00CE193F" w:rsidRPr="00CE193F">
        <w:rPr>
          <w:lang w:val="en-US"/>
        </w:rPr>
        <w:tab/>
        <w:t>that Recommendation ITU</w:t>
      </w:r>
      <w:r w:rsidR="00CE193F" w:rsidRPr="00CE193F">
        <w:rPr>
          <w:lang w:val="en-US"/>
        </w:rPr>
        <w:noBreakHyphen/>
        <w:t>R M.1318 provides a model for evaluating interference from environmental sources into RNSS receivers operating in the bands 1 164-1 215 MHz, 1 215</w:t>
      </w:r>
      <w:r>
        <w:rPr>
          <w:lang w:val="en-US"/>
        </w:rPr>
        <w:noBreakHyphen/>
      </w:r>
      <w:r w:rsidR="00CE193F" w:rsidRPr="00CE193F">
        <w:rPr>
          <w:lang w:val="en-US"/>
        </w:rPr>
        <w:t>1 300 MHz, 1 559-1 610 MHz and 5 010-5 030 MHz;</w:t>
      </w:r>
    </w:p>
    <w:p w:rsidR="00CE193F" w:rsidRPr="00CE193F" w:rsidRDefault="001172C7" w:rsidP="00CE193F">
      <w:pPr>
        <w:rPr>
          <w:lang w:val="en-US"/>
        </w:rPr>
      </w:pPr>
      <w:r>
        <w:rPr>
          <w:lang w:val="en-US"/>
        </w:rPr>
        <w:t>e</w:t>
      </w:r>
      <w:r w:rsidR="00CE193F" w:rsidRPr="00CE193F">
        <w:rPr>
          <w:lang w:val="en-US"/>
        </w:rPr>
        <w:t>)</w:t>
      </w:r>
      <w:r w:rsidR="00CE193F" w:rsidRPr="00CE193F">
        <w:rPr>
          <w:lang w:val="en-US"/>
        </w:rPr>
        <w:tab/>
        <w:t>that Recommendation ITU</w:t>
      </w:r>
      <w:r w:rsidR="00CE193F" w:rsidRPr="00CE193F">
        <w:rPr>
          <w:lang w:val="en-US"/>
        </w:rPr>
        <w:noBreakHyphen/>
        <w:t>R M.1831 provides a methodology for RNSS intersystem interference estimation to be used in coordination among systems and networks in the RNSS,</w:t>
      </w:r>
    </w:p>
    <w:p w:rsidR="00CE193F" w:rsidRPr="00CE193F" w:rsidRDefault="00CE193F" w:rsidP="00CE193F">
      <w:pPr>
        <w:pStyle w:val="Call"/>
        <w:rPr>
          <w:lang w:val="en-US"/>
        </w:rPr>
      </w:pPr>
      <w:r w:rsidRPr="00CE193F">
        <w:rPr>
          <w:lang w:val="en-US"/>
        </w:rPr>
        <w:t>noting further</w:t>
      </w:r>
    </w:p>
    <w:p w:rsidR="00CE193F" w:rsidRPr="00CE193F" w:rsidRDefault="00CE193F" w:rsidP="00CE193F">
      <w:pPr>
        <w:rPr>
          <w:lang w:val="en-US"/>
        </w:rPr>
      </w:pPr>
      <w:r w:rsidRPr="00CE193F">
        <w:rPr>
          <w:lang w:val="en-US"/>
        </w:rPr>
        <w:t>that a Recommendation is being developed by ITU</w:t>
      </w:r>
      <w:r w:rsidRPr="00CE193F">
        <w:rPr>
          <w:lang w:val="en-US"/>
        </w:rPr>
        <w:noBreakHyphen/>
        <w:t>R to provide technical characteristics and protection criteria of receiving earth stations and characteristics of transmitting space stations in the RNSS (space-to-Earth) operating in the frequency band 5 010-5 030 MHz,</w:t>
      </w:r>
    </w:p>
    <w:p w:rsidR="00CE193F" w:rsidRPr="00CE193F" w:rsidRDefault="00CE193F" w:rsidP="00CE193F">
      <w:pPr>
        <w:pStyle w:val="Call"/>
        <w:rPr>
          <w:lang w:val="en-US"/>
        </w:rPr>
      </w:pPr>
      <w:r w:rsidRPr="00CE193F">
        <w:rPr>
          <w:lang w:val="en-US"/>
        </w:rPr>
        <w:t>recommends</w:t>
      </w:r>
    </w:p>
    <w:p w:rsidR="00CE193F" w:rsidRPr="00CE193F" w:rsidRDefault="00CE193F" w:rsidP="001172C7">
      <w:pPr>
        <w:rPr>
          <w:lang w:val="en-US"/>
        </w:rPr>
      </w:pPr>
      <w:r w:rsidRPr="00CE193F">
        <w:rPr>
          <w:b/>
          <w:bCs/>
          <w:lang w:val="en-US"/>
        </w:rPr>
        <w:t>1</w:t>
      </w:r>
      <w:r w:rsidRPr="00CE193F">
        <w:rPr>
          <w:lang w:val="en-US"/>
        </w:rPr>
        <w:tab/>
        <w:t>that the material in Annex 1 should be used as guidance on ITU</w:t>
      </w:r>
      <w:r w:rsidRPr="00CE193F">
        <w:rPr>
          <w:lang w:val="en-US"/>
        </w:rPr>
        <w:noBreakHyphen/>
        <w:t>R Recommendations associated with systems and networks in the RNSS operating in the bands 1 164-1 215 MHz, 1 215</w:t>
      </w:r>
      <w:r w:rsidR="001172C7">
        <w:rPr>
          <w:lang w:val="en-US"/>
        </w:rPr>
        <w:noBreakHyphen/>
      </w:r>
      <w:r w:rsidRPr="00CE193F">
        <w:rPr>
          <w:lang w:val="en-US"/>
        </w:rPr>
        <w:t>1 300 MHz, 1 559-1 610 MHz, 5 000-5 010 MHz and 5 010-5 030 MHz.</w:t>
      </w:r>
    </w:p>
    <w:p w:rsidR="00CE193F" w:rsidRPr="00CE193F" w:rsidRDefault="00CE193F" w:rsidP="00CE193F">
      <w:pPr>
        <w:rPr>
          <w:lang w:val="en-US"/>
        </w:rPr>
      </w:pPr>
    </w:p>
    <w:p w:rsidR="00CE193F" w:rsidRPr="00CE193F" w:rsidRDefault="00CE193F" w:rsidP="00CE193F">
      <w:pPr>
        <w:rPr>
          <w:lang w:val="en-US"/>
        </w:rPr>
      </w:pPr>
    </w:p>
    <w:p w:rsidR="00CE193F" w:rsidRPr="007E22AC" w:rsidRDefault="00CE193F" w:rsidP="001172C7">
      <w:pPr>
        <w:pStyle w:val="AnnexNoTitle"/>
        <w:rPr>
          <w:lang w:val="en-US"/>
        </w:rPr>
      </w:pPr>
      <w:r w:rsidRPr="007E22AC">
        <w:rPr>
          <w:lang w:val="en-US"/>
        </w:rPr>
        <w:t>Annex 1</w:t>
      </w:r>
    </w:p>
    <w:p w:rsidR="00CE193F" w:rsidRPr="00CE193F" w:rsidRDefault="00CE193F" w:rsidP="00CE193F">
      <w:pPr>
        <w:pStyle w:val="Heading1"/>
        <w:rPr>
          <w:lang w:val="en-US"/>
        </w:rPr>
      </w:pPr>
      <w:r w:rsidRPr="00CE193F">
        <w:rPr>
          <w:lang w:val="en-US"/>
        </w:rPr>
        <w:t>1</w:t>
      </w:r>
      <w:r w:rsidRPr="00CE193F">
        <w:rPr>
          <w:lang w:val="en-US"/>
        </w:rPr>
        <w:tab/>
        <w:t>Description of Recommendations relating to RNSS</w:t>
      </w:r>
    </w:p>
    <w:p w:rsidR="00CE193F" w:rsidRPr="00CE193F" w:rsidRDefault="00CE193F" w:rsidP="001E098E">
      <w:pPr>
        <w:rPr>
          <w:lang w:val="en-US"/>
        </w:rPr>
      </w:pPr>
      <w:r w:rsidRPr="00CE193F">
        <w:rPr>
          <w:lang w:val="en-US"/>
        </w:rPr>
        <w:t>ITU</w:t>
      </w:r>
      <w:r w:rsidRPr="00CE193F">
        <w:rPr>
          <w:lang w:val="en-US"/>
        </w:rPr>
        <w:noBreakHyphen/>
        <w:t>R Recommendations providing technical characteristics and protection criteria of systems and networks in the RNSS are summarized in Table 1. Where a particular RNSS system is considered, some Recommendations provide details of that system in a separate annex while others have a common annex.</w:t>
      </w:r>
    </w:p>
    <w:p w:rsidR="00CE193F" w:rsidRPr="00CE193F" w:rsidRDefault="00312BA6" w:rsidP="00CE193F">
      <w:pPr>
        <w:pStyle w:val="TableNo"/>
        <w:rPr>
          <w:lang w:val="en-US"/>
        </w:rPr>
      </w:pPr>
      <w:bookmarkStart w:id="3" w:name="_Ref121558559"/>
      <w:r w:rsidRPr="00CE193F">
        <w:rPr>
          <w:lang w:val="en-US"/>
        </w:rPr>
        <w:t>TABLE</w:t>
      </w:r>
      <w:r>
        <w:rPr>
          <w:lang w:val="en-US"/>
        </w:rPr>
        <w:t xml:space="preserve"> </w:t>
      </w:r>
      <w:r w:rsidR="00CE193F" w:rsidRPr="00CE193F">
        <w:rPr>
          <w:lang w:val="en-US"/>
        </w:rPr>
        <w:t xml:space="preserve"> </w:t>
      </w:r>
      <w:bookmarkEnd w:id="3"/>
      <w:r w:rsidR="00CE193F" w:rsidRPr="00CE193F">
        <w:rPr>
          <w:lang w:val="en-US"/>
        </w:rPr>
        <w:t>1</w:t>
      </w:r>
    </w:p>
    <w:p w:rsidR="00CE193F" w:rsidRPr="00CE193F" w:rsidRDefault="00CE193F" w:rsidP="00312BA6">
      <w:pPr>
        <w:pStyle w:val="Tabletitle"/>
        <w:rPr>
          <w:lang w:val="en-US"/>
        </w:rPr>
      </w:pPr>
      <w:r w:rsidRPr="00CE193F">
        <w:rPr>
          <w:lang w:val="en-US"/>
        </w:rPr>
        <w:t>Summary of ITU</w:t>
      </w:r>
      <w:r w:rsidRPr="00CE193F">
        <w:rPr>
          <w:lang w:val="en-US"/>
        </w:rPr>
        <w:noBreakHyphen/>
        <w:t>R Recommendations on RNSS system characteristics and protection criteria in the bands 1 164-1 215 MHz, 1 215-1 300 MHz, 1 559-1 610 MHz and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8"/>
        <w:gridCol w:w="5386"/>
      </w:tblGrid>
      <w:tr w:rsidR="00CE193F" w:rsidRPr="00865AE4" w:rsidTr="00B21B1E">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E193F" w:rsidRPr="00865AE4" w:rsidRDefault="00CE193F" w:rsidP="005D0B61">
            <w:pPr>
              <w:pStyle w:val="Tablehead"/>
            </w:pPr>
            <w:r w:rsidRPr="00865AE4">
              <w:t>Rec. ITU</w:t>
            </w:r>
            <w:r w:rsidRPr="00865AE4">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CE193F" w:rsidRPr="00865AE4" w:rsidRDefault="00CE193F" w:rsidP="005D0B61">
            <w:pPr>
              <w:pStyle w:val="Tablehead"/>
            </w:pPr>
            <w:r w:rsidRPr="00865AE4">
              <w:t>Band(s)</w:t>
            </w:r>
            <w:r w:rsidRPr="00865AE4">
              <w:br/>
              <w:t>(MHz)</w:t>
            </w:r>
          </w:p>
        </w:tc>
        <w:tc>
          <w:tcPr>
            <w:tcW w:w="1418" w:type="dxa"/>
            <w:tcBorders>
              <w:top w:val="single" w:sz="4" w:space="0" w:color="auto"/>
              <w:left w:val="single" w:sz="4" w:space="0" w:color="auto"/>
              <w:bottom w:val="single" w:sz="4" w:space="0" w:color="auto"/>
              <w:right w:val="single" w:sz="4" w:space="0" w:color="auto"/>
            </w:tcBorders>
            <w:vAlign w:val="center"/>
          </w:tcPr>
          <w:p w:rsidR="00CE193F" w:rsidRPr="00865AE4" w:rsidRDefault="00CE193F" w:rsidP="005D0B61">
            <w:pPr>
              <w:pStyle w:val="Tablehead"/>
            </w:pPr>
            <w:r w:rsidRPr="00865AE4">
              <w:t>Types of stations</w:t>
            </w:r>
          </w:p>
        </w:tc>
        <w:tc>
          <w:tcPr>
            <w:tcW w:w="5387" w:type="dxa"/>
            <w:tcBorders>
              <w:top w:val="single" w:sz="4" w:space="0" w:color="auto"/>
              <w:left w:val="single" w:sz="4" w:space="0" w:color="auto"/>
              <w:bottom w:val="single" w:sz="4" w:space="0" w:color="auto"/>
              <w:right w:val="single" w:sz="4" w:space="0" w:color="auto"/>
            </w:tcBorders>
            <w:vAlign w:val="center"/>
          </w:tcPr>
          <w:p w:rsidR="00CE193F" w:rsidRPr="00865AE4" w:rsidRDefault="00CE193F" w:rsidP="005D0B61">
            <w:pPr>
              <w:pStyle w:val="Tablehead"/>
            </w:pPr>
            <w:r w:rsidRPr="00865AE4">
              <w:t>Contents</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312BA6">
            <w:pPr>
              <w:pStyle w:val="Tabletext"/>
              <w:spacing w:before="20" w:after="20"/>
            </w:pPr>
            <w:r w:rsidRPr="00865AE4">
              <w:t>M.</w:t>
            </w:r>
            <w:r w:rsidR="00312BA6">
              <w:t>1905</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1 164-1 215</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 xml:space="preserve">User </w:t>
            </w:r>
            <w:r>
              <w:t>receiver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RNSS user receiver characteristics in 1 164-1 215 MHz band and their protection criteria</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312BA6">
            <w:pPr>
              <w:pStyle w:val="Tabletext"/>
              <w:spacing w:before="20" w:after="20"/>
            </w:pPr>
            <w:r w:rsidRPr="00865AE4">
              <w:t>M.</w:t>
            </w:r>
            <w:r w:rsidR="00312BA6">
              <w:t>1902</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1 215-1 300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 xml:space="preserve">User </w:t>
            </w:r>
            <w:r>
              <w:t>receiver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RNSS user receiver characteristics in 1 215-1 300 MHz band and their protection criteria</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312BA6">
            <w:pPr>
              <w:pStyle w:val="Tabletext"/>
              <w:spacing w:before="20" w:after="20"/>
            </w:pPr>
            <w:r w:rsidRPr="00865AE4">
              <w:t>M.</w:t>
            </w:r>
            <w:r w:rsidR="00312BA6">
              <w:t>1903</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1 559-1 610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 xml:space="preserve">User </w:t>
            </w:r>
            <w:r>
              <w:t>receiver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RNSS user receiver characteristics in 1 559-1 610 MHz band and their protection criteria</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312BA6">
            <w:pPr>
              <w:pStyle w:val="Tabletext"/>
              <w:spacing w:before="20" w:after="20"/>
            </w:pPr>
            <w:r w:rsidRPr="00865AE4">
              <w:t>M.</w:t>
            </w:r>
            <w:r w:rsidR="00312BA6">
              <w:t>1906</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5 000-5 010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Sat</w:t>
            </w:r>
            <w:r>
              <w:t>ellite</w:t>
            </w:r>
            <w:r w:rsidRPr="00865AE4">
              <w:t xml:space="preserve"> </w:t>
            </w:r>
            <w:r>
              <w:t>receiver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RNSS satellite receiver characteristics in 5 000</w:t>
            </w:r>
            <w:r w:rsidR="00312BA6">
              <w:rPr>
                <w:lang w:val="en-US"/>
              </w:rPr>
              <w:noBreakHyphen/>
            </w:r>
            <w:r w:rsidRPr="00CE193F">
              <w:rPr>
                <w:lang w:val="en-US"/>
              </w:rPr>
              <w:t>5 010 MHz band and their protection criteria</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312BA6">
            <w:pPr>
              <w:pStyle w:val="Tabletext"/>
              <w:spacing w:before="20" w:after="20"/>
            </w:pPr>
            <w:r w:rsidRPr="00865AE4">
              <w:t>M.</w:t>
            </w:r>
            <w:r w:rsidR="00312BA6">
              <w:t>1904</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1 164-1 215</w:t>
            </w:r>
            <w:r w:rsidRPr="00865AE4">
              <w:br/>
              <w:t>1 215-1 300</w:t>
            </w:r>
            <w:r w:rsidRPr="00865AE4">
              <w:br/>
              <w:t>1 559-1 610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 xml:space="preserve">Space-borne </w:t>
            </w:r>
            <w:r>
              <w:t>u</w:t>
            </w:r>
            <w:r w:rsidRPr="00865AE4">
              <w:t xml:space="preserve">ser </w:t>
            </w:r>
            <w:r>
              <w:t>receiver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Technical characteristics of space-to-space receivers of existing and planned RNSS systems in 1 164-1 215 MHz, 1 215-1 300 MHz and 1 559-1 610 MHz and their protection criteria</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pPr>
            <w:r w:rsidRPr="00865AE4">
              <w:t>M.1787</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1 164-1 215</w:t>
            </w:r>
            <w:r w:rsidRPr="00865AE4">
              <w:br/>
              <w:t>1 215-1 300</w:t>
            </w:r>
            <w:r w:rsidRPr="00865AE4">
              <w:br/>
              <w:t>1 559-1 610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spacing w:before="20" w:after="20"/>
              <w:jc w:val="center"/>
            </w:pPr>
            <w:r w:rsidRPr="00865AE4">
              <w:t>Sat</w:t>
            </w:r>
            <w:r>
              <w:t>ellite</w:t>
            </w:r>
            <w:r w:rsidRPr="00865AE4">
              <w:t xml:space="preserve"> </w:t>
            </w:r>
            <w:r>
              <w:t>transmitter</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Characteristics of RNSS transmitted navigation signals in the bands 1 164-1 215 MHz, 1 215-1 300 MHz and 1 559</w:t>
            </w:r>
            <w:r w:rsidR="00312BA6">
              <w:rPr>
                <w:lang w:val="en-US"/>
              </w:rPr>
              <w:noBreakHyphen/>
            </w:r>
            <w:r w:rsidRPr="00CE193F">
              <w:rPr>
                <w:lang w:val="en-US"/>
              </w:rPr>
              <w:t>1 610 MHz</w:t>
            </w:r>
          </w:p>
        </w:tc>
      </w:tr>
    </w:tbl>
    <w:p w:rsidR="00E20174" w:rsidRPr="00FD5912" w:rsidRDefault="00E20174" w:rsidP="00E20174">
      <w:pPr>
        <w:pStyle w:val="Tablefin"/>
        <w:rPr>
          <w:lang w:val="en-US"/>
        </w:rPr>
      </w:pPr>
    </w:p>
    <w:p w:rsidR="00CE193F" w:rsidRPr="00CE193F" w:rsidRDefault="00CE193F" w:rsidP="00CE193F">
      <w:pPr>
        <w:rPr>
          <w:lang w:val="en-US"/>
        </w:rPr>
      </w:pPr>
      <w:r w:rsidRPr="00CE193F">
        <w:rPr>
          <w:lang w:val="en-US"/>
        </w:rPr>
        <w:t>Table 2 lists the ITU</w:t>
      </w:r>
      <w:r w:rsidRPr="00CE193F">
        <w:rPr>
          <w:lang w:val="en-US"/>
        </w:rPr>
        <w:noBreakHyphen/>
        <w:t>R Recommendations which provide models for:</w:t>
      </w:r>
    </w:p>
    <w:p w:rsidR="00CE193F" w:rsidRPr="00CE193F" w:rsidRDefault="00CE193F" w:rsidP="00CE193F">
      <w:pPr>
        <w:pStyle w:val="enumlev1"/>
        <w:rPr>
          <w:lang w:val="en-US"/>
        </w:rPr>
      </w:pPr>
      <w:r w:rsidRPr="00CE193F">
        <w:rPr>
          <w:lang w:val="en-US"/>
        </w:rPr>
        <w:t>1)</w:t>
      </w:r>
      <w:r w:rsidRPr="00CE193F">
        <w:rPr>
          <w:lang w:val="en-US"/>
        </w:rPr>
        <w:tab/>
        <w:t xml:space="preserve">evaluation of continuous interference to RNSS receivers from non-RNSS radio sources; and </w:t>
      </w:r>
    </w:p>
    <w:p w:rsidR="00CE193F" w:rsidRPr="00CE193F" w:rsidRDefault="00CE193F" w:rsidP="00CE193F">
      <w:pPr>
        <w:pStyle w:val="enumlev1"/>
        <w:rPr>
          <w:lang w:val="en-US"/>
        </w:rPr>
      </w:pPr>
      <w:r w:rsidRPr="00CE193F">
        <w:rPr>
          <w:lang w:val="en-US"/>
        </w:rPr>
        <w:t>2)</w:t>
      </w:r>
      <w:r w:rsidRPr="00CE193F">
        <w:rPr>
          <w:lang w:val="en-US"/>
        </w:rPr>
        <w:tab/>
        <w:t>evaluation of intersystem RNSS interference for the purpose of coordination among systems and networks in the RNSS.</w:t>
      </w:r>
    </w:p>
    <w:p w:rsidR="00CE193F" w:rsidRPr="00CE193F" w:rsidRDefault="00CE193F" w:rsidP="00CE193F">
      <w:pPr>
        <w:pStyle w:val="TableNo"/>
        <w:rPr>
          <w:lang w:val="en-US"/>
        </w:rPr>
      </w:pPr>
      <w:r w:rsidRPr="00CE193F">
        <w:rPr>
          <w:lang w:val="en-US"/>
        </w:rPr>
        <w:t xml:space="preserve">TABLE </w:t>
      </w:r>
      <w:r w:rsidR="001431C8">
        <w:rPr>
          <w:lang w:val="en-US"/>
        </w:rPr>
        <w:t xml:space="preserve"> </w:t>
      </w:r>
      <w:r w:rsidRPr="00CE193F">
        <w:rPr>
          <w:lang w:val="en-US"/>
        </w:rPr>
        <w:t>2</w:t>
      </w:r>
    </w:p>
    <w:p w:rsidR="00CE193F" w:rsidRPr="00CE193F" w:rsidRDefault="00CE193F" w:rsidP="001431C8">
      <w:pPr>
        <w:pStyle w:val="Tabletitle"/>
        <w:rPr>
          <w:lang w:val="en-US"/>
        </w:rPr>
      </w:pPr>
      <w:r w:rsidRPr="00CE193F">
        <w:rPr>
          <w:lang w:val="en-US"/>
        </w:rPr>
        <w:t>Summary of ITU</w:t>
      </w:r>
      <w:r w:rsidRPr="00CE193F">
        <w:rPr>
          <w:lang w:val="en-US"/>
        </w:rPr>
        <w:noBreakHyphen/>
        <w:t xml:space="preserve">R Recommendations on RNSS methods for evaluating interference </w:t>
      </w:r>
      <w:r w:rsidR="001431C8">
        <w:rPr>
          <w:lang w:val="en-US"/>
        </w:rPr>
        <w:br/>
      </w:r>
      <w:r w:rsidRPr="00CE193F">
        <w:rPr>
          <w:lang w:val="en-US"/>
        </w:rPr>
        <w:t xml:space="preserve">to RNSS systems in the bands 1 164-1 215 MHz, 1 215-1 300 MHz, 1 559-1 610 MHz </w:t>
      </w:r>
      <w:r w:rsidR="001431C8">
        <w:rPr>
          <w:lang w:val="en-US"/>
        </w:rPr>
        <w:br/>
      </w:r>
      <w:r w:rsidRPr="00CE193F">
        <w:rPr>
          <w:lang w:val="en-US"/>
        </w:rPr>
        <w:t>and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CE193F" w:rsidRPr="001431C8" w:rsidTr="00B21B1E">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E193F" w:rsidRPr="001431C8" w:rsidRDefault="00CE193F" w:rsidP="005D0B61">
            <w:pPr>
              <w:pStyle w:val="Tablehead"/>
              <w:rPr>
                <w:lang w:val="en-US"/>
              </w:rPr>
            </w:pPr>
            <w:r w:rsidRPr="001431C8">
              <w:rPr>
                <w:lang w:val="en-US"/>
              </w:rPr>
              <w:t>Rec. ITU</w:t>
            </w:r>
            <w:r w:rsidRPr="001431C8">
              <w:rPr>
                <w:lang w:val="en-US"/>
              </w:rPr>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CE193F" w:rsidRPr="001431C8" w:rsidRDefault="00CE193F" w:rsidP="005D0B61">
            <w:pPr>
              <w:pStyle w:val="Tablehead"/>
              <w:rPr>
                <w:lang w:val="en-US"/>
              </w:rPr>
            </w:pPr>
            <w:r w:rsidRPr="001431C8">
              <w:rPr>
                <w:lang w:val="en-US"/>
              </w:rPr>
              <w:t>Bands</w:t>
            </w:r>
            <w:r w:rsidRPr="001431C8">
              <w:rPr>
                <w:lang w:val="en-US"/>
              </w:rPr>
              <w:br/>
              <w:t>(MHz)</w:t>
            </w:r>
          </w:p>
        </w:tc>
        <w:tc>
          <w:tcPr>
            <w:tcW w:w="1418" w:type="dxa"/>
            <w:tcBorders>
              <w:top w:val="single" w:sz="4" w:space="0" w:color="auto"/>
              <w:left w:val="single" w:sz="4" w:space="0" w:color="auto"/>
              <w:bottom w:val="single" w:sz="4" w:space="0" w:color="auto"/>
              <w:right w:val="single" w:sz="4" w:space="0" w:color="auto"/>
            </w:tcBorders>
            <w:vAlign w:val="center"/>
          </w:tcPr>
          <w:p w:rsidR="00CE193F" w:rsidRPr="001431C8" w:rsidRDefault="00CE193F" w:rsidP="005D0B61">
            <w:pPr>
              <w:pStyle w:val="Tablehead"/>
              <w:rPr>
                <w:lang w:val="en-US"/>
              </w:rPr>
            </w:pPr>
            <w:r w:rsidRPr="001431C8">
              <w:rPr>
                <w:lang w:val="en-US"/>
              </w:rPr>
              <w:t>Types of stations</w:t>
            </w:r>
          </w:p>
        </w:tc>
        <w:tc>
          <w:tcPr>
            <w:tcW w:w="5387" w:type="dxa"/>
            <w:tcBorders>
              <w:top w:val="single" w:sz="4" w:space="0" w:color="auto"/>
              <w:left w:val="single" w:sz="4" w:space="0" w:color="auto"/>
              <w:bottom w:val="single" w:sz="4" w:space="0" w:color="auto"/>
              <w:right w:val="single" w:sz="4" w:space="0" w:color="auto"/>
            </w:tcBorders>
            <w:vAlign w:val="center"/>
          </w:tcPr>
          <w:p w:rsidR="00CE193F" w:rsidRPr="001431C8" w:rsidRDefault="00CE193F" w:rsidP="005D0B61">
            <w:pPr>
              <w:pStyle w:val="Tablehead"/>
              <w:rPr>
                <w:lang w:val="en-US"/>
              </w:rPr>
            </w:pPr>
            <w:r w:rsidRPr="001431C8">
              <w:rPr>
                <w:lang w:val="en-US"/>
              </w:rPr>
              <w:t>Contents</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1431C8" w:rsidRDefault="00CE193F" w:rsidP="005D0B61">
            <w:pPr>
              <w:pStyle w:val="Tabletext"/>
              <w:rPr>
                <w:lang w:val="en-US"/>
              </w:rPr>
            </w:pPr>
            <w:r w:rsidRPr="001431C8">
              <w:rPr>
                <w:lang w:val="en-US"/>
              </w:rPr>
              <w:t>M.1318</w:t>
            </w:r>
          </w:p>
        </w:tc>
        <w:tc>
          <w:tcPr>
            <w:tcW w:w="1418" w:type="dxa"/>
            <w:tcBorders>
              <w:top w:val="single" w:sz="4" w:space="0" w:color="auto"/>
              <w:left w:val="single" w:sz="4" w:space="0" w:color="auto"/>
              <w:bottom w:val="single" w:sz="4" w:space="0" w:color="auto"/>
              <w:right w:val="single" w:sz="4" w:space="0" w:color="auto"/>
            </w:tcBorders>
          </w:tcPr>
          <w:p w:rsidR="00CE193F" w:rsidRPr="001431C8" w:rsidRDefault="00CE193F" w:rsidP="005D0B61">
            <w:pPr>
              <w:pStyle w:val="Tabletext"/>
              <w:jc w:val="center"/>
              <w:rPr>
                <w:lang w:val="en-US"/>
              </w:rPr>
            </w:pPr>
            <w:r w:rsidRPr="001431C8">
              <w:rPr>
                <w:lang w:val="en-US"/>
              </w:rPr>
              <w:t>1 164-1 215</w:t>
            </w:r>
            <w:r w:rsidRPr="001431C8">
              <w:rPr>
                <w:lang w:val="en-US"/>
              </w:rPr>
              <w:br/>
              <w:t xml:space="preserve">1 215-1 300 </w:t>
            </w:r>
            <w:r w:rsidRPr="001431C8">
              <w:rPr>
                <w:lang w:val="en-US"/>
              </w:rPr>
              <w:br/>
              <w:t>1 559-1 610</w:t>
            </w:r>
            <w:r w:rsidRPr="001431C8">
              <w:rPr>
                <w:lang w:val="en-US"/>
              </w:rPr>
              <w:br/>
              <w:t>5 010-5 030</w:t>
            </w:r>
          </w:p>
        </w:tc>
        <w:tc>
          <w:tcPr>
            <w:tcW w:w="1418" w:type="dxa"/>
            <w:tcBorders>
              <w:top w:val="single" w:sz="4" w:space="0" w:color="auto"/>
              <w:left w:val="single" w:sz="4" w:space="0" w:color="auto"/>
              <w:bottom w:val="single" w:sz="4" w:space="0" w:color="auto"/>
              <w:right w:val="single" w:sz="4" w:space="0" w:color="auto"/>
            </w:tcBorders>
          </w:tcPr>
          <w:p w:rsidR="00CE193F" w:rsidRPr="001431C8" w:rsidRDefault="00CE193F" w:rsidP="00182746">
            <w:pPr>
              <w:pStyle w:val="Tabletext"/>
              <w:jc w:val="center"/>
              <w:rPr>
                <w:lang w:val="en-US"/>
              </w:rPr>
            </w:pPr>
            <w:r w:rsidRPr="001431C8">
              <w:rPr>
                <w:lang w:val="en-US"/>
              </w:rPr>
              <w:t>All</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Continuous interference evaluation model for the systems and networks in the RNSS operating in the 1 164-1 215 MHz, 1 215-1 300 MHz, 1 559-1 610 MHz and 5 010-5 030 MHz bands</w:t>
            </w:r>
          </w:p>
        </w:tc>
      </w:tr>
      <w:tr w:rsidR="00CE193F" w:rsidRPr="001E098E" w:rsidTr="00B21B1E">
        <w:trPr>
          <w:jc w:val="center"/>
        </w:trPr>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pPr>
            <w:r w:rsidRPr="00865AE4">
              <w:t>M.1831</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5D0B61">
            <w:pPr>
              <w:pStyle w:val="Tabletext"/>
              <w:jc w:val="center"/>
            </w:pPr>
            <w:r w:rsidRPr="00865AE4">
              <w:t xml:space="preserve">1 164-1 215 </w:t>
            </w:r>
            <w:r w:rsidRPr="00865AE4">
              <w:br/>
              <w:t xml:space="preserve">1 215-1 300 </w:t>
            </w:r>
            <w:r w:rsidRPr="00865AE4">
              <w:br/>
              <w:t xml:space="preserve">1 559-1 610 </w:t>
            </w:r>
            <w:r w:rsidRPr="00865AE4">
              <w:br/>
              <w:t>5 010-5 030</w:t>
            </w:r>
          </w:p>
        </w:tc>
        <w:tc>
          <w:tcPr>
            <w:tcW w:w="1418" w:type="dxa"/>
            <w:tcBorders>
              <w:top w:val="single" w:sz="4" w:space="0" w:color="auto"/>
              <w:left w:val="single" w:sz="4" w:space="0" w:color="auto"/>
              <w:bottom w:val="single" w:sz="4" w:space="0" w:color="auto"/>
              <w:right w:val="single" w:sz="4" w:space="0" w:color="auto"/>
            </w:tcBorders>
          </w:tcPr>
          <w:p w:rsidR="00CE193F" w:rsidRPr="00865AE4" w:rsidRDefault="00CE193F" w:rsidP="00182746">
            <w:pPr>
              <w:pStyle w:val="Tabletext"/>
              <w:jc w:val="center"/>
            </w:pPr>
            <w:r w:rsidRPr="00865AE4">
              <w:t>All</w:t>
            </w:r>
          </w:p>
        </w:tc>
        <w:tc>
          <w:tcPr>
            <w:tcW w:w="5387" w:type="dxa"/>
            <w:tcBorders>
              <w:top w:val="single" w:sz="4" w:space="0" w:color="auto"/>
              <w:left w:val="single" w:sz="4" w:space="0" w:color="auto"/>
              <w:bottom w:val="single" w:sz="4" w:space="0" w:color="auto"/>
              <w:right w:val="single" w:sz="4" w:space="0" w:color="auto"/>
            </w:tcBorders>
          </w:tcPr>
          <w:p w:rsidR="00CE193F" w:rsidRPr="00CE193F" w:rsidRDefault="00CE193F" w:rsidP="00182746">
            <w:pPr>
              <w:pStyle w:val="Tabletext"/>
              <w:jc w:val="left"/>
              <w:rPr>
                <w:lang w:val="en-US"/>
              </w:rPr>
            </w:pPr>
            <w:r w:rsidRPr="00CE193F">
              <w:rPr>
                <w:lang w:val="en-US"/>
              </w:rPr>
              <w:t>A methodology for RNSS inter-system interference estimation to be used in coordination among systems and networks in the RNSS</w:t>
            </w:r>
          </w:p>
        </w:tc>
      </w:tr>
    </w:tbl>
    <w:p w:rsidR="003C0C27" w:rsidRDefault="003C0C27" w:rsidP="003C0C27">
      <w:pPr>
        <w:pStyle w:val="Tablefin"/>
        <w:rPr>
          <w:lang w:val="en-US"/>
        </w:rPr>
      </w:pPr>
    </w:p>
    <w:p w:rsidR="00CE193F" w:rsidRPr="00CE193F" w:rsidRDefault="00CE193F" w:rsidP="00CE193F">
      <w:pPr>
        <w:pStyle w:val="Heading1"/>
        <w:rPr>
          <w:lang w:val="en-US"/>
        </w:rPr>
      </w:pPr>
      <w:r w:rsidRPr="00CE193F">
        <w:rPr>
          <w:lang w:val="en-US"/>
        </w:rPr>
        <w:t>2</w:t>
      </w:r>
      <w:r w:rsidRPr="00CE193F">
        <w:rPr>
          <w:lang w:val="en-US"/>
        </w:rPr>
        <w:tab/>
        <w:t xml:space="preserve">Parameters relevant to the assessment of interference to RNSS systems </w:t>
      </w:r>
    </w:p>
    <w:p w:rsidR="00CE193F" w:rsidRPr="00CE193F" w:rsidRDefault="00CE193F" w:rsidP="001E098E">
      <w:pPr>
        <w:rPr>
          <w:lang w:val="en-US"/>
        </w:rPr>
      </w:pPr>
      <w:bookmarkStart w:id="4" w:name="_Ref121561228"/>
      <w:r w:rsidRPr="00CE193F">
        <w:rPr>
          <w:lang w:val="en-US"/>
        </w:rPr>
        <w:t>RNSS system parameters relevant to the assessment of interference from radio sources other than in the RNSS are listed in Table 3. Certain RNSS signal parameters are not shown but are contained in Recommendation ITU</w:t>
      </w:r>
      <w:r w:rsidRPr="00CE193F">
        <w:rPr>
          <w:lang w:val="en-US"/>
        </w:rPr>
        <w:noBreakHyphen/>
        <w:t>R M.1787.</w:t>
      </w:r>
    </w:p>
    <w:p w:rsidR="00CE193F" w:rsidRPr="00CE193F" w:rsidRDefault="007E22AC" w:rsidP="00CE193F">
      <w:pPr>
        <w:pStyle w:val="TableNo"/>
        <w:rPr>
          <w:lang w:val="en-US"/>
        </w:rPr>
      </w:pPr>
      <w:bookmarkStart w:id="5" w:name="_Ref121573376"/>
      <w:r w:rsidRPr="00CE193F">
        <w:rPr>
          <w:lang w:val="en-US"/>
        </w:rPr>
        <w:t xml:space="preserve">TABLE </w:t>
      </w:r>
      <w:bookmarkEnd w:id="4"/>
      <w:bookmarkEnd w:id="5"/>
      <w:r>
        <w:rPr>
          <w:lang w:val="en-US"/>
        </w:rPr>
        <w:t xml:space="preserve"> </w:t>
      </w:r>
      <w:r w:rsidR="00CE193F" w:rsidRPr="00CE193F">
        <w:rPr>
          <w:lang w:val="en-US"/>
        </w:rPr>
        <w:t>3</w:t>
      </w:r>
    </w:p>
    <w:p w:rsidR="00CE193F" w:rsidRPr="00CE193F" w:rsidRDefault="00CE193F" w:rsidP="007E22AC">
      <w:pPr>
        <w:pStyle w:val="Tabletitle"/>
        <w:rPr>
          <w:b w:val="0"/>
          <w:lang w:val="en-US"/>
        </w:rPr>
      </w:pPr>
      <w:r w:rsidRPr="00CE193F">
        <w:rPr>
          <w:lang w:val="en-US"/>
        </w:rPr>
        <w:t>RNSS parameter descriptions relevant to Recommendations ITU</w:t>
      </w:r>
      <w:r w:rsidRPr="00CE193F">
        <w:rPr>
          <w:lang w:val="en-US"/>
        </w:rPr>
        <w:noBreakHyphen/>
        <w:t>R M.</w:t>
      </w:r>
      <w:r w:rsidR="007E22AC">
        <w:rPr>
          <w:lang w:val="en-US"/>
        </w:rPr>
        <w:t>1905</w:t>
      </w:r>
      <w:r w:rsidRPr="00CE193F">
        <w:rPr>
          <w:lang w:val="en-US"/>
        </w:rPr>
        <w:t>, ITU</w:t>
      </w:r>
      <w:r w:rsidRPr="00CE193F">
        <w:rPr>
          <w:lang w:val="en-US"/>
        </w:rPr>
        <w:noBreakHyphen/>
        <w:t>R M.</w:t>
      </w:r>
      <w:r w:rsidR="007E22AC">
        <w:rPr>
          <w:lang w:val="en-US"/>
        </w:rPr>
        <w:t>1902</w:t>
      </w:r>
      <w:r w:rsidRPr="00CE193F">
        <w:rPr>
          <w:lang w:val="en-US"/>
        </w:rPr>
        <w:t xml:space="preserve">, </w:t>
      </w:r>
      <w:r w:rsidRPr="00CE193F">
        <w:rPr>
          <w:lang w:val="en-US"/>
        </w:rPr>
        <w:br/>
        <w:t>ITU</w:t>
      </w:r>
      <w:r w:rsidRPr="00CE193F">
        <w:rPr>
          <w:lang w:val="en-US"/>
        </w:rPr>
        <w:noBreakHyphen/>
        <w:t>R M.</w:t>
      </w:r>
      <w:r w:rsidR="007E22AC">
        <w:rPr>
          <w:lang w:val="en-US"/>
        </w:rPr>
        <w:t>1903</w:t>
      </w:r>
      <w:r w:rsidRPr="00CE193F">
        <w:rPr>
          <w:lang w:val="en-US"/>
        </w:rPr>
        <w:t xml:space="preserve"> and ITU</w:t>
      </w:r>
      <w:r w:rsidRPr="00CE193F">
        <w:rPr>
          <w:lang w:val="en-US"/>
        </w:rPr>
        <w:noBreakHyphen/>
        <w:t>R M.</w:t>
      </w:r>
      <w:r w:rsidR="007E22AC">
        <w:rPr>
          <w:lang w:val="en-US"/>
        </w:rPr>
        <w:t>1904</w:t>
      </w:r>
      <w:r w:rsidRPr="00CE193F">
        <w:rPr>
          <w:b w:val="0"/>
          <w:lang w:val="en-US"/>
        </w:rPr>
        <w:t xml:space="preserve"> </w:t>
      </w:r>
      <w:r w:rsidRPr="005D0B61">
        <w:rPr>
          <w:bCs/>
          <w:lang w:val="en-US"/>
        </w:rPr>
        <w:t>(see Notes 2,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8"/>
      </w:tblGrid>
      <w:tr w:rsidR="00CE193F" w:rsidRPr="007E22AC" w:rsidTr="001E098E">
        <w:trPr>
          <w:cantSplit/>
          <w:tblHeader/>
          <w:jc w:val="center"/>
        </w:trPr>
        <w:tc>
          <w:tcPr>
            <w:tcW w:w="3261" w:type="dxa"/>
            <w:vAlign w:val="center"/>
          </w:tcPr>
          <w:p w:rsidR="00CE193F" w:rsidRPr="007E22AC" w:rsidRDefault="00CE193F" w:rsidP="007E22AC">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 xml:space="preserve">Parameter </w:t>
            </w:r>
          </w:p>
        </w:tc>
        <w:tc>
          <w:tcPr>
            <w:tcW w:w="6378" w:type="dxa"/>
            <w:vAlign w:val="center"/>
          </w:tcPr>
          <w:p w:rsidR="00CE193F" w:rsidRPr="007E22AC" w:rsidRDefault="00CE193F" w:rsidP="005D0B61">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RNSS parameter description</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Signal frequency range (MHz)</w:t>
            </w:r>
          </w:p>
        </w:tc>
        <w:tc>
          <w:tcPr>
            <w:tcW w:w="6378" w:type="dxa"/>
            <w:vAlign w:val="center"/>
          </w:tcPr>
          <w:p w:rsidR="00CE193F" w:rsidRPr="001E098E" w:rsidRDefault="00CE193F" w:rsidP="001E098E">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Frequency range of the RNSS signal of interest. For CDMA systems: carrier frequency ± half the signal bandwidth (unless otherwise noted); for FDMA systems: base frequency + (channel</w:t>
            </w:r>
            <w:r w:rsidR="001E098E">
              <w:rPr>
                <w:rFonts w:asciiTheme="majorBidi" w:eastAsia="MS PGothic" w:hAnsiTheme="majorBidi" w:cstheme="majorBidi"/>
                <w:lang w:val="en-US"/>
              </w:rPr>
              <w:t> </w:t>
            </w:r>
            <w:r w:rsidRPr="007E22AC">
              <w:rPr>
                <w:rFonts w:asciiTheme="majorBidi" w:eastAsia="MS PGothic" w:hAnsiTheme="majorBidi" w:cstheme="majorBidi"/>
                <w:lang w:val="en-US"/>
              </w:rPr>
              <w:t>number</w:t>
            </w:r>
            <w:r w:rsidR="001E098E">
              <w:rPr>
                <w:rFonts w:asciiTheme="majorBidi" w:eastAsia="MS PGothic" w:hAnsiTheme="majorBidi" w:cstheme="majorBidi"/>
                <w:lang w:val="en-US"/>
              </w:rPr>
              <w:t> </w:t>
            </w:r>
            <w:r w:rsidRPr="007E22AC">
              <w:rPr>
                <w:rFonts w:asciiTheme="majorBidi" w:eastAsia="MS PGothic" w:hAnsiTheme="majorBidi" w:cstheme="majorBidi"/>
                <w:lang w:val="en-US"/>
              </w:rPr>
              <w:t>*</w:t>
            </w:r>
            <w:r w:rsidR="001E098E">
              <w:rPr>
                <w:rFonts w:asciiTheme="majorBidi" w:eastAsia="MS PGothic" w:hAnsiTheme="majorBidi" w:cstheme="majorBidi"/>
                <w:lang w:val="en-US"/>
              </w:rPr>
              <w:t> </w:t>
            </w:r>
            <w:r w:rsidRPr="007E22AC">
              <w:rPr>
                <w:rFonts w:asciiTheme="majorBidi" w:eastAsia="MS PGothic" w:hAnsiTheme="majorBidi" w:cstheme="majorBidi"/>
                <w:lang w:val="en-US"/>
              </w:rPr>
              <w:t>channel spacing</w:t>
            </w:r>
            <w:r w:rsidR="007E22AC">
              <w:rPr>
                <w:rFonts w:asciiTheme="majorBidi" w:eastAsia="MS PGothic" w:hAnsiTheme="majorBidi" w:cstheme="majorBidi"/>
                <w:lang w:val="en-US"/>
              </w:rPr>
              <w:t xml:space="preserve">) ± half the signal bandwidth. </w:t>
            </w:r>
            <w:r w:rsidRPr="001E098E">
              <w:rPr>
                <w:rFonts w:asciiTheme="majorBidi" w:eastAsia="MS PGothic" w:hAnsiTheme="majorBidi" w:cstheme="majorBidi"/>
                <w:lang w:val="en-US"/>
              </w:rPr>
              <w:t>Channel number range should also be given.</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Maximum receiver antenna gain in upper hemisphere (dBi)</w:t>
            </w:r>
          </w:p>
        </w:tc>
        <w:tc>
          <w:tcPr>
            <w:tcW w:w="6378" w:type="dxa"/>
            <w:vAlign w:val="center"/>
          </w:tcPr>
          <w:p w:rsidR="00CE193F" w:rsidRPr="007E22AC" w:rsidRDefault="00CE193F" w:rsidP="00182746">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Maximum receiver antenna gain in upper hemisphere with the specified polarization.</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Maximum receiver antenna gain in lower hemisphere (dBi)</w:t>
            </w:r>
          </w:p>
        </w:tc>
        <w:tc>
          <w:tcPr>
            <w:tcW w:w="6378" w:type="dxa"/>
            <w:vAlign w:val="center"/>
          </w:tcPr>
          <w:p w:rsidR="00CE193F" w:rsidRPr="007E22AC" w:rsidRDefault="00CE193F" w:rsidP="00182746">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Maximum receiver antenna gain in lower hemisphere with the specified polarization.</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RF filter 3 dB bandwidth (MHz)</w:t>
            </w:r>
          </w:p>
        </w:tc>
        <w:tc>
          <w:tcPr>
            <w:tcW w:w="6378" w:type="dxa"/>
            <w:vAlign w:val="center"/>
          </w:tcPr>
          <w:p w:rsidR="00CE193F" w:rsidRPr="007E22AC" w:rsidRDefault="00CE193F" w:rsidP="00182746">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Bandwidth between the 3 dB down points of the receiver’s front-end RF bandpass filter.</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rPr>
            </w:pPr>
            <w:r w:rsidRPr="007E22AC">
              <w:rPr>
                <w:rFonts w:asciiTheme="majorBidi" w:eastAsia="MS PGothic" w:hAnsiTheme="majorBidi" w:cstheme="majorBidi"/>
              </w:rPr>
              <w:t>Pre-correlation filter 3 dB bandwidth (MHz)</w:t>
            </w:r>
          </w:p>
        </w:tc>
        <w:tc>
          <w:tcPr>
            <w:tcW w:w="6378" w:type="dxa"/>
            <w:vAlign w:val="center"/>
          </w:tcPr>
          <w:p w:rsidR="00CE193F" w:rsidRPr="007E22AC" w:rsidRDefault="00CE193F" w:rsidP="00182746">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Bandwidth between the 3 dB down points of the receiver’s IF bandpass filter (just prior to the correlator).</w:t>
            </w:r>
          </w:p>
        </w:tc>
      </w:tr>
      <w:tr w:rsidR="00CE193F" w:rsidRPr="001E098E" w:rsidTr="001E098E">
        <w:trPr>
          <w:cantSplit/>
          <w:jc w:val="center"/>
        </w:trPr>
        <w:tc>
          <w:tcPr>
            <w:tcW w:w="3261"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Receiver system noise temperature (K)</w:t>
            </w:r>
          </w:p>
        </w:tc>
        <w:tc>
          <w:tcPr>
            <w:tcW w:w="6378" w:type="dxa"/>
            <w:vAlign w:val="center"/>
          </w:tcPr>
          <w:p w:rsidR="00CE193F" w:rsidRPr="007E22AC" w:rsidRDefault="00CE193F" w:rsidP="00182746">
            <w:pPr>
              <w:pStyle w:val="Tabletext"/>
              <w:keepNext/>
              <w:keepLines/>
              <w:jc w:val="left"/>
              <w:rPr>
                <w:rFonts w:asciiTheme="majorBidi" w:eastAsia="MS PGothic" w:hAnsiTheme="majorBidi" w:cstheme="majorBidi"/>
                <w:lang w:val="en-US"/>
              </w:rPr>
            </w:pPr>
            <w:r w:rsidRPr="007E22AC">
              <w:rPr>
                <w:rFonts w:asciiTheme="majorBidi" w:eastAsia="MS PGothic" w:hAnsiTheme="majorBidi" w:cstheme="majorBidi"/>
                <w:lang w:val="en-US"/>
              </w:rPr>
              <w:t>Combination of receiver equivalent input noise temperature and antenna equivalent noise temperature.</w:t>
            </w:r>
          </w:p>
        </w:tc>
      </w:tr>
    </w:tbl>
    <w:p w:rsidR="005D0B61" w:rsidRDefault="005D0B61" w:rsidP="00B21B1E">
      <w:pPr>
        <w:pStyle w:val="Tablefin"/>
      </w:pPr>
    </w:p>
    <w:p w:rsidR="0049321E" w:rsidRPr="00CE193F" w:rsidRDefault="0049321E" w:rsidP="0049321E">
      <w:pPr>
        <w:pStyle w:val="TableNo"/>
        <w:rPr>
          <w:lang w:val="en-US"/>
        </w:rPr>
      </w:pPr>
      <w:r w:rsidRPr="00CE193F">
        <w:rPr>
          <w:lang w:val="en-US"/>
        </w:rPr>
        <w:t xml:space="preserve">TABLE </w:t>
      </w:r>
      <w:r>
        <w:rPr>
          <w:lang w:val="en-US"/>
        </w:rPr>
        <w:t xml:space="preserve"> </w:t>
      </w:r>
      <w:r w:rsidRPr="00CE193F">
        <w:rPr>
          <w:lang w:val="en-US"/>
        </w:rPr>
        <w:t>3</w:t>
      </w:r>
      <w:r>
        <w:rPr>
          <w:lang w:val="en-US"/>
        </w:rPr>
        <w:t xml:space="preserve"> </w:t>
      </w:r>
      <w:r w:rsidRPr="0049321E">
        <w:rPr>
          <w:i/>
          <w:iCs/>
          <w:lang w:val="en-US"/>
        </w:rPr>
        <w:t>(continued)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49321E" w:rsidRPr="007E22AC" w:rsidTr="001E098E">
        <w:trPr>
          <w:cantSplit/>
          <w:tblHeader/>
          <w:jc w:val="center"/>
        </w:trPr>
        <w:tc>
          <w:tcPr>
            <w:tcW w:w="3402" w:type="dxa"/>
            <w:vAlign w:val="center"/>
          </w:tcPr>
          <w:p w:rsidR="0049321E" w:rsidRPr="007E22AC" w:rsidRDefault="0049321E" w:rsidP="005D0B61">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 xml:space="preserve">Parameter </w:t>
            </w:r>
          </w:p>
        </w:tc>
        <w:tc>
          <w:tcPr>
            <w:tcW w:w="6237" w:type="dxa"/>
            <w:vAlign w:val="center"/>
          </w:tcPr>
          <w:p w:rsidR="0049321E" w:rsidRPr="007E22AC" w:rsidRDefault="0049321E" w:rsidP="00182746">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RNSS parameter description</w:t>
            </w:r>
          </w:p>
        </w:tc>
      </w:tr>
      <w:tr w:rsidR="00CE193F" w:rsidRPr="00865AE4" w:rsidTr="001E098E">
        <w:trPr>
          <w:cantSplit/>
          <w:jc w:val="center"/>
        </w:trPr>
        <w:tc>
          <w:tcPr>
            <w:tcW w:w="3402"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Tracking mode threshold power level of aggregate narrow-band interference at the passive antenna output (dBW)</w:t>
            </w:r>
          </w:p>
        </w:tc>
        <w:tc>
          <w:tcPr>
            <w:tcW w:w="6237" w:type="dxa"/>
            <w:vAlign w:val="center"/>
          </w:tcPr>
          <w:p w:rsidR="00CE193F" w:rsidRPr="007E22AC" w:rsidRDefault="00CE193F" w:rsidP="00182746">
            <w:pPr>
              <w:pStyle w:val="Tabletext"/>
              <w:jc w:val="left"/>
              <w:rPr>
                <w:rFonts w:asciiTheme="majorBidi" w:eastAsia="MS PGothic" w:hAnsiTheme="majorBidi" w:cstheme="majorBidi"/>
              </w:rPr>
            </w:pPr>
            <w:r w:rsidRPr="007E22AC">
              <w:rPr>
                <w:rFonts w:asciiTheme="majorBidi" w:eastAsia="MS PGothic" w:hAnsiTheme="majorBidi" w:cstheme="majorBidi"/>
                <w:lang w:val="en-US"/>
              </w:rPr>
              <w:t xml:space="preserve">The minimum narrow-band interference power level (referenced to the passive antenna output and within the RF filter bandwidth) at which the receiver loses track of a desired signal at the specified minimum received power level with a specific probability (i.e. cannot remain in track mode with the corresponding probability). This assumes the receiver had already acquired the desired signal and was tracking until the point at which the interference exceeds this threshold and the receiver fails to track properly (e.g. navigation data can no longer be properly demodulated). </w:t>
            </w:r>
            <w:r w:rsidRPr="007E22AC">
              <w:rPr>
                <w:rFonts w:asciiTheme="majorBidi" w:eastAsia="MS PGothic" w:hAnsiTheme="majorBidi" w:cstheme="majorBidi"/>
              </w:rPr>
              <w:t>(See Note 1.)</w:t>
            </w:r>
          </w:p>
        </w:tc>
      </w:tr>
      <w:tr w:rsidR="00CE193F" w:rsidRPr="00865AE4" w:rsidTr="001E098E">
        <w:trPr>
          <w:cantSplit/>
          <w:jc w:val="center"/>
        </w:trPr>
        <w:tc>
          <w:tcPr>
            <w:tcW w:w="3402"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Acquisition mode threshold power level of aggregate narrow-band interference at the passive antenna output (dBW)</w:t>
            </w:r>
          </w:p>
        </w:tc>
        <w:tc>
          <w:tcPr>
            <w:tcW w:w="6237" w:type="dxa"/>
            <w:vAlign w:val="center"/>
          </w:tcPr>
          <w:p w:rsidR="00CE193F" w:rsidRPr="007E22AC" w:rsidRDefault="00CE193F" w:rsidP="00182746">
            <w:pPr>
              <w:pStyle w:val="Tabletext"/>
              <w:jc w:val="left"/>
              <w:rPr>
                <w:rFonts w:asciiTheme="majorBidi" w:eastAsia="MS PGothic" w:hAnsiTheme="majorBidi" w:cstheme="majorBidi"/>
              </w:rPr>
            </w:pPr>
            <w:r w:rsidRPr="007E22AC">
              <w:rPr>
                <w:rFonts w:asciiTheme="majorBidi" w:eastAsia="MS PGothic" w:hAnsiTheme="majorBidi" w:cstheme="majorBidi"/>
                <w:lang w:val="en-US"/>
              </w:rPr>
              <w:t xml:space="preserve">The minimum narrow-band interference power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w:t>
            </w:r>
            <w:r w:rsidRPr="007E22AC">
              <w:rPr>
                <w:rFonts w:asciiTheme="majorBidi" w:eastAsia="MS PGothic" w:hAnsiTheme="majorBidi" w:cstheme="majorBidi"/>
              </w:rPr>
              <w:t>(See Note 1.)</w:t>
            </w:r>
          </w:p>
        </w:tc>
      </w:tr>
      <w:tr w:rsidR="00CE193F" w:rsidRPr="00865AE4" w:rsidTr="001E098E">
        <w:trPr>
          <w:cantSplit/>
          <w:jc w:val="center"/>
        </w:trPr>
        <w:tc>
          <w:tcPr>
            <w:tcW w:w="3402"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Tracking mode threshold power density level of aggregate wideband interference at the passive antenna output (dB(W/MHz))</w:t>
            </w:r>
          </w:p>
        </w:tc>
        <w:tc>
          <w:tcPr>
            <w:tcW w:w="6237" w:type="dxa"/>
            <w:vAlign w:val="center"/>
          </w:tcPr>
          <w:p w:rsidR="00CE193F" w:rsidRPr="007E22AC" w:rsidRDefault="00CE193F" w:rsidP="001E098E">
            <w:pPr>
              <w:pStyle w:val="Tabletext"/>
              <w:jc w:val="left"/>
              <w:rPr>
                <w:rFonts w:asciiTheme="majorBidi" w:eastAsia="MS PGothic" w:hAnsiTheme="majorBidi" w:cstheme="majorBidi"/>
              </w:rPr>
            </w:pPr>
            <w:r w:rsidRPr="007E22AC">
              <w:rPr>
                <w:rFonts w:asciiTheme="majorBidi" w:eastAsia="MS PGothic" w:hAnsiTheme="majorBidi" w:cstheme="majorBidi"/>
                <w:lang w:val="en-US"/>
              </w:rPr>
              <w:t>The minimum wideband interference power density level (referenced to the passive antenna output and within the RF filter bandwidth) at which the receiver loses track of a desired signal at the specified minimum received power level with a specified probability (i.e. cannot remain in tracking mode with the corresponding probability). This assumes the receiver has already acquired the desired signal and was tracking until the point at which the interference exceeds this threshold and the receiver fails to track properly (e.g. navigation data can no longer be properly demodulated). For purposes of determining this value, assume the aggregate interference is white Gaussian noise over the entire pre</w:t>
            </w:r>
            <w:r w:rsidRPr="007E22AC">
              <w:rPr>
                <w:rFonts w:asciiTheme="majorBidi" w:eastAsia="MS PGothic" w:hAnsiTheme="majorBidi" w:cstheme="majorBidi"/>
                <w:lang w:val="en-US"/>
              </w:rPr>
              <w:noBreakHyphen/>
              <w:t xml:space="preserve">correlation filter 3 dB bandwidth. </w:t>
            </w:r>
            <w:r w:rsidRPr="007E22AC">
              <w:rPr>
                <w:rFonts w:asciiTheme="majorBidi" w:eastAsia="MS PGothic" w:hAnsiTheme="majorBidi" w:cstheme="majorBidi"/>
              </w:rPr>
              <w:t>(See</w:t>
            </w:r>
            <w:r w:rsidR="001E098E">
              <w:rPr>
                <w:rFonts w:asciiTheme="majorBidi" w:eastAsia="MS PGothic" w:hAnsiTheme="majorBidi" w:cstheme="majorBidi"/>
              </w:rPr>
              <w:t> </w:t>
            </w:r>
            <w:r w:rsidRPr="007E22AC">
              <w:rPr>
                <w:rFonts w:asciiTheme="majorBidi" w:eastAsia="MS PGothic" w:hAnsiTheme="majorBidi" w:cstheme="majorBidi"/>
              </w:rPr>
              <w:t>Note 1.)</w:t>
            </w:r>
          </w:p>
        </w:tc>
      </w:tr>
      <w:tr w:rsidR="00CE193F" w:rsidRPr="00865AE4" w:rsidTr="001E098E">
        <w:trPr>
          <w:cantSplit/>
          <w:jc w:val="center"/>
        </w:trPr>
        <w:tc>
          <w:tcPr>
            <w:tcW w:w="3402" w:type="dxa"/>
          </w:tcPr>
          <w:p w:rsidR="00CE193F" w:rsidRPr="007E22AC" w:rsidRDefault="00CE193F" w:rsidP="007E22AC">
            <w:pPr>
              <w:pStyle w:val="Tabletext"/>
              <w:jc w:val="left"/>
              <w:rPr>
                <w:rFonts w:asciiTheme="majorBidi" w:eastAsia="MS PGothic" w:hAnsiTheme="majorBidi" w:cstheme="majorBidi"/>
                <w:lang w:val="en-US"/>
              </w:rPr>
            </w:pPr>
            <w:r w:rsidRPr="007E22AC">
              <w:rPr>
                <w:rFonts w:asciiTheme="majorBidi" w:eastAsia="MS PGothic" w:hAnsiTheme="majorBidi" w:cstheme="majorBidi"/>
                <w:lang w:val="en-US"/>
              </w:rPr>
              <w:t xml:space="preserve">Acquisition mode threshold power density level of aggregate wideband interference at the passive antenna output (dB(W/MHz)) </w:t>
            </w:r>
          </w:p>
        </w:tc>
        <w:tc>
          <w:tcPr>
            <w:tcW w:w="6237" w:type="dxa"/>
            <w:vAlign w:val="center"/>
          </w:tcPr>
          <w:p w:rsidR="00CE193F" w:rsidRPr="007E22AC" w:rsidRDefault="00CE193F" w:rsidP="00182746">
            <w:pPr>
              <w:pStyle w:val="Tabletext"/>
              <w:jc w:val="left"/>
              <w:rPr>
                <w:rFonts w:asciiTheme="majorBidi" w:eastAsia="MS PGothic" w:hAnsiTheme="majorBidi" w:cstheme="majorBidi"/>
              </w:rPr>
            </w:pPr>
            <w:r w:rsidRPr="007E22AC">
              <w:rPr>
                <w:rFonts w:asciiTheme="majorBidi" w:eastAsia="MS PGothic" w:hAnsiTheme="majorBidi" w:cstheme="majorBidi"/>
                <w:lang w:val="en-US"/>
              </w:rPr>
              <w:t xml:space="preserve">The minimum wideband interference power density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For purposes of determining this value, assume the aggregate interference is white Gaussian noise over the entire pre-correlation filter 3 dB bandwidth. </w:t>
            </w:r>
            <w:r w:rsidRPr="007E22AC">
              <w:rPr>
                <w:rFonts w:asciiTheme="majorBidi" w:eastAsia="MS PGothic" w:hAnsiTheme="majorBidi" w:cstheme="majorBidi"/>
              </w:rPr>
              <w:t>(See Note 1</w:t>
            </w:r>
            <w:r w:rsidR="005D0B61">
              <w:rPr>
                <w:rFonts w:asciiTheme="majorBidi" w:eastAsia="MS PGothic" w:hAnsiTheme="majorBidi" w:cstheme="majorBidi"/>
              </w:rPr>
              <w:t>.</w:t>
            </w:r>
            <w:r w:rsidRPr="007E22AC">
              <w:rPr>
                <w:rFonts w:asciiTheme="majorBidi" w:eastAsia="MS PGothic" w:hAnsiTheme="majorBidi" w:cstheme="majorBidi"/>
              </w:rPr>
              <w:t>)</w:t>
            </w:r>
          </w:p>
        </w:tc>
      </w:tr>
      <w:tr w:rsidR="00CE193F" w:rsidRPr="001E098E" w:rsidTr="001E098E">
        <w:trPr>
          <w:cantSplit/>
          <w:jc w:val="center"/>
        </w:trPr>
        <w:tc>
          <w:tcPr>
            <w:tcW w:w="3402" w:type="dxa"/>
          </w:tcPr>
          <w:p w:rsidR="00CE193F" w:rsidRPr="000C1C86" w:rsidRDefault="00CE193F" w:rsidP="000C1C86">
            <w:pPr>
              <w:pStyle w:val="Tabletext"/>
              <w:jc w:val="left"/>
              <w:rPr>
                <w:rFonts w:asciiTheme="majorBidi" w:hAnsiTheme="majorBidi" w:cstheme="majorBidi"/>
                <w:snapToGrid w:val="0"/>
                <w:lang w:val="en-US"/>
              </w:rPr>
            </w:pPr>
            <w:r w:rsidRPr="000C1C86">
              <w:rPr>
                <w:rFonts w:asciiTheme="majorBidi" w:hAnsiTheme="majorBidi" w:cstheme="majorBidi"/>
                <w:lang w:val="en-US"/>
              </w:rPr>
              <w:t>Receiver input compression level (dBW)</w:t>
            </w:r>
          </w:p>
        </w:tc>
        <w:tc>
          <w:tcPr>
            <w:tcW w:w="6237" w:type="dxa"/>
            <w:vAlign w:val="center"/>
          </w:tcPr>
          <w:p w:rsidR="00CE193F" w:rsidRPr="000C1C86" w:rsidRDefault="00CE193F" w:rsidP="00182746">
            <w:pPr>
              <w:pStyle w:val="Tabletext"/>
              <w:jc w:val="left"/>
              <w:rPr>
                <w:rFonts w:asciiTheme="majorBidi" w:eastAsia="MS PGothic" w:hAnsiTheme="majorBidi" w:cstheme="majorBidi"/>
                <w:lang w:val="en-US"/>
              </w:rPr>
            </w:pPr>
            <w:r w:rsidRPr="000C1C86">
              <w:rPr>
                <w:rFonts w:asciiTheme="majorBidi" w:eastAsia="MS PGothic" w:hAnsiTheme="majorBidi" w:cstheme="majorBidi"/>
                <w:lang w:val="en-US"/>
              </w:rPr>
              <w:t>The minimum level at the output of the passive antenna at which the receiver linear gain is compressed.</w:t>
            </w:r>
          </w:p>
        </w:tc>
      </w:tr>
    </w:tbl>
    <w:p w:rsidR="00C77658" w:rsidRPr="00FD5912" w:rsidRDefault="00C77658" w:rsidP="00C77658">
      <w:pPr>
        <w:pStyle w:val="Tablefin"/>
        <w:rPr>
          <w:lang w:val="en-US"/>
        </w:rPr>
      </w:pPr>
    </w:p>
    <w:p w:rsidR="00C77658" w:rsidRDefault="00C77658" w:rsidP="0049321E">
      <w:pPr>
        <w:pStyle w:val="TableNo"/>
        <w:rPr>
          <w:lang w:val="en-US"/>
        </w:rPr>
      </w:pPr>
      <w:r>
        <w:rPr>
          <w:lang w:val="en-US"/>
        </w:rPr>
        <w:br w:type="page"/>
      </w:r>
    </w:p>
    <w:p w:rsidR="0049321E" w:rsidRPr="00CE193F" w:rsidRDefault="0049321E" w:rsidP="0049321E">
      <w:pPr>
        <w:pStyle w:val="TableNo"/>
        <w:rPr>
          <w:lang w:val="en-US"/>
        </w:rPr>
      </w:pPr>
      <w:r w:rsidRPr="00CE193F">
        <w:rPr>
          <w:lang w:val="en-US"/>
        </w:rPr>
        <w:t xml:space="preserve">TABLE </w:t>
      </w:r>
      <w:r>
        <w:rPr>
          <w:lang w:val="en-US"/>
        </w:rPr>
        <w:t xml:space="preserve"> </w:t>
      </w:r>
      <w:r w:rsidRPr="00CE193F">
        <w:rPr>
          <w:lang w:val="en-US"/>
        </w:rPr>
        <w:t>3</w:t>
      </w:r>
      <w:r>
        <w:rPr>
          <w:lang w:val="en-US"/>
        </w:rPr>
        <w:t xml:space="preserve"> </w:t>
      </w:r>
      <w:r w:rsidRPr="0049321E">
        <w:rPr>
          <w:i/>
          <w:iCs/>
          <w:lang w:val="en-US"/>
        </w:rPr>
        <w:t>(</w:t>
      </w:r>
      <w:r>
        <w:rPr>
          <w:i/>
          <w:iCs/>
          <w:lang w:val="en-US"/>
        </w:rPr>
        <w:t>end</w:t>
      </w:r>
      <w:r w:rsidRPr="0049321E">
        <w:rPr>
          <w:i/>
          <w:iCs/>
          <w:lang w:val="en-US"/>
        </w:rPr>
        <w:t>)</w:t>
      </w:r>
    </w:p>
    <w:tbl>
      <w:tblPr>
        <w:tblW w:w="9639" w:type="dxa"/>
        <w:jc w:val="center"/>
        <w:tblLayout w:type="fixed"/>
        <w:tblLook w:val="04A0" w:firstRow="1" w:lastRow="0" w:firstColumn="1" w:lastColumn="0" w:noHBand="0" w:noVBand="1"/>
      </w:tblPr>
      <w:tblGrid>
        <w:gridCol w:w="3402"/>
        <w:gridCol w:w="6237"/>
      </w:tblGrid>
      <w:tr w:rsidR="0049321E" w:rsidRPr="007E22AC" w:rsidTr="001E098E">
        <w:trPr>
          <w:cantSplit/>
          <w:tblHeader/>
          <w:jc w:val="center"/>
        </w:trPr>
        <w:tc>
          <w:tcPr>
            <w:tcW w:w="3402" w:type="dxa"/>
            <w:tcBorders>
              <w:top w:val="single" w:sz="4" w:space="0" w:color="auto"/>
              <w:left w:val="single" w:sz="4" w:space="0" w:color="auto"/>
              <w:bottom w:val="single" w:sz="4" w:space="0" w:color="auto"/>
              <w:right w:val="single" w:sz="4" w:space="0" w:color="auto"/>
            </w:tcBorders>
            <w:vAlign w:val="center"/>
          </w:tcPr>
          <w:p w:rsidR="0049321E" w:rsidRPr="007E22AC" w:rsidRDefault="0049321E" w:rsidP="005D0B61">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 xml:space="preserve">Parameter </w:t>
            </w:r>
          </w:p>
        </w:tc>
        <w:tc>
          <w:tcPr>
            <w:tcW w:w="6237" w:type="dxa"/>
            <w:tcBorders>
              <w:top w:val="single" w:sz="4" w:space="0" w:color="auto"/>
              <w:left w:val="single" w:sz="4" w:space="0" w:color="auto"/>
              <w:bottom w:val="single" w:sz="4" w:space="0" w:color="auto"/>
              <w:right w:val="single" w:sz="4" w:space="0" w:color="auto"/>
            </w:tcBorders>
            <w:vAlign w:val="center"/>
          </w:tcPr>
          <w:p w:rsidR="0049321E" w:rsidRPr="007E22AC" w:rsidRDefault="0049321E" w:rsidP="005D0B61">
            <w:pPr>
              <w:pStyle w:val="Tablehead"/>
              <w:rPr>
                <w:rFonts w:asciiTheme="majorBidi" w:eastAsia="MS PGothic" w:hAnsiTheme="majorBidi" w:cstheme="majorBidi"/>
                <w:lang w:val="en-US"/>
              </w:rPr>
            </w:pPr>
            <w:r w:rsidRPr="007E22AC">
              <w:rPr>
                <w:rFonts w:asciiTheme="majorBidi" w:eastAsia="MS PGothic" w:hAnsiTheme="majorBidi" w:cstheme="majorBidi"/>
                <w:lang w:val="en-US"/>
              </w:rPr>
              <w:t>RNSS parameter description</w:t>
            </w:r>
          </w:p>
        </w:tc>
      </w:tr>
      <w:tr w:rsidR="00CE193F" w:rsidRPr="001E098E" w:rsidTr="001E098E">
        <w:trPr>
          <w:cantSplit/>
          <w:jc w:val="center"/>
        </w:trPr>
        <w:tc>
          <w:tcPr>
            <w:tcW w:w="3402" w:type="dxa"/>
            <w:tcBorders>
              <w:top w:val="single" w:sz="4" w:space="0" w:color="auto"/>
              <w:left w:val="single" w:sz="4" w:space="0" w:color="auto"/>
              <w:bottom w:val="single" w:sz="4" w:space="0" w:color="auto"/>
              <w:right w:val="single" w:sz="4" w:space="0" w:color="auto"/>
            </w:tcBorders>
          </w:tcPr>
          <w:p w:rsidR="00CE193F" w:rsidRPr="000C1C86" w:rsidRDefault="00CE193F" w:rsidP="00BA03A9">
            <w:pPr>
              <w:pStyle w:val="Tabletext"/>
              <w:jc w:val="left"/>
              <w:rPr>
                <w:snapToGrid w:val="0"/>
              </w:rPr>
            </w:pPr>
            <w:r w:rsidRPr="000C1C86">
              <w:t>Receiver survival level (dBW)</w:t>
            </w:r>
          </w:p>
        </w:tc>
        <w:tc>
          <w:tcPr>
            <w:tcW w:w="6237" w:type="dxa"/>
            <w:tcBorders>
              <w:top w:val="single" w:sz="4" w:space="0" w:color="auto"/>
              <w:left w:val="single" w:sz="4" w:space="0" w:color="auto"/>
              <w:bottom w:val="single" w:sz="4" w:space="0" w:color="auto"/>
              <w:right w:val="single" w:sz="4" w:space="0" w:color="auto"/>
            </w:tcBorders>
            <w:vAlign w:val="center"/>
          </w:tcPr>
          <w:p w:rsidR="00CE193F" w:rsidRPr="000C1C86" w:rsidRDefault="00CE193F" w:rsidP="00BA03A9">
            <w:pPr>
              <w:pStyle w:val="Tabletext"/>
              <w:jc w:val="left"/>
              <w:rPr>
                <w:rFonts w:eastAsia="MS PGothic"/>
                <w:lang w:val="en-US"/>
              </w:rPr>
            </w:pPr>
            <w:r w:rsidRPr="000C1C86">
              <w:rPr>
                <w:rFonts w:eastAsia="MS PGothic"/>
                <w:lang w:val="en-US"/>
              </w:rPr>
              <w:t>The maximum power level at the output of the passive antenna at which the receiver must survive without component failure.</w:t>
            </w:r>
          </w:p>
        </w:tc>
      </w:tr>
      <w:tr w:rsidR="00CE193F" w:rsidRPr="001E098E" w:rsidTr="001E098E">
        <w:trPr>
          <w:cantSplit/>
          <w:jc w:val="center"/>
        </w:trPr>
        <w:tc>
          <w:tcPr>
            <w:tcW w:w="3402" w:type="dxa"/>
            <w:tcBorders>
              <w:top w:val="single" w:sz="4" w:space="0" w:color="auto"/>
              <w:left w:val="single" w:sz="4" w:space="0" w:color="auto"/>
              <w:bottom w:val="single" w:sz="4" w:space="0" w:color="auto"/>
              <w:right w:val="single" w:sz="4" w:space="0" w:color="auto"/>
            </w:tcBorders>
          </w:tcPr>
          <w:p w:rsidR="00CE193F" w:rsidRPr="000C1C86" w:rsidRDefault="00CE193F" w:rsidP="00BA03A9">
            <w:pPr>
              <w:pStyle w:val="Tabletext"/>
              <w:jc w:val="left"/>
              <w:rPr>
                <w:snapToGrid w:val="0"/>
              </w:rPr>
            </w:pPr>
            <w:r w:rsidRPr="000C1C86">
              <w:t>Overload recovery time (s)</w:t>
            </w:r>
          </w:p>
        </w:tc>
        <w:tc>
          <w:tcPr>
            <w:tcW w:w="6237" w:type="dxa"/>
            <w:tcBorders>
              <w:top w:val="single" w:sz="4" w:space="0" w:color="auto"/>
              <w:left w:val="single" w:sz="4" w:space="0" w:color="auto"/>
              <w:bottom w:val="single" w:sz="4" w:space="0" w:color="auto"/>
              <w:right w:val="single" w:sz="4" w:space="0" w:color="auto"/>
            </w:tcBorders>
            <w:vAlign w:val="center"/>
          </w:tcPr>
          <w:p w:rsidR="00CE193F" w:rsidRPr="000C1C86" w:rsidRDefault="00CE193F" w:rsidP="00BA03A9">
            <w:pPr>
              <w:pStyle w:val="Tabletext"/>
              <w:jc w:val="left"/>
              <w:rPr>
                <w:rFonts w:eastAsia="MS PGothic"/>
                <w:lang w:val="en-US"/>
              </w:rPr>
            </w:pPr>
            <w:r w:rsidRPr="000C1C86">
              <w:rPr>
                <w:rFonts w:eastAsia="MS PGothic"/>
                <w:lang w:val="en-US"/>
              </w:rPr>
              <w:t>The maximum time duration for the receiver to return to a steady</w:t>
            </w:r>
            <w:r w:rsidR="001E098E">
              <w:rPr>
                <w:rFonts w:eastAsia="MS PGothic"/>
                <w:lang w:val="en-US"/>
              </w:rPr>
              <w:noBreakHyphen/>
            </w:r>
            <w:r w:rsidRPr="000C1C86">
              <w:rPr>
                <w:rFonts w:eastAsia="MS PGothic"/>
                <w:lang w:val="en-US"/>
              </w:rPr>
              <w:t>state transfer function performance after a signal exceeding the receiver input compression level drops below that level.</w:t>
            </w:r>
          </w:p>
        </w:tc>
      </w:tr>
      <w:tr w:rsidR="00CE193F" w:rsidRPr="001E098E" w:rsidTr="001E098E">
        <w:trPr>
          <w:cantSplit/>
          <w:jc w:val="center"/>
        </w:trPr>
        <w:tc>
          <w:tcPr>
            <w:tcW w:w="9639" w:type="dxa"/>
            <w:gridSpan w:val="2"/>
            <w:tcBorders>
              <w:top w:val="single" w:sz="4" w:space="0" w:color="auto"/>
              <w:left w:val="nil"/>
              <w:bottom w:val="nil"/>
              <w:right w:val="nil"/>
            </w:tcBorders>
          </w:tcPr>
          <w:p w:rsidR="00CE193F" w:rsidRPr="00E20174" w:rsidRDefault="00CE193F" w:rsidP="005B5BEC">
            <w:pPr>
              <w:pStyle w:val="Tablelegend"/>
              <w:ind w:left="-85" w:firstLine="0"/>
            </w:pPr>
            <w:r w:rsidRPr="00E20174">
              <w:t>NOTE 1 – Unless otherwise specified, based on modulation parameters of the RNSS signal of interest, narrow-band continuous interference is considered to have a bandwidth less than 700 Hz, and wideband continuous interference is considered to have a bandwidth greater than 1 MHz.</w:t>
            </w:r>
          </w:p>
          <w:p w:rsidR="00CE193F" w:rsidRPr="00E20174" w:rsidRDefault="00CE193F" w:rsidP="005B5BEC">
            <w:pPr>
              <w:pStyle w:val="Tablelegend"/>
              <w:ind w:left="-85" w:firstLine="0"/>
            </w:pPr>
            <w:r w:rsidRPr="00E20174">
              <w:t>NOTE 2 – ITU</w:t>
            </w:r>
            <w:r w:rsidRPr="00E20174">
              <w:noBreakHyphen/>
              <w:t xml:space="preserve">R recognizes that it would be useful to know the threshold value(s) of pulse-like interference at the input of a receiver (in tracking mode and acquisition mode). Unfortunately, the nature of these value(s) has yet to be defined. </w:t>
            </w:r>
            <w:bookmarkStart w:id="6" w:name="_GoBack"/>
            <w:bookmarkEnd w:id="6"/>
            <w:r w:rsidRPr="00E20174">
              <w:t xml:space="preserve">Note that power level, pulse width, pulse repetition interval and pulse modulation type (e.g. CW, chirped, Gaussian, etc.) may all be relevant. </w:t>
            </w:r>
          </w:p>
          <w:p w:rsidR="00CE193F" w:rsidRPr="00E20174" w:rsidRDefault="00CE193F" w:rsidP="005B5BEC">
            <w:pPr>
              <w:pStyle w:val="Tablelegend"/>
              <w:ind w:left="-85" w:firstLine="0"/>
              <w:rPr>
                <w:rFonts w:eastAsia="MS PGothic"/>
              </w:rPr>
            </w:pPr>
            <w:r w:rsidRPr="00E20174">
              <w:t>NOTE 3 – For the referenced Recommendations, parameter units should be the same as given in the table unless explicitly noted otherwise.</w:t>
            </w:r>
          </w:p>
        </w:tc>
      </w:tr>
    </w:tbl>
    <w:p w:rsidR="00E20174" w:rsidRPr="00FD5912" w:rsidRDefault="00E20174" w:rsidP="00E20174">
      <w:pPr>
        <w:pStyle w:val="Tablefin"/>
        <w:rPr>
          <w:lang w:val="en-US"/>
        </w:rPr>
      </w:pPr>
    </w:p>
    <w:p w:rsidR="00CE193F" w:rsidRPr="00CE193F" w:rsidRDefault="00CE193F" w:rsidP="00CE193F">
      <w:pPr>
        <w:rPr>
          <w:lang w:val="en-US"/>
        </w:rPr>
      </w:pPr>
    </w:p>
    <w:p w:rsidR="00CE193F" w:rsidRDefault="00CE193F" w:rsidP="00CE193F">
      <w:pPr>
        <w:rPr>
          <w:lang w:val="en-US" w:eastAsia="zh-CN"/>
        </w:rPr>
      </w:pPr>
    </w:p>
    <w:p w:rsidR="00C77658" w:rsidRPr="00CE193F" w:rsidRDefault="00C77658" w:rsidP="00C77658">
      <w:pPr>
        <w:pStyle w:val="Line"/>
        <w:rPr>
          <w:lang w:eastAsia="zh-CN"/>
        </w:rPr>
      </w:pPr>
    </w:p>
    <w:sectPr w:rsidR="00C77658" w:rsidRPr="00CE193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98E" w:rsidRDefault="001E098E">
      <w:r>
        <w:separator/>
      </w:r>
    </w:p>
  </w:endnote>
  <w:endnote w:type="continuationSeparator" w:id="0">
    <w:p w:rsidR="001E098E" w:rsidRDefault="001E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98E" w:rsidRDefault="001E098E">
      <w:r>
        <w:separator/>
      </w:r>
    </w:p>
  </w:footnote>
  <w:footnote w:type="continuationSeparator" w:id="0">
    <w:p w:rsidR="001E098E" w:rsidRDefault="001E0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8E" w:rsidRDefault="001E098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8E" w:rsidRDefault="001E098E" w:rsidP="00B033C8">
    <w:pPr>
      <w:pStyle w:val="Header"/>
      <w:ind w:right="360" w:firstLine="360"/>
    </w:pPr>
    <w:r>
      <w:rPr>
        <w:noProof/>
        <w:lang w:val="en-US" w:eastAsia="zh-CN"/>
      </w:rPr>
      <w:drawing>
        <wp:anchor distT="0" distB="0" distL="114300" distR="114300" simplePos="0" relativeHeight="251657728" behindDoc="1" locked="0" layoutInCell="1" allowOverlap="1" wp14:anchorId="1D8EE45B" wp14:editId="0DDB35D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8E" w:rsidRPr="00FC42AF" w:rsidRDefault="001E098E" w:rsidP="005D0B61">
    <w:pPr>
      <w:pStyle w:val="Header"/>
      <w:jc w:val="both"/>
    </w:pPr>
    <w:r>
      <w:rPr>
        <w:rStyle w:val="PageNumber"/>
        <w:b/>
        <w:bCs/>
      </w:rPr>
      <w:fldChar w:fldCharType="begin"/>
    </w:r>
    <w:r w:rsidRPr="00FC42AF">
      <w:rPr>
        <w:rStyle w:val="PageNumber"/>
        <w:b/>
        <w:bCs/>
      </w:rPr>
      <w:instrText xml:space="preserve"> PAGE </w:instrText>
    </w:r>
    <w:r>
      <w:rPr>
        <w:rStyle w:val="PageNumber"/>
        <w:b/>
        <w:bCs/>
      </w:rPr>
      <w:fldChar w:fldCharType="separate"/>
    </w:r>
    <w:r w:rsidR="005B5BEC">
      <w:rPr>
        <w:rStyle w:val="PageNumber"/>
        <w:b/>
        <w:bCs/>
        <w:noProof/>
      </w:rPr>
      <w:t>4</w:t>
    </w:r>
    <w:r>
      <w:rPr>
        <w:rStyle w:val="PageNumber"/>
        <w:b/>
        <w:bCs/>
      </w:rPr>
      <w:fldChar w:fldCharType="end"/>
    </w:r>
    <w:r w:rsidRPr="00FC42AF">
      <w:tab/>
    </w:r>
    <w:fldSimple w:instr=" DOCPROPERTY &quot;Header&quot; \* MERGEFORMAT ">
      <w:r w:rsidRPr="001E098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B5BEC">
      <w:rPr>
        <w:b/>
        <w:bCs/>
        <w:noProof/>
      </w:rPr>
      <w:t>ITU-R  M.1901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8E" w:rsidRDefault="001E098E" w:rsidP="005D0B61">
    <w:pPr>
      <w:pStyle w:val="Header"/>
      <w:jc w:val="both"/>
    </w:pPr>
    <w:r>
      <w:tab/>
    </w:r>
    <w:fldSimple w:instr=" DOCPROPERTY &quot;Header&quot; \* MERGEFORMAT ">
      <w:r w:rsidRPr="001E098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5BEC">
      <w:rPr>
        <w:b/>
        <w:bCs/>
        <w:noProof/>
      </w:rPr>
      <w:t>ITU-R  M.1901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5BE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658A"/>
    <w:rsid w:val="00072484"/>
    <w:rsid w:val="00096612"/>
    <w:rsid w:val="000A4386"/>
    <w:rsid w:val="000B7683"/>
    <w:rsid w:val="000C1C86"/>
    <w:rsid w:val="000D0677"/>
    <w:rsid w:val="000E6A6E"/>
    <w:rsid w:val="00102934"/>
    <w:rsid w:val="001172C7"/>
    <w:rsid w:val="001431C8"/>
    <w:rsid w:val="00147110"/>
    <w:rsid w:val="001511A6"/>
    <w:rsid w:val="00182746"/>
    <w:rsid w:val="001D7190"/>
    <w:rsid w:val="001E098E"/>
    <w:rsid w:val="002058CE"/>
    <w:rsid w:val="002165F1"/>
    <w:rsid w:val="002572B3"/>
    <w:rsid w:val="00276D21"/>
    <w:rsid w:val="00291F7A"/>
    <w:rsid w:val="00296D7F"/>
    <w:rsid w:val="002B3CF6"/>
    <w:rsid w:val="002C768A"/>
    <w:rsid w:val="002D76C4"/>
    <w:rsid w:val="002F06BF"/>
    <w:rsid w:val="002F5199"/>
    <w:rsid w:val="00312BA6"/>
    <w:rsid w:val="00333892"/>
    <w:rsid w:val="00356B5D"/>
    <w:rsid w:val="00396476"/>
    <w:rsid w:val="003C0C27"/>
    <w:rsid w:val="0041667C"/>
    <w:rsid w:val="00420DFD"/>
    <w:rsid w:val="00437A76"/>
    <w:rsid w:val="004638FE"/>
    <w:rsid w:val="00470E28"/>
    <w:rsid w:val="00470FEC"/>
    <w:rsid w:val="0049321E"/>
    <w:rsid w:val="004934C5"/>
    <w:rsid w:val="004F65E4"/>
    <w:rsid w:val="00554C61"/>
    <w:rsid w:val="00556548"/>
    <w:rsid w:val="00586EF8"/>
    <w:rsid w:val="005B49AB"/>
    <w:rsid w:val="005B50E7"/>
    <w:rsid w:val="005B5BEC"/>
    <w:rsid w:val="005D0454"/>
    <w:rsid w:val="005D0B61"/>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7E22AC"/>
    <w:rsid w:val="008310C9"/>
    <w:rsid w:val="00853CC5"/>
    <w:rsid w:val="008C7848"/>
    <w:rsid w:val="008F7180"/>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21B1E"/>
    <w:rsid w:val="00B33425"/>
    <w:rsid w:val="00B44E24"/>
    <w:rsid w:val="00B53EBC"/>
    <w:rsid w:val="00B54ECC"/>
    <w:rsid w:val="00B714F3"/>
    <w:rsid w:val="00B86703"/>
    <w:rsid w:val="00B87B6B"/>
    <w:rsid w:val="00BA03A9"/>
    <w:rsid w:val="00BC5D77"/>
    <w:rsid w:val="00BE262F"/>
    <w:rsid w:val="00BF487A"/>
    <w:rsid w:val="00C44EEB"/>
    <w:rsid w:val="00C46BD9"/>
    <w:rsid w:val="00C55258"/>
    <w:rsid w:val="00C73560"/>
    <w:rsid w:val="00C77658"/>
    <w:rsid w:val="00CB0F14"/>
    <w:rsid w:val="00CD659B"/>
    <w:rsid w:val="00CE0A43"/>
    <w:rsid w:val="00CE193F"/>
    <w:rsid w:val="00D83556"/>
    <w:rsid w:val="00DF4176"/>
    <w:rsid w:val="00E17240"/>
    <w:rsid w:val="00E20174"/>
    <w:rsid w:val="00E406BD"/>
    <w:rsid w:val="00E74595"/>
    <w:rsid w:val="00EB0DA3"/>
    <w:rsid w:val="00EB786E"/>
    <w:rsid w:val="00EB7C57"/>
    <w:rsid w:val="00ED2695"/>
    <w:rsid w:val="00F30C9B"/>
    <w:rsid w:val="00F354B1"/>
    <w:rsid w:val="00F52410"/>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B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0B61"/>
    <w:pPr>
      <w:keepNext/>
      <w:keepLines/>
      <w:spacing w:before="480"/>
      <w:ind w:left="794" w:hanging="794"/>
      <w:outlineLvl w:val="0"/>
    </w:pPr>
    <w:rPr>
      <w:b/>
    </w:rPr>
  </w:style>
  <w:style w:type="paragraph" w:styleId="Heading2">
    <w:name w:val="heading 2"/>
    <w:basedOn w:val="Heading1"/>
    <w:next w:val="Normal"/>
    <w:qFormat/>
    <w:rsid w:val="005D0B61"/>
    <w:pPr>
      <w:spacing w:before="320"/>
      <w:outlineLvl w:val="1"/>
    </w:pPr>
  </w:style>
  <w:style w:type="paragraph" w:styleId="Heading3">
    <w:name w:val="heading 3"/>
    <w:basedOn w:val="Heading1"/>
    <w:next w:val="Normal"/>
    <w:qFormat/>
    <w:rsid w:val="005D0B61"/>
    <w:pPr>
      <w:spacing w:before="200"/>
      <w:outlineLvl w:val="2"/>
    </w:pPr>
  </w:style>
  <w:style w:type="paragraph" w:styleId="Heading4">
    <w:name w:val="heading 4"/>
    <w:basedOn w:val="Heading3"/>
    <w:next w:val="Normal"/>
    <w:qFormat/>
    <w:rsid w:val="005D0B61"/>
    <w:pPr>
      <w:tabs>
        <w:tab w:val="clear" w:pos="794"/>
        <w:tab w:val="left" w:pos="992"/>
      </w:tabs>
      <w:ind w:left="992" w:hanging="992"/>
      <w:outlineLvl w:val="3"/>
    </w:pPr>
  </w:style>
  <w:style w:type="paragraph" w:styleId="Heading5">
    <w:name w:val="heading 5"/>
    <w:basedOn w:val="Heading4"/>
    <w:next w:val="Normal"/>
    <w:qFormat/>
    <w:rsid w:val="005D0B61"/>
    <w:pPr>
      <w:outlineLvl w:val="4"/>
    </w:pPr>
  </w:style>
  <w:style w:type="paragraph" w:styleId="Heading6">
    <w:name w:val="heading 6"/>
    <w:basedOn w:val="Heading4"/>
    <w:next w:val="Normal"/>
    <w:qFormat/>
    <w:rsid w:val="005D0B61"/>
    <w:pPr>
      <w:tabs>
        <w:tab w:val="clear" w:pos="992"/>
        <w:tab w:val="clear" w:pos="1191"/>
      </w:tabs>
      <w:ind w:left="1588" w:hanging="1588"/>
      <w:outlineLvl w:val="5"/>
    </w:pPr>
  </w:style>
  <w:style w:type="paragraph" w:styleId="Heading7">
    <w:name w:val="heading 7"/>
    <w:basedOn w:val="Heading6"/>
    <w:next w:val="Normal"/>
    <w:qFormat/>
    <w:rsid w:val="005D0B61"/>
    <w:pPr>
      <w:outlineLvl w:val="6"/>
    </w:pPr>
  </w:style>
  <w:style w:type="paragraph" w:styleId="Heading8">
    <w:name w:val="heading 8"/>
    <w:basedOn w:val="Heading6"/>
    <w:next w:val="Normal"/>
    <w:qFormat/>
    <w:rsid w:val="005D0B61"/>
    <w:pPr>
      <w:outlineLvl w:val="7"/>
    </w:pPr>
  </w:style>
  <w:style w:type="paragraph" w:styleId="Heading9">
    <w:name w:val="heading 9"/>
    <w:basedOn w:val="Heading6"/>
    <w:next w:val="Normal"/>
    <w:qFormat/>
    <w:rsid w:val="005D0B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0B6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0B6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0B61"/>
  </w:style>
  <w:style w:type="paragraph" w:customStyle="1" w:styleId="Headingb">
    <w:name w:val="Heading_b"/>
    <w:basedOn w:val="Heading3"/>
    <w:next w:val="Normal"/>
    <w:rsid w:val="005D0B61"/>
    <w:pPr>
      <w:spacing w:before="160"/>
      <w:ind w:left="0" w:firstLine="0"/>
      <w:outlineLvl w:val="9"/>
    </w:pPr>
  </w:style>
  <w:style w:type="character" w:customStyle="1" w:styleId="href">
    <w:name w:val="href"/>
    <w:basedOn w:val="DefaultParagraphFont"/>
    <w:rsid w:val="005D0B61"/>
  </w:style>
  <w:style w:type="paragraph" w:customStyle="1" w:styleId="AnnexNoTitle">
    <w:name w:val="Annex_NoTitle"/>
    <w:basedOn w:val="Normal"/>
    <w:next w:val="Normal"/>
    <w:rsid w:val="005D0B61"/>
    <w:pPr>
      <w:keepNext/>
      <w:keepLines/>
      <w:spacing w:before="480" w:after="80"/>
      <w:jc w:val="center"/>
    </w:pPr>
    <w:rPr>
      <w:b/>
      <w:sz w:val="28"/>
    </w:rPr>
  </w:style>
  <w:style w:type="paragraph" w:customStyle="1" w:styleId="enumlev1">
    <w:name w:val="enumlev1"/>
    <w:basedOn w:val="Normal"/>
    <w:link w:val="enumlev1Char"/>
    <w:rsid w:val="005D0B61"/>
    <w:pPr>
      <w:spacing w:before="80"/>
      <w:ind w:left="794" w:hanging="794"/>
    </w:pPr>
  </w:style>
  <w:style w:type="paragraph" w:customStyle="1" w:styleId="RecNo">
    <w:name w:val="Rec_No"/>
    <w:basedOn w:val="Normal"/>
    <w:next w:val="Rectitle"/>
    <w:rsid w:val="005D0B6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5D0B61"/>
    <w:pPr>
      <w:keepNext/>
      <w:keepLines/>
      <w:spacing w:before="240"/>
      <w:jc w:val="center"/>
    </w:pPr>
    <w:rPr>
      <w:b/>
      <w:sz w:val="28"/>
    </w:rPr>
  </w:style>
  <w:style w:type="paragraph" w:customStyle="1" w:styleId="Recref">
    <w:name w:val="Rec_ref"/>
    <w:basedOn w:val="Normal"/>
    <w:next w:val="Recdate"/>
    <w:rsid w:val="005D0B61"/>
    <w:pPr>
      <w:jc w:val="center"/>
    </w:pPr>
  </w:style>
  <w:style w:type="paragraph" w:customStyle="1" w:styleId="Recdate">
    <w:name w:val="Rec_date"/>
    <w:basedOn w:val="Recref"/>
    <w:next w:val="Normalaftertitle"/>
    <w:rsid w:val="005D0B61"/>
    <w:pPr>
      <w:jc w:val="right"/>
    </w:pPr>
  </w:style>
  <w:style w:type="paragraph" w:customStyle="1" w:styleId="Tablehead">
    <w:name w:val="Table_head"/>
    <w:basedOn w:val="Normal"/>
    <w:next w:val="Normal"/>
    <w:rsid w:val="005D0B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0B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0B61"/>
    <w:pPr>
      <w:keepNext/>
      <w:spacing w:before="360" w:after="120"/>
      <w:jc w:val="center"/>
    </w:pPr>
  </w:style>
  <w:style w:type="paragraph" w:customStyle="1" w:styleId="Tabletext">
    <w:name w:val="Table_text"/>
    <w:basedOn w:val="Normal"/>
    <w:rsid w:val="005D0B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0B61"/>
    <w:pPr>
      <w:tabs>
        <w:tab w:val="clear" w:pos="1191"/>
        <w:tab w:val="clear" w:pos="1588"/>
        <w:tab w:val="clear" w:pos="1985"/>
        <w:tab w:val="center" w:pos="4820"/>
        <w:tab w:val="right" w:pos="9639"/>
      </w:tabs>
    </w:pPr>
  </w:style>
  <w:style w:type="paragraph" w:styleId="NormalIndent">
    <w:name w:val="Normal Indent"/>
    <w:basedOn w:val="Normal"/>
    <w:rsid w:val="005D0B61"/>
    <w:pPr>
      <w:ind w:left="794"/>
    </w:pPr>
  </w:style>
  <w:style w:type="paragraph" w:customStyle="1" w:styleId="Call">
    <w:name w:val="Call"/>
    <w:basedOn w:val="Normal"/>
    <w:next w:val="Normal"/>
    <w:rsid w:val="005D0B61"/>
    <w:pPr>
      <w:keepNext/>
      <w:keepLines/>
      <w:spacing w:before="160"/>
      <w:ind w:left="794"/>
    </w:pPr>
    <w:rPr>
      <w:i/>
    </w:rPr>
  </w:style>
  <w:style w:type="paragraph" w:customStyle="1" w:styleId="Chaptitle">
    <w:name w:val="Chap_title"/>
    <w:basedOn w:val="Arttitle"/>
    <w:next w:val="Normal"/>
    <w:rsid w:val="005D0B61"/>
  </w:style>
  <w:style w:type="character" w:styleId="FootnoteReference">
    <w:name w:val="footnote reference"/>
    <w:basedOn w:val="DefaultParagraphFont"/>
    <w:semiHidden/>
    <w:rsid w:val="005D0B61"/>
    <w:rPr>
      <w:position w:val="6"/>
      <w:sz w:val="18"/>
    </w:rPr>
  </w:style>
  <w:style w:type="paragraph" w:styleId="FootnoteText">
    <w:name w:val="footnote text"/>
    <w:basedOn w:val="Normal"/>
    <w:semiHidden/>
    <w:rsid w:val="005D0B61"/>
    <w:pPr>
      <w:keepLines/>
      <w:tabs>
        <w:tab w:val="left" w:pos="255"/>
      </w:tabs>
      <w:ind w:left="255" w:hanging="255"/>
    </w:pPr>
    <w:rPr>
      <w:sz w:val="22"/>
    </w:rPr>
  </w:style>
  <w:style w:type="paragraph" w:styleId="Index1">
    <w:name w:val="index 1"/>
    <w:basedOn w:val="Normal"/>
    <w:next w:val="Normal"/>
    <w:semiHidden/>
    <w:rsid w:val="005D0B61"/>
  </w:style>
  <w:style w:type="paragraph" w:styleId="Index2">
    <w:name w:val="index 2"/>
    <w:basedOn w:val="Normal"/>
    <w:next w:val="Normal"/>
    <w:semiHidden/>
    <w:rsid w:val="005D0B61"/>
    <w:pPr>
      <w:ind w:left="283"/>
    </w:pPr>
  </w:style>
  <w:style w:type="paragraph" w:styleId="Index3">
    <w:name w:val="index 3"/>
    <w:basedOn w:val="Normal"/>
    <w:next w:val="Normal"/>
    <w:semiHidden/>
    <w:rsid w:val="005D0B61"/>
    <w:pPr>
      <w:ind w:left="566"/>
    </w:pPr>
  </w:style>
  <w:style w:type="paragraph" w:styleId="IndexHeading">
    <w:name w:val="index heading"/>
    <w:basedOn w:val="Normal"/>
    <w:next w:val="Index1"/>
    <w:semiHidden/>
    <w:rsid w:val="005D0B61"/>
  </w:style>
  <w:style w:type="paragraph" w:styleId="TOC1">
    <w:name w:val="toc 1"/>
    <w:basedOn w:val="Normal"/>
    <w:semiHidden/>
    <w:rsid w:val="005D0B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0B61"/>
    <w:pPr>
      <w:tabs>
        <w:tab w:val="clear" w:pos="567"/>
        <w:tab w:val="left" w:pos="1276"/>
      </w:tabs>
      <w:spacing w:before="160"/>
      <w:ind w:left="1276" w:hanging="709"/>
    </w:pPr>
  </w:style>
  <w:style w:type="paragraph" w:styleId="TOC3">
    <w:name w:val="toc 3"/>
    <w:basedOn w:val="TOC2"/>
    <w:semiHidden/>
    <w:rsid w:val="005D0B61"/>
    <w:pPr>
      <w:tabs>
        <w:tab w:val="clear" w:pos="1276"/>
        <w:tab w:val="left" w:pos="2155"/>
      </w:tabs>
      <w:ind w:left="2155" w:hanging="879"/>
    </w:pPr>
  </w:style>
  <w:style w:type="paragraph" w:styleId="TOC4">
    <w:name w:val="toc 4"/>
    <w:basedOn w:val="TOC3"/>
    <w:semiHidden/>
    <w:rsid w:val="005D0B61"/>
    <w:pPr>
      <w:tabs>
        <w:tab w:val="left" w:pos="3261"/>
      </w:tabs>
      <w:spacing w:before="80"/>
      <w:ind w:left="3261" w:hanging="993"/>
    </w:pPr>
  </w:style>
  <w:style w:type="paragraph" w:styleId="TOC5">
    <w:name w:val="toc 5"/>
    <w:basedOn w:val="TOC4"/>
    <w:semiHidden/>
    <w:rsid w:val="005D0B61"/>
  </w:style>
  <w:style w:type="paragraph" w:styleId="TOC6">
    <w:name w:val="toc 6"/>
    <w:basedOn w:val="TOC4"/>
    <w:semiHidden/>
    <w:rsid w:val="005D0B61"/>
  </w:style>
  <w:style w:type="paragraph" w:styleId="TOC7">
    <w:name w:val="toc 7"/>
    <w:basedOn w:val="TOC4"/>
    <w:semiHidden/>
    <w:rsid w:val="005D0B61"/>
  </w:style>
  <w:style w:type="paragraph" w:styleId="TOC8">
    <w:name w:val="toc 8"/>
    <w:basedOn w:val="TOC4"/>
    <w:semiHidden/>
    <w:rsid w:val="005D0B61"/>
  </w:style>
  <w:style w:type="paragraph" w:customStyle="1" w:styleId="Tabletitle">
    <w:name w:val="Table_title"/>
    <w:basedOn w:val="Normal"/>
    <w:next w:val="Tablehead"/>
    <w:link w:val="Tabletitle0"/>
    <w:rsid w:val="005D0B61"/>
    <w:pPr>
      <w:keepNext/>
      <w:spacing w:before="0" w:after="120"/>
      <w:jc w:val="center"/>
    </w:pPr>
    <w:rPr>
      <w:b/>
    </w:rPr>
  </w:style>
  <w:style w:type="character" w:styleId="Hyperlink">
    <w:name w:val="Hyperlink"/>
    <w:basedOn w:val="DefaultParagraphFont"/>
    <w:rsid w:val="00934ED7"/>
    <w:rPr>
      <w:color w:val="0000FF"/>
      <w:u w:val="single"/>
    </w:rPr>
  </w:style>
  <w:style w:type="character" w:customStyle="1" w:styleId="enumlev1Char">
    <w:name w:val="enumlev1 Char"/>
    <w:link w:val="enumlev1"/>
    <w:locked/>
    <w:rsid w:val="00CE193F"/>
    <w:rPr>
      <w:sz w:val="24"/>
      <w:lang w:val="fr-FR" w:eastAsia="en-US"/>
    </w:rPr>
  </w:style>
  <w:style w:type="character" w:customStyle="1" w:styleId="Rectitle0">
    <w:name w:val="Rec_title Знак"/>
    <w:link w:val="Rectitle"/>
    <w:locked/>
    <w:rsid w:val="00CE193F"/>
    <w:rPr>
      <w:b/>
      <w:sz w:val="28"/>
      <w:lang w:val="fr-FR" w:eastAsia="en-US"/>
    </w:rPr>
  </w:style>
  <w:style w:type="character" w:customStyle="1" w:styleId="TableNoChar">
    <w:name w:val="Table_No Char"/>
    <w:link w:val="TableNo"/>
    <w:locked/>
    <w:rsid w:val="00CE193F"/>
    <w:rPr>
      <w:sz w:val="24"/>
      <w:lang w:val="fr-FR" w:eastAsia="en-US"/>
    </w:rPr>
  </w:style>
  <w:style w:type="character" w:customStyle="1" w:styleId="Tabletitle0">
    <w:name w:val="Table_title Знак"/>
    <w:link w:val="Tabletitle"/>
    <w:locked/>
    <w:rsid w:val="00CE193F"/>
    <w:rPr>
      <w:b/>
      <w:sz w:val="24"/>
      <w:lang w:val="fr-FR" w:eastAsia="en-US"/>
    </w:rPr>
  </w:style>
  <w:style w:type="paragraph" w:customStyle="1" w:styleId="Tablefin">
    <w:name w:val="Table_fin"/>
    <w:basedOn w:val="Normal"/>
    <w:next w:val="Normal"/>
    <w:rsid w:val="005D0B61"/>
    <w:pPr>
      <w:spacing w:before="0"/>
    </w:pPr>
    <w:rPr>
      <w:sz w:val="20"/>
      <w:lang w:val="en-GB"/>
    </w:rPr>
  </w:style>
  <w:style w:type="paragraph" w:customStyle="1" w:styleId="Annexref">
    <w:name w:val="Annex_ref"/>
    <w:basedOn w:val="Normal"/>
    <w:next w:val="Normal"/>
    <w:rsid w:val="005D0B61"/>
    <w:pPr>
      <w:keepNext/>
      <w:keepLines/>
      <w:spacing w:after="280"/>
      <w:jc w:val="center"/>
    </w:pPr>
  </w:style>
  <w:style w:type="paragraph" w:customStyle="1" w:styleId="AppendixNoTitle">
    <w:name w:val="Appendix_NoTitle"/>
    <w:basedOn w:val="AnnexNoTitle"/>
    <w:next w:val="Normal"/>
    <w:rsid w:val="005D0B61"/>
  </w:style>
  <w:style w:type="paragraph" w:customStyle="1" w:styleId="Appendixref">
    <w:name w:val="Appendix_ref"/>
    <w:basedOn w:val="Annexref"/>
    <w:next w:val="Normal"/>
    <w:rsid w:val="005D0B61"/>
  </w:style>
  <w:style w:type="paragraph" w:customStyle="1" w:styleId="ArtNo">
    <w:name w:val="Art_No"/>
    <w:basedOn w:val="Normal"/>
    <w:next w:val="Normal"/>
    <w:rsid w:val="005D0B61"/>
    <w:pPr>
      <w:keepNext/>
      <w:keepLines/>
      <w:spacing w:before="480"/>
      <w:jc w:val="center"/>
    </w:pPr>
    <w:rPr>
      <w:sz w:val="28"/>
    </w:rPr>
  </w:style>
  <w:style w:type="paragraph" w:customStyle="1" w:styleId="Arttitle">
    <w:name w:val="Art_title"/>
    <w:basedOn w:val="Normal"/>
    <w:next w:val="Normal"/>
    <w:rsid w:val="005D0B61"/>
    <w:pPr>
      <w:keepNext/>
      <w:keepLines/>
      <w:spacing w:before="240"/>
      <w:jc w:val="center"/>
    </w:pPr>
    <w:rPr>
      <w:b/>
      <w:sz w:val="28"/>
    </w:rPr>
  </w:style>
  <w:style w:type="paragraph" w:customStyle="1" w:styleId="ASN1">
    <w:name w:val="ASN.1"/>
    <w:basedOn w:val="Normal"/>
    <w:next w:val="Normal"/>
    <w:rsid w:val="005D0B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5D0B61"/>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5D0B61"/>
    <w:rPr>
      <w:b/>
    </w:rPr>
  </w:style>
  <w:style w:type="paragraph" w:customStyle="1" w:styleId="enumlev2">
    <w:name w:val="enumlev2"/>
    <w:basedOn w:val="enumlev1"/>
    <w:rsid w:val="005D0B61"/>
    <w:pPr>
      <w:ind w:left="1191" w:hanging="397"/>
    </w:pPr>
  </w:style>
  <w:style w:type="paragraph" w:customStyle="1" w:styleId="enumlev3">
    <w:name w:val="enumlev3"/>
    <w:basedOn w:val="enumlev2"/>
    <w:rsid w:val="005D0B61"/>
    <w:pPr>
      <w:ind w:left="1588"/>
    </w:pPr>
  </w:style>
  <w:style w:type="paragraph" w:customStyle="1" w:styleId="Equationlegend">
    <w:name w:val="Equation_legend"/>
    <w:basedOn w:val="NormalIndent"/>
    <w:rsid w:val="005D0B61"/>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5D0B61"/>
    <w:pPr>
      <w:keepNext/>
      <w:keepLines/>
      <w:spacing w:before="480" w:after="80"/>
      <w:jc w:val="center"/>
    </w:pPr>
    <w:rPr>
      <w:caps/>
      <w:sz w:val="18"/>
    </w:rPr>
  </w:style>
  <w:style w:type="paragraph" w:customStyle="1" w:styleId="Figure">
    <w:name w:val="Figure"/>
    <w:basedOn w:val="FigureNo"/>
    <w:next w:val="Normal"/>
    <w:rsid w:val="005D0B61"/>
    <w:pPr>
      <w:keepNext w:val="0"/>
      <w:spacing w:before="0" w:after="240"/>
    </w:pPr>
  </w:style>
  <w:style w:type="paragraph" w:customStyle="1" w:styleId="Figurelegend">
    <w:name w:val="Figure_legend"/>
    <w:basedOn w:val="Normal"/>
    <w:rsid w:val="005D0B61"/>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5D0B61"/>
    <w:pPr>
      <w:keepNext/>
      <w:spacing w:before="0" w:after="120"/>
      <w:jc w:val="center"/>
    </w:pPr>
    <w:rPr>
      <w:rFonts w:ascii="Times New Roman Bold" w:hAnsi="Times New Roman Bold"/>
      <w:b/>
      <w:sz w:val="18"/>
    </w:rPr>
  </w:style>
  <w:style w:type="paragraph" w:customStyle="1" w:styleId="Headingi">
    <w:name w:val="Heading_i"/>
    <w:basedOn w:val="Heading3"/>
    <w:next w:val="Normal"/>
    <w:rsid w:val="005D0B61"/>
    <w:pPr>
      <w:spacing w:before="160"/>
      <w:ind w:left="0" w:firstLine="0"/>
    </w:pPr>
    <w:rPr>
      <w:b w:val="0"/>
      <w:i/>
    </w:rPr>
  </w:style>
  <w:style w:type="paragraph" w:customStyle="1" w:styleId="HeadingSum">
    <w:name w:val="Heading_Sum"/>
    <w:basedOn w:val="Headingb"/>
    <w:next w:val="Normal"/>
    <w:autoRedefine/>
    <w:rsid w:val="005D0B61"/>
    <w:pPr>
      <w:spacing w:before="240"/>
    </w:pPr>
    <w:rPr>
      <w:sz w:val="22"/>
      <w:lang w:val="es-ES_tradnl"/>
    </w:rPr>
  </w:style>
  <w:style w:type="paragraph" w:customStyle="1" w:styleId="Line">
    <w:name w:val="Line"/>
    <w:basedOn w:val="Normal"/>
    <w:next w:val="Normal"/>
    <w:rsid w:val="005D0B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5D0B61"/>
    <w:pPr>
      <w:spacing w:before="320"/>
    </w:pPr>
  </w:style>
  <w:style w:type="paragraph" w:customStyle="1" w:styleId="Note">
    <w:name w:val="Note"/>
    <w:basedOn w:val="Normal"/>
    <w:rsid w:val="005D0B61"/>
    <w:pPr>
      <w:tabs>
        <w:tab w:val="clear" w:pos="794"/>
        <w:tab w:val="clear" w:pos="1191"/>
        <w:tab w:val="clear" w:pos="1588"/>
        <w:tab w:val="clear" w:pos="1985"/>
      </w:tabs>
      <w:spacing w:before="80"/>
    </w:pPr>
    <w:rPr>
      <w:sz w:val="22"/>
    </w:rPr>
  </w:style>
  <w:style w:type="paragraph" w:customStyle="1" w:styleId="PartNo">
    <w:name w:val="Part_No"/>
    <w:basedOn w:val="Normal"/>
    <w:next w:val="Normal"/>
    <w:rsid w:val="005D0B61"/>
  </w:style>
  <w:style w:type="paragraph" w:customStyle="1" w:styleId="Partref">
    <w:name w:val="Part_ref"/>
    <w:basedOn w:val="Normal"/>
    <w:next w:val="Normal"/>
    <w:rsid w:val="005D0B61"/>
    <w:pPr>
      <w:keepNext/>
      <w:keepLines/>
      <w:spacing w:after="280"/>
      <w:jc w:val="center"/>
    </w:pPr>
  </w:style>
  <w:style w:type="paragraph" w:customStyle="1" w:styleId="Parttitle">
    <w:name w:val="Part_title"/>
    <w:basedOn w:val="Normal"/>
    <w:next w:val="Normalaftertitle"/>
    <w:rsid w:val="005D0B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0B61"/>
  </w:style>
  <w:style w:type="paragraph" w:customStyle="1" w:styleId="QuestionNo">
    <w:name w:val="Question_No"/>
    <w:basedOn w:val="RecNo"/>
    <w:next w:val="Normal"/>
    <w:rsid w:val="005D0B61"/>
  </w:style>
  <w:style w:type="paragraph" w:customStyle="1" w:styleId="Questionref">
    <w:name w:val="Question_ref"/>
    <w:basedOn w:val="Recref"/>
    <w:next w:val="Questiondate"/>
    <w:rsid w:val="005D0B61"/>
  </w:style>
  <w:style w:type="paragraph" w:customStyle="1" w:styleId="Questiontitle">
    <w:name w:val="Question_title"/>
    <w:basedOn w:val="Normal"/>
    <w:next w:val="Questionref"/>
    <w:rsid w:val="005D0B61"/>
  </w:style>
  <w:style w:type="paragraph" w:customStyle="1" w:styleId="Reftext">
    <w:name w:val="Ref_text"/>
    <w:basedOn w:val="Normal"/>
    <w:rsid w:val="005D0B61"/>
    <w:pPr>
      <w:ind w:left="794" w:hanging="794"/>
    </w:pPr>
    <w:rPr>
      <w:sz w:val="22"/>
    </w:rPr>
  </w:style>
  <w:style w:type="paragraph" w:customStyle="1" w:styleId="Reftitle">
    <w:name w:val="Ref_title"/>
    <w:basedOn w:val="Normal"/>
    <w:next w:val="Reftext"/>
    <w:rsid w:val="005D0B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0B61"/>
  </w:style>
  <w:style w:type="paragraph" w:customStyle="1" w:styleId="RepNo">
    <w:name w:val="Rep_No"/>
    <w:basedOn w:val="RecNo"/>
    <w:next w:val="Normal"/>
    <w:rsid w:val="005D0B61"/>
  </w:style>
  <w:style w:type="paragraph" w:customStyle="1" w:styleId="Repref">
    <w:name w:val="Rep_ref"/>
    <w:basedOn w:val="Recref"/>
    <w:next w:val="Repdate"/>
    <w:rsid w:val="005D0B61"/>
  </w:style>
  <w:style w:type="paragraph" w:customStyle="1" w:styleId="Reptitle">
    <w:name w:val="Rep_title"/>
    <w:basedOn w:val="Rectitle"/>
    <w:next w:val="Repref"/>
    <w:rsid w:val="005D0B61"/>
  </w:style>
  <w:style w:type="paragraph" w:customStyle="1" w:styleId="Resdate">
    <w:name w:val="Res_date"/>
    <w:basedOn w:val="Recdate"/>
    <w:next w:val="Normalaftertitle"/>
    <w:rsid w:val="005D0B61"/>
  </w:style>
  <w:style w:type="paragraph" w:customStyle="1" w:styleId="ResNo">
    <w:name w:val="Res_No"/>
    <w:basedOn w:val="RecNo"/>
    <w:next w:val="Normal"/>
    <w:rsid w:val="005D0B61"/>
  </w:style>
  <w:style w:type="paragraph" w:customStyle="1" w:styleId="Resref">
    <w:name w:val="Res_ref"/>
    <w:basedOn w:val="Recref"/>
    <w:next w:val="Resdate"/>
    <w:rsid w:val="005D0B61"/>
  </w:style>
  <w:style w:type="paragraph" w:customStyle="1" w:styleId="Restitle">
    <w:name w:val="Res_title"/>
    <w:basedOn w:val="Normal"/>
    <w:next w:val="Resref"/>
    <w:rsid w:val="005D0B61"/>
    <w:pPr>
      <w:spacing w:before="240"/>
      <w:jc w:val="center"/>
    </w:pPr>
    <w:rPr>
      <w:b/>
      <w:sz w:val="28"/>
    </w:rPr>
  </w:style>
  <w:style w:type="paragraph" w:customStyle="1" w:styleId="SectionNo">
    <w:name w:val="Section_No"/>
    <w:basedOn w:val="Normal"/>
    <w:next w:val="Normal"/>
    <w:rsid w:val="005D0B61"/>
  </w:style>
  <w:style w:type="paragraph" w:customStyle="1" w:styleId="Sectiontitle">
    <w:name w:val="Section_title"/>
    <w:basedOn w:val="Normal"/>
    <w:next w:val="Normalaftertitle"/>
    <w:rsid w:val="005D0B61"/>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5D0B61"/>
    <w:pPr>
      <w:spacing w:after="480"/>
    </w:pPr>
    <w:rPr>
      <w:sz w:val="22"/>
      <w:lang w:val="es-ES_tradnl"/>
    </w:rPr>
  </w:style>
  <w:style w:type="paragraph" w:customStyle="1" w:styleId="TableLegendNote">
    <w:name w:val="Table_Legend_Note"/>
    <w:basedOn w:val="Tablelegend"/>
    <w:next w:val="Tablelegend"/>
    <w:rsid w:val="005D0B61"/>
    <w:pPr>
      <w:ind w:left="-85" w:firstLine="0"/>
    </w:pPr>
    <w:rPr>
      <w:lang w:val="en-US"/>
    </w:rPr>
  </w:style>
  <w:style w:type="paragraph" w:customStyle="1" w:styleId="toc0">
    <w:name w:val="toc 0"/>
    <w:basedOn w:val="Normal"/>
    <w:next w:val="TOC1"/>
    <w:rsid w:val="005D0B61"/>
    <w:pPr>
      <w:tabs>
        <w:tab w:val="clear" w:pos="794"/>
        <w:tab w:val="clear" w:pos="1191"/>
        <w:tab w:val="clear" w:pos="1588"/>
        <w:tab w:val="clear" w:pos="1985"/>
        <w:tab w:val="right" w:pos="9611"/>
      </w:tabs>
    </w:pPr>
    <w:rPr>
      <w:i/>
    </w:rPr>
  </w:style>
  <w:style w:type="paragraph" w:customStyle="1" w:styleId="tocpart">
    <w:name w:val="tocpart"/>
    <w:basedOn w:val="Normal"/>
    <w:rsid w:val="005D0B61"/>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D0B61"/>
    <w:pPr>
      <w:tabs>
        <w:tab w:val="clear" w:pos="794"/>
        <w:tab w:val="clear" w:pos="1191"/>
        <w:tab w:val="clear" w:pos="1588"/>
        <w:tab w:val="clear" w:pos="1985"/>
        <w:tab w:val="left" w:pos="2693"/>
        <w:tab w:val="left" w:leader="dot" w:pos="8789"/>
        <w:tab w:val="right" w:pos="9639"/>
      </w:tabs>
      <w:ind w:left="2693" w:right="964" w:hanging="269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B6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0B61"/>
    <w:pPr>
      <w:keepNext/>
      <w:keepLines/>
      <w:spacing w:before="480"/>
      <w:ind w:left="794" w:hanging="794"/>
      <w:outlineLvl w:val="0"/>
    </w:pPr>
    <w:rPr>
      <w:b/>
    </w:rPr>
  </w:style>
  <w:style w:type="paragraph" w:styleId="Heading2">
    <w:name w:val="heading 2"/>
    <w:basedOn w:val="Heading1"/>
    <w:next w:val="Normal"/>
    <w:qFormat/>
    <w:rsid w:val="005D0B61"/>
    <w:pPr>
      <w:spacing w:before="320"/>
      <w:outlineLvl w:val="1"/>
    </w:pPr>
  </w:style>
  <w:style w:type="paragraph" w:styleId="Heading3">
    <w:name w:val="heading 3"/>
    <w:basedOn w:val="Heading1"/>
    <w:next w:val="Normal"/>
    <w:qFormat/>
    <w:rsid w:val="005D0B61"/>
    <w:pPr>
      <w:spacing w:before="200"/>
      <w:outlineLvl w:val="2"/>
    </w:pPr>
  </w:style>
  <w:style w:type="paragraph" w:styleId="Heading4">
    <w:name w:val="heading 4"/>
    <w:basedOn w:val="Heading3"/>
    <w:next w:val="Normal"/>
    <w:qFormat/>
    <w:rsid w:val="005D0B61"/>
    <w:pPr>
      <w:tabs>
        <w:tab w:val="clear" w:pos="794"/>
        <w:tab w:val="left" w:pos="992"/>
      </w:tabs>
      <w:ind w:left="992" w:hanging="992"/>
      <w:outlineLvl w:val="3"/>
    </w:pPr>
  </w:style>
  <w:style w:type="paragraph" w:styleId="Heading5">
    <w:name w:val="heading 5"/>
    <w:basedOn w:val="Heading4"/>
    <w:next w:val="Normal"/>
    <w:qFormat/>
    <w:rsid w:val="005D0B61"/>
    <w:pPr>
      <w:outlineLvl w:val="4"/>
    </w:pPr>
  </w:style>
  <w:style w:type="paragraph" w:styleId="Heading6">
    <w:name w:val="heading 6"/>
    <w:basedOn w:val="Heading4"/>
    <w:next w:val="Normal"/>
    <w:qFormat/>
    <w:rsid w:val="005D0B61"/>
    <w:pPr>
      <w:tabs>
        <w:tab w:val="clear" w:pos="992"/>
        <w:tab w:val="clear" w:pos="1191"/>
      </w:tabs>
      <w:ind w:left="1588" w:hanging="1588"/>
      <w:outlineLvl w:val="5"/>
    </w:pPr>
  </w:style>
  <w:style w:type="paragraph" w:styleId="Heading7">
    <w:name w:val="heading 7"/>
    <w:basedOn w:val="Heading6"/>
    <w:next w:val="Normal"/>
    <w:qFormat/>
    <w:rsid w:val="005D0B61"/>
    <w:pPr>
      <w:outlineLvl w:val="6"/>
    </w:pPr>
  </w:style>
  <w:style w:type="paragraph" w:styleId="Heading8">
    <w:name w:val="heading 8"/>
    <w:basedOn w:val="Heading6"/>
    <w:next w:val="Normal"/>
    <w:qFormat/>
    <w:rsid w:val="005D0B61"/>
    <w:pPr>
      <w:outlineLvl w:val="7"/>
    </w:pPr>
  </w:style>
  <w:style w:type="paragraph" w:styleId="Heading9">
    <w:name w:val="heading 9"/>
    <w:basedOn w:val="Heading6"/>
    <w:next w:val="Normal"/>
    <w:qFormat/>
    <w:rsid w:val="005D0B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0B6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0B6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0B61"/>
  </w:style>
  <w:style w:type="paragraph" w:customStyle="1" w:styleId="Headingb">
    <w:name w:val="Heading_b"/>
    <w:basedOn w:val="Heading3"/>
    <w:next w:val="Normal"/>
    <w:rsid w:val="005D0B61"/>
    <w:pPr>
      <w:spacing w:before="160"/>
      <w:ind w:left="0" w:firstLine="0"/>
      <w:outlineLvl w:val="9"/>
    </w:pPr>
  </w:style>
  <w:style w:type="character" w:customStyle="1" w:styleId="href">
    <w:name w:val="href"/>
    <w:basedOn w:val="DefaultParagraphFont"/>
    <w:rsid w:val="005D0B61"/>
  </w:style>
  <w:style w:type="paragraph" w:customStyle="1" w:styleId="AnnexNoTitle">
    <w:name w:val="Annex_NoTitle"/>
    <w:basedOn w:val="Normal"/>
    <w:next w:val="Normal"/>
    <w:rsid w:val="005D0B61"/>
    <w:pPr>
      <w:keepNext/>
      <w:keepLines/>
      <w:spacing w:before="480" w:after="80"/>
      <w:jc w:val="center"/>
    </w:pPr>
    <w:rPr>
      <w:b/>
      <w:sz w:val="28"/>
    </w:rPr>
  </w:style>
  <w:style w:type="paragraph" w:customStyle="1" w:styleId="enumlev1">
    <w:name w:val="enumlev1"/>
    <w:basedOn w:val="Normal"/>
    <w:link w:val="enumlev1Char"/>
    <w:rsid w:val="005D0B61"/>
    <w:pPr>
      <w:spacing w:before="80"/>
      <w:ind w:left="794" w:hanging="794"/>
    </w:pPr>
  </w:style>
  <w:style w:type="paragraph" w:customStyle="1" w:styleId="RecNo">
    <w:name w:val="Rec_No"/>
    <w:basedOn w:val="Normal"/>
    <w:next w:val="Rectitle"/>
    <w:rsid w:val="005D0B6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5D0B61"/>
    <w:pPr>
      <w:keepNext/>
      <w:keepLines/>
      <w:spacing w:before="240"/>
      <w:jc w:val="center"/>
    </w:pPr>
    <w:rPr>
      <w:b/>
      <w:sz w:val="28"/>
    </w:rPr>
  </w:style>
  <w:style w:type="paragraph" w:customStyle="1" w:styleId="Recref">
    <w:name w:val="Rec_ref"/>
    <w:basedOn w:val="Normal"/>
    <w:next w:val="Recdate"/>
    <w:rsid w:val="005D0B61"/>
    <w:pPr>
      <w:jc w:val="center"/>
    </w:pPr>
  </w:style>
  <w:style w:type="paragraph" w:customStyle="1" w:styleId="Recdate">
    <w:name w:val="Rec_date"/>
    <w:basedOn w:val="Recref"/>
    <w:next w:val="Normalaftertitle"/>
    <w:rsid w:val="005D0B61"/>
    <w:pPr>
      <w:jc w:val="right"/>
    </w:pPr>
  </w:style>
  <w:style w:type="paragraph" w:customStyle="1" w:styleId="Tablehead">
    <w:name w:val="Table_head"/>
    <w:basedOn w:val="Normal"/>
    <w:next w:val="Normal"/>
    <w:rsid w:val="005D0B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0B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0B61"/>
    <w:pPr>
      <w:keepNext/>
      <w:spacing w:before="360" w:after="120"/>
      <w:jc w:val="center"/>
    </w:pPr>
  </w:style>
  <w:style w:type="paragraph" w:customStyle="1" w:styleId="Tabletext">
    <w:name w:val="Table_text"/>
    <w:basedOn w:val="Normal"/>
    <w:rsid w:val="005D0B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0B61"/>
    <w:pPr>
      <w:tabs>
        <w:tab w:val="clear" w:pos="1191"/>
        <w:tab w:val="clear" w:pos="1588"/>
        <w:tab w:val="clear" w:pos="1985"/>
        <w:tab w:val="center" w:pos="4820"/>
        <w:tab w:val="right" w:pos="9639"/>
      </w:tabs>
    </w:pPr>
  </w:style>
  <w:style w:type="paragraph" w:styleId="NormalIndent">
    <w:name w:val="Normal Indent"/>
    <w:basedOn w:val="Normal"/>
    <w:rsid w:val="005D0B61"/>
    <w:pPr>
      <w:ind w:left="794"/>
    </w:pPr>
  </w:style>
  <w:style w:type="paragraph" w:customStyle="1" w:styleId="Call">
    <w:name w:val="Call"/>
    <w:basedOn w:val="Normal"/>
    <w:next w:val="Normal"/>
    <w:rsid w:val="005D0B61"/>
    <w:pPr>
      <w:keepNext/>
      <w:keepLines/>
      <w:spacing w:before="160"/>
      <w:ind w:left="794"/>
    </w:pPr>
    <w:rPr>
      <w:i/>
    </w:rPr>
  </w:style>
  <w:style w:type="paragraph" w:customStyle="1" w:styleId="Chaptitle">
    <w:name w:val="Chap_title"/>
    <w:basedOn w:val="Arttitle"/>
    <w:next w:val="Normal"/>
    <w:rsid w:val="005D0B61"/>
  </w:style>
  <w:style w:type="character" w:styleId="FootnoteReference">
    <w:name w:val="footnote reference"/>
    <w:basedOn w:val="DefaultParagraphFont"/>
    <w:semiHidden/>
    <w:rsid w:val="005D0B61"/>
    <w:rPr>
      <w:position w:val="6"/>
      <w:sz w:val="18"/>
    </w:rPr>
  </w:style>
  <w:style w:type="paragraph" w:styleId="FootnoteText">
    <w:name w:val="footnote text"/>
    <w:basedOn w:val="Normal"/>
    <w:semiHidden/>
    <w:rsid w:val="005D0B61"/>
    <w:pPr>
      <w:keepLines/>
      <w:tabs>
        <w:tab w:val="left" w:pos="255"/>
      </w:tabs>
      <w:ind w:left="255" w:hanging="255"/>
    </w:pPr>
    <w:rPr>
      <w:sz w:val="22"/>
    </w:rPr>
  </w:style>
  <w:style w:type="paragraph" w:styleId="Index1">
    <w:name w:val="index 1"/>
    <w:basedOn w:val="Normal"/>
    <w:next w:val="Normal"/>
    <w:semiHidden/>
    <w:rsid w:val="005D0B61"/>
  </w:style>
  <w:style w:type="paragraph" w:styleId="Index2">
    <w:name w:val="index 2"/>
    <w:basedOn w:val="Normal"/>
    <w:next w:val="Normal"/>
    <w:semiHidden/>
    <w:rsid w:val="005D0B61"/>
    <w:pPr>
      <w:ind w:left="283"/>
    </w:pPr>
  </w:style>
  <w:style w:type="paragraph" w:styleId="Index3">
    <w:name w:val="index 3"/>
    <w:basedOn w:val="Normal"/>
    <w:next w:val="Normal"/>
    <w:semiHidden/>
    <w:rsid w:val="005D0B61"/>
    <w:pPr>
      <w:ind w:left="566"/>
    </w:pPr>
  </w:style>
  <w:style w:type="paragraph" w:styleId="IndexHeading">
    <w:name w:val="index heading"/>
    <w:basedOn w:val="Normal"/>
    <w:next w:val="Index1"/>
    <w:semiHidden/>
    <w:rsid w:val="005D0B61"/>
  </w:style>
  <w:style w:type="paragraph" w:styleId="TOC1">
    <w:name w:val="toc 1"/>
    <w:basedOn w:val="Normal"/>
    <w:semiHidden/>
    <w:rsid w:val="005D0B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0B61"/>
    <w:pPr>
      <w:tabs>
        <w:tab w:val="clear" w:pos="567"/>
        <w:tab w:val="left" w:pos="1276"/>
      </w:tabs>
      <w:spacing w:before="160"/>
      <w:ind w:left="1276" w:hanging="709"/>
    </w:pPr>
  </w:style>
  <w:style w:type="paragraph" w:styleId="TOC3">
    <w:name w:val="toc 3"/>
    <w:basedOn w:val="TOC2"/>
    <w:semiHidden/>
    <w:rsid w:val="005D0B61"/>
    <w:pPr>
      <w:tabs>
        <w:tab w:val="clear" w:pos="1276"/>
        <w:tab w:val="left" w:pos="2155"/>
      </w:tabs>
      <w:ind w:left="2155" w:hanging="879"/>
    </w:pPr>
  </w:style>
  <w:style w:type="paragraph" w:styleId="TOC4">
    <w:name w:val="toc 4"/>
    <w:basedOn w:val="TOC3"/>
    <w:semiHidden/>
    <w:rsid w:val="005D0B61"/>
    <w:pPr>
      <w:tabs>
        <w:tab w:val="left" w:pos="3261"/>
      </w:tabs>
      <w:spacing w:before="80"/>
      <w:ind w:left="3261" w:hanging="993"/>
    </w:pPr>
  </w:style>
  <w:style w:type="paragraph" w:styleId="TOC5">
    <w:name w:val="toc 5"/>
    <w:basedOn w:val="TOC4"/>
    <w:semiHidden/>
    <w:rsid w:val="005D0B61"/>
  </w:style>
  <w:style w:type="paragraph" w:styleId="TOC6">
    <w:name w:val="toc 6"/>
    <w:basedOn w:val="TOC4"/>
    <w:semiHidden/>
    <w:rsid w:val="005D0B61"/>
  </w:style>
  <w:style w:type="paragraph" w:styleId="TOC7">
    <w:name w:val="toc 7"/>
    <w:basedOn w:val="TOC4"/>
    <w:semiHidden/>
    <w:rsid w:val="005D0B61"/>
  </w:style>
  <w:style w:type="paragraph" w:styleId="TOC8">
    <w:name w:val="toc 8"/>
    <w:basedOn w:val="TOC4"/>
    <w:semiHidden/>
    <w:rsid w:val="005D0B61"/>
  </w:style>
  <w:style w:type="paragraph" w:customStyle="1" w:styleId="Tabletitle">
    <w:name w:val="Table_title"/>
    <w:basedOn w:val="Normal"/>
    <w:next w:val="Tablehead"/>
    <w:link w:val="Tabletitle0"/>
    <w:rsid w:val="005D0B61"/>
    <w:pPr>
      <w:keepNext/>
      <w:spacing w:before="0" w:after="120"/>
      <w:jc w:val="center"/>
    </w:pPr>
    <w:rPr>
      <w:b/>
    </w:rPr>
  </w:style>
  <w:style w:type="character" w:styleId="Hyperlink">
    <w:name w:val="Hyperlink"/>
    <w:basedOn w:val="DefaultParagraphFont"/>
    <w:rsid w:val="00934ED7"/>
    <w:rPr>
      <w:color w:val="0000FF"/>
      <w:u w:val="single"/>
    </w:rPr>
  </w:style>
  <w:style w:type="character" w:customStyle="1" w:styleId="enumlev1Char">
    <w:name w:val="enumlev1 Char"/>
    <w:link w:val="enumlev1"/>
    <w:locked/>
    <w:rsid w:val="00CE193F"/>
    <w:rPr>
      <w:sz w:val="24"/>
      <w:lang w:val="fr-FR" w:eastAsia="en-US"/>
    </w:rPr>
  </w:style>
  <w:style w:type="character" w:customStyle="1" w:styleId="Rectitle0">
    <w:name w:val="Rec_title Знак"/>
    <w:link w:val="Rectitle"/>
    <w:locked/>
    <w:rsid w:val="00CE193F"/>
    <w:rPr>
      <w:b/>
      <w:sz w:val="28"/>
      <w:lang w:val="fr-FR" w:eastAsia="en-US"/>
    </w:rPr>
  </w:style>
  <w:style w:type="character" w:customStyle="1" w:styleId="TableNoChar">
    <w:name w:val="Table_No Char"/>
    <w:link w:val="TableNo"/>
    <w:locked/>
    <w:rsid w:val="00CE193F"/>
    <w:rPr>
      <w:sz w:val="24"/>
      <w:lang w:val="fr-FR" w:eastAsia="en-US"/>
    </w:rPr>
  </w:style>
  <w:style w:type="character" w:customStyle="1" w:styleId="Tabletitle0">
    <w:name w:val="Table_title Знак"/>
    <w:link w:val="Tabletitle"/>
    <w:locked/>
    <w:rsid w:val="00CE193F"/>
    <w:rPr>
      <w:b/>
      <w:sz w:val="24"/>
      <w:lang w:val="fr-FR" w:eastAsia="en-US"/>
    </w:rPr>
  </w:style>
  <w:style w:type="paragraph" w:customStyle="1" w:styleId="Tablefin">
    <w:name w:val="Table_fin"/>
    <w:basedOn w:val="Normal"/>
    <w:next w:val="Normal"/>
    <w:rsid w:val="005D0B61"/>
    <w:pPr>
      <w:spacing w:before="0"/>
    </w:pPr>
    <w:rPr>
      <w:sz w:val="20"/>
      <w:lang w:val="en-GB"/>
    </w:rPr>
  </w:style>
  <w:style w:type="paragraph" w:customStyle="1" w:styleId="Annexref">
    <w:name w:val="Annex_ref"/>
    <w:basedOn w:val="Normal"/>
    <w:next w:val="Normal"/>
    <w:rsid w:val="005D0B61"/>
    <w:pPr>
      <w:keepNext/>
      <w:keepLines/>
      <w:spacing w:after="280"/>
      <w:jc w:val="center"/>
    </w:pPr>
  </w:style>
  <w:style w:type="paragraph" w:customStyle="1" w:styleId="AppendixNoTitle">
    <w:name w:val="Appendix_NoTitle"/>
    <w:basedOn w:val="AnnexNoTitle"/>
    <w:next w:val="Normal"/>
    <w:rsid w:val="005D0B61"/>
  </w:style>
  <w:style w:type="paragraph" w:customStyle="1" w:styleId="Appendixref">
    <w:name w:val="Appendix_ref"/>
    <w:basedOn w:val="Annexref"/>
    <w:next w:val="Normal"/>
    <w:rsid w:val="005D0B61"/>
  </w:style>
  <w:style w:type="paragraph" w:customStyle="1" w:styleId="ArtNo">
    <w:name w:val="Art_No"/>
    <w:basedOn w:val="Normal"/>
    <w:next w:val="Normal"/>
    <w:rsid w:val="005D0B61"/>
    <w:pPr>
      <w:keepNext/>
      <w:keepLines/>
      <w:spacing w:before="480"/>
      <w:jc w:val="center"/>
    </w:pPr>
    <w:rPr>
      <w:sz w:val="28"/>
    </w:rPr>
  </w:style>
  <w:style w:type="paragraph" w:customStyle="1" w:styleId="Arttitle">
    <w:name w:val="Art_title"/>
    <w:basedOn w:val="Normal"/>
    <w:next w:val="Normal"/>
    <w:rsid w:val="005D0B61"/>
    <w:pPr>
      <w:keepNext/>
      <w:keepLines/>
      <w:spacing w:before="240"/>
      <w:jc w:val="center"/>
    </w:pPr>
    <w:rPr>
      <w:b/>
      <w:sz w:val="28"/>
    </w:rPr>
  </w:style>
  <w:style w:type="paragraph" w:customStyle="1" w:styleId="ASN1">
    <w:name w:val="ASN.1"/>
    <w:basedOn w:val="Normal"/>
    <w:next w:val="Normal"/>
    <w:rsid w:val="005D0B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5D0B61"/>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5D0B61"/>
    <w:rPr>
      <w:b/>
    </w:rPr>
  </w:style>
  <w:style w:type="paragraph" w:customStyle="1" w:styleId="enumlev2">
    <w:name w:val="enumlev2"/>
    <w:basedOn w:val="enumlev1"/>
    <w:rsid w:val="005D0B61"/>
    <w:pPr>
      <w:ind w:left="1191" w:hanging="397"/>
    </w:pPr>
  </w:style>
  <w:style w:type="paragraph" w:customStyle="1" w:styleId="enumlev3">
    <w:name w:val="enumlev3"/>
    <w:basedOn w:val="enumlev2"/>
    <w:rsid w:val="005D0B61"/>
    <w:pPr>
      <w:ind w:left="1588"/>
    </w:pPr>
  </w:style>
  <w:style w:type="paragraph" w:customStyle="1" w:styleId="Equationlegend">
    <w:name w:val="Equation_legend"/>
    <w:basedOn w:val="NormalIndent"/>
    <w:rsid w:val="005D0B61"/>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5D0B61"/>
    <w:pPr>
      <w:keepNext/>
      <w:keepLines/>
      <w:spacing w:before="480" w:after="80"/>
      <w:jc w:val="center"/>
    </w:pPr>
    <w:rPr>
      <w:caps/>
      <w:sz w:val="18"/>
    </w:rPr>
  </w:style>
  <w:style w:type="paragraph" w:customStyle="1" w:styleId="Figure">
    <w:name w:val="Figure"/>
    <w:basedOn w:val="FigureNo"/>
    <w:next w:val="Normal"/>
    <w:rsid w:val="005D0B61"/>
    <w:pPr>
      <w:keepNext w:val="0"/>
      <w:spacing w:before="0" w:after="240"/>
    </w:pPr>
  </w:style>
  <w:style w:type="paragraph" w:customStyle="1" w:styleId="Figurelegend">
    <w:name w:val="Figure_legend"/>
    <w:basedOn w:val="Normal"/>
    <w:rsid w:val="005D0B61"/>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5D0B61"/>
    <w:pPr>
      <w:keepNext/>
      <w:spacing w:before="0" w:after="120"/>
      <w:jc w:val="center"/>
    </w:pPr>
    <w:rPr>
      <w:rFonts w:ascii="Times New Roman Bold" w:hAnsi="Times New Roman Bold"/>
      <w:b/>
      <w:sz w:val="18"/>
    </w:rPr>
  </w:style>
  <w:style w:type="paragraph" w:customStyle="1" w:styleId="Headingi">
    <w:name w:val="Heading_i"/>
    <w:basedOn w:val="Heading3"/>
    <w:next w:val="Normal"/>
    <w:rsid w:val="005D0B61"/>
    <w:pPr>
      <w:spacing w:before="160"/>
      <w:ind w:left="0" w:firstLine="0"/>
    </w:pPr>
    <w:rPr>
      <w:b w:val="0"/>
      <w:i/>
    </w:rPr>
  </w:style>
  <w:style w:type="paragraph" w:customStyle="1" w:styleId="HeadingSum">
    <w:name w:val="Heading_Sum"/>
    <w:basedOn w:val="Headingb"/>
    <w:next w:val="Normal"/>
    <w:autoRedefine/>
    <w:rsid w:val="005D0B61"/>
    <w:pPr>
      <w:spacing w:before="240"/>
    </w:pPr>
    <w:rPr>
      <w:sz w:val="22"/>
      <w:lang w:val="es-ES_tradnl"/>
    </w:rPr>
  </w:style>
  <w:style w:type="paragraph" w:customStyle="1" w:styleId="Line">
    <w:name w:val="Line"/>
    <w:basedOn w:val="Normal"/>
    <w:next w:val="Normal"/>
    <w:rsid w:val="005D0B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5D0B61"/>
    <w:pPr>
      <w:spacing w:before="320"/>
    </w:pPr>
  </w:style>
  <w:style w:type="paragraph" w:customStyle="1" w:styleId="Note">
    <w:name w:val="Note"/>
    <w:basedOn w:val="Normal"/>
    <w:rsid w:val="005D0B61"/>
    <w:pPr>
      <w:tabs>
        <w:tab w:val="clear" w:pos="794"/>
        <w:tab w:val="clear" w:pos="1191"/>
        <w:tab w:val="clear" w:pos="1588"/>
        <w:tab w:val="clear" w:pos="1985"/>
      </w:tabs>
      <w:spacing w:before="80"/>
    </w:pPr>
    <w:rPr>
      <w:sz w:val="22"/>
    </w:rPr>
  </w:style>
  <w:style w:type="paragraph" w:customStyle="1" w:styleId="PartNo">
    <w:name w:val="Part_No"/>
    <w:basedOn w:val="Normal"/>
    <w:next w:val="Normal"/>
    <w:rsid w:val="005D0B61"/>
  </w:style>
  <w:style w:type="paragraph" w:customStyle="1" w:styleId="Partref">
    <w:name w:val="Part_ref"/>
    <w:basedOn w:val="Normal"/>
    <w:next w:val="Normal"/>
    <w:rsid w:val="005D0B61"/>
    <w:pPr>
      <w:keepNext/>
      <w:keepLines/>
      <w:spacing w:after="280"/>
      <w:jc w:val="center"/>
    </w:pPr>
  </w:style>
  <w:style w:type="paragraph" w:customStyle="1" w:styleId="Parttitle">
    <w:name w:val="Part_title"/>
    <w:basedOn w:val="Normal"/>
    <w:next w:val="Normalaftertitle"/>
    <w:rsid w:val="005D0B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0B61"/>
  </w:style>
  <w:style w:type="paragraph" w:customStyle="1" w:styleId="QuestionNo">
    <w:name w:val="Question_No"/>
    <w:basedOn w:val="RecNo"/>
    <w:next w:val="Normal"/>
    <w:rsid w:val="005D0B61"/>
  </w:style>
  <w:style w:type="paragraph" w:customStyle="1" w:styleId="Questionref">
    <w:name w:val="Question_ref"/>
    <w:basedOn w:val="Recref"/>
    <w:next w:val="Questiondate"/>
    <w:rsid w:val="005D0B61"/>
  </w:style>
  <w:style w:type="paragraph" w:customStyle="1" w:styleId="Questiontitle">
    <w:name w:val="Question_title"/>
    <w:basedOn w:val="Normal"/>
    <w:next w:val="Questionref"/>
    <w:rsid w:val="005D0B61"/>
  </w:style>
  <w:style w:type="paragraph" w:customStyle="1" w:styleId="Reftext">
    <w:name w:val="Ref_text"/>
    <w:basedOn w:val="Normal"/>
    <w:rsid w:val="005D0B61"/>
    <w:pPr>
      <w:ind w:left="794" w:hanging="794"/>
    </w:pPr>
    <w:rPr>
      <w:sz w:val="22"/>
    </w:rPr>
  </w:style>
  <w:style w:type="paragraph" w:customStyle="1" w:styleId="Reftitle">
    <w:name w:val="Ref_title"/>
    <w:basedOn w:val="Normal"/>
    <w:next w:val="Reftext"/>
    <w:rsid w:val="005D0B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0B61"/>
  </w:style>
  <w:style w:type="paragraph" w:customStyle="1" w:styleId="RepNo">
    <w:name w:val="Rep_No"/>
    <w:basedOn w:val="RecNo"/>
    <w:next w:val="Normal"/>
    <w:rsid w:val="005D0B61"/>
  </w:style>
  <w:style w:type="paragraph" w:customStyle="1" w:styleId="Repref">
    <w:name w:val="Rep_ref"/>
    <w:basedOn w:val="Recref"/>
    <w:next w:val="Repdate"/>
    <w:rsid w:val="005D0B61"/>
  </w:style>
  <w:style w:type="paragraph" w:customStyle="1" w:styleId="Reptitle">
    <w:name w:val="Rep_title"/>
    <w:basedOn w:val="Rectitle"/>
    <w:next w:val="Repref"/>
    <w:rsid w:val="005D0B61"/>
  </w:style>
  <w:style w:type="paragraph" w:customStyle="1" w:styleId="Resdate">
    <w:name w:val="Res_date"/>
    <w:basedOn w:val="Recdate"/>
    <w:next w:val="Normalaftertitle"/>
    <w:rsid w:val="005D0B61"/>
  </w:style>
  <w:style w:type="paragraph" w:customStyle="1" w:styleId="ResNo">
    <w:name w:val="Res_No"/>
    <w:basedOn w:val="RecNo"/>
    <w:next w:val="Normal"/>
    <w:rsid w:val="005D0B61"/>
  </w:style>
  <w:style w:type="paragraph" w:customStyle="1" w:styleId="Resref">
    <w:name w:val="Res_ref"/>
    <w:basedOn w:val="Recref"/>
    <w:next w:val="Resdate"/>
    <w:rsid w:val="005D0B61"/>
  </w:style>
  <w:style w:type="paragraph" w:customStyle="1" w:styleId="Restitle">
    <w:name w:val="Res_title"/>
    <w:basedOn w:val="Normal"/>
    <w:next w:val="Resref"/>
    <w:rsid w:val="005D0B61"/>
    <w:pPr>
      <w:spacing w:before="240"/>
      <w:jc w:val="center"/>
    </w:pPr>
    <w:rPr>
      <w:b/>
      <w:sz w:val="28"/>
    </w:rPr>
  </w:style>
  <w:style w:type="paragraph" w:customStyle="1" w:styleId="SectionNo">
    <w:name w:val="Section_No"/>
    <w:basedOn w:val="Normal"/>
    <w:next w:val="Normal"/>
    <w:rsid w:val="005D0B61"/>
  </w:style>
  <w:style w:type="paragraph" w:customStyle="1" w:styleId="Sectiontitle">
    <w:name w:val="Section_title"/>
    <w:basedOn w:val="Normal"/>
    <w:next w:val="Normalaftertitle"/>
    <w:rsid w:val="005D0B61"/>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5D0B61"/>
    <w:pPr>
      <w:spacing w:after="480"/>
    </w:pPr>
    <w:rPr>
      <w:sz w:val="22"/>
      <w:lang w:val="es-ES_tradnl"/>
    </w:rPr>
  </w:style>
  <w:style w:type="paragraph" w:customStyle="1" w:styleId="TableLegendNote">
    <w:name w:val="Table_Legend_Note"/>
    <w:basedOn w:val="Tablelegend"/>
    <w:next w:val="Tablelegend"/>
    <w:rsid w:val="005D0B61"/>
    <w:pPr>
      <w:ind w:left="-85" w:firstLine="0"/>
    </w:pPr>
    <w:rPr>
      <w:lang w:val="en-US"/>
    </w:rPr>
  </w:style>
  <w:style w:type="paragraph" w:customStyle="1" w:styleId="toc0">
    <w:name w:val="toc 0"/>
    <w:basedOn w:val="Normal"/>
    <w:next w:val="TOC1"/>
    <w:rsid w:val="005D0B61"/>
    <w:pPr>
      <w:tabs>
        <w:tab w:val="clear" w:pos="794"/>
        <w:tab w:val="clear" w:pos="1191"/>
        <w:tab w:val="clear" w:pos="1588"/>
        <w:tab w:val="clear" w:pos="1985"/>
        <w:tab w:val="right" w:pos="9611"/>
      </w:tabs>
    </w:pPr>
    <w:rPr>
      <w:i/>
    </w:rPr>
  </w:style>
  <w:style w:type="paragraph" w:customStyle="1" w:styleId="tocpart">
    <w:name w:val="tocpart"/>
    <w:basedOn w:val="Normal"/>
    <w:rsid w:val="005D0B61"/>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D0B61"/>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TotalTime>
  <Pages>7</Pages>
  <Words>2083</Words>
  <Characters>11868</Characters>
  <Application>Microsoft Office Word</Application>
  <DocSecurity>0</DocSecurity>
  <Lines>847</Lines>
  <Paragraphs>191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cp:lastModifiedBy>
  <cp:revision>7</cp:revision>
  <cp:lastPrinted>2009-06-26T13:19:00Z</cp:lastPrinted>
  <dcterms:created xsi:type="dcterms:W3CDTF">2011-11-23T10:00:00Z</dcterms:created>
  <dcterms:modified xsi:type="dcterms:W3CDTF">2011-11-29T08:33:00Z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