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p w:rsidR="00A041CA" w:rsidRPr="00D4151F" w:rsidRDefault="00A041CA">
      <w:pPr>
        <w:rPr>
          <w:lang w:val="fr-CH"/>
        </w:rPr>
      </w:pPr>
    </w:p>
    <w:tbl>
      <w:tblPr>
        <w:tblW w:w="10089" w:type="dxa"/>
        <w:tblLook w:val="01E0" w:firstRow="1" w:lastRow="1" w:firstColumn="1" w:lastColumn="1" w:noHBand="0" w:noVBand="0"/>
      </w:tblPr>
      <w:tblGrid>
        <w:gridCol w:w="10089"/>
      </w:tblGrid>
      <w:tr w:rsidR="00A041CA" w:rsidRPr="00D4151F">
        <w:tc>
          <w:tcPr>
            <w:tcW w:w="10089" w:type="dxa"/>
          </w:tcPr>
          <w:p w:rsidR="00A041CA" w:rsidRPr="00D4151F" w:rsidRDefault="00A041CA" w:rsidP="00013002">
            <w:pPr>
              <w:spacing w:before="380" w:line="280" w:lineRule="exact"/>
              <w:jc w:val="right"/>
              <w:rPr>
                <w:rFonts w:ascii="Tahoma" w:hAnsi="Tahoma" w:cs="Tahoma"/>
                <w:b/>
                <w:bCs/>
                <w:iCs/>
                <w:color w:val="243285"/>
                <w:sz w:val="32"/>
                <w:szCs w:val="32"/>
                <w:lang w:val="fr-CH"/>
              </w:rPr>
            </w:pPr>
          </w:p>
          <w:p w:rsidR="00A041CA" w:rsidRPr="00D4151F" w:rsidRDefault="00A041CA" w:rsidP="006156FE">
            <w:pPr>
              <w:spacing w:before="380" w:line="280" w:lineRule="exact"/>
              <w:jc w:val="right"/>
              <w:rPr>
                <w:rFonts w:ascii="Tahoma" w:hAnsi="Tahoma" w:cs="Tahoma"/>
                <w:b/>
                <w:bCs/>
                <w:iCs/>
                <w:color w:val="243285"/>
                <w:sz w:val="36"/>
                <w:szCs w:val="36"/>
                <w:lang w:val="fr-CH"/>
              </w:rPr>
            </w:pPr>
            <w:r w:rsidRPr="00D4151F">
              <w:rPr>
                <w:rFonts w:ascii="Tahoma" w:hAnsi="Tahoma" w:cs="Tahoma"/>
                <w:b/>
                <w:bCs/>
                <w:iCs/>
                <w:color w:val="243285"/>
                <w:sz w:val="36"/>
                <w:szCs w:val="36"/>
                <w:lang w:val="fr-CH"/>
              </w:rPr>
              <w:t>Recommandation  UIT-R  M.</w:t>
            </w:r>
            <w:r w:rsidR="006156FE" w:rsidRPr="00D4151F">
              <w:rPr>
                <w:rFonts w:ascii="Tahoma" w:hAnsi="Tahoma" w:cs="Tahoma"/>
                <w:b/>
                <w:bCs/>
                <w:iCs/>
                <w:color w:val="243285"/>
                <w:sz w:val="36"/>
                <w:szCs w:val="36"/>
                <w:lang w:val="fr-CH"/>
              </w:rPr>
              <w:t>1854-1</w:t>
            </w:r>
          </w:p>
          <w:p w:rsidR="00A041CA" w:rsidRPr="00D4151F" w:rsidRDefault="00A041CA" w:rsidP="006156FE">
            <w:pPr>
              <w:spacing w:before="80" w:line="280" w:lineRule="exact"/>
              <w:jc w:val="right"/>
              <w:rPr>
                <w:rFonts w:ascii="Tahoma" w:hAnsi="Tahoma" w:cs="Tahoma"/>
                <w:b/>
                <w:bCs/>
                <w:iCs/>
                <w:color w:val="243285"/>
                <w:szCs w:val="24"/>
                <w:lang w:val="fr-CH"/>
              </w:rPr>
            </w:pPr>
            <w:r w:rsidRPr="00D4151F">
              <w:rPr>
                <w:rFonts w:ascii="Tahoma" w:hAnsi="Tahoma" w:cs="Tahoma"/>
                <w:b/>
                <w:bCs/>
                <w:iCs/>
                <w:color w:val="243285"/>
                <w:szCs w:val="24"/>
                <w:lang w:val="fr-CH"/>
              </w:rPr>
              <w:t>(0</w:t>
            </w:r>
            <w:r w:rsidR="006156FE" w:rsidRPr="00D4151F">
              <w:rPr>
                <w:rFonts w:ascii="Tahoma" w:hAnsi="Tahoma" w:cs="Tahoma"/>
                <w:b/>
                <w:bCs/>
                <w:iCs/>
                <w:color w:val="243285"/>
                <w:szCs w:val="24"/>
                <w:lang w:val="fr-CH"/>
              </w:rPr>
              <w:t>1</w:t>
            </w:r>
            <w:r w:rsidRPr="00D4151F">
              <w:rPr>
                <w:rFonts w:ascii="Tahoma" w:hAnsi="Tahoma" w:cs="Tahoma"/>
                <w:b/>
                <w:bCs/>
                <w:iCs/>
                <w:color w:val="243285"/>
                <w:szCs w:val="24"/>
                <w:lang w:val="fr-CH"/>
              </w:rPr>
              <w:t>/</w:t>
            </w:r>
            <w:r w:rsidR="006156FE" w:rsidRPr="00D4151F">
              <w:rPr>
                <w:rFonts w:ascii="Tahoma" w:hAnsi="Tahoma" w:cs="Tahoma"/>
                <w:b/>
                <w:bCs/>
                <w:iCs/>
                <w:color w:val="243285"/>
                <w:szCs w:val="24"/>
                <w:lang w:val="fr-CH"/>
              </w:rPr>
              <w:t>2012</w:t>
            </w:r>
            <w:r w:rsidRPr="00D4151F">
              <w:rPr>
                <w:rFonts w:ascii="Tahoma" w:hAnsi="Tahoma" w:cs="Tahoma"/>
                <w:b/>
                <w:bCs/>
                <w:iCs/>
                <w:color w:val="243285"/>
                <w:szCs w:val="24"/>
                <w:lang w:val="fr-CH"/>
              </w:rPr>
              <w:t>)</w:t>
            </w:r>
          </w:p>
        </w:tc>
      </w:tr>
      <w:tr w:rsidR="00A041CA" w:rsidRPr="00D4151F">
        <w:tc>
          <w:tcPr>
            <w:tcW w:w="10089" w:type="dxa"/>
          </w:tcPr>
          <w:p w:rsidR="00A041CA" w:rsidRPr="00D4151F" w:rsidRDefault="00A041CA" w:rsidP="00123FD5">
            <w:pPr>
              <w:spacing w:before="80" w:line="500" w:lineRule="exact"/>
              <w:jc w:val="right"/>
              <w:rPr>
                <w:rFonts w:ascii="Tahoma" w:hAnsi="Tahoma" w:cs="Tahoma"/>
                <w:b/>
                <w:bCs/>
                <w:iCs/>
                <w:color w:val="243285"/>
                <w:sz w:val="44"/>
                <w:szCs w:val="44"/>
                <w:lang w:val="fr-CH"/>
              </w:rPr>
            </w:pPr>
          </w:p>
          <w:p w:rsidR="00A041CA" w:rsidRPr="00D4151F" w:rsidRDefault="00A041CA" w:rsidP="002B6FA8">
            <w:pPr>
              <w:spacing w:before="80" w:line="500" w:lineRule="exact"/>
              <w:jc w:val="right"/>
              <w:rPr>
                <w:rFonts w:ascii="Tahoma" w:hAnsi="Tahoma" w:cs="Tahoma"/>
                <w:b/>
                <w:bCs/>
                <w:iCs/>
                <w:color w:val="243285"/>
                <w:sz w:val="44"/>
                <w:szCs w:val="44"/>
                <w:lang w:val="fr-CH"/>
              </w:rPr>
            </w:pPr>
            <w:r w:rsidRPr="00D4151F">
              <w:rPr>
                <w:rFonts w:ascii="Tahoma" w:hAnsi="Tahoma" w:cs="Tahoma"/>
                <w:b/>
                <w:bCs/>
                <w:iCs/>
                <w:color w:val="243285"/>
                <w:sz w:val="44"/>
                <w:szCs w:val="44"/>
                <w:lang w:val="fr-CH"/>
              </w:rPr>
              <w:t xml:space="preserve">Utilisation du service mobile par satellite (SMS) pour les interventions et les </w:t>
            </w:r>
            <w:r w:rsidRPr="00D4151F">
              <w:rPr>
                <w:rFonts w:ascii="Tahoma" w:hAnsi="Tahoma" w:cs="Tahoma"/>
                <w:b/>
                <w:bCs/>
                <w:iCs/>
                <w:color w:val="243285"/>
                <w:sz w:val="44"/>
                <w:szCs w:val="44"/>
                <w:lang w:val="fr-CH"/>
              </w:rPr>
              <w:br/>
              <w:t>secours en cas de catastrophe</w:t>
            </w:r>
          </w:p>
        </w:tc>
      </w:tr>
      <w:tr w:rsidR="00A041CA" w:rsidRPr="00D4151F">
        <w:tc>
          <w:tcPr>
            <w:tcW w:w="10089" w:type="dxa"/>
          </w:tcPr>
          <w:p w:rsidR="00A041CA" w:rsidRPr="00D4151F" w:rsidRDefault="00A041CA" w:rsidP="00AD267B">
            <w:pPr>
              <w:spacing w:before="80" w:line="280" w:lineRule="exact"/>
              <w:ind w:right="640"/>
              <w:rPr>
                <w:rFonts w:ascii="Tahoma" w:hAnsi="Tahoma" w:cs="Tahoma"/>
                <w:b/>
                <w:bCs/>
                <w:iCs/>
                <w:color w:val="243285"/>
                <w:sz w:val="32"/>
                <w:szCs w:val="32"/>
                <w:lang w:val="fr-CH"/>
              </w:rPr>
            </w:pPr>
          </w:p>
          <w:p w:rsidR="00A041CA" w:rsidRPr="00D4151F" w:rsidRDefault="00A041CA" w:rsidP="00AD267B">
            <w:pPr>
              <w:spacing w:before="80" w:line="280" w:lineRule="exact"/>
              <w:ind w:right="640"/>
              <w:rPr>
                <w:rFonts w:ascii="Tahoma" w:hAnsi="Tahoma" w:cs="Tahoma"/>
                <w:b/>
                <w:bCs/>
                <w:iCs/>
                <w:color w:val="243285"/>
                <w:sz w:val="32"/>
                <w:szCs w:val="32"/>
                <w:lang w:val="fr-CH"/>
              </w:rPr>
            </w:pPr>
          </w:p>
          <w:p w:rsidR="00A041CA" w:rsidRPr="00D4151F" w:rsidRDefault="00A041CA" w:rsidP="004A4D65">
            <w:pPr>
              <w:spacing w:before="80" w:after="180" w:line="360" w:lineRule="exact"/>
              <w:ind w:right="720"/>
              <w:rPr>
                <w:rFonts w:ascii="Tahoma" w:hAnsi="Tahoma" w:cs="Tahoma"/>
                <w:b/>
                <w:bCs/>
                <w:iCs/>
                <w:color w:val="243285"/>
                <w:sz w:val="36"/>
                <w:szCs w:val="36"/>
                <w:lang w:val="fr-CH"/>
              </w:rPr>
            </w:pPr>
          </w:p>
          <w:p w:rsidR="00A041CA" w:rsidRPr="00D4151F" w:rsidRDefault="00A041CA" w:rsidP="00592F9F">
            <w:pPr>
              <w:spacing w:before="80" w:after="180" w:line="360" w:lineRule="exact"/>
              <w:jc w:val="right"/>
              <w:rPr>
                <w:rFonts w:ascii="Tahoma" w:hAnsi="Tahoma" w:cs="Tahoma"/>
                <w:b/>
                <w:bCs/>
                <w:iCs/>
                <w:color w:val="243285"/>
                <w:sz w:val="36"/>
                <w:szCs w:val="36"/>
                <w:lang w:val="fr-CH"/>
              </w:rPr>
            </w:pPr>
            <w:r w:rsidRPr="00D4151F">
              <w:rPr>
                <w:rFonts w:ascii="Tahoma" w:hAnsi="Tahoma" w:cs="Tahoma"/>
                <w:b/>
                <w:bCs/>
                <w:iCs/>
                <w:color w:val="243285"/>
                <w:sz w:val="36"/>
                <w:szCs w:val="36"/>
                <w:lang w:val="fr-CH"/>
              </w:rPr>
              <w:t>Série M</w:t>
            </w:r>
          </w:p>
          <w:p w:rsidR="00A041CA" w:rsidRPr="00D4151F" w:rsidRDefault="00A041CA" w:rsidP="00AD267B">
            <w:pPr>
              <w:spacing w:before="80" w:line="420" w:lineRule="exact"/>
              <w:jc w:val="right"/>
              <w:rPr>
                <w:rFonts w:ascii="Tahoma" w:hAnsi="Tahoma" w:cs="Tahoma"/>
                <w:b/>
                <w:bCs/>
                <w:iCs/>
                <w:color w:val="243285"/>
                <w:sz w:val="36"/>
                <w:szCs w:val="36"/>
                <w:lang w:val="fr-CH"/>
              </w:rPr>
            </w:pPr>
            <w:r w:rsidRPr="00D4151F">
              <w:rPr>
                <w:rFonts w:ascii="Tahoma" w:hAnsi="Tahoma" w:cs="Tahoma"/>
                <w:b/>
                <w:bCs/>
                <w:iCs/>
                <w:color w:val="243285"/>
                <w:sz w:val="36"/>
                <w:szCs w:val="36"/>
                <w:lang w:val="fr-CH"/>
              </w:rPr>
              <w:t>Services mobile, de radiorepérage et d’amateur</w:t>
            </w:r>
            <w:r w:rsidRPr="00D4151F">
              <w:rPr>
                <w:rFonts w:ascii="Tahoma" w:hAnsi="Tahoma" w:cs="Tahoma"/>
                <w:b/>
                <w:bCs/>
                <w:iCs/>
                <w:color w:val="243285"/>
                <w:sz w:val="36"/>
                <w:szCs w:val="36"/>
                <w:lang w:val="fr-CH"/>
              </w:rPr>
              <w:br/>
              <w:t>y compris les services par satellite associés</w:t>
            </w:r>
          </w:p>
        </w:tc>
      </w:tr>
    </w:tbl>
    <w:p w:rsidR="00A041CA" w:rsidRPr="00D4151F" w:rsidRDefault="00A041CA" w:rsidP="00CD659B">
      <w:pPr>
        <w:spacing w:before="80"/>
        <w:rPr>
          <w:i/>
          <w:sz w:val="22"/>
          <w:lang w:val="fr-CH"/>
        </w:rPr>
      </w:pPr>
    </w:p>
    <w:p w:rsidR="00A041CA" w:rsidRPr="00D4151F" w:rsidRDefault="00A041CA" w:rsidP="00CD659B">
      <w:pPr>
        <w:spacing w:before="80"/>
        <w:rPr>
          <w:i/>
          <w:sz w:val="22"/>
          <w:lang w:val="fr-CH"/>
        </w:rPr>
      </w:pPr>
    </w:p>
    <w:p w:rsidR="00A041CA" w:rsidRPr="00D4151F" w:rsidRDefault="00A041CA" w:rsidP="00CD659B">
      <w:pPr>
        <w:spacing w:before="80"/>
        <w:rPr>
          <w:i/>
          <w:sz w:val="22"/>
          <w:lang w:val="fr-CH"/>
        </w:rPr>
      </w:pPr>
    </w:p>
    <w:p w:rsidR="00A041CA" w:rsidRPr="00D4151F" w:rsidRDefault="00A041CA" w:rsidP="00CD659B">
      <w:pPr>
        <w:spacing w:before="80"/>
        <w:rPr>
          <w:i/>
          <w:sz w:val="22"/>
          <w:lang w:val="fr-CH"/>
        </w:rPr>
      </w:pPr>
    </w:p>
    <w:p w:rsidR="00A041CA" w:rsidRPr="00D4151F" w:rsidRDefault="00A041CA" w:rsidP="00CD659B">
      <w:pPr>
        <w:spacing w:before="80"/>
        <w:rPr>
          <w:i/>
          <w:sz w:val="22"/>
          <w:lang w:val="fr-CH"/>
        </w:rPr>
      </w:pPr>
    </w:p>
    <w:p w:rsidR="00A041CA" w:rsidRPr="00D4151F" w:rsidRDefault="00A041CA" w:rsidP="00CD659B">
      <w:pPr>
        <w:spacing w:before="80"/>
        <w:rPr>
          <w:i/>
          <w:sz w:val="22"/>
          <w:lang w:val="fr-CH"/>
        </w:rPr>
      </w:pPr>
    </w:p>
    <w:p w:rsidR="00A041CA" w:rsidRPr="00D4151F" w:rsidRDefault="00A041CA" w:rsidP="00CD659B">
      <w:pPr>
        <w:pStyle w:val="Equation"/>
        <w:tabs>
          <w:tab w:val="clear" w:pos="4820"/>
          <w:tab w:val="clear" w:pos="9639"/>
          <w:tab w:val="left" w:pos="1191"/>
          <w:tab w:val="left" w:pos="1588"/>
          <w:tab w:val="left" w:pos="1985"/>
        </w:tabs>
        <w:rPr>
          <w:rFonts w:ascii="Palatino Linotype" w:hAnsi="Palatino Linotype"/>
          <w:lang w:val="fr-CH"/>
        </w:rPr>
        <w:sectPr w:rsidR="00A041CA" w:rsidRPr="00D4151F" w:rsidSect="00E81221">
          <w:headerReference w:type="even" r:id="rId6"/>
          <w:headerReference w:type="default" r:id="rId7"/>
          <w:pgSz w:w="11907" w:h="16834" w:code="9"/>
          <w:pgMar w:top="1418" w:right="1134" w:bottom="1134" w:left="1134" w:header="720" w:footer="482" w:gutter="0"/>
          <w:paperSrc w:first="15" w:other="15"/>
          <w:cols w:space="720"/>
        </w:sectPr>
      </w:pPr>
    </w:p>
    <w:p w:rsidR="00A041CA" w:rsidRPr="00D4151F" w:rsidRDefault="00A041CA"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D4151F">
        <w:rPr>
          <w:bCs/>
          <w:sz w:val="24"/>
          <w:szCs w:val="24"/>
          <w:lang w:val="fr-CH"/>
        </w:rPr>
        <w:lastRenderedPageBreak/>
        <w:t>Avant-propos</w:t>
      </w:r>
    </w:p>
    <w:p w:rsidR="00A041CA" w:rsidRPr="00D4151F" w:rsidRDefault="00A041CA" w:rsidP="00F54FBD">
      <w:pPr>
        <w:spacing w:before="240"/>
        <w:rPr>
          <w:sz w:val="20"/>
          <w:lang w:val="fr-CH"/>
        </w:rPr>
      </w:pPr>
      <w:r w:rsidRPr="00D4151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041CA" w:rsidRPr="00D4151F" w:rsidRDefault="00A041CA" w:rsidP="00F54FBD">
      <w:pPr>
        <w:rPr>
          <w:sz w:val="20"/>
          <w:lang w:val="fr-CH"/>
        </w:rPr>
      </w:pPr>
      <w:r w:rsidRPr="00D4151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041CA" w:rsidRPr="00D4151F" w:rsidRDefault="00A041CA" w:rsidP="00614CC6">
      <w:pPr>
        <w:pStyle w:val="Heading1"/>
        <w:spacing w:before="360"/>
        <w:jc w:val="center"/>
        <w:rPr>
          <w:szCs w:val="24"/>
          <w:lang w:val="fr-CH"/>
        </w:rPr>
      </w:pPr>
      <w:r w:rsidRPr="00D4151F">
        <w:rPr>
          <w:szCs w:val="24"/>
          <w:lang w:val="fr-CH"/>
        </w:rPr>
        <w:t>Politique en matière de droits de propriété intellectuelle (IPR)</w:t>
      </w:r>
    </w:p>
    <w:p w:rsidR="00A041CA" w:rsidRPr="00D4151F" w:rsidRDefault="00A041CA" w:rsidP="00E44CBB">
      <w:pPr>
        <w:spacing w:before="240"/>
        <w:rPr>
          <w:sz w:val="20"/>
          <w:lang w:val="fr-CH"/>
        </w:rPr>
      </w:pPr>
      <w:r w:rsidRPr="00D4151F">
        <w:rPr>
          <w:sz w:val="20"/>
          <w:lang w:val="fr-CH"/>
        </w:rPr>
        <w:t>La politique de l'UIT</w:t>
      </w:r>
      <w:r w:rsidRPr="00D4151F">
        <w:rPr>
          <w:sz w:val="20"/>
          <w:lang w:val="fr-CH"/>
        </w:rPr>
        <w:noBreakHyphen/>
        <w:t>R en matière de droits de propriété intellectuelle est décrite dans la «Politique commune de l'UIT</w:t>
      </w:r>
      <w:r w:rsidRPr="00D4151F">
        <w:rPr>
          <w:sz w:val="20"/>
          <w:lang w:val="fr-CH"/>
        </w:rPr>
        <w:noBreakHyphen/>
        <w:t>T, l'UIT</w:t>
      </w:r>
      <w:r w:rsidRPr="00D4151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D4151F">
          <w:rPr>
            <w:rStyle w:val="Hyperlink"/>
            <w:sz w:val="20"/>
            <w:lang w:val="fr-CH"/>
          </w:rPr>
          <w:t>http://www.itu.int/ITU-R/go/patents/fr</w:t>
        </w:r>
      </w:hyperlink>
      <w:r w:rsidRPr="00D4151F">
        <w:rPr>
          <w:sz w:val="20"/>
          <w:lang w:val="fr-CH"/>
        </w:rPr>
        <w:t xml:space="preserve">, où l'on trouvera également les Lignes directrices pour la mise en </w:t>
      </w:r>
      <w:r w:rsidR="00D4151F" w:rsidRPr="00D4151F">
        <w:rPr>
          <w:sz w:val="20"/>
          <w:lang w:val="fr-CH"/>
        </w:rPr>
        <w:t>œuvre</w:t>
      </w:r>
      <w:r w:rsidRPr="00D4151F">
        <w:rPr>
          <w:sz w:val="20"/>
          <w:lang w:val="fr-CH"/>
        </w:rPr>
        <w:t xml:space="preserve"> de la politique commune en matière de brevets de l'UIT</w:t>
      </w:r>
      <w:r w:rsidRPr="00D4151F">
        <w:rPr>
          <w:sz w:val="20"/>
          <w:lang w:val="fr-CH"/>
        </w:rPr>
        <w:noBreakHyphen/>
        <w:t>T, l'UIT</w:t>
      </w:r>
      <w:r w:rsidRPr="00D4151F">
        <w:rPr>
          <w:sz w:val="20"/>
          <w:lang w:val="fr-CH"/>
        </w:rPr>
        <w:noBreakHyphen/>
        <w:t>R, l'ISO et la CEI</w:t>
      </w:r>
      <w:r w:rsidRPr="00D4151F" w:rsidDel="0061025C">
        <w:rPr>
          <w:sz w:val="20"/>
          <w:lang w:val="fr-CH"/>
        </w:rPr>
        <w:t xml:space="preserve"> </w:t>
      </w:r>
      <w:r w:rsidRPr="00D4151F">
        <w:rPr>
          <w:sz w:val="20"/>
          <w:lang w:val="fr-CH"/>
        </w:rPr>
        <w:t>et la base de données en matière de brevets de l'UIT-R.</w:t>
      </w:r>
    </w:p>
    <w:p w:rsidR="00A041CA" w:rsidRPr="00D4151F" w:rsidRDefault="00A041CA"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041CA" w:rsidRPr="00D4151F">
        <w:tc>
          <w:tcPr>
            <w:tcW w:w="9360" w:type="dxa"/>
            <w:gridSpan w:val="2"/>
          </w:tcPr>
          <w:p w:rsidR="00A041CA" w:rsidRPr="00D4151F" w:rsidRDefault="00A041CA"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4151F">
              <w:rPr>
                <w:sz w:val="22"/>
                <w:szCs w:val="22"/>
                <w:lang w:val="fr-CH"/>
              </w:rPr>
              <w:t xml:space="preserve">Séries des Recommandations UIT-R </w:t>
            </w:r>
          </w:p>
          <w:p w:rsidR="00A041CA" w:rsidRPr="00D4151F" w:rsidRDefault="00A041C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4151F">
              <w:rPr>
                <w:b w:val="0"/>
                <w:sz w:val="18"/>
                <w:szCs w:val="18"/>
                <w:lang w:val="fr-CH"/>
              </w:rPr>
              <w:t>(</w:t>
            </w:r>
            <w:proofErr w:type="spellStart"/>
            <w:r w:rsidRPr="00D4151F">
              <w:rPr>
                <w:b w:val="0"/>
                <w:sz w:val="18"/>
                <w:szCs w:val="18"/>
                <w:lang w:val="fr-CH"/>
              </w:rPr>
              <w:t>Egalement</w:t>
            </w:r>
            <w:proofErr w:type="spellEnd"/>
            <w:r w:rsidRPr="00D4151F">
              <w:rPr>
                <w:b w:val="0"/>
                <w:sz w:val="18"/>
                <w:szCs w:val="18"/>
                <w:lang w:val="fr-CH"/>
              </w:rPr>
              <w:t xml:space="preserve"> disponible en ligne: </w:t>
            </w:r>
            <w:hyperlink r:id="rId9" w:history="1">
              <w:r w:rsidRPr="00D4151F">
                <w:rPr>
                  <w:rStyle w:val="Hyperlink"/>
                  <w:b w:val="0"/>
                  <w:bCs/>
                  <w:sz w:val="18"/>
                  <w:szCs w:val="18"/>
                  <w:lang w:val="fr-CH"/>
                </w:rPr>
                <w:t>http://www.itu.int/publ/R-REC/fr</w:t>
              </w:r>
            </w:hyperlink>
            <w:r w:rsidRPr="00D4151F">
              <w:rPr>
                <w:b w:val="0"/>
                <w:bCs/>
                <w:sz w:val="18"/>
                <w:szCs w:val="18"/>
                <w:lang w:val="fr-CH"/>
              </w:rPr>
              <w:t>)</w:t>
            </w:r>
          </w:p>
        </w:tc>
      </w:tr>
      <w:tr w:rsidR="00A041CA" w:rsidRPr="00D4151F">
        <w:tc>
          <w:tcPr>
            <w:tcW w:w="1140" w:type="dxa"/>
          </w:tcPr>
          <w:p w:rsidR="00A041CA" w:rsidRPr="00D4151F" w:rsidRDefault="00A041CA" w:rsidP="00614CC6">
            <w:pPr>
              <w:spacing w:before="90" w:after="100"/>
              <w:ind w:left="57"/>
              <w:rPr>
                <w:b/>
                <w:bCs/>
                <w:sz w:val="20"/>
                <w:lang w:val="fr-CH"/>
              </w:rPr>
            </w:pPr>
            <w:r w:rsidRPr="00D4151F">
              <w:rPr>
                <w:b/>
                <w:bCs/>
                <w:sz w:val="20"/>
                <w:lang w:val="fr-CH"/>
              </w:rPr>
              <w:t>Séries</w:t>
            </w:r>
          </w:p>
        </w:tc>
        <w:tc>
          <w:tcPr>
            <w:tcW w:w="8220" w:type="dxa"/>
          </w:tcPr>
          <w:p w:rsidR="00A041CA" w:rsidRPr="00D4151F" w:rsidRDefault="00A041CA"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4151F">
              <w:rPr>
                <w:bCs/>
                <w:sz w:val="20"/>
                <w:lang w:val="fr-CH"/>
              </w:rPr>
              <w:t>Titre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BO</w:t>
            </w:r>
          </w:p>
        </w:tc>
        <w:tc>
          <w:tcPr>
            <w:tcW w:w="8220" w:type="dxa"/>
          </w:tcPr>
          <w:p w:rsidR="00A041CA" w:rsidRPr="00D4151F" w:rsidRDefault="00A041C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151F">
              <w:rPr>
                <w:b w:val="0"/>
                <w:bCs/>
                <w:sz w:val="20"/>
                <w:lang w:val="fr-CH"/>
              </w:rPr>
              <w:t>Diffusion par satellite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BR</w:t>
            </w:r>
          </w:p>
        </w:tc>
        <w:tc>
          <w:tcPr>
            <w:tcW w:w="8220" w:type="dxa"/>
          </w:tcPr>
          <w:p w:rsidR="00A041CA" w:rsidRPr="00D4151F" w:rsidRDefault="00A041C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151F">
              <w:rPr>
                <w:b w:val="0"/>
                <w:bCs/>
                <w:sz w:val="20"/>
                <w:lang w:val="fr-CH"/>
              </w:rPr>
              <w:t>Enregistrement pour la production, l'archivage et la diffusion; films pour la télévision</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BS</w:t>
            </w:r>
          </w:p>
        </w:tc>
        <w:tc>
          <w:tcPr>
            <w:tcW w:w="8220" w:type="dxa"/>
          </w:tcPr>
          <w:p w:rsidR="00A041CA" w:rsidRPr="00D4151F" w:rsidRDefault="00A041C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151F">
              <w:rPr>
                <w:b w:val="0"/>
                <w:bCs/>
                <w:sz w:val="20"/>
                <w:lang w:val="fr-CH"/>
              </w:rPr>
              <w:t>Service de radiodiffusion sonore</w:t>
            </w:r>
          </w:p>
        </w:tc>
      </w:tr>
      <w:tr w:rsidR="00A041CA" w:rsidRPr="00D4151F">
        <w:tc>
          <w:tcPr>
            <w:tcW w:w="1140" w:type="dxa"/>
            <w:shd w:val="clear" w:color="auto" w:fill="auto"/>
          </w:tcPr>
          <w:p w:rsidR="00A041CA" w:rsidRPr="00D4151F" w:rsidRDefault="00A041CA" w:rsidP="00F336CC">
            <w:pPr>
              <w:spacing w:before="30" w:after="30"/>
              <w:ind w:left="57"/>
              <w:jc w:val="left"/>
              <w:rPr>
                <w:b/>
                <w:bCs/>
                <w:sz w:val="20"/>
                <w:lang w:val="fr-CH"/>
              </w:rPr>
            </w:pPr>
            <w:r w:rsidRPr="00D4151F">
              <w:rPr>
                <w:b/>
                <w:bCs/>
                <w:sz w:val="20"/>
                <w:lang w:val="fr-CH"/>
              </w:rPr>
              <w:t>BT</w:t>
            </w:r>
          </w:p>
        </w:tc>
        <w:tc>
          <w:tcPr>
            <w:tcW w:w="8220" w:type="dxa"/>
            <w:shd w:val="clear" w:color="auto" w:fill="auto"/>
          </w:tcPr>
          <w:p w:rsidR="00A041CA" w:rsidRPr="00D4151F" w:rsidRDefault="00A041C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4151F">
              <w:rPr>
                <w:b w:val="0"/>
                <w:bCs/>
                <w:sz w:val="20"/>
                <w:lang w:val="fr-CH"/>
              </w:rPr>
              <w:t>Service de radiodiffusion télévisuelle</w:t>
            </w:r>
          </w:p>
        </w:tc>
      </w:tr>
      <w:tr w:rsidR="00A041CA" w:rsidRPr="00D4151F">
        <w:tc>
          <w:tcPr>
            <w:tcW w:w="1140" w:type="dxa"/>
            <w:shd w:val="clear" w:color="auto" w:fill="auto"/>
          </w:tcPr>
          <w:p w:rsidR="00A041CA" w:rsidRPr="00D4151F" w:rsidRDefault="00A041CA" w:rsidP="00F336CC">
            <w:pPr>
              <w:spacing w:before="30" w:after="30"/>
              <w:ind w:left="57"/>
              <w:jc w:val="left"/>
              <w:rPr>
                <w:b/>
                <w:bCs/>
                <w:sz w:val="20"/>
                <w:lang w:val="fr-CH"/>
              </w:rPr>
            </w:pPr>
            <w:r w:rsidRPr="00D4151F">
              <w:rPr>
                <w:b/>
                <w:bCs/>
                <w:sz w:val="20"/>
                <w:lang w:val="fr-CH"/>
              </w:rPr>
              <w:t>F</w:t>
            </w:r>
          </w:p>
        </w:tc>
        <w:tc>
          <w:tcPr>
            <w:tcW w:w="8220" w:type="dxa"/>
            <w:shd w:val="clear" w:color="auto" w:fill="auto"/>
          </w:tcPr>
          <w:p w:rsidR="00A041CA" w:rsidRPr="00D4151F" w:rsidRDefault="00A041C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151F">
              <w:rPr>
                <w:sz w:val="20"/>
                <w:lang w:val="fr-CH"/>
              </w:rPr>
              <w:t>Service fixe</w:t>
            </w:r>
          </w:p>
        </w:tc>
      </w:tr>
      <w:tr w:rsidR="00A041CA" w:rsidRPr="00D4151F">
        <w:tc>
          <w:tcPr>
            <w:tcW w:w="1140" w:type="dxa"/>
            <w:shd w:val="clear" w:color="auto" w:fill="F3F3F3"/>
          </w:tcPr>
          <w:p w:rsidR="00A041CA" w:rsidRPr="00D4151F" w:rsidRDefault="00A041CA" w:rsidP="00F336CC">
            <w:pPr>
              <w:spacing w:before="30" w:after="30"/>
              <w:ind w:left="57"/>
              <w:jc w:val="left"/>
              <w:rPr>
                <w:b/>
                <w:bCs/>
                <w:color w:val="000080"/>
                <w:sz w:val="20"/>
                <w:lang w:val="fr-CH"/>
              </w:rPr>
            </w:pPr>
            <w:r w:rsidRPr="00D4151F">
              <w:rPr>
                <w:b/>
                <w:bCs/>
                <w:color w:val="000080"/>
                <w:sz w:val="20"/>
                <w:lang w:val="fr-CH"/>
              </w:rPr>
              <w:t>M</w:t>
            </w:r>
          </w:p>
        </w:tc>
        <w:tc>
          <w:tcPr>
            <w:tcW w:w="8220" w:type="dxa"/>
            <w:shd w:val="clear" w:color="auto" w:fill="F3F3F3"/>
          </w:tcPr>
          <w:p w:rsidR="00A041CA" w:rsidRPr="00D4151F" w:rsidRDefault="00A041C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D4151F">
              <w:rPr>
                <w:bCs/>
                <w:color w:val="000080"/>
                <w:sz w:val="20"/>
                <w:lang w:val="fr-CH"/>
              </w:rPr>
              <w:t>Services mobile, de radiorepérage et d'amateur y compris les services par satellite associés</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P</w:t>
            </w:r>
          </w:p>
        </w:tc>
        <w:tc>
          <w:tcPr>
            <w:tcW w:w="8220" w:type="dxa"/>
          </w:tcPr>
          <w:p w:rsidR="00A041CA" w:rsidRPr="00D4151F" w:rsidRDefault="00A041CA" w:rsidP="00F336CC">
            <w:pPr>
              <w:spacing w:before="30" w:after="30"/>
              <w:jc w:val="left"/>
              <w:rPr>
                <w:sz w:val="20"/>
                <w:lang w:val="fr-CH"/>
              </w:rPr>
            </w:pPr>
            <w:r w:rsidRPr="00D4151F">
              <w:rPr>
                <w:sz w:val="20"/>
                <w:lang w:val="fr-CH"/>
              </w:rPr>
              <w:t>Propagation des ondes radioélectriques</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RA</w:t>
            </w:r>
          </w:p>
        </w:tc>
        <w:tc>
          <w:tcPr>
            <w:tcW w:w="8220" w:type="dxa"/>
          </w:tcPr>
          <w:p w:rsidR="00A041CA" w:rsidRPr="00D4151F" w:rsidRDefault="00A041C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151F">
              <w:rPr>
                <w:sz w:val="20"/>
                <w:lang w:val="fr-CH"/>
              </w:rPr>
              <w:t>Radio astronomie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RS</w:t>
            </w:r>
          </w:p>
        </w:tc>
        <w:tc>
          <w:tcPr>
            <w:tcW w:w="8220" w:type="dxa"/>
          </w:tcPr>
          <w:p w:rsidR="00A041CA" w:rsidRPr="00D4151F" w:rsidRDefault="00A041C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4151F">
              <w:rPr>
                <w:sz w:val="20"/>
                <w:lang w:val="fr-CH"/>
              </w:rPr>
              <w:t>Systèmes de télédétection</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S</w:t>
            </w:r>
          </w:p>
        </w:tc>
        <w:tc>
          <w:tcPr>
            <w:tcW w:w="8220" w:type="dxa"/>
          </w:tcPr>
          <w:p w:rsidR="00A041CA" w:rsidRPr="00D4151F" w:rsidRDefault="00A041CA" w:rsidP="00F336CC">
            <w:pPr>
              <w:spacing w:before="30" w:after="30"/>
              <w:jc w:val="left"/>
              <w:rPr>
                <w:sz w:val="20"/>
                <w:lang w:val="fr-CH"/>
              </w:rPr>
            </w:pPr>
            <w:r w:rsidRPr="00D4151F">
              <w:rPr>
                <w:sz w:val="20"/>
                <w:lang w:val="fr-CH"/>
              </w:rPr>
              <w:t>Service fixe par satellite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SA</w:t>
            </w:r>
          </w:p>
        </w:tc>
        <w:tc>
          <w:tcPr>
            <w:tcW w:w="8220" w:type="dxa"/>
          </w:tcPr>
          <w:p w:rsidR="00A041CA" w:rsidRPr="00D4151F" w:rsidRDefault="00A041CA" w:rsidP="00F336CC">
            <w:pPr>
              <w:spacing w:before="30" w:after="30"/>
              <w:jc w:val="left"/>
              <w:rPr>
                <w:sz w:val="20"/>
                <w:lang w:val="fr-CH"/>
              </w:rPr>
            </w:pPr>
            <w:r w:rsidRPr="00D4151F">
              <w:rPr>
                <w:sz w:val="20"/>
                <w:lang w:val="fr-CH"/>
              </w:rPr>
              <w:t>Applications spatiales et météorologie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SF</w:t>
            </w:r>
          </w:p>
        </w:tc>
        <w:tc>
          <w:tcPr>
            <w:tcW w:w="8220" w:type="dxa"/>
          </w:tcPr>
          <w:p w:rsidR="00A041CA" w:rsidRPr="00D4151F" w:rsidRDefault="00A041CA" w:rsidP="00F336CC">
            <w:pPr>
              <w:spacing w:before="30" w:after="30"/>
              <w:jc w:val="left"/>
              <w:rPr>
                <w:sz w:val="20"/>
                <w:lang w:val="fr-CH"/>
              </w:rPr>
            </w:pPr>
            <w:r w:rsidRPr="00D4151F">
              <w:rPr>
                <w:sz w:val="20"/>
                <w:lang w:val="fr-CH"/>
              </w:rPr>
              <w:t>Partage des fréquences et coordination entre les systèmes du service fixe par satellite et du service fixe</w:t>
            </w:r>
          </w:p>
        </w:tc>
      </w:tr>
      <w:tr w:rsidR="00A041CA" w:rsidRPr="00D4151F">
        <w:tc>
          <w:tcPr>
            <w:tcW w:w="1140" w:type="dxa"/>
            <w:shd w:val="clear" w:color="auto" w:fill="auto"/>
          </w:tcPr>
          <w:p w:rsidR="00A041CA" w:rsidRPr="00D4151F" w:rsidRDefault="00A041CA" w:rsidP="00F336CC">
            <w:pPr>
              <w:spacing w:before="30" w:after="30"/>
              <w:ind w:left="57"/>
              <w:jc w:val="left"/>
              <w:rPr>
                <w:b/>
                <w:bCs/>
                <w:sz w:val="20"/>
                <w:lang w:val="fr-CH"/>
              </w:rPr>
            </w:pPr>
            <w:r w:rsidRPr="00D4151F">
              <w:rPr>
                <w:b/>
                <w:bCs/>
                <w:sz w:val="20"/>
                <w:lang w:val="fr-CH"/>
              </w:rPr>
              <w:t>SM</w:t>
            </w:r>
          </w:p>
        </w:tc>
        <w:tc>
          <w:tcPr>
            <w:tcW w:w="8220" w:type="dxa"/>
            <w:shd w:val="clear" w:color="auto" w:fill="auto"/>
          </w:tcPr>
          <w:p w:rsidR="00A041CA" w:rsidRPr="00D4151F" w:rsidRDefault="00A041CA" w:rsidP="00F336CC">
            <w:pPr>
              <w:spacing w:before="30" w:after="30"/>
              <w:jc w:val="left"/>
              <w:rPr>
                <w:sz w:val="20"/>
                <w:lang w:val="fr-CH"/>
              </w:rPr>
            </w:pPr>
            <w:r w:rsidRPr="00D4151F">
              <w:rPr>
                <w:sz w:val="20"/>
                <w:lang w:val="fr-CH"/>
              </w:rPr>
              <w:t>Gestion du spectre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SNG</w:t>
            </w:r>
          </w:p>
        </w:tc>
        <w:tc>
          <w:tcPr>
            <w:tcW w:w="8220" w:type="dxa"/>
          </w:tcPr>
          <w:p w:rsidR="00A041CA" w:rsidRPr="00D4151F" w:rsidRDefault="00A041CA" w:rsidP="00F336CC">
            <w:pPr>
              <w:spacing w:before="30" w:after="30"/>
              <w:jc w:val="left"/>
              <w:rPr>
                <w:sz w:val="20"/>
                <w:lang w:val="fr-CH"/>
              </w:rPr>
            </w:pPr>
            <w:r w:rsidRPr="00D4151F">
              <w:rPr>
                <w:sz w:val="20"/>
                <w:lang w:val="fr-CH"/>
              </w:rPr>
              <w:t>Reportage d'actualités par satellite</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TF</w:t>
            </w:r>
          </w:p>
        </w:tc>
        <w:tc>
          <w:tcPr>
            <w:tcW w:w="8220" w:type="dxa"/>
          </w:tcPr>
          <w:p w:rsidR="00A041CA" w:rsidRPr="00D4151F" w:rsidRDefault="00A041CA" w:rsidP="00F336CC">
            <w:pPr>
              <w:spacing w:before="30" w:after="30"/>
              <w:jc w:val="left"/>
              <w:rPr>
                <w:sz w:val="20"/>
                <w:lang w:val="fr-CH"/>
              </w:rPr>
            </w:pPr>
            <w:proofErr w:type="spellStart"/>
            <w:r w:rsidRPr="00D4151F">
              <w:rPr>
                <w:sz w:val="20"/>
                <w:lang w:val="fr-CH"/>
              </w:rPr>
              <w:t>Emissions</w:t>
            </w:r>
            <w:proofErr w:type="spellEnd"/>
            <w:r w:rsidRPr="00D4151F">
              <w:rPr>
                <w:sz w:val="20"/>
                <w:lang w:val="fr-CH"/>
              </w:rPr>
              <w:t xml:space="preserve"> de fréquences étalon et de signaux horaires</w:t>
            </w:r>
          </w:p>
        </w:tc>
      </w:tr>
      <w:tr w:rsidR="00A041CA" w:rsidRPr="00D4151F">
        <w:tc>
          <w:tcPr>
            <w:tcW w:w="1140" w:type="dxa"/>
          </w:tcPr>
          <w:p w:rsidR="00A041CA" w:rsidRPr="00D4151F" w:rsidRDefault="00A041CA" w:rsidP="00F336CC">
            <w:pPr>
              <w:spacing w:before="30" w:after="30"/>
              <w:ind w:left="57"/>
              <w:jc w:val="left"/>
              <w:rPr>
                <w:b/>
                <w:bCs/>
                <w:sz w:val="20"/>
                <w:lang w:val="fr-CH"/>
              </w:rPr>
            </w:pPr>
            <w:r w:rsidRPr="00D4151F">
              <w:rPr>
                <w:b/>
                <w:bCs/>
                <w:sz w:val="20"/>
                <w:lang w:val="fr-CH"/>
              </w:rPr>
              <w:t>V</w:t>
            </w:r>
          </w:p>
        </w:tc>
        <w:tc>
          <w:tcPr>
            <w:tcW w:w="8220" w:type="dxa"/>
          </w:tcPr>
          <w:p w:rsidR="00A041CA" w:rsidRPr="00D4151F" w:rsidRDefault="00A041CA" w:rsidP="00614CC6">
            <w:pPr>
              <w:spacing w:before="30" w:after="140"/>
              <w:jc w:val="left"/>
              <w:rPr>
                <w:sz w:val="20"/>
                <w:lang w:val="fr-CH"/>
              </w:rPr>
            </w:pPr>
            <w:r w:rsidRPr="00D4151F">
              <w:rPr>
                <w:sz w:val="20"/>
                <w:lang w:val="fr-CH"/>
              </w:rPr>
              <w:t>Vocabulaire et sujets associés</w:t>
            </w:r>
          </w:p>
        </w:tc>
      </w:tr>
    </w:tbl>
    <w:p w:rsidR="00A041CA" w:rsidRPr="00D4151F" w:rsidRDefault="00A041CA" w:rsidP="00614CC6">
      <w:pPr>
        <w:spacing w:before="0"/>
        <w:jc w:val="center"/>
        <w:rPr>
          <w:sz w:val="20"/>
          <w:lang w:val="fr-CH"/>
        </w:rPr>
      </w:pPr>
    </w:p>
    <w:p w:rsidR="00A041CA" w:rsidRPr="00D4151F" w:rsidRDefault="00A041CA"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041CA" w:rsidRPr="00D4151F">
        <w:tc>
          <w:tcPr>
            <w:tcW w:w="9360" w:type="dxa"/>
          </w:tcPr>
          <w:p w:rsidR="00A041CA" w:rsidRPr="00D4151F" w:rsidRDefault="00A041CA" w:rsidP="00422AE4">
            <w:pPr>
              <w:spacing w:before="80" w:after="80"/>
              <w:jc w:val="left"/>
              <w:rPr>
                <w:i/>
                <w:iCs/>
                <w:sz w:val="20"/>
                <w:lang w:val="fr-CH"/>
              </w:rPr>
            </w:pPr>
            <w:r w:rsidRPr="00D4151F">
              <w:rPr>
                <w:b/>
                <w:bCs/>
                <w:i/>
                <w:iCs/>
                <w:sz w:val="20"/>
                <w:lang w:val="fr-CH"/>
              </w:rPr>
              <w:t>Note</w:t>
            </w:r>
            <w:r w:rsidRPr="00D4151F">
              <w:rPr>
                <w:i/>
                <w:iCs/>
                <w:sz w:val="20"/>
                <w:lang w:val="fr-CH"/>
              </w:rPr>
              <w:t>: Cette Recommandation UIT-R a été approuvée en anglais aux termes de la procédure détaillée dans la</w:t>
            </w:r>
            <w:r w:rsidRPr="00D4151F">
              <w:rPr>
                <w:i/>
                <w:iCs/>
                <w:sz w:val="20"/>
                <w:lang w:val="fr-CH"/>
              </w:rPr>
              <w:br/>
              <w:t xml:space="preserve">Résolution UIT-R 1. </w:t>
            </w:r>
          </w:p>
        </w:tc>
      </w:tr>
    </w:tbl>
    <w:p w:rsidR="00A041CA" w:rsidRPr="00D4151F" w:rsidRDefault="00A041CA" w:rsidP="00F54FBD">
      <w:pPr>
        <w:spacing w:before="0"/>
        <w:jc w:val="center"/>
        <w:rPr>
          <w:sz w:val="22"/>
          <w:lang w:val="fr-CH"/>
        </w:rPr>
      </w:pPr>
    </w:p>
    <w:p w:rsidR="00A041CA" w:rsidRPr="00D4151F" w:rsidRDefault="00A041CA" w:rsidP="00756B4D">
      <w:pPr>
        <w:spacing w:before="100"/>
        <w:jc w:val="right"/>
        <w:rPr>
          <w:i/>
          <w:iCs/>
          <w:sz w:val="20"/>
          <w:lang w:val="fr-CH"/>
        </w:rPr>
      </w:pPr>
      <w:r w:rsidRPr="00D4151F">
        <w:rPr>
          <w:i/>
          <w:iCs/>
          <w:sz w:val="20"/>
          <w:lang w:val="fr-CH"/>
        </w:rPr>
        <w:t>Publication électronique</w:t>
      </w:r>
    </w:p>
    <w:p w:rsidR="00A041CA" w:rsidRPr="00D4151F" w:rsidRDefault="00A041CA" w:rsidP="00C95B6F">
      <w:pPr>
        <w:spacing w:before="0"/>
        <w:jc w:val="right"/>
        <w:rPr>
          <w:sz w:val="20"/>
          <w:lang w:val="fr-CH"/>
        </w:rPr>
      </w:pPr>
      <w:r w:rsidRPr="00D4151F">
        <w:rPr>
          <w:sz w:val="20"/>
          <w:lang w:val="fr-CH"/>
        </w:rPr>
        <w:t>Genève, 2012</w:t>
      </w:r>
    </w:p>
    <w:p w:rsidR="00A041CA" w:rsidRPr="00D4151F" w:rsidRDefault="00A041CA" w:rsidP="00C95B6F">
      <w:pPr>
        <w:spacing w:before="200"/>
        <w:jc w:val="center"/>
        <w:rPr>
          <w:sz w:val="20"/>
          <w:lang w:val="fr-CH"/>
        </w:rPr>
      </w:pPr>
      <w:r w:rsidRPr="00D4151F">
        <w:rPr>
          <w:sz w:val="20"/>
          <w:lang w:val="fr-CH"/>
        </w:rPr>
        <w:sym w:font="Symbol" w:char="F0E3"/>
      </w:r>
      <w:r w:rsidRPr="00D4151F">
        <w:rPr>
          <w:sz w:val="20"/>
          <w:lang w:val="fr-CH"/>
        </w:rPr>
        <w:t xml:space="preserve"> UIT </w:t>
      </w:r>
      <w:bookmarkStart w:id="1" w:name="iiannee"/>
      <w:bookmarkEnd w:id="1"/>
      <w:r w:rsidRPr="00D4151F">
        <w:rPr>
          <w:sz w:val="20"/>
          <w:lang w:val="fr-CH"/>
        </w:rPr>
        <w:t>2012</w:t>
      </w:r>
    </w:p>
    <w:p w:rsidR="00A041CA" w:rsidRPr="00D4151F" w:rsidRDefault="00A041CA" w:rsidP="00614CC6">
      <w:pPr>
        <w:rPr>
          <w:sz w:val="18"/>
          <w:szCs w:val="18"/>
          <w:lang w:val="fr-CH"/>
        </w:rPr>
      </w:pPr>
      <w:r w:rsidRPr="00D4151F">
        <w:rPr>
          <w:sz w:val="18"/>
          <w:szCs w:val="18"/>
          <w:lang w:val="fr-CH"/>
        </w:rPr>
        <w:t>Tous droits réservés. Aucune partie de cette publication ne peut être reproduite, par quelque procédé que ce soit, sans l’accord écrit préalable de l’UIT.</w:t>
      </w:r>
    </w:p>
    <w:p w:rsidR="00A041CA" w:rsidRPr="00D4151F" w:rsidRDefault="00A041CA" w:rsidP="00CD659B">
      <w:pPr>
        <w:spacing w:before="160"/>
        <w:rPr>
          <w:i/>
          <w:sz w:val="20"/>
          <w:highlight w:val="yellow"/>
          <w:lang w:val="fr-CH"/>
        </w:rPr>
        <w:sectPr w:rsidR="00A041CA" w:rsidRPr="00D4151F"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A041CA" w:rsidRPr="00D4151F" w:rsidRDefault="00A041CA" w:rsidP="006156FE">
      <w:pPr>
        <w:pStyle w:val="RecNo"/>
        <w:spacing w:before="0"/>
        <w:rPr>
          <w:lang w:val="fr-CH"/>
        </w:rPr>
      </w:pPr>
      <w:bookmarkStart w:id="2" w:name="irecnoe"/>
      <w:bookmarkEnd w:id="2"/>
      <w:r w:rsidRPr="00D4151F">
        <w:rPr>
          <w:lang w:val="fr-CH"/>
        </w:rPr>
        <w:lastRenderedPageBreak/>
        <w:t xml:space="preserve">RECOMMANDATION  </w:t>
      </w:r>
      <w:r w:rsidRPr="00D4151F">
        <w:rPr>
          <w:rStyle w:val="href"/>
          <w:lang w:val="fr-CH"/>
        </w:rPr>
        <w:t>UIT-R  M.</w:t>
      </w:r>
      <w:r w:rsidR="006156FE" w:rsidRPr="00D4151F">
        <w:rPr>
          <w:rStyle w:val="href"/>
          <w:lang w:val="fr-CH"/>
        </w:rPr>
        <w:t>1854-1</w:t>
      </w:r>
    </w:p>
    <w:p w:rsidR="00A041CA" w:rsidRPr="00D4151F" w:rsidRDefault="00A041CA" w:rsidP="00A041CA">
      <w:pPr>
        <w:pStyle w:val="Rectitle"/>
        <w:rPr>
          <w:szCs w:val="24"/>
          <w:lang w:val="fr-CH"/>
        </w:rPr>
      </w:pPr>
      <w:r w:rsidRPr="00D4151F">
        <w:rPr>
          <w:szCs w:val="24"/>
          <w:lang w:val="fr-CH"/>
        </w:rPr>
        <w:t xml:space="preserve">Utilisation du service mobile </w:t>
      </w:r>
      <w:r w:rsidRPr="00D4151F">
        <w:rPr>
          <w:lang w:val="fr-CH"/>
        </w:rPr>
        <w:t xml:space="preserve">par satellite (SMS) pour les interventions </w:t>
      </w:r>
      <w:r w:rsidRPr="00D4151F">
        <w:rPr>
          <w:lang w:val="fr-CH"/>
        </w:rPr>
        <w:br/>
        <w:t>et les secours en cas de</w:t>
      </w:r>
      <w:r w:rsidRPr="00D4151F">
        <w:rPr>
          <w:szCs w:val="24"/>
          <w:lang w:val="fr-CH"/>
        </w:rPr>
        <w:t xml:space="preserve"> catastrophe</w:t>
      </w:r>
    </w:p>
    <w:p w:rsidR="00A041CA" w:rsidRPr="00D4151F" w:rsidRDefault="00A041CA" w:rsidP="00A041CA">
      <w:pPr>
        <w:pStyle w:val="Recref"/>
        <w:rPr>
          <w:lang w:val="fr-CH"/>
        </w:rPr>
      </w:pPr>
      <w:r w:rsidRPr="00D4151F">
        <w:rPr>
          <w:szCs w:val="24"/>
          <w:lang w:val="fr-CH"/>
        </w:rPr>
        <w:t>(</w:t>
      </w:r>
      <w:r w:rsidRPr="00D4151F">
        <w:rPr>
          <w:lang w:val="fr-CH"/>
        </w:rPr>
        <w:t>Questions UIT-R 286/4 et UIT-R 227/4)</w:t>
      </w:r>
    </w:p>
    <w:p w:rsidR="00A041CA" w:rsidRPr="00D4151F" w:rsidRDefault="00A041CA" w:rsidP="00A041CA">
      <w:pPr>
        <w:pStyle w:val="Recdate"/>
        <w:rPr>
          <w:lang w:val="fr-CH"/>
        </w:rPr>
      </w:pPr>
      <w:r w:rsidRPr="00D4151F">
        <w:rPr>
          <w:lang w:val="fr-CH"/>
        </w:rPr>
        <w:t>(2010-2012)</w:t>
      </w:r>
    </w:p>
    <w:p w:rsidR="00A041CA" w:rsidRPr="00D4151F" w:rsidRDefault="00A041CA" w:rsidP="006156FE">
      <w:pPr>
        <w:pStyle w:val="HeadingSum"/>
        <w:rPr>
          <w:lang w:val="fr-CH"/>
        </w:rPr>
      </w:pPr>
      <w:r w:rsidRPr="00D4151F">
        <w:rPr>
          <w:lang w:val="fr-CH"/>
        </w:rPr>
        <w:t>Domaine d'application</w:t>
      </w:r>
    </w:p>
    <w:p w:rsidR="00A041CA" w:rsidRPr="00D4151F" w:rsidRDefault="00A041CA" w:rsidP="002B6FA8">
      <w:pPr>
        <w:pStyle w:val="Summary"/>
        <w:rPr>
          <w:lang w:val="fr-CH"/>
        </w:rPr>
      </w:pPr>
      <w:r w:rsidRPr="00D4151F">
        <w:rPr>
          <w:lang w:val="fr-CH"/>
        </w:rPr>
        <w:t xml:space="preserve">La présente Recommandation fournit des informations sur la gamme des fréquences utilisées par les systèmes du service mobile par satellite (SMS) que les </w:t>
      </w:r>
      <w:proofErr w:type="spellStart"/>
      <w:r w:rsidRPr="00D4151F">
        <w:rPr>
          <w:lang w:val="fr-CH"/>
        </w:rPr>
        <w:t>Etats</w:t>
      </w:r>
      <w:proofErr w:type="spellEnd"/>
      <w:r w:rsidRPr="00D4151F">
        <w:rPr>
          <w:lang w:val="fr-CH"/>
        </w:rPr>
        <w:t xml:space="preserve"> Membres pourraient identifier pour les télécommunications d'alerte rapide et de secours en cas de catastrophe, conformément aux Résolutions</w:t>
      </w:r>
      <w:r w:rsidR="002B6FA8" w:rsidRPr="00D4151F">
        <w:rPr>
          <w:lang w:val="fr-CH"/>
        </w:rPr>
        <w:t> </w:t>
      </w:r>
      <w:r w:rsidRPr="00D4151F">
        <w:rPr>
          <w:lang w:val="fr-CH"/>
        </w:rPr>
        <w:t>UIT</w:t>
      </w:r>
      <w:r w:rsidRPr="00D4151F">
        <w:rPr>
          <w:lang w:val="fr-CH"/>
        </w:rPr>
        <w:noBreakHyphen/>
        <w:t>R 53 (AR-07), UIT-R 55 (AR-07), 644 (</w:t>
      </w:r>
      <w:proofErr w:type="spellStart"/>
      <w:r w:rsidRPr="00D4151F">
        <w:rPr>
          <w:lang w:val="fr-CH"/>
        </w:rPr>
        <w:t>Rév</w:t>
      </w:r>
      <w:proofErr w:type="spellEnd"/>
      <w:r w:rsidRPr="00D4151F">
        <w:rPr>
          <w:lang w:val="fr-CH"/>
        </w:rPr>
        <w:t>. CMR-07), 646 (CMR</w:t>
      </w:r>
      <w:r w:rsidRPr="00D4151F">
        <w:rPr>
          <w:lang w:val="fr-CH"/>
        </w:rPr>
        <w:noBreakHyphen/>
        <w:t>03) et 647 (CMR-07).</w:t>
      </w:r>
    </w:p>
    <w:p w:rsidR="00A041CA" w:rsidRPr="00D4151F" w:rsidRDefault="00A041CA" w:rsidP="00A041CA">
      <w:pPr>
        <w:pStyle w:val="Normalaftertitle"/>
        <w:rPr>
          <w:lang w:val="fr-CH"/>
        </w:rPr>
      </w:pPr>
      <w:r w:rsidRPr="00D4151F">
        <w:rPr>
          <w:lang w:val="fr-CH"/>
        </w:rPr>
        <w:t>L'Assemblée des radiocommunications de l'UIT,</w:t>
      </w:r>
    </w:p>
    <w:p w:rsidR="00A041CA" w:rsidRPr="00D4151F" w:rsidRDefault="00A041CA" w:rsidP="002B6FA8">
      <w:pPr>
        <w:pStyle w:val="Call"/>
        <w:rPr>
          <w:lang w:val="fr-CH"/>
        </w:rPr>
      </w:pPr>
      <w:r w:rsidRPr="00D4151F">
        <w:rPr>
          <w:lang w:val="fr-CH"/>
        </w:rPr>
        <w:t>considérant</w:t>
      </w:r>
    </w:p>
    <w:p w:rsidR="00A041CA" w:rsidRPr="00D4151F" w:rsidRDefault="00A041CA" w:rsidP="002B6FA8">
      <w:pPr>
        <w:rPr>
          <w:lang w:val="fr-CH"/>
        </w:rPr>
      </w:pPr>
      <w:r w:rsidRPr="00D4151F">
        <w:rPr>
          <w:lang w:val="fr-CH"/>
        </w:rPr>
        <w:t>a)</w:t>
      </w:r>
      <w:r w:rsidRPr="00D4151F">
        <w:rPr>
          <w:lang w:val="fr-CH"/>
        </w:rPr>
        <w:tab/>
        <w:t>qu'un des effets classiques des catastrophes est la perte de l'infrastructure locale de télécommunications de Terre;</w:t>
      </w:r>
    </w:p>
    <w:p w:rsidR="00A041CA" w:rsidRPr="00D4151F" w:rsidRDefault="00A041CA" w:rsidP="002B6FA8">
      <w:pPr>
        <w:rPr>
          <w:lang w:val="fr-CH"/>
        </w:rPr>
      </w:pPr>
      <w:r w:rsidRPr="00D4151F">
        <w:rPr>
          <w:lang w:val="fr-CH"/>
        </w:rPr>
        <w:t>b)</w:t>
      </w:r>
      <w:r w:rsidRPr="00D4151F">
        <w:rPr>
          <w:lang w:val="fr-CH"/>
        </w:rPr>
        <w:tab/>
        <w:t>qu'une catastrophe a lieu en un emplacement et à un moment qui ne sont pas prévisibles;</w:t>
      </w:r>
    </w:p>
    <w:p w:rsidR="00A041CA" w:rsidRPr="00D4151F" w:rsidRDefault="00A041CA" w:rsidP="002B6FA8">
      <w:pPr>
        <w:rPr>
          <w:lang w:val="fr-CH"/>
        </w:rPr>
      </w:pPr>
      <w:r w:rsidRPr="00D4151F">
        <w:rPr>
          <w:lang w:val="fr-CH"/>
        </w:rPr>
        <w:t>c)</w:t>
      </w:r>
      <w:r w:rsidRPr="00D4151F">
        <w:rPr>
          <w:lang w:val="fr-CH"/>
        </w:rPr>
        <w:tab/>
        <w:t>que, compte tenu de leur indépendance vis-à-vis de l'infrastructure locale, de leur large couverture et de leur facilité de mise en œuvre, les services mobiles par satellite (SMS) offrent des moyens de télécommunications immédiats permettant de contacter le public et les équipes chargées des opérations de secours;</w:t>
      </w:r>
    </w:p>
    <w:p w:rsidR="00A041CA" w:rsidRPr="00D4151F" w:rsidRDefault="00A041CA" w:rsidP="002B6FA8">
      <w:pPr>
        <w:rPr>
          <w:lang w:val="fr-CH"/>
        </w:rPr>
      </w:pPr>
      <w:r w:rsidRPr="00D4151F">
        <w:rPr>
          <w:lang w:val="fr-CH"/>
        </w:rPr>
        <w:t>d)</w:t>
      </w:r>
      <w:r w:rsidRPr="00D4151F">
        <w:rPr>
          <w:lang w:val="fr-CH"/>
        </w:rPr>
        <w:tab/>
        <w:t>que la mise en place fiable et rapide du matériel de télécommunication est essentielle pour les opérations de secours en cas de catastrophe naturelle et de situations critiques analogues;</w:t>
      </w:r>
    </w:p>
    <w:p w:rsidR="00A041CA" w:rsidRPr="00D4151F" w:rsidRDefault="00A041CA" w:rsidP="002B6FA8">
      <w:pPr>
        <w:rPr>
          <w:lang w:val="fr-CH"/>
        </w:rPr>
      </w:pPr>
      <w:r w:rsidRPr="00D4151F">
        <w:rPr>
          <w:lang w:val="fr-CH"/>
        </w:rPr>
        <w:t>e)</w:t>
      </w:r>
      <w:r w:rsidRPr="00D4151F">
        <w:rPr>
          <w:lang w:val="fr-CH"/>
        </w:rPr>
        <w:tab/>
        <w:t>que l'impossibilité de prévoir l'emplacement et le moment de la survenue d'une catastrophe nécessitent de planifier à l'avance les fréquences et le matériel à utiliser;</w:t>
      </w:r>
    </w:p>
    <w:p w:rsidR="00A041CA" w:rsidRPr="00D4151F" w:rsidRDefault="00A041CA" w:rsidP="002B6FA8">
      <w:pPr>
        <w:rPr>
          <w:lang w:val="fr-CH"/>
        </w:rPr>
      </w:pPr>
      <w:r w:rsidRPr="00D4151F">
        <w:rPr>
          <w:lang w:val="fr-CH"/>
        </w:rPr>
        <w:t>f)</w:t>
      </w:r>
      <w:r w:rsidRPr="00D4151F">
        <w:rPr>
          <w:lang w:val="fr-CH"/>
        </w:rPr>
        <w:tab/>
        <w:t>que les terminaux mobiles pour les communications par satellite et les équipements annexes peuvent être déployés partout et qu'ils constituent parfois la seule solution viable de services de télécommunications d'urgence pour les opérations de secours, et qu'il peut être nécessaire d'obtenir une autorisation auprès des administrations pour utiliser certaines fréquences;</w:t>
      </w:r>
    </w:p>
    <w:p w:rsidR="00A041CA" w:rsidRPr="00D4151F" w:rsidRDefault="00A041CA" w:rsidP="002B6FA8">
      <w:pPr>
        <w:rPr>
          <w:lang w:val="fr-CH"/>
        </w:rPr>
      </w:pPr>
      <w:r w:rsidRPr="00D4151F">
        <w:rPr>
          <w:lang w:val="fr-CH"/>
        </w:rPr>
        <w:t>g)</w:t>
      </w:r>
      <w:r w:rsidRPr="00D4151F">
        <w:rPr>
          <w:lang w:val="fr-CH"/>
        </w:rPr>
        <w:tab/>
        <w:t>que de tels équipements peuvent remplir diverses fonctions, notamment, mais sans s'y limiter, la communication vocale et numérique, les comptes rendus d'opérations sur le terrain, la collecte de données et la transmission d'images et d'information de localisation,</w:t>
      </w:r>
    </w:p>
    <w:p w:rsidR="00A041CA" w:rsidRPr="00D4151F" w:rsidRDefault="00A041CA" w:rsidP="00A041CA">
      <w:pPr>
        <w:pStyle w:val="Call"/>
        <w:rPr>
          <w:szCs w:val="24"/>
          <w:lang w:val="fr-CH"/>
        </w:rPr>
      </w:pPr>
      <w:r w:rsidRPr="00D4151F">
        <w:rPr>
          <w:lang w:val="fr-CH"/>
        </w:rPr>
        <w:t>compte</w:t>
      </w:r>
      <w:r w:rsidRPr="00D4151F">
        <w:rPr>
          <w:szCs w:val="24"/>
          <w:lang w:val="fr-CH"/>
        </w:rPr>
        <w:t xml:space="preserve"> tenu</w:t>
      </w:r>
    </w:p>
    <w:p w:rsidR="00A041CA" w:rsidRPr="00D4151F" w:rsidRDefault="00A041CA" w:rsidP="00A041CA">
      <w:pPr>
        <w:rPr>
          <w:szCs w:val="24"/>
          <w:lang w:val="fr-CH"/>
        </w:rPr>
      </w:pPr>
      <w:r w:rsidRPr="00D4151F">
        <w:rPr>
          <w:szCs w:val="24"/>
          <w:lang w:val="fr-CH"/>
        </w:rPr>
        <w:t>a)</w:t>
      </w:r>
      <w:r w:rsidRPr="00D4151F">
        <w:rPr>
          <w:szCs w:val="24"/>
          <w:lang w:val="fr-CH"/>
        </w:rPr>
        <w:tab/>
        <w:t xml:space="preserve">du fait que, dans la Résolution 136 (Antalya, 2006) de la Conférence de plénipotentiaires relative à </w:t>
      </w:r>
      <w:r w:rsidRPr="00D4151F">
        <w:rPr>
          <w:lang w:val="fr-CH"/>
        </w:rPr>
        <w:t>l'utilisation</w:t>
      </w:r>
      <w:r w:rsidRPr="00D4151F">
        <w:rPr>
          <w:szCs w:val="24"/>
          <w:lang w:val="fr-CH"/>
        </w:rPr>
        <w:t xml:space="preserve"> des télécommunication</w:t>
      </w:r>
      <w:r w:rsidR="00D4151F" w:rsidRPr="00D4151F">
        <w:rPr>
          <w:szCs w:val="24"/>
          <w:lang w:val="fr-CH"/>
        </w:rPr>
        <w:t>s</w:t>
      </w:r>
      <w:r w:rsidRPr="00D4151F">
        <w:rPr>
          <w:szCs w:val="24"/>
          <w:lang w:val="fr-CH"/>
        </w:rPr>
        <w:t>/technologies de l'information et de la communication dans le contrôle et la gestion des situations d'urgence et de catastrophe pour l'alerte rapide, la prévention, l'atténuation des effets des catastrophes et les opérations de secours, il a essentiellement été décidé de charger les directeurs des Bureaux:</w:t>
      </w:r>
    </w:p>
    <w:p w:rsidR="00A041CA" w:rsidRPr="00D4151F" w:rsidRDefault="00A041CA" w:rsidP="00A041CA">
      <w:pPr>
        <w:pStyle w:val="enumlev1"/>
        <w:rPr>
          <w:szCs w:val="24"/>
          <w:lang w:val="fr-CH"/>
        </w:rPr>
      </w:pPr>
      <w:r w:rsidRPr="00D4151F">
        <w:rPr>
          <w:szCs w:val="24"/>
          <w:lang w:val="fr-CH"/>
        </w:rPr>
        <w:t>–</w:t>
      </w:r>
      <w:r w:rsidRPr="00D4151F">
        <w:rPr>
          <w:szCs w:val="24"/>
          <w:lang w:val="fr-CH"/>
        </w:rPr>
        <w:tab/>
        <w:t xml:space="preserve">de poursuivre leurs études techniques pour faire progresser la mise en œuvre technique et </w:t>
      </w:r>
      <w:r w:rsidRPr="00D4151F">
        <w:rPr>
          <w:lang w:val="fr-CH"/>
        </w:rPr>
        <w:t>opérationnelle</w:t>
      </w:r>
      <w:r w:rsidRPr="00D4151F">
        <w:rPr>
          <w:szCs w:val="24"/>
          <w:lang w:val="fr-CH"/>
        </w:rPr>
        <w:t>, selon qu'il conviendra, de solutions évoluées permettant de répondre aux besoins de protection civile et de télécommunication/TIC pour les opérations de secours en cas de catastrophe;</w:t>
      </w:r>
    </w:p>
    <w:p w:rsidR="00A041CA" w:rsidRPr="00D4151F" w:rsidRDefault="00A041CA" w:rsidP="00A041CA">
      <w:pPr>
        <w:pStyle w:val="enumlev1"/>
        <w:rPr>
          <w:lang w:val="fr-CH"/>
        </w:rPr>
      </w:pPr>
      <w:r w:rsidRPr="00D4151F">
        <w:rPr>
          <w:szCs w:val="24"/>
          <w:lang w:val="fr-CH"/>
        </w:rPr>
        <w:lastRenderedPageBreak/>
        <w:t>–</w:t>
      </w:r>
      <w:r w:rsidRPr="00D4151F">
        <w:rPr>
          <w:szCs w:val="24"/>
          <w:lang w:val="fr-CH"/>
        </w:rPr>
        <w:tab/>
        <w:t xml:space="preserve">d'appuyer, pour les opérations d'alerte rapide et de secours en situation critique et en cas de catastrophe, </w:t>
      </w:r>
      <w:r w:rsidRPr="00D4151F">
        <w:rPr>
          <w:lang w:val="fr-CH"/>
        </w:rPr>
        <w:t>la mise au point de systèmes solides, complets et applicables à toutes les situations d'urgence, à l'échelle nationale, régionale et internationale;</w:t>
      </w:r>
    </w:p>
    <w:p w:rsidR="00A041CA" w:rsidRPr="00D4151F" w:rsidRDefault="00A041CA" w:rsidP="00A041CA">
      <w:pPr>
        <w:rPr>
          <w:lang w:val="fr-CH"/>
        </w:rPr>
      </w:pPr>
      <w:r w:rsidRPr="00D4151F">
        <w:rPr>
          <w:lang w:val="fr-CH"/>
        </w:rPr>
        <w:t>b)</w:t>
      </w:r>
      <w:r w:rsidRPr="00D4151F">
        <w:rPr>
          <w:lang w:val="fr-CH"/>
        </w:rPr>
        <w:tab/>
        <w:t>de la Résolution UIT-R 53 (AR-2007) relative à l'utilisation des radiocommunications pour les interventions et les secours en cas de catastrophe, dans laquelle il a été décidé, «étant donné l'importance de l'utilisation efficace du spectre radioélectrique pour les besoins de radiocommunication en cas de catastrophe, de charger les Commissions d'études compétentes de l'UIT</w:t>
      </w:r>
      <w:r w:rsidRPr="00D4151F">
        <w:rPr>
          <w:lang w:val="fr-CH"/>
        </w:rPr>
        <w:noBreakHyphen/>
        <w:t>R d'entreprendre des études et d'élaborer des Lignes directrices relatives à la gestion des radiocommunications pour prévoir ou détecter les catastrophes, en atténuer les effets et pour les opérations de secours en instaurant une collaboration et une coopération au sein de l'UIT et avec des organisations extérieures à l'Union»;</w:t>
      </w:r>
    </w:p>
    <w:p w:rsidR="00A041CA" w:rsidRPr="00D4151F" w:rsidRDefault="00A041CA" w:rsidP="00A041CA">
      <w:pPr>
        <w:rPr>
          <w:lang w:val="fr-CH"/>
        </w:rPr>
      </w:pPr>
      <w:r w:rsidRPr="00D4151F">
        <w:rPr>
          <w:lang w:val="fr-CH"/>
        </w:rPr>
        <w:t>c)</w:t>
      </w:r>
      <w:r w:rsidRPr="00D4151F">
        <w:rPr>
          <w:lang w:val="fr-CH"/>
        </w:rPr>
        <w:tab/>
        <w:t>de la Résolution UIT-R 55 (AR-2007) relative aux études de l'UIT-R concernant la prévision ou la détection des catastrophes, l'atténuation de leurs effets et les opérations de secours, dans laquelle il a été décidé d'inviter toutes les Commissions d'études à tenir compte de l'objet des études et activités en cours décrites dans l'Annexe 1 à cette Résolution, en se fondant sur les domaines de compétence clairs de chaque Commission d'études avant l'Assemblée des radiocommunications – en particulier les anciennes Commissions d'études CE 4 et CE 8 – concernant le SFS et le SMS, comme demandé dans les questions UIT-R 286/4 (anciennement UIT</w:t>
      </w:r>
      <w:r w:rsidRPr="00D4151F">
        <w:rPr>
          <w:lang w:val="fr-CH"/>
        </w:rPr>
        <w:noBreakHyphen/>
        <w:t xml:space="preserve">R 209 3/8) et UIT-R 227/4 (anciennement UIT-R 227/8); </w:t>
      </w:r>
    </w:p>
    <w:p w:rsidR="00A041CA" w:rsidRPr="00D4151F" w:rsidRDefault="00A041CA" w:rsidP="00A041CA">
      <w:pPr>
        <w:rPr>
          <w:szCs w:val="24"/>
          <w:lang w:val="fr-CH"/>
        </w:rPr>
      </w:pPr>
      <w:r w:rsidRPr="00D4151F">
        <w:rPr>
          <w:lang w:val="fr-CH"/>
        </w:rPr>
        <w:t>d)</w:t>
      </w:r>
      <w:r w:rsidRPr="00D4151F">
        <w:rPr>
          <w:lang w:val="fr-CH"/>
        </w:rPr>
        <w:tab/>
        <w:t>de la Résolution 644 (</w:t>
      </w:r>
      <w:proofErr w:type="spellStart"/>
      <w:r w:rsidRPr="00D4151F">
        <w:rPr>
          <w:lang w:val="fr-CH"/>
        </w:rPr>
        <w:t>Ré</w:t>
      </w:r>
      <w:r w:rsidRPr="00D4151F">
        <w:rPr>
          <w:szCs w:val="24"/>
          <w:lang w:val="fr-CH"/>
        </w:rPr>
        <w:t>v</w:t>
      </w:r>
      <w:proofErr w:type="spellEnd"/>
      <w:r w:rsidRPr="00D4151F">
        <w:rPr>
          <w:szCs w:val="24"/>
          <w:lang w:val="fr-CH"/>
        </w:rPr>
        <w:t xml:space="preserve">. CMR-07) relative aux moyens de radiocommunication pour l'alerte avancée, l'atténuation des effets des catastrophes et les opérations de secours, de la Résolution 646 (CMR-03) </w:t>
      </w:r>
      <w:r w:rsidRPr="00D4151F">
        <w:rPr>
          <w:lang w:val="fr-CH"/>
        </w:rPr>
        <w:t>relative</w:t>
      </w:r>
      <w:r w:rsidRPr="00D4151F">
        <w:rPr>
          <w:szCs w:val="24"/>
          <w:lang w:val="fr-CH"/>
        </w:rPr>
        <w:t xml:space="preserve"> aux fréquences utilisées pour la protection du public et les secours en cas de catastrophe, et de la Résolution 647 (CMR-07) sur les Lignes directrices relatives à la gestion du spectre pour les radiocommunications d'urgence et aux radiocommunications pour les secours en cas de catastrophe, qui précise les objectifs et les travaux que le Secteur des radiocommunications de l'UIT (UIT</w:t>
      </w:r>
      <w:r w:rsidRPr="00D4151F">
        <w:rPr>
          <w:szCs w:val="24"/>
          <w:lang w:val="fr-CH"/>
        </w:rPr>
        <w:noBreakHyphen/>
        <w:t xml:space="preserve">R) doit mener dans les domaines sur lesquels portent ces Résolutions, en vue d'accélérer les études, éviter les chevauchements d'activités et coopérer avec des partenaires concernés par ce domaine (voir </w:t>
      </w:r>
      <w:hyperlink r:id="rId12" w:history="1">
        <w:r w:rsidRPr="00D4151F">
          <w:rPr>
            <w:rStyle w:val="Hyperlink"/>
            <w:szCs w:val="24"/>
            <w:lang w:val="fr-CH"/>
          </w:rPr>
          <w:t>http://www.itu.int/ITU-R/space/res647/index-fr.asp</w:t>
        </w:r>
      </w:hyperlink>
      <w:r w:rsidRPr="00D4151F">
        <w:rPr>
          <w:szCs w:val="24"/>
          <w:lang w:val="fr-CH"/>
        </w:rPr>
        <w:t>);</w:t>
      </w:r>
    </w:p>
    <w:p w:rsidR="00A041CA" w:rsidRPr="00D4151F" w:rsidRDefault="00A041CA" w:rsidP="00A041CA">
      <w:pPr>
        <w:rPr>
          <w:lang w:val="fr-CH"/>
        </w:rPr>
      </w:pPr>
      <w:r w:rsidRPr="00D4151F">
        <w:rPr>
          <w:lang w:val="fr-CH"/>
        </w:rPr>
        <w:t>e)</w:t>
      </w:r>
      <w:r w:rsidRPr="00D4151F">
        <w:rPr>
          <w:lang w:val="fr-CH"/>
        </w:rPr>
        <w:tab/>
        <w:t>du Forum mondial de l'UIT sur l'utilisation efficace des télécommunications/TIC dans la gestion des catastrophes naturelles et du Groupe de coordination des partenariats TDR (les télécommunications au service des opérations de secours en cas de catastrophe et d'atténuation des effets des catastrophes), qui orientent leurs efforts sur l'identification, par les administrations lors de la planification au niveau national, des bandes ou gammes de fréquences au niveau mondial et/ou régional applicables aux situations d'urgence et aux secours en cas de catastrophe, ces informations devant être communiquées au Bureau, en vue d'inviter l'UIT</w:t>
      </w:r>
      <w:r w:rsidRPr="00D4151F">
        <w:rPr>
          <w:lang w:val="fr-CH"/>
        </w:rPr>
        <w:noBreakHyphen/>
        <w:t>R à procéder d'urgence à des études, selon qu'il conviendra, afin d'élaborer des lignes directrices appropriées relatives à la gestion du spectre, applicables aux situations d'urgence et aux opérations de secours en cas de catastrophe;</w:t>
      </w:r>
    </w:p>
    <w:p w:rsidR="00A041CA" w:rsidRPr="00D4151F" w:rsidRDefault="00A041CA" w:rsidP="00A041CA">
      <w:pPr>
        <w:rPr>
          <w:szCs w:val="24"/>
          <w:lang w:val="fr-CH"/>
        </w:rPr>
      </w:pPr>
      <w:r w:rsidRPr="00D4151F">
        <w:rPr>
          <w:szCs w:val="24"/>
          <w:lang w:val="fr-CH"/>
        </w:rPr>
        <w:t>f)</w:t>
      </w:r>
      <w:r w:rsidRPr="00D4151F">
        <w:rPr>
          <w:szCs w:val="24"/>
          <w:lang w:val="fr-CH"/>
        </w:rPr>
        <w:tab/>
        <w:t>de l'adoption par l'UIT-T en octobre 2007 de la Recommandation X.1303 de l'UIT</w:t>
      </w:r>
      <w:r w:rsidRPr="00D4151F">
        <w:rPr>
          <w:szCs w:val="24"/>
          <w:lang w:val="fr-CH"/>
        </w:rPr>
        <w:noBreakHyphen/>
        <w:t xml:space="preserve">T relative au Protocole </w:t>
      </w:r>
      <w:r w:rsidRPr="00D4151F">
        <w:rPr>
          <w:lang w:val="fr-CH"/>
        </w:rPr>
        <w:t>d'alerte</w:t>
      </w:r>
      <w:r w:rsidRPr="00D4151F">
        <w:rPr>
          <w:szCs w:val="24"/>
          <w:lang w:val="fr-CH"/>
        </w:rPr>
        <w:t xml:space="preserve"> commun (CAP 1.1) et à sa mise en œuvre, protocole qui offre un format simple mais général pour échanger, sur tout type de réseau, des alertes d'urgence pour tous les risques et des mises en garde du public;</w:t>
      </w:r>
    </w:p>
    <w:p w:rsidR="00A041CA" w:rsidRPr="00D4151F" w:rsidRDefault="00A041CA" w:rsidP="00A041CA">
      <w:pPr>
        <w:rPr>
          <w:szCs w:val="24"/>
          <w:lang w:val="fr-CH"/>
        </w:rPr>
      </w:pPr>
      <w:r w:rsidRPr="00D4151F">
        <w:rPr>
          <w:szCs w:val="24"/>
          <w:lang w:val="fr-CH"/>
        </w:rPr>
        <w:t>g)</w:t>
      </w:r>
      <w:r w:rsidRPr="00D4151F">
        <w:rPr>
          <w:szCs w:val="24"/>
          <w:lang w:val="fr-CH"/>
        </w:rPr>
        <w:tab/>
        <w:t xml:space="preserve">des retombées positives du Forum mondial de l'UIT sur l'utilisation efficace des télécommunications/TIC </w:t>
      </w:r>
      <w:r w:rsidRPr="00D4151F">
        <w:rPr>
          <w:lang w:val="fr-CH"/>
        </w:rPr>
        <w:t>dans</w:t>
      </w:r>
      <w:r w:rsidRPr="00D4151F">
        <w:rPr>
          <w:szCs w:val="24"/>
          <w:lang w:val="fr-CH"/>
        </w:rPr>
        <w:t xml:space="preserve"> la gestion des catastrophes naturelles: Sauver des vies, qui s'est tenu à Genève du 10 au 12 décembre 2007, et qui a conduit au lancement de deux initiatives importantes, le Cadre UIT pour une co</w:t>
      </w:r>
      <w:r w:rsidRPr="00D4151F">
        <w:rPr>
          <w:lang w:val="fr-CH"/>
        </w:rPr>
        <w:t>opéra</w:t>
      </w:r>
      <w:r w:rsidRPr="00D4151F">
        <w:rPr>
          <w:szCs w:val="24"/>
          <w:lang w:val="fr-CH"/>
        </w:rPr>
        <w:t xml:space="preserve">tion en situation d'urgence (IFCE) et le Réseau UIT de volontaires pour les télécommunications d'urgence (VET), ainsi que de la création, par le Secrétaire général de l'UIT, du Panel de haut niveau sur les télécommunications d'urgence (pour de plus amples informations, voir le Recueil de documents concernant les travaux de l'UIT sur les </w:t>
      </w:r>
      <w:r w:rsidRPr="00D4151F">
        <w:rPr>
          <w:szCs w:val="24"/>
          <w:lang w:val="fr-CH"/>
        </w:rPr>
        <w:lastRenderedPageBreak/>
        <w:t>télécommunications d'urgence, édition 2007) grâce auquel des accords de partenariat et des protocoles d'accord bilatéraux ont été conclus entre l'UIT et plusieurs partenaires, notamment quatre opérateurs de satellites/fournisseurs de services (</w:t>
      </w:r>
      <w:proofErr w:type="spellStart"/>
      <w:r w:rsidRPr="00D4151F">
        <w:rPr>
          <w:szCs w:val="24"/>
          <w:lang w:val="fr-CH"/>
        </w:rPr>
        <w:t>TerreStar</w:t>
      </w:r>
      <w:proofErr w:type="spellEnd"/>
      <w:r w:rsidRPr="00D4151F">
        <w:rPr>
          <w:szCs w:val="24"/>
          <w:lang w:val="fr-CH"/>
        </w:rPr>
        <w:t xml:space="preserve">, Iridium, ICO Global et </w:t>
      </w:r>
      <w:proofErr w:type="spellStart"/>
      <w:r w:rsidRPr="00D4151F">
        <w:rPr>
          <w:szCs w:val="24"/>
          <w:lang w:val="fr-CH"/>
        </w:rPr>
        <w:t>Vizada</w:t>
      </w:r>
      <w:proofErr w:type="spellEnd"/>
      <w:r w:rsidRPr="00D4151F">
        <w:rPr>
          <w:szCs w:val="24"/>
          <w:lang w:val="fr-CH"/>
        </w:rPr>
        <w:t>), en plus des deux opérateurs qui avaient déjà signé de tels accords avant ce Forum mondial (</w:t>
      </w:r>
      <w:proofErr w:type="spellStart"/>
      <w:r w:rsidRPr="00D4151F">
        <w:rPr>
          <w:szCs w:val="24"/>
          <w:lang w:val="fr-CH"/>
        </w:rPr>
        <w:t>Inmarsat</w:t>
      </w:r>
      <w:proofErr w:type="spellEnd"/>
      <w:r w:rsidRPr="00D4151F">
        <w:rPr>
          <w:szCs w:val="24"/>
          <w:lang w:val="fr-CH"/>
        </w:rPr>
        <w:t xml:space="preserve"> et </w:t>
      </w:r>
      <w:proofErr w:type="spellStart"/>
      <w:r w:rsidRPr="00D4151F">
        <w:rPr>
          <w:szCs w:val="24"/>
          <w:lang w:val="fr-CH"/>
        </w:rPr>
        <w:t>Thuraya</w:t>
      </w:r>
      <w:proofErr w:type="spellEnd"/>
      <w:r w:rsidRPr="00D4151F">
        <w:rPr>
          <w:szCs w:val="24"/>
          <w:lang w:val="fr-CH"/>
        </w:rPr>
        <w:t>),</w:t>
      </w:r>
    </w:p>
    <w:p w:rsidR="00A041CA" w:rsidRPr="00D4151F" w:rsidRDefault="00A041CA" w:rsidP="00A041CA">
      <w:pPr>
        <w:pStyle w:val="Call"/>
        <w:rPr>
          <w:lang w:val="fr-CH"/>
        </w:rPr>
      </w:pPr>
      <w:r w:rsidRPr="00D4151F">
        <w:rPr>
          <w:lang w:val="fr-CH"/>
        </w:rPr>
        <w:t>notant</w:t>
      </w:r>
    </w:p>
    <w:p w:rsidR="00A041CA" w:rsidRPr="00D4151F" w:rsidRDefault="00A041CA" w:rsidP="00A041CA">
      <w:pPr>
        <w:rPr>
          <w:lang w:val="fr-CH"/>
        </w:rPr>
      </w:pPr>
      <w:r w:rsidRPr="00D4151F">
        <w:rPr>
          <w:szCs w:val="24"/>
          <w:lang w:val="fr-CH"/>
        </w:rPr>
        <w:t>a)</w:t>
      </w:r>
      <w:r w:rsidRPr="00D4151F">
        <w:rPr>
          <w:szCs w:val="24"/>
          <w:lang w:val="fr-CH"/>
        </w:rPr>
        <w:tab/>
        <w:t xml:space="preserve">que les </w:t>
      </w:r>
      <w:r w:rsidRPr="00D4151F">
        <w:rPr>
          <w:lang w:val="fr-CH"/>
        </w:rPr>
        <w:t>caractéristiques, les aspects opérationnels et l'examen de la mise en place du secteur terrien pour les systèmes SMS sont détaillés dans le Manuel de l'UIT</w:t>
      </w:r>
      <w:r w:rsidRPr="00D4151F">
        <w:rPr>
          <w:lang w:val="fr-CH"/>
        </w:rPr>
        <w:noBreakHyphen/>
        <w:t>R – Service mobile par satellite;</w:t>
      </w:r>
    </w:p>
    <w:p w:rsidR="00A041CA" w:rsidRPr="00D4151F" w:rsidRDefault="00A041CA" w:rsidP="00A041CA">
      <w:pPr>
        <w:rPr>
          <w:lang w:val="fr-CH"/>
        </w:rPr>
      </w:pPr>
      <w:r w:rsidRPr="00D4151F">
        <w:rPr>
          <w:lang w:val="fr-CH"/>
        </w:rPr>
        <w:t>b)</w:t>
      </w:r>
      <w:r w:rsidRPr="00D4151F">
        <w:rPr>
          <w:lang w:val="fr-CH"/>
        </w:rPr>
        <w:tab/>
        <w:t>que plusieurs opérateurs de systèmes SMS ont déjà apporté une assistance de grande valeur dans le domaine des opérations de secours et de la gestion des situations de catastrophe, notamment en fournissant du matériel et du temps d'émission, grâce à des accords de partenariat avec l'UIT;</w:t>
      </w:r>
    </w:p>
    <w:p w:rsidR="00A041CA" w:rsidRPr="00D4151F" w:rsidRDefault="00A041CA" w:rsidP="00A041CA">
      <w:pPr>
        <w:rPr>
          <w:lang w:val="fr-CH"/>
        </w:rPr>
      </w:pPr>
      <w:r w:rsidRPr="00D4151F">
        <w:rPr>
          <w:lang w:val="fr-CH"/>
        </w:rPr>
        <w:t>c)</w:t>
      </w:r>
      <w:r w:rsidRPr="00D4151F">
        <w:rPr>
          <w:lang w:val="fr-CH"/>
        </w:rPr>
        <w:tab/>
        <w:t>que certains exemples de systèmes SMS capables de fournir des télécommunications en cas de catastrophe sont décrits dans le Rapport UIT-R M.2149;</w:t>
      </w:r>
    </w:p>
    <w:p w:rsidR="00A041CA" w:rsidRPr="00D4151F" w:rsidRDefault="00A041CA" w:rsidP="00A60119">
      <w:pPr>
        <w:rPr>
          <w:szCs w:val="24"/>
          <w:lang w:val="fr-CH"/>
        </w:rPr>
      </w:pPr>
      <w:r w:rsidRPr="00D4151F">
        <w:rPr>
          <w:lang w:val="fr-CH"/>
        </w:rPr>
        <w:t>d)</w:t>
      </w:r>
      <w:r w:rsidRPr="00D4151F">
        <w:rPr>
          <w:lang w:val="fr-CH"/>
        </w:rPr>
        <w:tab/>
        <w:t>qu'il existe des accords entre</w:t>
      </w:r>
      <w:r w:rsidRPr="00D4151F">
        <w:rPr>
          <w:szCs w:val="24"/>
          <w:lang w:val="fr-CH"/>
        </w:rPr>
        <w:t xml:space="preserve"> l'UIT et des opérateurs de satellites/fournisseurs de services du SMS sur l'utilisation de systèmes SMS pour les télécommunications en cas de catastrophe (voir </w:t>
      </w:r>
      <w:bookmarkStart w:id="3" w:name="_GoBack"/>
      <w:r w:rsidR="00A60119" w:rsidRPr="00A60119">
        <w:rPr>
          <w:spacing w:val="-8"/>
        </w:rPr>
        <w:fldChar w:fldCharType="begin"/>
      </w:r>
      <w:r w:rsidR="00A60119" w:rsidRPr="00A60119">
        <w:rPr>
          <w:spacing w:val="-8"/>
        </w:rPr>
        <w:instrText xml:space="preserve"> HYPERLINK "http://www.itu.int/en/ITU-D/Emergency-Telecommunications/Pages/PartneringforDisasterReduction.aspx" </w:instrText>
      </w:r>
      <w:r w:rsidR="00A60119" w:rsidRPr="00A60119">
        <w:rPr>
          <w:spacing w:val="-8"/>
        </w:rPr>
        <w:fldChar w:fldCharType="separate"/>
      </w:r>
      <w:r w:rsidR="00A60119" w:rsidRPr="00A60119">
        <w:rPr>
          <w:rStyle w:val="Hyperlink"/>
          <w:spacing w:val="-8"/>
        </w:rPr>
        <w:t>http://www.itu.int/en/ITU-D/Emergency-Telecommunications/Pages/PartneringforDisasterReduction.aspx</w:t>
      </w:r>
      <w:r w:rsidR="00A60119" w:rsidRPr="00A60119">
        <w:rPr>
          <w:spacing w:val="-8"/>
        </w:rPr>
        <w:fldChar w:fldCharType="end"/>
      </w:r>
      <w:bookmarkEnd w:id="3"/>
      <w:r w:rsidRPr="00D4151F">
        <w:rPr>
          <w:szCs w:val="24"/>
          <w:lang w:val="fr-CH"/>
        </w:rPr>
        <w:t>);</w:t>
      </w:r>
    </w:p>
    <w:p w:rsidR="00A041CA" w:rsidRPr="00D4151F" w:rsidRDefault="00A041CA" w:rsidP="00A041CA">
      <w:pPr>
        <w:rPr>
          <w:lang w:val="fr-CH"/>
        </w:rPr>
      </w:pPr>
      <w:bookmarkStart w:id="4" w:name="Pre_title"/>
      <w:r w:rsidRPr="00D4151F">
        <w:rPr>
          <w:szCs w:val="24"/>
          <w:lang w:val="fr-CH"/>
        </w:rPr>
        <w:t>e)</w:t>
      </w:r>
      <w:r w:rsidRPr="00D4151F">
        <w:rPr>
          <w:szCs w:val="24"/>
          <w:lang w:val="fr-CH"/>
        </w:rPr>
        <w:tab/>
        <w:t xml:space="preserve">que la Recommandation UIT-R S.1001 contient des informations sur l'utilisation des systèmes du service fixe par satellite pour les opérations d'alerte et de secours en cas de catastrophe naturelle et de </w:t>
      </w:r>
      <w:r w:rsidRPr="00D4151F">
        <w:rPr>
          <w:lang w:val="fr-CH"/>
        </w:rPr>
        <w:t>situations critiques analogues;</w:t>
      </w:r>
    </w:p>
    <w:bookmarkEnd w:id="4"/>
    <w:p w:rsidR="00A041CA" w:rsidRPr="00D4151F" w:rsidRDefault="00A041CA" w:rsidP="00A041CA">
      <w:pPr>
        <w:rPr>
          <w:szCs w:val="24"/>
          <w:lang w:val="fr-CH"/>
        </w:rPr>
      </w:pPr>
      <w:r w:rsidRPr="00D4151F">
        <w:rPr>
          <w:lang w:val="fr-CH"/>
        </w:rPr>
        <w:t>f)</w:t>
      </w:r>
      <w:r w:rsidRPr="00D4151F">
        <w:rPr>
          <w:lang w:val="fr-CH"/>
        </w:rPr>
        <w:tab/>
        <w:t>les activités du Bureau de développement des télécommunications (BDT) de l'UIT en tant que coordinateur, entre le</w:t>
      </w:r>
      <w:r w:rsidRPr="00D4151F">
        <w:rPr>
          <w:szCs w:val="24"/>
          <w:lang w:val="fr-CH"/>
        </w:rPr>
        <w:t xml:space="preserve">s secrétariats de l'UIT, de la gestion des télécommunications par satellite en cas de catastrophe ou de situation critique et des interventions sur le terrain afférentes, </w:t>
      </w:r>
    </w:p>
    <w:p w:rsidR="00A041CA" w:rsidRPr="00D4151F" w:rsidRDefault="00A041CA" w:rsidP="00A041CA">
      <w:pPr>
        <w:pStyle w:val="Call"/>
        <w:rPr>
          <w:szCs w:val="24"/>
          <w:lang w:val="fr-CH"/>
        </w:rPr>
      </w:pPr>
      <w:r w:rsidRPr="00D4151F">
        <w:rPr>
          <w:lang w:val="fr-CH"/>
        </w:rPr>
        <w:t>recommande</w:t>
      </w:r>
      <w:r w:rsidRPr="00D4151F">
        <w:rPr>
          <w:szCs w:val="24"/>
          <w:lang w:val="fr-CH"/>
        </w:rPr>
        <w:t xml:space="preserve"> </w:t>
      </w:r>
    </w:p>
    <w:p w:rsidR="00A041CA" w:rsidRPr="00D4151F" w:rsidRDefault="00A041CA" w:rsidP="00A041CA">
      <w:pPr>
        <w:rPr>
          <w:szCs w:val="24"/>
          <w:lang w:val="fr-CH"/>
        </w:rPr>
      </w:pPr>
      <w:r w:rsidRPr="00D4151F">
        <w:rPr>
          <w:b/>
          <w:szCs w:val="24"/>
          <w:lang w:val="fr-CH"/>
        </w:rPr>
        <w:t>1</w:t>
      </w:r>
      <w:r w:rsidRPr="00D4151F">
        <w:rPr>
          <w:szCs w:val="24"/>
          <w:lang w:val="fr-CH"/>
        </w:rPr>
        <w:tab/>
        <w:t xml:space="preserve">d'amener les administrations à examiner les bandes et gammes de fréquences au niveau mondial et/ou régional, pour les situations d'urgence et les secours en cas de catastrophe, identifiées au Tableau 1, lorsqu'elles procéderont à une planification au niveau national, et à communiquer ces informations au Bureau </w:t>
      </w:r>
      <w:r w:rsidRPr="00D4151F">
        <w:rPr>
          <w:lang w:val="fr-CH"/>
        </w:rPr>
        <w:t>des</w:t>
      </w:r>
      <w:r w:rsidRPr="00D4151F">
        <w:rPr>
          <w:szCs w:val="24"/>
          <w:lang w:val="fr-CH"/>
        </w:rPr>
        <w:t xml:space="preserve"> radiocommunications lors de la mise en œuvre de la Résolution 647 (CMR-07);</w:t>
      </w:r>
    </w:p>
    <w:p w:rsidR="00A041CA" w:rsidRPr="00D4151F" w:rsidRDefault="00A041CA" w:rsidP="00A041CA">
      <w:pPr>
        <w:pStyle w:val="TableNo"/>
        <w:keepLines/>
        <w:rPr>
          <w:lang w:val="fr-CH"/>
        </w:rPr>
      </w:pPr>
      <w:r w:rsidRPr="00D4151F">
        <w:rPr>
          <w:lang w:val="fr-CH"/>
        </w:rPr>
        <w:lastRenderedPageBreak/>
        <w:t>TABLEAU 1</w:t>
      </w:r>
    </w:p>
    <w:tbl>
      <w:tblPr>
        <w:tblW w:w="9639" w:type="dxa"/>
        <w:jc w:val="center"/>
        <w:tblLayout w:type="fixed"/>
        <w:tblLook w:val="0000" w:firstRow="0" w:lastRow="0" w:firstColumn="0" w:lastColumn="0" w:noHBand="0" w:noVBand="0"/>
      </w:tblPr>
      <w:tblGrid>
        <w:gridCol w:w="1463"/>
        <w:gridCol w:w="1251"/>
        <w:gridCol w:w="1997"/>
        <w:gridCol w:w="1390"/>
        <w:gridCol w:w="992"/>
        <w:gridCol w:w="1234"/>
        <w:gridCol w:w="1312"/>
      </w:tblGrid>
      <w:tr w:rsidR="00A041CA" w:rsidRPr="00D4151F" w:rsidTr="002B6FA8">
        <w:trPr>
          <w:trHeight w:val="305"/>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rFonts w:ascii="SimSun" w:eastAsia="SimSun"/>
                <w:szCs w:val="24"/>
                <w:lang w:val="fr-CH"/>
              </w:rPr>
            </w:pPr>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rFonts w:ascii="SimSun" w:eastAsia="SimSun"/>
                <w:sz w:val="20"/>
                <w:szCs w:val="24"/>
                <w:lang w:val="fr-CH"/>
              </w:rPr>
            </w:pP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rFonts w:ascii="SimSun" w:eastAsia="SimSun"/>
                <w:szCs w:val="24"/>
                <w:lang w:val="fr-CH"/>
              </w:rPr>
            </w:pPr>
          </w:p>
        </w:tc>
        <w:tc>
          <w:tcPr>
            <w:tcW w:w="2313" w:type="dxa"/>
            <w:gridSpan w:val="2"/>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 xml:space="preserve">Liaison descendante </w:t>
            </w:r>
            <w:r w:rsidRPr="00D4151F">
              <w:rPr>
                <w:szCs w:val="24"/>
                <w:lang w:val="fr-CH"/>
              </w:rPr>
              <w:br/>
              <w:t>(MHz)</w:t>
            </w:r>
            <w:r w:rsidRPr="00D4151F">
              <w:rPr>
                <w:rFonts w:ascii="Times New Roman Bold" w:hAnsi="Times New Roman Bold"/>
                <w:szCs w:val="24"/>
                <w:vertAlign w:val="superscript"/>
                <w:lang w:val="fr-CH"/>
              </w:rPr>
              <w:t>(2)</w:t>
            </w:r>
          </w:p>
        </w:tc>
        <w:tc>
          <w:tcPr>
            <w:tcW w:w="2472" w:type="dxa"/>
            <w:gridSpan w:val="2"/>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 xml:space="preserve">Liaison montante </w:t>
            </w:r>
            <w:r w:rsidRPr="00D4151F">
              <w:rPr>
                <w:szCs w:val="24"/>
                <w:lang w:val="fr-CH"/>
              </w:rPr>
              <w:br/>
              <w:t>(MHz)</w:t>
            </w:r>
            <w:r w:rsidRPr="00D4151F">
              <w:rPr>
                <w:rFonts w:ascii="Times New Roman Bold" w:hAnsi="Times New Roman Bold"/>
                <w:szCs w:val="24"/>
                <w:vertAlign w:val="superscript"/>
                <w:lang w:val="fr-CH"/>
              </w:rPr>
              <w:t>(2)</w:t>
            </w:r>
          </w:p>
        </w:tc>
      </w:tr>
      <w:tr w:rsidR="00A041CA" w:rsidRPr="00D4151F" w:rsidTr="002B6FA8">
        <w:trPr>
          <w:trHeight w:val="305"/>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Système</w:t>
            </w:r>
            <w:r w:rsidRPr="00D4151F">
              <w:rPr>
                <w:szCs w:val="24"/>
                <w:vertAlign w:val="superscript"/>
                <w:lang w:val="fr-CH"/>
              </w:rPr>
              <w:t>(1)</w:t>
            </w:r>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rFonts w:ascii="SimSun" w:eastAsia="SimSun"/>
                <w:szCs w:val="24"/>
                <w:lang w:val="fr-CH"/>
              </w:rPr>
            </w:pPr>
            <w:r w:rsidRPr="00D4151F">
              <w:rPr>
                <w:noProof/>
                <w:sz w:val="24"/>
                <w:szCs w:val="24"/>
                <w:lang w:val="fr-CH"/>
              </w:rPr>
              <w:t>Type</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Zone de service</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De</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A</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De</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head"/>
              <w:rPr>
                <w:szCs w:val="24"/>
                <w:lang w:val="fr-CH"/>
              </w:rPr>
            </w:pPr>
            <w:r w:rsidRPr="00D4151F">
              <w:rPr>
                <w:szCs w:val="24"/>
                <w:lang w:val="fr-CH"/>
              </w:rPr>
              <w:t>A</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proofErr w:type="spellStart"/>
            <w:r w:rsidRPr="00D4151F">
              <w:rPr>
                <w:szCs w:val="24"/>
                <w:lang w:val="fr-CH"/>
              </w:rPr>
              <w:t>ACeS</w:t>
            </w:r>
            <w:proofErr w:type="spellEnd"/>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Parties de la Région 3</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1 525,0</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1 559,0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1 626,5</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1 660,5</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r w:rsidRPr="00D4151F">
              <w:rPr>
                <w:szCs w:val="24"/>
                <w:lang w:val="fr-CH"/>
              </w:rPr>
              <w:t>AUSSAT</w:t>
            </w:r>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r w:rsidRPr="00D4151F">
              <w:rPr>
                <w:szCs w:val="24"/>
                <w:lang w:val="fr-CH"/>
              </w:rPr>
              <w:t>Australie</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1 545,0</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1 559,0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1 646,5</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1 660,5</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r w:rsidRPr="00D4151F">
              <w:rPr>
                <w:szCs w:val="24"/>
                <w:lang w:val="fr-CH"/>
              </w:rPr>
              <w:t xml:space="preserve">DBSD </w:t>
            </w:r>
            <w:proofErr w:type="spellStart"/>
            <w:r w:rsidRPr="00D4151F">
              <w:rPr>
                <w:szCs w:val="24"/>
                <w:lang w:val="fr-CH"/>
              </w:rPr>
              <w:t>North</w:t>
            </w:r>
            <w:proofErr w:type="spellEnd"/>
            <w:r w:rsidRPr="00D4151F">
              <w:rPr>
                <w:szCs w:val="24"/>
                <w:lang w:val="fr-CH"/>
              </w:rPr>
              <w:t xml:space="preserve"> </w:t>
            </w:r>
            <w:proofErr w:type="spellStart"/>
            <w:r w:rsidRPr="00D4151F">
              <w:rPr>
                <w:szCs w:val="24"/>
                <w:lang w:val="fr-CH"/>
              </w:rPr>
              <w:t>America</w:t>
            </w:r>
            <w:proofErr w:type="spellEnd"/>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Amérique du Nord</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2 180,0</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2 190,0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2 010,0</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2 020,0</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proofErr w:type="spellStart"/>
            <w:r w:rsidRPr="00D4151F">
              <w:rPr>
                <w:szCs w:val="24"/>
                <w:lang w:val="fr-CH"/>
              </w:rPr>
              <w:t>Globalstar</w:t>
            </w:r>
            <w:proofErr w:type="spellEnd"/>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Non 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jc w:val="left"/>
              <w:rPr>
                <w:szCs w:val="24"/>
                <w:lang w:val="fr-CH"/>
              </w:rPr>
            </w:pPr>
            <w:r w:rsidRPr="00D4151F">
              <w:rPr>
                <w:szCs w:val="24"/>
                <w:lang w:val="fr-CH"/>
              </w:rPr>
              <w:t>Planétaire</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2 483,5</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2 500,0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1 610,0</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1 621,35</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proofErr w:type="spellStart"/>
            <w:r w:rsidRPr="00D4151F">
              <w:rPr>
                <w:szCs w:val="24"/>
                <w:lang w:val="fr-CH"/>
              </w:rPr>
              <w:t>Inmarsat</w:t>
            </w:r>
            <w:proofErr w:type="spellEnd"/>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Planétaire</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1 525,0</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1 559,0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1 626,5</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1660,5</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r w:rsidRPr="00D4151F">
              <w:rPr>
                <w:szCs w:val="24"/>
                <w:lang w:val="fr-CH"/>
              </w:rPr>
              <w:t>Iridium</w:t>
            </w:r>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Non 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Planétaire</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1 617,775</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1 626,5</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1 617,775</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1 626,5</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proofErr w:type="spellStart"/>
            <w:r w:rsidRPr="00D4151F">
              <w:rPr>
                <w:szCs w:val="24"/>
                <w:lang w:val="fr-CH"/>
              </w:rPr>
              <w:t>SkyTerra</w:t>
            </w:r>
            <w:proofErr w:type="spellEnd"/>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bookmarkStart w:id="5" w:name="OLE_LINK1"/>
            <w:r w:rsidRPr="00D4151F">
              <w:rPr>
                <w:szCs w:val="24"/>
                <w:lang w:val="fr-CH"/>
              </w:rPr>
              <w:t>Amérique du Nord et centrale</w:t>
            </w:r>
            <w:bookmarkEnd w:id="5"/>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1 525,0</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1 559,0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1 626,5</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1 660,5</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Solaris Mobile</w:t>
            </w:r>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Parties de la Région</w:t>
            </w:r>
            <w:r w:rsidR="002B6FA8" w:rsidRPr="00D4151F">
              <w:rPr>
                <w:szCs w:val="24"/>
                <w:lang w:val="fr-CH"/>
              </w:rPr>
              <w:t> </w:t>
            </w:r>
            <w:r w:rsidRPr="00D4151F">
              <w:rPr>
                <w:szCs w:val="24"/>
                <w:lang w:val="fr-CH"/>
              </w:rPr>
              <w:t>1</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szCs w:val="24"/>
                <w:lang w:val="fr-CH"/>
              </w:rPr>
            </w:pPr>
            <w:r w:rsidRPr="00D4151F">
              <w:rPr>
                <w:szCs w:val="24"/>
                <w:lang w:val="fr-CH"/>
              </w:rPr>
              <w:t>2 170</w:t>
            </w:r>
            <w:r w:rsidRPr="00D4151F">
              <w:rPr>
                <w:sz w:val="20"/>
                <w:vertAlign w:val="superscript"/>
                <w:lang w:val="fr-CH"/>
              </w:rPr>
              <w:t>(</w:t>
            </w:r>
            <w:r w:rsidRPr="00D4151F">
              <w:rPr>
                <w:vertAlign w:val="superscript"/>
                <w:lang w:val="fr-CH"/>
              </w:rPr>
              <w:t>3)</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szCs w:val="24"/>
                <w:lang w:val="fr-CH"/>
              </w:rPr>
            </w:pPr>
            <w:r w:rsidRPr="00D4151F">
              <w:rPr>
                <w:szCs w:val="24"/>
                <w:lang w:val="fr-CH"/>
              </w:rPr>
              <w:t>2 200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szCs w:val="24"/>
                <w:lang w:val="fr-CH"/>
              </w:rPr>
            </w:pPr>
            <w:r w:rsidRPr="00D4151F">
              <w:rPr>
                <w:szCs w:val="24"/>
                <w:lang w:val="fr-CH"/>
              </w:rPr>
              <w:t>1 980</w:t>
            </w:r>
            <w:r w:rsidRPr="00D4151F">
              <w:rPr>
                <w:sz w:val="20"/>
                <w:vertAlign w:val="superscript"/>
                <w:lang w:val="fr-CH"/>
              </w:rPr>
              <w:t>(</w:t>
            </w:r>
            <w:r w:rsidRPr="00D4151F">
              <w:rPr>
                <w:vertAlign w:val="superscript"/>
                <w:lang w:val="fr-CH"/>
              </w:rPr>
              <w:t>3)</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szCs w:val="24"/>
                <w:lang w:val="fr-CH"/>
              </w:rPr>
            </w:pPr>
            <w:r w:rsidRPr="00D4151F">
              <w:rPr>
                <w:szCs w:val="24"/>
                <w:lang w:val="fr-CH"/>
              </w:rPr>
              <w:t>2 010</w:t>
            </w:r>
          </w:p>
        </w:tc>
      </w:tr>
      <w:tr w:rsidR="00A041CA" w:rsidRPr="00D4151F" w:rsidTr="002B6FA8">
        <w:trPr>
          <w:trHeight w:val="334"/>
          <w:jc w:val="center"/>
        </w:trPr>
        <w:tc>
          <w:tcPr>
            <w:tcW w:w="1421"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rFonts w:eastAsia="SimSun"/>
                <w:szCs w:val="24"/>
                <w:lang w:val="fr-CH"/>
              </w:rPr>
            </w:pPr>
            <w:proofErr w:type="spellStart"/>
            <w:r w:rsidRPr="00D4151F">
              <w:rPr>
                <w:szCs w:val="24"/>
                <w:lang w:val="fr-CH"/>
              </w:rPr>
              <w:t>Terrestar</w:t>
            </w:r>
            <w:proofErr w:type="spellEnd"/>
            <w:r w:rsidRPr="00D4151F">
              <w:rPr>
                <w:szCs w:val="24"/>
                <w:lang w:val="fr-CH"/>
              </w:rPr>
              <w:t xml:space="preserve"> </w:t>
            </w:r>
          </w:p>
        </w:tc>
        <w:tc>
          <w:tcPr>
            <w:tcW w:w="1215"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2" w:space="0" w:color="000000"/>
              <w:right w:val="single" w:sz="2" w:space="0" w:color="000000"/>
            </w:tcBorders>
          </w:tcPr>
          <w:p w:rsidR="00A041CA" w:rsidRPr="00D4151F" w:rsidRDefault="00A041CA" w:rsidP="002B6FA8">
            <w:pPr>
              <w:pStyle w:val="Tabletext"/>
              <w:keepNext/>
              <w:keepLines/>
              <w:jc w:val="left"/>
              <w:rPr>
                <w:szCs w:val="24"/>
                <w:lang w:val="fr-CH"/>
              </w:rPr>
            </w:pPr>
            <w:r w:rsidRPr="00D4151F">
              <w:rPr>
                <w:szCs w:val="24"/>
                <w:lang w:val="fr-CH"/>
              </w:rPr>
              <w:t>Amérique du Nord</w:t>
            </w:r>
          </w:p>
        </w:tc>
        <w:tc>
          <w:tcPr>
            <w:tcW w:w="1350"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2 190,0</w:t>
            </w:r>
          </w:p>
        </w:tc>
        <w:tc>
          <w:tcPr>
            <w:tcW w:w="963"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2 200,0</w:t>
            </w:r>
          </w:p>
        </w:tc>
        <w:tc>
          <w:tcPr>
            <w:tcW w:w="1198"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2 000,0</w:t>
            </w:r>
          </w:p>
        </w:tc>
        <w:tc>
          <w:tcPr>
            <w:tcW w:w="1274" w:type="dxa"/>
            <w:tcBorders>
              <w:top w:val="single" w:sz="2" w:space="0" w:color="000000"/>
              <w:left w:val="single" w:sz="2" w:space="0" w:color="000000"/>
              <w:bottom w:val="single" w:sz="2" w:space="0" w:color="000000"/>
              <w:right w:val="single" w:sz="2" w:space="0" w:color="000000"/>
            </w:tcBorders>
          </w:tcPr>
          <w:p w:rsidR="00A041CA" w:rsidRPr="00D4151F" w:rsidRDefault="00A041CA" w:rsidP="0028602B">
            <w:pPr>
              <w:pStyle w:val="Tabletext"/>
              <w:keepNext/>
              <w:keepLines/>
              <w:jc w:val="center"/>
              <w:rPr>
                <w:rFonts w:eastAsia="SimSun"/>
                <w:szCs w:val="24"/>
                <w:lang w:val="fr-CH"/>
              </w:rPr>
            </w:pPr>
            <w:r w:rsidRPr="00D4151F">
              <w:rPr>
                <w:szCs w:val="24"/>
                <w:lang w:val="fr-CH"/>
              </w:rPr>
              <w:t>2 010,0</w:t>
            </w:r>
          </w:p>
        </w:tc>
      </w:tr>
      <w:tr w:rsidR="00A041CA" w:rsidRPr="00D4151F" w:rsidTr="002B6FA8">
        <w:trPr>
          <w:trHeight w:val="334"/>
          <w:jc w:val="center"/>
        </w:trPr>
        <w:tc>
          <w:tcPr>
            <w:tcW w:w="1421" w:type="dxa"/>
            <w:tcBorders>
              <w:top w:val="single" w:sz="2" w:space="0" w:color="000000"/>
              <w:left w:val="single" w:sz="2" w:space="0" w:color="000000"/>
              <w:bottom w:val="single" w:sz="4" w:space="0" w:color="auto"/>
              <w:right w:val="single" w:sz="2" w:space="0" w:color="000000"/>
            </w:tcBorders>
          </w:tcPr>
          <w:p w:rsidR="00A041CA" w:rsidRPr="00D4151F" w:rsidRDefault="00A041CA" w:rsidP="002B6FA8">
            <w:pPr>
              <w:pStyle w:val="Tabletext"/>
              <w:jc w:val="left"/>
              <w:rPr>
                <w:rFonts w:eastAsia="SimSun"/>
                <w:szCs w:val="24"/>
                <w:lang w:val="fr-CH"/>
              </w:rPr>
            </w:pPr>
            <w:proofErr w:type="spellStart"/>
            <w:r w:rsidRPr="00D4151F">
              <w:rPr>
                <w:szCs w:val="24"/>
                <w:lang w:val="fr-CH"/>
              </w:rPr>
              <w:t>Thuraya</w:t>
            </w:r>
            <w:proofErr w:type="spellEnd"/>
          </w:p>
        </w:tc>
        <w:tc>
          <w:tcPr>
            <w:tcW w:w="1215" w:type="dxa"/>
            <w:tcBorders>
              <w:top w:val="single" w:sz="2" w:space="0" w:color="000000"/>
              <w:left w:val="single" w:sz="2" w:space="0" w:color="000000"/>
              <w:bottom w:val="single" w:sz="4" w:space="0" w:color="auto"/>
              <w:right w:val="single" w:sz="2" w:space="0" w:color="000000"/>
            </w:tcBorders>
          </w:tcPr>
          <w:p w:rsidR="00A041CA" w:rsidRPr="00D4151F" w:rsidRDefault="00A041CA" w:rsidP="002B6FA8">
            <w:pPr>
              <w:pStyle w:val="Tabletext"/>
              <w:jc w:val="left"/>
              <w:rPr>
                <w:szCs w:val="24"/>
                <w:lang w:val="fr-CH"/>
              </w:rPr>
            </w:pPr>
            <w:r w:rsidRPr="00D4151F">
              <w:rPr>
                <w:szCs w:val="24"/>
                <w:lang w:val="fr-CH"/>
              </w:rPr>
              <w:t>OSG</w:t>
            </w:r>
          </w:p>
        </w:tc>
        <w:tc>
          <w:tcPr>
            <w:tcW w:w="1939" w:type="dxa"/>
            <w:tcBorders>
              <w:top w:val="single" w:sz="2" w:space="0" w:color="000000"/>
              <w:left w:val="single" w:sz="2" w:space="0" w:color="000000"/>
              <w:bottom w:val="single" w:sz="4" w:space="0" w:color="auto"/>
              <w:right w:val="single" w:sz="2" w:space="0" w:color="000000"/>
            </w:tcBorders>
          </w:tcPr>
          <w:p w:rsidR="00A041CA" w:rsidRPr="00D4151F" w:rsidRDefault="00A041CA" w:rsidP="002B6FA8">
            <w:pPr>
              <w:pStyle w:val="Tabletext"/>
              <w:jc w:val="left"/>
              <w:rPr>
                <w:szCs w:val="24"/>
                <w:lang w:val="fr-CH"/>
              </w:rPr>
            </w:pPr>
            <w:r w:rsidRPr="00D4151F">
              <w:rPr>
                <w:szCs w:val="24"/>
                <w:lang w:val="fr-CH"/>
              </w:rPr>
              <w:t>Régions 1 et 3</w:t>
            </w:r>
          </w:p>
        </w:tc>
        <w:tc>
          <w:tcPr>
            <w:tcW w:w="1350" w:type="dxa"/>
            <w:tcBorders>
              <w:top w:val="single" w:sz="2" w:space="0" w:color="000000"/>
              <w:left w:val="single" w:sz="2" w:space="0" w:color="000000"/>
              <w:bottom w:val="single" w:sz="4" w:space="0" w:color="auto"/>
              <w:right w:val="single" w:sz="2" w:space="0" w:color="000000"/>
            </w:tcBorders>
          </w:tcPr>
          <w:p w:rsidR="00A041CA" w:rsidRPr="00D4151F" w:rsidRDefault="00A041CA" w:rsidP="0028602B">
            <w:pPr>
              <w:pStyle w:val="Tabletext"/>
              <w:jc w:val="center"/>
              <w:rPr>
                <w:rFonts w:eastAsia="SimSun"/>
                <w:szCs w:val="24"/>
                <w:lang w:val="fr-CH"/>
              </w:rPr>
            </w:pPr>
            <w:r w:rsidRPr="00D4151F">
              <w:rPr>
                <w:szCs w:val="24"/>
                <w:lang w:val="fr-CH"/>
              </w:rPr>
              <w:t>1 525,0</w:t>
            </w:r>
          </w:p>
        </w:tc>
        <w:tc>
          <w:tcPr>
            <w:tcW w:w="963" w:type="dxa"/>
            <w:tcBorders>
              <w:top w:val="single" w:sz="2" w:space="0" w:color="000000"/>
              <w:left w:val="single" w:sz="2" w:space="0" w:color="000000"/>
              <w:bottom w:val="single" w:sz="4" w:space="0" w:color="auto"/>
              <w:right w:val="single" w:sz="2" w:space="0" w:color="000000"/>
            </w:tcBorders>
          </w:tcPr>
          <w:p w:rsidR="00A041CA" w:rsidRPr="00D4151F" w:rsidRDefault="00A041CA" w:rsidP="0028602B">
            <w:pPr>
              <w:pStyle w:val="Tabletext"/>
              <w:jc w:val="center"/>
              <w:rPr>
                <w:rFonts w:eastAsia="SimSun"/>
                <w:szCs w:val="24"/>
                <w:lang w:val="fr-CH"/>
              </w:rPr>
            </w:pPr>
            <w:r w:rsidRPr="00D4151F">
              <w:rPr>
                <w:szCs w:val="24"/>
                <w:lang w:val="fr-CH"/>
              </w:rPr>
              <w:t>1 559,0</w:t>
            </w:r>
          </w:p>
        </w:tc>
        <w:tc>
          <w:tcPr>
            <w:tcW w:w="1198" w:type="dxa"/>
            <w:tcBorders>
              <w:top w:val="single" w:sz="2" w:space="0" w:color="000000"/>
              <w:left w:val="single" w:sz="2" w:space="0" w:color="000000"/>
              <w:bottom w:val="single" w:sz="4" w:space="0" w:color="auto"/>
              <w:right w:val="single" w:sz="2" w:space="0" w:color="000000"/>
            </w:tcBorders>
          </w:tcPr>
          <w:p w:rsidR="00A041CA" w:rsidRPr="00D4151F" w:rsidRDefault="00A041CA" w:rsidP="0028602B">
            <w:pPr>
              <w:pStyle w:val="Tabletext"/>
              <w:jc w:val="center"/>
              <w:rPr>
                <w:rFonts w:eastAsia="SimSun"/>
                <w:szCs w:val="24"/>
                <w:lang w:val="fr-CH"/>
              </w:rPr>
            </w:pPr>
            <w:r w:rsidRPr="00D4151F">
              <w:rPr>
                <w:szCs w:val="24"/>
                <w:lang w:val="fr-CH"/>
              </w:rPr>
              <w:t>1 626,5</w:t>
            </w:r>
          </w:p>
        </w:tc>
        <w:tc>
          <w:tcPr>
            <w:tcW w:w="1274" w:type="dxa"/>
            <w:tcBorders>
              <w:top w:val="single" w:sz="2" w:space="0" w:color="000000"/>
              <w:left w:val="single" w:sz="2" w:space="0" w:color="000000"/>
              <w:bottom w:val="single" w:sz="4" w:space="0" w:color="auto"/>
              <w:right w:val="single" w:sz="2" w:space="0" w:color="000000"/>
            </w:tcBorders>
          </w:tcPr>
          <w:p w:rsidR="00A041CA" w:rsidRPr="00D4151F" w:rsidRDefault="00A041CA" w:rsidP="0028602B">
            <w:pPr>
              <w:pStyle w:val="Tabletext"/>
              <w:jc w:val="center"/>
              <w:rPr>
                <w:rFonts w:eastAsia="SimSun"/>
                <w:szCs w:val="24"/>
                <w:lang w:val="fr-CH"/>
              </w:rPr>
            </w:pPr>
            <w:r w:rsidRPr="00D4151F">
              <w:rPr>
                <w:szCs w:val="24"/>
                <w:lang w:val="fr-CH"/>
              </w:rPr>
              <w:t>1 660,5</w:t>
            </w:r>
          </w:p>
        </w:tc>
      </w:tr>
      <w:tr w:rsidR="00A041CA" w:rsidRPr="00D4151F" w:rsidTr="002B6FA8">
        <w:trPr>
          <w:trHeight w:val="334"/>
          <w:jc w:val="center"/>
        </w:trPr>
        <w:tc>
          <w:tcPr>
            <w:tcW w:w="9360" w:type="dxa"/>
            <w:gridSpan w:val="7"/>
            <w:tcBorders>
              <w:top w:val="single" w:sz="4" w:space="0" w:color="auto"/>
            </w:tcBorders>
          </w:tcPr>
          <w:p w:rsidR="00A041CA" w:rsidRPr="00D4151F" w:rsidRDefault="00A041CA" w:rsidP="0028602B">
            <w:pPr>
              <w:pStyle w:val="TableLegendNote"/>
              <w:rPr>
                <w:rFonts w:eastAsia="MS Mincho"/>
                <w:lang w:val="fr-CH"/>
              </w:rPr>
            </w:pPr>
            <w:r w:rsidRPr="00D4151F">
              <w:rPr>
                <w:lang w:val="fr-CH"/>
              </w:rPr>
              <w:t>NOTE 1 – Pour de plus amples informations sur ces systèmes SMS, se reporter au Rapport UIT</w:t>
            </w:r>
            <w:r w:rsidRPr="00D4151F">
              <w:rPr>
                <w:lang w:val="fr-CH"/>
              </w:rPr>
              <w:noBreakHyphen/>
              <w:t>R M.2149.</w:t>
            </w:r>
          </w:p>
          <w:p w:rsidR="00A041CA" w:rsidRPr="00D4151F" w:rsidRDefault="00A041CA" w:rsidP="0028602B">
            <w:pPr>
              <w:pStyle w:val="TableLegendNote"/>
              <w:rPr>
                <w:lang w:val="fr-CH"/>
              </w:rPr>
            </w:pPr>
            <w:r w:rsidRPr="00D4151F">
              <w:rPr>
                <w:lang w:val="fr-CH"/>
              </w:rPr>
              <w:t>NOTE 2 – A noter que, dans le futur, il y aura peut-être d'autres systèmes SMS, dans ces bandes de fréquences ou dans d'autres.</w:t>
            </w:r>
          </w:p>
          <w:p w:rsidR="00A041CA" w:rsidRPr="00D4151F" w:rsidRDefault="00A041CA" w:rsidP="002B6FA8">
            <w:pPr>
              <w:pStyle w:val="Tablelegend"/>
              <w:ind w:left="-85" w:firstLine="0"/>
              <w:rPr>
                <w:lang w:val="fr-CH"/>
              </w:rPr>
            </w:pPr>
            <w:r w:rsidRPr="00D4151F">
              <w:rPr>
                <w:lang w:val="fr-CH"/>
              </w:rPr>
              <w:t>NOTE 3 – Au sein de l'Union européenne, Solaris Mobile ne fonctionne que dans les bandes 2 185</w:t>
            </w:r>
            <w:r w:rsidR="002B6FA8" w:rsidRPr="00D4151F">
              <w:rPr>
                <w:lang w:val="fr-CH"/>
              </w:rPr>
              <w:noBreakHyphen/>
            </w:r>
            <w:r w:rsidRPr="00D4151F">
              <w:rPr>
                <w:lang w:val="fr-CH"/>
              </w:rPr>
              <w:t>2 200 MHz et 1 995-2 010 MHz.</w:t>
            </w:r>
          </w:p>
        </w:tc>
      </w:tr>
    </w:tbl>
    <w:p w:rsidR="00A041CA" w:rsidRPr="00D4151F" w:rsidRDefault="00A041CA" w:rsidP="00A041CA">
      <w:pPr>
        <w:rPr>
          <w:szCs w:val="24"/>
          <w:lang w:val="fr-CH"/>
        </w:rPr>
      </w:pPr>
      <w:r w:rsidRPr="00D4151F">
        <w:rPr>
          <w:b/>
          <w:szCs w:val="24"/>
          <w:lang w:val="fr-CH"/>
        </w:rPr>
        <w:t>2</w:t>
      </w:r>
      <w:r w:rsidRPr="00D4151F">
        <w:rPr>
          <w:szCs w:val="24"/>
          <w:lang w:val="fr-CH"/>
        </w:rPr>
        <w:tab/>
        <w:t>d'inviter les opérateurs de systèmes SMS à utiliser le Protocole d'alerte commun (CAP1.1) décrit dans la Recommandation X.1303 de l'UIT</w:t>
      </w:r>
      <w:r w:rsidRPr="00D4151F">
        <w:rPr>
          <w:szCs w:val="24"/>
          <w:lang w:val="fr-CH"/>
        </w:rPr>
        <w:noBreakHyphen/>
        <w:t>T et à suivre les évolutions en la matière;</w:t>
      </w:r>
    </w:p>
    <w:p w:rsidR="00A041CA" w:rsidRPr="00D4151F" w:rsidRDefault="00A041CA" w:rsidP="00A041CA">
      <w:pPr>
        <w:rPr>
          <w:szCs w:val="24"/>
          <w:lang w:val="fr-CH"/>
        </w:rPr>
      </w:pPr>
      <w:r w:rsidRPr="00D4151F">
        <w:rPr>
          <w:b/>
          <w:szCs w:val="24"/>
          <w:lang w:val="fr-CH"/>
        </w:rPr>
        <w:t>3</w:t>
      </w:r>
      <w:r w:rsidRPr="00D4151F">
        <w:rPr>
          <w:szCs w:val="24"/>
          <w:lang w:val="fr-CH"/>
        </w:rPr>
        <w:tab/>
        <w:t xml:space="preserve">aux administrations et aux opérateurs/fournisseurs de services SMS de planifier à l'avance l'utilisation des possibilités offertes par le SMS pour la gestion des situations d'urgence et les opérations de secours en cas de catastrophe, afin d'assurer la mise à disposition rapide des services SMS en cas de catastrophe, et ce en tenant compte des Résolutions mentionnées au </w:t>
      </w:r>
      <w:r w:rsidRPr="00D4151F">
        <w:rPr>
          <w:i/>
          <w:szCs w:val="24"/>
          <w:lang w:val="fr-CH"/>
        </w:rPr>
        <w:t>compte tenu</w:t>
      </w:r>
      <w:r w:rsidRPr="00D4151F">
        <w:rPr>
          <w:szCs w:val="24"/>
          <w:lang w:val="fr-CH"/>
        </w:rPr>
        <w:t xml:space="preserve"> d); </w:t>
      </w:r>
    </w:p>
    <w:p w:rsidR="00A041CA" w:rsidRPr="00D4151F" w:rsidRDefault="00A041CA" w:rsidP="00A041CA">
      <w:pPr>
        <w:rPr>
          <w:szCs w:val="24"/>
          <w:lang w:val="fr-CH"/>
        </w:rPr>
      </w:pPr>
      <w:r w:rsidRPr="00D4151F">
        <w:rPr>
          <w:b/>
          <w:szCs w:val="24"/>
          <w:lang w:val="fr-CH"/>
        </w:rPr>
        <w:t>4</w:t>
      </w:r>
      <w:r w:rsidRPr="00D4151F">
        <w:rPr>
          <w:b/>
          <w:szCs w:val="24"/>
          <w:lang w:val="fr-CH"/>
        </w:rPr>
        <w:tab/>
      </w:r>
      <w:r w:rsidRPr="00D4151F">
        <w:rPr>
          <w:szCs w:val="24"/>
          <w:lang w:val="fr-CH"/>
        </w:rPr>
        <w:t>d'encourager les opérateurs de systèmes SMS à poursuivre leur collaboration avec l'UIT en ce qui concerne la gestion des situations d'urgence et les opérations de secours en cas de catastrophe.</w:t>
      </w:r>
    </w:p>
    <w:p w:rsidR="002B6FA8" w:rsidRPr="00D4151F" w:rsidRDefault="002B6FA8" w:rsidP="00A041CA">
      <w:pPr>
        <w:rPr>
          <w:szCs w:val="24"/>
          <w:lang w:val="fr-CH"/>
        </w:rPr>
      </w:pPr>
    </w:p>
    <w:p w:rsidR="00A041CA" w:rsidRPr="00D4151F" w:rsidRDefault="00A041CA" w:rsidP="006156FE">
      <w:pPr>
        <w:pStyle w:val="Line"/>
        <w:rPr>
          <w:lang w:val="fr-CH"/>
        </w:rPr>
      </w:pPr>
    </w:p>
    <w:p w:rsidR="00A041CA" w:rsidRPr="00D4151F" w:rsidRDefault="00A041CA" w:rsidP="00A041CA">
      <w:pPr>
        <w:rPr>
          <w:lang w:val="fr-CH"/>
        </w:rPr>
      </w:pPr>
    </w:p>
    <w:sectPr w:rsidR="00A041CA" w:rsidRPr="00D4151F" w:rsidSect="006156FE">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1CA" w:rsidRDefault="00A041CA">
      <w:r>
        <w:separator/>
      </w:r>
    </w:p>
  </w:endnote>
  <w:endnote w:type="continuationSeparator" w:id="0">
    <w:p w:rsidR="00A041CA" w:rsidRDefault="00A04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1CA" w:rsidRDefault="00A041CA">
      <w:r>
        <w:separator/>
      </w:r>
    </w:p>
  </w:footnote>
  <w:footnote w:type="continuationSeparator" w:id="0">
    <w:p w:rsidR="00A041CA" w:rsidRDefault="00A04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CA" w:rsidRDefault="00A041C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CA" w:rsidRDefault="00A041CA" w:rsidP="00C668C8">
    <w:pPr>
      <w:pStyle w:val="Header"/>
      <w:ind w:right="360" w:firstLine="360"/>
    </w:pPr>
    <w:r>
      <w:rPr>
        <w:noProof/>
        <w:lang w:val="en-US" w:eastAsia="zh-CN"/>
      </w:rPr>
      <w:drawing>
        <wp:anchor distT="0" distB="0" distL="114300" distR="114300" simplePos="0" relativeHeight="251659264" behindDoc="1" locked="0" layoutInCell="1" allowOverlap="1" wp14:anchorId="1135FE1D" wp14:editId="5F6246D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CA" w:rsidRPr="00837CB5" w:rsidRDefault="00A041C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23208">
      <w:rPr>
        <w:rStyle w:val="PageNumber"/>
        <w:b/>
        <w:bCs/>
        <w:noProof/>
      </w:rPr>
      <w:t>ii</w:t>
    </w:r>
    <w:r>
      <w:rPr>
        <w:rStyle w:val="PageNumber"/>
        <w:b/>
        <w:bCs/>
      </w:rPr>
      <w:fldChar w:fldCharType="end"/>
    </w:r>
    <w:r w:rsidRPr="00837CB5">
      <w:tab/>
    </w:r>
    <w:fldSimple w:instr=" DOCPROPERTY &quot;Header&quot; \* MERGEFORMAT ">
      <w:r w:rsidR="00323208" w:rsidRPr="0032320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23208">
      <w:rPr>
        <w:b/>
        <w:bCs/>
        <w:noProof/>
      </w:rPr>
      <w:t>UIT-R  M.1854-1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CA" w:rsidRDefault="00A041CA">
    <w:pPr>
      <w:pStyle w:val="Header"/>
    </w:pPr>
    <w:r>
      <w:tab/>
    </w:r>
    <w:fldSimple w:instr=" DOCPROPERTY &quot;Header&quot; \* MERGEFORMAT ">
      <w:r w:rsidR="00323208" w:rsidRPr="003232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3208">
      <w:rPr>
        <w:b/>
        <w:bCs/>
        <w:noProof/>
      </w:rPr>
      <w:t>UIT-R  M.1854-1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2320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23208" w:rsidRPr="0032320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23208">
      <w:rPr>
        <w:b/>
        <w:bCs/>
        <w:noProof/>
      </w:rPr>
      <w:t>UIT-R  M.1854-1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323208">
      <w:fldChar w:fldCharType="begin"/>
    </w:r>
    <w:r w:rsidR="00323208">
      <w:instrText xml:space="preserve"> DOCPROPERTY "Header" \* MERGEFORMAT </w:instrText>
    </w:r>
    <w:r w:rsidR="00323208">
      <w:fldChar w:fldCharType="separate"/>
    </w:r>
    <w:r w:rsidR="00323208" w:rsidRPr="00323208">
      <w:rPr>
        <w:b/>
        <w:bCs/>
      </w:rPr>
      <w:t xml:space="preserve">Rec. </w:t>
    </w:r>
    <w:r w:rsidR="00323208">
      <w:rPr>
        <w:b/>
        <w:bCs/>
      </w:rPr>
      <w:fldChar w:fldCharType="end"/>
    </w:r>
    <w:r>
      <w:rPr>
        <w:b/>
        <w:bCs/>
      </w:rPr>
      <w:t xml:space="preserve"> </w:t>
    </w:r>
    <w:r>
      <w:rPr>
        <w:b/>
        <w:bCs/>
      </w:rPr>
      <w:fldChar w:fldCharType="begin"/>
    </w:r>
    <w:r>
      <w:rPr>
        <w:b/>
        <w:bCs/>
      </w:rPr>
      <w:instrText>styleref href</w:instrText>
    </w:r>
    <w:r>
      <w:rPr>
        <w:b/>
        <w:bCs/>
      </w:rPr>
      <w:fldChar w:fldCharType="separate"/>
    </w:r>
    <w:r w:rsidR="00323208">
      <w:rPr>
        <w:b/>
        <w:bCs/>
        <w:noProof/>
      </w:rPr>
      <w:t>UIT-R  M.1854-1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320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1CA"/>
    <w:rsid w:val="000600F9"/>
    <w:rsid w:val="00217EBF"/>
    <w:rsid w:val="00242AEE"/>
    <w:rsid w:val="002B6FA8"/>
    <w:rsid w:val="002D76C4"/>
    <w:rsid w:val="00323208"/>
    <w:rsid w:val="0052529D"/>
    <w:rsid w:val="00571E35"/>
    <w:rsid w:val="00607D68"/>
    <w:rsid w:val="006156FE"/>
    <w:rsid w:val="006B5DBE"/>
    <w:rsid w:val="007468DA"/>
    <w:rsid w:val="009E00A8"/>
    <w:rsid w:val="00A041CA"/>
    <w:rsid w:val="00A60119"/>
    <w:rsid w:val="00A6617B"/>
    <w:rsid w:val="00AB0DC8"/>
    <w:rsid w:val="00B44E24"/>
    <w:rsid w:val="00D4151F"/>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5C7AEA-1D7E-4823-9136-3612DE6C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041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ITU-R/space/res647/index-fr.asp"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6</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M.1854-1 - Utilisation du service mobile par satellite (SMS) pour les interventions  et les secours en cas de catastrophe</dc:title>
  <dc:subject>M Series = Mobile, radiodetermination, amateur and related satellite services</dc:subject>
  <dc:creator>ITU Radiocommunication Bureau (BR)</dc:creator>
  <cp:keywords>M,1854-1</cp:keywords>
  <dc:description>Soby, 16.04.2012, MS-106344</dc:description>
  <cp:lastModifiedBy>Al-Yammouni, Hala</cp:lastModifiedBy>
  <cp:revision>6</cp:revision>
  <cp:lastPrinted>2016-10-28T12:06:00Z</cp:lastPrinted>
  <dcterms:created xsi:type="dcterms:W3CDTF">2012-04-12T06:57:00Z</dcterms:created>
  <dcterms:modified xsi:type="dcterms:W3CDTF">2016-10-28T12:07:00Z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16. avril 2012</vt:lpwstr>
  </property>
</Properties>
</file>