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tbl>
      <w:tblPr>
        <w:tblW w:w="10089" w:type="dxa"/>
        <w:tblLook w:val="01E0" w:firstRow="1" w:lastRow="1" w:firstColumn="1" w:lastColumn="1" w:noHBand="0" w:noVBand="0"/>
      </w:tblPr>
      <w:tblGrid>
        <w:gridCol w:w="10089"/>
      </w:tblGrid>
      <w:tr w:rsidR="0077550A" w:rsidRPr="00E573CA" w:rsidTr="00E573CA">
        <w:tc>
          <w:tcPr>
            <w:tcW w:w="10089" w:type="dxa"/>
            <w:shd w:val="clear" w:color="auto" w:fill="auto"/>
          </w:tcPr>
          <w:p w:rsidR="0077550A" w:rsidRPr="00E573CA" w:rsidRDefault="0077550A" w:rsidP="00E573CA">
            <w:pPr>
              <w:spacing w:before="380" w:line="280" w:lineRule="exact"/>
              <w:jc w:val="right"/>
              <w:rPr>
                <w:rFonts w:ascii="Tahoma" w:hAnsi="Tahoma" w:cs="Tahoma"/>
                <w:b/>
                <w:bCs/>
                <w:iCs/>
                <w:color w:val="243285"/>
                <w:sz w:val="32"/>
                <w:szCs w:val="32"/>
                <w:lang w:val="en-US"/>
              </w:rPr>
            </w:pPr>
          </w:p>
          <w:p w:rsidR="0077550A" w:rsidRPr="00E573CA" w:rsidRDefault="0077550A" w:rsidP="00E573CA">
            <w:pPr>
              <w:spacing w:before="380" w:line="280" w:lineRule="exact"/>
              <w:jc w:val="right"/>
              <w:rPr>
                <w:rFonts w:ascii="Tahoma" w:hAnsi="Tahoma" w:cs="Tahoma"/>
                <w:b/>
                <w:bCs/>
                <w:iCs/>
                <w:color w:val="243285"/>
                <w:sz w:val="36"/>
                <w:szCs w:val="36"/>
              </w:rPr>
            </w:pPr>
            <w:proofErr w:type="spellStart"/>
            <w:r w:rsidRPr="00E573CA">
              <w:rPr>
                <w:rFonts w:ascii="Tahoma" w:hAnsi="Tahoma" w:cs="Tahoma"/>
                <w:b/>
                <w:bCs/>
                <w:iCs/>
                <w:color w:val="243285"/>
                <w:sz w:val="36"/>
                <w:szCs w:val="36"/>
              </w:rPr>
              <w:t>Recommendation</w:t>
            </w:r>
            <w:proofErr w:type="spellEnd"/>
            <w:r w:rsidRPr="00E573CA">
              <w:rPr>
                <w:rFonts w:ascii="Tahoma" w:hAnsi="Tahoma" w:cs="Tahoma"/>
                <w:b/>
                <w:bCs/>
                <w:iCs/>
                <w:color w:val="243285"/>
                <w:sz w:val="36"/>
                <w:szCs w:val="36"/>
              </w:rPr>
              <w:t xml:space="preserve">  ITU-R  M.1854</w:t>
            </w:r>
            <w:r w:rsidR="00AF171F">
              <w:rPr>
                <w:rFonts w:ascii="Tahoma" w:hAnsi="Tahoma" w:cs="Tahoma"/>
                <w:b/>
                <w:bCs/>
                <w:iCs/>
                <w:color w:val="243285"/>
                <w:sz w:val="36"/>
                <w:szCs w:val="36"/>
              </w:rPr>
              <w:t>-1</w:t>
            </w:r>
          </w:p>
          <w:p w:rsidR="0077550A" w:rsidRPr="00E573CA" w:rsidRDefault="0077550A" w:rsidP="00AF171F">
            <w:pPr>
              <w:spacing w:before="80" w:line="280" w:lineRule="exact"/>
              <w:jc w:val="right"/>
              <w:rPr>
                <w:rFonts w:ascii="Tahoma" w:hAnsi="Tahoma" w:cs="Tahoma"/>
                <w:b/>
                <w:bCs/>
                <w:iCs/>
                <w:color w:val="243285"/>
                <w:szCs w:val="24"/>
              </w:rPr>
            </w:pPr>
            <w:r w:rsidRPr="00E573CA">
              <w:rPr>
                <w:rFonts w:ascii="Tahoma" w:hAnsi="Tahoma" w:cs="Tahoma"/>
                <w:b/>
                <w:bCs/>
                <w:iCs/>
                <w:color w:val="243285"/>
                <w:szCs w:val="24"/>
              </w:rPr>
              <w:t>(</w:t>
            </w:r>
            <w:r w:rsidR="00AF171F">
              <w:rPr>
                <w:rFonts w:ascii="Tahoma" w:hAnsi="Tahoma" w:cs="Tahoma"/>
                <w:b/>
                <w:bCs/>
                <w:iCs/>
                <w:color w:val="243285"/>
                <w:szCs w:val="24"/>
              </w:rPr>
              <w:t>01</w:t>
            </w:r>
            <w:r w:rsidRPr="00E573CA">
              <w:rPr>
                <w:rFonts w:ascii="Tahoma" w:hAnsi="Tahoma" w:cs="Tahoma"/>
                <w:b/>
                <w:bCs/>
                <w:iCs/>
                <w:color w:val="243285"/>
                <w:szCs w:val="24"/>
              </w:rPr>
              <w:t>/201</w:t>
            </w:r>
            <w:r w:rsidR="00AF171F">
              <w:rPr>
                <w:rFonts w:ascii="Tahoma" w:hAnsi="Tahoma" w:cs="Tahoma"/>
                <w:b/>
                <w:bCs/>
                <w:iCs/>
                <w:color w:val="243285"/>
                <w:szCs w:val="24"/>
              </w:rPr>
              <w:t>2</w:t>
            </w:r>
            <w:r w:rsidRPr="00E573CA">
              <w:rPr>
                <w:rFonts w:ascii="Tahoma" w:hAnsi="Tahoma" w:cs="Tahoma"/>
                <w:b/>
                <w:bCs/>
                <w:iCs/>
                <w:color w:val="243285"/>
                <w:szCs w:val="24"/>
              </w:rPr>
              <w:t>)</w:t>
            </w:r>
          </w:p>
        </w:tc>
      </w:tr>
      <w:tr w:rsidR="0077550A" w:rsidRPr="000D0469" w:rsidTr="00E573CA">
        <w:tc>
          <w:tcPr>
            <w:tcW w:w="10089" w:type="dxa"/>
            <w:shd w:val="clear" w:color="auto" w:fill="auto"/>
          </w:tcPr>
          <w:p w:rsidR="0077550A" w:rsidRPr="0080075A" w:rsidRDefault="0077550A" w:rsidP="00E573CA">
            <w:pPr>
              <w:spacing w:before="80" w:line="500" w:lineRule="exact"/>
              <w:jc w:val="right"/>
              <w:rPr>
                <w:rFonts w:ascii="Tahoma" w:hAnsi="Tahoma" w:cs="Tahoma"/>
                <w:b/>
                <w:bCs/>
                <w:iCs/>
                <w:color w:val="243285"/>
                <w:sz w:val="44"/>
                <w:szCs w:val="44"/>
                <w:lang w:val="en-US"/>
              </w:rPr>
            </w:pPr>
          </w:p>
          <w:p w:rsidR="0077550A" w:rsidRPr="00E573CA" w:rsidRDefault="0077550A" w:rsidP="00E573CA">
            <w:pPr>
              <w:spacing w:before="80" w:line="500" w:lineRule="exact"/>
              <w:jc w:val="right"/>
              <w:rPr>
                <w:rFonts w:ascii="Tahoma" w:hAnsi="Tahoma" w:cs="Tahoma"/>
                <w:b/>
                <w:bCs/>
                <w:iCs/>
                <w:color w:val="243285"/>
                <w:sz w:val="44"/>
                <w:szCs w:val="44"/>
                <w:lang w:val="en-US"/>
              </w:rPr>
            </w:pPr>
            <w:r w:rsidRPr="00E573CA">
              <w:rPr>
                <w:rFonts w:ascii="Tahoma" w:hAnsi="Tahoma" w:cs="Tahoma"/>
                <w:b/>
                <w:bCs/>
                <w:color w:val="243285"/>
                <w:sz w:val="44"/>
                <w:szCs w:val="44"/>
                <w:lang w:val="en-US"/>
              </w:rPr>
              <w:t>Use of mobile-satellite service in disaster response and relief</w:t>
            </w:r>
            <w:r w:rsidRPr="00E573CA">
              <w:rPr>
                <w:rFonts w:ascii="Tahoma" w:hAnsi="Tahoma" w:cs="Tahoma"/>
                <w:b/>
                <w:bCs/>
                <w:iCs/>
                <w:color w:val="243285"/>
                <w:sz w:val="44"/>
                <w:szCs w:val="44"/>
                <w:lang w:val="en-US"/>
              </w:rPr>
              <w:t xml:space="preserve"> </w:t>
            </w:r>
          </w:p>
        </w:tc>
      </w:tr>
      <w:tr w:rsidR="0077550A" w:rsidRPr="00E573CA" w:rsidTr="00E573CA">
        <w:tc>
          <w:tcPr>
            <w:tcW w:w="10089" w:type="dxa"/>
            <w:shd w:val="clear" w:color="auto" w:fill="auto"/>
          </w:tcPr>
          <w:p w:rsidR="0077550A" w:rsidRPr="00E573CA" w:rsidRDefault="0077550A" w:rsidP="00E573CA">
            <w:pPr>
              <w:spacing w:before="80" w:line="280" w:lineRule="exact"/>
              <w:ind w:right="640"/>
              <w:rPr>
                <w:rFonts w:ascii="Tahoma" w:hAnsi="Tahoma" w:cs="Tahoma"/>
                <w:b/>
                <w:bCs/>
                <w:iCs/>
                <w:color w:val="243285"/>
                <w:sz w:val="32"/>
                <w:szCs w:val="32"/>
                <w:lang w:val="en-US"/>
              </w:rPr>
            </w:pPr>
          </w:p>
          <w:p w:rsidR="0077550A" w:rsidRPr="00E573CA" w:rsidRDefault="0077550A" w:rsidP="00E573CA">
            <w:pPr>
              <w:spacing w:before="80" w:line="280" w:lineRule="exact"/>
              <w:ind w:right="640"/>
              <w:rPr>
                <w:rFonts w:ascii="Tahoma" w:hAnsi="Tahoma" w:cs="Tahoma"/>
                <w:b/>
                <w:bCs/>
                <w:iCs/>
                <w:color w:val="243285"/>
                <w:sz w:val="32"/>
                <w:szCs w:val="32"/>
                <w:lang w:val="en-US"/>
              </w:rPr>
            </w:pPr>
          </w:p>
          <w:p w:rsidR="0077550A" w:rsidRPr="00E573CA" w:rsidRDefault="0077550A" w:rsidP="00E573CA">
            <w:pPr>
              <w:spacing w:before="80" w:after="180" w:line="360" w:lineRule="exact"/>
              <w:ind w:right="720"/>
              <w:rPr>
                <w:rFonts w:ascii="Tahoma" w:hAnsi="Tahoma" w:cs="Tahoma"/>
                <w:b/>
                <w:bCs/>
                <w:iCs/>
                <w:color w:val="243285"/>
                <w:sz w:val="36"/>
                <w:szCs w:val="36"/>
                <w:lang w:val="en-US"/>
              </w:rPr>
            </w:pPr>
          </w:p>
          <w:p w:rsidR="0077550A" w:rsidRPr="00E573CA" w:rsidRDefault="0077550A" w:rsidP="00E573CA">
            <w:pPr>
              <w:spacing w:before="80" w:after="180" w:line="360" w:lineRule="exact"/>
              <w:jc w:val="right"/>
              <w:rPr>
                <w:rFonts w:ascii="Tahoma" w:hAnsi="Tahoma" w:cs="Tahoma"/>
                <w:b/>
                <w:bCs/>
                <w:iCs/>
                <w:color w:val="243285"/>
                <w:sz w:val="36"/>
                <w:szCs w:val="36"/>
                <w:lang w:val="en-US"/>
              </w:rPr>
            </w:pPr>
            <w:r w:rsidRPr="00E573CA">
              <w:rPr>
                <w:rFonts w:ascii="Tahoma" w:hAnsi="Tahoma" w:cs="Tahoma"/>
                <w:b/>
                <w:bCs/>
                <w:iCs/>
                <w:color w:val="243285"/>
                <w:sz w:val="36"/>
                <w:szCs w:val="36"/>
                <w:lang w:val="en-US"/>
              </w:rPr>
              <w:t>M Series</w:t>
            </w:r>
          </w:p>
          <w:p w:rsidR="0077550A" w:rsidRPr="00E573CA" w:rsidRDefault="0077550A" w:rsidP="00E573CA">
            <w:pPr>
              <w:spacing w:before="80" w:line="360" w:lineRule="exact"/>
              <w:jc w:val="right"/>
              <w:rPr>
                <w:rFonts w:ascii="Tahoma" w:hAnsi="Tahoma" w:cs="Tahoma"/>
                <w:b/>
                <w:bCs/>
                <w:iCs/>
                <w:color w:val="243285"/>
                <w:sz w:val="36"/>
                <w:szCs w:val="36"/>
                <w:lang w:val="en-US"/>
              </w:rPr>
            </w:pPr>
            <w:r w:rsidRPr="00E573CA">
              <w:rPr>
                <w:rFonts w:ascii="Tahoma" w:hAnsi="Tahoma" w:cs="Tahoma"/>
                <w:b/>
                <w:bCs/>
                <w:color w:val="243285"/>
                <w:sz w:val="36"/>
                <w:szCs w:val="36"/>
                <w:lang w:val="en-US"/>
              </w:rPr>
              <w:t xml:space="preserve">Mobile, </w:t>
            </w:r>
            <w:proofErr w:type="spellStart"/>
            <w:r w:rsidRPr="00E573CA">
              <w:rPr>
                <w:rFonts w:ascii="Tahoma" w:hAnsi="Tahoma" w:cs="Tahoma"/>
                <w:b/>
                <w:bCs/>
                <w:color w:val="243285"/>
                <w:sz w:val="36"/>
                <w:szCs w:val="36"/>
                <w:lang w:val="en-US"/>
              </w:rPr>
              <w:t>radiodetermination</w:t>
            </w:r>
            <w:proofErr w:type="spellEnd"/>
            <w:r w:rsidRPr="00E573CA">
              <w:rPr>
                <w:rFonts w:ascii="Tahoma" w:hAnsi="Tahoma" w:cs="Tahoma"/>
                <w:b/>
                <w:bCs/>
                <w:color w:val="243285"/>
                <w:sz w:val="36"/>
                <w:szCs w:val="36"/>
                <w:lang w:val="en-US"/>
              </w:rPr>
              <w:t>, amateur and related satellite services</w:t>
            </w:r>
          </w:p>
        </w:tc>
      </w:tr>
    </w:tbl>
    <w:p w:rsidR="0077550A" w:rsidRDefault="0077550A" w:rsidP="0077550A">
      <w:pPr>
        <w:spacing w:before="80"/>
        <w:rPr>
          <w:i/>
          <w:sz w:val="22"/>
          <w:lang w:val="en-US"/>
        </w:rPr>
      </w:pPr>
    </w:p>
    <w:p w:rsidR="0077550A" w:rsidRDefault="0077550A" w:rsidP="0077550A">
      <w:pPr>
        <w:spacing w:before="80"/>
        <w:rPr>
          <w:i/>
          <w:sz w:val="22"/>
          <w:lang w:val="en-US"/>
        </w:rPr>
      </w:pPr>
    </w:p>
    <w:p w:rsidR="0077550A" w:rsidRDefault="0077550A" w:rsidP="0077550A">
      <w:pPr>
        <w:spacing w:before="80"/>
        <w:rPr>
          <w:i/>
          <w:sz w:val="22"/>
          <w:lang w:val="en-US"/>
        </w:rPr>
      </w:pPr>
    </w:p>
    <w:p w:rsidR="0077550A" w:rsidRDefault="0077550A" w:rsidP="0077550A">
      <w:pPr>
        <w:spacing w:before="80"/>
        <w:rPr>
          <w:i/>
          <w:sz w:val="22"/>
          <w:lang w:val="en-US"/>
        </w:rPr>
      </w:pPr>
    </w:p>
    <w:p w:rsidR="0077550A" w:rsidRDefault="0077550A" w:rsidP="0077550A">
      <w:pPr>
        <w:spacing w:before="80"/>
        <w:rPr>
          <w:i/>
          <w:sz w:val="22"/>
          <w:lang w:val="en-US"/>
        </w:rPr>
      </w:pPr>
    </w:p>
    <w:p w:rsidR="0077550A" w:rsidRDefault="0077550A" w:rsidP="0077550A">
      <w:pPr>
        <w:spacing w:before="80"/>
        <w:rPr>
          <w:i/>
          <w:sz w:val="22"/>
          <w:lang w:val="en-US"/>
        </w:rPr>
      </w:pPr>
    </w:p>
    <w:p w:rsidR="0077550A" w:rsidRDefault="0077550A" w:rsidP="0077550A">
      <w:pPr>
        <w:pStyle w:val="Equation"/>
        <w:tabs>
          <w:tab w:val="clear" w:pos="4820"/>
          <w:tab w:val="clear" w:pos="9639"/>
          <w:tab w:val="left" w:pos="1191"/>
          <w:tab w:val="left" w:pos="1588"/>
          <w:tab w:val="left" w:pos="1985"/>
        </w:tabs>
        <w:rPr>
          <w:rFonts w:ascii="Palatino Linotype" w:hAnsi="Palatino Linotype"/>
          <w:lang w:val="en-US"/>
        </w:rPr>
        <w:sectPr w:rsidR="0077550A" w:rsidSect="0077550A">
          <w:headerReference w:type="even" r:id="rId6"/>
          <w:headerReference w:type="default" r:id="rId7"/>
          <w:pgSz w:w="11907" w:h="16834" w:code="9"/>
          <w:pgMar w:top="1418" w:right="1134" w:bottom="1134" w:left="1134" w:header="720" w:footer="482" w:gutter="0"/>
          <w:paperSrc w:first="15" w:other="15"/>
          <w:cols w:space="720"/>
        </w:sectPr>
      </w:pPr>
    </w:p>
    <w:p w:rsidR="0077550A" w:rsidRPr="00586EF8"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7550A" w:rsidRDefault="0077550A" w:rsidP="0077550A">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77550A" w:rsidRDefault="0077550A" w:rsidP="0077550A">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77550A" w:rsidRPr="00B714F3" w:rsidRDefault="0077550A" w:rsidP="0077550A">
      <w:pPr>
        <w:pStyle w:val="Heading1"/>
        <w:spacing w:before="680"/>
        <w:jc w:val="center"/>
        <w:rPr>
          <w:szCs w:val="24"/>
          <w:lang w:val="en-US"/>
        </w:rPr>
      </w:pPr>
      <w:r w:rsidRPr="00B714F3">
        <w:rPr>
          <w:szCs w:val="24"/>
          <w:lang w:val="en-US"/>
        </w:rPr>
        <w:t>Policy on Intellectual Property Right (IPR)</w:t>
      </w:r>
    </w:p>
    <w:p w:rsidR="0077550A" w:rsidRPr="00B714F3" w:rsidRDefault="0077550A" w:rsidP="0077550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7550A" w:rsidRDefault="0077550A" w:rsidP="0077550A">
      <w:pPr>
        <w:jc w:val="center"/>
        <w:rPr>
          <w:sz w:val="22"/>
          <w:lang w:val="en-US"/>
        </w:rPr>
      </w:pPr>
    </w:p>
    <w:p w:rsidR="0077550A" w:rsidRDefault="0077550A" w:rsidP="0077550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7550A" w:rsidRPr="000D0469">
        <w:tc>
          <w:tcPr>
            <w:tcW w:w="9360" w:type="dxa"/>
            <w:gridSpan w:val="2"/>
          </w:tcPr>
          <w:p w:rsidR="0077550A" w:rsidRPr="00036EE3" w:rsidRDefault="0077550A" w:rsidP="0077550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7550A" w:rsidRPr="00036EE3"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9" w:history="1">
              <w:r>
                <w:rPr>
                  <w:rStyle w:val="Hyperlink"/>
                  <w:b w:val="0"/>
                  <w:sz w:val="18"/>
                  <w:szCs w:val="18"/>
                  <w:lang w:val="en-US"/>
                </w:rPr>
                <w:t>http://www.itu.int/publ/R-REC/en</w:t>
              </w:r>
            </w:hyperlink>
            <w:r w:rsidRPr="00CE0A43">
              <w:rPr>
                <w:b w:val="0"/>
                <w:sz w:val="18"/>
                <w:szCs w:val="18"/>
                <w:lang w:val="en-US"/>
              </w:rPr>
              <w:t>)</w:t>
            </w:r>
          </w:p>
        </w:tc>
      </w:tr>
      <w:tr w:rsidR="0077550A" w:rsidRPr="00036EE3">
        <w:tc>
          <w:tcPr>
            <w:tcW w:w="1140" w:type="dxa"/>
          </w:tcPr>
          <w:p w:rsidR="0077550A" w:rsidRPr="00036EE3" w:rsidRDefault="0077550A" w:rsidP="0077550A">
            <w:pPr>
              <w:spacing w:before="200" w:after="100"/>
              <w:ind w:left="57"/>
              <w:rPr>
                <w:b/>
                <w:bCs/>
                <w:sz w:val="20"/>
                <w:lang w:val="en-US"/>
              </w:rPr>
            </w:pPr>
            <w:r w:rsidRPr="00036EE3">
              <w:rPr>
                <w:b/>
                <w:bCs/>
                <w:sz w:val="20"/>
                <w:lang w:val="en-US"/>
              </w:rPr>
              <w:t>Series</w:t>
            </w:r>
          </w:p>
        </w:tc>
        <w:tc>
          <w:tcPr>
            <w:tcW w:w="8220" w:type="dxa"/>
          </w:tcPr>
          <w:p w:rsidR="0077550A" w:rsidRPr="00036EE3"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7550A" w:rsidRPr="00036EE3">
        <w:tc>
          <w:tcPr>
            <w:tcW w:w="1140" w:type="dxa"/>
          </w:tcPr>
          <w:p w:rsidR="0077550A" w:rsidRPr="00036EE3" w:rsidRDefault="0077550A" w:rsidP="0077550A">
            <w:pPr>
              <w:spacing w:before="30" w:after="30"/>
              <w:ind w:left="57"/>
              <w:jc w:val="left"/>
              <w:rPr>
                <w:b/>
                <w:bCs/>
                <w:sz w:val="20"/>
                <w:lang w:val="en-US"/>
              </w:rPr>
            </w:pPr>
            <w:r w:rsidRPr="00036EE3">
              <w:rPr>
                <w:b/>
                <w:bCs/>
                <w:sz w:val="20"/>
                <w:lang w:val="en-US"/>
              </w:rPr>
              <w:t>BO</w:t>
            </w:r>
          </w:p>
        </w:tc>
        <w:tc>
          <w:tcPr>
            <w:tcW w:w="8220" w:type="dxa"/>
          </w:tcPr>
          <w:p w:rsidR="0077550A" w:rsidRPr="00036EE3"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7550A" w:rsidRPr="000D0469" w:rsidTr="0077550A">
        <w:tc>
          <w:tcPr>
            <w:tcW w:w="1140" w:type="dxa"/>
            <w:tcBorders>
              <w:bottom w:val="nil"/>
            </w:tcBorders>
          </w:tcPr>
          <w:p w:rsidR="0077550A" w:rsidRPr="00036EE3" w:rsidRDefault="0077550A" w:rsidP="0077550A">
            <w:pPr>
              <w:spacing w:before="30" w:after="30"/>
              <w:ind w:left="57"/>
              <w:jc w:val="left"/>
              <w:rPr>
                <w:b/>
                <w:bCs/>
                <w:sz w:val="20"/>
                <w:lang w:val="en-US"/>
              </w:rPr>
            </w:pPr>
            <w:r w:rsidRPr="00036EE3">
              <w:rPr>
                <w:b/>
                <w:bCs/>
                <w:sz w:val="20"/>
                <w:lang w:val="en-US"/>
              </w:rPr>
              <w:t>BR</w:t>
            </w:r>
          </w:p>
        </w:tc>
        <w:tc>
          <w:tcPr>
            <w:tcW w:w="8220" w:type="dxa"/>
            <w:tcBorders>
              <w:bottom w:val="nil"/>
            </w:tcBorders>
          </w:tcPr>
          <w:p w:rsidR="0077550A" w:rsidRPr="00036EE3"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7550A" w:rsidRPr="00036EE3" w:rsidTr="0077550A">
        <w:tc>
          <w:tcPr>
            <w:tcW w:w="1140" w:type="dxa"/>
            <w:tcBorders>
              <w:top w:val="nil"/>
              <w:bottom w:val="nil"/>
            </w:tcBorders>
            <w:shd w:val="clear" w:color="auto" w:fill="auto"/>
          </w:tcPr>
          <w:p w:rsidR="0077550A" w:rsidRPr="007D224F" w:rsidRDefault="0077550A" w:rsidP="0077550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7550A" w:rsidRPr="007D224F"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7550A" w:rsidRPr="00ED2695" w:rsidTr="0077550A">
        <w:tc>
          <w:tcPr>
            <w:tcW w:w="1140" w:type="dxa"/>
            <w:tcBorders>
              <w:top w:val="nil"/>
              <w:bottom w:val="nil"/>
            </w:tcBorders>
            <w:shd w:val="clear" w:color="auto" w:fill="auto"/>
          </w:tcPr>
          <w:p w:rsidR="0077550A" w:rsidRPr="00ED2695" w:rsidRDefault="0077550A" w:rsidP="0077550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7550A" w:rsidRPr="00ED2695"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7550A" w:rsidRPr="007D224F" w:rsidTr="0077550A">
        <w:tc>
          <w:tcPr>
            <w:tcW w:w="1140" w:type="dxa"/>
            <w:tcBorders>
              <w:top w:val="nil"/>
              <w:bottom w:val="nil"/>
            </w:tcBorders>
            <w:shd w:val="clear" w:color="auto" w:fill="auto"/>
          </w:tcPr>
          <w:p w:rsidR="0077550A" w:rsidRPr="0041667C" w:rsidRDefault="0077550A" w:rsidP="0077550A">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7550A" w:rsidRPr="0041667C" w:rsidRDefault="0077550A" w:rsidP="007755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77550A" w:rsidRPr="0041667C" w:rsidTr="0077550A">
        <w:tc>
          <w:tcPr>
            <w:tcW w:w="1140" w:type="dxa"/>
            <w:tcBorders>
              <w:top w:val="nil"/>
              <w:bottom w:val="nil"/>
            </w:tcBorders>
            <w:shd w:val="clear" w:color="auto" w:fill="F3F3F3"/>
          </w:tcPr>
          <w:p w:rsidR="0077550A" w:rsidRPr="0041667C" w:rsidRDefault="0077550A" w:rsidP="0077550A">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7550A" w:rsidRPr="0041667C" w:rsidRDefault="0077550A" w:rsidP="007755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77550A" w:rsidRPr="00036EE3" w:rsidTr="0077550A">
        <w:tc>
          <w:tcPr>
            <w:tcW w:w="1140" w:type="dxa"/>
            <w:tcBorders>
              <w:top w:val="nil"/>
            </w:tcBorders>
          </w:tcPr>
          <w:p w:rsidR="0077550A" w:rsidRPr="00036EE3" w:rsidRDefault="0077550A" w:rsidP="0077550A">
            <w:pPr>
              <w:spacing w:before="30" w:after="30"/>
              <w:ind w:left="57"/>
              <w:jc w:val="left"/>
              <w:rPr>
                <w:b/>
                <w:bCs/>
                <w:sz w:val="20"/>
                <w:lang w:val="fr-CH"/>
              </w:rPr>
            </w:pPr>
            <w:r w:rsidRPr="00036EE3">
              <w:rPr>
                <w:b/>
                <w:bCs/>
                <w:sz w:val="20"/>
                <w:lang w:val="fr-CH"/>
              </w:rPr>
              <w:t>P</w:t>
            </w:r>
          </w:p>
        </w:tc>
        <w:tc>
          <w:tcPr>
            <w:tcW w:w="8220" w:type="dxa"/>
            <w:tcBorders>
              <w:top w:val="nil"/>
            </w:tcBorders>
          </w:tcPr>
          <w:p w:rsidR="0077550A" w:rsidRPr="00036EE3" w:rsidRDefault="0077550A" w:rsidP="0077550A">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77550A" w:rsidRPr="00036EE3">
        <w:tc>
          <w:tcPr>
            <w:tcW w:w="1140" w:type="dxa"/>
          </w:tcPr>
          <w:p w:rsidR="0077550A" w:rsidRPr="00036EE3" w:rsidRDefault="0077550A" w:rsidP="0077550A">
            <w:pPr>
              <w:spacing w:before="30" w:after="30"/>
              <w:ind w:left="57"/>
              <w:jc w:val="left"/>
              <w:rPr>
                <w:b/>
                <w:bCs/>
                <w:sz w:val="20"/>
                <w:lang w:val="en-US"/>
              </w:rPr>
            </w:pPr>
            <w:r w:rsidRPr="00036EE3">
              <w:rPr>
                <w:b/>
                <w:bCs/>
                <w:sz w:val="20"/>
                <w:lang w:val="en-US"/>
              </w:rPr>
              <w:t>RA</w:t>
            </w:r>
          </w:p>
        </w:tc>
        <w:tc>
          <w:tcPr>
            <w:tcW w:w="8220" w:type="dxa"/>
          </w:tcPr>
          <w:p w:rsidR="0077550A" w:rsidRPr="00036EE3" w:rsidRDefault="0077550A" w:rsidP="007755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7550A" w:rsidRPr="00036EE3">
        <w:tc>
          <w:tcPr>
            <w:tcW w:w="1140" w:type="dxa"/>
          </w:tcPr>
          <w:p w:rsidR="0077550A" w:rsidRPr="00036EE3" w:rsidRDefault="0077550A" w:rsidP="0077550A">
            <w:pPr>
              <w:spacing w:before="30" w:after="30"/>
              <w:ind w:left="57"/>
              <w:jc w:val="left"/>
              <w:rPr>
                <w:b/>
                <w:bCs/>
                <w:sz w:val="20"/>
                <w:lang w:val="en-US"/>
              </w:rPr>
            </w:pPr>
            <w:r w:rsidRPr="00036EE3">
              <w:rPr>
                <w:b/>
                <w:bCs/>
                <w:sz w:val="20"/>
                <w:lang w:val="en-US"/>
              </w:rPr>
              <w:t>RS</w:t>
            </w:r>
          </w:p>
        </w:tc>
        <w:tc>
          <w:tcPr>
            <w:tcW w:w="8220" w:type="dxa"/>
          </w:tcPr>
          <w:p w:rsidR="0077550A" w:rsidRPr="00036EE3" w:rsidRDefault="0077550A" w:rsidP="007755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7550A" w:rsidRPr="00036EE3">
        <w:tc>
          <w:tcPr>
            <w:tcW w:w="1140" w:type="dxa"/>
          </w:tcPr>
          <w:p w:rsidR="0077550A" w:rsidRPr="00036EE3" w:rsidRDefault="0077550A" w:rsidP="0077550A">
            <w:pPr>
              <w:spacing w:before="30" w:after="30"/>
              <w:ind w:left="57"/>
              <w:jc w:val="left"/>
              <w:rPr>
                <w:b/>
                <w:bCs/>
                <w:sz w:val="20"/>
                <w:lang w:val="en-US"/>
              </w:rPr>
            </w:pPr>
            <w:r w:rsidRPr="00036EE3">
              <w:rPr>
                <w:b/>
                <w:bCs/>
                <w:sz w:val="20"/>
                <w:lang w:val="en-US"/>
              </w:rPr>
              <w:t>S</w:t>
            </w:r>
          </w:p>
        </w:tc>
        <w:tc>
          <w:tcPr>
            <w:tcW w:w="8220" w:type="dxa"/>
          </w:tcPr>
          <w:p w:rsidR="0077550A" w:rsidRPr="00036EE3" w:rsidRDefault="0077550A" w:rsidP="0077550A">
            <w:pPr>
              <w:spacing w:before="30" w:after="30"/>
              <w:jc w:val="left"/>
              <w:rPr>
                <w:sz w:val="20"/>
                <w:lang w:val="en-US"/>
              </w:rPr>
            </w:pPr>
            <w:r w:rsidRPr="00036EE3">
              <w:rPr>
                <w:sz w:val="20"/>
                <w:lang w:val="en-US"/>
              </w:rPr>
              <w:t>Fixed-satellite service</w:t>
            </w:r>
          </w:p>
        </w:tc>
      </w:tr>
      <w:tr w:rsidR="0077550A" w:rsidRPr="00036EE3">
        <w:tc>
          <w:tcPr>
            <w:tcW w:w="1140" w:type="dxa"/>
          </w:tcPr>
          <w:p w:rsidR="0077550A" w:rsidRPr="00036EE3" w:rsidRDefault="0077550A" w:rsidP="0077550A">
            <w:pPr>
              <w:spacing w:before="30" w:after="30"/>
              <w:ind w:left="57"/>
              <w:jc w:val="left"/>
              <w:rPr>
                <w:b/>
                <w:bCs/>
                <w:sz w:val="20"/>
                <w:lang w:val="en-US"/>
              </w:rPr>
            </w:pPr>
            <w:r w:rsidRPr="00036EE3">
              <w:rPr>
                <w:b/>
                <w:bCs/>
                <w:sz w:val="20"/>
                <w:lang w:val="en-US"/>
              </w:rPr>
              <w:t>SA</w:t>
            </w:r>
          </w:p>
        </w:tc>
        <w:tc>
          <w:tcPr>
            <w:tcW w:w="8220" w:type="dxa"/>
          </w:tcPr>
          <w:p w:rsidR="0077550A" w:rsidRPr="00036EE3" w:rsidRDefault="0077550A" w:rsidP="0077550A">
            <w:pPr>
              <w:spacing w:before="30" w:after="30"/>
              <w:jc w:val="left"/>
              <w:rPr>
                <w:sz w:val="20"/>
                <w:lang w:val="en-US"/>
              </w:rPr>
            </w:pPr>
            <w:r w:rsidRPr="00036EE3">
              <w:rPr>
                <w:sz w:val="20"/>
                <w:lang w:val="en-US"/>
              </w:rPr>
              <w:t>Space applications and meteorology</w:t>
            </w:r>
          </w:p>
        </w:tc>
      </w:tr>
      <w:tr w:rsidR="0077550A" w:rsidRPr="000D0469" w:rsidTr="0077550A">
        <w:tc>
          <w:tcPr>
            <w:tcW w:w="1140" w:type="dxa"/>
            <w:tcBorders>
              <w:bottom w:val="nil"/>
            </w:tcBorders>
          </w:tcPr>
          <w:p w:rsidR="0077550A" w:rsidRPr="00036EE3" w:rsidRDefault="0077550A" w:rsidP="0077550A">
            <w:pPr>
              <w:spacing w:before="30" w:after="30"/>
              <w:ind w:left="57"/>
              <w:jc w:val="left"/>
              <w:rPr>
                <w:b/>
                <w:bCs/>
                <w:sz w:val="20"/>
                <w:lang w:val="en-US"/>
              </w:rPr>
            </w:pPr>
            <w:r w:rsidRPr="00036EE3">
              <w:rPr>
                <w:b/>
                <w:bCs/>
                <w:sz w:val="20"/>
                <w:lang w:val="en-US"/>
              </w:rPr>
              <w:t>SF</w:t>
            </w:r>
          </w:p>
        </w:tc>
        <w:tc>
          <w:tcPr>
            <w:tcW w:w="8220" w:type="dxa"/>
            <w:tcBorders>
              <w:bottom w:val="nil"/>
            </w:tcBorders>
          </w:tcPr>
          <w:p w:rsidR="0077550A" w:rsidRPr="00036EE3" w:rsidRDefault="0077550A" w:rsidP="0077550A">
            <w:pPr>
              <w:spacing w:before="30" w:after="30"/>
              <w:jc w:val="left"/>
              <w:rPr>
                <w:sz w:val="20"/>
                <w:lang w:val="en-US"/>
              </w:rPr>
            </w:pPr>
            <w:r w:rsidRPr="00036EE3">
              <w:rPr>
                <w:sz w:val="20"/>
                <w:lang w:val="en-US"/>
              </w:rPr>
              <w:t>Frequency sharing and coordination between fixed-satellite and fixed service systems</w:t>
            </w:r>
          </w:p>
        </w:tc>
      </w:tr>
      <w:tr w:rsidR="0077550A" w:rsidRPr="00036EE3" w:rsidTr="0077550A">
        <w:tc>
          <w:tcPr>
            <w:tcW w:w="1140" w:type="dxa"/>
            <w:tcBorders>
              <w:top w:val="nil"/>
              <w:bottom w:val="nil"/>
            </w:tcBorders>
            <w:shd w:val="clear" w:color="auto" w:fill="auto"/>
          </w:tcPr>
          <w:p w:rsidR="0077550A" w:rsidRPr="000A4386" w:rsidRDefault="0077550A" w:rsidP="0077550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7550A" w:rsidRPr="000A4386" w:rsidRDefault="0077550A" w:rsidP="0077550A">
            <w:pPr>
              <w:spacing w:before="30" w:after="30"/>
              <w:jc w:val="left"/>
              <w:rPr>
                <w:sz w:val="20"/>
                <w:lang w:val="en-US"/>
              </w:rPr>
            </w:pPr>
            <w:r w:rsidRPr="000A4386">
              <w:rPr>
                <w:sz w:val="20"/>
                <w:lang w:val="en-US"/>
              </w:rPr>
              <w:t>Spectrum management</w:t>
            </w:r>
          </w:p>
        </w:tc>
      </w:tr>
      <w:tr w:rsidR="0077550A" w:rsidRPr="00036EE3" w:rsidTr="0077550A">
        <w:tc>
          <w:tcPr>
            <w:tcW w:w="1140" w:type="dxa"/>
            <w:tcBorders>
              <w:top w:val="nil"/>
            </w:tcBorders>
          </w:tcPr>
          <w:p w:rsidR="0077550A" w:rsidRPr="00036EE3" w:rsidRDefault="0077550A" w:rsidP="0077550A">
            <w:pPr>
              <w:spacing w:before="30" w:after="30"/>
              <w:ind w:left="57"/>
              <w:jc w:val="left"/>
              <w:rPr>
                <w:b/>
                <w:bCs/>
                <w:sz w:val="20"/>
                <w:lang w:val="en-US"/>
              </w:rPr>
            </w:pPr>
            <w:r w:rsidRPr="00036EE3">
              <w:rPr>
                <w:b/>
                <w:bCs/>
                <w:sz w:val="20"/>
                <w:lang w:val="en-US"/>
              </w:rPr>
              <w:t>SNG</w:t>
            </w:r>
          </w:p>
        </w:tc>
        <w:tc>
          <w:tcPr>
            <w:tcW w:w="8220" w:type="dxa"/>
            <w:tcBorders>
              <w:top w:val="nil"/>
            </w:tcBorders>
          </w:tcPr>
          <w:p w:rsidR="0077550A" w:rsidRPr="00036EE3" w:rsidRDefault="0077550A" w:rsidP="0077550A">
            <w:pPr>
              <w:spacing w:before="30" w:after="30"/>
              <w:jc w:val="left"/>
              <w:rPr>
                <w:sz w:val="20"/>
                <w:lang w:val="en-US"/>
              </w:rPr>
            </w:pPr>
            <w:r w:rsidRPr="00036EE3">
              <w:rPr>
                <w:sz w:val="20"/>
                <w:lang w:val="en-US"/>
              </w:rPr>
              <w:t>Satellite news gathering</w:t>
            </w:r>
          </w:p>
        </w:tc>
      </w:tr>
      <w:tr w:rsidR="0077550A" w:rsidRPr="000D0469">
        <w:tc>
          <w:tcPr>
            <w:tcW w:w="1140" w:type="dxa"/>
          </w:tcPr>
          <w:p w:rsidR="0077550A" w:rsidRPr="00036EE3" w:rsidRDefault="0077550A" w:rsidP="0077550A">
            <w:pPr>
              <w:spacing w:before="30" w:after="30"/>
              <w:ind w:left="57"/>
              <w:jc w:val="left"/>
              <w:rPr>
                <w:b/>
                <w:bCs/>
                <w:sz w:val="20"/>
                <w:lang w:val="en-US"/>
              </w:rPr>
            </w:pPr>
            <w:r w:rsidRPr="00036EE3">
              <w:rPr>
                <w:b/>
                <w:bCs/>
                <w:sz w:val="20"/>
                <w:lang w:val="en-US"/>
              </w:rPr>
              <w:t>TF</w:t>
            </w:r>
          </w:p>
        </w:tc>
        <w:tc>
          <w:tcPr>
            <w:tcW w:w="8220" w:type="dxa"/>
          </w:tcPr>
          <w:p w:rsidR="0077550A" w:rsidRPr="00036EE3" w:rsidRDefault="0077550A" w:rsidP="0077550A">
            <w:pPr>
              <w:spacing w:before="30" w:after="30"/>
              <w:jc w:val="left"/>
              <w:rPr>
                <w:sz w:val="20"/>
                <w:lang w:val="en-US"/>
              </w:rPr>
            </w:pPr>
            <w:r w:rsidRPr="00036EE3">
              <w:rPr>
                <w:sz w:val="20"/>
                <w:lang w:val="en-US"/>
              </w:rPr>
              <w:t>Time signals and frequency standards emissions</w:t>
            </w:r>
          </w:p>
        </w:tc>
      </w:tr>
      <w:tr w:rsidR="0077550A" w:rsidRPr="00036EE3">
        <w:tc>
          <w:tcPr>
            <w:tcW w:w="1140" w:type="dxa"/>
          </w:tcPr>
          <w:p w:rsidR="0077550A" w:rsidRPr="00036EE3" w:rsidRDefault="0077550A" w:rsidP="0077550A">
            <w:pPr>
              <w:spacing w:before="30" w:after="30"/>
              <w:ind w:left="57"/>
              <w:jc w:val="left"/>
              <w:rPr>
                <w:b/>
                <w:bCs/>
                <w:sz w:val="20"/>
                <w:lang w:val="en-US"/>
              </w:rPr>
            </w:pPr>
            <w:r w:rsidRPr="00036EE3">
              <w:rPr>
                <w:b/>
                <w:bCs/>
                <w:sz w:val="20"/>
                <w:lang w:val="en-US"/>
              </w:rPr>
              <w:t>V</w:t>
            </w:r>
          </w:p>
        </w:tc>
        <w:tc>
          <w:tcPr>
            <w:tcW w:w="8220" w:type="dxa"/>
          </w:tcPr>
          <w:p w:rsidR="0077550A" w:rsidRPr="00036EE3" w:rsidRDefault="0077550A" w:rsidP="0077550A">
            <w:pPr>
              <w:spacing w:before="30" w:after="180"/>
              <w:jc w:val="left"/>
              <w:rPr>
                <w:sz w:val="20"/>
                <w:lang w:val="en-US"/>
              </w:rPr>
            </w:pPr>
            <w:r w:rsidRPr="00036EE3">
              <w:rPr>
                <w:sz w:val="20"/>
                <w:lang w:val="en-US"/>
              </w:rPr>
              <w:t>Vocabulary and related subjects</w:t>
            </w:r>
          </w:p>
        </w:tc>
      </w:tr>
    </w:tbl>
    <w:p w:rsidR="0077550A" w:rsidRPr="00036EE3" w:rsidRDefault="0077550A" w:rsidP="0077550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7550A">
        <w:tc>
          <w:tcPr>
            <w:tcW w:w="720" w:type="dxa"/>
          </w:tcPr>
          <w:p w:rsidR="0077550A" w:rsidRDefault="0077550A" w:rsidP="0077550A">
            <w:pPr>
              <w:jc w:val="center"/>
              <w:rPr>
                <w:sz w:val="22"/>
                <w:lang w:val="en-US"/>
              </w:rPr>
            </w:pPr>
          </w:p>
        </w:tc>
      </w:tr>
    </w:tbl>
    <w:p w:rsidR="0077550A" w:rsidRPr="00036EE3" w:rsidRDefault="0077550A" w:rsidP="0077550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7550A" w:rsidRPr="000D0469" w:rsidTr="00E573CA">
        <w:tc>
          <w:tcPr>
            <w:tcW w:w="9360" w:type="dxa"/>
            <w:shd w:val="clear" w:color="auto" w:fill="auto"/>
          </w:tcPr>
          <w:p w:rsidR="0077550A" w:rsidRPr="00E573CA" w:rsidRDefault="0077550A" w:rsidP="00E573CA">
            <w:pPr>
              <w:spacing w:after="120"/>
              <w:jc w:val="center"/>
              <w:rPr>
                <w:sz w:val="20"/>
                <w:lang w:val="en-US"/>
              </w:rPr>
            </w:pPr>
            <w:r w:rsidRPr="00E573CA">
              <w:rPr>
                <w:b/>
                <w:bCs/>
                <w:i/>
                <w:iCs/>
                <w:sz w:val="20"/>
                <w:lang w:val="en-US"/>
              </w:rPr>
              <w:t>Note</w:t>
            </w:r>
            <w:r w:rsidRPr="00E573CA">
              <w:rPr>
                <w:sz w:val="20"/>
                <w:lang w:val="en-US"/>
              </w:rPr>
              <w:t xml:space="preserve">: </w:t>
            </w:r>
            <w:r w:rsidRPr="00E573CA">
              <w:rPr>
                <w:i/>
                <w:iCs/>
                <w:sz w:val="20"/>
                <w:lang w:val="en-US"/>
              </w:rPr>
              <w:t>This ITU-R Recommendation was approved in English under the procedure detailed in Resolution ITU-R 1.</w:t>
            </w:r>
          </w:p>
        </w:tc>
      </w:tr>
    </w:tbl>
    <w:p w:rsidR="0077550A" w:rsidRDefault="0077550A" w:rsidP="0077550A">
      <w:pPr>
        <w:spacing w:before="0"/>
        <w:jc w:val="center"/>
        <w:rPr>
          <w:sz w:val="22"/>
          <w:lang w:val="en-US"/>
        </w:rPr>
      </w:pPr>
    </w:p>
    <w:p w:rsidR="0077550A" w:rsidRDefault="0077550A" w:rsidP="0077550A">
      <w:pPr>
        <w:spacing w:before="0"/>
        <w:jc w:val="center"/>
        <w:rPr>
          <w:sz w:val="22"/>
          <w:lang w:val="en-US"/>
        </w:rPr>
      </w:pPr>
    </w:p>
    <w:p w:rsidR="0077550A" w:rsidRPr="002F5199" w:rsidRDefault="0077550A" w:rsidP="0077550A">
      <w:pPr>
        <w:spacing w:before="0"/>
        <w:jc w:val="right"/>
        <w:rPr>
          <w:i/>
          <w:iCs/>
          <w:sz w:val="20"/>
          <w:lang w:val="en-US"/>
        </w:rPr>
      </w:pPr>
      <w:r w:rsidRPr="002F5199">
        <w:rPr>
          <w:i/>
          <w:iCs/>
          <w:sz w:val="20"/>
          <w:lang w:val="en-US"/>
        </w:rPr>
        <w:t>Electronic Publication</w:t>
      </w:r>
    </w:p>
    <w:p w:rsidR="0077550A" w:rsidRPr="002F5199" w:rsidRDefault="0077550A" w:rsidP="000D0469">
      <w:pPr>
        <w:spacing w:before="0"/>
        <w:jc w:val="right"/>
        <w:rPr>
          <w:sz w:val="20"/>
          <w:lang w:val="en-US"/>
        </w:rPr>
      </w:pPr>
      <w:smartTag w:uri="urn:schemas-microsoft-com:office:smarttags" w:element="place">
        <w:smartTag w:uri="urn:schemas-microsoft-com:office:smarttags" w:element="City">
          <w:smartTag w:uri="urn:schemas-microsoft-com:office:smarttags" w:element="State">
            <w:r w:rsidRPr="002F5199">
              <w:rPr>
                <w:sz w:val="20"/>
                <w:lang w:val="en-US"/>
              </w:rPr>
              <w:t>Geneva</w:t>
            </w:r>
          </w:smartTag>
        </w:smartTag>
      </w:smartTag>
      <w:r w:rsidR="00C4123F">
        <w:rPr>
          <w:sz w:val="20"/>
          <w:lang w:val="en-US"/>
        </w:rPr>
        <w:t>, 201</w:t>
      </w:r>
      <w:r w:rsidR="000D0469">
        <w:rPr>
          <w:sz w:val="20"/>
          <w:lang w:val="en-US"/>
        </w:rPr>
        <w:t>2</w:t>
      </w:r>
    </w:p>
    <w:p w:rsidR="0077550A" w:rsidRDefault="0077550A" w:rsidP="0077550A">
      <w:pPr>
        <w:jc w:val="center"/>
        <w:rPr>
          <w:sz w:val="22"/>
          <w:lang w:val="en-US"/>
        </w:rPr>
      </w:pPr>
    </w:p>
    <w:p w:rsidR="0077550A" w:rsidRPr="00470E28" w:rsidRDefault="0077550A" w:rsidP="000D046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4123F">
        <w:rPr>
          <w:sz w:val="20"/>
          <w:lang w:val="en-US"/>
        </w:rPr>
        <w:t>1</w:t>
      </w:r>
      <w:r w:rsidR="000D0469">
        <w:rPr>
          <w:sz w:val="20"/>
          <w:lang w:val="en-US"/>
        </w:rPr>
        <w:t>2</w:t>
      </w:r>
    </w:p>
    <w:p w:rsidR="0077550A" w:rsidRPr="00470E28" w:rsidRDefault="0077550A" w:rsidP="0077550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7550A" w:rsidRDefault="0077550A" w:rsidP="0077550A">
      <w:pPr>
        <w:spacing w:before="160"/>
        <w:rPr>
          <w:i/>
          <w:sz w:val="20"/>
          <w:lang w:val="en-US"/>
        </w:rPr>
        <w:sectPr w:rsidR="0077550A" w:rsidSect="0077550A">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DE04F5" w:rsidRPr="00DE04F5" w:rsidRDefault="00DE04F5" w:rsidP="00054414">
      <w:pPr>
        <w:pStyle w:val="RecNo"/>
        <w:spacing w:before="0"/>
        <w:rPr>
          <w:lang w:val="en-US"/>
        </w:rPr>
      </w:pPr>
      <w:bookmarkStart w:id="2" w:name="irecnoe"/>
      <w:bookmarkEnd w:id="2"/>
      <w:r w:rsidRPr="00DE04F5">
        <w:rPr>
          <w:lang w:val="en-US"/>
        </w:rPr>
        <w:lastRenderedPageBreak/>
        <w:t>RECOMMENDATION</w:t>
      </w:r>
      <w:r w:rsidRPr="00DE04F5">
        <w:rPr>
          <w:rStyle w:val="href"/>
          <w:lang w:val="en-US"/>
        </w:rPr>
        <w:t xml:space="preserve">  ITU-R  M.1854</w:t>
      </w:r>
      <w:r w:rsidR="00AF171F">
        <w:rPr>
          <w:rStyle w:val="href"/>
          <w:lang w:val="en-US"/>
        </w:rPr>
        <w:t>-1</w:t>
      </w:r>
    </w:p>
    <w:p w:rsidR="00DE04F5" w:rsidRPr="00DE04F5" w:rsidRDefault="00DE04F5" w:rsidP="00DE04F5">
      <w:pPr>
        <w:pStyle w:val="Rectitle"/>
        <w:rPr>
          <w:lang w:val="en-US"/>
        </w:rPr>
      </w:pPr>
      <w:r w:rsidRPr="00DE04F5">
        <w:rPr>
          <w:lang w:val="en-US"/>
        </w:rPr>
        <w:t>Use of mobile-satellite service in disaster response and relief</w:t>
      </w:r>
    </w:p>
    <w:p w:rsidR="00DE04F5" w:rsidRPr="0080075A" w:rsidRDefault="00DE04F5" w:rsidP="00DE04F5">
      <w:pPr>
        <w:pStyle w:val="Recref"/>
        <w:rPr>
          <w:lang w:val="en-US"/>
        </w:rPr>
      </w:pPr>
      <w:r w:rsidRPr="0080075A">
        <w:rPr>
          <w:lang w:val="en-US"/>
        </w:rPr>
        <w:t xml:space="preserve">(Questions ITU-R 286/4 and </w:t>
      </w:r>
      <w:r w:rsidR="0080075A" w:rsidRPr="0080075A">
        <w:rPr>
          <w:lang w:val="en-US"/>
        </w:rPr>
        <w:t>ITU-R</w:t>
      </w:r>
      <w:r w:rsidR="00AE5D51">
        <w:rPr>
          <w:lang w:val="en-US"/>
        </w:rPr>
        <w:t xml:space="preserve"> </w:t>
      </w:r>
      <w:r w:rsidRPr="0080075A">
        <w:rPr>
          <w:lang w:val="en-US"/>
        </w:rPr>
        <w:t>227/4)</w:t>
      </w:r>
    </w:p>
    <w:p w:rsidR="00DE04F5" w:rsidRPr="0080075A" w:rsidRDefault="00DE04F5" w:rsidP="000D0469">
      <w:pPr>
        <w:pStyle w:val="Recdate"/>
        <w:rPr>
          <w:lang w:val="en-US"/>
        </w:rPr>
      </w:pPr>
      <w:r w:rsidRPr="0080075A">
        <w:rPr>
          <w:lang w:val="en-US"/>
        </w:rPr>
        <w:t>(2010</w:t>
      </w:r>
      <w:r w:rsidR="0080075A">
        <w:rPr>
          <w:lang w:val="en-US"/>
        </w:rPr>
        <w:t>-201</w:t>
      </w:r>
      <w:r w:rsidR="000D0469">
        <w:rPr>
          <w:lang w:val="en-US"/>
        </w:rPr>
        <w:t>2</w:t>
      </w:r>
      <w:r w:rsidRPr="0080075A">
        <w:rPr>
          <w:lang w:val="en-US"/>
        </w:rPr>
        <w:t>)</w:t>
      </w:r>
    </w:p>
    <w:p w:rsidR="00DE04F5" w:rsidRPr="0080075A" w:rsidRDefault="00DE04F5" w:rsidP="00FA2855">
      <w:pPr>
        <w:pStyle w:val="HeadingSum"/>
        <w:rPr>
          <w:lang w:val="en-US" w:eastAsia="ja-JP"/>
        </w:rPr>
      </w:pPr>
      <w:r w:rsidRPr="0080075A">
        <w:rPr>
          <w:lang w:val="en-US" w:eastAsia="ja-JP"/>
        </w:rPr>
        <w:t>Scope</w:t>
      </w:r>
    </w:p>
    <w:p w:rsidR="00DE04F5" w:rsidRPr="009C72BE" w:rsidRDefault="00DE04F5" w:rsidP="00C4123F">
      <w:pPr>
        <w:pStyle w:val="Summary"/>
        <w:rPr>
          <w:lang w:val="en-GB" w:eastAsia="ja-JP"/>
        </w:rPr>
      </w:pPr>
      <w:r w:rsidRPr="009C72BE">
        <w:rPr>
          <w:lang w:val="en-GB" w:eastAsia="ja-JP"/>
        </w:rPr>
        <w:t xml:space="preserve">This Recommendation provides information about the range of frequencies used by </w:t>
      </w:r>
      <w:r w:rsidR="00FA2855">
        <w:rPr>
          <w:lang w:val="en-GB" w:eastAsia="ja-JP"/>
        </w:rPr>
        <w:t>mobile-satellite service (</w:t>
      </w:r>
      <w:r w:rsidRPr="009C72BE">
        <w:rPr>
          <w:lang w:val="en-GB" w:eastAsia="ja-JP"/>
        </w:rPr>
        <w:t>MSS</w:t>
      </w:r>
      <w:r w:rsidR="00FA2855">
        <w:rPr>
          <w:lang w:val="en-GB" w:eastAsia="ja-JP"/>
        </w:rPr>
        <w:t>)</w:t>
      </w:r>
      <w:r w:rsidRPr="009C72BE">
        <w:rPr>
          <w:lang w:val="en-GB" w:eastAsia="ja-JP"/>
        </w:rPr>
        <w:t xml:space="preserve"> systems that could be identified by Member States for early warning and disaster relief telecommunications in accordance with Resolutions</w:t>
      </w:r>
      <w:r w:rsidRPr="009C72BE">
        <w:rPr>
          <w:szCs w:val="22"/>
          <w:lang w:val="en-GB"/>
        </w:rPr>
        <w:t xml:space="preserve"> ITU-R </w:t>
      </w:r>
      <w:r w:rsidRPr="009C72BE">
        <w:rPr>
          <w:bCs/>
          <w:szCs w:val="22"/>
          <w:lang w:val="en-GB"/>
        </w:rPr>
        <w:t>53 (RA-07)</w:t>
      </w:r>
      <w:r w:rsidRPr="009C72BE">
        <w:rPr>
          <w:szCs w:val="22"/>
          <w:lang w:val="en-GB"/>
        </w:rPr>
        <w:t xml:space="preserve">, ITU-R </w:t>
      </w:r>
      <w:r w:rsidRPr="009C72BE">
        <w:rPr>
          <w:bCs/>
          <w:szCs w:val="22"/>
          <w:lang w:val="en-GB"/>
        </w:rPr>
        <w:t>55 (RA-07)</w:t>
      </w:r>
      <w:r w:rsidR="00C4123F">
        <w:rPr>
          <w:bCs/>
          <w:szCs w:val="22"/>
          <w:lang w:val="en-GB"/>
        </w:rPr>
        <w:t>,</w:t>
      </w:r>
      <w:r w:rsidRPr="009C72BE">
        <w:rPr>
          <w:szCs w:val="22"/>
          <w:lang w:val="en-GB"/>
        </w:rPr>
        <w:t xml:space="preserve"> </w:t>
      </w:r>
      <w:r w:rsidRPr="009C72BE">
        <w:rPr>
          <w:bCs/>
          <w:szCs w:val="22"/>
          <w:lang w:val="en-GB"/>
        </w:rPr>
        <w:t>644 (Rev. WRC-07)</w:t>
      </w:r>
      <w:r w:rsidRPr="009C72BE">
        <w:rPr>
          <w:szCs w:val="22"/>
          <w:lang w:val="en-GB"/>
        </w:rPr>
        <w:t xml:space="preserve">, </w:t>
      </w:r>
      <w:r w:rsidRPr="009C72BE">
        <w:rPr>
          <w:bCs/>
          <w:szCs w:val="22"/>
          <w:lang w:val="en-GB"/>
        </w:rPr>
        <w:t>646 (WRC</w:t>
      </w:r>
      <w:r w:rsidRPr="009C72BE">
        <w:rPr>
          <w:bCs/>
          <w:szCs w:val="22"/>
          <w:lang w:val="en-GB"/>
        </w:rPr>
        <w:noBreakHyphen/>
        <w:t>03)</w:t>
      </w:r>
      <w:r w:rsidRPr="009C72BE">
        <w:rPr>
          <w:szCs w:val="22"/>
          <w:lang w:val="en-GB"/>
        </w:rPr>
        <w:t xml:space="preserve"> and</w:t>
      </w:r>
      <w:r w:rsidRPr="009C72BE">
        <w:rPr>
          <w:lang w:val="en-GB" w:eastAsia="ja-JP"/>
        </w:rPr>
        <w:t xml:space="preserve"> 647 (WRC-07).</w:t>
      </w:r>
    </w:p>
    <w:p w:rsidR="00DE04F5" w:rsidRPr="0080075A" w:rsidRDefault="00DE04F5" w:rsidP="00DE04F5">
      <w:pPr>
        <w:rPr>
          <w:lang w:val="en-US"/>
        </w:rPr>
      </w:pPr>
      <w:r w:rsidRPr="0080075A">
        <w:rPr>
          <w:lang w:val="en-US"/>
        </w:rPr>
        <w:t xml:space="preserve">The ITU </w:t>
      </w:r>
      <w:proofErr w:type="spellStart"/>
      <w:r w:rsidRPr="0080075A">
        <w:rPr>
          <w:lang w:val="en-US"/>
        </w:rPr>
        <w:t>Radiocommunication</w:t>
      </w:r>
      <w:proofErr w:type="spellEnd"/>
      <w:r w:rsidRPr="0080075A">
        <w:rPr>
          <w:lang w:val="en-US"/>
        </w:rPr>
        <w:t xml:space="preserve"> Assembly,</w:t>
      </w:r>
    </w:p>
    <w:p w:rsidR="00DE04F5" w:rsidRPr="0080075A" w:rsidRDefault="00DE04F5" w:rsidP="00DE04F5">
      <w:pPr>
        <w:pStyle w:val="Call"/>
        <w:rPr>
          <w:lang w:val="en-US"/>
        </w:rPr>
      </w:pPr>
      <w:r w:rsidRPr="0080075A">
        <w:rPr>
          <w:lang w:val="en-US"/>
        </w:rPr>
        <w:t>considering</w:t>
      </w:r>
    </w:p>
    <w:p w:rsidR="00DE04F5" w:rsidRPr="0080075A" w:rsidRDefault="00DE04F5" w:rsidP="00DE04F5">
      <w:pPr>
        <w:rPr>
          <w:lang w:val="en-US"/>
        </w:rPr>
      </w:pPr>
      <w:r w:rsidRPr="0080075A">
        <w:rPr>
          <w:lang w:val="en-US"/>
        </w:rPr>
        <w:t>a)</w:t>
      </w:r>
      <w:r w:rsidRPr="0080075A">
        <w:rPr>
          <w:lang w:val="en-US"/>
        </w:rPr>
        <w:tab/>
        <w:t>that a typical impact of disaster events is the loss of the local terrestrial-based telecommunication infrastructure;</w:t>
      </w:r>
    </w:p>
    <w:p w:rsidR="00DE04F5" w:rsidRPr="0080075A" w:rsidRDefault="00DE04F5" w:rsidP="00DE04F5">
      <w:pPr>
        <w:rPr>
          <w:lang w:val="en-US"/>
        </w:rPr>
      </w:pPr>
      <w:r w:rsidRPr="0080075A">
        <w:rPr>
          <w:lang w:val="en-US"/>
        </w:rPr>
        <w:t>b)</w:t>
      </w:r>
      <w:r w:rsidRPr="0080075A">
        <w:rPr>
          <w:lang w:val="en-US"/>
        </w:rPr>
        <w:tab/>
        <w:t>that the location and time of occurrence of disaster events is unpredictable;</w:t>
      </w:r>
    </w:p>
    <w:p w:rsidR="00DE04F5" w:rsidRPr="0080075A" w:rsidRDefault="00DE04F5" w:rsidP="00DE04F5">
      <w:pPr>
        <w:rPr>
          <w:lang w:val="en-US"/>
        </w:rPr>
      </w:pPr>
      <w:r w:rsidRPr="0080075A">
        <w:rPr>
          <w:lang w:val="en-US"/>
        </w:rPr>
        <w:t>c)</w:t>
      </w:r>
      <w:r w:rsidRPr="0080075A">
        <w:rPr>
          <w:lang w:val="en-US"/>
        </w:rPr>
        <w:tab/>
        <w:t>that, in view of their independence from the local infrastructure, wide-area coverage, and ease of deployment, mobile-satellite services (MSS) can provide immediate means of telecommunication to help in contacting the public and relief operations;</w:t>
      </w:r>
    </w:p>
    <w:p w:rsidR="00DE04F5" w:rsidRPr="0080075A" w:rsidRDefault="00DE04F5" w:rsidP="00DE04F5">
      <w:pPr>
        <w:rPr>
          <w:lang w:val="en-US"/>
        </w:rPr>
      </w:pPr>
      <w:r w:rsidRPr="0080075A">
        <w:rPr>
          <w:lang w:val="en-US"/>
        </w:rPr>
        <w:t>d)</w:t>
      </w:r>
      <w:r w:rsidRPr="0080075A">
        <w:rPr>
          <w:lang w:val="en-US"/>
        </w:rPr>
        <w:tab/>
        <w:t>that reliable and rapid deployment of telecommunication equipment is essential for relief operations in the event of natural disasters and similar emergencies;</w:t>
      </w:r>
    </w:p>
    <w:p w:rsidR="00DE04F5" w:rsidRPr="0080075A" w:rsidRDefault="00DE04F5" w:rsidP="00DE04F5">
      <w:pPr>
        <w:rPr>
          <w:lang w:val="en-US"/>
        </w:rPr>
      </w:pPr>
      <w:r w:rsidRPr="0080075A">
        <w:rPr>
          <w:lang w:val="en-US"/>
        </w:rPr>
        <w:t>e)</w:t>
      </w:r>
      <w:r w:rsidRPr="0080075A">
        <w:rPr>
          <w:lang w:val="en-US"/>
        </w:rPr>
        <w:tab/>
        <w:t>that the unpredictability of the location and time of occurrence of a disaster event implies the need for pre-planning of spectrum and equipment to be used;</w:t>
      </w:r>
    </w:p>
    <w:p w:rsidR="00DE04F5" w:rsidRPr="0080075A" w:rsidRDefault="00DE04F5" w:rsidP="00DE04F5">
      <w:pPr>
        <w:rPr>
          <w:lang w:val="en-US"/>
        </w:rPr>
      </w:pPr>
      <w:r w:rsidRPr="0080075A">
        <w:rPr>
          <w:lang w:val="en-US"/>
        </w:rPr>
        <w:t>f)</w:t>
      </w:r>
      <w:r w:rsidRPr="0080075A">
        <w:rPr>
          <w:lang w:val="en-US"/>
        </w:rPr>
        <w:tab/>
        <w:t>that mobile-satellite terminals and ancillary equipment may be ubiquitously deployed and at times may represent the only viable solution to provide emergency telecommunication services for relief operations, and authorization may be required from the administrations on spectrum to be used;</w:t>
      </w:r>
    </w:p>
    <w:p w:rsidR="00DE04F5" w:rsidRPr="0080075A" w:rsidRDefault="00DE04F5" w:rsidP="00DE04F5">
      <w:pPr>
        <w:rPr>
          <w:lang w:val="en-US" w:eastAsia="ja-JP"/>
        </w:rPr>
      </w:pPr>
      <w:r w:rsidRPr="0080075A">
        <w:rPr>
          <w:lang w:val="en-US"/>
        </w:rPr>
        <w:t>g)</w:t>
      </w:r>
      <w:r w:rsidRPr="0080075A">
        <w:rPr>
          <w:lang w:val="en-US"/>
        </w:rPr>
        <w:tab/>
        <w:t>that such equipment might perform a variety of functions including, but not limited to, voice and data communication, field reporting, data collection, position information and image transmission</w:t>
      </w:r>
      <w:r w:rsidRPr="0080075A">
        <w:rPr>
          <w:lang w:val="en-US" w:eastAsia="ja-JP"/>
        </w:rPr>
        <w:t>,</w:t>
      </w:r>
    </w:p>
    <w:p w:rsidR="00DE04F5" w:rsidRPr="0080075A" w:rsidRDefault="00DE04F5" w:rsidP="00DE04F5">
      <w:pPr>
        <w:pStyle w:val="Call"/>
        <w:rPr>
          <w:lang w:val="en-US" w:eastAsia="ja-JP"/>
        </w:rPr>
      </w:pPr>
      <w:r w:rsidRPr="0080075A">
        <w:rPr>
          <w:lang w:val="en-US" w:eastAsia="ja-JP"/>
        </w:rPr>
        <w:t>recognizing</w:t>
      </w:r>
    </w:p>
    <w:p w:rsidR="00DE04F5" w:rsidRPr="0080075A" w:rsidRDefault="00DE04F5" w:rsidP="00DE04F5">
      <w:pPr>
        <w:rPr>
          <w:szCs w:val="24"/>
          <w:lang w:val="en-US"/>
        </w:rPr>
      </w:pPr>
      <w:r w:rsidRPr="0080075A">
        <w:rPr>
          <w:szCs w:val="24"/>
          <w:lang w:val="en-US"/>
        </w:rPr>
        <w:t>a)</w:t>
      </w:r>
      <w:r w:rsidRPr="0080075A">
        <w:rPr>
          <w:szCs w:val="24"/>
          <w:lang w:val="en-US"/>
        </w:rPr>
        <w:tab/>
        <w:t xml:space="preserve">that Resolution 136 (Antalya, 2006) of the Plenipotentiary Conference on the use of telecommunications/information and communication technologies for monitoring and managing emergency and disaster situation for early warning, prediction, mitigation and </w:t>
      </w:r>
      <w:r w:rsidRPr="0080075A">
        <w:rPr>
          <w:bCs/>
          <w:szCs w:val="24"/>
          <w:lang w:val="en-US"/>
        </w:rPr>
        <w:t>relief</w:t>
      </w:r>
      <w:r w:rsidRPr="0080075A">
        <w:rPr>
          <w:szCs w:val="24"/>
          <w:lang w:val="en-US"/>
        </w:rPr>
        <w:t xml:space="preserve"> resolved mainly to instruct the Directors of the </w:t>
      </w:r>
      <w:proofErr w:type="spellStart"/>
      <w:r w:rsidRPr="0080075A">
        <w:rPr>
          <w:szCs w:val="24"/>
          <w:lang w:val="en-US"/>
        </w:rPr>
        <w:t>Bureaux</w:t>
      </w:r>
      <w:proofErr w:type="spellEnd"/>
      <w:r w:rsidRPr="0080075A">
        <w:rPr>
          <w:szCs w:val="24"/>
          <w:lang w:val="en-US"/>
        </w:rPr>
        <w:t>:</w:t>
      </w:r>
    </w:p>
    <w:p w:rsidR="00DE04F5" w:rsidRPr="0080075A" w:rsidRDefault="00DE04F5" w:rsidP="00DE04F5">
      <w:pPr>
        <w:pStyle w:val="enumlev1"/>
        <w:rPr>
          <w:lang w:val="en-US"/>
        </w:rPr>
      </w:pPr>
      <w:r w:rsidRPr="0080075A">
        <w:rPr>
          <w:lang w:val="en-US"/>
        </w:rPr>
        <w:t>–</w:t>
      </w:r>
      <w:r w:rsidRPr="0080075A">
        <w:rPr>
          <w:lang w:val="en-US"/>
        </w:rPr>
        <w:tab/>
        <w:t>to continue their technical studies in order to develop technical and operational implementation, as necessary, of advanced solutions to meet the needs of public protection and disaster relief telecommunications/ICT;</w:t>
      </w:r>
    </w:p>
    <w:p w:rsidR="00DE04F5" w:rsidRPr="0080075A" w:rsidRDefault="00DE04F5" w:rsidP="00DE04F5">
      <w:pPr>
        <w:pStyle w:val="enumlev1"/>
        <w:rPr>
          <w:lang w:val="en-US"/>
        </w:rPr>
      </w:pPr>
      <w:r w:rsidRPr="0080075A">
        <w:rPr>
          <w:lang w:val="en-US"/>
        </w:rPr>
        <w:t>–</w:t>
      </w:r>
      <w:r w:rsidRPr="0080075A">
        <w:rPr>
          <w:lang w:val="en-US"/>
        </w:rPr>
        <w:tab/>
        <w:t>to support the development of robust, comprehensive, all-hazards emergency and disaster early warning and relief systems, at national, regional and international levels;</w:t>
      </w:r>
    </w:p>
    <w:p w:rsidR="00DE04F5" w:rsidRPr="0080075A" w:rsidRDefault="002E5C3D" w:rsidP="00DE04F5">
      <w:pPr>
        <w:spacing w:before="180"/>
        <w:rPr>
          <w:szCs w:val="24"/>
          <w:lang w:val="en-US"/>
        </w:rPr>
      </w:pPr>
      <w:r w:rsidRPr="0080075A">
        <w:rPr>
          <w:szCs w:val="24"/>
          <w:lang w:val="en-US"/>
        </w:rPr>
        <w:br w:type="page"/>
      </w:r>
      <w:r w:rsidR="00DE04F5" w:rsidRPr="0080075A">
        <w:rPr>
          <w:szCs w:val="24"/>
          <w:lang w:val="en-US"/>
        </w:rPr>
        <w:lastRenderedPageBreak/>
        <w:t>b)</w:t>
      </w:r>
      <w:r w:rsidR="00DE04F5" w:rsidRPr="0080075A">
        <w:rPr>
          <w:szCs w:val="24"/>
          <w:lang w:val="en-US"/>
        </w:rPr>
        <w:tab/>
        <w:t xml:space="preserve">Resolution ITU-R 53 (RA-2007) on the use of </w:t>
      </w:r>
      <w:proofErr w:type="spellStart"/>
      <w:r w:rsidR="00DE04F5" w:rsidRPr="0080075A">
        <w:rPr>
          <w:szCs w:val="24"/>
          <w:lang w:val="en-US"/>
        </w:rPr>
        <w:t>radiocommunications</w:t>
      </w:r>
      <w:proofErr w:type="spellEnd"/>
      <w:r w:rsidR="00DE04F5" w:rsidRPr="0080075A">
        <w:rPr>
          <w:szCs w:val="24"/>
          <w:lang w:val="en-US"/>
        </w:rPr>
        <w:t xml:space="preserve"> in disaster response and relief, which resolved “that, given the importance of the effective use of the radio-frequency spectrum for </w:t>
      </w:r>
      <w:proofErr w:type="spellStart"/>
      <w:r w:rsidR="00DE04F5" w:rsidRPr="0080075A">
        <w:rPr>
          <w:szCs w:val="24"/>
          <w:lang w:val="en-US"/>
        </w:rPr>
        <w:t>radiocommunications</w:t>
      </w:r>
      <w:proofErr w:type="spellEnd"/>
      <w:r w:rsidR="00DE04F5" w:rsidRPr="0080075A">
        <w:rPr>
          <w:szCs w:val="24"/>
          <w:lang w:val="en-US"/>
        </w:rPr>
        <w:t xml:space="preserve"> in disaster situations, the concerned ITU-R study groups undertake studies and develop </w:t>
      </w:r>
      <w:r w:rsidR="00DE04F5" w:rsidRPr="0080075A">
        <w:rPr>
          <w:lang w:val="en-US"/>
        </w:rPr>
        <w:t xml:space="preserve">guidelines related to the management of </w:t>
      </w:r>
      <w:proofErr w:type="spellStart"/>
      <w:r w:rsidR="00DE04F5" w:rsidRPr="0080075A">
        <w:rPr>
          <w:lang w:val="en-US"/>
        </w:rPr>
        <w:t>radiocommunications</w:t>
      </w:r>
      <w:proofErr w:type="spellEnd"/>
      <w:r w:rsidR="00DE04F5" w:rsidRPr="0080075A">
        <w:rPr>
          <w:lang w:val="en-US"/>
        </w:rPr>
        <w:t xml:space="preserve"> in disaster prediction, detection, mitigation and relief collaboratively and cooperatively within ITU and with organizations external to the Union”;</w:t>
      </w:r>
    </w:p>
    <w:p w:rsidR="00DE04F5" w:rsidRPr="0080075A" w:rsidRDefault="00DE04F5" w:rsidP="00DE04F5">
      <w:pPr>
        <w:spacing w:before="180"/>
        <w:rPr>
          <w:lang w:val="en-US" w:eastAsia="ja-JP"/>
        </w:rPr>
      </w:pPr>
      <w:r w:rsidRPr="0080075A">
        <w:rPr>
          <w:szCs w:val="24"/>
          <w:lang w:val="en-US"/>
        </w:rPr>
        <w:t>c)</w:t>
      </w:r>
      <w:r w:rsidRPr="0080075A">
        <w:rPr>
          <w:szCs w:val="24"/>
          <w:lang w:val="en-US"/>
        </w:rPr>
        <w:tab/>
        <w:t>Resolution ITU-R 55 (RA-2007) on ITU studies for disaster prediction, detecting, mitigation and relief which resolves to invite all study groups to take into consideration the scope of ongoing studies/activities, as outlined in Annex 1 attached to this Resolution, based on clear scopes of each study group prior to the Radio Assembly – in particular former Study Groups SG 4 and SG 8 – referencing both FSS and MSS, as called for in Questions ITU-R 286/4 (former ITU</w:t>
      </w:r>
      <w:r w:rsidRPr="0080075A">
        <w:rPr>
          <w:szCs w:val="24"/>
          <w:lang w:val="en-US"/>
        </w:rPr>
        <w:noBreakHyphen/>
        <w:t>R 209</w:t>
      </w:r>
      <w:r w:rsidRPr="0080075A">
        <w:rPr>
          <w:szCs w:val="24"/>
          <w:lang w:val="en-US"/>
        </w:rPr>
        <w:noBreakHyphen/>
        <w:t xml:space="preserve">3/8) and ITU-R 227/4 (former ITU-R 227/8); </w:t>
      </w:r>
    </w:p>
    <w:p w:rsidR="00DE04F5" w:rsidRPr="0080075A" w:rsidRDefault="00DE04F5" w:rsidP="00DE04F5">
      <w:pPr>
        <w:spacing w:before="180"/>
        <w:rPr>
          <w:szCs w:val="24"/>
          <w:lang w:val="en-US"/>
        </w:rPr>
      </w:pPr>
      <w:r w:rsidRPr="0080075A">
        <w:rPr>
          <w:szCs w:val="24"/>
          <w:lang w:val="en-US"/>
        </w:rPr>
        <w:t>d)</w:t>
      </w:r>
      <w:r w:rsidRPr="0080075A">
        <w:rPr>
          <w:szCs w:val="24"/>
          <w:lang w:val="en-US"/>
        </w:rPr>
        <w:tab/>
        <w:t xml:space="preserve">Resolution 644 (Rev.WRC-07) on </w:t>
      </w:r>
      <w:proofErr w:type="spellStart"/>
      <w:r w:rsidRPr="0080075A">
        <w:rPr>
          <w:szCs w:val="24"/>
          <w:lang w:val="en-US"/>
        </w:rPr>
        <w:t>radiocommunication</w:t>
      </w:r>
      <w:proofErr w:type="spellEnd"/>
      <w:r w:rsidRPr="0080075A">
        <w:rPr>
          <w:szCs w:val="24"/>
          <w:lang w:val="en-US"/>
        </w:rPr>
        <w:t xml:space="preserve"> resources for early warning disaster mitigation and relief operations, Resolution 646 (WRC-03) on spectrum for public protection and disaster relief, and Resolution 647 (WRC-07) on spectrum management guidelines for emergency and disaster relief </w:t>
      </w:r>
      <w:proofErr w:type="spellStart"/>
      <w:r w:rsidRPr="0080075A">
        <w:rPr>
          <w:szCs w:val="24"/>
          <w:lang w:val="en-US"/>
        </w:rPr>
        <w:t>radiocommunications</w:t>
      </w:r>
      <w:proofErr w:type="spellEnd"/>
      <w:r w:rsidRPr="0080075A">
        <w:rPr>
          <w:szCs w:val="24"/>
          <w:lang w:val="en-US"/>
        </w:rPr>
        <w:t xml:space="preserve">, which clarifies the objectives and the work to be carried out by the ITU </w:t>
      </w:r>
      <w:proofErr w:type="spellStart"/>
      <w:r w:rsidRPr="0080075A">
        <w:rPr>
          <w:szCs w:val="24"/>
          <w:lang w:val="en-US"/>
        </w:rPr>
        <w:t>Radiocommunication</w:t>
      </w:r>
      <w:proofErr w:type="spellEnd"/>
      <w:r w:rsidRPr="0080075A">
        <w:rPr>
          <w:szCs w:val="24"/>
          <w:lang w:val="en-US"/>
        </w:rPr>
        <w:t xml:space="preserve"> Sector (ITU-R) on the issues relevant to these Resolutions, to accelerate the studies, to prevent overlaps, and to collaborate with relevant partners in this domain (see </w:t>
      </w:r>
      <w:hyperlink r:id="rId12" w:history="1">
        <w:r w:rsidRPr="0080075A">
          <w:rPr>
            <w:rStyle w:val="Hyperlink"/>
            <w:szCs w:val="24"/>
            <w:lang w:val="en-US"/>
          </w:rPr>
          <w:t>http://www.itu.int/ITU-R/space/res647/index.asp</w:t>
        </w:r>
      </w:hyperlink>
      <w:r w:rsidRPr="0080075A">
        <w:rPr>
          <w:szCs w:val="24"/>
          <w:lang w:val="en-US"/>
        </w:rPr>
        <w:t>);</w:t>
      </w:r>
    </w:p>
    <w:p w:rsidR="00DE04F5" w:rsidRPr="0080075A" w:rsidRDefault="00DE04F5" w:rsidP="00DE04F5">
      <w:pPr>
        <w:spacing w:before="180"/>
        <w:rPr>
          <w:szCs w:val="24"/>
          <w:lang w:val="en-US"/>
        </w:rPr>
      </w:pPr>
      <w:r w:rsidRPr="0080075A">
        <w:rPr>
          <w:szCs w:val="24"/>
          <w:lang w:val="en-US"/>
        </w:rPr>
        <w:t>e)</w:t>
      </w:r>
      <w:r w:rsidRPr="0080075A">
        <w:rPr>
          <w:szCs w:val="24"/>
          <w:lang w:val="en-US"/>
        </w:rPr>
        <w:tab/>
        <w:t xml:space="preserve">the ITU Global Forum on </w:t>
      </w:r>
      <w:r w:rsidR="00FA2855" w:rsidRPr="0080075A">
        <w:rPr>
          <w:szCs w:val="24"/>
          <w:lang w:val="en-US"/>
        </w:rPr>
        <w:t>effective use of telecommunications/</w:t>
      </w:r>
      <w:r w:rsidRPr="0080075A">
        <w:rPr>
          <w:szCs w:val="24"/>
          <w:lang w:val="en-US"/>
        </w:rPr>
        <w:t xml:space="preserve">ICT for </w:t>
      </w:r>
      <w:r w:rsidR="00FA2855" w:rsidRPr="0080075A">
        <w:rPr>
          <w:szCs w:val="24"/>
          <w:lang w:val="en-US"/>
        </w:rPr>
        <w:t xml:space="preserve">disaster management and the telecommunications </w:t>
      </w:r>
      <w:r w:rsidRPr="0080075A">
        <w:rPr>
          <w:szCs w:val="24"/>
          <w:lang w:val="en-US"/>
        </w:rPr>
        <w:t>for Disaster Relief and Mitigation – Partnership Coordination Panel (PCP-TDR), concentrating on identification of global and/or regional frequency bands/ranges for emergency and disaster relief, when undertaking their national planning and to communicate this information to the Bureau, as well as to invite ITU-R to conduct studies as necessary, and as a matter of urgency, in support of the establishment of appropriate spectrum management guidelines in emergency and disaster relief operations;</w:t>
      </w:r>
    </w:p>
    <w:p w:rsidR="00DE04F5" w:rsidRPr="0080075A" w:rsidRDefault="00DE04F5" w:rsidP="00FA2855">
      <w:pPr>
        <w:spacing w:before="180"/>
        <w:rPr>
          <w:szCs w:val="24"/>
          <w:lang w:val="en-US"/>
        </w:rPr>
      </w:pPr>
      <w:r w:rsidRPr="0080075A">
        <w:rPr>
          <w:szCs w:val="24"/>
          <w:lang w:val="en-US"/>
        </w:rPr>
        <w:t>f)</w:t>
      </w:r>
      <w:r w:rsidRPr="0080075A">
        <w:rPr>
          <w:szCs w:val="24"/>
          <w:lang w:val="en-US"/>
        </w:rPr>
        <w:tab/>
        <w:t>the adoption by ITU-T in October 2007 of ITU-T Recommendation X.1303 on the common alerting protocol (CAP1.1) and its implementation, which is a simple and general format exchanging all-hazard emergency alerts and public warning over all kinds of networks;</w:t>
      </w:r>
    </w:p>
    <w:p w:rsidR="00DE04F5" w:rsidRPr="0080075A" w:rsidRDefault="00DE04F5" w:rsidP="00DE04F5">
      <w:pPr>
        <w:rPr>
          <w:lang w:val="en-US" w:eastAsia="ja-JP"/>
        </w:rPr>
      </w:pPr>
      <w:r w:rsidRPr="0080075A">
        <w:rPr>
          <w:szCs w:val="24"/>
          <w:lang w:val="en-US"/>
        </w:rPr>
        <w:t>g)</w:t>
      </w:r>
      <w:r w:rsidRPr="0080075A">
        <w:rPr>
          <w:szCs w:val="24"/>
          <w:lang w:val="en-US"/>
        </w:rPr>
        <w:tab/>
        <w:t xml:space="preserve">the successful results of the ITU Global Forum on </w:t>
      </w:r>
      <w:r w:rsidR="00FA2855" w:rsidRPr="0080075A">
        <w:rPr>
          <w:szCs w:val="24"/>
          <w:lang w:val="en-US"/>
        </w:rPr>
        <w:t>effective use of telecommunications</w:t>
      </w:r>
      <w:r w:rsidRPr="0080075A">
        <w:rPr>
          <w:szCs w:val="24"/>
          <w:lang w:val="en-US"/>
        </w:rPr>
        <w:t xml:space="preserve">/ICT for </w:t>
      </w:r>
      <w:r w:rsidR="00FA2855" w:rsidRPr="0080075A">
        <w:rPr>
          <w:szCs w:val="24"/>
          <w:lang w:val="en-US"/>
        </w:rPr>
        <w:t>disaster management</w:t>
      </w:r>
      <w:r w:rsidRPr="0080075A">
        <w:rPr>
          <w:szCs w:val="24"/>
          <w:lang w:val="en-US"/>
        </w:rPr>
        <w:t>: Saving Lives, which took place in Geneva, 10</w:t>
      </w:r>
      <w:r w:rsidRPr="0080075A">
        <w:rPr>
          <w:szCs w:val="24"/>
          <w:lang w:val="en-US"/>
        </w:rPr>
        <w:noBreakHyphen/>
        <w:t xml:space="preserve">12 December 2007, and resulted in launching two important initiatives, the ITU </w:t>
      </w:r>
      <w:r w:rsidR="00FA2855" w:rsidRPr="0080075A">
        <w:rPr>
          <w:szCs w:val="24"/>
          <w:lang w:val="en-US"/>
        </w:rPr>
        <w:t xml:space="preserve">framework of cooperation in emergencies </w:t>
      </w:r>
      <w:r w:rsidRPr="0080075A">
        <w:rPr>
          <w:szCs w:val="24"/>
          <w:lang w:val="en-US"/>
        </w:rPr>
        <w:t xml:space="preserve">(IFCE) and ITU Network of Volunteers for Emergency Telecommunications (VET), and the establishment by the ITU Secretary-General of the High-Level Panel for Emergency Telecommunications (for more details, see the Compendium of ITU’s work on Emergency Telecommunications, edition 2007) in which a number of bilateral partnership agreements and memoranda of understanding were also signed between ITU and relevant partners, including four satellite operators/service providers; </w:t>
      </w:r>
      <w:proofErr w:type="spellStart"/>
      <w:r w:rsidRPr="0080075A">
        <w:rPr>
          <w:szCs w:val="24"/>
          <w:lang w:val="en-US"/>
        </w:rPr>
        <w:t>TerreStar</w:t>
      </w:r>
      <w:proofErr w:type="spellEnd"/>
      <w:r w:rsidRPr="0080075A">
        <w:rPr>
          <w:szCs w:val="24"/>
          <w:lang w:val="en-US"/>
        </w:rPr>
        <w:t xml:space="preserve">, Iridium, ICO Global and </w:t>
      </w:r>
      <w:proofErr w:type="spellStart"/>
      <w:r w:rsidRPr="0080075A">
        <w:rPr>
          <w:szCs w:val="24"/>
          <w:lang w:val="en-US"/>
        </w:rPr>
        <w:t>Vizada</w:t>
      </w:r>
      <w:proofErr w:type="spellEnd"/>
      <w:r w:rsidRPr="0080075A">
        <w:rPr>
          <w:szCs w:val="24"/>
          <w:lang w:val="en-US"/>
        </w:rPr>
        <w:t xml:space="preserve">, in addition to the two operators who signed such agreements prior to this Global Forum (Inmarsat and </w:t>
      </w:r>
      <w:proofErr w:type="spellStart"/>
      <w:r w:rsidRPr="0080075A">
        <w:rPr>
          <w:szCs w:val="24"/>
          <w:lang w:val="en-US"/>
        </w:rPr>
        <w:t>Thuraya</w:t>
      </w:r>
      <w:proofErr w:type="spellEnd"/>
      <w:r w:rsidRPr="0080075A">
        <w:rPr>
          <w:szCs w:val="24"/>
          <w:lang w:val="en-US"/>
        </w:rPr>
        <w:t>),</w:t>
      </w:r>
    </w:p>
    <w:p w:rsidR="00DE04F5" w:rsidRPr="0080075A" w:rsidRDefault="00DE04F5" w:rsidP="00DE04F5">
      <w:pPr>
        <w:pStyle w:val="Call"/>
        <w:rPr>
          <w:lang w:val="en-US" w:eastAsia="ja-JP"/>
        </w:rPr>
      </w:pPr>
      <w:r w:rsidRPr="0080075A">
        <w:rPr>
          <w:lang w:val="en-US" w:eastAsia="ja-JP"/>
        </w:rPr>
        <w:t>noting</w:t>
      </w:r>
    </w:p>
    <w:p w:rsidR="00DE04F5" w:rsidRPr="0080075A" w:rsidRDefault="00DE04F5" w:rsidP="00DE04F5">
      <w:pPr>
        <w:rPr>
          <w:lang w:val="en-US" w:eastAsia="ja-JP"/>
        </w:rPr>
      </w:pPr>
      <w:r w:rsidRPr="0080075A">
        <w:rPr>
          <w:lang w:val="en-US" w:eastAsia="ja-JP"/>
        </w:rPr>
        <w:t>a)</w:t>
      </w:r>
      <w:r w:rsidRPr="0080075A">
        <w:rPr>
          <w:lang w:val="en-US" w:eastAsia="ja-JP"/>
        </w:rPr>
        <w:tab/>
        <w:t>that the characteristics, operational aspects and ground segment deployment considerations for MSS systems are detailed in the ITU-R mobile-satellite service Handbook;</w:t>
      </w:r>
    </w:p>
    <w:p w:rsidR="00DE04F5" w:rsidRPr="0080075A" w:rsidRDefault="00DE04F5" w:rsidP="00DE04F5">
      <w:pPr>
        <w:rPr>
          <w:lang w:val="en-US" w:eastAsia="ja-JP"/>
        </w:rPr>
      </w:pPr>
      <w:r w:rsidRPr="0080075A">
        <w:rPr>
          <w:lang w:val="en-US" w:eastAsia="ja-JP"/>
        </w:rPr>
        <w:t>b)</w:t>
      </w:r>
      <w:r w:rsidRPr="0080075A">
        <w:rPr>
          <w:lang w:val="en-US" w:eastAsia="ja-JP"/>
        </w:rPr>
        <w:tab/>
        <w:t>that several MSS system operators have already provided valuable assistance in the area of disaster relief and management, including the provision of equipment and air-time, through partnership agreements with ITU;</w:t>
      </w:r>
    </w:p>
    <w:p w:rsidR="00DE04F5" w:rsidRPr="0080075A" w:rsidRDefault="00DE04F5" w:rsidP="00DE04F5">
      <w:pPr>
        <w:rPr>
          <w:lang w:val="en-US"/>
        </w:rPr>
      </w:pPr>
      <w:r w:rsidRPr="0080075A">
        <w:rPr>
          <w:lang w:val="en-US"/>
        </w:rPr>
        <w:lastRenderedPageBreak/>
        <w:t>c)</w:t>
      </w:r>
      <w:r w:rsidRPr="0080075A">
        <w:rPr>
          <w:lang w:val="en-US"/>
        </w:rPr>
        <w:tab/>
        <w:t>that some examples of MSS systems which can provide disaster-related telecommunications are described in Report ITU-R M.2149;</w:t>
      </w:r>
    </w:p>
    <w:p w:rsidR="00DE04F5" w:rsidRPr="0080075A" w:rsidRDefault="00DE04F5" w:rsidP="0061304E">
      <w:pPr>
        <w:rPr>
          <w:lang w:val="en-US"/>
        </w:rPr>
      </w:pPr>
      <w:r w:rsidRPr="0080075A">
        <w:rPr>
          <w:lang w:val="en-US"/>
        </w:rPr>
        <w:t>d)</w:t>
      </w:r>
      <w:r w:rsidRPr="0080075A">
        <w:rPr>
          <w:lang w:val="en-US"/>
        </w:rPr>
        <w:tab/>
        <w:t>that there are agreements between ITU and MSS satellite operators/service providers on the use of MSS systems for disaster-related telecommunications (see</w:t>
      </w:r>
      <w:r w:rsidR="00147DA2">
        <w:rPr>
          <w:lang w:val="en-US"/>
        </w:rPr>
        <w:t> </w:t>
      </w:r>
      <w:hyperlink r:id="rId13" w:history="1">
        <w:r w:rsidR="0061304E">
          <w:rPr>
            <w:rStyle w:val="Hyperlink"/>
          </w:rPr>
          <w:t>http://www.itu.int/en/ITU-D/Emergency-Telecommunications/Pages/PartneringforDisasterReduction.aspx</w:t>
        </w:r>
      </w:hyperlink>
      <w:bookmarkStart w:id="3" w:name="_GoBack"/>
      <w:bookmarkEnd w:id="3"/>
      <w:r w:rsidRPr="0080075A">
        <w:rPr>
          <w:lang w:val="en-US"/>
        </w:rPr>
        <w:t>);</w:t>
      </w:r>
    </w:p>
    <w:p w:rsidR="00DE04F5" w:rsidRPr="0080075A" w:rsidRDefault="00DE04F5" w:rsidP="00DE04F5">
      <w:pPr>
        <w:rPr>
          <w:lang w:val="en-US"/>
        </w:rPr>
      </w:pPr>
      <w:r w:rsidRPr="0080075A">
        <w:rPr>
          <w:lang w:val="en-US"/>
        </w:rPr>
        <w:t>e)</w:t>
      </w:r>
      <w:r w:rsidRPr="0080075A">
        <w:rPr>
          <w:lang w:val="en-US"/>
        </w:rPr>
        <w:tab/>
        <w:t xml:space="preserve">that Recommendation ITU-R S.1001 contains information on the </w:t>
      </w:r>
      <w:bookmarkStart w:id="4" w:name="Pre_title"/>
      <w:r w:rsidRPr="0080075A">
        <w:rPr>
          <w:lang w:val="en-US"/>
        </w:rPr>
        <w:t>use of systems in the fixed-satellite service in the event of natural disasters and similar emergencies for warning and relief operations</w:t>
      </w:r>
      <w:bookmarkEnd w:id="4"/>
      <w:r w:rsidRPr="0080075A">
        <w:rPr>
          <w:lang w:val="en-US"/>
        </w:rPr>
        <w:t>;</w:t>
      </w:r>
    </w:p>
    <w:p w:rsidR="00DE04F5" w:rsidRPr="0080075A" w:rsidRDefault="00DE04F5" w:rsidP="00DE04F5">
      <w:pPr>
        <w:rPr>
          <w:lang w:val="en-US"/>
        </w:rPr>
      </w:pPr>
      <w:r w:rsidRPr="0080075A">
        <w:rPr>
          <w:lang w:val="en-US"/>
        </w:rPr>
        <w:t>f)</w:t>
      </w:r>
      <w:r w:rsidRPr="0080075A">
        <w:rPr>
          <w:lang w:val="en-US"/>
        </w:rPr>
        <w:tab/>
        <w:t xml:space="preserve">the activities of the ITU Telecommunication Development Bureau (BDT) as coordinator in the management and field operations of satellite telecommunications for disasters and emergencies among the ITU secretariats, </w:t>
      </w:r>
    </w:p>
    <w:p w:rsidR="00DE04F5" w:rsidRPr="0080075A" w:rsidRDefault="00DE04F5" w:rsidP="00DE04F5">
      <w:pPr>
        <w:pStyle w:val="Call"/>
        <w:rPr>
          <w:lang w:val="en-US"/>
        </w:rPr>
      </w:pPr>
      <w:r w:rsidRPr="0080075A">
        <w:rPr>
          <w:lang w:val="en-US"/>
        </w:rPr>
        <w:t xml:space="preserve">recommends </w:t>
      </w:r>
    </w:p>
    <w:p w:rsidR="00DE04F5" w:rsidRPr="0080075A" w:rsidRDefault="00DE04F5" w:rsidP="00FA2855">
      <w:pPr>
        <w:rPr>
          <w:lang w:val="en-US"/>
        </w:rPr>
      </w:pPr>
      <w:r w:rsidRPr="0080075A">
        <w:rPr>
          <w:b/>
          <w:lang w:val="en-US"/>
        </w:rPr>
        <w:t>1</w:t>
      </w:r>
      <w:r w:rsidRPr="0080075A">
        <w:rPr>
          <w:lang w:val="en-US"/>
        </w:rPr>
        <w:tab/>
        <w:t xml:space="preserve">that administrations are encouraged to consider the global and/or regional frequency bands/ranges for emergency and disaster relief in their national planning identified in Table 1, and advise the </w:t>
      </w:r>
      <w:proofErr w:type="spellStart"/>
      <w:r w:rsidRPr="0080075A">
        <w:rPr>
          <w:lang w:val="en-US"/>
        </w:rPr>
        <w:t>Radiocommunication</w:t>
      </w:r>
      <w:proofErr w:type="spellEnd"/>
      <w:r w:rsidRPr="0080075A">
        <w:rPr>
          <w:lang w:val="en-US"/>
        </w:rPr>
        <w:t xml:space="preserve"> Bureau of this information when implementing Resolution 647 (WRC-07);</w:t>
      </w:r>
    </w:p>
    <w:p w:rsidR="00147DA2" w:rsidRPr="008A1F52" w:rsidRDefault="00147DA2" w:rsidP="00147DA2">
      <w:pPr>
        <w:pStyle w:val="TableNo"/>
        <w:spacing w:before="240"/>
      </w:pPr>
      <w:r w:rsidRPr="008A1F52">
        <w:t>TABLE 1</w:t>
      </w:r>
    </w:p>
    <w:tbl>
      <w:tblPr>
        <w:tblW w:w="0" w:type="auto"/>
        <w:jc w:val="center"/>
        <w:tblLayout w:type="fixed"/>
        <w:tblLook w:val="0000" w:firstRow="0" w:lastRow="0" w:firstColumn="0" w:lastColumn="0" w:noHBand="0" w:noVBand="0"/>
      </w:tblPr>
      <w:tblGrid>
        <w:gridCol w:w="2198"/>
        <w:gridCol w:w="1134"/>
        <w:gridCol w:w="1914"/>
        <w:gridCol w:w="1063"/>
        <w:gridCol w:w="923"/>
        <w:gridCol w:w="1061"/>
        <w:gridCol w:w="993"/>
      </w:tblGrid>
      <w:tr w:rsidR="00147DA2" w:rsidRPr="008A1F52" w:rsidTr="005C69BF">
        <w:trPr>
          <w:trHeight w:val="305"/>
          <w:jc w:val="center"/>
        </w:trPr>
        <w:tc>
          <w:tcPr>
            <w:tcW w:w="2198"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p>
        </w:tc>
        <w:tc>
          <w:tcPr>
            <w:tcW w:w="1134"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p>
        </w:tc>
        <w:tc>
          <w:tcPr>
            <w:tcW w:w="1914"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p>
        </w:tc>
        <w:tc>
          <w:tcPr>
            <w:tcW w:w="1986" w:type="dxa"/>
            <w:gridSpan w:val="2"/>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head"/>
              <w:rPr>
                <w:rFonts w:eastAsia="SimSun"/>
              </w:rPr>
            </w:pPr>
            <w:proofErr w:type="spellStart"/>
            <w:r w:rsidRPr="008A1F52">
              <w:t>Downlink</w:t>
            </w:r>
            <w:proofErr w:type="spellEnd"/>
            <w:r w:rsidRPr="008A1F52">
              <w:t xml:space="preserve"> </w:t>
            </w:r>
            <w:r w:rsidRPr="008A1F52">
              <w:br/>
              <w:t>(MHz)</w:t>
            </w:r>
            <w:r w:rsidRPr="008A1F52">
              <w:rPr>
                <w:vertAlign w:val="superscript"/>
              </w:rPr>
              <w:t>(2)</w:t>
            </w:r>
          </w:p>
        </w:tc>
        <w:tc>
          <w:tcPr>
            <w:tcW w:w="2054" w:type="dxa"/>
            <w:gridSpan w:val="2"/>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head"/>
              <w:rPr>
                <w:rFonts w:eastAsia="SimSun"/>
              </w:rPr>
            </w:pPr>
            <w:proofErr w:type="spellStart"/>
            <w:r w:rsidRPr="008A1F52">
              <w:t>Uplink</w:t>
            </w:r>
            <w:proofErr w:type="spellEnd"/>
            <w:r w:rsidRPr="008A1F52">
              <w:t xml:space="preserve"> </w:t>
            </w:r>
            <w:r w:rsidRPr="008A1F52">
              <w:br/>
              <w:t>(MHz)</w:t>
            </w:r>
            <w:r w:rsidRPr="008A1F52">
              <w:rPr>
                <w:vertAlign w:val="superscript"/>
              </w:rPr>
              <w:t>(2)</w:t>
            </w:r>
          </w:p>
        </w:tc>
      </w:tr>
      <w:tr w:rsidR="00147DA2" w:rsidRPr="008A1F52" w:rsidTr="005C69BF">
        <w:trPr>
          <w:trHeight w:val="305"/>
          <w:jc w:val="center"/>
        </w:trPr>
        <w:tc>
          <w:tcPr>
            <w:tcW w:w="2198"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r w:rsidRPr="008A1F52">
              <w:t>System</w:t>
            </w:r>
            <w:r w:rsidRPr="008A1F52">
              <w:rPr>
                <w:vertAlign w:val="superscript"/>
                <w:lang w:eastAsia="ja-JP"/>
              </w:rPr>
              <w:t>(1)</w:t>
            </w:r>
          </w:p>
        </w:tc>
        <w:tc>
          <w:tcPr>
            <w:tcW w:w="1134"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r w:rsidRPr="008A1F52">
              <w:t>Type</w:t>
            </w:r>
          </w:p>
        </w:tc>
        <w:tc>
          <w:tcPr>
            <w:tcW w:w="1914"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r w:rsidRPr="008A1F52">
              <w:t>Service Area</w:t>
            </w:r>
          </w:p>
        </w:tc>
        <w:tc>
          <w:tcPr>
            <w:tcW w:w="1063"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proofErr w:type="spellStart"/>
            <w:r w:rsidRPr="008A1F52">
              <w:t>From</w:t>
            </w:r>
            <w:proofErr w:type="spellEnd"/>
          </w:p>
        </w:tc>
        <w:tc>
          <w:tcPr>
            <w:tcW w:w="923"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r w:rsidRPr="008A1F52">
              <w:t>To</w:t>
            </w:r>
          </w:p>
        </w:tc>
        <w:tc>
          <w:tcPr>
            <w:tcW w:w="1061"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proofErr w:type="spellStart"/>
            <w:r w:rsidRPr="008A1F52">
              <w:t>From</w:t>
            </w:r>
            <w:proofErr w:type="spellEnd"/>
          </w:p>
        </w:tc>
        <w:tc>
          <w:tcPr>
            <w:tcW w:w="993" w:type="dxa"/>
            <w:tcBorders>
              <w:top w:val="single" w:sz="2" w:space="0" w:color="000000"/>
              <w:left w:val="single" w:sz="2" w:space="0" w:color="000000"/>
              <w:bottom w:val="single" w:sz="2" w:space="0" w:color="000000"/>
              <w:right w:val="single" w:sz="2" w:space="0" w:color="000000"/>
            </w:tcBorders>
          </w:tcPr>
          <w:p w:rsidR="00147DA2" w:rsidRPr="008A1F52" w:rsidRDefault="00147DA2" w:rsidP="005C69BF">
            <w:pPr>
              <w:pStyle w:val="Tablehead"/>
              <w:rPr>
                <w:rFonts w:eastAsia="SimSun"/>
              </w:rPr>
            </w:pPr>
            <w:r w:rsidRPr="008A1F52">
              <w:t>To</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ACeS</w:t>
            </w:r>
            <w:proofErr w:type="spellEnd"/>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 xml:space="preserve">Parts of </w:t>
            </w:r>
            <w:proofErr w:type="spellStart"/>
            <w:r w:rsidRPr="008A1F52">
              <w:t>Region</w:t>
            </w:r>
            <w:proofErr w:type="spellEnd"/>
            <w:r w:rsidRPr="008A1F52">
              <w:t xml:space="preserve"> 3</w:t>
            </w:r>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1 525.0</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1 559.0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1 626.5</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1 660.5</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AUSSAT</w:t>
            </w:r>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Australia</w:t>
            </w:r>
            <w:proofErr w:type="spellEnd"/>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1 545.0</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1 559.0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1 646.5</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1 660.5</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 xml:space="preserve">DBSD </w:t>
            </w:r>
            <w:proofErr w:type="spellStart"/>
            <w:r w:rsidRPr="008A1F52">
              <w:t>North</w:t>
            </w:r>
            <w:proofErr w:type="spellEnd"/>
            <w:r w:rsidRPr="008A1F52">
              <w:t xml:space="preserve"> </w:t>
            </w:r>
            <w:proofErr w:type="spellStart"/>
            <w:r w:rsidRPr="008A1F52">
              <w:t>America</w:t>
            </w:r>
            <w:proofErr w:type="spellEnd"/>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North</w:t>
            </w:r>
            <w:proofErr w:type="spellEnd"/>
            <w:r w:rsidRPr="008A1F52">
              <w:t xml:space="preserve"> </w:t>
            </w:r>
            <w:proofErr w:type="spellStart"/>
            <w:r w:rsidRPr="008A1F52">
              <w:t>America</w:t>
            </w:r>
            <w:proofErr w:type="spellEnd"/>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2 180.0</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2 190.0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2 010.0</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2 020.0</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Globalstar</w:t>
            </w:r>
            <w:proofErr w:type="spellEnd"/>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Non-GSO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Global</w:t>
            </w:r>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2 483.5</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2 500.0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1 610.0</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1 621.35</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Inmarsat</w:t>
            </w:r>
            <w:proofErr w:type="spellEnd"/>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Global</w:t>
            </w:r>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1 525.0</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1 559.0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1 626.5</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1660.5</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Iridium</w:t>
            </w:r>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Non-GSO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Global</w:t>
            </w:r>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1 617.775</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1 626.5</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1 617.775</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1 626.5</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SkyTerra</w:t>
            </w:r>
            <w:proofErr w:type="spellEnd"/>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North</w:t>
            </w:r>
            <w:proofErr w:type="spellEnd"/>
            <w:r w:rsidRPr="008A1F52">
              <w:t xml:space="preserve"> and Central </w:t>
            </w:r>
            <w:proofErr w:type="spellStart"/>
            <w:r w:rsidRPr="008A1F52">
              <w:t>America</w:t>
            </w:r>
            <w:proofErr w:type="spellEnd"/>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1 525.0</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1 559.0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1 626.5</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1 660.5</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pPr>
            <w:r w:rsidRPr="008A1F52">
              <w:t>Solaris Mobile</w:t>
            </w:r>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pPr>
            <w:r w:rsidRPr="008A1F52">
              <w:t>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pPr>
            <w:r w:rsidRPr="008A1F52">
              <w:t xml:space="preserve">Parts of </w:t>
            </w:r>
            <w:proofErr w:type="spellStart"/>
            <w:r w:rsidRPr="008A1F52">
              <w:t>Region</w:t>
            </w:r>
            <w:proofErr w:type="spellEnd"/>
            <w:r w:rsidRPr="008A1F52">
              <w:t xml:space="preserve"> 1</w:t>
            </w:r>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pPr>
            <w:r w:rsidRPr="008A1F52">
              <w:t>2 170</w:t>
            </w:r>
            <w:r w:rsidRPr="000D0469">
              <w:rPr>
                <w:sz w:val="20"/>
                <w:vertAlign w:val="superscript"/>
              </w:rPr>
              <w:t>(</w:t>
            </w:r>
            <w:r w:rsidRPr="008A1F52">
              <w:rPr>
                <w:vertAlign w:val="superscript"/>
              </w:rPr>
              <w:t>3)</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pPr>
            <w:r w:rsidRPr="008A1F52">
              <w:t>2 200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pPr>
            <w:r w:rsidRPr="008A1F52">
              <w:t>1 980</w:t>
            </w:r>
            <w:r w:rsidRPr="000D0469">
              <w:rPr>
                <w:sz w:val="20"/>
                <w:vertAlign w:val="superscript"/>
              </w:rPr>
              <w:t>(</w:t>
            </w:r>
            <w:r w:rsidRPr="008A1F52">
              <w:rPr>
                <w:vertAlign w:val="superscript"/>
              </w:rPr>
              <w:t>3)</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pPr>
            <w:r w:rsidRPr="008A1F52">
              <w:t>2 010</w:t>
            </w:r>
          </w:p>
        </w:tc>
      </w:tr>
      <w:tr w:rsidR="00147DA2" w:rsidRPr="008A1F52" w:rsidTr="005C69BF">
        <w:trPr>
          <w:trHeight w:val="334"/>
          <w:jc w:val="center"/>
        </w:trPr>
        <w:tc>
          <w:tcPr>
            <w:tcW w:w="2198"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Terrestar</w:t>
            </w:r>
            <w:proofErr w:type="spellEnd"/>
            <w:r w:rsidRPr="008A1F52">
              <w:t xml:space="preserve"> </w:t>
            </w:r>
          </w:p>
        </w:tc>
        <w:tc>
          <w:tcPr>
            <w:tcW w:w="113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r w:rsidRPr="008A1F52">
              <w:t>GSO</w:t>
            </w:r>
          </w:p>
        </w:tc>
        <w:tc>
          <w:tcPr>
            <w:tcW w:w="1914"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rPr>
                <w:rFonts w:eastAsia="SimSun"/>
              </w:rPr>
            </w:pPr>
            <w:proofErr w:type="spellStart"/>
            <w:r w:rsidRPr="008A1F52">
              <w:t>North</w:t>
            </w:r>
            <w:proofErr w:type="spellEnd"/>
            <w:r w:rsidRPr="008A1F52">
              <w:t xml:space="preserve"> </w:t>
            </w:r>
            <w:proofErr w:type="spellStart"/>
            <w:r w:rsidRPr="008A1F52">
              <w:t>America</w:t>
            </w:r>
            <w:proofErr w:type="spellEnd"/>
          </w:p>
        </w:tc>
        <w:tc>
          <w:tcPr>
            <w:tcW w:w="106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2 190.0</w:t>
            </w:r>
          </w:p>
        </w:tc>
        <w:tc>
          <w:tcPr>
            <w:tcW w:w="92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2 200.0</w:t>
            </w:r>
          </w:p>
        </w:tc>
        <w:tc>
          <w:tcPr>
            <w:tcW w:w="1061"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2 000.0</w:t>
            </w:r>
          </w:p>
        </w:tc>
        <w:tc>
          <w:tcPr>
            <w:tcW w:w="993" w:type="dxa"/>
            <w:tcBorders>
              <w:top w:val="single" w:sz="2" w:space="0" w:color="000000"/>
              <w:left w:val="single" w:sz="2" w:space="0" w:color="000000"/>
              <w:bottom w:val="single" w:sz="2" w:space="0" w:color="000000"/>
              <w:right w:val="single" w:sz="2" w:space="0" w:color="000000"/>
            </w:tcBorders>
            <w:vAlign w:val="center"/>
          </w:tcPr>
          <w:p w:rsidR="00147DA2" w:rsidRPr="008A1F52" w:rsidRDefault="00147DA2" w:rsidP="005C69BF">
            <w:pPr>
              <w:pStyle w:val="Tabletext"/>
              <w:jc w:val="center"/>
              <w:rPr>
                <w:rFonts w:eastAsia="SimSun"/>
              </w:rPr>
            </w:pPr>
            <w:r w:rsidRPr="008A1F52">
              <w:t>2 010.0</w:t>
            </w:r>
          </w:p>
        </w:tc>
      </w:tr>
      <w:tr w:rsidR="00147DA2" w:rsidRPr="008A1F52" w:rsidTr="005C69BF">
        <w:trPr>
          <w:trHeight w:val="334"/>
          <w:jc w:val="center"/>
        </w:trPr>
        <w:tc>
          <w:tcPr>
            <w:tcW w:w="2198" w:type="dxa"/>
            <w:tcBorders>
              <w:top w:val="single" w:sz="2" w:space="0" w:color="000000"/>
              <w:left w:val="single" w:sz="2" w:space="0" w:color="000000"/>
              <w:bottom w:val="single" w:sz="4" w:space="0" w:color="auto"/>
              <w:right w:val="single" w:sz="2" w:space="0" w:color="000000"/>
            </w:tcBorders>
            <w:vAlign w:val="center"/>
          </w:tcPr>
          <w:p w:rsidR="00147DA2" w:rsidRPr="008A1F52" w:rsidRDefault="00147DA2" w:rsidP="005C69BF">
            <w:pPr>
              <w:pStyle w:val="Tabletext"/>
              <w:rPr>
                <w:rFonts w:eastAsia="SimSun"/>
              </w:rPr>
            </w:pPr>
            <w:proofErr w:type="spellStart"/>
            <w:r w:rsidRPr="008A1F52">
              <w:t>Thuraya</w:t>
            </w:r>
            <w:proofErr w:type="spellEnd"/>
          </w:p>
        </w:tc>
        <w:tc>
          <w:tcPr>
            <w:tcW w:w="1134" w:type="dxa"/>
            <w:tcBorders>
              <w:top w:val="single" w:sz="2" w:space="0" w:color="000000"/>
              <w:left w:val="single" w:sz="2" w:space="0" w:color="000000"/>
              <w:bottom w:val="single" w:sz="4" w:space="0" w:color="auto"/>
              <w:right w:val="single" w:sz="2" w:space="0" w:color="000000"/>
            </w:tcBorders>
            <w:vAlign w:val="center"/>
          </w:tcPr>
          <w:p w:rsidR="00147DA2" w:rsidRPr="008A1F52" w:rsidRDefault="00147DA2" w:rsidP="005C69BF">
            <w:pPr>
              <w:pStyle w:val="Tabletext"/>
              <w:rPr>
                <w:rFonts w:eastAsia="SimSun"/>
              </w:rPr>
            </w:pPr>
            <w:r w:rsidRPr="008A1F52">
              <w:t>GSO</w:t>
            </w:r>
          </w:p>
        </w:tc>
        <w:tc>
          <w:tcPr>
            <w:tcW w:w="1914" w:type="dxa"/>
            <w:tcBorders>
              <w:top w:val="single" w:sz="2" w:space="0" w:color="000000"/>
              <w:left w:val="single" w:sz="2" w:space="0" w:color="000000"/>
              <w:bottom w:val="single" w:sz="4" w:space="0" w:color="auto"/>
              <w:right w:val="single" w:sz="2" w:space="0" w:color="000000"/>
            </w:tcBorders>
            <w:vAlign w:val="center"/>
          </w:tcPr>
          <w:p w:rsidR="00147DA2" w:rsidRPr="008A1F52" w:rsidRDefault="00147DA2" w:rsidP="005C69BF">
            <w:pPr>
              <w:pStyle w:val="Tabletext"/>
              <w:rPr>
                <w:rFonts w:eastAsia="SimSun"/>
              </w:rPr>
            </w:pPr>
            <w:proofErr w:type="spellStart"/>
            <w:r w:rsidRPr="008A1F52">
              <w:t>Regions</w:t>
            </w:r>
            <w:proofErr w:type="spellEnd"/>
            <w:r w:rsidRPr="008A1F52">
              <w:t xml:space="preserve"> 1 and 3</w:t>
            </w:r>
          </w:p>
        </w:tc>
        <w:tc>
          <w:tcPr>
            <w:tcW w:w="1063" w:type="dxa"/>
            <w:tcBorders>
              <w:top w:val="single" w:sz="2" w:space="0" w:color="000000"/>
              <w:left w:val="single" w:sz="2" w:space="0" w:color="000000"/>
              <w:bottom w:val="single" w:sz="4" w:space="0" w:color="auto"/>
              <w:right w:val="single" w:sz="2" w:space="0" w:color="000000"/>
            </w:tcBorders>
            <w:vAlign w:val="center"/>
          </w:tcPr>
          <w:p w:rsidR="00147DA2" w:rsidRPr="008A1F52" w:rsidRDefault="00147DA2" w:rsidP="005C69BF">
            <w:pPr>
              <w:pStyle w:val="Tabletext"/>
              <w:jc w:val="center"/>
              <w:rPr>
                <w:rFonts w:eastAsia="SimSun"/>
              </w:rPr>
            </w:pPr>
            <w:r w:rsidRPr="008A1F52">
              <w:t>1 525.0</w:t>
            </w:r>
          </w:p>
        </w:tc>
        <w:tc>
          <w:tcPr>
            <w:tcW w:w="923" w:type="dxa"/>
            <w:tcBorders>
              <w:top w:val="single" w:sz="2" w:space="0" w:color="000000"/>
              <w:left w:val="single" w:sz="2" w:space="0" w:color="000000"/>
              <w:bottom w:val="single" w:sz="4" w:space="0" w:color="auto"/>
              <w:right w:val="single" w:sz="2" w:space="0" w:color="000000"/>
            </w:tcBorders>
            <w:vAlign w:val="center"/>
          </w:tcPr>
          <w:p w:rsidR="00147DA2" w:rsidRPr="008A1F52" w:rsidRDefault="00147DA2" w:rsidP="005C69BF">
            <w:pPr>
              <w:pStyle w:val="Tabletext"/>
              <w:jc w:val="center"/>
              <w:rPr>
                <w:rFonts w:eastAsia="SimSun"/>
              </w:rPr>
            </w:pPr>
            <w:r w:rsidRPr="008A1F52">
              <w:t>1 559.0</w:t>
            </w:r>
          </w:p>
        </w:tc>
        <w:tc>
          <w:tcPr>
            <w:tcW w:w="1061" w:type="dxa"/>
            <w:tcBorders>
              <w:top w:val="single" w:sz="2" w:space="0" w:color="000000"/>
              <w:left w:val="single" w:sz="2" w:space="0" w:color="000000"/>
              <w:bottom w:val="single" w:sz="4" w:space="0" w:color="auto"/>
              <w:right w:val="single" w:sz="2" w:space="0" w:color="000000"/>
            </w:tcBorders>
            <w:vAlign w:val="center"/>
          </w:tcPr>
          <w:p w:rsidR="00147DA2" w:rsidRPr="008A1F52" w:rsidRDefault="00147DA2" w:rsidP="005C69BF">
            <w:pPr>
              <w:pStyle w:val="Tabletext"/>
              <w:jc w:val="center"/>
              <w:rPr>
                <w:rFonts w:eastAsia="SimSun"/>
              </w:rPr>
            </w:pPr>
            <w:r w:rsidRPr="008A1F52">
              <w:t>1 626.5</w:t>
            </w:r>
          </w:p>
        </w:tc>
        <w:tc>
          <w:tcPr>
            <w:tcW w:w="993" w:type="dxa"/>
            <w:tcBorders>
              <w:top w:val="single" w:sz="2" w:space="0" w:color="000000"/>
              <w:left w:val="single" w:sz="2" w:space="0" w:color="000000"/>
              <w:bottom w:val="single" w:sz="4" w:space="0" w:color="auto"/>
              <w:right w:val="single" w:sz="2" w:space="0" w:color="000000"/>
            </w:tcBorders>
            <w:vAlign w:val="center"/>
          </w:tcPr>
          <w:p w:rsidR="00147DA2" w:rsidRPr="008A1F52" w:rsidRDefault="00147DA2" w:rsidP="005C69BF">
            <w:pPr>
              <w:pStyle w:val="Tabletext"/>
              <w:jc w:val="center"/>
              <w:rPr>
                <w:rFonts w:eastAsia="SimSun"/>
              </w:rPr>
            </w:pPr>
            <w:r w:rsidRPr="008A1F52">
              <w:t>1 660.5</w:t>
            </w:r>
          </w:p>
        </w:tc>
      </w:tr>
      <w:tr w:rsidR="00147DA2" w:rsidRPr="000D0469" w:rsidTr="005C69BF">
        <w:trPr>
          <w:trHeight w:val="334"/>
          <w:jc w:val="center"/>
        </w:trPr>
        <w:tc>
          <w:tcPr>
            <w:tcW w:w="9286" w:type="dxa"/>
            <w:gridSpan w:val="7"/>
            <w:tcBorders>
              <w:top w:val="single" w:sz="4" w:space="0" w:color="auto"/>
            </w:tcBorders>
          </w:tcPr>
          <w:p w:rsidR="00147DA2" w:rsidRPr="00147DA2" w:rsidRDefault="00147DA2" w:rsidP="00147DA2">
            <w:pPr>
              <w:pStyle w:val="Tabletext"/>
              <w:rPr>
                <w:rFonts w:eastAsia="MS Mincho"/>
                <w:lang w:val="en-US"/>
              </w:rPr>
            </w:pPr>
            <w:r w:rsidRPr="00147DA2">
              <w:rPr>
                <w:lang w:val="en-US"/>
              </w:rPr>
              <w:t>NOTE 1 – For further details on these MSS systems refer to Report ITU-R M.2149.</w:t>
            </w:r>
          </w:p>
          <w:p w:rsidR="00147DA2" w:rsidRPr="00147DA2" w:rsidRDefault="00147DA2" w:rsidP="00147DA2">
            <w:pPr>
              <w:pStyle w:val="Tabletext"/>
              <w:rPr>
                <w:lang w:val="en-US"/>
              </w:rPr>
            </w:pPr>
            <w:r w:rsidRPr="00147DA2">
              <w:rPr>
                <w:lang w:val="en-US"/>
              </w:rPr>
              <w:t>NOTE 2 – There may be other MSS systems in the future, in these or other frequency bands.</w:t>
            </w:r>
          </w:p>
          <w:p w:rsidR="00147DA2" w:rsidRPr="00147DA2" w:rsidRDefault="00147DA2" w:rsidP="000D0469">
            <w:pPr>
              <w:pStyle w:val="Tabletext"/>
              <w:rPr>
                <w:lang w:val="en-US"/>
              </w:rPr>
            </w:pPr>
            <w:r w:rsidRPr="00147DA2">
              <w:rPr>
                <w:lang w:val="en-US"/>
              </w:rPr>
              <w:t>NOTE 3 – Within the European Union, Solaris Mobile operates only in the bands 2</w:t>
            </w:r>
            <w:r w:rsidR="000D0469">
              <w:rPr>
                <w:lang w:val="en-US"/>
              </w:rPr>
              <w:t> </w:t>
            </w:r>
            <w:r w:rsidRPr="00147DA2">
              <w:rPr>
                <w:lang w:val="en-US"/>
              </w:rPr>
              <w:t>185-2</w:t>
            </w:r>
            <w:r w:rsidR="000D0469">
              <w:rPr>
                <w:lang w:val="en-US"/>
              </w:rPr>
              <w:t> </w:t>
            </w:r>
            <w:r w:rsidRPr="00147DA2">
              <w:rPr>
                <w:lang w:val="en-US"/>
              </w:rPr>
              <w:t>200 MHz and 1 995-2 010 </w:t>
            </w:r>
            <w:proofErr w:type="spellStart"/>
            <w:r w:rsidRPr="00147DA2">
              <w:rPr>
                <w:lang w:val="en-US"/>
              </w:rPr>
              <w:t>MHz.</w:t>
            </w:r>
            <w:proofErr w:type="spellEnd"/>
          </w:p>
        </w:tc>
      </w:tr>
    </w:tbl>
    <w:p w:rsidR="00147DA2" w:rsidRDefault="00147DA2" w:rsidP="00147DA2">
      <w:pPr>
        <w:pStyle w:val="Tablefin"/>
      </w:pPr>
    </w:p>
    <w:p w:rsidR="00147DA2" w:rsidRDefault="00147DA2">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DE04F5" w:rsidRPr="0080075A" w:rsidRDefault="00DE04F5" w:rsidP="00DE04F5">
      <w:pPr>
        <w:rPr>
          <w:lang w:val="en-US"/>
        </w:rPr>
      </w:pPr>
      <w:r w:rsidRPr="0080075A">
        <w:rPr>
          <w:b/>
          <w:lang w:val="en-US"/>
        </w:rPr>
        <w:lastRenderedPageBreak/>
        <w:t>2</w:t>
      </w:r>
      <w:r w:rsidRPr="0080075A">
        <w:rPr>
          <w:lang w:val="en-US"/>
        </w:rPr>
        <w:tab/>
        <w:t>that operators of MSS systems are invited to use the common alerting protocol (CAP1.1) described in ITU-T Recommendation X.1303 and to follow up on the developments in this matter;</w:t>
      </w:r>
    </w:p>
    <w:p w:rsidR="00DE04F5" w:rsidRPr="0080075A" w:rsidRDefault="00DE04F5" w:rsidP="00FA2855">
      <w:pPr>
        <w:rPr>
          <w:lang w:val="en-US"/>
        </w:rPr>
      </w:pPr>
      <w:r w:rsidRPr="0080075A">
        <w:rPr>
          <w:b/>
          <w:lang w:val="en-US"/>
        </w:rPr>
        <w:t>3</w:t>
      </w:r>
      <w:r w:rsidRPr="0080075A">
        <w:rPr>
          <w:lang w:val="en-US"/>
        </w:rPr>
        <w:tab/>
        <w:t xml:space="preserve">that the use of MSS capabilities for emergencies and disaster relief operations should be pre-planned between administrations and MSS operators/service providers to ensure prompt availability of MSS services in the event of disaster, taking account of the Resolutions referred to in </w:t>
      </w:r>
      <w:r w:rsidRPr="0080075A">
        <w:rPr>
          <w:i/>
          <w:lang w:val="en-US"/>
        </w:rPr>
        <w:t>recognizing</w:t>
      </w:r>
      <w:r w:rsidRPr="0080075A">
        <w:rPr>
          <w:iCs/>
          <w:lang w:val="en-US"/>
        </w:rPr>
        <w:t> d)</w:t>
      </w:r>
      <w:r w:rsidRPr="0080075A">
        <w:rPr>
          <w:lang w:val="en-US"/>
        </w:rPr>
        <w:t xml:space="preserve">; </w:t>
      </w:r>
    </w:p>
    <w:p w:rsidR="00DE04F5" w:rsidRPr="0080075A" w:rsidRDefault="00DE04F5" w:rsidP="00DE04F5">
      <w:pPr>
        <w:rPr>
          <w:lang w:val="en-US"/>
        </w:rPr>
      </w:pPr>
      <w:r w:rsidRPr="0080075A">
        <w:rPr>
          <w:b/>
          <w:lang w:val="en-US"/>
        </w:rPr>
        <w:t>4</w:t>
      </w:r>
      <w:r w:rsidRPr="0080075A">
        <w:rPr>
          <w:b/>
          <w:lang w:val="en-US"/>
        </w:rPr>
        <w:tab/>
      </w:r>
      <w:r w:rsidRPr="0080075A">
        <w:rPr>
          <w:lang w:val="en-US"/>
        </w:rPr>
        <w:t>that operators of MSS systems are encouraged to continue working with ITU in relation to emergencies and disaster relief.</w:t>
      </w:r>
    </w:p>
    <w:p w:rsidR="00DE04F5" w:rsidRPr="009C72BE" w:rsidRDefault="00DE04F5" w:rsidP="007460ED">
      <w:pPr>
        <w:spacing w:before="0"/>
        <w:jc w:val="center"/>
        <w:rPr>
          <w:lang w:eastAsia="zh-CN"/>
        </w:rPr>
      </w:pPr>
      <w:r w:rsidRPr="009C72BE">
        <w:t>________________</w:t>
      </w:r>
    </w:p>
    <w:sectPr w:rsidR="00DE04F5" w:rsidRPr="009C72BE" w:rsidSect="00FB399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3CA" w:rsidRDefault="00E573CA">
      <w:r>
        <w:separator/>
      </w:r>
    </w:p>
  </w:endnote>
  <w:endnote w:type="continuationSeparator" w:id="0">
    <w:p w:rsidR="00E573CA" w:rsidRDefault="00E5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3CA" w:rsidRDefault="00E573CA">
      <w:r>
        <w:separator/>
      </w:r>
    </w:p>
  </w:footnote>
  <w:footnote w:type="continuationSeparator" w:id="0">
    <w:p w:rsidR="00E573CA" w:rsidRDefault="00E57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14" w:rsidRDefault="0005441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14" w:rsidRDefault="008D5855" w:rsidP="0077550A">
    <w:pPr>
      <w:pStyle w:val="Header"/>
      <w:ind w:right="360" w:firstLine="360"/>
    </w:pPr>
    <w:r>
      <w:rPr>
        <w:noProof/>
        <w:lang w:val="en-US" w:eastAsia="zh-CN"/>
      </w:rPr>
      <w:drawing>
        <wp:anchor distT="0" distB="0" distL="114300" distR="114300" simplePos="0" relativeHeight="251657728" behindDoc="1" locked="0" layoutInCell="1" allowOverlap="1" wp14:anchorId="7852982E" wp14:editId="13A5090F">
          <wp:simplePos x="0" y="0"/>
          <wp:positionH relativeFrom="page">
            <wp:posOffset>0</wp:posOffset>
          </wp:positionH>
          <wp:positionV relativeFrom="page">
            <wp:posOffset>0</wp:posOffset>
          </wp:positionV>
          <wp:extent cx="7578725" cy="10724515"/>
          <wp:effectExtent l="0" t="0" r="3175" b="635"/>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14" w:rsidRPr="00FC42AF" w:rsidRDefault="0005441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C12B4">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9C12B4">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C12B4">
      <w:rPr>
        <w:b/>
        <w:bCs/>
        <w:noProof/>
      </w:rPr>
      <w:t>ITU-R  M.1854-1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14" w:rsidRDefault="00054414">
    <w:pPr>
      <w:pStyle w:val="Header"/>
    </w:pPr>
    <w:r>
      <w:tab/>
    </w:r>
    <w:r>
      <w:rPr>
        <w:b/>
        <w:bCs/>
      </w:rPr>
      <w:fldChar w:fldCharType="begin"/>
    </w:r>
    <w:r>
      <w:rPr>
        <w:b/>
        <w:bCs/>
      </w:rPr>
      <w:instrText xml:space="preserve"> DOCPROPERTY "Header" \* MERGEFORMAT </w:instrText>
    </w:r>
    <w:r>
      <w:rPr>
        <w:b/>
        <w:bCs/>
      </w:rPr>
      <w:fldChar w:fldCharType="separate"/>
    </w:r>
    <w:r w:rsidR="009C12B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C12B4">
      <w:rPr>
        <w:b/>
        <w:bCs/>
        <w:noProof/>
      </w:rPr>
      <w:t>ITU-R  M.1854-1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14" w:rsidRDefault="000544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C12B4">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9C12B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9C12B4">
      <w:rPr>
        <w:b/>
        <w:bCs/>
        <w:noProof/>
      </w:rPr>
      <w:t>ITU-R  M.1854-1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14" w:rsidRDefault="00054414">
    <w:pPr>
      <w:pStyle w:val="Header"/>
    </w:pPr>
    <w:r>
      <w:tab/>
    </w:r>
    <w:r>
      <w:rPr>
        <w:b/>
        <w:bCs/>
      </w:rPr>
      <w:fldChar w:fldCharType="begin"/>
    </w:r>
    <w:r>
      <w:rPr>
        <w:b/>
        <w:bCs/>
      </w:rPr>
      <w:instrText xml:space="preserve"> DOCPROPERTY "Header" \* MERGEFORMAT </w:instrText>
    </w:r>
    <w:r>
      <w:rPr>
        <w:b/>
        <w:bCs/>
      </w:rPr>
      <w:fldChar w:fldCharType="separate"/>
    </w:r>
    <w:r w:rsidR="009C12B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C12B4">
      <w:rPr>
        <w:b/>
        <w:bCs/>
        <w:noProof/>
      </w:rPr>
      <w:t>ITU-R  M.1854-1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C12B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F5"/>
    <w:rsid w:val="00005085"/>
    <w:rsid w:val="00054414"/>
    <w:rsid w:val="000D0469"/>
    <w:rsid w:val="00147DA2"/>
    <w:rsid w:val="001B68B3"/>
    <w:rsid w:val="002D76C4"/>
    <w:rsid w:val="002E5C3D"/>
    <w:rsid w:val="003844F5"/>
    <w:rsid w:val="00607D68"/>
    <w:rsid w:val="0061304E"/>
    <w:rsid w:val="007460ED"/>
    <w:rsid w:val="007468DA"/>
    <w:rsid w:val="0077550A"/>
    <w:rsid w:val="00781787"/>
    <w:rsid w:val="0080075A"/>
    <w:rsid w:val="008D5855"/>
    <w:rsid w:val="008E604D"/>
    <w:rsid w:val="00984F7F"/>
    <w:rsid w:val="009C12B4"/>
    <w:rsid w:val="00A145D0"/>
    <w:rsid w:val="00A6617B"/>
    <w:rsid w:val="00AB0DC8"/>
    <w:rsid w:val="00AE5D51"/>
    <w:rsid w:val="00AF171F"/>
    <w:rsid w:val="00B44E24"/>
    <w:rsid w:val="00B5180F"/>
    <w:rsid w:val="00B57BD7"/>
    <w:rsid w:val="00C4123F"/>
    <w:rsid w:val="00DE04F5"/>
    <w:rsid w:val="00DF4176"/>
    <w:rsid w:val="00E573CA"/>
    <w:rsid w:val="00F705B4"/>
    <w:rsid w:val="00FA2855"/>
    <w:rsid w:val="00FB2723"/>
    <w:rsid w:val="00FB399E"/>
    <w:rsid w:val="00FF06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1265"/>
    <o:shapelayout v:ext="edit">
      <o:idmap v:ext="edit" data="1"/>
    </o:shapelayout>
  </w:shapeDefaults>
  <w:decimalSymbol w:val=","/>
  <w:listSeparator w:val=";"/>
  <w15:docId w15:val="{AA9F22CA-0BD9-467D-ABA8-E8FEB257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7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0075A"/>
    <w:pPr>
      <w:keepNext/>
      <w:keepLines/>
      <w:spacing w:before="480"/>
      <w:ind w:left="794" w:hanging="794"/>
      <w:outlineLvl w:val="0"/>
    </w:pPr>
    <w:rPr>
      <w:b/>
    </w:rPr>
  </w:style>
  <w:style w:type="paragraph" w:styleId="Heading2">
    <w:name w:val="heading 2"/>
    <w:basedOn w:val="Heading1"/>
    <w:next w:val="Normal"/>
    <w:qFormat/>
    <w:rsid w:val="0080075A"/>
    <w:pPr>
      <w:spacing w:before="320"/>
      <w:outlineLvl w:val="1"/>
    </w:pPr>
  </w:style>
  <w:style w:type="paragraph" w:styleId="Heading3">
    <w:name w:val="heading 3"/>
    <w:basedOn w:val="Heading1"/>
    <w:next w:val="Normal"/>
    <w:qFormat/>
    <w:rsid w:val="0080075A"/>
    <w:pPr>
      <w:spacing w:before="200"/>
      <w:outlineLvl w:val="2"/>
    </w:pPr>
  </w:style>
  <w:style w:type="paragraph" w:styleId="Heading4">
    <w:name w:val="heading 4"/>
    <w:basedOn w:val="Heading3"/>
    <w:next w:val="Normal"/>
    <w:qFormat/>
    <w:rsid w:val="0080075A"/>
    <w:pPr>
      <w:tabs>
        <w:tab w:val="clear" w:pos="794"/>
        <w:tab w:val="left" w:pos="992"/>
      </w:tabs>
      <w:ind w:left="992" w:hanging="992"/>
      <w:outlineLvl w:val="3"/>
    </w:pPr>
  </w:style>
  <w:style w:type="paragraph" w:styleId="Heading5">
    <w:name w:val="heading 5"/>
    <w:basedOn w:val="Heading4"/>
    <w:next w:val="Normal"/>
    <w:qFormat/>
    <w:rsid w:val="0080075A"/>
    <w:pPr>
      <w:outlineLvl w:val="4"/>
    </w:pPr>
  </w:style>
  <w:style w:type="paragraph" w:styleId="Heading6">
    <w:name w:val="heading 6"/>
    <w:basedOn w:val="Heading4"/>
    <w:next w:val="Normal"/>
    <w:qFormat/>
    <w:rsid w:val="0080075A"/>
    <w:pPr>
      <w:tabs>
        <w:tab w:val="clear" w:pos="992"/>
        <w:tab w:val="clear" w:pos="1191"/>
      </w:tabs>
      <w:ind w:left="1588" w:hanging="1588"/>
      <w:outlineLvl w:val="5"/>
    </w:pPr>
  </w:style>
  <w:style w:type="paragraph" w:styleId="Heading7">
    <w:name w:val="heading 7"/>
    <w:basedOn w:val="Heading6"/>
    <w:next w:val="Normal"/>
    <w:qFormat/>
    <w:rsid w:val="0080075A"/>
    <w:pPr>
      <w:outlineLvl w:val="6"/>
    </w:pPr>
  </w:style>
  <w:style w:type="paragraph" w:styleId="Heading8">
    <w:name w:val="heading 8"/>
    <w:basedOn w:val="Heading6"/>
    <w:next w:val="Normal"/>
    <w:qFormat/>
    <w:rsid w:val="0080075A"/>
    <w:pPr>
      <w:outlineLvl w:val="7"/>
    </w:pPr>
  </w:style>
  <w:style w:type="paragraph" w:styleId="Heading9">
    <w:name w:val="heading 9"/>
    <w:basedOn w:val="Heading6"/>
    <w:next w:val="Normal"/>
    <w:qFormat/>
    <w:rsid w:val="008007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8007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007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0075A"/>
  </w:style>
  <w:style w:type="paragraph" w:customStyle="1" w:styleId="Headingb">
    <w:name w:val="Heading_b"/>
    <w:basedOn w:val="Heading3"/>
    <w:next w:val="Normal"/>
    <w:link w:val="HeadingbChar"/>
    <w:rsid w:val="0080075A"/>
    <w:pPr>
      <w:spacing w:before="160"/>
      <w:ind w:left="0" w:firstLine="0"/>
      <w:outlineLvl w:val="9"/>
    </w:pPr>
  </w:style>
  <w:style w:type="paragraph" w:customStyle="1" w:styleId="Headingi">
    <w:name w:val="Heading_i"/>
    <w:basedOn w:val="Heading3"/>
    <w:next w:val="Normal"/>
    <w:rsid w:val="0080075A"/>
    <w:pPr>
      <w:spacing w:before="160"/>
      <w:ind w:left="0" w:firstLine="0"/>
    </w:pPr>
    <w:rPr>
      <w:b w:val="0"/>
      <w:i/>
    </w:rPr>
  </w:style>
  <w:style w:type="character" w:customStyle="1" w:styleId="href">
    <w:name w:val="href"/>
    <w:basedOn w:val="DefaultParagraphFont"/>
    <w:rsid w:val="0080075A"/>
  </w:style>
  <w:style w:type="paragraph" w:customStyle="1" w:styleId="enumlev1">
    <w:name w:val="enumlev1"/>
    <w:basedOn w:val="Normal"/>
    <w:link w:val="enumlev10"/>
    <w:rsid w:val="0080075A"/>
    <w:pPr>
      <w:spacing w:before="80"/>
      <w:ind w:left="794" w:hanging="794"/>
    </w:pPr>
  </w:style>
  <w:style w:type="paragraph" w:customStyle="1" w:styleId="enumlev2">
    <w:name w:val="enumlev2"/>
    <w:basedOn w:val="enumlev1"/>
    <w:rsid w:val="0080075A"/>
    <w:pPr>
      <w:ind w:left="1191" w:hanging="397"/>
    </w:pPr>
  </w:style>
  <w:style w:type="paragraph" w:customStyle="1" w:styleId="enumlev3">
    <w:name w:val="enumlev3"/>
    <w:basedOn w:val="enumlev2"/>
    <w:rsid w:val="0080075A"/>
    <w:pPr>
      <w:ind w:left="1588"/>
    </w:pPr>
  </w:style>
  <w:style w:type="paragraph" w:customStyle="1" w:styleId="Normalaftertitle">
    <w:name w:val="Normal_after_title"/>
    <w:basedOn w:val="Normal"/>
    <w:next w:val="Normal"/>
    <w:rsid w:val="0080075A"/>
    <w:pPr>
      <w:spacing w:before="320"/>
    </w:pPr>
  </w:style>
  <w:style w:type="paragraph" w:customStyle="1" w:styleId="Note">
    <w:name w:val="Note"/>
    <w:basedOn w:val="Normal"/>
    <w:rsid w:val="0080075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007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0075A"/>
    <w:pPr>
      <w:spacing w:before="240"/>
    </w:pPr>
    <w:rPr>
      <w:sz w:val="22"/>
      <w:lang w:val="es-ES_tradnl"/>
    </w:rPr>
  </w:style>
  <w:style w:type="paragraph" w:customStyle="1" w:styleId="Recref">
    <w:name w:val="Rec_ref"/>
    <w:basedOn w:val="Normal"/>
    <w:next w:val="Recdate"/>
    <w:rsid w:val="0080075A"/>
    <w:pPr>
      <w:jc w:val="center"/>
    </w:pPr>
  </w:style>
  <w:style w:type="paragraph" w:customStyle="1" w:styleId="Recdate">
    <w:name w:val="Rec_date"/>
    <w:basedOn w:val="Recref"/>
    <w:next w:val="Normalaftertitle"/>
    <w:rsid w:val="0080075A"/>
    <w:pPr>
      <w:jc w:val="right"/>
    </w:pPr>
  </w:style>
  <w:style w:type="paragraph" w:customStyle="1" w:styleId="AnnexNoTitle">
    <w:name w:val="Annex_NoTitle"/>
    <w:basedOn w:val="Normal"/>
    <w:next w:val="Normalaftertitle"/>
    <w:rsid w:val="0080075A"/>
    <w:pPr>
      <w:keepNext/>
      <w:keepLines/>
      <w:spacing w:before="480" w:after="80"/>
      <w:jc w:val="center"/>
    </w:pPr>
    <w:rPr>
      <w:b/>
      <w:sz w:val="28"/>
    </w:rPr>
  </w:style>
  <w:style w:type="paragraph" w:customStyle="1" w:styleId="AppendixNoTitle">
    <w:name w:val="Appendix_NoTitle"/>
    <w:basedOn w:val="AnnexNoTitle"/>
    <w:next w:val="Normal"/>
    <w:rsid w:val="0080075A"/>
  </w:style>
  <w:style w:type="paragraph" w:customStyle="1" w:styleId="Tablefin">
    <w:name w:val="Table_fin"/>
    <w:basedOn w:val="Normal"/>
    <w:next w:val="Normal"/>
    <w:rsid w:val="0080075A"/>
    <w:pPr>
      <w:spacing w:before="0"/>
    </w:pPr>
    <w:rPr>
      <w:sz w:val="20"/>
      <w:lang w:val="en-GB"/>
    </w:rPr>
  </w:style>
  <w:style w:type="paragraph" w:customStyle="1" w:styleId="Tablehead">
    <w:name w:val="Table_head"/>
    <w:basedOn w:val="Normal"/>
    <w:next w:val="Normal"/>
    <w:uiPriority w:val="99"/>
    <w:rsid w:val="008007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8007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80075A"/>
    <w:pPr>
      <w:keepNext/>
      <w:spacing w:before="360" w:after="120"/>
      <w:jc w:val="center"/>
    </w:pPr>
  </w:style>
  <w:style w:type="paragraph" w:customStyle="1" w:styleId="Tabletext">
    <w:name w:val="Table_text"/>
    <w:basedOn w:val="Normal"/>
    <w:uiPriority w:val="99"/>
    <w:rsid w:val="008007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0075A"/>
    <w:pPr>
      <w:tabs>
        <w:tab w:val="clear" w:pos="1191"/>
        <w:tab w:val="clear" w:pos="1588"/>
        <w:tab w:val="clear" w:pos="1985"/>
        <w:tab w:val="center" w:pos="4820"/>
        <w:tab w:val="right" w:pos="9639"/>
      </w:tabs>
    </w:pPr>
  </w:style>
  <w:style w:type="paragraph" w:customStyle="1" w:styleId="Equationlegend">
    <w:name w:val="Equation_legend"/>
    <w:basedOn w:val="NormalIndent"/>
    <w:rsid w:val="008007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0075A"/>
    <w:pPr>
      <w:ind w:left="794"/>
    </w:pPr>
  </w:style>
  <w:style w:type="paragraph" w:customStyle="1" w:styleId="Figurelegend">
    <w:name w:val="Figure_legend"/>
    <w:basedOn w:val="Normal"/>
    <w:rsid w:val="008007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0075A"/>
    <w:pPr>
      <w:keepNext/>
      <w:keepLines/>
      <w:spacing w:before="480" w:after="80"/>
      <w:jc w:val="center"/>
    </w:pPr>
    <w:rPr>
      <w:caps/>
      <w:sz w:val="18"/>
    </w:rPr>
  </w:style>
  <w:style w:type="paragraph" w:customStyle="1" w:styleId="tocpart">
    <w:name w:val="tocpart"/>
    <w:basedOn w:val="Normal"/>
    <w:rsid w:val="008007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075A"/>
    <w:pPr>
      <w:keepNext/>
      <w:keepLines/>
      <w:spacing w:before="480"/>
      <w:jc w:val="center"/>
    </w:pPr>
    <w:rPr>
      <w:sz w:val="28"/>
    </w:rPr>
  </w:style>
  <w:style w:type="paragraph" w:customStyle="1" w:styleId="Arttitle">
    <w:name w:val="Art_title"/>
    <w:basedOn w:val="Normal"/>
    <w:next w:val="Normalaftertitle"/>
    <w:rsid w:val="0080075A"/>
    <w:pPr>
      <w:keepNext/>
      <w:keepLines/>
      <w:spacing w:before="240"/>
      <w:jc w:val="center"/>
    </w:pPr>
    <w:rPr>
      <w:b/>
      <w:sz w:val="28"/>
    </w:rPr>
  </w:style>
  <w:style w:type="paragraph" w:customStyle="1" w:styleId="Blanc">
    <w:name w:val="Blanc"/>
    <w:basedOn w:val="Normal"/>
    <w:next w:val="Tabletext"/>
    <w:rsid w:val="008007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007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0075A"/>
    <w:pPr>
      <w:keepNext/>
      <w:keepLines/>
      <w:spacing w:before="160"/>
      <w:ind w:left="794"/>
    </w:pPr>
    <w:rPr>
      <w:i/>
    </w:rPr>
  </w:style>
  <w:style w:type="paragraph" w:customStyle="1" w:styleId="ChapNo">
    <w:name w:val="Chap_No"/>
    <w:basedOn w:val="ArtNo"/>
    <w:next w:val="Chaptitle"/>
    <w:rsid w:val="0080075A"/>
    <w:rPr>
      <w:b/>
    </w:rPr>
  </w:style>
  <w:style w:type="paragraph" w:customStyle="1" w:styleId="Chaptitle">
    <w:name w:val="Chap_title"/>
    <w:basedOn w:val="Arttitle"/>
    <w:next w:val="Normalaftertitle"/>
    <w:rsid w:val="0080075A"/>
  </w:style>
  <w:style w:type="character" w:styleId="FootnoteReference">
    <w:name w:val="footnote reference"/>
    <w:basedOn w:val="DefaultParagraphFont"/>
    <w:semiHidden/>
    <w:rsid w:val="0080075A"/>
    <w:rPr>
      <w:position w:val="6"/>
      <w:sz w:val="18"/>
    </w:rPr>
  </w:style>
  <w:style w:type="paragraph" w:styleId="FootnoteText">
    <w:name w:val="footnote text"/>
    <w:basedOn w:val="Normal"/>
    <w:semiHidden/>
    <w:rsid w:val="0080075A"/>
    <w:pPr>
      <w:keepLines/>
      <w:tabs>
        <w:tab w:val="left" w:pos="255"/>
      </w:tabs>
      <w:ind w:left="255" w:hanging="255"/>
    </w:pPr>
    <w:rPr>
      <w:sz w:val="22"/>
    </w:rPr>
  </w:style>
  <w:style w:type="paragraph" w:styleId="Index1">
    <w:name w:val="index 1"/>
    <w:basedOn w:val="Normal"/>
    <w:next w:val="Normal"/>
    <w:semiHidden/>
    <w:rsid w:val="0080075A"/>
  </w:style>
  <w:style w:type="paragraph" w:styleId="Index2">
    <w:name w:val="index 2"/>
    <w:basedOn w:val="Normal"/>
    <w:next w:val="Normal"/>
    <w:semiHidden/>
    <w:rsid w:val="0080075A"/>
    <w:pPr>
      <w:ind w:left="283"/>
    </w:pPr>
  </w:style>
  <w:style w:type="paragraph" w:styleId="Index3">
    <w:name w:val="index 3"/>
    <w:basedOn w:val="Normal"/>
    <w:next w:val="Normal"/>
    <w:semiHidden/>
    <w:rsid w:val="0080075A"/>
    <w:pPr>
      <w:ind w:left="566"/>
    </w:pPr>
  </w:style>
  <w:style w:type="paragraph" w:styleId="IndexHeading">
    <w:name w:val="index heading"/>
    <w:basedOn w:val="Normal"/>
    <w:next w:val="Index1"/>
    <w:semiHidden/>
    <w:rsid w:val="0080075A"/>
  </w:style>
  <w:style w:type="paragraph" w:customStyle="1" w:styleId="Line">
    <w:name w:val="Line"/>
    <w:basedOn w:val="Normal"/>
    <w:next w:val="Normal"/>
    <w:rsid w:val="008007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007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075A"/>
  </w:style>
  <w:style w:type="paragraph" w:customStyle="1" w:styleId="Partref">
    <w:name w:val="Part_ref"/>
    <w:basedOn w:val="Normal"/>
    <w:next w:val="Normal"/>
    <w:rsid w:val="0080075A"/>
    <w:pPr>
      <w:keepNext/>
      <w:keepLines/>
      <w:spacing w:after="280"/>
      <w:jc w:val="center"/>
    </w:pPr>
  </w:style>
  <w:style w:type="paragraph" w:customStyle="1" w:styleId="Parttitle">
    <w:name w:val="Part_title"/>
    <w:basedOn w:val="Normal"/>
    <w:next w:val="Normalaftertitle"/>
    <w:rsid w:val="008007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075A"/>
  </w:style>
  <w:style w:type="paragraph" w:customStyle="1" w:styleId="QuestionNo">
    <w:name w:val="Question_No"/>
    <w:basedOn w:val="RecNo"/>
    <w:next w:val="Normal"/>
    <w:rsid w:val="0080075A"/>
  </w:style>
  <w:style w:type="paragraph" w:customStyle="1" w:styleId="Questionref">
    <w:name w:val="Question_ref"/>
    <w:basedOn w:val="Recref"/>
    <w:next w:val="Questiondate"/>
    <w:rsid w:val="0080075A"/>
  </w:style>
  <w:style w:type="paragraph" w:customStyle="1" w:styleId="Questiontitle">
    <w:name w:val="Question_title"/>
    <w:basedOn w:val="Normal"/>
    <w:next w:val="Questionref"/>
    <w:rsid w:val="0080075A"/>
  </w:style>
  <w:style w:type="paragraph" w:customStyle="1" w:styleId="Reftext">
    <w:name w:val="Ref_text"/>
    <w:basedOn w:val="Normal"/>
    <w:rsid w:val="0080075A"/>
    <w:pPr>
      <w:ind w:left="794" w:hanging="794"/>
    </w:pPr>
    <w:rPr>
      <w:sz w:val="22"/>
    </w:rPr>
  </w:style>
  <w:style w:type="paragraph" w:customStyle="1" w:styleId="Reftitle">
    <w:name w:val="Ref_title"/>
    <w:basedOn w:val="Normal"/>
    <w:next w:val="Reftext"/>
    <w:rsid w:val="008007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075A"/>
  </w:style>
  <w:style w:type="paragraph" w:customStyle="1" w:styleId="RepNo">
    <w:name w:val="Rep_No"/>
    <w:basedOn w:val="RecNo"/>
    <w:next w:val="Reptitle"/>
    <w:rsid w:val="0080075A"/>
  </w:style>
  <w:style w:type="paragraph" w:customStyle="1" w:styleId="Repref">
    <w:name w:val="Rep_ref"/>
    <w:basedOn w:val="Recref"/>
    <w:next w:val="Repdate"/>
    <w:rsid w:val="0080075A"/>
  </w:style>
  <w:style w:type="paragraph" w:customStyle="1" w:styleId="Reptitle">
    <w:name w:val="Rep_title"/>
    <w:basedOn w:val="Rectitle"/>
    <w:next w:val="Repref"/>
    <w:rsid w:val="0080075A"/>
  </w:style>
  <w:style w:type="paragraph" w:customStyle="1" w:styleId="Resdate">
    <w:name w:val="Res_date"/>
    <w:basedOn w:val="Recdate"/>
    <w:next w:val="Normalaftertitle"/>
    <w:rsid w:val="0080075A"/>
  </w:style>
  <w:style w:type="paragraph" w:customStyle="1" w:styleId="ResNo">
    <w:name w:val="Res_No"/>
    <w:basedOn w:val="RecNo"/>
    <w:next w:val="Restitle"/>
    <w:rsid w:val="0080075A"/>
  </w:style>
  <w:style w:type="paragraph" w:customStyle="1" w:styleId="Resref">
    <w:name w:val="Res_ref"/>
    <w:basedOn w:val="Recref"/>
    <w:next w:val="Resdate"/>
    <w:rsid w:val="0080075A"/>
  </w:style>
  <w:style w:type="paragraph" w:customStyle="1" w:styleId="Restitle">
    <w:name w:val="Res_title"/>
    <w:basedOn w:val="Normal"/>
    <w:next w:val="Resref"/>
    <w:rsid w:val="0080075A"/>
    <w:pPr>
      <w:spacing w:before="240"/>
      <w:jc w:val="center"/>
    </w:pPr>
    <w:rPr>
      <w:b/>
      <w:sz w:val="28"/>
    </w:rPr>
  </w:style>
  <w:style w:type="paragraph" w:customStyle="1" w:styleId="SectionNo">
    <w:name w:val="Section_No"/>
    <w:basedOn w:val="Normal"/>
    <w:next w:val="Normal"/>
    <w:rsid w:val="0080075A"/>
  </w:style>
  <w:style w:type="paragraph" w:customStyle="1" w:styleId="Sectiontitle">
    <w:name w:val="Section_title"/>
    <w:basedOn w:val="Normal"/>
    <w:next w:val="Normalaftertitle"/>
    <w:rsid w:val="008007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075A"/>
    <w:pPr>
      <w:tabs>
        <w:tab w:val="clear" w:pos="794"/>
        <w:tab w:val="clear" w:pos="1191"/>
        <w:tab w:val="clear" w:pos="1588"/>
        <w:tab w:val="clear" w:pos="1985"/>
        <w:tab w:val="right" w:pos="9611"/>
      </w:tabs>
    </w:pPr>
    <w:rPr>
      <w:i/>
    </w:rPr>
  </w:style>
  <w:style w:type="paragraph" w:styleId="TOC1">
    <w:name w:val="toc 1"/>
    <w:basedOn w:val="Normal"/>
    <w:semiHidden/>
    <w:rsid w:val="008007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0075A"/>
    <w:pPr>
      <w:tabs>
        <w:tab w:val="clear" w:pos="567"/>
        <w:tab w:val="left" w:pos="1276"/>
      </w:tabs>
      <w:spacing w:before="160"/>
      <w:ind w:left="1276" w:hanging="709"/>
    </w:pPr>
  </w:style>
  <w:style w:type="paragraph" w:styleId="TOC3">
    <w:name w:val="toc 3"/>
    <w:basedOn w:val="TOC2"/>
    <w:semiHidden/>
    <w:rsid w:val="0080075A"/>
    <w:pPr>
      <w:tabs>
        <w:tab w:val="clear" w:pos="1276"/>
        <w:tab w:val="left" w:pos="2155"/>
      </w:tabs>
      <w:ind w:left="2155" w:hanging="879"/>
    </w:pPr>
  </w:style>
  <w:style w:type="paragraph" w:styleId="TOC4">
    <w:name w:val="toc 4"/>
    <w:basedOn w:val="TOC3"/>
    <w:semiHidden/>
    <w:rsid w:val="0080075A"/>
    <w:pPr>
      <w:tabs>
        <w:tab w:val="left" w:pos="3261"/>
      </w:tabs>
      <w:spacing w:before="80"/>
      <w:ind w:left="3261" w:hanging="993"/>
    </w:pPr>
  </w:style>
  <w:style w:type="paragraph" w:styleId="TOC5">
    <w:name w:val="toc 5"/>
    <w:basedOn w:val="TOC4"/>
    <w:semiHidden/>
    <w:rsid w:val="0080075A"/>
  </w:style>
  <w:style w:type="paragraph" w:styleId="TOC6">
    <w:name w:val="toc 6"/>
    <w:basedOn w:val="TOC4"/>
    <w:semiHidden/>
    <w:rsid w:val="0080075A"/>
  </w:style>
  <w:style w:type="paragraph" w:styleId="TOC7">
    <w:name w:val="toc 7"/>
    <w:basedOn w:val="TOC4"/>
    <w:semiHidden/>
    <w:rsid w:val="0080075A"/>
  </w:style>
  <w:style w:type="paragraph" w:styleId="TOC8">
    <w:name w:val="toc 8"/>
    <w:basedOn w:val="TOC4"/>
    <w:semiHidden/>
    <w:rsid w:val="0080075A"/>
  </w:style>
  <w:style w:type="paragraph" w:customStyle="1" w:styleId="Rectitle">
    <w:name w:val="Rec_title"/>
    <w:basedOn w:val="Normal"/>
    <w:next w:val="Recref"/>
    <w:rsid w:val="0080075A"/>
    <w:pPr>
      <w:keepNext/>
      <w:keepLines/>
      <w:spacing w:before="240"/>
      <w:jc w:val="center"/>
    </w:pPr>
    <w:rPr>
      <w:b/>
      <w:sz w:val="28"/>
    </w:rPr>
  </w:style>
  <w:style w:type="paragraph" w:customStyle="1" w:styleId="Annexref">
    <w:name w:val="Annex_ref"/>
    <w:basedOn w:val="Normal"/>
    <w:next w:val="Normalaftertitle"/>
    <w:rsid w:val="0080075A"/>
    <w:pPr>
      <w:keepNext/>
      <w:keepLines/>
      <w:spacing w:after="280"/>
      <w:jc w:val="center"/>
    </w:pPr>
  </w:style>
  <w:style w:type="paragraph" w:customStyle="1" w:styleId="Appendixref">
    <w:name w:val="Appendix_ref"/>
    <w:basedOn w:val="Annexref"/>
    <w:next w:val="Normalaftertitle"/>
    <w:rsid w:val="0080075A"/>
  </w:style>
  <w:style w:type="paragraph" w:customStyle="1" w:styleId="Figuretitle">
    <w:name w:val="Figure_title"/>
    <w:basedOn w:val="Normal"/>
    <w:next w:val="Figure"/>
    <w:rsid w:val="008007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0075A"/>
    <w:pPr>
      <w:keepNext/>
      <w:spacing w:before="0" w:after="120"/>
      <w:jc w:val="center"/>
    </w:pPr>
    <w:rPr>
      <w:b/>
    </w:rPr>
  </w:style>
  <w:style w:type="paragraph" w:customStyle="1" w:styleId="Summary">
    <w:name w:val="Summary"/>
    <w:basedOn w:val="Normal"/>
    <w:next w:val="Normalaftertitle"/>
    <w:autoRedefine/>
    <w:rsid w:val="0080075A"/>
    <w:pPr>
      <w:spacing w:after="480"/>
    </w:pPr>
    <w:rPr>
      <w:sz w:val="22"/>
      <w:lang w:val="es-ES_tradnl"/>
    </w:rPr>
  </w:style>
  <w:style w:type="paragraph" w:customStyle="1" w:styleId="TableLegendNote">
    <w:name w:val="Table_Legend_Note"/>
    <w:basedOn w:val="Tablelegend"/>
    <w:next w:val="Tablelegend"/>
    <w:rsid w:val="0080075A"/>
    <w:pPr>
      <w:ind w:left="-85" w:firstLine="0"/>
    </w:pPr>
    <w:rPr>
      <w:lang w:val="en-US"/>
    </w:rPr>
  </w:style>
  <w:style w:type="paragraph" w:customStyle="1" w:styleId="Figure">
    <w:name w:val="Figure"/>
    <w:basedOn w:val="FigureNo"/>
    <w:next w:val="Normal"/>
    <w:rsid w:val="0080075A"/>
    <w:pPr>
      <w:keepNext w:val="0"/>
      <w:spacing w:before="0" w:after="240"/>
    </w:pPr>
  </w:style>
  <w:style w:type="character" w:customStyle="1" w:styleId="BalloonTextChar">
    <w:name w:val="Balloon Text Char"/>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rsid w:val="00DE04F5"/>
    <w:rPr>
      <w:color w:val="0000FF"/>
      <w:u w:val="single"/>
    </w:rPr>
  </w:style>
  <w:style w:type="character" w:customStyle="1" w:styleId="CallChar">
    <w:name w:val="Call Char"/>
    <w:link w:val="Call"/>
    <w:locked/>
    <w:rsid w:val="00DE04F5"/>
    <w:rPr>
      <w:i/>
      <w:sz w:val="24"/>
      <w:lang w:val="fr-FR" w:eastAsia="en-US"/>
    </w:rPr>
  </w:style>
  <w:style w:type="character" w:customStyle="1" w:styleId="enumlev10">
    <w:name w:val="enumlev1 Знак"/>
    <w:link w:val="enumlev1"/>
    <w:locked/>
    <w:rsid w:val="00DE04F5"/>
    <w:rPr>
      <w:sz w:val="24"/>
      <w:lang w:val="fr-FR" w:eastAsia="en-US"/>
    </w:rPr>
  </w:style>
  <w:style w:type="character" w:customStyle="1" w:styleId="TableNo0">
    <w:name w:val="Table_No Знак"/>
    <w:link w:val="TableNo"/>
    <w:uiPriority w:val="99"/>
    <w:locked/>
    <w:rsid w:val="00DE04F5"/>
    <w:rPr>
      <w:sz w:val="24"/>
      <w:lang w:val="fr-FR" w:eastAsia="en-US"/>
    </w:rPr>
  </w:style>
  <w:style w:type="character" w:customStyle="1" w:styleId="HeadingbChar">
    <w:name w:val="Heading_b Char"/>
    <w:link w:val="Headingb"/>
    <w:locked/>
    <w:rsid w:val="00DE04F5"/>
    <w:rPr>
      <w:b/>
      <w:sz w:val="24"/>
      <w:lang w:val="fr-FR" w:eastAsia="en-US"/>
    </w:rPr>
  </w:style>
  <w:style w:type="character" w:styleId="FollowedHyperlink">
    <w:name w:val="FollowedHyperlink"/>
    <w:rsid w:val="00B5180F"/>
    <w:rPr>
      <w:color w:val="800080"/>
      <w:u w:val="single"/>
    </w:rPr>
  </w:style>
  <w:style w:type="table" w:styleId="TableGrid">
    <w:name w:val="Table Grid"/>
    <w:basedOn w:val="TableNormal"/>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www.itu.int/en/ITU-D/Emergency-Telecommunications/Pages/PartneringforDisasterReduction.aspx"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ITU-R/space/res647/index.as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6</Pages>
  <Words>1737</Words>
  <Characters>9906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11620</CharactersWithSpaces>
  <SharedDoc>false</SharedDoc>
  <HLinks>
    <vt:vector size="24" baseType="variant">
      <vt:variant>
        <vt:i4>917505</vt:i4>
      </vt:variant>
      <vt:variant>
        <vt:i4>9</vt:i4>
      </vt:variant>
      <vt:variant>
        <vt:i4>0</vt:i4>
      </vt:variant>
      <vt:variant>
        <vt:i4>5</vt:i4>
      </vt:variant>
      <vt:variant>
        <vt:lpwstr>http://www.itu.int/ITU-D/emergencytelecoms/partnerships.html</vt:lpwstr>
      </vt:variant>
      <vt:variant>
        <vt:lpwstr/>
      </vt:variant>
      <vt:variant>
        <vt:i4>8323185</vt:i4>
      </vt:variant>
      <vt:variant>
        <vt:i4>6</vt:i4>
      </vt:variant>
      <vt:variant>
        <vt:i4>0</vt:i4>
      </vt:variant>
      <vt:variant>
        <vt:i4>5</vt:i4>
      </vt:variant>
      <vt:variant>
        <vt:lpwstr>http://www.itu.int/ITU-R/space/res647/index.asp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03.11.09/SC_x000d_
1er epreuve: 11.01.10 - SC</dc:description>
  <cp:lastModifiedBy>Al-Yammouni, Hala</cp:lastModifiedBy>
  <cp:revision>12</cp:revision>
  <cp:lastPrinted>2016-10-28T12:05:00Z</cp:lastPrinted>
  <dcterms:created xsi:type="dcterms:W3CDTF">2011-10-25T07:39:00Z</dcterms:created>
  <dcterms:modified xsi:type="dcterms:W3CDTF">2016-10-28T12:06:00Z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