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F54BA">
              <w:rPr>
                <w:rFonts w:ascii="Tahoma" w:hAnsi="Tahoma" w:cs="Tahoma"/>
                <w:b/>
                <w:bCs/>
                <w:iCs/>
                <w:color w:val="243285"/>
                <w:sz w:val="36"/>
                <w:szCs w:val="36"/>
              </w:rPr>
              <w:t>1826</w:t>
            </w:r>
            <w:r w:rsidR="006D4393">
              <w:rPr>
                <w:rFonts w:ascii="Tahoma" w:hAnsi="Tahoma" w:cs="Tahoma"/>
                <w:b/>
                <w:bCs/>
                <w:iCs/>
                <w:color w:val="243285"/>
                <w:sz w:val="36"/>
                <w:szCs w:val="36"/>
              </w:rPr>
              <w:t>-</w:t>
            </w:r>
            <w:r w:rsidR="005123C9">
              <w:rPr>
                <w:rFonts w:ascii="Tahoma" w:hAnsi="Tahoma" w:cs="Tahoma"/>
                <w:b/>
                <w:bCs/>
                <w:iCs/>
                <w:color w:val="243285"/>
                <w:sz w:val="36"/>
                <w:szCs w:val="36"/>
              </w:rPr>
              <w:t>1</w:t>
            </w:r>
          </w:p>
          <w:p w:rsidR="00FE79FE" w:rsidRPr="004F65E4" w:rsidRDefault="00FE79FE" w:rsidP="005123C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5123C9">
              <w:rPr>
                <w:rFonts w:ascii="Tahoma" w:hAnsi="Tahoma" w:cs="Tahoma"/>
                <w:b/>
                <w:bCs/>
                <w:iCs/>
                <w:color w:val="243285"/>
                <w:szCs w:val="24"/>
              </w:rPr>
              <w:t>1</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B958E4">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AF54BA" w:rsidP="004220E0">
            <w:pPr>
              <w:spacing w:before="80" w:line="500" w:lineRule="exact"/>
              <w:jc w:val="right"/>
              <w:rPr>
                <w:rFonts w:ascii="Tahoma" w:hAnsi="Tahoma" w:cs="Tahoma"/>
                <w:b/>
                <w:bCs/>
                <w:iCs/>
                <w:color w:val="243285"/>
                <w:sz w:val="44"/>
                <w:szCs w:val="44"/>
                <w:lang w:val="en-US"/>
              </w:rPr>
            </w:pPr>
            <w:r w:rsidRPr="00AF54BA">
              <w:rPr>
                <w:rFonts w:ascii="Tahoma" w:hAnsi="Tahoma" w:cs="Tahoma"/>
                <w:b/>
                <w:bCs/>
                <w:iCs/>
                <w:color w:val="243285"/>
                <w:sz w:val="44"/>
                <w:szCs w:val="44"/>
                <w:lang w:val="en-GB"/>
              </w:rPr>
              <w:t xml:space="preserve">Harmonized frequency channel plan </w:t>
            </w:r>
            <w:r>
              <w:rPr>
                <w:rFonts w:ascii="Tahoma" w:hAnsi="Tahoma" w:cs="Tahoma"/>
                <w:b/>
                <w:bCs/>
                <w:iCs/>
                <w:color w:val="243285"/>
                <w:sz w:val="44"/>
                <w:szCs w:val="44"/>
                <w:lang w:val="en-GB"/>
              </w:rPr>
              <w:t xml:space="preserve">for broadband public protection </w:t>
            </w:r>
            <w:r w:rsidRPr="00AF54BA">
              <w:rPr>
                <w:rFonts w:ascii="Tahoma" w:hAnsi="Tahoma" w:cs="Tahoma"/>
                <w:b/>
                <w:bCs/>
                <w:iCs/>
                <w:color w:val="243285"/>
                <w:sz w:val="44"/>
                <w:szCs w:val="44"/>
                <w:lang w:val="en-GB"/>
              </w:rPr>
              <w:t>and disaster relief operations at 4 940-4 990 MHz in Regions 2 and 3</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r w:rsidR="009E6253">
        <w:fldChar w:fldCharType="begin"/>
      </w:r>
      <w:r w:rsidR="009E6253" w:rsidRPr="00B958E4">
        <w:rPr>
          <w:lang w:val="en-GB"/>
        </w:rPr>
        <w:instrText xml:space="preserve"> HYPER</w:instrText>
      </w:r>
      <w:r w:rsidR="009E6253" w:rsidRPr="00B958E4">
        <w:rPr>
          <w:lang w:val="en-GB"/>
        </w:rPr>
        <w:instrText xml:space="preserve">LINK "http://www.itu.int/ITU-R/go/patents/en" </w:instrText>
      </w:r>
      <w:r w:rsidR="009E6253">
        <w:fldChar w:fldCharType="separate"/>
      </w:r>
      <w:r w:rsidR="00C44EEB">
        <w:rPr>
          <w:rStyle w:val="Hyperlink"/>
          <w:sz w:val="20"/>
          <w:lang w:val="en-US"/>
        </w:rPr>
        <w:t>http://www.itu.int/ITU-R/go/patents/en</w:t>
      </w:r>
      <w:r w:rsidR="009E6253">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958E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r w:rsidR="009E6253">
              <w:fldChar w:fldCharType="begin"/>
            </w:r>
            <w:r w:rsidR="009E6253" w:rsidRPr="00B958E4">
              <w:rPr>
                <w:lang w:val="en-GB"/>
              </w:rPr>
              <w:instrText xml:space="preserve"> HYPERLINK "http://www.itu.int/publ/R-REC/en" </w:instrText>
            </w:r>
            <w:r w:rsidR="009E6253">
              <w:fldChar w:fldCharType="separate"/>
            </w:r>
            <w:r w:rsidR="00333892">
              <w:rPr>
                <w:rStyle w:val="Hyperlink"/>
                <w:b w:val="0"/>
                <w:sz w:val="18"/>
                <w:szCs w:val="18"/>
                <w:lang w:val="en-US"/>
              </w:rPr>
              <w:t>http://www.itu.int/publ/R-REC/en</w:t>
            </w:r>
            <w:r w:rsidR="009E6253">
              <w:rPr>
                <w:rStyle w:val="Hyperlink"/>
                <w:b w:val="0"/>
                <w:sz w:val="18"/>
                <w:szCs w:val="18"/>
                <w:lang w:val="en-US"/>
              </w:rPr>
              <w:fldChar w:fldCharType="end"/>
            </w:r>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958E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958E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958E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B958E4">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AF54BA">
        <w:rPr>
          <w:rStyle w:val="href"/>
          <w:lang w:val="en-US"/>
        </w:rPr>
        <w:t>1826</w:t>
      </w:r>
      <w:r w:rsidR="005123C9">
        <w:rPr>
          <w:rStyle w:val="href"/>
          <w:lang w:val="en-US"/>
        </w:rPr>
        <w:t>-1</w:t>
      </w:r>
    </w:p>
    <w:p w:rsidR="00563597" w:rsidRDefault="00AF54BA" w:rsidP="00563597">
      <w:pPr>
        <w:pStyle w:val="Rectitle"/>
        <w:rPr>
          <w:lang w:val="en-GB"/>
        </w:rPr>
      </w:pPr>
      <w:r w:rsidRPr="00AF54BA">
        <w:rPr>
          <w:lang w:val="en-GB"/>
        </w:rPr>
        <w:t>Harmonized frequency channel plan for broadband public protection</w:t>
      </w:r>
      <w:r w:rsidRPr="00AF54BA">
        <w:rPr>
          <w:lang w:val="en-GB"/>
        </w:rPr>
        <w:br/>
        <w:t>and disaster relief operations at 4 940-4 990 MHz in Regions 2 and 3</w:t>
      </w:r>
    </w:p>
    <w:p w:rsidR="00AF54BA" w:rsidRPr="00AF54BA" w:rsidRDefault="00AF54BA" w:rsidP="00AF54BA">
      <w:pPr>
        <w:pStyle w:val="Recdate"/>
        <w:rPr>
          <w:lang w:val="en-GB"/>
        </w:rPr>
      </w:pPr>
      <w:r w:rsidRPr="00AF54BA">
        <w:rPr>
          <w:lang w:val="en-GB"/>
        </w:rPr>
        <w:t>(2007-2019)</w:t>
      </w:r>
    </w:p>
    <w:p w:rsidR="00AF54BA" w:rsidRPr="00DE42CF" w:rsidRDefault="00AF54BA" w:rsidP="00AF54BA">
      <w:pPr>
        <w:pStyle w:val="HeadingSum"/>
        <w:rPr>
          <w:lang w:val="en-GB"/>
        </w:rPr>
      </w:pPr>
      <w:r w:rsidRPr="00DE42CF">
        <w:rPr>
          <w:lang w:val="en-GB"/>
        </w:rPr>
        <w:t>Scope</w:t>
      </w:r>
    </w:p>
    <w:p w:rsidR="00AF54BA" w:rsidRPr="00DE42CF" w:rsidRDefault="00AF54BA" w:rsidP="00AF54BA">
      <w:pPr>
        <w:pStyle w:val="Summary"/>
        <w:jc w:val="left"/>
        <w:rPr>
          <w:lang w:val="en-GB"/>
        </w:rPr>
      </w:pPr>
      <w:r w:rsidRPr="00DE42CF">
        <w:rPr>
          <w:lang w:val="en-GB"/>
        </w:rPr>
        <w:t>This Recommendation addresses harmonized frequency channel plans in the band 4 940</w:t>
      </w:r>
      <w:r w:rsidRPr="00DE42CF">
        <w:rPr>
          <w:lang w:val="en-GB"/>
        </w:rPr>
        <w:noBreakHyphen/>
        <w:t>4 990 MHz for broadband public protection and disaster relief radiocommunications in Regions 2 and 3.</w:t>
      </w:r>
    </w:p>
    <w:p w:rsidR="00AF54BA" w:rsidRPr="00AF54BA" w:rsidRDefault="00AF54BA" w:rsidP="00AF54BA">
      <w:pPr>
        <w:pStyle w:val="Normalaftertitle"/>
        <w:rPr>
          <w:lang w:val="en-GB"/>
        </w:rPr>
      </w:pPr>
      <w:r w:rsidRPr="00AF54BA">
        <w:rPr>
          <w:lang w:val="en-GB"/>
        </w:rPr>
        <w:t>The ITU Radiocommunication Assembly,</w:t>
      </w:r>
    </w:p>
    <w:p w:rsidR="00AF54BA" w:rsidRPr="00AF54BA" w:rsidRDefault="00AF54BA" w:rsidP="00AF54BA">
      <w:pPr>
        <w:pStyle w:val="Call"/>
        <w:rPr>
          <w:b/>
          <w:lang w:val="en-GB"/>
        </w:rPr>
      </w:pPr>
      <w:r w:rsidRPr="00AF54BA">
        <w:rPr>
          <w:lang w:val="en-GB"/>
        </w:rPr>
        <w:t>considering</w:t>
      </w:r>
    </w:p>
    <w:p w:rsidR="00AF54BA" w:rsidRPr="00AF54BA" w:rsidRDefault="00AF54BA" w:rsidP="00AF54BA">
      <w:pPr>
        <w:rPr>
          <w:lang w:val="en-GB"/>
        </w:rPr>
      </w:pPr>
      <w:r w:rsidRPr="00AF54BA">
        <w:rPr>
          <w:i/>
          <w:iCs/>
          <w:lang w:val="en-GB"/>
        </w:rPr>
        <w:t>a)</w:t>
      </w:r>
      <w:r w:rsidRPr="00AF54BA">
        <w:rPr>
          <w:lang w:val="en-GB"/>
        </w:rPr>
        <w:tab/>
        <w:t>that growing telecommunication and radiocommunication needs of public protection and disaster relief (PPDR) agencies and organizations is vital to the maintenance of law and order, protection of life and property, disaster relief and emergency response;</w:t>
      </w:r>
    </w:p>
    <w:p w:rsidR="00AF54BA" w:rsidRPr="00AF54BA" w:rsidRDefault="00AF54BA" w:rsidP="00AF54BA">
      <w:pPr>
        <w:rPr>
          <w:lang w:val="en-GB"/>
        </w:rPr>
      </w:pPr>
      <w:r w:rsidRPr="00AF54BA">
        <w:rPr>
          <w:i/>
          <w:iCs/>
          <w:lang w:val="en-GB"/>
        </w:rPr>
        <w:t>b)</w:t>
      </w:r>
      <w:r w:rsidRPr="00AF54BA">
        <w:rPr>
          <w:lang w:val="en-GB"/>
        </w:rPr>
        <w:tab/>
        <w:t>that many administrations wish to facilitate interoperability and interworking between systems used for PPDR radiocommunication, both nationally and for cross-border operations in emergency situations and for disaster relief;</w:t>
      </w:r>
    </w:p>
    <w:p w:rsidR="00AF54BA" w:rsidRPr="00AF54BA" w:rsidRDefault="00AF54BA" w:rsidP="00AF54BA">
      <w:pPr>
        <w:rPr>
          <w:lang w:val="en-GB"/>
        </w:rPr>
      </w:pPr>
      <w:r w:rsidRPr="00AF54BA">
        <w:rPr>
          <w:i/>
          <w:lang w:val="en-GB"/>
        </w:rPr>
        <w:t>c)</w:t>
      </w:r>
      <w:r w:rsidRPr="00AF54BA">
        <w:rPr>
          <w:i/>
          <w:lang w:val="en-GB"/>
        </w:rPr>
        <w:tab/>
      </w:r>
      <w:r w:rsidRPr="00AF54BA">
        <w:rPr>
          <w:lang w:val="en-GB"/>
        </w:rPr>
        <w:t>that existing systems for PPDR applications mainly support narrowband/wideband voice and data</w:t>
      </w:r>
      <w:r w:rsidRPr="00AF54BA">
        <w:rPr>
          <w:spacing w:val="21"/>
          <w:lang w:val="en-GB"/>
        </w:rPr>
        <w:t xml:space="preserve"> </w:t>
      </w:r>
      <w:r w:rsidRPr="00AF54BA">
        <w:rPr>
          <w:lang w:val="en-GB"/>
        </w:rPr>
        <w:t xml:space="preserve">applications; </w:t>
      </w:r>
    </w:p>
    <w:p w:rsidR="00AF54BA" w:rsidRPr="00AF54BA" w:rsidRDefault="00AF54BA" w:rsidP="00AF54BA">
      <w:pPr>
        <w:rPr>
          <w:lang w:val="en-GB"/>
        </w:rPr>
      </w:pPr>
      <w:r w:rsidRPr="00AF54BA">
        <w:rPr>
          <w:i/>
          <w:lang w:val="en-GB"/>
        </w:rPr>
        <w:t>d)</w:t>
      </w:r>
      <w:r w:rsidRPr="00AF54BA">
        <w:rPr>
          <w:i/>
          <w:lang w:val="en-GB"/>
        </w:rPr>
        <w:tab/>
      </w:r>
      <w:r w:rsidRPr="00AF54BA">
        <w:rPr>
          <w:lang w:val="en-GB"/>
        </w:rPr>
        <w:t>that, although narrowband and wideband systems will continue to be used to meet PPDR requirements, there is a growing need for broadband applications to support improved data and multimedia capabilities, which require higher data rates and higher capacity, and appropriate spectrum may need to be made available on a national basis to meet these growing needs;</w:t>
      </w:r>
    </w:p>
    <w:p w:rsidR="00AF54BA" w:rsidRPr="00AF54BA" w:rsidRDefault="00AF54BA" w:rsidP="00AF54BA">
      <w:pPr>
        <w:rPr>
          <w:color w:val="000000"/>
          <w:lang w:val="en-GB"/>
        </w:rPr>
      </w:pPr>
      <w:r w:rsidRPr="00AF54BA">
        <w:rPr>
          <w:i/>
          <w:iCs/>
          <w:lang w:val="en-GB"/>
        </w:rPr>
        <w:t>e)</w:t>
      </w:r>
      <w:r w:rsidRPr="00AF54BA">
        <w:rPr>
          <w:lang w:val="en-GB"/>
        </w:rPr>
        <w:tab/>
        <w:t>that some terrestrial and satellite systems, offered by operators, are complementing the dedicated systems in support of PPDR, and that the use of commercial solutions will be in response to technology development and market</w:t>
      </w:r>
      <w:r w:rsidRPr="00AF54BA">
        <w:rPr>
          <w:spacing w:val="20"/>
          <w:lang w:val="en-GB"/>
        </w:rPr>
        <w:t xml:space="preserve"> </w:t>
      </w:r>
      <w:r w:rsidRPr="00AF54BA">
        <w:rPr>
          <w:lang w:val="en-GB"/>
        </w:rPr>
        <w:t>demands;</w:t>
      </w:r>
    </w:p>
    <w:p w:rsidR="00AF54BA" w:rsidRPr="00AF54BA" w:rsidRDefault="00AF54BA" w:rsidP="00AF54BA">
      <w:pPr>
        <w:rPr>
          <w:lang w:val="en-GB"/>
        </w:rPr>
      </w:pPr>
      <w:r w:rsidRPr="00AF54BA">
        <w:rPr>
          <w:i/>
          <w:iCs/>
          <w:lang w:val="en-GB"/>
        </w:rPr>
        <w:t>f)</w:t>
      </w:r>
      <w:r w:rsidRPr="00AF54BA">
        <w:rPr>
          <w:lang w:val="en-GB"/>
        </w:rPr>
        <w:tab/>
        <w:t>that some administrations may have different operational needs and spectrum requirements for PPDR applications depending on the circumstances;</w:t>
      </w:r>
    </w:p>
    <w:p w:rsidR="00AF54BA" w:rsidRPr="00AF54BA" w:rsidRDefault="00AF54BA" w:rsidP="00AF54BA">
      <w:pPr>
        <w:rPr>
          <w:lang w:val="en-GB"/>
        </w:rPr>
      </w:pPr>
      <w:r w:rsidRPr="00AF54BA">
        <w:rPr>
          <w:i/>
          <w:iCs/>
          <w:lang w:val="en-GB"/>
        </w:rPr>
        <w:t>g)</w:t>
      </w:r>
      <w:r w:rsidRPr="00AF54BA">
        <w:rPr>
          <w:lang w:val="en-GB"/>
        </w:rPr>
        <w:tab/>
        <w:t>that national spectrum planning for PPDR radiocommunication systems needs to have regard for cooperation and bilateral consultation with other concerned administrations, in order to facilitate greater levels of spectrum harmonization;</w:t>
      </w:r>
    </w:p>
    <w:p w:rsidR="00AF54BA" w:rsidRPr="00AF54BA" w:rsidRDefault="00AF54BA" w:rsidP="00AF54BA">
      <w:pPr>
        <w:rPr>
          <w:lang w:val="en-GB"/>
        </w:rPr>
      </w:pPr>
      <w:r w:rsidRPr="00AF54BA">
        <w:rPr>
          <w:i/>
          <w:iCs/>
          <w:lang w:val="en-GB"/>
        </w:rPr>
        <w:t>h)</w:t>
      </w:r>
      <w:r w:rsidRPr="00AF54BA">
        <w:rPr>
          <w:lang w:val="en-GB"/>
        </w:rPr>
        <w:tab/>
        <w:t>that usage of the same frequencies of the same allocation will enable administrations to benefit from harmonization while continuing to meet national planning requirements,</w:t>
      </w:r>
    </w:p>
    <w:p w:rsidR="00AF54BA" w:rsidRPr="00AF54BA" w:rsidRDefault="00AF54BA" w:rsidP="00AF54BA">
      <w:pPr>
        <w:pStyle w:val="Call"/>
        <w:rPr>
          <w:lang w:val="en-GB"/>
        </w:rPr>
      </w:pPr>
      <w:r w:rsidRPr="00AF54BA">
        <w:rPr>
          <w:lang w:val="en-GB"/>
        </w:rPr>
        <w:t xml:space="preserve">recognizing </w:t>
      </w:r>
    </w:p>
    <w:p w:rsidR="00AF54BA" w:rsidRPr="00AF54BA" w:rsidRDefault="00AF54BA" w:rsidP="00AF54BA">
      <w:pPr>
        <w:keepLines/>
        <w:rPr>
          <w:lang w:val="en-GB"/>
        </w:rPr>
      </w:pPr>
      <w:r w:rsidRPr="00AF54BA">
        <w:rPr>
          <w:i/>
          <w:iCs/>
          <w:lang w:val="en-GB"/>
        </w:rPr>
        <w:t>a)</w:t>
      </w:r>
      <w:r w:rsidRPr="00AF54BA">
        <w:rPr>
          <w:i/>
          <w:iCs/>
          <w:lang w:val="en-GB"/>
        </w:rPr>
        <w:tab/>
      </w:r>
      <w:r w:rsidRPr="00AF54BA">
        <w:rPr>
          <w:lang w:val="en-GB"/>
        </w:rPr>
        <w:t xml:space="preserve">that Resolution </w:t>
      </w:r>
      <w:r w:rsidRPr="00AF54BA">
        <w:rPr>
          <w:b/>
          <w:lang w:val="en-GB"/>
        </w:rPr>
        <w:t>646 (Rev.WRC-15)</w:t>
      </w:r>
      <w:r w:rsidRPr="00AF54BA">
        <w:rPr>
          <w:lang w:val="en-GB"/>
        </w:rPr>
        <w:t xml:space="preserve"> identifies particular bands/ranges, including the range 4 940-4 990 MHz in Region 3, and encourages administrations to consider parts of these regionally harmonized frequency ranges for their PPDR applications;</w:t>
      </w:r>
      <w:r w:rsidRPr="00AF54BA">
        <w:rPr>
          <w:color w:val="231F20"/>
          <w:sz w:val="17"/>
          <w:lang w:val="en-GB"/>
        </w:rPr>
        <w:t xml:space="preserve"> </w:t>
      </w:r>
    </w:p>
    <w:p w:rsidR="00AF54BA" w:rsidRPr="00AF54BA" w:rsidRDefault="00AF54BA" w:rsidP="00AF54BA">
      <w:pPr>
        <w:rPr>
          <w:lang w:val="en-GB"/>
        </w:rPr>
      </w:pPr>
      <w:r w:rsidRPr="00AF54BA">
        <w:rPr>
          <w:i/>
          <w:iCs/>
          <w:lang w:val="en-GB"/>
        </w:rPr>
        <w:t>b)</w:t>
      </w:r>
      <w:r w:rsidRPr="00AF54BA">
        <w:rPr>
          <w:lang w:val="en-GB"/>
        </w:rPr>
        <w:tab/>
        <w:t xml:space="preserve">that Resolution </w:t>
      </w:r>
      <w:r w:rsidRPr="00AF54BA">
        <w:rPr>
          <w:b/>
          <w:bCs/>
          <w:lang w:val="en-GB"/>
        </w:rPr>
        <w:t>646 (Rev.WRC-15)</w:t>
      </w:r>
      <w:r w:rsidRPr="00AF54BA">
        <w:rPr>
          <w:b/>
          <w:lang w:val="en-GB"/>
        </w:rPr>
        <w:t xml:space="preserve"> </w:t>
      </w:r>
      <w:r w:rsidRPr="00AF54BA">
        <w:rPr>
          <w:lang w:val="en-GB"/>
        </w:rPr>
        <w:t>does not identify the range 4 940-4 990 MHz for Region</w:t>
      </w:r>
      <w:r w:rsidR="00C5723E">
        <w:rPr>
          <w:lang w:val="en-GB"/>
        </w:rPr>
        <w:t> </w:t>
      </w:r>
      <w:r w:rsidRPr="00AF54BA">
        <w:rPr>
          <w:lang w:val="en-GB"/>
        </w:rPr>
        <w:t>2;</w:t>
      </w:r>
    </w:p>
    <w:p w:rsidR="00AF54BA" w:rsidRPr="00AF54BA" w:rsidRDefault="00AF54BA" w:rsidP="00AF54BA">
      <w:pPr>
        <w:rPr>
          <w:lang w:val="en-GB"/>
        </w:rPr>
      </w:pPr>
      <w:r w:rsidRPr="00AF54BA">
        <w:rPr>
          <w:i/>
          <w:iCs/>
          <w:lang w:val="en-GB"/>
        </w:rPr>
        <w:t>c)</w:t>
      </w:r>
      <w:r w:rsidRPr="00AF54BA">
        <w:rPr>
          <w:lang w:val="en-GB"/>
        </w:rPr>
        <w:tab/>
        <w:t xml:space="preserve">that Resolution </w:t>
      </w:r>
      <w:r w:rsidRPr="00AF54BA">
        <w:rPr>
          <w:b/>
          <w:lang w:val="en-GB"/>
        </w:rPr>
        <w:t>646 (Rev.WRC-15)</w:t>
      </w:r>
      <w:r w:rsidRPr="00AF54BA">
        <w:rPr>
          <w:lang w:val="en-GB"/>
        </w:rPr>
        <w:t xml:space="preserve"> states that the use of the frequency ranges in the Resolution in </w:t>
      </w:r>
      <w:r w:rsidRPr="00AF54BA">
        <w:rPr>
          <w:i/>
          <w:lang w:val="en-GB"/>
        </w:rPr>
        <w:t xml:space="preserve">resolves </w:t>
      </w:r>
      <w:r w:rsidRPr="00AF54BA">
        <w:rPr>
          <w:lang w:val="en-GB"/>
        </w:rPr>
        <w:t xml:space="preserve">2 and 3, as well as the use of the countries’ frequency arrangements for PPDR, as described in the most recent version of Recommendation ITU-R M.2015, </w:t>
      </w:r>
      <w:r w:rsidR="00C5723E">
        <w:rPr>
          <w:lang w:val="en-GB"/>
        </w:rPr>
        <w:t>“</w:t>
      </w:r>
      <w:r w:rsidRPr="00AF54BA">
        <w:rPr>
          <w:lang w:val="en-GB"/>
        </w:rPr>
        <w:t>must not cause unacceptable interference, nor constrain the use of these</w:t>
      </w:r>
      <w:r w:rsidRPr="00AF54BA">
        <w:rPr>
          <w:spacing w:val="-5"/>
          <w:lang w:val="en-GB"/>
        </w:rPr>
        <w:t xml:space="preserve"> </w:t>
      </w:r>
      <w:r w:rsidRPr="00AF54BA">
        <w:rPr>
          <w:lang w:val="en-GB"/>
        </w:rPr>
        <w:t>frequency</w:t>
      </w:r>
      <w:r w:rsidRPr="00AF54BA">
        <w:rPr>
          <w:spacing w:val="-8"/>
          <w:lang w:val="en-GB"/>
        </w:rPr>
        <w:t xml:space="preserve"> </w:t>
      </w:r>
      <w:r w:rsidRPr="00AF54BA">
        <w:rPr>
          <w:lang w:val="en-GB"/>
        </w:rPr>
        <w:t>ranges</w:t>
      </w:r>
      <w:r w:rsidRPr="00AF54BA">
        <w:rPr>
          <w:spacing w:val="-5"/>
          <w:lang w:val="en-GB"/>
        </w:rPr>
        <w:t xml:space="preserve"> </w:t>
      </w:r>
      <w:r w:rsidRPr="00AF54BA">
        <w:rPr>
          <w:lang w:val="en-GB"/>
        </w:rPr>
        <w:t>by</w:t>
      </w:r>
      <w:r w:rsidRPr="00AF54BA">
        <w:rPr>
          <w:spacing w:val="-5"/>
          <w:lang w:val="en-GB"/>
        </w:rPr>
        <w:t xml:space="preserve"> </w:t>
      </w:r>
      <w:r w:rsidRPr="00AF54BA">
        <w:rPr>
          <w:lang w:val="en-GB"/>
        </w:rPr>
        <w:t>applications</w:t>
      </w:r>
      <w:r w:rsidRPr="00AF54BA">
        <w:rPr>
          <w:spacing w:val="-5"/>
          <w:lang w:val="en-GB"/>
        </w:rPr>
        <w:t xml:space="preserve"> </w:t>
      </w:r>
      <w:r w:rsidRPr="00AF54BA">
        <w:rPr>
          <w:lang w:val="en-GB"/>
        </w:rPr>
        <w:t>of</w:t>
      </w:r>
      <w:r w:rsidRPr="00AF54BA">
        <w:rPr>
          <w:spacing w:val="-5"/>
          <w:lang w:val="en-GB"/>
        </w:rPr>
        <w:t xml:space="preserve"> </w:t>
      </w:r>
      <w:r w:rsidRPr="00AF54BA">
        <w:rPr>
          <w:lang w:val="en-GB"/>
        </w:rPr>
        <w:t>the</w:t>
      </w:r>
      <w:r w:rsidRPr="00AF54BA">
        <w:rPr>
          <w:spacing w:val="-5"/>
          <w:lang w:val="en-GB"/>
        </w:rPr>
        <w:t xml:space="preserve"> </w:t>
      </w:r>
      <w:r w:rsidRPr="00AF54BA">
        <w:rPr>
          <w:lang w:val="en-GB"/>
        </w:rPr>
        <w:t>services</w:t>
      </w:r>
      <w:r w:rsidRPr="00AF54BA">
        <w:rPr>
          <w:spacing w:val="-5"/>
          <w:lang w:val="en-GB"/>
        </w:rPr>
        <w:t xml:space="preserve"> </w:t>
      </w:r>
      <w:r w:rsidRPr="00AF54BA">
        <w:rPr>
          <w:lang w:val="en-GB"/>
        </w:rPr>
        <w:t>to</w:t>
      </w:r>
      <w:r w:rsidRPr="00AF54BA">
        <w:rPr>
          <w:spacing w:val="-5"/>
          <w:lang w:val="en-GB"/>
        </w:rPr>
        <w:t xml:space="preserve"> </w:t>
      </w:r>
      <w:r w:rsidRPr="00AF54BA">
        <w:rPr>
          <w:lang w:val="en-GB"/>
        </w:rPr>
        <w:t>which</w:t>
      </w:r>
      <w:r w:rsidRPr="00AF54BA">
        <w:rPr>
          <w:spacing w:val="-5"/>
          <w:lang w:val="en-GB"/>
        </w:rPr>
        <w:t xml:space="preserve"> </w:t>
      </w:r>
      <w:r w:rsidRPr="00AF54BA">
        <w:rPr>
          <w:lang w:val="en-GB"/>
        </w:rPr>
        <w:t>these</w:t>
      </w:r>
      <w:r w:rsidRPr="00AF54BA">
        <w:rPr>
          <w:spacing w:val="-5"/>
          <w:lang w:val="en-GB"/>
        </w:rPr>
        <w:t xml:space="preserve"> </w:t>
      </w:r>
      <w:r w:rsidRPr="00AF54BA">
        <w:rPr>
          <w:lang w:val="en-GB"/>
        </w:rPr>
        <w:t>ranges</w:t>
      </w:r>
      <w:r w:rsidRPr="00AF54BA">
        <w:rPr>
          <w:spacing w:val="-5"/>
          <w:lang w:val="en-GB"/>
        </w:rPr>
        <w:t xml:space="preserve"> </w:t>
      </w:r>
      <w:r w:rsidRPr="00AF54BA">
        <w:rPr>
          <w:lang w:val="en-GB"/>
        </w:rPr>
        <w:t>are</w:t>
      </w:r>
      <w:r w:rsidRPr="00AF54BA">
        <w:rPr>
          <w:spacing w:val="-6"/>
          <w:lang w:val="en-GB"/>
        </w:rPr>
        <w:t xml:space="preserve"> </w:t>
      </w:r>
      <w:r w:rsidRPr="00AF54BA">
        <w:rPr>
          <w:lang w:val="en-GB"/>
        </w:rPr>
        <w:t>allocated</w:t>
      </w:r>
      <w:r w:rsidRPr="00AF54BA">
        <w:rPr>
          <w:spacing w:val="-5"/>
          <w:lang w:val="en-GB"/>
        </w:rPr>
        <w:t xml:space="preserve"> </w:t>
      </w:r>
      <w:r w:rsidRPr="00AF54BA">
        <w:rPr>
          <w:lang w:val="en-GB"/>
        </w:rPr>
        <w:t>in</w:t>
      </w:r>
      <w:r w:rsidRPr="00AF54BA">
        <w:rPr>
          <w:spacing w:val="-5"/>
          <w:lang w:val="en-GB"/>
        </w:rPr>
        <w:t xml:space="preserve"> </w:t>
      </w:r>
      <w:r w:rsidRPr="00AF54BA">
        <w:rPr>
          <w:lang w:val="en-GB"/>
        </w:rPr>
        <w:t>the</w:t>
      </w:r>
      <w:r w:rsidRPr="00AF54BA">
        <w:rPr>
          <w:spacing w:val="-5"/>
          <w:lang w:val="en-GB"/>
        </w:rPr>
        <w:t xml:space="preserve"> </w:t>
      </w:r>
      <w:r w:rsidRPr="00AF54BA">
        <w:rPr>
          <w:lang w:val="en-GB"/>
        </w:rPr>
        <w:t>Radio Regulations</w:t>
      </w:r>
      <w:r w:rsidR="00C5723E">
        <w:rPr>
          <w:lang w:val="en-GB"/>
        </w:rPr>
        <w:t>”</w:t>
      </w:r>
      <w:r w:rsidRPr="00AF54BA">
        <w:rPr>
          <w:lang w:val="en-GB"/>
        </w:rPr>
        <w:t xml:space="preserve">, </w:t>
      </w:r>
    </w:p>
    <w:p w:rsidR="00AF54BA" w:rsidRPr="00AF54BA" w:rsidRDefault="00AF54BA" w:rsidP="00AF54BA">
      <w:pPr>
        <w:pStyle w:val="Call"/>
        <w:rPr>
          <w:lang w:val="en-GB"/>
        </w:rPr>
      </w:pPr>
      <w:r w:rsidRPr="00AF54BA">
        <w:rPr>
          <w:lang w:val="en-GB"/>
        </w:rPr>
        <w:t>noting</w:t>
      </w:r>
    </w:p>
    <w:p w:rsidR="00AF54BA" w:rsidRPr="00AF54BA" w:rsidRDefault="00AF54BA" w:rsidP="00AF54BA">
      <w:pPr>
        <w:rPr>
          <w:lang w:val="en-GB"/>
        </w:rPr>
      </w:pPr>
      <w:r w:rsidRPr="00AF54BA">
        <w:rPr>
          <w:i/>
          <w:iCs/>
          <w:lang w:val="en-GB"/>
        </w:rPr>
        <w:t>a)</w:t>
      </w:r>
      <w:r w:rsidRPr="00AF54BA">
        <w:rPr>
          <w:lang w:val="en-GB"/>
        </w:rPr>
        <w:tab/>
        <w:t>the benefits of spectrum harmonization, such as:</w:t>
      </w:r>
    </w:p>
    <w:p w:rsidR="00AF54BA" w:rsidRPr="00AF54BA" w:rsidRDefault="00AF54BA" w:rsidP="00AF54BA">
      <w:pPr>
        <w:pStyle w:val="enumlev1"/>
        <w:rPr>
          <w:lang w:val="en-GB"/>
        </w:rPr>
      </w:pPr>
      <w:r w:rsidRPr="00AF54BA">
        <w:rPr>
          <w:lang w:val="en-GB"/>
        </w:rPr>
        <w:t>–</w:t>
      </w:r>
      <w:r w:rsidRPr="00AF54BA">
        <w:rPr>
          <w:lang w:val="en-GB"/>
        </w:rPr>
        <w:tab/>
        <w:t>increased potential for interoperability;</w:t>
      </w:r>
    </w:p>
    <w:p w:rsidR="00AF54BA" w:rsidRPr="00AF54BA" w:rsidRDefault="00AF54BA" w:rsidP="00AF54BA">
      <w:pPr>
        <w:pStyle w:val="enumlev1"/>
        <w:rPr>
          <w:lang w:val="en-GB"/>
        </w:rPr>
      </w:pPr>
      <w:r w:rsidRPr="00AF54BA">
        <w:rPr>
          <w:lang w:val="en-GB"/>
        </w:rPr>
        <w:t>–</w:t>
      </w:r>
      <w:r w:rsidRPr="00AF54BA">
        <w:rPr>
          <w:lang w:val="en-GB"/>
        </w:rPr>
        <w:tab/>
        <w:t>increased volume of equipment resulting in economies of scale, more cost-efficient equipment availability;</w:t>
      </w:r>
    </w:p>
    <w:p w:rsidR="00AF54BA" w:rsidRPr="00AF54BA" w:rsidRDefault="00AF54BA" w:rsidP="00AF54BA">
      <w:pPr>
        <w:pStyle w:val="enumlev1"/>
        <w:rPr>
          <w:lang w:val="en-GB"/>
        </w:rPr>
      </w:pPr>
      <w:r w:rsidRPr="00AF54BA">
        <w:rPr>
          <w:lang w:val="en-GB"/>
        </w:rPr>
        <w:t>–</w:t>
      </w:r>
      <w:r w:rsidRPr="00AF54BA">
        <w:rPr>
          <w:lang w:val="en-GB"/>
        </w:rPr>
        <w:tab/>
        <w:t>improved spectrum management and planning;</w:t>
      </w:r>
    </w:p>
    <w:p w:rsidR="00AF54BA" w:rsidRPr="00AF54BA" w:rsidRDefault="00AF54BA" w:rsidP="00AF54BA">
      <w:pPr>
        <w:pStyle w:val="enumlev1"/>
        <w:rPr>
          <w:lang w:val="en-GB"/>
        </w:rPr>
      </w:pPr>
      <w:r w:rsidRPr="00AF54BA">
        <w:rPr>
          <w:lang w:val="en-GB"/>
        </w:rPr>
        <w:t>–</w:t>
      </w:r>
      <w:r w:rsidRPr="00AF54BA">
        <w:rPr>
          <w:lang w:val="en-GB"/>
        </w:rPr>
        <w:tab/>
        <w:t>the enhancement of international aid during disasters and major events; and</w:t>
      </w:r>
    </w:p>
    <w:p w:rsidR="00AF54BA" w:rsidRPr="00AF54BA" w:rsidRDefault="00AF54BA" w:rsidP="00AF54BA">
      <w:pPr>
        <w:pStyle w:val="enumlev1"/>
        <w:rPr>
          <w:lang w:val="en-GB"/>
        </w:rPr>
      </w:pPr>
      <w:r w:rsidRPr="00AF54BA">
        <w:rPr>
          <w:lang w:val="en-GB"/>
        </w:rPr>
        <w:t>–</w:t>
      </w:r>
      <w:r w:rsidRPr="00AF54BA">
        <w:rPr>
          <w:lang w:val="en-GB"/>
        </w:rPr>
        <w:tab/>
        <w:t>enhanced cross-border coordination and circulation of equipment;</w:t>
      </w:r>
    </w:p>
    <w:p w:rsidR="00AF54BA" w:rsidRPr="00AF54BA" w:rsidRDefault="00AF54BA" w:rsidP="00AF54BA">
      <w:pPr>
        <w:rPr>
          <w:i/>
          <w:iCs/>
          <w:lang w:val="en-GB"/>
        </w:rPr>
      </w:pPr>
      <w:r w:rsidRPr="00AF54BA">
        <w:rPr>
          <w:i/>
          <w:iCs/>
          <w:lang w:val="en-GB"/>
        </w:rPr>
        <w:t>b)</w:t>
      </w:r>
      <w:r w:rsidRPr="00AF54BA">
        <w:rPr>
          <w:lang w:val="en-GB"/>
        </w:rPr>
        <w:tab/>
        <w:t xml:space="preserve">that </w:t>
      </w:r>
      <w:r w:rsidRPr="00AF54BA">
        <w:rPr>
          <w:color w:val="231F20"/>
          <w:szCs w:val="24"/>
          <w:lang w:val="en-GB"/>
        </w:rPr>
        <w:t>national spectrum planning for PPDR needs to have regard to cooperation and bilateral consultation with other concerned administrations, which should be facilitated by greater levels of spectrum</w:t>
      </w:r>
      <w:r w:rsidRPr="00AF54BA">
        <w:rPr>
          <w:color w:val="231F20"/>
          <w:spacing w:val="15"/>
          <w:szCs w:val="24"/>
          <w:lang w:val="en-GB"/>
        </w:rPr>
        <w:t xml:space="preserve"> </w:t>
      </w:r>
      <w:r w:rsidRPr="00AF54BA">
        <w:rPr>
          <w:color w:val="231F20"/>
          <w:szCs w:val="24"/>
          <w:lang w:val="en-GB"/>
        </w:rPr>
        <w:t>harmonization;</w:t>
      </w:r>
    </w:p>
    <w:p w:rsidR="00AF54BA" w:rsidRPr="00AF54BA" w:rsidRDefault="00AF54BA" w:rsidP="00AF54BA">
      <w:pPr>
        <w:rPr>
          <w:lang w:val="en-GB"/>
        </w:rPr>
      </w:pPr>
      <w:r w:rsidRPr="00AF54BA">
        <w:rPr>
          <w:i/>
          <w:iCs/>
          <w:lang w:val="en-GB"/>
        </w:rPr>
        <w:t>c)</w:t>
      </w:r>
      <w:r w:rsidRPr="00AF54BA">
        <w:rPr>
          <w:lang w:val="en-GB"/>
        </w:rPr>
        <w:tab/>
        <w:t>the benefits of cooperation between countries for the provision of effective and appropriate humanitarian assistance in case of disasters, particularly in view of the special operational requirements of such activities involving multinational response;</w:t>
      </w:r>
    </w:p>
    <w:p w:rsidR="00AF54BA" w:rsidRPr="00AF54BA" w:rsidRDefault="00AF54BA" w:rsidP="00AF54BA">
      <w:pPr>
        <w:rPr>
          <w:lang w:val="en-GB"/>
        </w:rPr>
      </w:pPr>
      <w:r w:rsidRPr="00AF54BA">
        <w:rPr>
          <w:i/>
          <w:iCs/>
          <w:lang w:val="en-GB"/>
        </w:rPr>
        <w:t>d)</w:t>
      </w:r>
      <w:r w:rsidRPr="00AF54BA">
        <w:rPr>
          <w:lang w:val="en-GB"/>
        </w:rPr>
        <w:tab/>
        <w:t>the needs of countries, particularly the developing countries, for cost-efficient communication equipment;</w:t>
      </w:r>
    </w:p>
    <w:p w:rsidR="00AF54BA" w:rsidRPr="00AF54BA" w:rsidRDefault="00AF54BA" w:rsidP="00AF54BA">
      <w:pPr>
        <w:rPr>
          <w:lang w:val="en-GB"/>
        </w:rPr>
      </w:pPr>
      <w:r w:rsidRPr="00AF54BA">
        <w:rPr>
          <w:i/>
          <w:iCs/>
          <w:lang w:val="en-GB"/>
        </w:rPr>
        <w:t>e)</w:t>
      </w:r>
      <w:r w:rsidRPr="00AF54BA">
        <w:rPr>
          <w:lang w:val="en-GB"/>
        </w:rPr>
        <w:tab/>
        <w:t>that not all frequencies within an identified common frequency range will be available within each country of the relevant Region;</w:t>
      </w:r>
    </w:p>
    <w:p w:rsidR="00AF54BA" w:rsidRPr="00AF54BA" w:rsidRDefault="00AF54BA" w:rsidP="00AF54BA">
      <w:pPr>
        <w:rPr>
          <w:lang w:val="en-GB"/>
        </w:rPr>
      </w:pPr>
      <w:r w:rsidRPr="00AF54BA">
        <w:rPr>
          <w:i/>
          <w:iCs/>
          <w:lang w:val="en-GB"/>
        </w:rPr>
        <w:t>f)</w:t>
      </w:r>
      <w:r w:rsidRPr="00AF54BA">
        <w:rPr>
          <w:lang w:val="en-GB"/>
        </w:rPr>
        <w:tab/>
        <w:t>that flexibility must be afforded to administrations to determine:</w:t>
      </w:r>
    </w:p>
    <w:p w:rsidR="00AF54BA" w:rsidRPr="00AF54BA" w:rsidRDefault="00AF54BA" w:rsidP="00AF54BA">
      <w:pPr>
        <w:pStyle w:val="enumlev1"/>
        <w:rPr>
          <w:lang w:val="en-GB"/>
        </w:rPr>
      </w:pPr>
      <w:r w:rsidRPr="00AF54BA">
        <w:rPr>
          <w:lang w:val="en-GB"/>
        </w:rPr>
        <w:t>–</w:t>
      </w:r>
      <w:r w:rsidRPr="00AF54BA">
        <w:rPr>
          <w:lang w:val="en-GB"/>
        </w:rPr>
        <w:tab/>
        <w:t>how much spectrum to make available at a national level for PPDR within the band 4</w:t>
      </w:r>
      <w:r w:rsidR="00225B4C">
        <w:rPr>
          <w:lang w:val="en-GB"/>
        </w:rPr>
        <w:t> </w:t>
      </w:r>
      <w:r w:rsidRPr="00AF54BA">
        <w:rPr>
          <w:lang w:val="en-GB"/>
        </w:rPr>
        <w:t>940</w:t>
      </w:r>
      <w:r w:rsidR="00225B4C">
        <w:rPr>
          <w:lang w:val="en-GB"/>
        </w:rPr>
        <w:noBreakHyphen/>
      </w:r>
      <w:r w:rsidRPr="00AF54BA">
        <w:rPr>
          <w:lang w:val="en-GB"/>
        </w:rPr>
        <w:t>4</w:t>
      </w:r>
      <w:r w:rsidR="00225B4C">
        <w:rPr>
          <w:lang w:val="en-GB"/>
        </w:rPr>
        <w:t> </w:t>
      </w:r>
      <w:r w:rsidRPr="00AF54BA">
        <w:rPr>
          <w:lang w:val="en-GB"/>
        </w:rPr>
        <w:t>990 MHz in order to meet their particular national requirements; and</w:t>
      </w:r>
    </w:p>
    <w:p w:rsidR="00AF54BA" w:rsidRPr="00AF54BA" w:rsidRDefault="00AF54BA" w:rsidP="00AF54BA">
      <w:pPr>
        <w:pStyle w:val="enumlev1"/>
        <w:rPr>
          <w:lang w:val="en-GB"/>
        </w:rPr>
      </w:pPr>
      <w:r w:rsidRPr="00AF54BA">
        <w:rPr>
          <w:lang w:val="en-GB"/>
        </w:rPr>
        <w:t>–</w:t>
      </w:r>
      <w:r w:rsidRPr="00AF54BA">
        <w:rPr>
          <w:lang w:val="en-GB"/>
        </w:rPr>
        <w:tab/>
        <w:t>the need and timing of availability as well as the conditions of usage of the band 4</w:t>
      </w:r>
      <w:r w:rsidR="00225B4C">
        <w:rPr>
          <w:lang w:val="en-GB"/>
        </w:rPr>
        <w:t> </w:t>
      </w:r>
      <w:r w:rsidRPr="00AF54BA">
        <w:rPr>
          <w:lang w:val="en-GB"/>
        </w:rPr>
        <w:t>940</w:t>
      </w:r>
      <w:r w:rsidR="00225B4C">
        <w:rPr>
          <w:lang w:val="en-GB"/>
        </w:rPr>
        <w:noBreakHyphen/>
      </w:r>
      <w:r w:rsidRPr="00AF54BA">
        <w:rPr>
          <w:lang w:val="en-GB"/>
        </w:rPr>
        <w:t>4</w:t>
      </w:r>
      <w:r w:rsidR="00225B4C">
        <w:rPr>
          <w:lang w:val="en-GB"/>
        </w:rPr>
        <w:t> </w:t>
      </w:r>
      <w:r w:rsidRPr="00AF54BA">
        <w:rPr>
          <w:lang w:val="en-GB"/>
        </w:rPr>
        <w:t>990</w:t>
      </w:r>
      <w:r w:rsidR="00225B4C">
        <w:rPr>
          <w:lang w:val="en-GB"/>
        </w:rPr>
        <w:t> </w:t>
      </w:r>
      <w:r w:rsidRPr="00AF54BA">
        <w:rPr>
          <w:lang w:val="en-GB"/>
        </w:rPr>
        <w:t>MHz</w:t>
      </w:r>
      <w:r w:rsidRPr="00AF54BA" w:rsidDel="00FE7ED6">
        <w:rPr>
          <w:lang w:val="en-GB"/>
        </w:rPr>
        <w:t xml:space="preserve"> </w:t>
      </w:r>
      <w:r w:rsidRPr="00AF54BA">
        <w:rPr>
          <w:lang w:val="en-GB"/>
        </w:rPr>
        <w:t xml:space="preserve"> for PPDR in order to meet specific national situations;</w:t>
      </w:r>
      <w:bookmarkStart w:id="4" w:name="OLE_LINK5"/>
      <w:bookmarkStart w:id="5" w:name="OLE_LINK6"/>
    </w:p>
    <w:p w:rsidR="00AF54BA" w:rsidRPr="00AF54BA" w:rsidRDefault="00AF54BA" w:rsidP="00AF54BA">
      <w:pPr>
        <w:rPr>
          <w:lang w:val="en-GB"/>
        </w:rPr>
      </w:pPr>
      <w:r w:rsidRPr="00AF54BA">
        <w:rPr>
          <w:i/>
          <w:iCs/>
          <w:lang w:val="en-GB"/>
        </w:rPr>
        <w:t>g)</w:t>
      </w:r>
      <w:r w:rsidRPr="00AF54BA">
        <w:rPr>
          <w:lang w:val="en-GB"/>
        </w:rPr>
        <w:tab/>
        <w:t xml:space="preserve">that CITEL approved </w:t>
      </w:r>
      <w:r w:rsidR="009E6253">
        <w:fldChar w:fldCharType="begin"/>
      </w:r>
      <w:r w:rsidR="009E6253" w:rsidRPr="00B958E4">
        <w:rPr>
          <w:lang w:val="en-GB"/>
        </w:rPr>
        <w:instrText xml:space="preserve"> HYPERLINK "https://na01.safelinks.protection.outlook.com/?url=http%3A%2F%2Fwww.oas.org%2Fciteldocuments%2FDownload.aspx%3Fid%3D426&amp;data=02%7C01%7Casanders%40ntia.doc.gov%7C4d</w:instrText>
      </w:r>
      <w:r w:rsidR="009E6253" w:rsidRPr="00B958E4">
        <w:rPr>
          <w:lang w:val="en-GB"/>
        </w:rPr>
        <w:instrText xml:space="preserve">374d080dd940f9648408d6456c0833%7Cd6cff1bd67dd4ce8945dd07dc775672f%7C0%7C0%7C636772727625998791&amp;sdata=UQhmOi85VMv7l6G2NzIOYHafSzhMKumXxN%2FFqcFShsE%3D&amp;reserved=0" </w:instrText>
      </w:r>
      <w:r w:rsidR="009E6253">
        <w:fldChar w:fldCharType="separate"/>
      </w:r>
      <w:r w:rsidRPr="003202C4">
        <w:rPr>
          <w:rStyle w:val="Hyperlink"/>
          <w:color w:val="auto"/>
          <w:u w:val="none"/>
          <w:lang w:val="en-GB"/>
        </w:rPr>
        <w:t>PCC.II/Rec. 16(VII-06)</w:t>
      </w:r>
      <w:r w:rsidR="009E6253">
        <w:rPr>
          <w:rStyle w:val="Hyperlink"/>
          <w:color w:val="auto"/>
          <w:u w:val="none"/>
          <w:lang w:val="en-GB"/>
        </w:rPr>
        <w:fldChar w:fldCharType="end"/>
      </w:r>
      <w:r w:rsidRPr="00AF54BA">
        <w:rPr>
          <w:lang w:val="en-GB"/>
        </w:rPr>
        <w:t xml:space="preserve"> on the use of the 4 940-4 990 MHz band in Region 2 for PPDR, which includes the frequency channel plan in Annex 1 of this Recommendation; </w:t>
      </w:r>
    </w:p>
    <w:p w:rsidR="00AF54BA" w:rsidRPr="00AF54BA" w:rsidRDefault="00AF54BA" w:rsidP="00AF54BA">
      <w:pPr>
        <w:rPr>
          <w:lang w:val="en-GB"/>
        </w:rPr>
      </w:pPr>
      <w:r w:rsidRPr="00AF54BA">
        <w:rPr>
          <w:i/>
          <w:iCs/>
          <w:lang w:val="en-GB"/>
        </w:rPr>
        <w:t>h)</w:t>
      </w:r>
      <w:r w:rsidRPr="00AF54BA">
        <w:rPr>
          <w:lang w:val="en-GB"/>
        </w:rPr>
        <w:tab/>
      </w:r>
      <w:proofErr w:type="gramStart"/>
      <w:r w:rsidRPr="00AF54BA">
        <w:rPr>
          <w:lang w:val="en-GB"/>
        </w:rPr>
        <w:t>that</w:t>
      </w:r>
      <w:proofErr w:type="gramEnd"/>
      <w:r w:rsidRPr="00AF54BA">
        <w:rPr>
          <w:lang w:val="en-GB"/>
        </w:rPr>
        <w:t xml:space="preserve"> the APT approved </w:t>
      </w:r>
      <w:hyperlink r:id="rId12" w:history="1">
        <w:r w:rsidRPr="003202C4">
          <w:rPr>
            <w:rStyle w:val="Hyperlink"/>
            <w:color w:val="auto"/>
            <w:u w:val="none"/>
            <w:lang w:val="en-GB"/>
          </w:rPr>
          <w:t>No. APT/AWF/REC-01(Rev.1)</w:t>
        </w:r>
      </w:hyperlink>
      <w:r w:rsidRPr="00AF54BA">
        <w:rPr>
          <w:lang w:val="en-GB"/>
        </w:rPr>
        <w:t xml:space="preserve"> (Edition September 2006) on use of the band 4 940-4 990 MHz for PPDR applications in Region 3, which includes the example frequency channel plan in Annex 2 of this Recommendation</w:t>
      </w:r>
      <w:r w:rsidR="009D0550">
        <w:rPr>
          <w:lang w:val="en-GB"/>
        </w:rPr>
        <w:t>,</w:t>
      </w:r>
    </w:p>
    <w:bookmarkEnd w:id="4"/>
    <w:bookmarkEnd w:id="5"/>
    <w:p w:rsidR="00AF54BA" w:rsidRPr="00AF54BA" w:rsidRDefault="00AF54BA" w:rsidP="00AF54BA">
      <w:pPr>
        <w:pStyle w:val="Call"/>
        <w:rPr>
          <w:b/>
          <w:lang w:val="en-GB"/>
        </w:rPr>
      </w:pPr>
      <w:r w:rsidRPr="00AF54BA">
        <w:rPr>
          <w:lang w:val="en-GB"/>
        </w:rPr>
        <w:t>recommends</w:t>
      </w:r>
    </w:p>
    <w:p w:rsidR="00AF54BA" w:rsidRPr="00AF54BA" w:rsidRDefault="00AF54BA" w:rsidP="00AF54BA">
      <w:pPr>
        <w:rPr>
          <w:lang w:val="en-GB"/>
        </w:rPr>
      </w:pPr>
      <w:r w:rsidRPr="00AF54BA">
        <w:rPr>
          <w:b/>
          <w:bCs/>
          <w:lang w:val="en-GB"/>
        </w:rPr>
        <w:t>1</w:t>
      </w:r>
      <w:r w:rsidRPr="00AF54BA">
        <w:rPr>
          <w:lang w:val="en-GB"/>
        </w:rPr>
        <w:tab/>
        <w:t>that harmonized bands for PPDR should be used to the maximum extent possible, taking into account the national and regional requirements and also having regard to any needed consultation and cooperation with other concerned countries;</w:t>
      </w:r>
    </w:p>
    <w:p w:rsidR="00AF54BA" w:rsidRPr="00AF54BA" w:rsidRDefault="00AF54BA" w:rsidP="00AF54BA">
      <w:pPr>
        <w:rPr>
          <w:lang w:val="en-GB"/>
        </w:rPr>
      </w:pPr>
      <w:r w:rsidRPr="00AF54BA">
        <w:rPr>
          <w:b/>
          <w:bCs/>
          <w:lang w:val="en-GB"/>
        </w:rPr>
        <w:t>2</w:t>
      </w:r>
      <w:r w:rsidRPr="00AF54BA">
        <w:rPr>
          <w:lang w:val="en-GB"/>
        </w:rPr>
        <w:tab/>
        <w:t>that, for the purposes of achieving harmonized frequency bands/ranges for PPDR, administrations in Regions 2 and 3 should consider using the band 4 940-4 990 MHz, or parts thereof, when undertaking their national planning for broadband PPDR applications;</w:t>
      </w:r>
    </w:p>
    <w:p w:rsidR="00AF54BA" w:rsidRPr="00AF54BA" w:rsidRDefault="00AF54BA" w:rsidP="00AF54BA">
      <w:pPr>
        <w:rPr>
          <w:lang w:val="en-GB"/>
        </w:rPr>
      </w:pPr>
      <w:r w:rsidRPr="00AF54BA">
        <w:rPr>
          <w:b/>
          <w:bCs/>
          <w:lang w:val="en-GB"/>
        </w:rPr>
        <w:t>3</w:t>
      </w:r>
      <w:r w:rsidRPr="00AF54BA">
        <w:rPr>
          <w:lang w:val="en-GB"/>
        </w:rPr>
        <w:tab/>
        <w:t>that administrations in Regions 2 and 3 should consider using the frequency channelling plans indicated in Annexes 1 and 2 when allocating spectrum for use by users who are directly involved with PPDR.</w:t>
      </w:r>
    </w:p>
    <w:p w:rsidR="00AF54BA" w:rsidRPr="00AF54BA" w:rsidRDefault="00AF54BA" w:rsidP="00AF54BA">
      <w:pPr>
        <w:rPr>
          <w:lang w:val="en-GB"/>
        </w:rPr>
      </w:pPr>
    </w:p>
    <w:p w:rsidR="00AF54BA" w:rsidRPr="00AF54BA" w:rsidRDefault="00AF54BA" w:rsidP="00AF54BA">
      <w:pPr>
        <w:rPr>
          <w:lang w:val="en-GB"/>
        </w:rPr>
      </w:pPr>
    </w:p>
    <w:p w:rsidR="00AF54BA" w:rsidRPr="00DE42CF" w:rsidRDefault="00AF54BA" w:rsidP="00AF54BA">
      <w:pPr>
        <w:pStyle w:val="AnnexNoTitle"/>
        <w:rPr>
          <w:lang w:val="en-GB"/>
        </w:rPr>
      </w:pPr>
      <w:r w:rsidRPr="00DE42CF">
        <w:rPr>
          <w:lang w:val="en-GB"/>
        </w:rPr>
        <w:t>Annex 1</w:t>
      </w:r>
      <w:r w:rsidRPr="00DE42CF">
        <w:rPr>
          <w:lang w:val="en-GB"/>
        </w:rPr>
        <w:br/>
      </w:r>
      <w:r w:rsidRPr="00DE42CF">
        <w:rPr>
          <w:lang w:val="en-GB"/>
        </w:rPr>
        <w:br/>
        <w:t xml:space="preserve">Channelling plan A for the band 4 940-4 990 MHz for broadband </w:t>
      </w:r>
      <w:r w:rsidRPr="00DE42CF">
        <w:rPr>
          <w:lang w:val="en-GB"/>
        </w:rPr>
        <w:br/>
        <w:t xml:space="preserve">public protection and disaster relief operations </w:t>
      </w:r>
    </w:p>
    <w:p w:rsidR="00AF54BA" w:rsidRDefault="00AF54BA" w:rsidP="00AF54BA">
      <w:pPr>
        <w:pStyle w:val="Normalaftertitle"/>
        <w:rPr>
          <w:lang w:val="en-GB"/>
        </w:rPr>
      </w:pPr>
      <w:r w:rsidRPr="00AF54BA">
        <w:rPr>
          <w:lang w:val="en-GB"/>
        </w:rPr>
        <w:t>This frequency channelling plan consists of ten 1 MHz channels, at the edges of the allocation, and eight 5 MHz channels in the centre of the allocation, as detailed below in Fig. 1 and Table 1. Channels may be aggregated into channel bandwidths of up to 50 MHz for higher capacity or higher bandwidth applications to allow maximum flexibility and implementation of broadband technologies.</w:t>
      </w:r>
    </w:p>
    <w:p w:rsidR="00AF54BA" w:rsidRPr="00DE42CF" w:rsidRDefault="00AF54BA" w:rsidP="00AF54BA">
      <w:pPr>
        <w:pStyle w:val="FigureNo"/>
      </w:pPr>
      <w:r w:rsidRPr="00DE42CF">
        <w:t>Figure 1</w:t>
      </w:r>
    </w:p>
    <w:p w:rsidR="00AF54BA" w:rsidRPr="00DE42CF" w:rsidRDefault="00AF54BA" w:rsidP="00AF54BA">
      <w:pPr>
        <w:pStyle w:val="Figuretitle"/>
      </w:pPr>
      <w:bookmarkStart w:id="6" w:name="OLE_LINK1"/>
      <w:bookmarkStart w:id="7" w:name="OLE_LINK2"/>
      <w:r w:rsidRPr="00DE42CF">
        <w:t>Channelling plan A</w:t>
      </w:r>
    </w:p>
    <w:p w:rsidR="00AF54BA" w:rsidRPr="00DE42CF" w:rsidRDefault="00BF34A2" w:rsidP="00AF54BA">
      <w:pPr>
        <w:pStyle w:val="Figure"/>
      </w:pPr>
      <w:r>
        <w:rPr>
          <w:noProof/>
          <w:lang w:val="en-GB" w:eastAsia="en-GB"/>
        </w:rPr>
        <w:drawing>
          <wp:inline distT="0" distB="0" distL="0" distR="0" wp14:anchorId="7CCB8A0F" wp14:editId="277C55F7">
            <wp:extent cx="5516891" cy="1996444"/>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826-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6891" cy="1996444"/>
                    </a:xfrm>
                    <a:prstGeom prst="rect">
                      <a:avLst/>
                    </a:prstGeom>
                  </pic:spPr>
                </pic:pic>
              </a:graphicData>
            </a:graphic>
          </wp:inline>
        </w:drawing>
      </w:r>
    </w:p>
    <w:bookmarkEnd w:id="6"/>
    <w:bookmarkEnd w:id="7"/>
    <w:p w:rsidR="00AF54BA" w:rsidRPr="00DE42CF" w:rsidRDefault="00AF54BA" w:rsidP="00AF54BA">
      <w:pPr>
        <w:pStyle w:val="TableNo"/>
      </w:pPr>
      <w:r w:rsidRPr="00DE42CF">
        <w:t>TABLE 1</w:t>
      </w:r>
    </w:p>
    <w:p w:rsidR="00AF54BA" w:rsidRPr="00DE42CF" w:rsidRDefault="00AF54BA" w:rsidP="00AF54BA">
      <w:pPr>
        <w:pStyle w:val="Tabletitle"/>
      </w:pPr>
      <w:r w:rsidRPr="00DE42CF">
        <w:t>Channelling plan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2625"/>
        <w:gridCol w:w="2620"/>
      </w:tblGrid>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tcPr>
          <w:p w:rsidR="00AF54BA" w:rsidRPr="00DE42CF" w:rsidRDefault="00AF54BA" w:rsidP="00C36242">
            <w:pPr>
              <w:pStyle w:val="Tablehead"/>
            </w:pPr>
            <w:r w:rsidRPr="00DE42CF">
              <w:t>Channel</w:t>
            </w:r>
          </w:p>
        </w:tc>
        <w:tc>
          <w:tcPr>
            <w:tcW w:w="2625" w:type="dxa"/>
            <w:tcBorders>
              <w:top w:val="single" w:sz="4" w:space="0" w:color="auto"/>
              <w:left w:val="single" w:sz="4" w:space="0" w:color="auto"/>
              <w:bottom w:val="single" w:sz="4" w:space="0" w:color="auto"/>
              <w:right w:val="single" w:sz="4" w:space="0" w:color="auto"/>
            </w:tcBorders>
            <w:noWrap/>
          </w:tcPr>
          <w:p w:rsidR="00AF54BA" w:rsidRPr="00DE42CF" w:rsidRDefault="00AF54BA" w:rsidP="00C36242">
            <w:pPr>
              <w:pStyle w:val="Tablehead"/>
            </w:pPr>
            <w:r w:rsidRPr="00DE42CF">
              <w:t>Lower frequency</w:t>
            </w:r>
            <w:r w:rsidRPr="00DE42CF">
              <w:br/>
              <w:t>(MHz)</w:t>
            </w:r>
          </w:p>
        </w:tc>
        <w:tc>
          <w:tcPr>
            <w:tcW w:w="2620" w:type="dxa"/>
            <w:tcBorders>
              <w:top w:val="single" w:sz="4" w:space="0" w:color="auto"/>
              <w:left w:val="single" w:sz="4" w:space="0" w:color="auto"/>
              <w:bottom w:val="single" w:sz="4" w:space="0" w:color="auto"/>
              <w:right w:val="single" w:sz="4" w:space="0" w:color="auto"/>
            </w:tcBorders>
          </w:tcPr>
          <w:p w:rsidR="00AF54BA" w:rsidRPr="00DE42CF" w:rsidRDefault="00AF54BA" w:rsidP="00C36242">
            <w:pPr>
              <w:pStyle w:val="Tablehead"/>
            </w:pPr>
            <w:r w:rsidRPr="00DE42CF">
              <w:t>Upper frequency</w:t>
            </w:r>
            <w:r w:rsidRPr="00DE42CF">
              <w:br/>
              <w:t>(MHz)</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keepNext/>
              <w:jc w:val="center"/>
            </w:pPr>
            <w:r w:rsidRPr="00DE42CF">
              <w:t>1</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keepNext/>
              <w:jc w:val="center"/>
            </w:pPr>
            <w:r w:rsidRPr="00DE42CF">
              <w:t>4 940</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keepNext/>
              <w:jc w:val="center"/>
            </w:pPr>
            <w:r w:rsidRPr="00DE42CF">
              <w:t>4 941</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2</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4 941</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4 942</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3</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4 942</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4 943</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4 943</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4 944</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5</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4 944</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4 945</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6</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4 945</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4 950</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7</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4 950</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4 955</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8</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4 955</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4 960</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9</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4 960</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4 965</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10</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4 965</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4 970</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11</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4 970</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4 975</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12</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4 975</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4 980</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13</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4 980</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4 985</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14</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4 985</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4 986</w:t>
            </w:r>
          </w:p>
        </w:tc>
      </w:tr>
    </w:tbl>
    <w:p w:rsidR="0051115E" w:rsidRDefault="0051115E">
      <w:r>
        <w:br w:type="page"/>
      </w:r>
    </w:p>
    <w:p w:rsidR="0051115E" w:rsidRPr="00DE42CF" w:rsidRDefault="0051115E" w:rsidP="0051115E">
      <w:pPr>
        <w:pStyle w:val="TableNo"/>
      </w:pPr>
      <w:r w:rsidRPr="00DE42CF">
        <w:t>TABLE 1</w:t>
      </w:r>
      <w:r>
        <w:t xml:space="preserve"> (</w:t>
      </w:r>
      <w:r w:rsidRPr="0051115E">
        <w:rPr>
          <w:i/>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0"/>
        <w:gridCol w:w="2625"/>
        <w:gridCol w:w="2620"/>
      </w:tblGrid>
      <w:tr w:rsidR="0051115E"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tcPr>
          <w:p w:rsidR="0051115E" w:rsidRPr="00DE42CF" w:rsidRDefault="0051115E" w:rsidP="00C36242">
            <w:pPr>
              <w:pStyle w:val="Tablehead"/>
            </w:pPr>
            <w:r w:rsidRPr="00DE42CF">
              <w:t>Channel</w:t>
            </w:r>
          </w:p>
        </w:tc>
        <w:tc>
          <w:tcPr>
            <w:tcW w:w="2625" w:type="dxa"/>
            <w:tcBorders>
              <w:top w:val="single" w:sz="4" w:space="0" w:color="auto"/>
              <w:left w:val="single" w:sz="4" w:space="0" w:color="auto"/>
              <w:bottom w:val="single" w:sz="4" w:space="0" w:color="auto"/>
              <w:right w:val="single" w:sz="4" w:space="0" w:color="auto"/>
            </w:tcBorders>
            <w:noWrap/>
          </w:tcPr>
          <w:p w:rsidR="0051115E" w:rsidRPr="00DE42CF" w:rsidRDefault="0051115E" w:rsidP="00C36242">
            <w:pPr>
              <w:pStyle w:val="Tablehead"/>
            </w:pPr>
            <w:r w:rsidRPr="00DE42CF">
              <w:t>Lower frequency</w:t>
            </w:r>
            <w:r w:rsidRPr="00DE42CF">
              <w:br/>
              <w:t>(MHz)</w:t>
            </w:r>
          </w:p>
        </w:tc>
        <w:tc>
          <w:tcPr>
            <w:tcW w:w="2620" w:type="dxa"/>
            <w:tcBorders>
              <w:top w:val="single" w:sz="4" w:space="0" w:color="auto"/>
              <w:left w:val="single" w:sz="4" w:space="0" w:color="auto"/>
              <w:bottom w:val="single" w:sz="4" w:space="0" w:color="auto"/>
              <w:right w:val="single" w:sz="4" w:space="0" w:color="auto"/>
            </w:tcBorders>
          </w:tcPr>
          <w:p w:rsidR="0051115E" w:rsidRPr="00DE42CF" w:rsidRDefault="0051115E" w:rsidP="00C36242">
            <w:pPr>
              <w:pStyle w:val="Tablehead"/>
            </w:pPr>
            <w:r w:rsidRPr="00DE42CF">
              <w:t>Upper frequency</w:t>
            </w:r>
            <w:r w:rsidRPr="00DE42CF">
              <w:br/>
              <w:t>(MHz)</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15</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4 986</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4 987</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16</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4 987</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4 988</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17</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4 988</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4 989</w:t>
            </w:r>
          </w:p>
        </w:tc>
      </w:tr>
      <w:tr w:rsidR="00AF54BA" w:rsidRPr="00DE42CF" w:rsidTr="00C36242">
        <w:trPr>
          <w:trHeight w:val="200"/>
          <w:jc w:val="center"/>
        </w:trPr>
        <w:tc>
          <w:tcPr>
            <w:tcW w:w="1430"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18</w:t>
            </w:r>
          </w:p>
        </w:tc>
        <w:tc>
          <w:tcPr>
            <w:tcW w:w="2625" w:type="dxa"/>
            <w:tcBorders>
              <w:top w:val="single" w:sz="4" w:space="0" w:color="auto"/>
              <w:left w:val="single" w:sz="4" w:space="0" w:color="auto"/>
              <w:bottom w:val="single" w:sz="4" w:space="0" w:color="auto"/>
              <w:right w:val="single" w:sz="4" w:space="0" w:color="auto"/>
            </w:tcBorders>
            <w:noWrap/>
            <w:vAlign w:val="center"/>
          </w:tcPr>
          <w:p w:rsidR="00AF54BA" w:rsidRPr="00DE42CF" w:rsidRDefault="00AF54BA" w:rsidP="00C36242">
            <w:pPr>
              <w:pStyle w:val="Tabletext"/>
              <w:jc w:val="center"/>
            </w:pPr>
            <w:r w:rsidRPr="00DE42CF">
              <w:t>4 989</w:t>
            </w:r>
          </w:p>
        </w:tc>
        <w:tc>
          <w:tcPr>
            <w:tcW w:w="2620" w:type="dxa"/>
            <w:tcBorders>
              <w:top w:val="single" w:sz="4" w:space="0" w:color="auto"/>
              <w:left w:val="single" w:sz="4" w:space="0" w:color="auto"/>
              <w:bottom w:val="single" w:sz="4" w:space="0" w:color="auto"/>
              <w:right w:val="single" w:sz="4" w:space="0" w:color="auto"/>
            </w:tcBorders>
            <w:vAlign w:val="center"/>
          </w:tcPr>
          <w:p w:rsidR="00AF54BA" w:rsidRPr="00DE42CF" w:rsidRDefault="00AF54BA" w:rsidP="00C36242">
            <w:pPr>
              <w:pStyle w:val="Tabletext"/>
              <w:jc w:val="center"/>
            </w:pPr>
            <w:r w:rsidRPr="00DE42CF">
              <w:t>4 990</w:t>
            </w:r>
          </w:p>
        </w:tc>
      </w:tr>
    </w:tbl>
    <w:p w:rsidR="00AF54BA" w:rsidRPr="00DE42CF" w:rsidRDefault="00AF54BA" w:rsidP="00AF54BA">
      <w:pPr>
        <w:pStyle w:val="Tablefin"/>
      </w:pPr>
    </w:p>
    <w:p w:rsidR="00AF54BA" w:rsidRPr="00DE42CF" w:rsidRDefault="00AF54BA" w:rsidP="00AF54BA"/>
    <w:p w:rsidR="00AF54BA" w:rsidRPr="00DE42CF" w:rsidRDefault="00AF54BA" w:rsidP="00AF54BA"/>
    <w:p w:rsidR="00AF54BA" w:rsidRPr="00DE42CF" w:rsidRDefault="00AF54BA" w:rsidP="00AF54BA">
      <w:pPr>
        <w:pStyle w:val="AnnexNoTitle"/>
        <w:rPr>
          <w:lang w:val="en-GB"/>
        </w:rPr>
      </w:pPr>
      <w:r w:rsidRPr="00DE42CF">
        <w:rPr>
          <w:lang w:val="en-GB"/>
        </w:rPr>
        <w:t>Annex 2</w:t>
      </w:r>
      <w:r w:rsidRPr="00DE42CF">
        <w:rPr>
          <w:lang w:val="en-GB"/>
        </w:rPr>
        <w:br/>
      </w:r>
      <w:r w:rsidRPr="00DE42CF">
        <w:rPr>
          <w:lang w:val="en-GB"/>
        </w:rPr>
        <w:br/>
        <w:t>Channelling plan B for the band 4 940-4 990 MHz for broadband</w:t>
      </w:r>
      <w:r w:rsidRPr="00DE42CF">
        <w:rPr>
          <w:lang w:val="en-GB"/>
        </w:rPr>
        <w:br/>
        <w:t>public protection and disaster relief operations</w:t>
      </w:r>
    </w:p>
    <w:p w:rsidR="00AF54BA" w:rsidRPr="00AF54BA" w:rsidRDefault="00AF54BA" w:rsidP="00AF54BA">
      <w:pPr>
        <w:pStyle w:val="Normalaftertitle"/>
        <w:rPr>
          <w:lang w:val="en-GB"/>
        </w:rPr>
      </w:pPr>
      <w:r w:rsidRPr="00AF54BA">
        <w:rPr>
          <w:lang w:val="en-GB"/>
        </w:rPr>
        <w:t>The following channelling plan (see Table 2), which supports channel widths from 5 MHz to 50 MHz, to provide the flexibility needed for administrations to support a variety of PPDR operational requirements. Because these channels overlap one another, administrations may take precautions in their assignment procedures to ensure that overlapping channels do not occur in close enough proximity to cause conflicts between multiple PPDR users. Note that not all of the channels are available in some countries.</w:t>
      </w:r>
    </w:p>
    <w:p w:rsidR="00AF54BA" w:rsidRPr="00AF54BA" w:rsidRDefault="00AF54BA" w:rsidP="00AF54BA">
      <w:pPr>
        <w:pStyle w:val="TableNo"/>
        <w:rPr>
          <w:lang w:val="en-GB"/>
        </w:rPr>
      </w:pPr>
      <w:r w:rsidRPr="00AF54BA">
        <w:rPr>
          <w:lang w:val="en-GB"/>
        </w:rPr>
        <w:t>TABLE 2</w:t>
      </w:r>
    </w:p>
    <w:p w:rsidR="00AF54BA" w:rsidRPr="00AF54BA" w:rsidRDefault="00AF54BA" w:rsidP="00AF54BA">
      <w:pPr>
        <w:pStyle w:val="Tabletitle"/>
        <w:rPr>
          <w:lang w:val="en-GB"/>
        </w:rPr>
      </w:pPr>
      <w:r w:rsidRPr="00AF54BA">
        <w:rPr>
          <w:lang w:val="en-GB"/>
        </w:rPr>
        <w:t>Channelling plan B for 4 940-4 990 MHz</w:t>
      </w:r>
    </w:p>
    <w:tbl>
      <w:tblPr>
        <w:tblW w:w="507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97"/>
        <w:gridCol w:w="1603"/>
        <w:gridCol w:w="1560"/>
        <w:gridCol w:w="1560"/>
        <w:gridCol w:w="1562"/>
        <w:gridCol w:w="1691"/>
      </w:tblGrid>
      <w:tr w:rsidR="00AF54BA" w:rsidRPr="00DE42CF" w:rsidTr="0051115E">
        <w:trPr>
          <w:jc w:val="center"/>
        </w:trPr>
        <w:tc>
          <w:tcPr>
            <w:tcW w:w="919" w:type="pct"/>
            <w:shd w:val="clear" w:color="auto" w:fill="auto"/>
          </w:tcPr>
          <w:p w:rsidR="00AF54BA" w:rsidRPr="00DE42CF" w:rsidRDefault="00AF54BA" w:rsidP="00C36242">
            <w:pPr>
              <w:pStyle w:val="Tablehead"/>
            </w:pPr>
            <w:r w:rsidRPr="00DE42CF">
              <w:t>Channel number</w:t>
            </w:r>
            <w:r w:rsidRPr="00DE42CF">
              <w:br/>
              <w:t>(</w:t>
            </w:r>
            <w:r w:rsidRPr="00DE42CF">
              <w:rPr>
                <w:i/>
                <w:iCs/>
              </w:rPr>
              <w:t>n</w:t>
            </w:r>
            <w:r w:rsidRPr="00DE42CF">
              <w:rPr>
                <w:i/>
                <w:iCs/>
                <w:vertAlign w:val="subscript"/>
              </w:rPr>
              <w:t>ch</w:t>
            </w:r>
            <w:r w:rsidRPr="00DE42CF">
              <w:t>)</w:t>
            </w:r>
          </w:p>
        </w:tc>
        <w:tc>
          <w:tcPr>
            <w:tcW w:w="820" w:type="pct"/>
            <w:shd w:val="clear" w:color="auto" w:fill="auto"/>
          </w:tcPr>
          <w:p w:rsidR="00AF54BA" w:rsidRPr="00DE42CF" w:rsidRDefault="00AF54BA" w:rsidP="00C36242">
            <w:pPr>
              <w:pStyle w:val="Tablehead"/>
            </w:pPr>
            <w:r w:rsidRPr="00DE42CF">
              <w:t>Channel centre</w:t>
            </w:r>
            <w:r w:rsidRPr="00DE42CF">
              <w:br/>
              <w:t>5 MHz</w:t>
            </w:r>
          </w:p>
        </w:tc>
        <w:tc>
          <w:tcPr>
            <w:tcW w:w="798" w:type="pct"/>
            <w:shd w:val="clear" w:color="auto" w:fill="auto"/>
          </w:tcPr>
          <w:p w:rsidR="00AF54BA" w:rsidRPr="00DE42CF" w:rsidRDefault="00AF54BA" w:rsidP="00C36242">
            <w:pPr>
              <w:pStyle w:val="Tablehead"/>
            </w:pPr>
            <w:r w:rsidRPr="00DE42CF">
              <w:t>Channel centre</w:t>
            </w:r>
            <w:r w:rsidRPr="00DE42CF">
              <w:br/>
              <w:t>10 MHz</w:t>
            </w:r>
          </w:p>
        </w:tc>
        <w:tc>
          <w:tcPr>
            <w:tcW w:w="798" w:type="pct"/>
            <w:shd w:val="clear" w:color="auto" w:fill="auto"/>
          </w:tcPr>
          <w:p w:rsidR="00AF54BA" w:rsidRPr="00DE42CF" w:rsidRDefault="00AF54BA" w:rsidP="00C36242">
            <w:pPr>
              <w:pStyle w:val="Tablehead"/>
            </w:pPr>
            <w:r w:rsidRPr="00DE42CF">
              <w:t>Channel centre</w:t>
            </w:r>
            <w:r w:rsidRPr="00DE42CF">
              <w:br/>
              <w:t>20 MHz</w:t>
            </w:r>
          </w:p>
        </w:tc>
        <w:tc>
          <w:tcPr>
            <w:tcW w:w="799" w:type="pct"/>
            <w:shd w:val="clear" w:color="auto" w:fill="auto"/>
          </w:tcPr>
          <w:p w:rsidR="00AF54BA" w:rsidRPr="00DE42CF" w:rsidRDefault="00AF54BA" w:rsidP="00C36242">
            <w:pPr>
              <w:pStyle w:val="Tablehead"/>
            </w:pPr>
            <w:r w:rsidRPr="00DE42CF">
              <w:t>Channel centre</w:t>
            </w:r>
            <w:r w:rsidRPr="00DE42CF">
              <w:br/>
              <w:t>40 MHz</w:t>
            </w:r>
          </w:p>
        </w:tc>
        <w:tc>
          <w:tcPr>
            <w:tcW w:w="865" w:type="pct"/>
            <w:shd w:val="clear" w:color="auto" w:fill="auto"/>
          </w:tcPr>
          <w:p w:rsidR="00AF54BA" w:rsidRPr="00DE42CF" w:rsidRDefault="00AF54BA" w:rsidP="00C36242">
            <w:pPr>
              <w:pStyle w:val="Tablehead"/>
            </w:pPr>
            <w:r w:rsidRPr="00DE42CF">
              <w:t xml:space="preserve">Channel </w:t>
            </w:r>
            <w:r w:rsidR="003202C4">
              <w:br/>
            </w:r>
            <w:r w:rsidRPr="00DE42CF">
              <w:t>centre</w:t>
            </w:r>
            <w:r w:rsidRPr="00DE42CF">
              <w:br/>
              <w:t>50 MHz</w:t>
            </w:r>
          </w:p>
        </w:tc>
      </w:tr>
      <w:tr w:rsidR="00AF54BA" w:rsidRPr="00DE42CF" w:rsidTr="0051115E">
        <w:trPr>
          <w:jc w:val="center"/>
        </w:trPr>
        <w:tc>
          <w:tcPr>
            <w:tcW w:w="919" w:type="pct"/>
            <w:shd w:val="clear" w:color="auto" w:fill="auto"/>
          </w:tcPr>
          <w:p w:rsidR="00AF54BA" w:rsidRPr="00DE42CF" w:rsidRDefault="00AF54BA" w:rsidP="00C36242">
            <w:pPr>
              <w:pStyle w:val="Tabletext"/>
              <w:keepNext/>
              <w:jc w:val="center"/>
            </w:pPr>
            <w:r w:rsidRPr="00DE42CF">
              <w:t>1</w:t>
            </w:r>
          </w:p>
        </w:tc>
        <w:tc>
          <w:tcPr>
            <w:tcW w:w="820" w:type="pct"/>
            <w:shd w:val="clear" w:color="auto" w:fill="auto"/>
          </w:tcPr>
          <w:p w:rsidR="00AF54BA" w:rsidRPr="00DE42CF" w:rsidRDefault="00AF54BA" w:rsidP="00C36242">
            <w:pPr>
              <w:pStyle w:val="Tabletext"/>
              <w:keepNext/>
              <w:jc w:val="center"/>
            </w:pPr>
            <w:r w:rsidRPr="00DE42CF">
              <w:t>4 942.5</w:t>
            </w:r>
          </w:p>
        </w:tc>
        <w:tc>
          <w:tcPr>
            <w:tcW w:w="798" w:type="pct"/>
            <w:shd w:val="clear" w:color="auto" w:fill="auto"/>
          </w:tcPr>
          <w:p w:rsidR="00AF54BA" w:rsidRPr="00DE42CF" w:rsidRDefault="00AF54BA" w:rsidP="00C36242">
            <w:pPr>
              <w:pStyle w:val="Tabletext"/>
              <w:keepNext/>
              <w:jc w:val="center"/>
            </w:pPr>
          </w:p>
        </w:tc>
        <w:tc>
          <w:tcPr>
            <w:tcW w:w="798" w:type="pct"/>
            <w:shd w:val="clear" w:color="auto" w:fill="auto"/>
          </w:tcPr>
          <w:p w:rsidR="00AF54BA" w:rsidRPr="00DE42CF" w:rsidRDefault="00AF54BA" w:rsidP="00C36242">
            <w:pPr>
              <w:pStyle w:val="Tabletext"/>
              <w:keepNext/>
              <w:jc w:val="center"/>
            </w:pPr>
          </w:p>
        </w:tc>
        <w:tc>
          <w:tcPr>
            <w:tcW w:w="799" w:type="pct"/>
            <w:shd w:val="clear" w:color="auto" w:fill="auto"/>
          </w:tcPr>
          <w:p w:rsidR="00AF54BA" w:rsidRPr="00DE42CF" w:rsidRDefault="00AF54BA" w:rsidP="00C36242">
            <w:pPr>
              <w:pStyle w:val="Tabletext"/>
              <w:keepNext/>
              <w:jc w:val="center"/>
            </w:pPr>
          </w:p>
        </w:tc>
        <w:tc>
          <w:tcPr>
            <w:tcW w:w="865" w:type="pct"/>
            <w:shd w:val="clear" w:color="auto" w:fill="auto"/>
          </w:tcPr>
          <w:p w:rsidR="00AF54BA" w:rsidRPr="00DE42CF" w:rsidRDefault="00AF54BA" w:rsidP="00C36242">
            <w:pPr>
              <w:pStyle w:val="Tabletext"/>
              <w:keepN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keepNext/>
              <w:jc w:val="center"/>
            </w:pPr>
            <w:r w:rsidRPr="00DE42CF">
              <w:t>2</w:t>
            </w:r>
          </w:p>
        </w:tc>
        <w:tc>
          <w:tcPr>
            <w:tcW w:w="820" w:type="pct"/>
            <w:shd w:val="clear" w:color="auto" w:fill="auto"/>
          </w:tcPr>
          <w:p w:rsidR="00AF54BA" w:rsidRPr="00DE42CF" w:rsidRDefault="00AF54BA" w:rsidP="00C36242">
            <w:pPr>
              <w:pStyle w:val="Tabletext"/>
              <w:keepNext/>
              <w:jc w:val="center"/>
            </w:pPr>
          </w:p>
        </w:tc>
        <w:tc>
          <w:tcPr>
            <w:tcW w:w="798" w:type="pct"/>
            <w:shd w:val="clear" w:color="auto" w:fill="auto"/>
          </w:tcPr>
          <w:p w:rsidR="00AF54BA" w:rsidRPr="00DE42CF" w:rsidRDefault="00AF54BA" w:rsidP="00C36242">
            <w:pPr>
              <w:pStyle w:val="Tabletext"/>
              <w:keepNext/>
              <w:jc w:val="center"/>
            </w:pPr>
            <w:r w:rsidRPr="00DE42CF">
              <w:t>4 945.0</w:t>
            </w:r>
          </w:p>
        </w:tc>
        <w:tc>
          <w:tcPr>
            <w:tcW w:w="798" w:type="pct"/>
            <w:shd w:val="clear" w:color="auto" w:fill="auto"/>
          </w:tcPr>
          <w:p w:rsidR="00AF54BA" w:rsidRPr="00DE42CF" w:rsidRDefault="00AF54BA" w:rsidP="00C36242">
            <w:pPr>
              <w:pStyle w:val="Tabletext"/>
              <w:keepNext/>
              <w:jc w:val="center"/>
            </w:pPr>
          </w:p>
        </w:tc>
        <w:tc>
          <w:tcPr>
            <w:tcW w:w="799" w:type="pct"/>
            <w:shd w:val="clear" w:color="auto" w:fill="auto"/>
          </w:tcPr>
          <w:p w:rsidR="00AF54BA" w:rsidRPr="00DE42CF" w:rsidRDefault="00AF54BA" w:rsidP="00C36242">
            <w:pPr>
              <w:pStyle w:val="Tabletext"/>
              <w:keepNext/>
              <w:jc w:val="center"/>
              <w:rPr>
                <w:highlight w:val="cyan"/>
              </w:rPr>
            </w:pPr>
          </w:p>
        </w:tc>
        <w:tc>
          <w:tcPr>
            <w:tcW w:w="865" w:type="pct"/>
            <w:shd w:val="clear" w:color="auto" w:fill="auto"/>
          </w:tcPr>
          <w:p w:rsidR="00AF54BA" w:rsidRPr="00DE42CF" w:rsidRDefault="00AF54BA" w:rsidP="00C36242">
            <w:pPr>
              <w:pStyle w:val="Tabletext"/>
              <w:keepN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keepNext/>
              <w:jc w:val="center"/>
            </w:pPr>
            <w:r w:rsidRPr="00DE42CF">
              <w:t>3</w:t>
            </w:r>
          </w:p>
        </w:tc>
        <w:tc>
          <w:tcPr>
            <w:tcW w:w="820" w:type="pct"/>
            <w:shd w:val="clear" w:color="auto" w:fill="auto"/>
          </w:tcPr>
          <w:p w:rsidR="00AF54BA" w:rsidRPr="00DE42CF" w:rsidRDefault="00AF54BA" w:rsidP="00C36242">
            <w:pPr>
              <w:pStyle w:val="Tabletext"/>
              <w:keepNext/>
              <w:jc w:val="center"/>
            </w:pPr>
            <w:r w:rsidRPr="00DE42CF">
              <w:t>4 947.5</w:t>
            </w:r>
          </w:p>
        </w:tc>
        <w:tc>
          <w:tcPr>
            <w:tcW w:w="798" w:type="pct"/>
            <w:shd w:val="clear" w:color="auto" w:fill="auto"/>
          </w:tcPr>
          <w:p w:rsidR="00AF54BA" w:rsidRPr="00DE42CF" w:rsidRDefault="00AF54BA" w:rsidP="00C36242">
            <w:pPr>
              <w:pStyle w:val="Tabletext"/>
              <w:keepNext/>
              <w:jc w:val="center"/>
            </w:pPr>
          </w:p>
        </w:tc>
        <w:tc>
          <w:tcPr>
            <w:tcW w:w="798" w:type="pct"/>
            <w:shd w:val="clear" w:color="auto" w:fill="auto"/>
          </w:tcPr>
          <w:p w:rsidR="00AF54BA" w:rsidRPr="00DE42CF" w:rsidRDefault="00AF54BA" w:rsidP="00C36242">
            <w:pPr>
              <w:pStyle w:val="Tabletext"/>
              <w:keepNext/>
              <w:jc w:val="center"/>
            </w:pPr>
          </w:p>
        </w:tc>
        <w:tc>
          <w:tcPr>
            <w:tcW w:w="799" w:type="pct"/>
            <w:shd w:val="clear" w:color="auto" w:fill="auto"/>
          </w:tcPr>
          <w:p w:rsidR="00AF54BA" w:rsidRPr="00DE42CF" w:rsidRDefault="00AF54BA" w:rsidP="00C36242">
            <w:pPr>
              <w:pStyle w:val="Tabletext"/>
              <w:keepNext/>
              <w:jc w:val="center"/>
              <w:rPr>
                <w:highlight w:val="cyan"/>
              </w:rPr>
            </w:pPr>
          </w:p>
        </w:tc>
        <w:tc>
          <w:tcPr>
            <w:tcW w:w="865" w:type="pct"/>
            <w:shd w:val="clear" w:color="auto" w:fill="auto"/>
          </w:tcPr>
          <w:p w:rsidR="00AF54BA" w:rsidRPr="00DE42CF" w:rsidRDefault="00AF54BA" w:rsidP="00C36242">
            <w:pPr>
              <w:pStyle w:val="Tabletext"/>
              <w:keepN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4</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4 950.0</w:t>
            </w:r>
          </w:p>
        </w:tc>
        <w:tc>
          <w:tcPr>
            <w:tcW w:w="798" w:type="pct"/>
            <w:shd w:val="clear" w:color="auto" w:fill="auto"/>
          </w:tcPr>
          <w:p w:rsidR="00AF54BA" w:rsidRPr="00DE42CF" w:rsidRDefault="00AF54BA" w:rsidP="00C36242">
            <w:pPr>
              <w:pStyle w:val="Tabletext"/>
              <w:jc w:val="center"/>
            </w:pPr>
            <w:r w:rsidRPr="00DE42CF">
              <w:t>4 950.0</w:t>
            </w: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5</w:t>
            </w:r>
          </w:p>
        </w:tc>
        <w:tc>
          <w:tcPr>
            <w:tcW w:w="820" w:type="pct"/>
            <w:shd w:val="clear" w:color="auto" w:fill="auto"/>
          </w:tcPr>
          <w:p w:rsidR="00AF54BA" w:rsidRPr="00DE42CF" w:rsidRDefault="00AF54BA" w:rsidP="00C36242">
            <w:pPr>
              <w:pStyle w:val="Tabletext"/>
              <w:jc w:val="center"/>
            </w:pPr>
            <w:r w:rsidRPr="00DE42CF">
              <w:t>4 952.5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6</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4 955.0</w:t>
            </w:r>
          </w:p>
        </w:tc>
        <w:tc>
          <w:tcPr>
            <w:tcW w:w="798" w:type="pct"/>
            <w:shd w:val="clear" w:color="auto" w:fill="auto"/>
          </w:tcPr>
          <w:p w:rsidR="00AF54BA" w:rsidRPr="00DE42CF" w:rsidRDefault="00AF54BA" w:rsidP="00C36242">
            <w:pPr>
              <w:pStyle w:val="Tabletext"/>
              <w:jc w:val="center"/>
            </w:pPr>
            <w:r w:rsidRPr="00DE42CF">
              <w:t>4 955.0</w:t>
            </w: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7</w:t>
            </w:r>
          </w:p>
        </w:tc>
        <w:tc>
          <w:tcPr>
            <w:tcW w:w="820" w:type="pct"/>
            <w:shd w:val="clear" w:color="auto" w:fill="auto"/>
          </w:tcPr>
          <w:p w:rsidR="00AF54BA" w:rsidRPr="00DE42CF" w:rsidRDefault="00AF54BA" w:rsidP="00C36242">
            <w:pPr>
              <w:pStyle w:val="Tabletext"/>
              <w:jc w:val="center"/>
            </w:pPr>
            <w:r w:rsidRPr="00DE42CF">
              <w:t>4 957.5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8</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4 960.0</w:t>
            </w:r>
          </w:p>
        </w:tc>
        <w:tc>
          <w:tcPr>
            <w:tcW w:w="798" w:type="pct"/>
            <w:shd w:val="clear" w:color="auto" w:fill="auto"/>
          </w:tcPr>
          <w:p w:rsidR="00AF54BA" w:rsidRPr="00DE42CF" w:rsidRDefault="00AF54BA" w:rsidP="00C36242">
            <w:pPr>
              <w:pStyle w:val="Tabletext"/>
              <w:jc w:val="center"/>
            </w:pPr>
            <w:r w:rsidRPr="00DE42CF">
              <w:t>4 960.0</w:t>
            </w:r>
          </w:p>
        </w:tc>
        <w:tc>
          <w:tcPr>
            <w:tcW w:w="799" w:type="pct"/>
            <w:shd w:val="clear" w:color="auto" w:fill="auto"/>
          </w:tcPr>
          <w:p w:rsidR="00AF54BA" w:rsidRPr="00DE42CF" w:rsidRDefault="00AF54BA" w:rsidP="00C36242">
            <w:pPr>
              <w:pStyle w:val="Tabletext"/>
              <w:jc w:val="center"/>
              <w:rPr>
                <w:highlight w:val="cyan"/>
              </w:rPr>
            </w:pPr>
            <w:r w:rsidRPr="00DE42CF">
              <w:t>4 960.0</w:t>
            </w: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9</w:t>
            </w:r>
          </w:p>
        </w:tc>
        <w:tc>
          <w:tcPr>
            <w:tcW w:w="820" w:type="pct"/>
            <w:shd w:val="clear" w:color="auto" w:fill="auto"/>
          </w:tcPr>
          <w:p w:rsidR="00AF54BA" w:rsidRPr="00DE42CF" w:rsidRDefault="00AF54BA" w:rsidP="00C36242">
            <w:pPr>
              <w:pStyle w:val="Tabletext"/>
              <w:jc w:val="center"/>
            </w:pPr>
            <w:r w:rsidRPr="00DE42CF">
              <w:t>4 962.5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10</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4 965.0</w:t>
            </w:r>
          </w:p>
        </w:tc>
        <w:tc>
          <w:tcPr>
            <w:tcW w:w="798" w:type="pct"/>
            <w:shd w:val="clear" w:color="auto" w:fill="auto"/>
          </w:tcPr>
          <w:p w:rsidR="00AF54BA" w:rsidRPr="00DE42CF" w:rsidRDefault="00AF54BA" w:rsidP="00C36242">
            <w:pPr>
              <w:pStyle w:val="Tabletext"/>
              <w:jc w:val="center"/>
            </w:pPr>
            <w:r w:rsidRPr="00DE42CF">
              <w:t>4 965.0</w:t>
            </w:r>
          </w:p>
        </w:tc>
        <w:tc>
          <w:tcPr>
            <w:tcW w:w="799" w:type="pct"/>
            <w:shd w:val="clear" w:color="auto" w:fill="auto"/>
          </w:tcPr>
          <w:p w:rsidR="00AF54BA" w:rsidRPr="00DE42CF" w:rsidRDefault="00AF54BA" w:rsidP="00C36242">
            <w:pPr>
              <w:pStyle w:val="Tabletext"/>
              <w:jc w:val="center"/>
            </w:pPr>
            <w:r w:rsidRPr="00DE42CF">
              <w:t>4 965.0</w:t>
            </w:r>
          </w:p>
        </w:tc>
        <w:tc>
          <w:tcPr>
            <w:tcW w:w="865" w:type="pct"/>
            <w:shd w:val="clear" w:color="auto" w:fill="auto"/>
          </w:tcPr>
          <w:p w:rsidR="00AF54BA" w:rsidRPr="00DE42CF" w:rsidRDefault="00AF54BA" w:rsidP="00C36242">
            <w:pPr>
              <w:pStyle w:val="Tabletext"/>
              <w:jc w:val="center"/>
              <w:rPr>
                <w:highlight w:val="cyan"/>
              </w:rPr>
            </w:pPr>
            <w:r w:rsidRPr="00DE42CF">
              <w:t>4 965.0</w:t>
            </w: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11</w:t>
            </w:r>
          </w:p>
        </w:tc>
        <w:tc>
          <w:tcPr>
            <w:tcW w:w="820" w:type="pct"/>
            <w:shd w:val="clear" w:color="auto" w:fill="auto"/>
          </w:tcPr>
          <w:p w:rsidR="00AF54BA" w:rsidRPr="00DE42CF" w:rsidRDefault="00AF54BA" w:rsidP="00C36242">
            <w:pPr>
              <w:pStyle w:val="Tabletext"/>
              <w:jc w:val="center"/>
            </w:pPr>
            <w:r w:rsidRPr="00DE42CF">
              <w:t>4 967.5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12</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4 970.0</w:t>
            </w:r>
          </w:p>
        </w:tc>
        <w:tc>
          <w:tcPr>
            <w:tcW w:w="798" w:type="pct"/>
            <w:shd w:val="clear" w:color="auto" w:fill="auto"/>
          </w:tcPr>
          <w:p w:rsidR="00AF54BA" w:rsidRPr="00DE42CF" w:rsidRDefault="00AF54BA" w:rsidP="00C36242">
            <w:pPr>
              <w:pStyle w:val="Tabletext"/>
              <w:jc w:val="center"/>
            </w:pPr>
            <w:r w:rsidRPr="00DE42CF">
              <w:t>4 970.0</w:t>
            </w:r>
          </w:p>
        </w:tc>
        <w:tc>
          <w:tcPr>
            <w:tcW w:w="799" w:type="pct"/>
            <w:shd w:val="clear" w:color="auto" w:fill="auto"/>
          </w:tcPr>
          <w:p w:rsidR="00AF54BA" w:rsidRPr="00DE42CF" w:rsidRDefault="00AF54BA" w:rsidP="00C36242">
            <w:pPr>
              <w:pStyle w:val="Tabletext"/>
              <w:jc w:val="center"/>
            </w:pPr>
            <w:r w:rsidRPr="00DE42CF">
              <w:t>4 970.0</w:t>
            </w: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13</w:t>
            </w:r>
          </w:p>
        </w:tc>
        <w:tc>
          <w:tcPr>
            <w:tcW w:w="820" w:type="pct"/>
            <w:shd w:val="clear" w:color="auto" w:fill="auto"/>
          </w:tcPr>
          <w:p w:rsidR="00AF54BA" w:rsidRPr="00DE42CF" w:rsidRDefault="00AF54BA" w:rsidP="00C36242">
            <w:pPr>
              <w:pStyle w:val="Tabletext"/>
              <w:jc w:val="center"/>
            </w:pPr>
            <w:r w:rsidRPr="00DE42CF">
              <w:t>4 972.5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bl>
    <w:p w:rsidR="0051115E" w:rsidRDefault="0051115E">
      <w:r>
        <w:br w:type="page"/>
      </w:r>
    </w:p>
    <w:p w:rsidR="0051115E" w:rsidRPr="00AF54BA" w:rsidRDefault="0051115E" w:rsidP="0051115E">
      <w:pPr>
        <w:pStyle w:val="TableNo"/>
        <w:rPr>
          <w:lang w:val="en-GB"/>
        </w:rPr>
      </w:pPr>
      <w:r w:rsidRPr="00AF54BA">
        <w:rPr>
          <w:lang w:val="en-GB"/>
        </w:rPr>
        <w:t>TABLE 2</w:t>
      </w:r>
      <w:r>
        <w:rPr>
          <w:lang w:val="en-GB"/>
        </w:rPr>
        <w:t xml:space="preserve"> (</w:t>
      </w:r>
      <w:r w:rsidRPr="0051115E">
        <w:rPr>
          <w:i/>
          <w:lang w:val="en-GB"/>
        </w:rPr>
        <w:t>end</w:t>
      </w:r>
      <w:r>
        <w:rPr>
          <w:lang w:val="en-GB"/>
        </w:rPr>
        <w:t>)</w:t>
      </w:r>
    </w:p>
    <w:tbl>
      <w:tblPr>
        <w:tblW w:w="507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97"/>
        <w:gridCol w:w="1603"/>
        <w:gridCol w:w="1560"/>
        <w:gridCol w:w="1560"/>
        <w:gridCol w:w="1562"/>
        <w:gridCol w:w="1691"/>
      </w:tblGrid>
      <w:tr w:rsidR="0051115E" w:rsidRPr="00DE42CF" w:rsidTr="0051115E">
        <w:trPr>
          <w:jc w:val="center"/>
        </w:trPr>
        <w:tc>
          <w:tcPr>
            <w:tcW w:w="919" w:type="pct"/>
            <w:shd w:val="clear" w:color="auto" w:fill="auto"/>
          </w:tcPr>
          <w:p w:rsidR="0051115E" w:rsidRPr="00DE42CF" w:rsidRDefault="0051115E" w:rsidP="00C36242">
            <w:pPr>
              <w:pStyle w:val="Tablehead"/>
            </w:pPr>
            <w:r w:rsidRPr="00DE42CF">
              <w:t>Channel number</w:t>
            </w:r>
            <w:r w:rsidRPr="00DE42CF">
              <w:br/>
              <w:t>(</w:t>
            </w:r>
            <w:r w:rsidRPr="00DE42CF">
              <w:rPr>
                <w:i/>
                <w:iCs/>
              </w:rPr>
              <w:t>n</w:t>
            </w:r>
            <w:r w:rsidRPr="00DE42CF">
              <w:rPr>
                <w:i/>
                <w:iCs/>
                <w:vertAlign w:val="subscript"/>
              </w:rPr>
              <w:t>ch</w:t>
            </w:r>
            <w:r w:rsidRPr="00DE42CF">
              <w:t>)</w:t>
            </w:r>
          </w:p>
        </w:tc>
        <w:tc>
          <w:tcPr>
            <w:tcW w:w="820" w:type="pct"/>
            <w:shd w:val="clear" w:color="auto" w:fill="auto"/>
          </w:tcPr>
          <w:p w:rsidR="0051115E" w:rsidRPr="00DE42CF" w:rsidRDefault="0051115E" w:rsidP="00C36242">
            <w:pPr>
              <w:pStyle w:val="Tablehead"/>
            </w:pPr>
            <w:r w:rsidRPr="00DE42CF">
              <w:t>Channel centre</w:t>
            </w:r>
            <w:r w:rsidRPr="00DE42CF">
              <w:br/>
              <w:t>5 MHz</w:t>
            </w:r>
          </w:p>
        </w:tc>
        <w:tc>
          <w:tcPr>
            <w:tcW w:w="798" w:type="pct"/>
            <w:shd w:val="clear" w:color="auto" w:fill="auto"/>
          </w:tcPr>
          <w:p w:rsidR="0051115E" w:rsidRPr="00DE42CF" w:rsidRDefault="0051115E" w:rsidP="00C36242">
            <w:pPr>
              <w:pStyle w:val="Tablehead"/>
            </w:pPr>
            <w:r w:rsidRPr="00DE42CF">
              <w:t>Channel centre</w:t>
            </w:r>
            <w:r w:rsidRPr="00DE42CF">
              <w:br/>
              <w:t>10 MHz</w:t>
            </w:r>
          </w:p>
        </w:tc>
        <w:tc>
          <w:tcPr>
            <w:tcW w:w="798" w:type="pct"/>
            <w:shd w:val="clear" w:color="auto" w:fill="auto"/>
          </w:tcPr>
          <w:p w:rsidR="0051115E" w:rsidRPr="00DE42CF" w:rsidRDefault="0051115E" w:rsidP="00C36242">
            <w:pPr>
              <w:pStyle w:val="Tablehead"/>
            </w:pPr>
            <w:r w:rsidRPr="00DE42CF">
              <w:t>Channel centre</w:t>
            </w:r>
            <w:r w:rsidRPr="00DE42CF">
              <w:br/>
              <w:t>20 MHz</w:t>
            </w:r>
          </w:p>
        </w:tc>
        <w:tc>
          <w:tcPr>
            <w:tcW w:w="799" w:type="pct"/>
            <w:shd w:val="clear" w:color="auto" w:fill="auto"/>
          </w:tcPr>
          <w:p w:rsidR="0051115E" w:rsidRPr="00DE42CF" w:rsidRDefault="0051115E" w:rsidP="00C36242">
            <w:pPr>
              <w:pStyle w:val="Tablehead"/>
            </w:pPr>
            <w:r w:rsidRPr="00DE42CF">
              <w:t>Channel centre</w:t>
            </w:r>
            <w:r w:rsidRPr="00DE42CF">
              <w:br/>
              <w:t>40 MHz</w:t>
            </w:r>
          </w:p>
        </w:tc>
        <w:tc>
          <w:tcPr>
            <w:tcW w:w="865" w:type="pct"/>
            <w:shd w:val="clear" w:color="auto" w:fill="auto"/>
          </w:tcPr>
          <w:p w:rsidR="0051115E" w:rsidRPr="00DE42CF" w:rsidRDefault="0051115E" w:rsidP="00C36242">
            <w:pPr>
              <w:pStyle w:val="Tablehead"/>
            </w:pPr>
            <w:r w:rsidRPr="00DE42CF">
              <w:t xml:space="preserve">Channel </w:t>
            </w:r>
            <w:r w:rsidR="003202C4">
              <w:br/>
            </w:r>
            <w:r w:rsidRPr="00DE42CF">
              <w:t>centre</w:t>
            </w:r>
            <w:r w:rsidRPr="00DE42CF">
              <w:br/>
              <w:t>50 MHz</w:t>
            </w: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14</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4 975.0</w:t>
            </w:r>
          </w:p>
        </w:tc>
        <w:tc>
          <w:tcPr>
            <w:tcW w:w="798" w:type="pct"/>
            <w:shd w:val="clear" w:color="auto" w:fill="auto"/>
          </w:tcPr>
          <w:p w:rsidR="00AF54BA" w:rsidRPr="00DE42CF" w:rsidRDefault="00AF54BA" w:rsidP="00C36242">
            <w:pPr>
              <w:pStyle w:val="Tabletext"/>
              <w:jc w:val="center"/>
            </w:pPr>
            <w:r w:rsidRPr="00DE42CF">
              <w:t>4 975.0</w:t>
            </w: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15</w:t>
            </w:r>
          </w:p>
        </w:tc>
        <w:tc>
          <w:tcPr>
            <w:tcW w:w="820" w:type="pct"/>
            <w:shd w:val="clear" w:color="auto" w:fill="auto"/>
          </w:tcPr>
          <w:p w:rsidR="00AF54BA" w:rsidRPr="00DE42CF" w:rsidRDefault="00AF54BA" w:rsidP="00C36242">
            <w:pPr>
              <w:pStyle w:val="Tabletext"/>
              <w:jc w:val="center"/>
            </w:pPr>
            <w:r w:rsidRPr="00DE42CF">
              <w:t>4 977.5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16</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4 980.0</w:t>
            </w:r>
          </w:p>
        </w:tc>
        <w:tc>
          <w:tcPr>
            <w:tcW w:w="798" w:type="pct"/>
            <w:shd w:val="clear" w:color="auto" w:fill="auto"/>
          </w:tcPr>
          <w:p w:rsidR="00AF54BA" w:rsidRPr="00DE42CF" w:rsidRDefault="00AF54BA" w:rsidP="00C36242">
            <w:pPr>
              <w:pStyle w:val="Tabletext"/>
              <w:jc w:val="center"/>
            </w:pPr>
            <w:r w:rsidRPr="00DE42CF">
              <w:t>4 980.0</w:t>
            </w: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17</w:t>
            </w:r>
          </w:p>
        </w:tc>
        <w:tc>
          <w:tcPr>
            <w:tcW w:w="820" w:type="pct"/>
            <w:shd w:val="clear" w:color="auto" w:fill="auto"/>
          </w:tcPr>
          <w:p w:rsidR="00AF54BA" w:rsidRPr="00DE42CF" w:rsidRDefault="00AF54BA" w:rsidP="00C36242">
            <w:pPr>
              <w:pStyle w:val="Tabletext"/>
              <w:jc w:val="center"/>
            </w:pPr>
            <w:r w:rsidRPr="00DE42CF">
              <w:t>4 982.5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18</w:t>
            </w:r>
          </w:p>
        </w:tc>
        <w:tc>
          <w:tcPr>
            <w:tcW w:w="820"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r w:rsidRPr="00DE42CF">
              <w:t>4 985.0</w:t>
            </w: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r w:rsidR="00AF54BA" w:rsidRPr="00DE42CF" w:rsidTr="0051115E">
        <w:trPr>
          <w:jc w:val="center"/>
        </w:trPr>
        <w:tc>
          <w:tcPr>
            <w:tcW w:w="919" w:type="pct"/>
            <w:shd w:val="clear" w:color="auto" w:fill="auto"/>
          </w:tcPr>
          <w:p w:rsidR="00AF54BA" w:rsidRPr="00DE42CF" w:rsidRDefault="00AF54BA" w:rsidP="00C36242">
            <w:pPr>
              <w:pStyle w:val="Tabletext"/>
              <w:jc w:val="center"/>
            </w:pPr>
            <w:r w:rsidRPr="00DE42CF">
              <w:t>19</w:t>
            </w:r>
          </w:p>
        </w:tc>
        <w:tc>
          <w:tcPr>
            <w:tcW w:w="820" w:type="pct"/>
            <w:shd w:val="clear" w:color="auto" w:fill="auto"/>
          </w:tcPr>
          <w:p w:rsidR="00AF54BA" w:rsidRPr="00DE42CF" w:rsidRDefault="00AF54BA" w:rsidP="00C36242">
            <w:pPr>
              <w:pStyle w:val="Tabletext"/>
              <w:jc w:val="center"/>
            </w:pPr>
            <w:r w:rsidRPr="00DE42CF">
              <w:t>4 987.5</w:t>
            </w:r>
          </w:p>
        </w:tc>
        <w:tc>
          <w:tcPr>
            <w:tcW w:w="798" w:type="pct"/>
            <w:shd w:val="clear" w:color="auto" w:fill="auto"/>
          </w:tcPr>
          <w:p w:rsidR="00AF54BA" w:rsidRPr="00DE42CF" w:rsidRDefault="00AF54BA" w:rsidP="00C36242">
            <w:pPr>
              <w:pStyle w:val="Tabletext"/>
              <w:jc w:val="center"/>
            </w:pPr>
          </w:p>
        </w:tc>
        <w:tc>
          <w:tcPr>
            <w:tcW w:w="798" w:type="pct"/>
            <w:shd w:val="clear" w:color="auto" w:fill="auto"/>
          </w:tcPr>
          <w:p w:rsidR="00AF54BA" w:rsidRPr="00DE42CF" w:rsidRDefault="00AF54BA" w:rsidP="00C36242">
            <w:pPr>
              <w:pStyle w:val="Tabletext"/>
              <w:jc w:val="center"/>
            </w:pPr>
          </w:p>
        </w:tc>
        <w:tc>
          <w:tcPr>
            <w:tcW w:w="799" w:type="pct"/>
            <w:shd w:val="clear" w:color="auto" w:fill="auto"/>
          </w:tcPr>
          <w:p w:rsidR="00AF54BA" w:rsidRPr="00DE42CF" w:rsidRDefault="00AF54BA" w:rsidP="00C36242">
            <w:pPr>
              <w:pStyle w:val="Tabletext"/>
              <w:jc w:val="center"/>
              <w:rPr>
                <w:highlight w:val="cyan"/>
              </w:rPr>
            </w:pPr>
          </w:p>
        </w:tc>
        <w:tc>
          <w:tcPr>
            <w:tcW w:w="865" w:type="pct"/>
            <w:shd w:val="clear" w:color="auto" w:fill="auto"/>
          </w:tcPr>
          <w:p w:rsidR="00AF54BA" w:rsidRPr="00DE42CF" w:rsidRDefault="00AF54BA" w:rsidP="00C36242">
            <w:pPr>
              <w:pStyle w:val="Tabletext"/>
              <w:jc w:val="center"/>
              <w:rPr>
                <w:highlight w:val="cyan"/>
              </w:rPr>
            </w:pPr>
          </w:p>
        </w:tc>
      </w:tr>
    </w:tbl>
    <w:p w:rsidR="00AF54BA" w:rsidRPr="00DE42CF" w:rsidRDefault="00AF54BA" w:rsidP="00AF54BA">
      <w:pPr>
        <w:pStyle w:val="Tablefin"/>
      </w:pPr>
    </w:p>
    <w:p w:rsidR="003213A9" w:rsidRPr="00FE1372" w:rsidRDefault="003213A9" w:rsidP="00FE1372">
      <w:pPr>
        <w:rPr>
          <w:lang w:val="en-GB"/>
        </w:rPr>
      </w:pPr>
    </w:p>
    <w:p w:rsidR="003213A9" w:rsidRDefault="003213A9" w:rsidP="001D65EF">
      <w:pPr>
        <w:pStyle w:val="Line"/>
      </w:pPr>
    </w:p>
    <w:sectPr w:rsidR="003213A9" w:rsidSect="0083184F">
      <w:headerReference w:type="even" r:id="rId14"/>
      <w:headerReference w:type="default" r:id="rId15"/>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3D0" w:rsidRDefault="007913D0">
      <w:r>
        <w:separator/>
      </w:r>
    </w:p>
  </w:footnote>
  <w:footnote w:type="continuationSeparator" w:id="0">
    <w:p w:rsidR="007913D0" w:rsidRDefault="00791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9E625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E6253">
      <w:rPr>
        <w:b/>
        <w:bCs/>
        <w:noProof/>
      </w:rPr>
      <w:t>ITU-R  M.1826-1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E6253">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E6253">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9E625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E6253">
      <w:rPr>
        <w:b/>
        <w:bCs/>
        <w:noProof/>
      </w:rPr>
      <w:t>ITU-R  M.1826-1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9E6253">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9E6253">
      <w:rPr>
        <w:b/>
        <w:bCs/>
        <w:noProof/>
      </w:rPr>
      <w:t>ITU-R  M.1826-1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E6253">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9E625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E6253">
      <w:rPr>
        <w:b/>
        <w:bCs/>
        <w:noProof/>
      </w:rPr>
      <w:t>ITU-R  M.1826-1</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9E6253">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E6253">
      <w:rPr>
        <w:b/>
        <w:bCs/>
        <w:noProof/>
      </w:rPr>
      <w:t>ITU-R  M.1826-1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E6253">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3"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num w:numId="1">
    <w:abstractNumId w:val="11"/>
  </w:num>
  <w:num w:numId="2">
    <w:abstractNumId w:val="13"/>
  </w:num>
  <w:num w:numId="3">
    <w:abstractNumId w:val="12"/>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40A"/>
    <w:rsid w:val="00036EE3"/>
    <w:rsid w:val="000428AC"/>
    <w:rsid w:val="00052F66"/>
    <w:rsid w:val="00072484"/>
    <w:rsid w:val="00096612"/>
    <w:rsid w:val="000A4386"/>
    <w:rsid w:val="000B4249"/>
    <w:rsid w:val="000B7683"/>
    <w:rsid w:val="000D0677"/>
    <w:rsid w:val="000D2FA8"/>
    <w:rsid w:val="000E2A81"/>
    <w:rsid w:val="000E6A6E"/>
    <w:rsid w:val="00102934"/>
    <w:rsid w:val="00107791"/>
    <w:rsid w:val="00147110"/>
    <w:rsid w:val="001511A6"/>
    <w:rsid w:val="001A4594"/>
    <w:rsid w:val="001D65EF"/>
    <w:rsid w:val="001D7190"/>
    <w:rsid w:val="002058CE"/>
    <w:rsid w:val="002165F1"/>
    <w:rsid w:val="00225B4C"/>
    <w:rsid w:val="002572B3"/>
    <w:rsid w:val="002644BF"/>
    <w:rsid w:val="00272E02"/>
    <w:rsid w:val="00276D21"/>
    <w:rsid w:val="00283E82"/>
    <w:rsid w:val="00291F7A"/>
    <w:rsid w:val="00292732"/>
    <w:rsid w:val="00296D7F"/>
    <w:rsid w:val="002A4CFC"/>
    <w:rsid w:val="002B3CF6"/>
    <w:rsid w:val="002C6A10"/>
    <w:rsid w:val="002C768A"/>
    <w:rsid w:val="002D76C4"/>
    <w:rsid w:val="002F06BF"/>
    <w:rsid w:val="002F5199"/>
    <w:rsid w:val="003202C4"/>
    <w:rsid w:val="003213A9"/>
    <w:rsid w:val="00333892"/>
    <w:rsid w:val="00356B5D"/>
    <w:rsid w:val="00375D1A"/>
    <w:rsid w:val="003806D1"/>
    <w:rsid w:val="003B0A33"/>
    <w:rsid w:val="003B2525"/>
    <w:rsid w:val="003E1DED"/>
    <w:rsid w:val="0040106B"/>
    <w:rsid w:val="0041667C"/>
    <w:rsid w:val="00420DFD"/>
    <w:rsid w:val="004220E0"/>
    <w:rsid w:val="00437A76"/>
    <w:rsid w:val="0047022F"/>
    <w:rsid w:val="00470E28"/>
    <w:rsid w:val="00470FEC"/>
    <w:rsid w:val="004777D5"/>
    <w:rsid w:val="004934C5"/>
    <w:rsid w:val="0049398E"/>
    <w:rsid w:val="004D7632"/>
    <w:rsid w:val="004E0FB1"/>
    <w:rsid w:val="004E316C"/>
    <w:rsid w:val="004F65E4"/>
    <w:rsid w:val="00505282"/>
    <w:rsid w:val="0051115E"/>
    <w:rsid w:val="005123C9"/>
    <w:rsid w:val="00525CB2"/>
    <w:rsid w:val="00554C61"/>
    <w:rsid w:val="00556548"/>
    <w:rsid w:val="00563597"/>
    <w:rsid w:val="00586EF8"/>
    <w:rsid w:val="005B49AB"/>
    <w:rsid w:val="005B50E7"/>
    <w:rsid w:val="005D0454"/>
    <w:rsid w:val="005D329E"/>
    <w:rsid w:val="005E7B4F"/>
    <w:rsid w:val="006003F5"/>
    <w:rsid w:val="00601882"/>
    <w:rsid w:val="00607D68"/>
    <w:rsid w:val="00613212"/>
    <w:rsid w:val="006149B1"/>
    <w:rsid w:val="00640267"/>
    <w:rsid w:val="006419D8"/>
    <w:rsid w:val="006667CD"/>
    <w:rsid w:val="00680D2B"/>
    <w:rsid w:val="00681B32"/>
    <w:rsid w:val="0068658D"/>
    <w:rsid w:val="0069288B"/>
    <w:rsid w:val="00693ED4"/>
    <w:rsid w:val="006A135E"/>
    <w:rsid w:val="006B1D2B"/>
    <w:rsid w:val="006C18A1"/>
    <w:rsid w:val="006D4393"/>
    <w:rsid w:val="006E1131"/>
    <w:rsid w:val="006E1C33"/>
    <w:rsid w:val="006E2037"/>
    <w:rsid w:val="006E6199"/>
    <w:rsid w:val="00701275"/>
    <w:rsid w:val="00712870"/>
    <w:rsid w:val="007366D7"/>
    <w:rsid w:val="00743D85"/>
    <w:rsid w:val="00753CF4"/>
    <w:rsid w:val="007565CC"/>
    <w:rsid w:val="00763B9A"/>
    <w:rsid w:val="00770866"/>
    <w:rsid w:val="007913D0"/>
    <w:rsid w:val="00794726"/>
    <w:rsid w:val="007A6AA8"/>
    <w:rsid w:val="007D224F"/>
    <w:rsid w:val="008310C9"/>
    <w:rsid w:val="0083184F"/>
    <w:rsid w:val="00845008"/>
    <w:rsid w:val="00853CC5"/>
    <w:rsid w:val="00890A5E"/>
    <w:rsid w:val="008B17E0"/>
    <w:rsid w:val="008C7848"/>
    <w:rsid w:val="00906589"/>
    <w:rsid w:val="00906AD6"/>
    <w:rsid w:val="00917AF2"/>
    <w:rsid w:val="0092418A"/>
    <w:rsid w:val="00934ED7"/>
    <w:rsid w:val="009543C3"/>
    <w:rsid w:val="00966E1B"/>
    <w:rsid w:val="00977866"/>
    <w:rsid w:val="009947C0"/>
    <w:rsid w:val="009A0301"/>
    <w:rsid w:val="009C0BCC"/>
    <w:rsid w:val="009D0550"/>
    <w:rsid w:val="009D241D"/>
    <w:rsid w:val="009E6253"/>
    <w:rsid w:val="009F2D2C"/>
    <w:rsid w:val="00A31928"/>
    <w:rsid w:val="00A33562"/>
    <w:rsid w:val="00A62A14"/>
    <w:rsid w:val="00A6617B"/>
    <w:rsid w:val="00A67F37"/>
    <w:rsid w:val="00A71FE5"/>
    <w:rsid w:val="00A971A1"/>
    <w:rsid w:val="00AA2D43"/>
    <w:rsid w:val="00AA3AD8"/>
    <w:rsid w:val="00AB08EE"/>
    <w:rsid w:val="00AB0DC8"/>
    <w:rsid w:val="00AF54BA"/>
    <w:rsid w:val="00B033C8"/>
    <w:rsid w:val="00B0646C"/>
    <w:rsid w:val="00B07DF0"/>
    <w:rsid w:val="00B33425"/>
    <w:rsid w:val="00B36D06"/>
    <w:rsid w:val="00B44E24"/>
    <w:rsid w:val="00B53EBC"/>
    <w:rsid w:val="00B54ECC"/>
    <w:rsid w:val="00B70E81"/>
    <w:rsid w:val="00B714F3"/>
    <w:rsid w:val="00B87B6B"/>
    <w:rsid w:val="00B958E4"/>
    <w:rsid w:val="00BC5D77"/>
    <w:rsid w:val="00BE262F"/>
    <w:rsid w:val="00BF34A2"/>
    <w:rsid w:val="00BF487A"/>
    <w:rsid w:val="00C44EEB"/>
    <w:rsid w:val="00C46BD9"/>
    <w:rsid w:val="00C53C49"/>
    <w:rsid w:val="00C55258"/>
    <w:rsid w:val="00C5723E"/>
    <w:rsid w:val="00C57D57"/>
    <w:rsid w:val="00C73560"/>
    <w:rsid w:val="00C81231"/>
    <w:rsid w:val="00CB0F14"/>
    <w:rsid w:val="00CD3F03"/>
    <w:rsid w:val="00CD659B"/>
    <w:rsid w:val="00CE0A43"/>
    <w:rsid w:val="00CF3E40"/>
    <w:rsid w:val="00D3212F"/>
    <w:rsid w:val="00D46688"/>
    <w:rsid w:val="00D52501"/>
    <w:rsid w:val="00D83556"/>
    <w:rsid w:val="00D95585"/>
    <w:rsid w:val="00DC54A5"/>
    <w:rsid w:val="00DD6D01"/>
    <w:rsid w:val="00DE2B9B"/>
    <w:rsid w:val="00DF4176"/>
    <w:rsid w:val="00E17240"/>
    <w:rsid w:val="00E406BD"/>
    <w:rsid w:val="00E74595"/>
    <w:rsid w:val="00EA015F"/>
    <w:rsid w:val="00EB786E"/>
    <w:rsid w:val="00EB7C57"/>
    <w:rsid w:val="00ED2695"/>
    <w:rsid w:val="00F0712C"/>
    <w:rsid w:val="00F30C9B"/>
    <w:rsid w:val="00F354B1"/>
    <w:rsid w:val="00F73E83"/>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8369">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D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qFormat/>
    <w:rsid w:val="005D329E"/>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AA2D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AA2D43"/>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329E"/>
    <w:pPr>
      <w:tabs>
        <w:tab w:val="clear" w:pos="567"/>
        <w:tab w:val="left" w:pos="1276"/>
      </w:tabs>
      <w:spacing w:before="160"/>
      <w:ind w:left="1276" w:hanging="709"/>
    </w:pPr>
  </w:style>
  <w:style w:type="paragraph" w:styleId="TOC3">
    <w:name w:val="toc 3"/>
    <w:basedOn w:val="TOC2"/>
    <w:rsid w:val="005D329E"/>
    <w:pPr>
      <w:tabs>
        <w:tab w:val="clear" w:pos="1276"/>
        <w:tab w:val="left" w:pos="2155"/>
      </w:tabs>
      <w:ind w:left="2155" w:hanging="879"/>
    </w:pPr>
  </w:style>
  <w:style w:type="paragraph" w:styleId="TOC4">
    <w:name w:val="toc 4"/>
    <w:basedOn w:val="TOC3"/>
    <w:rsid w:val="005D329E"/>
    <w:pPr>
      <w:tabs>
        <w:tab w:val="left" w:pos="3261"/>
      </w:tabs>
      <w:spacing w:before="80"/>
      <w:ind w:left="3261" w:hanging="993"/>
    </w:pPr>
  </w:style>
  <w:style w:type="paragraph" w:styleId="TOC5">
    <w:name w:val="toc 5"/>
    <w:basedOn w:val="TOC4"/>
    <w:rsid w:val="005D329E"/>
  </w:style>
  <w:style w:type="paragraph" w:styleId="TOC6">
    <w:name w:val="toc 6"/>
    <w:basedOn w:val="TOC4"/>
    <w:rsid w:val="005D329E"/>
  </w:style>
  <w:style w:type="paragraph" w:styleId="TOC7">
    <w:name w:val="toc 7"/>
    <w:basedOn w:val="TOC4"/>
    <w:rsid w:val="005D329E"/>
  </w:style>
  <w:style w:type="paragraph" w:styleId="TOC8">
    <w:name w:val="toc 8"/>
    <w:basedOn w:val="TOC4"/>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845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845008"/>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uiPriority w:val="99"/>
    <w:qFormat/>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 w:type="character" w:customStyle="1" w:styleId="Heading1Char">
    <w:name w:val="Heading 1 Char"/>
    <w:link w:val="Heading1"/>
    <w:rsid w:val="005123C9"/>
    <w:rPr>
      <w:b/>
      <w:sz w:val="24"/>
      <w:lang w:val="fr-FR" w:eastAsia="en-US"/>
    </w:rPr>
  </w:style>
  <w:style w:type="paragraph" w:customStyle="1" w:styleId="Artheading">
    <w:name w:val="Art_heading"/>
    <w:basedOn w:val="Normal"/>
    <w:next w:val="Normal"/>
    <w:rsid w:val="005123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123C9"/>
    <w:rPr>
      <w:vertAlign w:val="superscript"/>
    </w:rPr>
  </w:style>
  <w:style w:type="paragraph" w:customStyle="1" w:styleId="Figurewithouttitle">
    <w:name w:val="Figure_without_title"/>
    <w:basedOn w:val="FigureNo"/>
    <w:next w:val="Normal"/>
    <w:rsid w:val="005123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123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5123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5123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123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123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123C9"/>
    <w:pPr>
      <w:tabs>
        <w:tab w:val="left" w:pos="567"/>
        <w:tab w:val="left" w:pos="1701"/>
        <w:tab w:val="left" w:pos="2835"/>
      </w:tabs>
      <w:spacing w:before="240"/>
    </w:pPr>
    <w:rPr>
      <w:b w:val="0"/>
      <w:caps/>
    </w:rPr>
  </w:style>
  <w:style w:type="paragraph" w:customStyle="1" w:styleId="Title2">
    <w:name w:val="Title 2"/>
    <w:basedOn w:val="Source"/>
    <w:next w:val="Normal"/>
    <w:rsid w:val="005123C9"/>
    <w:pPr>
      <w:overflowPunct/>
      <w:autoSpaceDE/>
      <w:autoSpaceDN/>
      <w:adjustRightInd/>
      <w:spacing w:before="480"/>
      <w:textAlignment w:val="auto"/>
    </w:pPr>
    <w:rPr>
      <w:b w:val="0"/>
      <w:caps/>
    </w:rPr>
  </w:style>
  <w:style w:type="paragraph" w:customStyle="1" w:styleId="Title3">
    <w:name w:val="Title 3"/>
    <w:basedOn w:val="Title2"/>
    <w:next w:val="Normal"/>
    <w:rsid w:val="005123C9"/>
    <w:pPr>
      <w:spacing w:before="240"/>
    </w:pPr>
    <w:rPr>
      <w:caps w:val="0"/>
    </w:rPr>
  </w:style>
  <w:style w:type="paragraph" w:customStyle="1" w:styleId="Title4">
    <w:name w:val="Title 4"/>
    <w:basedOn w:val="Title3"/>
    <w:next w:val="Heading1"/>
    <w:rsid w:val="005123C9"/>
    <w:rPr>
      <w:b/>
    </w:rPr>
  </w:style>
  <w:style w:type="character" w:customStyle="1" w:styleId="Appdef">
    <w:name w:val="App_def"/>
    <w:basedOn w:val="DefaultParagraphFont"/>
    <w:rsid w:val="005123C9"/>
    <w:rPr>
      <w:rFonts w:ascii="Times New Roman" w:hAnsi="Times New Roman"/>
      <w:b/>
    </w:rPr>
  </w:style>
  <w:style w:type="character" w:customStyle="1" w:styleId="Appref">
    <w:name w:val="App_ref"/>
    <w:basedOn w:val="DefaultParagraphFont"/>
    <w:rsid w:val="005123C9"/>
  </w:style>
  <w:style w:type="character" w:customStyle="1" w:styleId="Artdef">
    <w:name w:val="Art_def"/>
    <w:basedOn w:val="DefaultParagraphFont"/>
    <w:rsid w:val="005123C9"/>
    <w:rPr>
      <w:rFonts w:ascii="Times New Roman" w:hAnsi="Times New Roman"/>
      <w:b/>
    </w:rPr>
  </w:style>
  <w:style w:type="character" w:customStyle="1" w:styleId="Recdef">
    <w:name w:val="Rec_def"/>
    <w:basedOn w:val="DefaultParagraphFont"/>
    <w:rsid w:val="005123C9"/>
    <w:rPr>
      <w:b/>
    </w:rPr>
  </w:style>
  <w:style w:type="character" w:customStyle="1" w:styleId="Resdef">
    <w:name w:val="Res_def"/>
    <w:basedOn w:val="DefaultParagraphFont"/>
    <w:rsid w:val="005123C9"/>
    <w:rPr>
      <w:rFonts w:ascii="Times New Roman" w:hAnsi="Times New Roman"/>
      <w:b/>
    </w:rPr>
  </w:style>
  <w:style w:type="character" w:customStyle="1" w:styleId="Tablefreq">
    <w:name w:val="Table_freq"/>
    <w:basedOn w:val="DefaultParagraphFont"/>
    <w:rsid w:val="005123C9"/>
    <w:rPr>
      <w:b/>
      <w:color w:val="auto"/>
      <w:sz w:val="20"/>
    </w:rPr>
  </w:style>
  <w:style w:type="paragraph" w:customStyle="1" w:styleId="Formal">
    <w:name w:val="Formal"/>
    <w:basedOn w:val="ASN1"/>
    <w:rsid w:val="005123C9"/>
    <w:pPr>
      <w:tabs>
        <w:tab w:val="left" w:pos="1871"/>
      </w:tabs>
      <w:jc w:val="left"/>
    </w:pPr>
    <w:rPr>
      <w:rFonts w:ascii="Times New Roman Bold" w:hAnsi="Times New Roman Bold"/>
      <w:b w:val="0"/>
      <w:lang w:val="en-GB"/>
    </w:rPr>
  </w:style>
  <w:style w:type="paragraph" w:customStyle="1" w:styleId="Section1">
    <w:name w:val="Section_1"/>
    <w:basedOn w:val="Normal"/>
    <w:rsid w:val="005123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123C9"/>
    <w:rPr>
      <w:b w:val="0"/>
      <w:i/>
    </w:rPr>
  </w:style>
  <w:style w:type="paragraph" w:customStyle="1" w:styleId="AppendixNo">
    <w:name w:val="Appendix_No"/>
    <w:basedOn w:val="AnnexNo"/>
    <w:next w:val="Annexref"/>
    <w:rsid w:val="005123C9"/>
    <w:rPr>
      <w:rFonts w:eastAsia="Times New Roman"/>
    </w:rPr>
  </w:style>
  <w:style w:type="paragraph" w:customStyle="1" w:styleId="Appendixtitle">
    <w:name w:val="Appendix_title"/>
    <w:basedOn w:val="Annextitle"/>
    <w:next w:val="Normal"/>
    <w:rsid w:val="005123C9"/>
    <w:rPr>
      <w:rFonts w:eastAsia="Times New Roman"/>
    </w:rPr>
  </w:style>
  <w:style w:type="paragraph" w:customStyle="1" w:styleId="Border">
    <w:name w:val="Border"/>
    <w:basedOn w:val="Normal"/>
    <w:rsid w:val="005123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123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123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123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123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123C9"/>
  </w:style>
  <w:style w:type="paragraph" w:customStyle="1" w:styleId="Proposal">
    <w:name w:val="Proposal"/>
    <w:basedOn w:val="Normal"/>
    <w:next w:val="Normal"/>
    <w:rsid w:val="005123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5123C9"/>
    <w:rPr>
      <w:b w:val="0"/>
    </w:rPr>
  </w:style>
  <w:style w:type="paragraph" w:customStyle="1" w:styleId="TableTextS5">
    <w:name w:val="Table_TextS5"/>
    <w:basedOn w:val="Normal"/>
    <w:rsid w:val="005123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123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23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123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123C9"/>
  </w:style>
  <w:style w:type="paragraph" w:customStyle="1" w:styleId="Committee">
    <w:name w:val="Committee"/>
    <w:basedOn w:val="Normal"/>
    <w:qFormat/>
    <w:rsid w:val="005123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123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23C9"/>
  </w:style>
  <w:style w:type="paragraph" w:customStyle="1" w:styleId="Subsection1">
    <w:name w:val="Subsection_1"/>
    <w:basedOn w:val="Section1"/>
    <w:next w:val="Normalaftertitle0"/>
    <w:qFormat/>
    <w:rsid w:val="005123C9"/>
  </w:style>
  <w:style w:type="paragraph" w:customStyle="1" w:styleId="Volumetitle">
    <w:name w:val="Volume_title"/>
    <w:basedOn w:val="Normal"/>
    <w:qFormat/>
    <w:rsid w:val="005123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123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23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123C9"/>
    <w:rPr>
      <w:rFonts w:ascii="Times New Roman" w:hAnsi="Times New Roman"/>
      <w:b w:val="0"/>
    </w:rPr>
  </w:style>
  <w:style w:type="paragraph" w:customStyle="1" w:styleId="Tablesplit">
    <w:name w:val="Table_split"/>
    <w:basedOn w:val="Tabletext"/>
    <w:qFormat/>
    <w:rsid w:val="005123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5123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123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123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123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123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5123C9"/>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semiHidden/>
    <w:rsid w:val="005123C9"/>
    <w:rPr>
      <w:rFonts w:ascii="Malgun Gothic" w:eastAsia="Malgun Gothic" w:hAnsi="Malgun Gothic"/>
      <w:sz w:val="18"/>
      <w:szCs w:val="18"/>
      <w:lang w:val="en-GB" w:eastAsia="en-US"/>
    </w:rPr>
  </w:style>
  <w:style w:type="paragraph" w:styleId="BalloonText">
    <w:name w:val="Balloon Text"/>
    <w:basedOn w:val="Normal"/>
    <w:link w:val="Balloon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5123C9"/>
    <w:rPr>
      <w:rFonts w:ascii="Segoe UI" w:hAnsi="Segoe UI" w:cs="Segoe UI"/>
      <w:sz w:val="18"/>
      <w:szCs w:val="18"/>
      <w:lang w:val="fr-FR" w:eastAsia="en-US"/>
    </w:rPr>
  </w:style>
  <w:style w:type="paragraph" w:styleId="CommentText">
    <w:name w:val="annotation text"/>
    <w:basedOn w:val="Normal"/>
    <w:link w:val="CommentTextChar"/>
    <w:semiHidden/>
    <w:unhideWhenUsed/>
    <w:rsid w:val="005123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semiHidden/>
    <w:rsid w:val="005123C9"/>
    <w:rPr>
      <w:rFonts w:eastAsia="Malgun Gothic"/>
      <w:sz w:val="24"/>
      <w:lang w:val="en-GB" w:eastAsia="en-US"/>
    </w:rPr>
  </w:style>
  <w:style w:type="character" w:customStyle="1" w:styleId="CommentSubjectChar">
    <w:name w:val="Comment Subject Char"/>
    <w:basedOn w:val="CommentTextChar"/>
    <w:link w:val="CommentSubject"/>
    <w:semiHidden/>
    <w:rsid w:val="005123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5123C9"/>
    <w:rPr>
      <w:b/>
      <w:bCs/>
    </w:rPr>
  </w:style>
  <w:style w:type="character" w:customStyle="1" w:styleId="CommentSubjectChar1">
    <w:name w:val="Comment Subject Char1"/>
    <w:basedOn w:val="CommentTextChar"/>
    <w:semiHidden/>
    <w:rsid w:val="005123C9"/>
    <w:rPr>
      <w:rFonts w:eastAsia="Malgun Gothic"/>
      <w:b/>
      <w:bCs/>
      <w:sz w:val="24"/>
      <w:lang w:val="en-GB" w:eastAsia="en-US"/>
    </w:rPr>
  </w:style>
  <w:style w:type="paragraph" w:styleId="NormalWeb">
    <w:name w:val="Normal (Web)"/>
    <w:basedOn w:val="Normal"/>
    <w:uiPriority w:val="99"/>
    <w:unhideWhenUsed/>
    <w:rsid w:val="005123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5123C9"/>
    <w:rPr>
      <w:rFonts w:eastAsia="Malgun Gothic"/>
      <w:lang w:val="en-GB" w:eastAsia="en-US"/>
    </w:rPr>
  </w:style>
  <w:style w:type="paragraph" w:styleId="EndnoteText">
    <w:name w:val="endnote text"/>
    <w:basedOn w:val="Normal"/>
    <w:link w:val="Endnote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5123C9"/>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apt.int/sites/default/files/Upload-files/AWG/APT-AWF-REC-01Rev.1PPDR_Rec_at_5Ghz_Revision_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116</TotalTime>
  <Pages>7</Pages>
  <Words>1685</Words>
  <Characters>9101</Characters>
  <Application>Microsoft Office Word</Application>
  <DocSecurity>0</DocSecurity>
  <Lines>479</Lines>
  <Paragraphs>283</Paragraphs>
  <ScaleCrop>false</ScaleCrop>
  <HeadingPairs>
    <vt:vector size="2" baseType="variant">
      <vt:variant>
        <vt:lpstr>Title</vt:lpstr>
      </vt:variant>
      <vt:variant>
        <vt:i4>1</vt:i4>
      </vt:variant>
    </vt:vector>
  </HeadingPairs>
  <TitlesOfParts>
    <vt:vector size="1" baseType="lpstr">
      <vt:lpstr>RECOMMENDATION  ITU-R  M.1826-1 - Harmonized frequency channel plan for broadband public protection and disaster relief operations at 4 940-4 990 MHz in Regions 2 and 3</vt:lpstr>
    </vt:vector>
  </TitlesOfParts>
  <Manager/>
  <Company>ITU</Company>
  <LinksUpToDate>false</LinksUpToDate>
  <CharactersWithSpaces>10503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M.1826-1 - Harmonized frequency channel plan for broadband public protection and disaster relief operations at 4 940-4 990 MHz in Regions 2 and 3</dc:title>
  <dc:subject>M Series = Mobile, radiodetermination, amateur and related satellite services</dc:subject>
  <dc:creator>ITU Radiocommunication Bureau (BR)</dc:creator>
  <cp:keywords>M,1826-1</cp:keywords>
  <dc:description>Gachetc, 05/12/2019, ITU51013811</dc:description>
  <cp:lastModifiedBy>Gachet, Christelle</cp:lastModifiedBy>
  <cp:revision>72</cp:revision>
  <cp:lastPrinted>2019-12-05T09:47:00Z</cp:lastPrinted>
  <dcterms:created xsi:type="dcterms:W3CDTF">2019-01-29T12:40:00Z</dcterms:created>
  <dcterms:modified xsi:type="dcterms:W3CDTF">2019-12-05T09:48:00Z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