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8A2563" w:rsidRDefault="00042292" w:rsidP="00042292">
      <w:pPr>
        <w:rPr>
          <w:lang w:val="es-ES_tradnl"/>
        </w:rPr>
      </w:pPr>
      <w:bookmarkStart w:id="0" w:name="_GoBack"/>
      <w:bookmarkEnd w:id="0"/>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p w:rsidR="00042292" w:rsidRPr="008A2563" w:rsidRDefault="00042292" w:rsidP="00042292">
      <w:pPr>
        <w:rPr>
          <w:lang w:val="es-ES_tradnl"/>
        </w:rPr>
      </w:pPr>
    </w:p>
    <w:tbl>
      <w:tblPr>
        <w:tblW w:w="10089" w:type="dxa"/>
        <w:tblLook w:val="01E0" w:firstRow="1" w:lastRow="1" w:firstColumn="1" w:lastColumn="1" w:noHBand="0" w:noVBand="0"/>
      </w:tblPr>
      <w:tblGrid>
        <w:gridCol w:w="10089"/>
      </w:tblGrid>
      <w:tr w:rsidR="00042292" w:rsidRPr="008A2563" w:rsidTr="00A07AEB">
        <w:tc>
          <w:tcPr>
            <w:tcW w:w="10089" w:type="dxa"/>
          </w:tcPr>
          <w:p w:rsidR="00042292" w:rsidRPr="008A2563" w:rsidRDefault="00042292" w:rsidP="00A07AEB">
            <w:pPr>
              <w:spacing w:before="380" w:line="280" w:lineRule="exact"/>
              <w:jc w:val="right"/>
              <w:rPr>
                <w:rFonts w:ascii="Tahoma" w:hAnsi="Tahoma" w:cs="Tahoma"/>
                <w:b/>
                <w:bCs/>
                <w:iCs/>
                <w:color w:val="243285"/>
                <w:sz w:val="32"/>
                <w:szCs w:val="32"/>
                <w:lang w:val="es-ES_tradnl"/>
              </w:rPr>
            </w:pPr>
          </w:p>
          <w:p w:rsidR="00042292" w:rsidRPr="008A2563" w:rsidRDefault="00042292" w:rsidP="00E028C5">
            <w:pPr>
              <w:spacing w:before="380" w:line="28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 xml:space="preserve">Recomendación  UIT-R  </w:t>
            </w:r>
            <w:r w:rsidR="00567624" w:rsidRPr="008A2563">
              <w:rPr>
                <w:rFonts w:ascii="Tahoma" w:hAnsi="Tahoma" w:cs="Tahoma"/>
                <w:b/>
                <w:bCs/>
                <w:iCs/>
                <w:color w:val="243285"/>
                <w:sz w:val="36"/>
                <w:szCs w:val="36"/>
                <w:lang w:val="es-ES_tradnl"/>
              </w:rPr>
              <w:t>M.</w:t>
            </w:r>
            <w:r w:rsidR="00574749" w:rsidRPr="008A2563">
              <w:rPr>
                <w:rFonts w:ascii="Tahoma" w:hAnsi="Tahoma" w:cs="Tahoma"/>
                <w:b/>
                <w:bCs/>
                <w:iCs/>
                <w:color w:val="243285"/>
                <w:sz w:val="36"/>
                <w:szCs w:val="36"/>
                <w:lang w:val="es-ES_tradnl"/>
              </w:rPr>
              <w:t>18</w:t>
            </w:r>
            <w:r w:rsidR="00E028C5">
              <w:rPr>
                <w:rFonts w:ascii="Tahoma" w:hAnsi="Tahoma" w:cs="Tahoma"/>
                <w:b/>
                <w:bCs/>
                <w:iCs/>
                <w:color w:val="243285"/>
                <w:sz w:val="36"/>
                <w:szCs w:val="36"/>
                <w:lang w:val="es-ES_tradnl"/>
              </w:rPr>
              <w:t>02</w:t>
            </w:r>
            <w:r w:rsidR="00574749" w:rsidRPr="008A2563">
              <w:rPr>
                <w:rFonts w:ascii="Tahoma" w:hAnsi="Tahoma" w:cs="Tahoma"/>
                <w:b/>
                <w:bCs/>
                <w:iCs/>
                <w:color w:val="243285"/>
                <w:sz w:val="36"/>
                <w:szCs w:val="36"/>
                <w:lang w:val="es-ES_tradnl"/>
              </w:rPr>
              <w:t>-</w:t>
            </w:r>
            <w:r w:rsidR="00E028C5">
              <w:rPr>
                <w:rFonts w:ascii="Tahoma" w:hAnsi="Tahoma" w:cs="Tahoma"/>
                <w:b/>
                <w:bCs/>
                <w:iCs/>
                <w:color w:val="243285"/>
                <w:sz w:val="36"/>
                <w:szCs w:val="36"/>
                <w:lang w:val="es-ES_tradnl"/>
              </w:rPr>
              <w:t>2</w:t>
            </w:r>
          </w:p>
          <w:p w:rsidR="00042292" w:rsidRPr="008A2563" w:rsidRDefault="00042292" w:rsidP="00574749">
            <w:pPr>
              <w:spacing w:before="80" w:line="280" w:lineRule="exact"/>
              <w:jc w:val="right"/>
              <w:rPr>
                <w:rFonts w:ascii="Tahoma" w:hAnsi="Tahoma" w:cs="Tahoma"/>
                <w:b/>
                <w:bCs/>
                <w:iCs/>
                <w:color w:val="243285"/>
                <w:szCs w:val="24"/>
                <w:lang w:val="es-ES_tradnl"/>
              </w:rPr>
            </w:pPr>
            <w:r w:rsidRPr="008A2563">
              <w:rPr>
                <w:rFonts w:ascii="Tahoma" w:hAnsi="Tahoma" w:cs="Tahoma"/>
                <w:b/>
                <w:bCs/>
                <w:iCs/>
                <w:color w:val="243285"/>
                <w:szCs w:val="24"/>
                <w:lang w:val="es-ES_tradnl"/>
              </w:rPr>
              <w:t>(</w:t>
            </w:r>
            <w:r w:rsidR="00574749" w:rsidRPr="008A2563">
              <w:rPr>
                <w:rFonts w:ascii="Tahoma" w:hAnsi="Tahoma" w:cs="Tahoma"/>
                <w:b/>
                <w:bCs/>
                <w:iCs/>
                <w:color w:val="243285"/>
                <w:szCs w:val="24"/>
                <w:lang w:val="es-ES_tradnl"/>
              </w:rPr>
              <w:t>02</w:t>
            </w:r>
            <w:r w:rsidRPr="008A2563">
              <w:rPr>
                <w:rFonts w:ascii="Tahoma" w:hAnsi="Tahoma" w:cs="Tahoma"/>
                <w:b/>
                <w:bCs/>
                <w:iCs/>
                <w:color w:val="243285"/>
                <w:szCs w:val="24"/>
                <w:lang w:val="es-ES_tradnl"/>
              </w:rPr>
              <w:t>/</w:t>
            </w:r>
            <w:r w:rsidR="00574749" w:rsidRPr="008A2563">
              <w:rPr>
                <w:rFonts w:ascii="Tahoma" w:hAnsi="Tahoma" w:cs="Tahoma"/>
                <w:b/>
                <w:bCs/>
                <w:iCs/>
                <w:color w:val="243285"/>
                <w:szCs w:val="24"/>
                <w:lang w:val="es-ES_tradnl"/>
              </w:rPr>
              <w:t>2013</w:t>
            </w:r>
            <w:r w:rsidRPr="008A2563">
              <w:rPr>
                <w:rFonts w:ascii="Tahoma" w:hAnsi="Tahoma" w:cs="Tahoma"/>
                <w:b/>
                <w:bCs/>
                <w:iCs/>
                <w:color w:val="243285"/>
                <w:szCs w:val="24"/>
                <w:lang w:val="es-ES_tradnl"/>
              </w:rPr>
              <w:t>)</w:t>
            </w:r>
          </w:p>
        </w:tc>
      </w:tr>
      <w:tr w:rsidR="00042292" w:rsidRPr="007932A5" w:rsidTr="00A07AEB">
        <w:tc>
          <w:tcPr>
            <w:tcW w:w="10089" w:type="dxa"/>
          </w:tcPr>
          <w:p w:rsidR="00567624" w:rsidRPr="008A2563" w:rsidRDefault="00567624" w:rsidP="00567624">
            <w:pPr>
              <w:spacing w:before="80" w:line="500" w:lineRule="exact"/>
              <w:jc w:val="right"/>
              <w:rPr>
                <w:rFonts w:ascii="Tahoma" w:hAnsi="Tahoma" w:cs="Tahoma"/>
                <w:b/>
                <w:bCs/>
                <w:iCs/>
                <w:color w:val="243285"/>
                <w:sz w:val="44"/>
                <w:szCs w:val="44"/>
                <w:lang w:val="es-ES_tradnl"/>
              </w:rPr>
            </w:pPr>
          </w:p>
          <w:p w:rsidR="00567624" w:rsidRPr="00E028C5" w:rsidRDefault="00C322DB" w:rsidP="004F7A87">
            <w:pPr>
              <w:spacing w:before="80" w:line="500" w:lineRule="exact"/>
              <w:jc w:val="right"/>
              <w:rPr>
                <w:rFonts w:ascii="Tahoma" w:hAnsi="Tahoma" w:cs="Tahoma"/>
                <w:b/>
                <w:bCs/>
                <w:color w:val="243285"/>
                <w:sz w:val="44"/>
                <w:szCs w:val="44"/>
                <w:lang w:val="es-ES_tradnl"/>
              </w:rPr>
            </w:pPr>
            <w:r>
              <w:rPr>
                <w:rFonts w:ascii="Tahoma" w:hAnsi="Tahoma" w:cs="Tahoma"/>
                <w:b/>
                <w:color w:val="243285"/>
                <w:sz w:val="44"/>
                <w:szCs w:val="44"/>
                <w:lang w:val="es-ES_tradnl"/>
              </w:rPr>
              <w:t>Normas d</w:t>
            </w:r>
            <w:r w:rsidR="00E028C5" w:rsidRPr="00E028C5">
              <w:rPr>
                <w:rFonts w:ascii="Tahoma" w:hAnsi="Tahoma" w:cs="Tahoma"/>
                <w:b/>
                <w:color w:val="243285"/>
                <w:sz w:val="44"/>
                <w:szCs w:val="44"/>
                <w:lang w:val="es-ES_tradnl"/>
              </w:rPr>
              <w:t>e interfaz radioeléctrica</w:t>
            </w:r>
            <w:r w:rsidR="004F7A87">
              <w:rPr>
                <w:rFonts w:ascii="Tahoma" w:hAnsi="Tahoma" w:cs="Tahoma"/>
                <w:b/>
                <w:color w:val="243285"/>
                <w:sz w:val="44"/>
                <w:szCs w:val="44"/>
                <w:lang w:val="es-ES_tradnl"/>
              </w:rPr>
              <w:br/>
            </w:r>
            <w:r w:rsidR="00E028C5" w:rsidRPr="00E028C5">
              <w:rPr>
                <w:rFonts w:ascii="Tahoma" w:hAnsi="Tahoma" w:cs="Tahoma"/>
                <w:b/>
                <w:color w:val="243285"/>
                <w:sz w:val="44"/>
                <w:szCs w:val="44"/>
                <w:lang w:val="es-ES_tradnl"/>
              </w:rPr>
              <w:t>para sistemas de acceso inalámbrico</w:t>
            </w:r>
            <w:r w:rsidR="004F7A87">
              <w:rPr>
                <w:rFonts w:ascii="Tahoma" w:hAnsi="Tahoma" w:cs="Tahoma"/>
                <w:b/>
                <w:color w:val="243285"/>
                <w:sz w:val="44"/>
                <w:szCs w:val="44"/>
                <w:lang w:val="es-ES_tradnl"/>
              </w:rPr>
              <w:br/>
            </w:r>
            <w:r w:rsidR="00E028C5" w:rsidRPr="00E028C5">
              <w:rPr>
                <w:rFonts w:ascii="Tahoma" w:hAnsi="Tahoma" w:cs="Tahoma"/>
                <w:b/>
                <w:color w:val="243285"/>
                <w:sz w:val="44"/>
                <w:szCs w:val="44"/>
                <w:lang w:val="es-ES_tradnl"/>
              </w:rPr>
              <w:t>de banda ancha, incluidas aplicaciones</w:t>
            </w:r>
            <w:r w:rsidR="004F7A87">
              <w:rPr>
                <w:rFonts w:ascii="Tahoma" w:hAnsi="Tahoma" w:cs="Tahoma"/>
                <w:b/>
                <w:color w:val="243285"/>
                <w:sz w:val="44"/>
                <w:szCs w:val="44"/>
                <w:lang w:val="es-ES_tradnl"/>
              </w:rPr>
              <w:br/>
            </w:r>
            <w:r w:rsidR="00E028C5" w:rsidRPr="00E028C5">
              <w:rPr>
                <w:rFonts w:ascii="Tahoma" w:hAnsi="Tahoma" w:cs="Tahoma"/>
                <w:b/>
                <w:color w:val="243285"/>
                <w:sz w:val="44"/>
                <w:szCs w:val="44"/>
                <w:lang w:val="es-ES_tradnl"/>
              </w:rPr>
              <w:t>móviles</w:t>
            </w:r>
            <w:r w:rsidR="004F7A87">
              <w:rPr>
                <w:rFonts w:ascii="Tahoma" w:hAnsi="Tahoma" w:cs="Tahoma"/>
                <w:b/>
                <w:color w:val="243285"/>
                <w:sz w:val="44"/>
                <w:szCs w:val="44"/>
                <w:lang w:val="es-ES_tradnl"/>
              </w:rPr>
              <w:t xml:space="preserve"> </w:t>
            </w:r>
            <w:r w:rsidR="00E028C5" w:rsidRPr="00E028C5">
              <w:rPr>
                <w:rFonts w:ascii="Tahoma" w:hAnsi="Tahoma" w:cs="Tahoma"/>
                <w:b/>
                <w:color w:val="243285"/>
                <w:sz w:val="44"/>
                <w:szCs w:val="44"/>
                <w:lang w:val="es-ES_tradnl"/>
              </w:rPr>
              <w:t>y nómadas en el servicio móvil</w:t>
            </w:r>
            <w:r w:rsidR="004F7A87">
              <w:rPr>
                <w:rFonts w:ascii="Tahoma" w:hAnsi="Tahoma" w:cs="Tahoma"/>
                <w:b/>
                <w:color w:val="243285"/>
                <w:sz w:val="44"/>
                <w:szCs w:val="44"/>
                <w:lang w:val="es-ES_tradnl"/>
              </w:rPr>
              <w:br/>
            </w:r>
            <w:r w:rsidR="00E028C5" w:rsidRPr="00E028C5">
              <w:rPr>
                <w:rFonts w:ascii="Tahoma" w:hAnsi="Tahoma" w:cs="Tahoma"/>
                <w:b/>
                <w:color w:val="243285"/>
                <w:sz w:val="44"/>
                <w:szCs w:val="44"/>
                <w:lang w:val="es-ES_tradnl"/>
              </w:rPr>
              <w:t>que funcionan por debajo de 6 GHz</w:t>
            </w:r>
          </w:p>
          <w:p w:rsidR="00042292" w:rsidRPr="008A2563" w:rsidRDefault="00042292" w:rsidP="00A07AEB">
            <w:pPr>
              <w:spacing w:before="80" w:line="500" w:lineRule="exact"/>
              <w:jc w:val="right"/>
              <w:rPr>
                <w:rFonts w:ascii="Tahoma" w:hAnsi="Tahoma" w:cs="Tahoma"/>
                <w:b/>
                <w:bCs/>
                <w:iCs/>
                <w:color w:val="243285"/>
                <w:sz w:val="44"/>
                <w:szCs w:val="44"/>
                <w:lang w:val="es-ES_tradnl"/>
              </w:rPr>
            </w:pPr>
          </w:p>
          <w:p w:rsidR="00042292" w:rsidRPr="008A2563" w:rsidRDefault="00042292" w:rsidP="00A07AEB">
            <w:pPr>
              <w:spacing w:before="80" w:line="500" w:lineRule="exact"/>
              <w:jc w:val="right"/>
              <w:rPr>
                <w:rFonts w:ascii="Tahoma" w:hAnsi="Tahoma" w:cs="Tahoma"/>
                <w:b/>
                <w:bCs/>
                <w:iCs/>
                <w:color w:val="243285"/>
                <w:sz w:val="44"/>
                <w:szCs w:val="44"/>
                <w:lang w:val="es-ES_tradnl"/>
              </w:rPr>
            </w:pPr>
          </w:p>
        </w:tc>
      </w:tr>
      <w:tr w:rsidR="00042292" w:rsidRPr="007932A5" w:rsidTr="00A07AEB">
        <w:tc>
          <w:tcPr>
            <w:tcW w:w="10089" w:type="dxa"/>
          </w:tcPr>
          <w:p w:rsidR="00042292" w:rsidRPr="008A2563" w:rsidRDefault="00042292" w:rsidP="00A07AEB">
            <w:pPr>
              <w:spacing w:before="80" w:line="280" w:lineRule="exact"/>
              <w:ind w:right="640"/>
              <w:rPr>
                <w:rFonts w:ascii="Tahoma" w:hAnsi="Tahoma" w:cs="Tahoma"/>
                <w:b/>
                <w:bCs/>
                <w:iCs/>
                <w:color w:val="243285"/>
                <w:sz w:val="32"/>
                <w:szCs w:val="32"/>
                <w:lang w:val="es-ES_tradnl"/>
              </w:rPr>
            </w:pPr>
          </w:p>
          <w:p w:rsidR="00042292" w:rsidRPr="008A2563" w:rsidRDefault="00042292" w:rsidP="00A07AEB">
            <w:pPr>
              <w:spacing w:before="80" w:line="280" w:lineRule="exact"/>
              <w:ind w:right="640"/>
              <w:rPr>
                <w:rFonts w:ascii="Tahoma" w:hAnsi="Tahoma" w:cs="Tahoma"/>
                <w:b/>
                <w:bCs/>
                <w:iCs/>
                <w:color w:val="243285"/>
                <w:sz w:val="32"/>
                <w:szCs w:val="32"/>
                <w:lang w:val="es-ES_tradnl"/>
              </w:rPr>
            </w:pPr>
          </w:p>
          <w:p w:rsidR="00042292" w:rsidRPr="008A2563" w:rsidRDefault="00042292" w:rsidP="00A07AEB">
            <w:pPr>
              <w:spacing w:before="80" w:after="180" w:line="360" w:lineRule="exact"/>
              <w:ind w:right="720"/>
              <w:rPr>
                <w:rFonts w:ascii="Tahoma" w:hAnsi="Tahoma" w:cs="Tahoma"/>
                <w:b/>
                <w:bCs/>
                <w:iCs/>
                <w:color w:val="243285"/>
                <w:sz w:val="36"/>
                <w:szCs w:val="36"/>
                <w:lang w:val="es-ES_tradnl"/>
              </w:rPr>
            </w:pPr>
          </w:p>
          <w:p w:rsidR="00042292" w:rsidRPr="008A2563" w:rsidRDefault="00042292" w:rsidP="00A07AEB">
            <w:pPr>
              <w:spacing w:before="80" w:after="180" w:line="36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Serie M</w:t>
            </w:r>
          </w:p>
          <w:p w:rsidR="00042292" w:rsidRPr="008A2563" w:rsidRDefault="00042292" w:rsidP="00A07AEB">
            <w:pPr>
              <w:spacing w:before="80" w:line="420" w:lineRule="exact"/>
              <w:jc w:val="right"/>
              <w:rPr>
                <w:rFonts w:ascii="Tahoma" w:hAnsi="Tahoma" w:cs="Tahoma"/>
                <w:b/>
                <w:bCs/>
                <w:iCs/>
                <w:color w:val="243285"/>
                <w:sz w:val="36"/>
                <w:szCs w:val="36"/>
                <w:lang w:val="es-ES_tradnl"/>
              </w:rPr>
            </w:pPr>
            <w:r w:rsidRPr="008A2563">
              <w:rPr>
                <w:rFonts w:ascii="Tahoma" w:hAnsi="Tahoma" w:cs="Tahoma"/>
                <w:b/>
                <w:bCs/>
                <w:iCs/>
                <w:color w:val="243285"/>
                <w:sz w:val="36"/>
                <w:szCs w:val="36"/>
                <w:lang w:val="es-ES_tradnl"/>
              </w:rPr>
              <w:t>Servicios móviles, de radiodeterminación,</w:t>
            </w:r>
            <w:r w:rsidR="00410F5B" w:rsidRPr="008A2563">
              <w:rPr>
                <w:rFonts w:ascii="Tahoma" w:hAnsi="Tahoma" w:cs="Tahoma"/>
                <w:b/>
                <w:bCs/>
                <w:iCs/>
                <w:color w:val="243285"/>
                <w:sz w:val="36"/>
                <w:szCs w:val="36"/>
                <w:lang w:val="es-ES_tradnl"/>
              </w:rPr>
              <w:br/>
            </w:r>
            <w:r w:rsidRPr="008A2563">
              <w:rPr>
                <w:rFonts w:ascii="Tahoma" w:hAnsi="Tahoma" w:cs="Tahoma"/>
                <w:b/>
                <w:bCs/>
                <w:iCs/>
                <w:color w:val="243285"/>
                <w:sz w:val="36"/>
                <w:szCs w:val="36"/>
                <w:lang w:val="es-ES_tradnl"/>
              </w:rPr>
              <w:t>de aficionados y otros servicios</w:t>
            </w:r>
            <w:r w:rsidRPr="008A2563">
              <w:rPr>
                <w:rFonts w:ascii="Tahoma" w:hAnsi="Tahoma" w:cs="Tahoma"/>
                <w:b/>
                <w:bCs/>
                <w:iCs/>
                <w:color w:val="243285"/>
                <w:sz w:val="36"/>
                <w:szCs w:val="36"/>
                <w:lang w:val="es-ES_tradnl"/>
              </w:rPr>
              <w:br/>
              <w:t>por satélite conexos</w:t>
            </w:r>
          </w:p>
        </w:tc>
      </w:tr>
    </w:tbl>
    <w:p w:rsidR="00042292" w:rsidRPr="008A2563" w:rsidRDefault="00042292" w:rsidP="00042292">
      <w:pPr>
        <w:spacing w:before="80"/>
        <w:rPr>
          <w:i/>
          <w:sz w:val="22"/>
          <w:lang w:val="es-ES_tradnl"/>
        </w:rPr>
      </w:pPr>
    </w:p>
    <w:p w:rsidR="00042292" w:rsidRPr="008A2563" w:rsidRDefault="00042292" w:rsidP="00042292">
      <w:pPr>
        <w:spacing w:before="80"/>
        <w:rPr>
          <w:i/>
          <w:sz w:val="22"/>
          <w:lang w:val="es-ES_tradnl"/>
        </w:rPr>
      </w:pPr>
    </w:p>
    <w:p w:rsidR="00042292" w:rsidRPr="008A2563" w:rsidRDefault="00042292" w:rsidP="00042292">
      <w:pPr>
        <w:spacing w:before="80"/>
        <w:rPr>
          <w:i/>
          <w:sz w:val="22"/>
          <w:lang w:val="es-ES_tradnl"/>
        </w:rPr>
      </w:pPr>
    </w:p>
    <w:p w:rsidR="00042292" w:rsidRPr="008A2563"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8A2563">
          <w:headerReference w:type="even" r:id="rId8"/>
          <w:headerReference w:type="default" r:id="rId9"/>
          <w:pgSz w:w="11907" w:h="16840" w:code="9"/>
          <w:pgMar w:top="1089" w:right="1089" w:bottom="284" w:left="1089" w:header="567" w:footer="284" w:gutter="0"/>
          <w:pgNumType w:start="1"/>
          <w:cols w:space="720"/>
        </w:sectPr>
      </w:pPr>
    </w:p>
    <w:p w:rsidR="00042292" w:rsidRPr="008A2563"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8A2563">
        <w:rPr>
          <w:bCs/>
          <w:sz w:val="24"/>
          <w:szCs w:val="24"/>
          <w:lang w:val="es-ES_tradnl"/>
        </w:rPr>
        <w:lastRenderedPageBreak/>
        <w:t>Prólogo</w:t>
      </w:r>
    </w:p>
    <w:p w:rsidR="00042292" w:rsidRPr="008A2563" w:rsidRDefault="00042292" w:rsidP="00042292">
      <w:pPr>
        <w:spacing w:before="180"/>
        <w:rPr>
          <w:sz w:val="20"/>
          <w:lang w:val="es-ES_tradnl"/>
        </w:rPr>
      </w:pPr>
      <w:r w:rsidRPr="008A256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Default="00042292" w:rsidP="00042292">
      <w:pPr>
        <w:rPr>
          <w:sz w:val="20"/>
          <w:lang w:val="es-ES_tradnl"/>
        </w:rPr>
      </w:pPr>
      <w:r w:rsidRPr="008A256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042292" w:rsidRPr="008A2563" w:rsidRDefault="00042292" w:rsidP="00042292">
      <w:pPr>
        <w:pStyle w:val="Heading1"/>
        <w:spacing w:before="340"/>
        <w:jc w:val="center"/>
        <w:rPr>
          <w:szCs w:val="24"/>
          <w:lang w:val="es-ES_tradnl"/>
        </w:rPr>
      </w:pPr>
      <w:r w:rsidRPr="008A2563">
        <w:rPr>
          <w:lang w:val="es-ES_tradnl"/>
        </w:rPr>
        <w:t>Política sobre Derechos de Propiedad Intelectual</w:t>
      </w:r>
      <w:r w:rsidRPr="008A2563">
        <w:rPr>
          <w:szCs w:val="24"/>
          <w:lang w:val="es-ES_tradnl"/>
        </w:rPr>
        <w:t xml:space="preserve"> (IPR)</w:t>
      </w:r>
    </w:p>
    <w:p w:rsidR="00042292" w:rsidRPr="008A2563" w:rsidRDefault="00042292" w:rsidP="00042292">
      <w:pPr>
        <w:spacing w:before="180"/>
        <w:rPr>
          <w:sz w:val="20"/>
          <w:lang w:val="es-ES_tradnl"/>
        </w:rPr>
      </w:pPr>
      <w:r w:rsidRPr="008A2563">
        <w:rPr>
          <w:sz w:val="20"/>
          <w:lang w:val="es-ES_tradnl"/>
        </w:rPr>
        <w:t>La política del UIT</w:t>
      </w:r>
      <w:r w:rsidRPr="008A2563">
        <w:rPr>
          <w:sz w:val="20"/>
          <w:lang w:val="es-ES_tradnl"/>
        </w:rPr>
        <w:noBreakHyphen/>
        <w:t>R sobre Derechos de Propiedad Intelectual se describe en la Política Común de Patentes UIT</w:t>
      </w:r>
      <w:r w:rsidRPr="008A2563">
        <w:rPr>
          <w:sz w:val="20"/>
          <w:lang w:val="es-ES_tradnl"/>
        </w:rPr>
        <w:noBreakHyphen/>
        <w:t>T/UIT</w:t>
      </w:r>
      <w:r w:rsidRPr="008A2563">
        <w:rPr>
          <w:sz w:val="20"/>
          <w:lang w:val="es-ES_tradnl"/>
        </w:rPr>
        <w:noBreakHyphen/>
        <w:t>R/ISO/CEI a la que se hace referencia en el Anexo 1 a la Resolución UIT</w:t>
      </w:r>
      <w:r w:rsidRPr="008A2563">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8A2563">
          <w:rPr>
            <w:rStyle w:val="Hyperlink"/>
            <w:sz w:val="20"/>
            <w:lang w:val="es-ES_tradnl"/>
          </w:rPr>
          <w:t>http://www.itu.int/ITU-R/go/patents/es</w:t>
        </w:r>
      </w:hyperlink>
      <w:r w:rsidRPr="008A2563">
        <w:rPr>
          <w:sz w:val="20"/>
          <w:lang w:val="es-ES_tradnl"/>
        </w:rPr>
        <w:t>, donde también aparecen las Directrices para la implementación de la Política Común de Patentes UIT</w:t>
      </w:r>
      <w:r w:rsidRPr="008A2563">
        <w:rPr>
          <w:sz w:val="20"/>
          <w:lang w:val="es-ES_tradnl"/>
        </w:rPr>
        <w:noBreakHyphen/>
        <w:t>T/UIT</w:t>
      </w:r>
      <w:r w:rsidRPr="008A2563">
        <w:rPr>
          <w:sz w:val="20"/>
          <w:lang w:val="es-ES_tradnl"/>
        </w:rPr>
        <w:noBreakHyphen/>
        <w:t>R/ISO/CEI y la base de datos sobre información de patentes del UIT</w:t>
      </w:r>
      <w:r w:rsidRPr="008A2563">
        <w:rPr>
          <w:sz w:val="20"/>
          <w:lang w:val="es-ES_tradnl"/>
        </w:rPr>
        <w:noBreakHyphen/>
        <w:t>R sobre este asunto.</w:t>
      </w:r>
    </w:p>
    <w:p w:rsidR="00042292" w:rsidRPr="008A2563" w:rsidRDefault="00042292" w:rsidP="00042292">
      <w:pPr>
        <w:spacing w:before="0"/>
        <w:jc w:val="center"/>
        <w:rPr>
          <w:sz w:val="22"/>
          <w:lang w:val="es-ES_tradnl"/>
        </w:rPr>
      </w:pPr>
    </w:p>
    <w:p w:rsidR="00042292" w:rsidRPr="008A2563"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7932A5" w:rsidTr="00CB1354">
        <w:tc>
          <w:tcPr>
            <w:tcW w:w="9360" w:type="dxa"/>
            <w:gridSpan w:val="2"/>
          </w:tcPr>
          <w:p w:rsidR="00042292" w:rsidRPr="008A2563"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A2563">
              <w:rPr>
                <w:sz w:val="22"/>
                <w:szCs w:val="22"/>
                <w:lang w:val="es-ES_tradnl"/>
              </w:rPr>
              <w:t xml:space="preserve">Series de las Recomendaciones UIT-R </w:t>
            </w:r>
          </w:p>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A2563">
              <w:rPr>
                <w:b w:val="0"/>
                <w:sz w:val="18"/>
                <w:szCs w:val="18"/>
                <w:lang w:val="es-ES_tradnl"/>
              </w:rPr>
              <w:t xml:space="preserve">(También disponible en línea en </w:t>
            </w:r>
            <w:hyperlink r:id="rId11" w:history="1">
              <w:r w:rsidRPr="008A2563">
                <w:rPr>
                  <w:rStyle w:val="Hyperlink"/>
                  <w:b w:val="0"/>
                  <w:bCs/>
                  <w:sz w:val="18"/>
                  <w:szCs w:val="18"/>
                  <w:lang w:val="es-ES_tradnl"/>
                </w:rPr>
                <w:t>http://www.itu.int/publ/R-REC/es</w:t>
              </w:r>
            </w:hyperlink>
            <w:r w:rsidRPr="008A2563">
              <w:rPr>
                <w:b w:val="0"/>
                <w:bCs/>
                <w:sz w:val="18"/>
                <w:szCs w:val="18"/>
                <w:lang w:val="es-ES_tradnl"/>
              </w:rPr>
              <w:t>)</w:t>
            </w:r>
          </w:p>
        </w:tc>
      </w:tr>
      <w:tr w:rsidR="00042292" w:rsidRPr="008A2563" w:rsidTr="00CB1354">
        <w:tc>
          <w:tcPr>
            <w:tcW w:w="1140" w:type="dxa"/>
          </w:tcPr>
          <w:p w:rsidR="00042292" w:rsidRPr="008A2563" w:rsidRDefault="00042292" w:rsidP="00CB1354">
            <w:pPr>
              <w:spacing w:before="180" w:after="100"/>
              <w:ind w:left="57"/>
              <w:rPr>
                <w:b/>
                <w:bCs/>
                <w:sz w:val="20"/>
                <w:lang w:val="es-ES_tradnl"/>
              </w:rPr>
            </w:pPr>
            <w:r w:rsidRPr="008A2563">
              <w:rPr>
                <w:b/>
                <w:bCs/>
                <w:sz w:val="20"/>
                <w:lang w:val="es-ES_tradnl"/>
              </w:rPr>
              <w:t>Series</w:t>
            </w:r>
          </w:p>
        </w:tc>
        <w:tc>
          <w:tcPr>
            <w:tcW w:w="8220" w:type="dxa"/>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A2563">
              <w:rPr>
                <w:bCs/>
                <w:sz w:val="20"/>
                <w:lang w:val="es-ES_tradnl"/>
              </w:rPr>
              <w:t>Título</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BO</w:t>
            </w:r>
          </w:p>
        </w:tc>
        <w:tc>
          <w:tcPr>
            <w:tcW w:w="8220" w:type="dxa"/>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Distribución por satélite</w:t>
            </w:r>
          </w:p>
        </w:tc>
      </w:tr>
      <w:tr w:rsidR="00042292" w:rsidRPr="007932A5"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BR</w:t>
            </w:r>
          </w:p>
        </w:tc>
        <w:tc>
          <w:tcPr>
            <w:tcW w:w="8220" w:type="dxa"/>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Registro para producción, archivo y reproducción; películas en televisión</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BS</w:t>
            </w:r>
          </w:p>
        </w:tc>
        <w:tc>
          <w:tcPr>
            <w:tcW w:w="8220" w:type="dxa"/>
          </w:tcPr>
          <w:p w:rsidR="00042292" w:rsidRPr="008A2563"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Servicio de radiodifusión (sonora)</w:t>
            </w:r>
          </w:p>
        </w:tc>
      </w:tr>
      <w:tr w:rsidR="00042292" w:rsidRPr="008A2563" w:rsidTr="00CB1354">
        <w:tc>
          <w:tcPr>
            <w:tcW w:w="1140" w:type="dxa"/>
            <w:shd w:val="clear" w:color="auto" w:fill="auto"/>
          </w:tcPr>
          <w:p w:rsidR="00042292" w:rsidRPr="008A2563" w:rsidRDefault="00042292" w:rsidP="00CB1354">
            <w:pPr>
              <w:spacing w:before="30" w:after="30"/>
              <w:ind w:left="57"/>
              <w:jc w:val="left"/>
              <w:rPr>
                <w:b/>
                <w:bCs/>
                <w:sz w:val="20"/>
                <w:lang w:val="es-ES_tradnl"/>
              </w:rPr>
            </w:pPr>
            <w:r w:rsidRPr="008A2563">
              <w:rPr>
                <w:b/>
                <w:bCs/>
                <w:sz w:val="20"/>
                <w:lang w:val="es-ES_tradnl"/>
              </w:rPr>
              <w:t>BT</w:t>
            </w:r>
          </w:p>
        </w:tc>
        <w:tc>
          <w:tcPr>
            <w:tcW w:w="8220" w:type="dxa"/>
            <w:shd w:val="clear" w:color="auto" w:fill="auto"/>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A2563">
              <w:rPr>
                <w:b w:val="0"/>
                <w:bCs/>
                <w:sz w:val="20"/>
                <w:lang w:val="es-ES_tradnl"/>
              </w:rPr>
              <w:t>Servicio de radiodifusión (televisión)</w:t>
            </w:r>
          </w:p>
        </w:tc>
      </w:tr>
      <w:tr w:rsidR="00042292" w:rsidRPr="008A2563" w:rsidTr="00CB1354">
        <w:tc>
          <w:tcPr>
            <w:tcW w:w="1140" w:type="dxa"/>
            <w:shd w:val="clear" w:color="auto" w:fill="auto"/>
          </w:tcPr>
          <w:p w:rsidR="00042292" w:rsidRPr="008A2563" w:rsidRDefault="00042292" w:rsidP="00CB1354">
            <w:pPr>
              <w:spacing w:before="30" w:after="30"/>
              <w:ind w:left="57"/>
              <w:jc w:val="left"/>
              <w:rPr>
                <w:b/>
                <w:bCs/>
                <w:sz w:val="20"/>
                <w:lang w:val="es-ES_tradnl"/>
              </w:rPr>
            </w:pPr>
            <w:r w:rsidRPr="008A2563">
              <w:rPr>
                <w:b/>
                <w:bCs/>
                <w:sz w:val="20"/>
                <w:lang w:val="es-ES_tradnl"/>
              </w:rPr>
              <w:t>F</w:t>
            </w:r>
          </w:p>
        </w:tc>
        <w:tc>
          <w:tcPr>
            <w:tcW w:w="8220" w:type="dxa"/>
            <w:shd w:val="clear" w:color="auto" w:fill="auto"/>
          </w:tcPr>
          <w:p w:rsidR="00042292" w:rsidRPr="008A2563"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Servicio fijo</w:t>
            </w:r>
          </w:p>
        </w:tc>
      </w:tr>
      <w:tr w:rsidR="00042292" w:rsidRPr="007932A5" w:rsidTr="00CB1354">
        <w:tc>
          <w:tcPr>
            <w:tcW w:w="1140" w:type="dxa"/>
            <w:shd w:val="clear" w:color="auto" w:fill="F3F3F3"/>
          </w:tcPr>
          <w:p w:rsidR="00042292" w:rsidRPr="008A2563" w:rsidRDefault="00042292" w:rsidP="00CB1354">
            <w:pPr>
              <w:spacing w:before="30" w:after="30"/>
              <w:ind w:left="57"/>
              <w:jc w:val="left"/>
              <w:rPr>
                <w:b/>
                <w:bCs/>
                <w:color w:val="000080"/>
                <w:sz w:val="20"/>
                <w:lang w:val="es-ES_tradnl"/>
              </w:rPr>
            </w:pPr>
            <w:r w:rsidRPr="008A2563">
              <w:rPr>
                <w:b/>
                <w:bCs/>
                <w:color w:val="000080"/>
                <w:sz w:val="20"/>
                <w:lang w:val="es-ES_tradnl"/>
              </w:rPr>
              <w:t>M</w:t>
            </w:r>
          </w:p>
        </w:tc>
        <w:tc>
          <w:tcPr>
            <w:tcW w:w="8220" w:type="dxa"/>
            <w:shd w:val="clear" w:color="auto" w:fill="F3F3F3"/>
          </w:tcPr>
          <w:p w:rsidR="00042292" w:rsidRPr="008A256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8A2563">
              <w:rPr>
                <w:bCs/>
                <w:color w:val="000080"/>
                <w:sz w:val="20"/>
                <w:lang w:val="es-ES_tradnl"/>
              </w:rPr>
              <w:t>Servicios móviles, de radiodeterminación, de aficionados y otros servicios por satélite conexos</w:t>
            </w:r>
          </w:p>
        </w:tc>
      </w:tr>
      <w:tr w:rsidR="00042292" w:rsidRPr="007932A5"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P</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Propagación de las ondas radioeléctricas</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RA</w:t>
            </w:r>
          </w:p>
        </w:tc>
        <w:tc>
          <w:tcPr>
            <w:tcW w:w="8220" w:type="dxa"/>
          </w:tcPr>
          <w:p w:rsidR="00042292" w:rsidRPr="008A2563"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Radioastronomía</w:t>
            </w:r>
          </w:p>
        </w:tc>
      </w:tr>
      <w:tr w:rsidR="00042292" w:rsidRPr="007932A5"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RS</w:t>
            </w:r>
          </w:p>
        </w:tc>
        <w:tc>
          <w:tcPr>
            <w:tcW w:w="8220" w:type="dxa"/>
          </w:tcPr>
          <w:p w:rsidR="00042292" w:rsidRPr="008A2563"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A2563">
              <w:rPr>
                <w:bCs/>
                <w:sz w:val="20"/>
                <w:lang w:val="es-ES_tradnl"/>
              </w:rPr>
              <w:t>Sistemas de detección a distancia</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S</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Servicio fijo por satélite</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SA</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Aplicaciones espaciales y meteorología</w:t>
            </w:r>
          </w:p>
        </w:tc>
      </w:tr>
      <w:tr w:rsidR="00042292" w:rsidRPr="007932A5"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SF</w:t>
            </w:r>
          </w:p>
        </w:tc>
        <w:tc>
          <w:tcPr>
            <w:tcW w:w="8220" w:type="dxa"/>
          </w:tcPr>
          <w:p w:rsidR="00042292" w:rsidRPr="008A2563" w:rsidRDefault="00042292" w:rsidP="00E028C5">
            <w:pPr>
              <w:spacing w:before="30" w:after="30"/>
              <w:jc w:val="left"/>
              <w:rPr>
                <w:bCs/>
                <w:sz w:val="20"/>
                <w:lang w:val="es-ES_tradnl"/>
              </w:rPr>
            </w:pPr>
            <w:r w:rsidRPr="008A2563">
              <w:rPr>
                <w:bCs/>
                <w:sz w:val="20"/>
                <w:lang w:val="es-ES_tradnl"/>
              </w:rPr>
              <w:t>Compartición de frecuencias y coordinación entre los sistemas del servicio fijo por satélite y del</w:t>
            </w:r>
            <w:r w:rsidR="00E028C5">
              <w:rPr>
                <w:bCs/>
                <w:sz w:val="20"/>
                <w:lang w:val="es-ES_tradnl"/>
              </w:rPr>
              <w:t> </w:t>
            </w:r>
            <w:r w:rsidRPr="008A2563">
              <w:rPr>
                <w:bCs/>
                <w:sz w:val="20"/>
                <w:lang w:val="es-ES_tradnl"/>
              </w:rPr>
              <w:t>servicio fijo</w:t>
            </w:r>
          </w:p>
        </w:tc>
      </w:tr>
      <w:tr w:rsidR="00042292" w:rsidRPr="008A2563" w:rsidTr="00CB1354">
        <w:tc>
          <w:tcPr>
            <w:tcW w:w="1140" w:type="dxa"/>
            <w:shd w:val="clear" w:color="auto" w:fill="auto"/>
          </w:tcPr>
          <w:p w:rsidR="00042292" w:rsidRPr="008A2563" w:rsidRDefault="00042292" w:rsidP="00CB1354">
            <w:pPr>
              <w:spacing w:before="30" w:after="30"/>
              <w:ind w:left="57"/>
              <w:jc w:val="left"/>
              <w:rPr>
                <w:b/>
                <w:bCs/>
                <w:sz w:val="20"/>
                <w:lang w:val="es-ES_tradnl"/>
              </w:rPr>
            </w:pPr>
            <w:r w:rsidRPr="008A2563">
              <w:rPr>
                <w:b/>
                <w:bCs/>
                <w:sz w:val="20"/>
                <w:lang w:val="es-ES_tradnl"/>
              </w:rPr>
              <w:t>SM</w:t>
            </w:r>
          </w:p>
        </w:tc>
        <w:tc>
          <w:tcPr>
            <w:tcW w:w="8220" w:type="dxa"/>
            <w:shd w:val="clear" w:color="auto" w:fill="auto"/>
          </w:tcPr>
          <w:p w:rsidR="00042292" w:rsidRPr="008A2563" w:rsidRDefault="00042292" w:rsidP="00CB1354">
            <w:pPr>
              <w:spacing w:before="30" w:after="30"/>
              <w:jc w:val="left"/>
              <w:rPr>
                <w:sz w:val="20"/>
                <w:lang w:val="es-ES_tradnl"/>
              </w:rPr>
            </w:pPr>
            <w:r w:rsidRPr="008A2563">
              <w:rPr>
                <w:sz w:val="20"/>
                <w:lang w:val="es-ES_tradnl"/>
              </w:rPr>
              <w:t>Gestión del espectro</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SNG</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Periodismo electrónico por satélite</w:t>
            </w:r>
          </w:p>
        </w:tc>
      </w:tr>
      <w:tr w:rsidR="00042292" w:rsidRPr="007932A5"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TF</w:t>
            </w:r>
          </w:p>
        </w:tc>
        <w:tc>
          <w:tcPr>
            <w:tcW w:w="8220" w:type="dxa"/>
          </w:tcPr>
          <w:p w:rsidR="00042292" w:rsidRPr="008A2563" w:rsidRDefault="00042292" w:rsidP="00CB1354">
            <w:pPr>
              <w:spacing w:before="30" w:after="30"/>
              <w:jc w:val="left"/>
              <w:rPr>
                <w:bCs/>
                <w:sz w:val="20"/>
                <w:lang w:val="es-ES_tradnl"/>
              </w:rPr>
            </w:pPr>
            <w:r w:rsidRPr="008A2563">
              <w:rPr>
                <w:bCs/>
                <w:sz w:val="20"/>
                <w:lang w:val="es-ES_tradnl"/>
              </w:rPr>
              <w:t>Emisiones de frecuencias patrón y señales horarias</w:t>
            </w:r>
          </w:p>
        </w:tc>
      </w:tr>
      <w:tr w:rsidR="00042292" w:rsidRPr="008A2563" w:rsidTr="00CB1354">
        <w:tc>
          <w:tcPr>
            <w:tcW w:w="1140" w:type="dxa"/>
          </w:tcPr>
          <w:p w:rsidR="00042292" w:rsidRPr="008A2563" w:rsidRDefault="00042292" w:rsidP="00CB1354">
            <w:pPr>
              <w:spacing w:before="30" w:after="30"/>
              <w:ind w:left="57"/>
              <w:jc w:val="left"/>
              <w:rPr>
                <w:b/>
                <w:bCs/>
                <w:sz w:val="20"/>
                <w:lang w:val="es-ES_tradnl"/>
              </w:rPr>
            </w:pPr>
            <w:r w:rsidRPr="008A2563">
              <w:rPr>
                <w:b/>
                <w:bCs/>
                <w:sz w:val="20"/>
                <w:lang w:val="es-ES_tradnl"/>
              </w:rPr>
              <w:t>V</w:t>
            </w:r>
          </w:p>
        </w:tc>
        <w:tc>
          <w:tcPr>
            <w:tcW w:w="8220" w:type="dxa"/>
          </w:tcPr>
          <w:p w:rsidR="00042292" w:rsidRPr="008A2563" w:rsidRDefault="00042292" w:rsidP="00CB1354">
            <w:pPr>
              <w:spacing w:before="30" w:after="140"/>
              <w:jc w:val="left"/>
              <w:rPr>
                <w:bCs/>
                <w:sz w:val="20"/>
                <w:lang w:val="es-ES_tradnl"/>
              </w:rPr>
            </w:pPr>
            <w:r w:rsidRPr="008A2563">
              <w:rPr>
                <w:bCs/>
                <w:sz w:val="20"/>
                <w:lang w:val="es-ES_tradnl"/>
              </w:rPr>
              <w:t>Vocabulario y cuestiones afines</w:t>
            </w:r>
          </w:p>
        </w:tc>
      </w:tr>
    </w:tbl>
    <w:p w:rsidR="00042292" w:rsidRPr="008A2563" w:rsidRDefault="00042292" w:rsidP="0004229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8A2563" w:rsidTr="00CB1354">
        <w:tc>
          <w:tcPr>
            <w:tcW w:w="720" w:type="dxa"/>
          </w:tcPr>
          <w:p w:rsidR="00042292" w:rsidRPr="008A2563" w:rsidRDefault="00042292" w:rsidP="00CB135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7932A5" w:rsidTr="00A07AEB">
        <w:tc>
          <w:tcPr>
            <w:tcW w:w="9360" w:type="dxa"/>
          </w:tcPr>
          <w:p w:rsidR="00042292" w:rsidRPr="008A2563" w:rsidRDefault="00042292" w:rsidP="00F90A3D">
            <w:pPr>
              <w:spacing w:before="92" w:after="92"/>
              <w:jc w:val="left"/>
              <w:rPr>
                <w:i/>
                <w:iCs/>
                <w:sz w:val="20"/>
                <w:lang w:val="es-ES_tradnl"/>
              </w:rPr>
            </w:pPr>
            <w:r w:rsidRPr="008A2563">
              <w:rPr>
                <w:b/>
                <w:bCs/>
                <w:i/>
                <w:iCs/>
                <w:sz w:val="20"/>
                <w:lang w:val="es-ES_tradnl"/>
              </w:rPr>
              <w:t>Nota</w:t>
            </w:r>
            <w:r w:rsidRPr="008A2563">
              <w:rPr>
                <w:i/>
                <w:iCs/>
                <w:sz w:val="20"/>
                <w:lang w:val="es-ES_tradnl"/>
              </w:rPr>
              <w:t xml:space="preserve">: Esta Recomendación UIT-R fue aprobada en inglés conforme al procedimiento detallado en la </w:t>
            </w:r>
            <w:r w:rsidRPr="008A2563">
              <w:rPr>
                <w:i/>
                <w:iCs/>
                <w:sz w:val="20"/>
                <w:lang w:val="es-ES_tradnl"/>
              </w:rPr>
              <w:br/>
              <w:t>Resolución UIT-R 1.</w:t>
            </w:r>
          </w:p>
        </w:tc>
      </w:tr>
    </w:tbl>
    <w:p w:rsidR="00042292" w:rsidRPr="008A2563" w:rsidRDefault="00042292" w:rsidP="00042292">
      <w:pPr>
        <w:spacing w:before="0"/>
        <w:jc w:val="center"/>
        <w:rPr>
          <w:sz w:val="22"/>
          <w:lang w:val="es-ES_tradnl"/>
        </w:rPr>
      </w:pPr>
    </w:p>
    <w:p w:rsidR="00042292" w:rsidRPr="008A2563" w:rsidRDefault="00042292" w:rsidP="00042292">
      <w:pPr>
        <w:spacing w:before="60"/>
        <w:jc w:val="right"/>
        <w:rPr>
          <w:i/>
          <w:iCs/>
          <w:sz w:val="20"/>
          <w:lang w:val="es-ES_tradnl"/>
        </w:rPr>
      </w:pPr>
      <w:r w:rsidRPr="008A2563">
        <w:rPr>
          <w:i/>
          <w:iCs/>
          <w:sz w:val="20"/>
          <w:lang w:val="es-ES_tradnl"/>
        </w:rPr>
        <w:t>Publicación electrónica</w:t>
      </w:r>
    </w:p>
    <w:p w:rsidR="00042292" w:rsidRPr="008A2563" w:rsidRDefault="00042292" w:rsidP="006F3D6E">
      <w:pPr>
        <w:spacing w:before="0" w:after="40"/>
        <w:jc w:val="right"/>
        <w:rPr>
          <w:sz w:val="20"/>
          <w:lang w:val="es-ES_tradnl"/>
        </w:rPr>
      </w:pPr>
      <w:r w:rsidRPr="008A2563">
        <w:rPr>
          <w:sz w:val="20"/>
          <w:lang w:val="es-ES_tradnl"/>
        </w:rPr>
        <w:t>Ginebra, 20</w:t>
      </w:r>
      <w:r w:rsidR="001B26B3" w:rsidRPr="008A2563">
        <w:rPr>
          <w:sz w:val="20"/>
          <w:lang w:val="es-ES_tradnl"/>
        </w:rPr>
        <w:t>1</w:t>
      </w:r>
      <w:r w:rsidR="006F3D6E" w:rsidRPr="008A2563">
        <w:rPr>
          <w:sz w:val="20"/>
          <w:lang w:val="es-ES_tradnl"/>
        </w:rPr>
        <w:t>4</w:t>
      </w:r>
    </w:p>
    <w:p w:rsidR="00042292" w:rsidRPr="008A2563" w:rsidRDefault="00042292" w:rsidP="00042292">
      <w:pPr>
        <w:spacing w:before="0"/>
        <w:jc w:val="center"/>
        <w:rPr>
          <w:sz w:val="22"/>
          <w:lang w:val="es-ES_tradnl"/>
        </w:rPr>
      </w:pPr>
    </w:p>
    <w:p w:rsidR="00042292" w:rsidRPr="008A2563" w:rsidRDefault="00042292" w:rsidP="006F3D6E">
      <w:pPr>
        <w:spacing w:before="0"/>
        <w:jc w:val="center"/>
        <w:rPr>
          <w:sz w:val="20"/>
          <w:lang w:val="es-ES_tradnl"/>
        </w:rPr>
      </w:pPr>
      <w:r w:rsidRPr="008A2563">
        <w:rPr>
          <w:sz w:val="20"/>
          <w:lang w:val="es-ES_tradnl"/>
        </w:rPr>
        <w:sym w:font="Symbol" w:char="F0E3"/>
      </w:r>
      <w:r w:rsidRPr="008A2563">
        <w:rPr>
          <w:sz w:val="20"/>
          <w:lang w:val="es-ES_tradnl"/>
        </w:rPr>
        <w:t xml:space="preserve"> UIT </w:t>
      </w:r>
      <w:bookmarkStart w:id="2" w:name="iiannee"/>
      <w:bookmarkEnd w:id="2"/>
      <w:r w:rsidRPr="008A2563">
        <w:rPr>
          <w:sz w:val="20"/>
          <w:lang w:val="es-ES_tradnl"/>
        </w:rPr>
        <w:t>20</w:t>
      </w:r>
      <w:r w:rsidR="001B26B3" w:rsidRPr="008A2563">
        <w:rPr>
          <w:sz w:val="20"/>
          <w:lang w:val="es-ES_tradnl"/>
        </w:rPr>
        <w:t>1</w:t>
      </w:r>
      <w:r w:rsidR="006F3D6E" w:rsidRPr="008A2563">
        <w:rPr>
          <w:sz w:val="20"/>
          <w:lang w:val="es-ES_tradnl"/>
        </w:rPr>
        <w:t>4</w:t>
      </w:r>
    </w:p>
    <w:p w:rsidR="00042292" w:rsidRPr="008A2563" w:rsidRDefault="00042292" w:rsidP="00042292">
      <w:pPr>
        <w:spacing w:before="80"/>
        <w:rPr>
          <w:sz w:val="18"/>
          <w:szCs w:val="18"/>
          <w:lang w:val="es-ES_tradnl"/>
        </w:rPr>
      </w:pPr>
      <w:r w:rsidRPr="008A2563">
        <w:rPr>
          <w:sz w:val="18"/>
          <w:szCs w:val="18"/>
          <w:lang w:val="es-ES_tradnl"/>
        </w:rPr>
        <w:t>Reservados todos los derechos. Ninguna parte de esta publicación puede reproducirse por ningún procedimiento sin previa autorización escrita por parte de la UIT.</w:t>
      </w:r>
    </w:p>
    <w:p w:rsidR="00042292" w:rsidRPr="008A2563" w:rsidRDefault="00042292" w:rsidP="00042292">
      <w:pPr>
        <w:spacing w:before="160"/>
        <w:rPr>
          <w:i/>
          <w:sz w:val="20"/>
          <w:highlight w:val="yellow"/>
          <w:lang w:val="es-ES_tradnl"/>
        </w:rPr>
        <w:sectPr w:rsidR="00042292" w:rsidRPr="008A2563"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574749" w:rsidRPr="008A2563" w:rsidRDefault="00574749" w:rsidP="0032700A">
      <w:pPr>
        <w:pStyle w:val="RecNo"/>
        <w:spacing w:before="0"/>
        <w:rPr>
          <w:lang w:val="es-ES_tradnl"/>
        </w:rPr>
      </w:pPr>
      <w:bookmarkStart w:id="3" w:name="irecnoe"/>
      <w:bookmarkEnd w:id="3"/>
      <w:r w:rsidRPr="008A2563">
        <w:rPr>
          <w:lang w:val="es-ES_tradnl"/>
        </w:rPr>
        <w:lastRenderedPageBreak/>
        <w:t xml:space="preserve">RECOMENDACIÓN  </w:t>
      </w:r>
      <w:r w:rsidRPr="008A2563">
        <w:rPr>
          <w:rStyle w:val="href"/>
          <w:lang w:val="es-ES_tradnl"/>
        </w:rPr>
        <w:t>UIT-R  M.18</w:t>
      </w:r>
      <w:r w:rsidR="00E028C5">
        <w:rPr>
          <w:rStyle w:val="href"/>
          <w:lang w:val="es-ES_tradnl"/>
        </w:rPr>
        <w:t>01</w:t>
      </w:r>
      <w:r w:rsidRPr="008A2563">
        <w:rPr>
          <w:rStyle w:val="href"/>
          <w:lang w:val="es-ES_tradnl"/>
        </w:rPr>
        <w:t>-</w:t>
      </w:r>
      <w:r w:rsidR="00E028C5">
        <w:rPr>
          <w:rStyle w:val="href"/>
          <w:lang w:val="es-ES_tradnl"/>
        </w:rPr>
        <w:t>2</w:t>
      </w:r>
      <w:r w:rsidR="004A70D3">
        <w:rPr>
          <w:rStyle w:val="FootnoteReference"/>
          <w:lang w:val="es-ES_tradnl"/>
        </w:rPr>
        <w:footnoteReference w:customMarkFollows="1" w:id="1"/>
        <w:t>*</w:t>
      </w:r>
    </w:p>
    <w:p w:rsidR="00574749" w:rsidRPr="00E028C5" w:rsidRDefault="00E028C5" w:rsidP="00E028C5">
      <w:pPr>
        <w:pStyle w:val="Rectitle"/>
        <w:rPr>
          <w:lang w:val="es-ES_tradnl"/>
        </w:rPr>
      </w:pPr>
      <w:r w:rsidRPr="00E028C5">
        <w:rPr>
          <w:lang w:val="es-ES_tradnl"/>
        </w:rPr>
        <w:t>Normas de interfaz radioeléctrica para sistemas de acceso inalámbrico</w:t>
      </w:r>
      <w:r w:rsidRPr="00E028C5">
        <w:rPr>
          <w:lang w:val="es-ES_tradnl"/>
        </w:rPr>
        <w:br/>
        <w:t xml:space="preserve">de banda ancha, incluidas aplicaciones móviles y nómadas en </w:t>
      </w:r>
      <w:r w:rsidRPr="00E028C5">
        <w:rPr>
          <w:lang w:val="es-ES_tradnl"/>
        </w:rPr>
        <w:br/>
        <w:t>el servicio móvil que funcionan por debajo de 6 GHz</w:t>
      </w:r>
    </w:p>
    <w:p w:rsidR="00E028C5" w:rsidRPr="00E028C5" w:rsidRDefault="00E028C5" w:rsidP="00E028C5">
      <w:pPr>
        <w:pStyle w:val="Recref"/>
        <w:rPr>
          <w:lang w:val="es-ES_tradnl"/>
        </w:rPr>
      </w:pPr>
      <w:r w:rsidRPr="00E028C5">
        <w:rPr>
          <w:lang w:val="es-ES_tradnl"/>
        </w:rPr>
        <w:t>(Cuestiones UIT-R 212-4/5 y UIT-R 238-2/5)</w:t>
      </w:r>
    </w:p>
    <w:p w:rsidR="00574749" w:rsidRPr="008A2563" w:rsidRDefault="00574749" w:rsidP="00574749">
      <w:pPr>
        <w:pStyle w:val="Recdate"/>
        <w:rPr>
          <w:lang w:val="es-ES_tradnl" w:eastAsia="ja-JP"/>
        </w:rPr>
      </w:pPr>
      <w:r w:rsidRPr="008A2563">
        <w:rPr>
          <w:lang w:val="es-ES_tradnl" w:eastAsia="ja-JP"/>
        </w:rPr>
        <w:t>(2007-</w:t>
      </w:r>
      <w:r w:rsidR="00E028C5">
        <w:rPr>
          <w:lang w:val="es-ES_tradnl" w:eastAsia="ja-JP"/>
        </w:rPr>
        <w:t>2010-</w:t>
      </w:r>
      <w:r w:rsidRPr="008A2563">
        <w:rPr>
          <w:lang w:val="es-ES_tradnl" w:eastAsia="ja-JP"/>
        </w:rPr>
        <w:t>2013)</w:t>
      </w:r>
    </w:p>
    <w:p w:rsidR="00E028C5" w:rsidRPr="00E028C5" w:rsidRDefault="00E028C5" w:rsidP="00E028C5">
      <w:pPr>
        <w:pStyle w:val="Heading1"/>
        <w:rPr>
          <w:lang w:val="es-ES_tradnl"/>
        </w:rPr>
      </w:pPr>
      <w:r w:rsidRPr="00E028C5">
        <w:rPr>
          <w:lang w:val="es-ES_tradnl"/>
        </w:rPr>
        <w:t>1</w:t>
      </w:r>
      <w:r w:rsidRPr="00E028C5">
        <w:rPr>
          <w:lang w:val="es-ES_tradnl"/>
        </w:rPr>
        <w:tab/>
        <w:t>Introducción</w:t>
      </w:r>
    </w:p>
    <w:p w:rsidR="00E028C5" w:rsidRPr="00E028C5" w:rsidRDefault="00E028C5" w:rsidP="0032700A">
      <w:pPr>
        <w:rPr>
          <w:lang w:val="es-ES_tradnl"/>
        </w:rPr>
      </w:pPr>
      <w:r w:rsidRPr="00E028C5">
        <w:rPr>
          <w:lang w:val="es-ES_tradnl"/>
        </w:rPr>
        <w:t>Esta Recomendación recomienda normas específicas para el acceso inalámbrico de banda ancha</w:t>
      </w:r>
      <w:r w:rsidR="0032700A">
        <w:rPr>
          <w:rStyle w:val="FootnoteReference"/>
          <w:lang w:val="es-ES_tradnl"/>
        </w:rPr>
        <w:footnoteReference w:id="2"/>
      </w:r>
      <w:r w:rsidRPr="00E028C5">
        <w:rPr>
          <w:lang w:val="es-ES_tradnl"/>
        </w:rPr>
        <w:t xml:space="preserve"> en el servicio móvil. Estas normas están constituidas por especificaciones comunes elaboradas por organizaciones de normalización (SDO). Al utilizar esta Recomendación, los fabricantes y operadores deberían ser capaces de determinar las normas más adecuadas a sus necesidades.</w:t>
      </w:r>
    </w:p>
    <w:p w:rsidR="00E028C5" w:rsidRPr="00E028C5" w:rsidRDefault="00E028C5" w:rsidP="00E028C5">
      <w:pPr>
        <w:rPr>
          <w:lang w:val="es-ES_tradnl"/>
        </w:rPr>
      </w:pPr>
      <w:r w:rsidRPr="00E028C5">
        <w:rPr>
          <w:lang w:val="es-ES_tradnl"/>
        </w:rPr>
        <w:t>Estas normas soportan una amplia gama de aplicaciones en zonas urbanas, suburbanas y rurales, tanto para datos de Internet de banda ancha genéricos como para datos en tiempo real, incluidas aplicaciones tales como voz y videoconferencia.</w:t>
      </w:r>
    </w:p>
    <w:p w:rsidR="00E028C5" w:rsidRPr="00E028C5" w:rsidRDefault="00E028C5" w:rsidP="00E028C5">
      <w:pPr>
        <w:pStyle w:val="Heading1"/>
        <w:rPr>
          <w:lang w:val="es-ES_tradnl"/>
        </w:rPr>
      </w:pPr>
      <w:r w:rsidRPr="00E028C5">
        <w:rPr>
          <w:lang w:val="es-ES_tradnl"/>
        </w:rPr>
        <w:t>2</w:t>
      </w:r>
      <w:r w:rsidRPr="00E028C5">
        <w:rPr>
          <w:lang w:val="es-ES_tradnl"/>
        </w:rPr>
        <w:tab/>
        <w:t>Cometido</w:t>
      </w:r>
    </w:p>
    <w:p w:rsidR="00E028C5" w:rsidRPr="00E028C5" w:rsidRDefault="00E028C5" w:rsidP="0032700A">
      <w:pPr>
        <w:rPr>
          <w:lang w:val="es-ES_tradnl"/>
        </w:rPr>
      </w:pPr>
      <w:r w:rsidRPr="00E028C5">
        <w:rPr>
          <w:lang w:val="es-ES_tradnl"/>
        </w:rPr>
        <w:t>Esta Recomendación identifica normas de interfaz radioeléctrica específicas para sistemas BWA en el servicio móvil que funcionan por debajo de 6 GHz. Las normas incluidas en esta Recomendación pueden soportar usuarios a velocidades de datos de banda ancha, teniendo en cuenta las definiciones del UIT-R de «acceso inalámbrico» y «acceso inalámbrico de banda ancha» que se encuentran en la Recomendación UIT-R F.1399</w:t>
      </w:r>
      <w:r w:rsidR="0032700A">
        <w:rPr>
          <w:rStyle w:val="FootnoteReference"/>
          <w:lang w:val="es-ES_tradnl"/>
        </w:rPr>
        <w:footnoteReference w:id="3"/>
      </w:r>
      <w:r w:rsidRPr="00E028C5">
        <w:rPr>
          <w:lang w:val="es-ES_tradnl"/>
        </w:rPr>
        <w:t>.</w:t>
      </w:r>
    </w:p>
    <w:p w:rsidR="00E028C5" w:rsidRPr="00E028C5" w:rsidRDefault="00E028C5" w:rsidP="00E028C5">
      <w:pPr>
        <w:rPr>
          <w:lang w:val="es-ES_tradnl"/>
        </w:rPr>
      </w:pPr>
      <w:r w:rsidRPr="00E028C5">
        <w:rPr>
          <w:lang w:val="es-ES_tradnl"/>
        </w:rPr>
        <w:t>Esta Recomendación no pretende tratar la identificación de las bandas de frecuencias más adecuadas para los sistemas BWA ni con asuntos reglamentarios.</w:t>
      </w:r>
    </w:p>
    <w:p w:rsidR="00E028C5" w:rsidRPr="00E028C5" w:rsidRDefault="00E028C5" w:rsidP="00E028C5">
      <w:pPr>
        <w:pStyle w:val="Heading1"/>
        <w:rPr>
          <w:lang w:val="es-ES_tradnl"/>
        </w:rPr>
      </w:pPr>
      <w:r w:rsidRPr="00E028C5">
        <w:rPr>
          <w:lang w:val="es-ES_tradnl"/>
        </w:rPr>
        <w:t>3</w:t>
      </w:r>
      <w:r w:rsidRPr="00E028C5">
        <w:rPr>
          <w:lang w:val="es-ES_tradnl"/>
        </w:rPr>
        <w:tab/>
        <w:t>Recomendaciones de la UIT relacionadas</w:t>
      </w:r>
    </w:p>
    <w:p w:rsidR="00E028C5" w:rsidRPr="00E028C5" w:rsidRDefault="00E028C5" w:rsidP="00E028C5">
      <w:pPr>
        <w:rPr>
          <w:lang w:val="es-ES_tradnl"/>
        </w:rPr>
      </w:pPr>
      <w:r w:rsidRPr="00E028C5">
        <w:rPr>
          <w:lang w:val="es-ES_tradnl"/>
        </w:rPr>
        <w:t>Las Recomendaciones existentes que se consideran de importancia en el desarrollo de esta Recomendación en particular son las siguientes:</w:t>
      </w:r>
    </w:p>
    <w:p w:rsidR="00E028C5" w:rsidRPr="00E028C5" w:rsidRDefault="00DA2419" w:rsidP="00E028C5">
      <w:pPr>
        <w:tabs>
          <w:tab w:val="left" w:pos="3420"/>
        </w:tabs>
        <w:rPr>
          <w:lang w:val="es-ES_tradnl"/>
        </w:rPr>
      </w:pPr>
      <w:hyperlink r:id="rId14" w:history="1">
        <w:r w:rsidR="00E028C5" w:rsidRPr="00E028C5">
          <w:rPr>
            <w:lang w:val="es-ES_tradnl"/>
          </w:rPr>
          <w:t>Recomendación UIT-R F.1399</w:t>
        </w:r>
      </w:hyperlink>
      <w:r w:rsidR="00E028C5" w:rsidRPr="00E028C5">
        <w:rPr>
          <w:lang w:val="es-ES_tradnl"/>
        </w:rPr>
        <w:t> –</w:t>
      </w:r>
      <w:r w:rsidR="00E028C5" w:rsidRPr="00E028C5">
        <w:rPr>
          <w:lang w:val="es-ES_tradnl"/>
        </w:rPr>
        <w:tab/>
        <w:t>Terminología del acceso inalámbrico.</w:t>
      </w:r>
    </w:p>
    <w:p w:rsidR="00E028C5" w:rsidRPr="00E028C5" w:rsidRDefault="00DA2419" w:rsidP="00E028C5">
      <w:pPr>
        <w:tabs>
          <w:tab w:val="left" w:pos="3420"/>
        </w:tabs>
        <w:ind w:left="3420" w:hanging="3420"/>
        <w:rPr>
          <w:lang w:val="es-ES_tradnl"/>
        </w:rPr>
      </w:pPr>
      <w:hyperlink r:id="rId15" w:history="1">
        <w:r w:rsidR="00E028C5" w:rsidRPr="00E028C5">
          <w:rPr>
            <w:lang w:val="es-ES_tradnl"/>
          </w:rPr>
          <w:t>Recomendación UIT-R F.176</w:t>
        </w:r>
      </w:hyperlink>
      <w:r w:rsidR="00E028C5" w:rsidRPr="00E028C5">
        <w:rPr>
          <w:lang w:val="es-ES_tradnl"/>
        </w:rPr>
        <w:t>3 –</w:t>
      </w:r>
      <w:r w:rsidR="00E028C5" w:rsidRPr="00E028C5">
        <w:rPr>
          <w:lang w:val="es-ES_tradnl"/>
        </w:rPr>
        <w:tab/>
        <w:t>Normas de interfaz radioeléctrica para sistemas de acceso inalámbrico de banda ancha que funcionan en el servicio fijo por debajo de 66 GHz.</w:t>
      </w:r>
    </w:p>
    <w:p w:rsidR="00E028C5" w:rsidRPr="00E028C5" w:rsidRDefault="00DA2419" w:rsidP="00E028C5">
      <w:pPr>
        <w:tabs>
          <w:tab w:val="left" w:pos="3420"/>
        </w:tabs>
        <w:rPr>
          <w:lang w:val="es-ES_tradnl"/>
        </w:rPr>
      </w:pPr>
      <w:hyperlink r:id="rId16" w:history="1">
        <w:r w:rsidR="00E028C5" w:rsidRPr="00E028C5">
          <w:rPr>
            <w:lang w:val="es-ES_tradnl"/>
          </w:rPr>
          <w:t>Recomendación UIT-R M.167</w:t>
        </w:r>
      </w:hyperlink>
      <w:r w:rsidR="00E028C5" w:rsidRPr="00E028C5">
        <w:rPr>
          <w:lang w:val="es-ES_tradnl"/>
        </w:rPr>
        <w:t>8 –</w:t>
      </w:r>
      <w:r w:rsidR="00E028C5" w:rsidRPr="00E028C5">
        <w:rPr>
          <w:lang w:val="es-ES_tradnl"/>
        </w:rPr>
        <w:tab/>
        <w:t>Antenas adaptativas para sistemas del servicio móvil.</w:t>
      </w:r>
    </w:p>
    <w:p w:rsidR="00E028C5" w:rsidRPr="00E028C5" w:rsidRDefault="00E028C5" w:rsidP="00E028C5">
      <w:pPr>
        <w:pStyle w:val="Heading1"/>
        <w:rPr>
          <w:lang w:val="es-ES_tradnl"/>
        </w:rPr>
      </w:pPr>
      <w:r w:rsidRPr="00E028C5">
        <w:rPr>
          <w:lang w:val="es-ES_tradnl"/>
        </w:rPr>
        <w:lastRenderedPageBreak/>
        <w:t>4</w:t>
      </w:r>
      <w:r w:rsidRPr="00E028C5">
        <w:rPr>
          <w:lang w:val="es-ES_tradnl"/>
        </w:rPr>
        <w:tab/>
        <w:t>Acrónimos y abreviaturas</w:t>
      </w:r>
    </w:p>
    <w:p w:rsidR="00E028C5" w:rsidRPr="00E028C5" w:rsidRDefault="00E028C5" w:rsidP="00CE2A82">
      <w:pPr>
        <w:ind w:left="1588" w:hanging="1588"/>
        <w:rPr>
          <w:lang w:val="es-ES_tradnl"/>
        </w:rPr>
      </w:pPr>
      <w:r w:rsidRPr="00E028C5">
        <w:rPr>
          <w:lang w:val="es-ES_tradnl"/>
        </w:rPr>
        <w:t>AA</w:t>
      </w:r>
      <w:r w:rsidRPr="00E028C5">
        <w:rPr>
          <w:lang w:val="es-ES_tradnl"/>
        </w:rPr>
        <w:tab/>
      </w:r>
      <w:r w:rsidR="00CE2A82">
        <w:rPr>
          <w:lang w:val="es-ES_tradnl"/>
        </w:rPr>
        <w:tab/>
      </w:r>
      <w:r w:rsidR="00CE2A82">
        <w:rPr>
          <w:lang w:val="es-ES_tradnl"/>
        </w:rPr>
        <w:tab/>
      </w:r>
      <w:r w:rsidRPr="00E028C5">
        <w:rPr>
          <w:lang w:val="es-ES_tradnl"/>
        </w:rPr>
        <w:t>Antena adaptativa (</w:t>
      </w:r>
      <w:r w:rsidRPr="00E028C5">
        <w:rPr>
          <w:i/>
          <w:iCs/>
          <w:lang w:val="es-ES_tradnl"/>
        </w:rPr>
        <w:t>adaptative antenna</w:t>
      </w:r>
      <w:r w:rsidRPr="00E028C5">
        <w:rPr>
          <w:lang w:val="es-ES_tradnl"/>
        </w:rPr>
        <w:t>)</w:t>
      </w:r>
    </w:p>
    <w:p w:rsidR="00E028C5" w:rsidRPr="009967E4" w:rsidRDefault="00E028C5" w:rsidP="00CE2A82">
      <w:pPr>
        <w:ind w:left="1588" w:hanging="1588"/>
        <w:rPr>
          <w:lang w:val="en-US"/>
        </w:rPr>
      </w:pPr>
      <w:r w:rsidRPr="009967E4">
        <w:rPr>
          <w:lang w:val="en-US"/>
        </w:rPr>
        <w:t>ACK</w:t>
      </w:r>
      <w:r w:rsidR="00CE2A82">
        <w:rPr>
          <w:lang w:val="en-US"/>
        </w:rPr>
        <w:tab/>
      </w:r>
      <w:r w:rsidR="00CE2A82">
        <w:rPr>
          <w:lang w:val="en-US"/>
        </w:rPr>
        <w:tab/>
      </w:r>
      <w:r w:rsidR="00CE2A82">
        <w:rPr>
          <w:lang w:val="en-US"/>
        </w:rPr>
        <w:tab/>
      </w:r>
      <w:r w:rsidRPr="009967E4">
        <w:rPr>
          <w:lang w:val="en-US"/>
        </w:rPr>
        <w:t>Acuse de recibo (canal) (</w:t>
      </w:r>
      <w:r w:rsidRPr="009967E4">
        <w:rPr>
          <w:i/>
          <w:iCs/>
          <w:lang w:val="en-US"/>
        </w:rPr>
        <w:t>aknowledgement (channel)</w:t>
      </w:r>
      <w:r w:rsidRPr="009967E4">
        <w:rPr>
          <w:lang w:val="en-US"/>
        </w:rPr>
        <w:t>)</w:t>
      </w:r>
    </w:p>
    <w:p w:rsidR="00E028C5" w:rsidRPr="00E028C5" w:rsidRDefault="00E028C5" w:rsidP="00CE2A82">
      <w:pPr>
        <w:ind w:left="1588" w:hanging="1588"/>
        <w:rPr>
          <w:lang w:val="es-ES_tradnl"/>
        </w:rPr>
      </w:pPr>
      <w:r w:rsidRPr="00E028C5">
        <w:rPr>
          <w:lang w:val="es-ES_tradnl"/>
        </w:rPr>
        <w:t>AMDC</w:t>
      </w:r>
      <w:r w:rsidR="00CE2A82">
        <w:rPr>
          <w:lang w:val="es-ES_tradnl"/>
        </w:rPr>
        <w:tab/>
      </w:r>
      <w:r w:rsidR="00CE2A82">
        <w:rPr>
          <w:lang w:val="es-ES_tradnl"/>
        </w:rPr>
        <w:tab/>
      </w:r>
      <w:r w:rsidR="00CE2A82">
        <w:rPr>
          <w:lang w:val="es-ES_tradnl"/>
        </w:rPr>
        <w:tab/>
      </w:r>
      <w:r w:rsidRPr="00E028C5">
        <w:rPr>
          <w:lang w:val="es-ES_tradnl"/>
        </w:rPr>
        <w:t>Acceso múltiple por división de código por Internet (</w:t>
      </w:r>
      <w:r w:rsidRPr="00E028C5">
        <w:rPr>
          <w:i/>
          <w:iCs/>
          <w:lang w:val="es-ES_tradnl"/>
        </w:rPr>
        <w:t>Internet</w:t>
      </w:r>
      <w:r w:rsidRPr="00E028C5">
        <w:rPr>
          <w:lang w:val="es-ES_tradnl"/>
        </w:rPr>
        <w:t xml:space="preserve"> </w:t>
      </w:r>
      <w:r w:rsidRPr="00E028C5">
        <w:rPr>
          <w:i/>
          <w:iCs/>
          <w:lang w:val="es-ES_tradnl"/>
        </w:rPr>
        <w:t>code division multiple access, I-CDMA</w:t>
      </w:r>
      <w:r w:rsidRPr="00E028C5">
        <w:rPr>
          <w:lang w:val="es-ES_tradnl"/>
        </w:rPr>
        <w:t>)</w:t>
      </w:r>
    </w:p>
    <w:p w:rsidR="00E028C5" w:rsidRPr="00E028C5" w:rsidRDefault="00E028C5" w:rsidP="00CE2A82">
      <w:pPr>
        <w:ind w:left="1588" w:hanging="1588"/>
        <w:rPr>
          <w:lang w:val="es-ES_tradnl"/>
        </w:rPr>
      </w:pPr>
      <w:r w:rsidRPr="00E028C5">
        <w:rPr>
          <w:lang w:val="es-ES_tradnl"/>
        </w:rPr>
        <w:t>AMDC-MP</w:t>
      </w:r>
      <w:r w:rsidR="00CE2A82">
        <w:rPr>
          <w:lang w:val="es-ES_tradnl"/>
        </w:rPr>
        <w:tab/>
      </w:r>
      <w:r w:rsidR="00CE2A82">
        <w:rPr>
          <w:lang w:val="es-ES_tradnl"/>
        </w:rPr>
        <w:tab/>
      </w:r>
      <w:r w:rsidRPr="00E028C5">
        <w:rPr>
          <w:lang w:val="es-ES_tradnl"/>
        </w:rPr>
        <w:t>Acceso múltiple por división de código – multiportadora (</w:t>
      </w:r>
      <w:r w:rsidRPr="00E028C5">
        <w:rPr>
          <w:i/>
          <w:iCs/>
          <w:lang w:val="es-ES_tradnl"/>
        </w:rPr>
        <w:t>code division multiple access – multi carrier, CDMA-MC</w:t>
      </w:r>
      <w:r w:rsidRPr="00E028C5">
        <w:rPr>
          <w:lang w:val="es-ES_tradnl"/>
        </w:rPr>
        <w:t>)</w:t>
      </w:r>
    </w:p>
    <w:p w:rsidR="00E028C5" w:rsidRPr="00E028C5" w:rsidRDefault="00E028C5" w:rsidP="00CE2A82">
      <w:pPr>
        <w:ind w:left="1588" w:hanging="1588"/>
        <w:rPr>
          <w:lang w:val="es-ES_tradnl"/>
        </w:rPr>
      </w:pPr>
      <w:r w:rsidRPr="00E028C5">
        <w:rPr>
          <w:lang w:val="es-ES_tradnl"/>
        </w:rPr>
        <w:t>AMDC-SD</w:t>
      </w:r>
      <w:r w:rsidR="00CE2A82">
        <w:rPr>
          <w:lang w:val="es-ES_tradnl"/>
        </w:rPr>
        <w:tab/>
      </w:r>
      <w:r w:rsidR="00CE2A82">
        <w:rPr>
          <w:lang w:val="es-ES_tradnl"/>
        </w:rPr>
        <w:tab/>
      </w:r>
      <w:r w:rsidRPr="00E028C5">
        <w:rPr>
          <w:lang w:val="es-ES_tradnl"/>
        </w:rPr>
        <w:t>Acceso múltiple por división de código de secuencia directa (</w:t>
      </w:r>
      <w:r w:rsidRPr="00E028C5">
        <w:rPr>
          <w:i/>
          <w:iCs/>
          <w:lang w:val="es-ES_tradnl"/>
        </w:rPr>
        <w:t>direct-sequence code division multiple access, DS-CDMA</w:t>
      </w:r>
      <w:r w:rsidRPr="00E028C5">
        <w:rPr>
          <w:lang w:val="es-ES_tradnl"/>
        </w:rPr>
        <w:t>)</w:t>
      </w:r>
    </w:p>
    <w:p w:rsidR="00E028C5" w:rsidRPr="00E028C5" w:rsidRDefault="00E028C5" w:rsidP="00CE2A82">
      <w:pPr>
        <w:ind w:left="1588" w:hanging="1588"/>
        <w:rPr>
          <w:iCs/>
          <w:lang w:val="es-ES_tradnl"/>
        </w:rPr>
      </w:pPr>
      <w:r w:rsidRPr="00E028C5">
        <w:rPr>
          <w:lang w:val="es-ES_tradnl"/>
        </w:rPr>
        <w:t>AMDCS-DT</w:t>
      </w:r>
      <w:r w:rsidR="00CE2A82">
        <w:rPr>
          <w:lang w:val="es-ES_tradnl"/>
        </w:rPr>
        <w:tab/>
      </w:r>
      <w:r w:rsidRPr="00E028C5">
        <w:rPr>
          <w:lang w:val="es-ES_tradnl"/>
        </w:rPr>
        <w:t>AMDC sincronizada por división en el tiempo (</w:t>
      </w:r>
      <w:r w:rsidRPr="00E028C5">
        <w:rPr>
          <w:i/>
          <w:lang w:val="es-ES_tradnl"/>
        </w:rPr>
        <w:t>time division-synchronized CDMA</w:t>
      </w:r>
      <w:r w:rsidRPr="00E028C5">
        <w:rPr>
          <w:iCs/>
          <w:lang w:val="es-ES_tradnl"/>
        </w:rPr>
        <w:t>)</w:t>
      </w:r>
    </w:p>
    <w:p w:rsidR="00E028C5" w:rsidRPr="00E028C5" w:rsidRDefault="00E028C5" w:rsidP="00CE2A82">
      <w:pPr>
        <w:ind w:left="1588" w:hanging="1588"/>
        <w:rPr>
          <w:lang w:val="es-ES_tradnl"/>
        </w:rPr>
      </w:pPr>
      <w:r w:rsidRPr="00E028C5">
        <w:rPr>
          <w:lang w:val="es-ES_tradnl"/>
        </w:rPr>
        <w:t>AMDE-AC</w:t>
      </w:r>
      <w:r w:rsidR="00CE2A82">
        <w:rPr>
          <w:lang w:val="es-ES_tradnl"/>
        </w:rPr>
        <w:tab/>
      </w:r>
      <w:r w:rsidR="00CE2A82">
        <w:rPr>
          <w:lang w:val="es-ES_tradnl"/>
        </w:rPr>
        <w:tab/>
      </w:r>
      <w:r w:rsidRPr="00E028C5">
        <w:rPr>
          <w:lang w:val="es-ES_tradnl"/>
        </w:rPr>
        <w:t>Acceso múltiple por división espacial de alta capacidad (</w:t>
      </w:r>
      <w:r w:rsidRPr="00E028C5">
        <w:rPr>
          <w:i/>
          <w:lang w:val="es-ES_tradnl"/>
        </w:rPr>
        <w:t>high capacity-spatial division multiple access, HC-SDMA</w:t>
      </w:r>
      <w:r w:rsidRPr="00E028C5">
        <w:rPr>
          <w:lang w:val="es-ES_tradnl"/>
        </w:rPr>
        <w:t>)</w:t>
      </w:r>
    </w:p>
    <w:p w:rsidR="00E028C5" w:rsidRPr="00E028C5" w:rsidRDefault="00E028C5" w:rsidP="00CE2A82">
      <w:pPr>
        <w:ind w:left="1588" w:hanging="1588"/>
        <w:rPr>
          <w:lang w:val="es-ES_tradnl"/>
        </w:rPr>
      </w:pPr>
      <w:r w:rsidRPr="00E028C5">
        <w:rPr>
          <w:lang w:val="es-ES_tradnl"/>
        </w:rPr>
        <w:t>AMDFO</w:t>
      </w:r>
      <w:r w:rsidR="00CE2A82">
        <w:rPr>
          <w:lang w:val="es-ES_tradnl"/>
        </w:rPr>
        <w:tab/>
      </w:r>
      <w:r w:rsidR="00CE2A82">
        <w:rPr>
          <w:lang w:val="es-ES_tradnl"/>
        </w:rPr>
        <w:tab/>
      </w:r>
      <w:r w:rsidRPr="00E028C5">
        <w:rPr>
          <w:lang w:val="es-ES_tradnl"/>
        </w:rPr>
        <w:t>Acceso múltiple por división en frecuencia ortogonal (</w:t>
      </w:r>
      <w:r w:rsidRPr="00E028C5">
        <w:rPr>
          <w:i/>
          <w:iCs/>
          <w:lang w:val="es-ES_tradnl"/>
        </w:rPr>
        <w:t>orthogonal frequency division multiple access, OFDMA</w:t>
      </w:r>
      <w:r w:rsidRPr="00E028C5">
        <w:rPr>
          <w:lang w:val="es-ES_tradnl"/>
        </w:rPr>
        <w:t>)</w:t>
      </w:r>
    </w:p>
    <w:p w:rsidR="00E028C5" w:rsidRPr="00E028C5" w:rsidRDefault="00E028C5" w:rsidP="00CE2A82">
      <w:pPr>
        <w:ind w:left="1588" w:hanging="1588"/>
        <w:rPr>
          <w:lang w:val="es-ES_tradnl"/>
        </w:rPr>
      </w:pPr>
      <w:r w:rsidRPr="00E028C5">
        <w:rPr>
          <w:lang w:val="es-ES_tradnl"/>
        </w:rPr>
        <w:t>AMDE</w:t>
      </w:r>
      <w:r w:rsidR="00CE2A82">
        <w:rPr>
          <w:lang w:val="es-ES_tradnl"/>
        </w:rPr>
        <w:tab/>
      </w:r>
      <w:r w:rsidR="00CE2A82">
        <w:rPr>
          <w:lang w:val="es-ES_tradnl"/>
        </w:rPr>
        <w:tab/>
      </w:r>
      <w:r w:rsidR="00CE2A82">
        <w:rPr>
          <w:lang w:val="es-ES_tradnl"/>
        </w:rPr>
        <w:tab/>
      </w:r>
      <w:r w:rsidRPr="00E028C5">
        <w:rPr>
          <w:lang w:val="es-ES_tradnl"/>
        </w:rPr>
        <w:t>Acceso múltiple por división espacial (</w:t>
      </w:r>
      <w:r w:rsidRPr="00E028C5">
        <w:rPr>
          <w:i/>
          <w:lang w:val="es-ES_tradnl"/>
        </w:rPr>
        <w:t>spatial division multiple access, SDMA</w:t>
      </w:r>
      <w:r w:rsidRPr="00E028C5">
        <w:rPr>
          <w:lang w:val="es-ES_tradnl"/>
        </w:rPr>
        <w:t>)</w:t>
      </w:r>
    </w:p>
    <w:p w:rsidR="00E028C5" w:rsidRPr="00E028C5" w:rsidRDefault="00E028C5" w:rsidP="00CE2A82">
      <w:pPr>
        <w:ind w:left="1588" w:hanging="1588"/>
        <w:rPr>
          <w:lang w:val="es-ES_tradnl"/>
        </w:rPr>
      </w:pPr>
      <w:r w:rsidRPr="00E028C5">
        <w:rPr>
          <w:lang w:val="es-ES_tradnl"/>
        </w:rPr>
        <w:t>AMDT</w:t>
      </w:r>
      <w:r w:rsidR="00CE2A82">
        <w:rPr>
          <w:lang w:val="es-ES_tradnl"/>
        </w:rPr>
        <w:tab/>
      </w:r>
      <w:r w:rsidR="00CE2A82">
        <w:rPr>
          <w:lang w:val="es-ES_tradnl"/>
        </w:rPr>
        <w:tab/>
      </w:r>
      <w:r w:rsidR="00CE2A82">
        <w:rPr>
          <w:lang w:val="es-ES_tradnl"/>
        </w:rPr>
        <w:tab/>
      </w:r>
      <w:r w:rsidRPr="00E028C5">
        <w:rPr>
          <w:lang w:val="es-ES_tradnl"/>
        </w:rPr>
        <w:t>Acceso múltiple por división en el tiempo (</w:t>
      </w:r>
      <w:r w:rsidRPr="00E028C5">
        <w:rPr>
          <w:i/>
          <w:iCs/>
          <w:lang w:val="es-ES_tradnl"/>
        </w:rPr>
        <w:t>time division multiple access, TDMA</w:t>
      </w:r>
      <w:r w:rsidRPr="00E028C5">
        <w:rPr>
          <w:lang w:val="es-ES_tradnl"/>
        </w:rPr>
        <w:t>)</w:t>
      </w:r>
    </w:p>
    <w:p w:rsidR="00E028C5" w:rsidRPr="00E028C5" w:rsidRDefault="00E028C5" w:rsidP="00CE2A82">
      <w:pPr>
        <w:ind w:left="1588" w:hanging="1588"/>
        <w:rPr>
          <w:lang w:val="es-ES_tradnl"/>
        </w:rPr>
      </w:pPr>
      <w:r w:rsidRPr="00E028C5">
        <w:rPr>
          <w:lang w:val="es-ES_tradnl"/>
        </w:rPr>
        <w:t>AMDT-SC</w:t>
      </w:r>
      <w:r w:rsidR="00CE2A82">
        <w:rPr>
          <w:lang w:val="es-ES_tradnl"/>
        </w:rPr>
        <w:tab/>
      </w:r>
      <w:r w:rsidR="00CE2A82">
        <w:rPr>
          <w:lang w:val="es-ES_tradnl"/>
        </w:rPr>
        <w:tab/>
      </w:r>
      <w:r w:rsidRPr="00E028C5">
        <w:rPr>
          <w:lang w:val="es-ES_tradnl"/>
        </w:rPr>
        <w:t>AMDT-portadora única (</w:t>
      </w:r>
      <w:r w:rsidRPr="00E028C5">
        <w:rPr>
          <w:i/>
          <w:iCs/>
          <w:lang w:val="es-ES_tradnl"/>
        </w:rPr>
        <w:t>TDMA-single carrier, TDMA-SC</w:t>
      </w:r>
      <w:r w:rsidRPr="00E028C5">
        <w:rPr>
          <w:lang w:val="es-ES_tradnl"/>
        </w:rPr>
        <w:t>)</w:t>
      </w:r>
    </w:p>
    <w:p w:rsidR="00E028C5" w:rsidRPr="00E028C5" w:rsidRDefault="00E028C5" w:rsidP="00CE2A82">
      <w:pPr>
        <w:ind w:left="1588" w:hanging="1588"/>
        <w:rPr>
          <w:lang w:val="es-ES_tradnl"/>
        </w:rPr>
      </w:pPr>
      <w:r w:rsidRPr="00E028C5">
        <w:rPr>
          <w:lang w:val="es-ES_tradnl"/>
        </w:rPr>
        <w:t>AN</w:t>
      </w:r>
      <w:r w:rsidR="00CE2A82">
        <w:rPr>
          <w:lang w:val="es-ES_tradnl"/>
        </w:rPr>
        <w:tab/>
      </w:r>
      <w:r w:rsidR="00CE2A82">
        <w:rPr>
          <w:lang w:val="es-ES_tradnl"/>
        </w:rPr>
        <w:tab/>
      </w:r>
      <w:r w:rsidR="00CE2A82">
        <w:rPr>
          <w:lang w:val="es-ES_tradnl"/>
        </w:rPr>
        <w:tab/>
      </w:r>
      <w:r w:rsidRPr="00E028C5">
        <w:rPr>
          <w:lang w:val="es-ES_tradnl"/>
        </w:rPr>
        <w:t>Red de acceso (</w:t>
      </w:r>
      <w:r w:rsidRPr="00E028C5">
        <w:rPr>
          <w:i/>
          <w:iCs/>
          <w:lang w:val="es-ES_tradnl"/>
        </w:rPr>
        <w:t>access network</w:t>
      </w:r>
      <w:r w:rsidRPr="00E028C5">
        <w:rPr>
          <w:lang w:val="es-ES_tradnl"/>
        </w:rPr>
        <w:t>)</w:t>
      </w:r>
    </w:p>
    <w:p w:rsidR="00E028C5" w:rsidRPr="00E028C5" w:rsidRDefault="00E028C5" w:rsidP="00CE2A82">
      <w:pPr>
        <w:ind w:left="1588" w:hanging="1588"/>
        <w:rPr>
          <w:lang w:val="es-ES_tradnl"/>
        </w:rPr>
      </w:pPr>
      <w:r w:rsidRPr="00E028C5">
        <w:rPr>
          <w:lang w:val="es-ES_tradnl"/>
        </w:rPr>
        <w:t>ARIB</w:t>
      </w:r>
      <w:r w:rsidR="00CE2A82">
        <w:rPr>
          <w:lang w:val="es-ES_tradnl"/>
        </w:rPr>
        <w:tab/>
      </w:r>
      <w:r w:rsidR="00CE2A82">
        <w:rPr>
          <w:lang w:val="es-ES_tradnl"/>
        </w:rPr>
        <w:tab/>
      </w:r>
      <w:r w:rsidR="00CE2A82">
        <w:rPr>
          <w:lang w:val="es-ES_tradnl"/>
        </w:rPr>
        <w:tab/>
      </w:r>
      <w:r w:rsidRPr="00E028C5">
        <w:rPr>
          <w:lang w:val="es-ES_tradnl"/>
        </w:rPr>
        <w:t>Asociación de Industrias y Empresas de Radiocomunicaciones (</w:t>
      </w:r>
      <w:r w:rsidRPr="00E028C5">
        <w:rPr>
          <w:i/>
          <w:lang w:val="es-ES_tradnl"/>
        </w:rPr>
        <w:t>Association of Radio Industries and Businesses</w:t>
      </w:r>
      <w:r w:rsidRPr="00E028C5">
        <w:rPr>
          <w:lang w:val="es-ES_tradnl"/>
        </w:rPr>
        <w:t>)</w:t>
      </w:r>
    </w:p>
    <w:p w:rsidR="00E028C5" w:rsidRPr="00E028C5" w:rsidRDefault="00E028C5" w:rsidP="00CE2A82">
      <w:pPr>
        <w:ind w:left="1588" w:hanging="1588"/>
        <w:rPr>
          <w:lang w:val="es-ES_tradnl"/>
        </w:rPr>
      </w:pPr>
      <w:r w:rsidRPr="00E028C5">
        <w:rPr>
          <w:lang w:val="es-ES_tradnl"/>
        </w:rPr>
        <w:t>ARQ</w:t>
      </w:r>
      <w:r w:rsidR="00CE2A82">
        <w:rPr>
          <w:lang w:val="es-ES_tradnl"/>
        </w:rPr>
        <w:tab/>
      </w:r>
      <w:r w:rsidR="00CE2A82">
        <w:rPr>
          <w:lang w:val="es-ES_tradnl"/>
        </w:rPr>
        <w:tab/>
      </w:r>
      <w:r w:rsidR="00CE2A82">
        <w:rPr>
          <w:lang w:val="es-ES_tradnl"/>
        </w:rPr>
        <w:tab/>
      </w:r>
      <w:r w:rsidRPr="00E028C5">
        <w:rPr>
          <w:lang w:val="es-ES_tradnl"/>
        </w:rPr>
        <w:t>Petición de repetición automática (</w:t>
      </w:r>
      <w:r w:rsidRPr="00E028C5">
        <w:rPr>
          <w:i/>
          <w:iCs/>
          <w:lang w:val="es-ES_tradnl"/>
        </w:rPr>
        <w:t>automatic repeat request</w:t>
      </w:r>
      <w:r w:rsidRPr="00E028C5">
        <w:rPr>
          <w:lang w:val="es-ES_tradnl"/>
        </w:rPr>
        <w:t>)</w:t>
      </w:r>
    </w:p>
    <w:p w:rsidR="00E028C5" w:rsidRPr="00E028C5" w:rsidRDefault="00E028C5" w:rsidP="00CE2A82">
      <w:pPr>
        <w:ind w:left="1588" w:hanging="1588"/>
        <w:rPr>
          <w:lang w:val="es-ES_tradnl"/>
        </w:rPr>
      </w:pPr>
      <w:r w:rsidRPr="00E028C5">
        <w:rPr>
          <w:lang w:val="es-ES_tradnl"/>
        </w:rPr>
        <w:t>AT</w:t>
      </w:r>
      <w:r w:rsidR="00CE2A82">
        <w:rPr>
          <w:lang w:val="es-ES_tradnl"/>
        </w:rPr>
        <w:tab/>
      </w:r>
      <w:r w:rsidR="00CE2A82">
        <w:rPr>
          <w:lang w:val="es-ES_tradnl"/>
        </w:rPr>
        <w:tab/>
      </w:r>
      <w:r w:rsidR="00CE2A82">
        <w:rPr>
          <w:lang w:val="es-ES_tradnl"/>
        </w:rPr>
        <w:tab/>
      </w:r>
      <w:r w:rsidRPr="00E028C5">
        <w:rPr>
          <w:lang w:val="es-ES_tradnl"/>
        </w:rPr>
        <w:t>Terminal de acceso (</w:t>
      </w:r>
      <w:r w:rsidRPr="00E028C5">
        <w:rPr>
          <w:i/>
          <w:iCs/>
          <w:lang w:val="es-ES_tradnl"/>
        </w:rPr>
        <w:t>access terminal</w:t>
      </w:r>
      <w:r w:rsidRPr="00E028C5">
        <w:rPr>
          <w:lang w:val="es-ES_tradnl"/>
        </w:rPr>
        <w:t>)</w:t>
      </w:r>
    </w:p>
    <w:p w:rsidR="00E028C5" w:rsidRPr="00E028C5" w:rsidRDefault="00E028C5" w:rsidP="00CE2A82">
      <w:pPr>
        <w:ind w:left="1588" w:hanging="1588"/>
        <w:rPr>
          <w:lang w:val="es-ES_tradnl"/>
        </w:rPr>
      </w:pPr>
      <w:r w:rsidRPr="00E028C5">
        <w:rPr>
          <w:lang w:val="es-ES_tradnl"/>
        </w:rPr>
        <w:t>ATIS</w:t>
      </w:r>
      <w:r w:rsidR="00CE2A82">
        <w:rPr>
          <w:lang w:val="es-ES_tradnl"/>
        </w:rPr>
        <w:tab/>
      </w:r>
      <w:r w:rsidR="00CE2A82">
        <w:rPr>
          <w:lang w:val="es-ES_tradnl"/>
        </w:rPr>
        <w:tab/>
      </w:r>
      <w:r w:rsidR="00CE2A82">
        <w:rPr>
          <w:lang w:val="es-ES_tradnl"/>
        </w:rPr>
        <w:tab/>
      </w:r>
      <w:r w:rsidRPr="00E028C5">
        <w:rPr>
          <w:lang w:val="es-ES_tradnl"/>
        </w:rPr>
        <w:t>Alianza para Soluciones de la Industria de las Telecomunicaciones (</w:t>
      </w:r>
      <w:r w:rsidRPr="00E028C5">
        <w:rPr>
          <w:i/>
          <w:lang w:val="es-ES_tradnl"/>
        </w:rPr>
        <w:t>Alliance for Telecommunications Industry Solutions</w:t>
      </w:r>
      <w:r w:rsidRPr="00E028C5">
        <w:rPr>
          <w:lang w:val="es-ES_tradnl"/>
        </w:rPr>
        <w:t>)</w:t>
      </w:r>
      <w:r w:rsidR="00CE2A82">
        <w:rPr>
          <w:lang w:val="es-ES_tradnl"/>
        </w:rPr>
        <w:tab/>
      </w:r>
      <w:r w:rsidR="00CE2A82">
        <w:rPr>
          <w:lang w:val="es-ES_tradnl"/>
        </w:rPr>
        <w:tab/>
      </w:r>
      <w:r w:rsidR="00CE2A82">
        <w:rPr>
          <w:lang w:val="es-ES_tradnl"/>
        </w:rPr>
        <w:tab/>
      </w:r>
    </w:p>
    <w:p w:rsidR="00E028C5" w:rsidRPr="00E028C5" w:rsidRDefault="00E028C5" w:rsidP="00CE2A82">
      <w:pPr>
        <w:ind w:left="1588" w:hanging="1588"/>
        <w:rPr>
          <w:lang w:val="es-ES_tradnl"/>
        </w:rPr>
      </w:pPr>
      <w:r w:rsidRPr="00E028C5">
        <w:rPr>
          <w:lang w:val="es-ES_tradnl"/>
        </w:rPr>
        <w:t>ATM</w:t>
      </w:r>
      <w:r w:rsidR="00CE2A82">
        <w:rPr>
          <w:lang w:val="es-ES_tradnl"/>
        </w:rPr>
        <w:tab/>
      </w:r>
      <w:r w:rsidR="00CE2A82">
        <w:rPr>
          <w:lang w:val="es-ES_tradnl"/>
        </w:rPr>
        <w:tab/>
      </w:r>
      <w:r w:rsidR="00CE2A82">
        <w:rPr>
          <w:lang w:val="es-ES_tradnl"/>
        </w:rPr>
        <w:tab/>
      </w:r>
      <w:r w:rsidRPr="00E028C5">
        <w:rPr>
          <w:lang w:val="es-ES_tradnl"/>
        </w:rPr>
        <w:t>Modo de transferencia asíncrono (</w:t>
      </w:r>
      <w:r w:rsidRPr="00E028C5">
        <w:rPr>
          <w:i/>
          <w:iCs/>
          <w:lang w:val="es-ES_tradnl"/>
        </w:rPr>
        <w:t>asynchronous transfer mode</w:t>
      </w:r>
      <w:r w:rsidRPr="00E028C5">
        <w:rPr>
          <w:lang w:val="es-ES_tradnl"/>
        </w:rPr>
        <w:t>)</w:t>
      </w:r>
    </w:p>
    <w:p w:rsidR="00E028C5" w:rsidRPr="00E028C5" w:rsidRDefault="00E028C5" w:rsidP="00CE2A82">
      <w:pPr>
        <w:ind w:left="1588" w:hanging="1588"/>
        <w:rPr>
          <w:lang w:val="es-ES_tradnl"/>
        </w:rPr>
      </w:pPr>
      <w:r w:rsidRPr="00E028C5">
        <w:rPr>
          <w:lang w:val="es-ES_tradnl"/>
        </w:rPr>
        <w:t>BCCH</w:t>
      </w:r>
      <w:r w:rsidR="00CE2A82">
        <w:rPr>
          <w:lang w:val="es-ES_tradnl"/>
        </w:rPr>
        <w:tab/>
      </w:r>
      <w:r w:rsidR="00CE2A82">
        <w:rPr>
          <w:lang w:val="es-ES_tradnl"/>
        </w:rPr>
        <w:tab/>
      </w:r>
      <w:r w:rsidR="00CE2A82">
        <w:rPr>
          <w:lang w:val="es-ES_tradnl"/>
        </w:rPr>
        <w:tab/>
      </w:r>
      <w:r w:rsidRPr="00E028C5">
        <w:rPr>
          <w:lang w:val="es-ES_tradnl"/>
        </w:rPr>
        <w:t>Canal de control de difusión (</w:t>
      </w:r>
      <w:r w:rsidRPr="00E028C5">
        <w:rPr>
          <w:i/>
          <w:iCs/>
          <w:lang w:val="es-ES_tradnl"/>
        </w:rPr>
        <w:t>broadcast control channel</w:t>
      </w:r>
      <w:r w:rsidRPr="00E028C5">
        <w:rPr>
          <w:lang w:val="es-ES_tradnl"/>
        </w:rPr>
        <w:t>)</w:t>
      </w:r>
    </w:p>
    <w:p w:rsidR="00E028C5" w:rsidRPr="00E028C5" w:rsidRDefault="00E028C5" w:rsidP="00CE2A82">
      <w:pPr>
        <w:ind w:left="1588" w:hanging="1588"/>
        <w:rPr>
          <w:lang w:val="es-ES_tradnl"/>
        </w:rPr>
      </w:pPr>
      <w:r w:rsidRPr="00E028C5">
        <w:rPr>
          <w:lang w:val="es-ES_tradnl"/>
        </w:rPr>
        <w:t>BER</w:t>
      </w:r>
      <w:r w:rsidR="00CE2A82">
        <w:rPr>
          <w:lang w:val="es-ES_tradnl"/>
        </w:rPr>
        <w:tab/>
      </w:r>
      <w:r w:rsidR="00CE2A82">
        <w:rPr>
          <w:lang w:val="es-ES_tradnl"/>
        </w:rPr>
        <w:tab/>
      </w:r>
      <w:r w:rsidR="00CE2A82">
        <w:rPr>
          <w:lang w:val="es-ES_tradnl"/>
        </w:rPr>
        <w:tab/>
      </w:r>
      <w:r w:rsidRPr="00E028C5">
        <w:rPr>
          <w:lang w:val="es-ES_tradnl"/>
        </w:rPr>
        <w:t>Proporción de bits erróneos (</w:t>
      </w:r>
      <w:r w:rsidRPr="00E028C5">
        <w:rPr>
          <w:i/>
          <w:iCs/>
          <w:lang w:val="es-ES_tradnl"/>
        </w:rPr>
        <w:t>bit error ratio</w:t>
      </w:r>
      <w:r w:rsidRPr="00E028C5">
        <w:rPr>
          <w:lang w:val="es-ES_tradnl"/>
        </w:rPr>
        <w:t>)</w:t>
      </w:r>
    </w:p>
    <w:p w:rsidR="00E028C5" w:rsidRPr="00E028C5" w:rsidRDefault="00E028C5" w:rsidP="00CE2A82">
      <w:pPr>
        <w:ind w:left="1588" w:hanging="1588"/>
        <w:rPr>
          <w:lang w:val="es-ES_tradnl"/>
        </w:rPr>
      </w:pPr>
      <w:r w:rsidRPr="00E028C5">
        <w:rPr>
          <w:lang w:val="es-ES_tradnl"/>
        </w:rPr>
        <w:t>BRAN</w:t>
      </w:r>
      <w:r w:rsidR="00CE2A82">
        <w:rPr>
          <w:lang w:val="es-ES_tradnl"/>
        </w:rPr>
        <w:tab/>
      </w:r>
      <w:r w:rsidR="00CE2A82">
        <w:rPr>
          <w:lang w:val="es-ES_tradnl"/>
        </w:rPr>
        <w:tab/>
      </w:r>
      <w:r w:rsidR="00CE2A82">
        <w:rPr>
          <w:lang w:val="es-ES_tradnl"/>
        </w:rPr>
        <w:tab/>
      </w:r>
      <w:r w:rsidRPr="00E028C5">
        <w:rPr>
          <w:lang w:val="es-ES_tradnl"/>
        </w:rPr>
        <w:t>Red de acceso radioeléctrico de banda ancha (</w:t>
      </w:r>
      <w:r w:rsidRPr="00E028C5">
        <w:rPr>
          <w:i/>
          <w:iCs/>
          <w:lang w:val="es-ES_tradnl"/>
        </w:rPr>
        <w:t>broadband radio access network</w:t>
      </w:r>
      <w:r w:rsidRPr="00E028C5">
        <w:rPr>
          <w:lang w:val="es-ES_tradnl"/>
        </w:rPr>
        <w:t>)</w:t>
      </w:r>
    </w:p>
    <w:p w:rsidR="00E028C5" w:rsidRPr="00E028C5" w:rsidRDefault="00E028C5" w:rsidP="00CE2A82">
      <w:pPr>
        <w:ind w:left="1588" w:hanging="1588"/>
        <w:rPr>
          <w:lang w:val="es-ES_tradnl"/>
        </w:rPr>
      </w:pPr>
      <w:r w:rsidRPr="00E028C5">
        <w:rPr>
          <w:lang w:val="es-ES_tradnl"/>
        </w:rPr>
        <w:t>BS</w:t>
      </w:r>
      <w:r w:rsidR="00CE2A82">
        <w:rPr>
          <w:lang w:val="es-ES_tradnl"/>
        </w:rPr>
        <w:tab/>
      </w:r>
      <w:r w:rsidR="00CE2A82">
        <w:rPr>
          <w:lang w:val="es-ES_tradnl"/>
        </w:rPr>
        <w:tab/>
      </w:r>
      <w:r w:rsidR="00CE2A82">
        <w:rPr>
          <w:lang w:val="es-ES_tradnl"/>
        </w:rPr>
        <w:tab/>
      </w:r>
      <w:r w:rsidRPr="00E028C5">
        <w:rPr>
          <w:lang w:val="es-ES_tradnl"/>
        </w:rPr>
        <w:t>Estación de base (</w:t>
      </w:r>
      <w:r w:rsidRPr="00E028C5">
        <w:rPr>
          <w:i/>
          <w:iCs/>
          <w:lang w:val="es-ES_tradnl"/>
        </w:rPr>
        <w:t>base station</w:t>
      </w:r>
      <w:r w:rsidRPr="00E028C5">
        <w:rPr>
          <w:lang w:val="es-ES_tradnl"/>
        </w:rPr>
        <w:t>)</w:t>
      </w:r>
    </w:p>
    <w:p w:rsidR="00E028C5" w:rsidRPr="00E028C5" w:rsidRDefault="00E028C5" w:rsidP="00CE2A82">
      <w:pPr>
        <w:ind w:left="1588" w:hanging="1588"/>
        <w:rPr>
          <w:lang w:val="es-ES_tradnl"/>
        </w:rPr>
      </w:pPr>
      <w:r w:rsidRPr="00E028C5">
        <w:rPr>
          <w:lang w:val="es-ES_tradnl"/>
        </w:rPr>
        <w:t>BSR</w:t>
      </w:r>
      <w:r w:rsidR="00CE2A82">
        <w:rPr>
          <w:lang w:val="es-ES_tradnl"/>
        </w:rPr>
        <w:tab/>
      </w:r>
      <w:r w:rsidR="00CE2A82">
        <w:rPr>
          <w:lang w:val="es-ES_tradnl"/>
        </w:rPr>
        <w:tab/>
      </w:r>
      <w:r w:rsidR="00CE2A82">
        <w:rPr>
          <w:lang w:val="es-ES_tradnl"/>
        </w:rPr>
        <w:tab/>
      </w:r>
      <w:r w:rsidRPr="00E028C5">
        <w:rPr>
          <w:lang w:val="es-ES_tradnl"/>
        </w:rPr>
        <w:t>Encaminador de estación de base (</w:t>
      </w:r>
      <w:r w:rsidRPr="00E028C5">
        <w:rPr>
          <w:i/>
          <w:iCs/>
          <w:lang w:val="es-ES_tradnl"/>
        </w:rPr>
        <w:t>base station router</w:t>
      </w:r>
      <w:r w:rsidRPr="00E028C5">
        <w:rPr>
          <w:lang w:val="es-ES_tradnl"/>
        </w:rPr>
        <w:t>)</w:t>
      </w:r>
    </w:p>
    <w:p w:rsidR="00E028C5" w:rsidRPr="00E028C5" w:rsidRDefault="00E028C5" w:rsidP="00CE2A82">
      <w:pPr>
        <w:ind w:left="1588" w:hanging="1588"/>
        <w:rPr>
          <w:lang w:val="es-ES_tradnl"/>
        </w:rPr>
      </w:pPr>
      <w:r w:rsidRPr="00E028C5">
        <w:rPr>
          <w:lang w:val="es-ES_tradnl"/>
        </w:rPr>
        <w:t>BTC</w:t>
      </w:r>
      <w:r w:rsidR="00CE2A82">
        <w:rPr>
          <w:lang w:val="es-ES_tradnl"/>
        </w:rPr>
        <w:tab/>
      </w:r>
      <w:r w:rsidR="00CE2A82">
        <w:rPr>
          <w:lang w:val="es-ES_tradnl"/>
        </w:rPr>
        <w:tab/>
      </w:r>
      <w:r w:rsidR="00CE2A82">
        <w:rPr>
          <w:lang w:val="es-ES_tradnl"/>
        </w:rPr>
        <w:tab/>
      </w:r>
      <w:r w:rsidRPr="00E028C5">
        <w:rPr>
          <w:lang w:val="es-ES_tradnl"/>
        </w:rPr>
        <w:t>Código turbo de bloque (</w:t>
      </w:r>
      <w:r w:rsidRPr="00E028C5">
        <w:rPr>
          <w:i/>
          <w:iCs/>
          <w:lang w:val="es-ES_tradnl"/>
        </w:rPr>
        <w:t>block turbo code</w:t>
      </w:r>
      <w:r w:rsidRPr="00E028C5">
        <w:rPr>
          <w:lang w:val="es-ES_tradnl"/>
        </w:rPr>
        <w:t>)</w:t>
      </w:r>
    </w:p>
    <w:p w:rsidR="00E028C5" w:rsidRPr="00E028C5" w:rsidRDefault="00E028C5" w:rsidP="00CE2A82">
      <w:pPr>
        <w:ind w:left="1588" w:hanging="1588"/>
        <w:rPr>
          <w:lang w:val="es-ES_tradnl"/>
        </w:rPr>
      </w:pPr>
      <w:r w:rsidRPr="00E028C5">
        <w:rPr>
          <w:lang w:val="es-ES_tradnl"/>
        </w:rPr>
        <w:t>BWA</w:t>
      </w:r>
      <w:r w:rsidR="00CE2A82">
        <w:rPr>
          <w:lang w:val="es-ES_tradnl"/>
        </w:rPr>
        <w:tab/>
      </w:r>
      <w:r w:rsidR="00CE2A82">
        <w:rPr>
          <w:lang w:val="es-ES_tradnl"/>
        </w:rPr>
        <w:tab/>
      </w:r>
      <w:r w:rsidR="00CE2A82">
        <w:rPr>
          <w:lang w:val="es-ES_tradnl"/>
        </w:rPr>
        <w:tab/>
      </w:r>
      <w:r w:rsidRPr="00E028C5">
        <w:rPr>
          <w:lang w:val="es-ES_tradnl"/>
        </w:rPr>
        <w:t>Acceso inalámbrico de banda ancha (</w:t>
      </w:r>
      <w:r w:rsidRPr="00E028C5">
        <w:rPr>
          <w:i/>
          <w:iCs/>
          <w:lang w:val="es-ES_tradnl"/>
        </w:rPr>
        <w:t>broadband wireless access</w:t>
      </w:r>
      <w:r w:rsidRPr="00E028C5">
        <w:rPr>
          <w:lang w:val="es-ES_tradnl"/>
        </w:rPr>
        <w:t>)</w:t>
      </w:r>
    </w:p>
    <w:p w:rsidR="00E028C5" w:rsidRPr="00E028C5" w:rsidRDefault="00E028C5" w:rsidP="00CE2A82">
      <w:pPr>
        <w:ind w:left="1588" w:hanging="1588"/>
        <w:rPr>
          <w:lang w:val="es-ES_tradnl"/>
        </w:rPr>
      </w:pPr>
      <w:r w:rsidRPr="00E028C5">
        <w:rPr>
          <w:lang w:val="es-ES_tradnl"/>
        </w:rPr>
        <w:t>CC</w:t>
      </w:r>
      <w:r w:rsidR="00CE2A82">
        <w:rPr>
          <w:lang w:val="es-ES_tradnl"/>
        </w:rPr>
        <w:tab/>
      </w:r>
      <w:r w:rsidR="00CE2A82">
        <w:rPr>
          <w:lang w:val="es-ES_tradnl"/>
        </w:rPr>
        <w:tab/>
      </w:r>
      <w:r w:rsidR="00CE2A82">
        <w:rPr>
          <w:lang w:val="es-ES_tradnl"/>
        </w:rPr>
        <w:tab/>
      </w:r>
      <w:r w:rsidRPr="00E028C5">
        <w:rPr>
          <w:lang w:val="es-ES_tradnl"/>
        </w:rPr>
        <w:t>Código convolucional (</w:t>
      </w:r>
      <w:r w:rsidRPr="00E028C5">
        <w:rPr>
          <w:i/>
          <w:iCs/>
          <w:lang w:val="es-ES_tradnl"/>
        </w:rPr>
        <w:t>convolutional coding</w:t>
      </w:r>
      <w:r w:rsidRPr="00E028C5">
        <w:rPr>
          <w:lang w:val="es-ES_tradnl"/>
        </w:rPr>
        <w:t>)</w:t>
      </w:r>
    </w:p>
    <w:p w:rsidR="00E028C5" w:rsidRPr="00E028C5" w:rsidRDefault="00E028C5" w:rsidP="00CE2A82">
      <w:pPr>
        <w:ind w:left="1588" w:hanging="1588"/>
        <w:rPr>
          <w:lang w:val="es-ES_tradnl"/>
        </w:rPr>
      </w:pPr>
      <w:r w:rsidRPr="00E028C5">
        <w:rPr>
          <w:lang w:val="es-ES_tradnl"/>
        </w:rPr>
        <w:t>CL</w:t>
      </w:r>
      <w:r w:rsidR="00CE2A82">
        <w:rPr>
          <w:lang w:val="es-ES_tradnl"/>
        </w:rPr>
        <w:tab/>
      </w:r>
      <w:r w:rsidR="00CE2A82">
        <w:rPr>
          <w:lang w:val="es-ES_tradnl"/>
        </w:rPr>
        <w:tab/>
      </w:r>
      <w:r w:rsidR="00CE2A82">
        <w:rPr>
          <w:lang w:val="es-ES_tradnl"/>
        </w:rPr>
        <w:tab/>
      </w:r>
      <w:r w:rsidRPr="00E028C5">
        <w:rPr>
          <w:lang w:val="es-ES_tradnl"/>
        </w:rPr>
        <w:t>Capa de conexión (</w:t>
      </w:r>
      <w:r w:rsidRPr="00E028C5">
        <w:rPr>
          <w:i/>
          <w:iCs/>
          <w:lang w:val="es-ES_tradnl"/>
        </w:rPr>
        <w:t>connection layer</w:t>
      </w:r>
      <w:r w:rsidRPr="00E028C5">
        <w:rPr>
          <w:lang w:val="es-ES_tradnl"/>
        </w:rPr>
        <w:t>)</w:t>
      </w:r>
    </w:p>
    <w:p w:rsidR="00E028C5" w:rsidRPr="00E028C5" w:rsidRDefault="00E028C5" w:rsidP="00CE2A82">
      <w:pPr>
        <w:ind w:left="1588" w:hanging="1588"/>
        <w:rPr>
          <w:lang w:val="es-ES_tradnl"/>
        </w:rPr>
      </w:pPr>
      <w:r w:rsidRPr="00E028C5">
        <w:rPr>
          <w:lang w:val="es-ES_tradnl"/>
        </w:rPr>
        <w:t>CQI</w:t>
      </w:r>
      <w:r w:rsidR="00CE2A82">
        <w:rPr>
          <w:lang w:val="es-ES_tradnl"/>
        </w:rPr>
        <w:tab/>
      </w:r>
      <w:r w:rsidR="00CE2A82">
        <w:rPr>
          <w:lang w:val="es-ES_tradnl"/>
        </w:rPr>
        <w:tab/>
      </w:r>
      <w:r w:rsidR="00CE2A82">
        <w:rPr>
          <w:lang w:val="es-ES_tradnl"/>
        </w:rPr>
        <w:tab/>
      </w:r>
      <w:r w:rsidRPr="00E028C5">
        <w:rPr>
          <w:lang w:val="es-ES_tradnl"/>
        </w:rPr>
        <w:t>Indicador de calidad del canal (</w:t>
      </w:r>
      <w:r w:rsidRPr="00E028C5">
        <w:rPr>
          <w:i/>
          <w:iCs/>
          <w:lang w:val="es-ES_tradnl"/>
        </w:rPr>
        <w:t>channel quality indicator</w:t>
      </w:r>
      <w:r w:rsidRPr="00E028C5">
        <w:rPr>
          <w:lang w:val="es-ES_tradnl"/>
        </w:rPr>
        <w:t>)</w:t>
      </w:r>
    </w:p>
    <w:p w:rsidR="00E028C5" w:rsidRPr="00E028C5" w:rsidRDefault="00E028C5" w:rsidP="00CE2A82">
      <w:pPr>
        <w:ind w:left="1588" w:hanging="1588"/>
        <w:rPr>
          <w:lang w:val="es-ES_tradnl"/>
        </w:rPr>
      </w:pPr>
      <w:r w:rsidRPr="00E028C5">
        <w:rPr>
          <w:lang w:val="es-ES_tradnl"/>
        </w:rPr>
        <w:t>C-plano</w:t>
      </w:r>
      <w:r w:rsidR="00CE2A82">
        <w:rPr>
          <w:lang w:val="es-ES_tradnl"/>
        </w:rPr>
        <w:tab/>
      </w:r>
      <w:r w:rsidR="00CE2A82">
        <w:rPr>
          <w:lang w:val="es-ES_tradnl"/>
        </w:rPr>
        <w:tab/>
      </w:r>
      <w:r w:rsidR="00CE2A82">
        <w:rPr>
          <w:lang w:val="es-ES_tradnl"/>
        </w:rPr>
        <w:tab/>
      </w:r>
      <w:r w:rsidRPr="00E028C5">
        <w:rPr>
          <w:lang w:val="es-ES_tradnl"/>
        </w:rPr>
        <w:t>Plano de control (</w:t>
      </w:r>
      <w:r w:rsidRPr="00E028C5">
        <w:rPr>
          <w:i/>
          <w:iCs/>
          <w:lang w:val="es-ES_tradnl"/>
        </w:rPr>
        <w:t>control plane</w:t>
      </w:r>
      <w:r w:rsidRPr="00E028C5">
        <w:rPr>
          <w:lang w:val="es-ES_tradnl"/>
        </w:rPr>
        <w:t>)</w:t>
      </w:r>
    </w:p>
    <w:p w:rsidR="00E028C5" w:rsidRPr="00E028C5" w:rsidRDefault="00E028C5" w:rsidP="00CE2A82">
      <w:pPr>
        <w:ind w:left="1588" w:hanging="1588"/>
        <w:rPr>
          <w:lang w:val="es-ES_tradnl"/>
        </w:rPr>
      </w:pPr>
      <w:r w:rsidRPr="00E028C5">
        <w:rPr>
          <w:lang w:val="es-ES_tradnl"/>
        </w:rPr>
        <w:t>CS-OFDMA</w:t>
      </w:r>
      <w:r w:rsidR="00CE2A82">
        <w:rPr>
          <w:lang w:val="es-ES_tradnl"/>
        </w:rPr>
        <w:tab/>
      </w:r>
      <w:r w:rsidRPr="00E028C5">
        <w:rPr>
          <w:lang w:val="es-ES_tradnl"/>
        </w:rPr>
        <w:t>AMDFO con dispersión de código (</w:t>
      </w:r>
      <w:r w:rsidRPr="00E028C5">
        <w:rPr>
          <w:i/>
          <w:iCs/>
          <w:lang w:val="es-ES_tradnl"/>
        </w:rPr>
        <w:t xml:space="preserve">code </w:t>
      </w:r>
      <w:r w:rsidRPr="00E028C5">
        <w:rPr>
          <w:i/>
          <w:iCs/>
          <w:lang w:val="es-ES_tradnl" w:eastAsia="zh-CN"/>
        </w:rPr>
        <w:t>s</w:t>
      </w:r>
      <w:r w:rsidRPr="00E028C5">
        <w:rPr>
          <w:i/>
          <w:iCs/>
          <w:lang w:val="es-ES_tradnl"/>
        </w:rPr>
        <w:t>pread</w:t>
      </w:r>
      <w:r w:rsidRPr="00E028C5">
        <w:rPr>
          <w:lang w:val="es-ES_tradnl"/>
        </w:rPr>
        <w:t xml:space="preserve"> OFDMA)</w:t>
      </w:r>
    </w:p>
    <w:p w:rsidR="00E028C5" w:rsidRPr="00E028C5" w:rsidRDefault="00E028C5" w:rsidP="00CE2A82">
      <w:pPr>
        <w:ind w:left="1588" w:hanging="1588"/>
        <w:rPr>
          <w:lang w:val="es-ES_tradnl"/>
        </w:rPr>
      </w:pPr>
      <w:r w:rsidRPr="00E028C5">
        <w:rPr>
          <w:lang w:val="es-ES_tradnl"/>
        </w:rPr>
        <w:t>CTC</w:t>
      </w:r>
      <w:r w:rsidR="00CE2A82">
        <w:rPr>
          <w:lang w:val="es-ES_tradnl"/>
        </w:rPr>
        <w:tab/>
      </w:r>
      <w:r w:rsidR="00CE2A82">
        <w:rPr>
          <w:lang w:val="es-ES_tradnl"/>
        </w:rPr>
        <w:tab/>
      </w:r>
      <w:r w:rsidR="00CE2A82">
        <w:rPr>
          <w:lang w:val="es-ES_tradnl"/>
        </w:rPr>
        <w:tab/>
      </w:r>
      <w:r w:rsidRPr="00E028C5">
        <w:rPr>
          <w:lang w:val="es-ES_tradnl"/>
        </w:rPr>
        <w:t>Código turbo convolucional (</w:t>
      </w:r>
      <w:r w:rsidRPr="00E028C5">
        <w:rPr>
          <w:i/>
          <w:iCs/>
          <w:lang w:val="es-ES_tradnl"/>
        </w:rPr>
        <w:t>convolutional turbo code</w:t>
      </w:r>
      <w:r w:rsidRPr="00E028C5">
        <w:rPr>
          <w:lang w:val="es-ES_tradnl"/>
        </w:rPr>
        <w:t>)</w:t>
      </w:r>
    </w:p>
    <w:p w:rsidR="00E028C5" w:rsidRPr="00E028C5" w:rsidRDefault="00E028C5" w:rsidP="00CE2A82">
      <w:pPr>
        <w:ind w:left="1588" w:hanging="1588"/>
        <w:rPr>
          <w:lang w:val="es-ES_tradnl"/>
        </w:rPr>
      </w:pPr>
      <w:r w:rsidRPr="00E028C5">
        <w:rPr>
          <w:lang w:val="es-ES_tradnl"/>
        </w:rPr>
        <w:lastRenderedPageBreak/>
        <w:t>DDF</w:t>
      </w:r>
      <w:r w:rsidR="00CE2A82">
        <w:rPr>
          <w:lang w:val="es-ES_tradnl"/>
        </w:rPr>
        <w:tab/>
      </w:r>
      <w:r w:rsidR="00CE2A82">
        <w:rPr>
          <w:lang w:val="es-ES_tradnl"/>
        </w:rPr>
        <w:tab/>
      </w:r>
      <w:r w:rsidR="00CE2A82">
        <w:rPr>
          <w:lang w:val="es-ES_tradnl"/>
        </w:rPr>
        <w:tab/>
      </w:r>
      <w:r w:rsidRPr="00E028C5">
        <w:rPr>
          <w:lang w:val="es-ES_tradnl"/>
        </w:rPr>
        <w:t>Dúplex por división de frecuencia (</w:t>
      </w:r>
      <w:r w:rsidRPr="00E028C5">
        <w:rPr>
          <w:i/>
          <w:iCs/>
          <w:lang w:val="es-ES_tradnl"/>
        </w:rPr>
        <w:t>frequency division duplex, FDD</w:t>
      </w:r>
      <w:r w:rsidRPr="00E028C5">
        <w:rPr>
          <w:lang w:val="es-ES_tradnl"/>
        </w:rPr>
        <w:t>)</w:t>
      </w:r>
    </w:p>
    <w:p w:rsidR="00E028C5" w:rsidRPr="00E028C5" w:rsidRDefault="00E028C5" w:rsidP="00CE2A82">
      <w:pPr>
        <w:ind w:left="1588" w:hanging="1588"/>
        <w:rPr>
          <w:lang w:val="es-ES_tradnl"/>
        </w:rPr>
      </w:pPr>
      <w:r w:rsidRPr="00E028C5">
        <w:rPr>
          <w:lang w:val="es-ES_tradnl"/>
        </w:rPr>
        <w:t>DDT</w:t>
      </w:r>
      <w:r w:rsidR="00CE2A82">
        <w:rPr>
          <w:lang w:val="es-ES_tradnl"/>
        </w:rPr>
        <w:tab/>
      </w:r>
      <w:r w:rsidR="00CE2A82">
        <w:rPr>
          <w:lang w:val="es-ES_tradnl"/>
        </w:rPr>
        <w:tab/>
      </w:r>
      <w:r w:rsidR="00CE2A82">
        <w:rPr>
          <w:lang w:val="es-ES_tradnl"/>
        </w:rPr>
        <w:tab/>
      </w:r>
      <w:r w:rsidRPr="00E028C5">
        <w:rPr>
          <w:lang w:val="es-ES_tradnl"/>
        </w:rPr>
        <w:t>Dúplex por división en el tiempo (</w:t>
      </w:r>
      <w:r w:rsidRPr="00E028C5">
        <w:rPr>
          <w:i/>
          <w:lang w:val="es-ES_tradnl"/>
        </w:rPr>
        <w:t>time division duplex, TDD</w:t>
      </w:r>
      <w:r w:rsidRPr="00E028C5">
        <w:rPr>
          <w:lang w:val="es-ES_tradnl"/>
        </w:rPr>
        <w:t>)</w:t>
      </w:r>
    </w:p>
    <w:p w:rsidR="00E028C5" w:rsidRPr="00E028C5" w:rsidRDefault="00E028C5" w:rsidP="00CE2A82">
      <w:pPr>
        <w:ind w:left="1588" w:hanging="1588"/>
        <w:rPr>
          <w:lang w:val="es-ES_tradnl"/>
        </w:rPr>
      </w:pPr>
      <w:r w:rsidRPr="00E028C5">
        <w:rPr>
          <w:lang w:val="es-ES_tradnl"/>
        </w:rPr>
        <w:t>DECT</w:t>
      </w:r>
      <w:r w:rsidR="00CE2A82">
        <w:rPr>
          <w:lang w:val="es-ES_tradnl"/>
        </w:rPr>
        <w:tab/>
      </w:r>
      <w:r w:rsidR="00CE2A82">
        <w:rPr>
          <w:lang w:val="es-ES_tradnl"/>
        </w:rPr>
        <w:tab/>
      </w:r>
      <w:r w:rsidR="00CE2A82">
        <w:rPr>
          <w:lang w:val="es-ES_tradnl"/>
        </w:rPr>
        <w:tab/>
      </w:r>
      <w:r w:rsidRPr="00E028C5">
        <w:rPr>
          <w:lang w:val="es-ES_tradnl"/>
        </w:rPr>
        <w:t>Telecomunicaciones digitales mejoradas sin cordón (</w:t>
      </w:r>
      <w:r w:rsidRPr="00E028C5">
        <w:rPr>
          <w:i/>
          <w:iCs/>
          <w:lang w:val="es-ES_tradnl"/>
        </w:rPr>
        <w:t>digital enhanced cordless telecommunications</w:t>
      </w:r>
      <w:r w:rsidRPr="00E028C5">
        <w:rPr>
          <w:lang w:val="es-ES_tradnl"/>
        </w:rPr>
        <w:t>)</w:t>
      </w:r>
    </w:p>
    <w:p w:rsidR="00E028C5" w:rsidRPr="00E028C5" w:rsidRDefault="00E028C5" w:rsidP="00CE2A82">
      <w:pPr>
        <w:ind w:left="1588" w:hanging="1588"/>
        <w:rPr>
          <w:lang w:val="es-ES_tradnl"/>
        </w:rPr>
      </w:pPr>
      <w:r w:rsidRPr="00E028C5">
        <w:rPr>
          <w:lang w:val="es-ES_tradnl"/>
        </w:rPr>
        <w:t>DFT</w:t>
      </w:r>
      <w:r w:rsidR="00CE2A82">
        <w:rPr>
          <w:lang w:val="es-ES_tradnl"/>
        </w:rPr>
        <w:tab/>
      </w:r>
      <w:r w:rsidR="00CE2A82">
        <w:rPr>
          <w:lang w:val="es-ES_tradnl"/>
        </w:rPr>
        <w:tab/>
      </w:r>
      <w:r w:rsidR="00CE2A82">
        <w:rPr>
          <w:lang w:val="es-ES_tradnl"/>
        </w:rPr>
        <w:tab/>
      </w:r>
      <w:r w:rsidRPr="00E028C5">
        <w:rPr>
          <w:lang w:val="es-ES_tradnl"/>
        </w:rPr>
        <w:t>Transformada discreta de Fourier (</w:t>
      </w:r>
      <w:r w:rsidRPr="00E028C5">
        <w:rPr>
          <w:i/>
          <w:iCs/>
          <w:lang w:val="es-ES_tradnl"/>
        </w:rPr>
        <w:t>discret Fourier transform</w:t>
      </w:r>
      <w:r w:rsidRPr="00E028C5">
        <w:rPr>
          <w:lang w:val="es-ES_tradnl"/>
        </w:rPr>
        <w:t>)</w:t>
      </w:r>
    </w:p>
    <w:p w:rsidR="00E028C5" w:rsidRPr="00E028C5" w:rsidRDefault="00E028C5" w:rsidP="00CE2A82">
      <w:pPr>
        <w:ind w:left="1588" w:hanging="1588"/>
        <w:rPr>
          <w:lang w:val="es-ES_tradnl"/>
        </w:rPr>
      </w:pPr>
      <w:r w:rsidRPr="00E028C5">
        <w:rPr>
          <w:lang w:val="es-ES_tradnl"/>
        </w:rPr>
        <w:t>DLC</w:t>
      </w:r>
      <w:r w:rsidR="00CE2A82">
        <w:rPr>
          <w:lang w:val="es-ES_tradnl"/>
        </w:rPr>
        <w:tab/>
      </w:r>
      <w:r w:rsidR="00CE2A82">
        <w:rPr>
          <w:lang w:val="es-ES_tradnl"/>
        </w:rPr>
        <w:tab/>
      </w:r>
      <w:r w:rsidR="00CE2A82">
        <w:rPr>
          <w:lang w:val="es-ES_tradnl"/>
        </w:rPr>
        <w:tab/>
      </w:r>
      <w:r w:rsidRPr="00E028C5">
        <w:rPr>
          <w:lang w:val="es-ES_tradnl"/>
        </w:rPr>
        <w:t>Control de enlace de datos (</w:t>
      </w:r>
      <w:r w:rsidRPr="00E028C5">
        <w:rPr>
          <w:i/>
          <w:iCs/>
          <w:lang w:val="es-ES_tradnl"/>
        </w:rPr>
        <w:t>data link control</w:t>
      </w:r>
      <w:r w:rsidRPr="00E028C5">
        <w:rPr>
          <w:lang w:val="es-ES_tradnl"/>
        </w:rPr>
        <w:t>)</w:t>
      </w:r>
    </w:p>
    <w:p w:rsidR="00E028C5" w:rsidRPr="00E028C5" w:rsidRDefault="00E028C5" w:rsidP="00CE2A82">
      <w:pPr>
        <w:ind w:left="1588" w:hanging="1588"/>
        <w:rPr>
          <w:lang w:val="es-ES_tradnl"/>
        </w:rPr>
      </w:pPr>
      <w:r w:rsidRPr="00E028C5">
        <w:rPr>
          <w:lang w:val="es-ES_tradnl"/>
        </w:rPr>
        <w:t>DSSS</w:t>
      </w:r>
      <w:r w:rsidR="00CE2A82">
        <w:rPr>
          <w:lang w:val="es-ES_tradnl"/>
        </w:rPr>
        <w:tab/>
      </w:r>
      <w:r w:rsidR="00CE2A82">
        <w:rPr>
          <w:lang w:val="es-ES_tradnl"/>
        </w:rPr>
        <w:tab/>
      </w:r>
      <w:r w:rsidR="00CE2A82">
        <w:rPr>
          <w:lang w:val="es-ES_tradnl"/>
        </w:rPr>
        <w:tab/>
      </w:r>
      <w:r w:rsidRPr="00E028C5">
        <w:rPr>
          <w:lang w:val="es-ES_tradnl"/>
        </w:rPr>
        <w:t>Espectro ensanchado de secuencia directa (</w:t>
      </w:r>
      <w:r w:rsidRPr="00E028C5">
        <w:rPr>
          <w:i/>
          <w:iCs/>
          <w:lang w:val="es-ES_tradnl"/>
        </w:rPr>
        <w:t>direct sequence spread spectrum</w:t>
      </w:r>
      <w:r w:rsidRPr="00E028C5">
        <w:rPr>
          <w:lang w:val="es-ES_tradnl"/>
        </w:rPr>
        <w:t>)</w:t>
      </w:r>
    </w:p>
    <w:p w:rsidR="00E028C5" w:rsidRPr="00E028C5" w:rsidRDefault="00E028C5" w:rsidP="00CE2A82">
      <w:pPr>
        <w:ind w:left="1588" w:hanging="1588"/>
        <w:rPr>
          <w:lang w:val="es-ES_tradnl"/>
        </w:rPr>
      </w:pPr>
      <w:r w:rsidRPr="00E028C5">
        <w:rPr>
          <w:lang w:val="es-ES_tradnl"/>
        </w:rPr>
        <w:t>E-DCH</w:t>
      </w:r>
      <w:r w:rsidR="00CE2A82">
        <w:rPr>
          <w:lang w:val="es-ES_tradnl"/>
        </w:rPr>
        <w:tab/>
      </w:r>
      <w:r w:rsidR="00CE2A82">
        <w:rPr>
          <w:lang w:val="es-ES_tradnl"/>
        </w:rPr>
        <w:tab/>
      </w:r>
      <w:r w:rsidR="00CE2A82">
        <w:rPr>
          <w:lang w:val="es-ES_tradnl"/>
        </w:rPr>
        <w:tab/>
      </w:r>
      <w:r w:rsidRPr="00E028C5">
        <w:rPr>
          <w:lang w:val="es-ES_tradnl"/>
        </w:rPr>
        <w:t>Canal especializado mejorado (</w:t>
      </w:r>
      <w:r w:rsidRPr="00E028C5">
        <w:rPr>
          <w:i/>
          <w:iCs/>
          <w:lang w:val="es-ES_tradnl"/>
        </w:rPr>
        <w:t>enhanced dedicated channel</w:t>
      </w:r>
      <w:r w:rsidRPr="00E028C5">
        <w:rPr>
          <w:lang w:val="es-ES_tradnl"/>
        </w:rPr>
        <w:t>)</w:t>
      </w:r>
    </w:p>
    <w:p w:rsidR="00E028C5" w:rsidRPr="00E028C5" w:rsidRDefault="00E028C5" w:rsidP="00CE2A82">
      <w:pPr>
        <w:ind w:left="1588" w:hanging="1588"/>
        <w:rPr>
          <w:lang w:val="es-ES_tradnl"/>
        </w:rPr>
      </w:pPr>
      <w:r w:rsidRPr="00E028C5">
        <w:rPr>
          <w:lang w:val="es-ES_tradnl"/>
        </w:rPr>
        <w:t>EGPRS</w:t>
      </w:r>
      <w:r w:rsidR="00CE2A82">
        <w:rPr>
          <w:lang w:val="es-ES_tradnl"/>
        </w:rPr>
        <w:tab/>
      </w:r>
      <w:r w:rsidR="00CE2A82">
        <w:rPr>
          <w:lang w:val="es-ES_tradnl"/>
        </w:rPr>
        <w:tab/>
      </w:r>
      <w:r w:rsidR="00CE2A82">
        <w:rPr>
          <w:lang w:val="es-ES_tradnl"/>
        </w:rPr>
        <w:tab/>
      </w:r>
      <w:r w:rsidRPr="00E028C5">
        <w:rPr>
          <w:lang w:val="es-ES_tradnl"/>
        </w:rPr>
        <w:t>Servicio radioeléctrico general por paquetes mejorado (</w:t>
      </w:r>
      <w:r w:rsidRPr="00E028C5">
        <w:rPr>
          <w:i/>
          <w:iCs/>
          <w:lang w:val="es-ES_tradnl"/>
        </w:rPr>
        <w:t>enhanced general packet radio service</w:t>
      </w:r>
      <w:r w:rsidRPr="00E028C5">
        <w:rPr>
          <w:lang w:val="es-ES_tradnl"/>
        </w:rPr>
        <w:t>)</w:t>
      </w:r>
    </w:p>
    <w:p w:rsidR="00E028C5" w:rsidRPr="00E028C5" w:rsidRDefault="00E028C5" w:rsidP="00CE2A82">
      <w:pPr>
        <w:ind w:left="1588" w:hanging="1588"/>
        <w:rPr>
          <w:lang w:val="es-ES_tradnl"/>
        </w:rPr>
      </w:pPr>
      <w:r w:rsidRPr="00E028C5">
        <w:rPr>
          <w:lang w:val="es-ES_tradnl"/>
        </w:rPr>
        <w:t>ETSI</w:t>
      </w:r>
      <w:r w:rsidR="00CE2A82">
        <w:rPr>
          <w:lang w:val="es-ES_tradnl"/>
        </w:rPr>
        <w:tab/>
      </w:r>
      <w:r w:rsidR="00CE2A82">
        <w:rPr>
          <w:lang w:val="es-ES_tradnl"/>
        </w:rPr>
        <w:tab/>
      </w:r>
      <w:r w:rsidR="00CE2A82">
        <w:rPr>
          <w:lang w:val="es-ES_tradnl"/>
        </w:rPr>
        <w:tab/>
      </w:r>
      <w:r w:rsidRPr="00E028C5">
        <w:rPr>
          <w:lang w:val="es-ES_tradnl"/>
        </w:rPr>
        <w:t>Instituto Europeo de Normas de Telecomunicación (</w:t>
      </w:r>
      <w:r w:rsidRPr="00E028C5">
        <w:rPr>
          <w:i/>
          <w:lang w:val="es-ES_tradnl"/>
        </w:rPr>
        <w:t>European Telecommunication Standards Institute</w:t>
      </w:r>
      <w:r w:rsidRPr="00E028C5">
        <w:rPr>
          <w:lang w:val="es-ES_tradnl"/>
        </w:rPr>
        <w:t>)</w:t>
      </w:r>
    </w:p>
    <w:p w:rsidR="00E028C5" w:rsidRPr="00E028C5" w:rsidRDefault="00E028C5" w:rsidP="00CE2A82">
      <w:pPr>
        <w:ind w:left="1588" w:hanging="1588"/>
        <w:rPr>
          <w:lang w:val="es-ES_tradnl"/>
        </w:rPr>
      </w:pPr>
      <w:r w:rsidRPr="00E028C5">
        <w:rPr>
          <w:lang w:val="es-ES_tradnl"/>
        </w:rPr>
        <w:t>EV-DO</w:t>
      </w:r>
      <w:r w:rsidR="00CE2A82">
        <w:rPr>
          <w:lang w:val="es-ES_tradnl"/>
        </w:rPr>
        <w:tab/>
      </w:r>
      <w:r w:rsidR="00CE2A82">
        <w:rPr>
          <w:lang w:val="es-ES_tradnl"/>
        </w:rPr>
        <w:tab/>
      </w:r>
      <w:r w:rsidR="00CE2A82">
        <w:rPr>
          <w:lang w:val="es-ES_tradnl"/>
        </w:rPr>
        <w:tab/>
      </w:r>
      <w:r w:rsidRPr="00E028C5">
        <w:rPr>
          <w:lang w:val="es-ES_tradnl"/>
        </w:rPr>
        <w:t>Datos de evolución optimizados (</w:t>
      </w:r>
      <w:r w:rsidRPr="00E028C5">
        <w:rPr>
          <w:i/>
          <w:iCs/>
          <w:lang w:val="es-ES_tradnl"/>
        </w:rPr>
        <w:t>evolution data optimized</w:t>
      </w:r>
      <w:r w:rsidRPr="00E028C5">
        <w:rPr>
          <w:lang w:val="es-ES_tradnl"/>
        </w:rPr>
        <w:t>)</w:t>
      </w:r>
    </w:p>
    <w:p w:rsidR="00E028C5" w:rsidRPr="00E028C5" w:rsidRDefault="00E028C5" w:rsidP="00CE2A82">
      <w:pPr>
        <w:ind w:left="1588" w:hanging="1588"/>
        <w:rPr>
          <w:lang w:val="es-ES_tradnl"/>
        </w:rPr>
      </w:pPr>
      <w:r w:rsidRPr="00E028C5">
        <w:rPr>
          <w:lang w:val="es-ES_tradnl"/>
        </w:rPr>
        <w:t>FC</w:t>
      </w:r>
      <w:r w:rsidR="00CE2A82">
        <w:rPr>
          <w:lang w:val="es-ES_tradnl"/>
        </w:rPr>
        <w:tab/>
      </w:r>
      <w:r w:rsidR="00CE2A82">
        <w:rPr>
          <w:lang w:val="es-ES_tradnl"/>
        </w:rPr>
        <w:tab/>
      </w:r>
      <w:r w:rsidR="00CE2A82">
        <w:rPr>
          <w:lang w:val="es-ES_tradnl"/>
        </w:rPr>
        <w:tab/>
      </w:r>
      <w:r w:rsidRPr="00E028C5">
        <w:rPr>
          <w:lang w:val="es-ES_tradnl"/>
        </w:rPr>
        <w:t>Canal de ida (</w:t>
      </w:r>
      <w:r w:rsidRPr="00E028C5">
        <w:rPr>
          <w:i/>
          <w:iCs/>
          <w:lang w:val="es-ES_tradnl"/>
        </w:rPr>
        <w:t>forward channel</w:t>
      </w:r>
      <w:r w:rsidRPr="00E028C5">
        <w:rPr>
          <w:lang w:val="es-ES_tradnl"/>
        </w:rPr>
        <w:t>)</w:t>
      </w:r>
    </w:p>
    <w:p w:rsidR="00E028C5" w:rsidRPr="00E028C5" w:rsidRDefault="00E028C5" w:rsidP="00CE2A82">
      <w:pPr>
        <w:ind w:left="1588" w:hanging="1588"/>
        <w:rPr>
          <w:lang w:val="es-ES_tradnl"/>
        </w:rPr>
      </w:pPr>
      <w:r w:rsidRPr="00E028C5">
        <w:rPr>
          <w:lang w:val="es-ES_tradnl"/>
        </w:rPr>
        <w:t>FCC</w:t>
      </w:r>
      <w:r w:rsidR="00CE2A82">
        <w:rPr>
          <w:lang w:val="es-ES_tradnl"/>
        </w:rPr>
        <w:tab/>
      </w:r>
      <w:r w:rsidR="00CE2A82">
        <w:rPr>
          <w:lang w:val="es-ES_tradnl"/>
        </w:rPr>
        <w:tab/>
      </w:r>
      <w:r w:rsidR="00CE2A82">
        <w:rPr>
          <w:lang w:val="es-ES_tradnl"/>
        </w:rPr>
        <w:tab/>
      </w:r>
      <w:r w:rsidRPr="00E028C5">
        <w:rPr>
          <w:lang w:val="es-ES_tradnl"/>
        </w:rPr>
        <w:t>Canal directo de control (</w:t>
      </w:r>
      <w:r w:rsidRPr="00E028C5">
        <w:rPr>
          <w:i/>
          <w:iCs/>
          <w:lang w:val="es-ES_tradnl"/>
        </w:rPr>
        <w:t>forward control channel</w:t>
      </w:r>
      <w:r w:rsidRPr="00E028C5">
        <w:rPr>
          <w:lang w:val="es-ES_tradnl"/>
        </w:rPr>
        <w:t>)</w:t>
      </w:r>
    </w:p>
    <w:p w:rsidR="00E028C5" w:rsidRPr="00E028C5" w:rsidRDefault="00E028C5" w:rsidP="00CE2A82">
      <w:pPr>
        <w:ind w:left="1588" w:hanging="1588"/>
        <w:rPr>
          <w:lang w:val="es-ES_tradnl"/>
        </w:rPr>
      </w:pPr>
      <w:r w:rsidRPr="00E028C5">
        <w:rPr>
          <w:lang w:val="es-ES_tradnl"/>
        </w:rPr>
        <w:t>FEC</w:t>
      </w:r>
      <w:r w:rsidR="00CE2A82">
        <w:rPr>
          <w:lang w:val="es-ES_tradnl"/>
        </w:rPr>
        <w:tab/>
      </w:r>
      <w:r w:rsidR="00CE2A82">
        <w:rPr>
          <w:lang w:val="es-ES_tradnl"/>
        </w:rPr>
        <w:tab/>
      </w:r>
      <w:r w:rsidR="00CE2A82">
        <w:rPr>
          <w:lang w:val="es-ES_tradnl"/>
        </w:rPr>
        <w:tab/>
      </w:r>
      <w:r w:rsidRPr="00E028C5">
        <w:rPr>
          <w:lang w:val="es-ES_tradnl"/>
        </w:rPr>
        <w:t>Corrección de errores en recepción (</w:t>
      </w:r>
      <w:r w:rsidRPr="00E028C5">
        <w:rPr>
          <w:i/>
          <w:iCs/>
          <w:lang w:val="es-ES_tradnl"/>
        </w:rPr>
        <w:t>forward error correction</w:t>
      </w:r>
      <w:r w:rsidRPr="00E028C5">
        <w:rPr>
          <w:lang w:val="es-ES_tradnl"/>
        </w:rPr>
        <w:t>)</w:t>
      </w:r>
    </w:p>
    <w:p w:rsidR="00E028C5" w:rsidRPr="00E028C5" w:rsidRDefault="00E028C5" w:rsidP="00CE2A82">
      <w:pPr>
        <w:ind w:left="1588" w:hanging="1588"/>
        <w:rPr>
          <w:lang w:val="es-ES_tradnl"/>
        </w:rPr>
      </w:pPr>
      <w:r w:rsidRPr="00E028C5">
        <w:rPr>
          <w:lang w:val="es-ES_tradnl"/>
        </w:rPr>
        <w:t>FER</w:t>
      </w:r>
      <w:r w:rsidR="00CE2A82">
        <w:rPr>
          <w:lang w:val="es-ES_tradnl"/>
        </w:rPr>
        <w:tab/>
      </w:r>
      <w:r w:rsidR="00CE2A82">
        <w:rPr>
          <w:lang w:val="es-ES_tradnl"/>
        </w:rPr>
        <w:tab/>
      </w:r>
      <w:r w:rsidR="00CE2A82">
        <w:rPr>
          <w:lang w:val="es-ES_tradnl"/>
        </w:rPr>
        <w:tab/>
      </w:r>
      <w:r w:rsidRPr="00E028C5">
        <w:rPr>
          <w:lang w:val="es-ES_tradnl"/>
        </w:rPr>
        <w:t>Tasa de errores de trama (</w:t>
      </w:r>
      <w:r w:rsidRPr="00E028C5">
        <w:rPr>
          <w:i/>
          <w:iCs/>
          <w:lang w:val="es-ES_tradnl"/>
        </w:rPr>
        <w:t>frame error rate</w:t>
      </w:r>
      <w:r w:rsidRPr="00E028C5">
        <w:rPr>
          <w:lang w:val="es-ES_tradnl"/>
        </w:rPr>
        <w:t>)</w:t>
      </w:r>
    </w:p>
    <w:p w:rsidR="00E028C5" w:rsidRPr="00E028C5" w:rsidRDefault="00E028C5" w:rsidP="00CE2A82">
      <w:pPr>
        <w:ind w:left="1588" w:hanging="1588"/>
        <w:rPr>
          <w:lang w:val="es-ES_tradnl"/>
        </w:rPr>
      </w:pPr>
      <w:r w:rsidRPr="00E028C5">
        <w:rPr>
          <w:lang w:val="es-ES_tradnl"/>
        </w:rPr>
        <w:t>FHSS</w:t>
      </w:r>
      <w:r w:rsidR="00CE2A82">
        <w:rPr>
          <w:lang w:val="es-ES_tradnl"/>
        </w:rPr>
        <w:tab/>
      </w:r>
      <w:r w:rsidR="00CE2A82">
        <w:rPr>
          <w:lang w:val="es-ES_tradnl"/>
        </w:rPr>
        <w:tab/>
      </w:r>
      <w:r w:rsidR="00CE2A82">
        <w:rPr>
          <w:lang w:val="es-ES_tradnl"/>
        </w:rPr>
        <w:tab/>
      </w:r>
      <w:r w:rsidRPr="00E028C5">
        <w:rPr>
          <w:lang w:val="es-ES_tradnl"/>
        </w:rPr>
        <w:t>Espectro ensanchado por salto de frecuencia (</w:t>
      </w:r>
      <w:r w:rsidRPr="00E028C5">
        <w:rPr>
          <w:i/>
          <w:iCs/>
          <w:lang w:val="es-ES_tradnl"/>
        </w:rPr>
        <w:t>frequency hopping spread spectrum</w:t>
      </w:r>
      <w:r w:rsidRPr="00E028C5">
        <w:rPr>
          <w:lang w:val="es-ES_tradnl"/>
        </w:rPr>
        <w:t>)</w:t>
      </w:r>
    </w:p>
    <w:p w:rsidR="00E028C5" w:rsidRPr="00E028C5" w:rsidRDefault="00E028C5" w:rsidP="00CE2A82">
      <w:pPr>
        <w:ind w:left="1588" w:hanging="1588"/>
        <w:rPr>
          <w:lang w:val="es-ES_tradnl"/>
        </w:rPr>
      </w:pPr>
      <w:r w:rsidRPr="00E028C5">
        <w:rPr>
          <w:lang w:val="es-ES_tradnl"/>
        </w:rPr>
        <w:t>FSTD</w:t>
      </w:r>
      <w:r w:rsidR="00CE2A82">
        <w:rPr>
          <w:lang w:val="es-ES_tradnl"/>
        </w:rPr>
        <w:tab/>
      </w:r>
      <w:r w:rsidR="00CE2A82">
        <w:rPr>
          <w:lang w:val="es-ES_tradnl"/>
        </w:rPr>
        <w:tab/>
      </w:r>
      <w:r w:rsidR="00CE2A82">
        <w:rPr>
          <w:lang w:val="es-ES_tradnl"/>
        </w:rPr>
        <w:tab/>
      </w:r>
      <w:r w:rsidRPr="00E028C5">
        <w:rPr>
          <w:lang w:val="es-ES_tradnl"/>
        </w:rPr>
        <w:t>Diversidad de transmisión con conmutación de frecuencias (</w:t>
      </w:r>
      <w:r w:rsidRPr="00E028C5">
        <w:rPr>
          <w:i/>
          <w:iCs/>
          <w:lang w:val="es-ES_tradnl"/>
        </w:rPr>
        <w:t>frequency switched transmit diversity</w:t>
      </w:r>
      <w:r w:rsidRPr="00E028C5">
        <w:rPr>
          <w:lang w:val="es-ES_tradnl"/>
        </w:rPr>
        <w:t>)</w:t>
      </w:r>
    </w:p>
    <w:p w:rsidR="00E028C5" w:rsidRPr="00E028C5" w:rsidRDefault="00E028C5" w:rsidP="00CE2A82">
      <w:pPr>
        <w:ind w:left="1588" w:hanging="1588"/>
        <w:rPr>
          <w:lang w:val="es-ES_tradnl"/>
        </w:rPr>
      </w:pPr>
      <w:r w:rsidRPr="00E028C5">
        <w:rPr>
          <w:lang w:val="es-ES_tradnl"/>
        </w:rPr>
        <w:t>FT</w:t>
      </w:r>
      <w:r w:rsidR="00CE2A82">
        <w:rPr>
          <w:lang w:val="es-ES_tradnl"/>
        </w:rPr>
        <w:tab/>
      </w:r>
      <w:r w:rsidR="00CE2A82">
        <w:rPr>
          <w:lang w:val="es-ES_tradnl"/>
        </w:rPr>
        <w:tab/>
      </w:r>
      <w:r w:rsidR="00CE2A82">
        <w:rPr>
          <w:lang w:val="es-ES_tradnl"/>
        </w:rPr>
        <w:tab/>
      </w:r>
      <w:r w:rsidRPr="00E028C5">
        <w:rPr>
          <w:lang w:val="es-ES_tradnl"/>
        </w:rPr>
        <w:t>Terminación fija (</w:t>
      </w:r>
      <w:r w:rsidRPr="00E028C5">
        <w:rPr>
          <w:i/>
          <w:iCs/>
          <w:lang w:val="es-ES_tradnl"/>
        </w:rPr>
        <w:t>fixed termination</w:t>
      </w:r>
      <w:r w:rsidRPr="00E028C5">
        <w:rPr>
          <w:lang w:val="es-ES_tradnl"/>
        </w:rPr>
        <w:t>)</w:t>
      </w:r>
    </w:p>
    <w:p w:rsidR="00E028C5" w:rsidRPr="00E028C5" w:rsidRDefault="00E028C5" w:rsidP="00CE2A82">
      <w:pPr>
        <w:ind w:left="1588" w:hanging="1588"/>
        <w:rPr>
          <w:lang w:val="es-ES_tradnl"/>
        </w:rPr>
      </w:pPr>
      <w:r w:rsidRPr="00E028C5">
        <w:rPr>
          <w:lang w:val="es-ES_tradnl"/>
        </w:rPr>
        <w:t>GERAN</w:t>
      </w:r>
      <w:r w:rsidR="00CE2A82">
        <w:rPr>
          <w:lang w:val="es-ES_tradnl"/>
        </w:rPr>
        <w:tab/>
      </w:r>
      <w:r w:rsidR="00CE2A82">
        <w:rPr>
          <w:lang w:val="es-ES_tradnl"/>
        </w:rPr>
        <w:tab/>
      </w:r>
      <w:r w:rsidRPr="00E028C5">
        <w:rPr>
          <w:lang w:val="es-ES_tradnl"/>
        </w:rPr>
        <w:t>Red de acceso radioeléctrico GSM de borde (</w:t>
      </w:r>
      <w:r w:rsidRPr="00E028C5">
        <w:rPr>
          <w:i/>
          <w:lang w:val="es-ES_tradnl"/>
        </w:rPr>
        <w:t>GMS edge radio access network</w:t>
      </w:r>
      <w:r w:rsidRPr="00E028C5">
        <w:rPr>
          <w:lang w:val="es-ES_tradnl"/>
        </w:rPr>
        <w:t>)</w:t>
      </w:r>
    </w:p>
    <w:p w:rsidR="00E028C5" w:rsidRPr="00E028C5" w:rsidRDefault="00E028C5" w:rsidP="00CE2A82">
      <w:pPr>
        <w:ind w:left="1588" w:hanging="1588"/>
        <w:rPr>
          <w:lang w:val="es-ES_tradnl"/>
        </w:rPr>
      </w:pPr>
      <w:r w:rsidRPr="00E028C5">
        <w:rPr>
          <w:lang w:val="es-ES_tradnl"/>
        </w:rPr>
        <w:t>GoS</w:t>
      </w:r>
      <w:r w:rsidR="00CE2A82">
        <w:rPr>
          <w:lang w:val="es-ES_tradnl"/>
        </w:rPr>
        <w:tab/>
      </w:r>
      <w:r w:rsidR="00CE2A82">
        <w:rPr>
          <w:lang w:val="es-ES_tradnl"/>
        </w:rPr>
        <w:tab/>
      </w:r>
      <w:r w:rsidR="00CE2A82">
        <w:rPr>
          <w:lang w:val="es-ES_tradnl"/>
        </w:rPr>
        <w:tab/>
      </w:r>
      <w:r w:rsidRPr="00E028C5">
        <w:rPr>
          <w:lang w:val="es-ES_tradnl"/>
        </w:rPr>
        <w:t>Grado de servicio (</w:t>
      </w:r>
      <w:r w:rsidRPr="00E028C5">
        <w:rPr>
          <w:i/>
          <w:lang w:val="es-ES_tradnl"/>
        </w:rPr>
        <w:t>grade of service</w:t>
      </w:r>
      <w:r w:rsidRPr="00E028C5">
        <w:rPr>
          <w:lang w:val="es-ES_tradnl"/>
        </w:rPr>
        <w:t>)</w:t>
      </w:r>
    </w:p>
    <w:p w:rsidR="00E028C5" w:rsidRPr="00E028C5" w:rsidRDefault="00E028C5" w:rsidP="00CE2A82">
      <w:pPr>
        <w:ind w:left="1588" w:hanging="1588"/>
        <w:rPr>
          <w:lang w:val="es-ES_tradnl"/>
        </w:rPr>
      </w:pPr>
      <w:r w:rsidRPr="00E028C5">
        <w:rPr>
          <w:lang w:val="es-ES_tradnl"/>
        </w:rPr>
        <w:t>GPRS</w:t>
      </w:r>
      <w:r w:rsidR="00CE2A82">
        <w:rPr>
          <w:lang w:val="es-ES_tradnl"/>
        </w:rPr>
        <w:tab/>
      </w:r>
      <w:r w:rsidR="00CE2A82">
        <w:rPr>
          <w:lang w:val="es-ES_tradnl"/>
        </w:rPr>
        <w:tab/>
      </w:r>
      <w:r w:rsidR="00CE2A82">
        <w:rPr>
          <w:lang w:val="es-ES_tradnl"/>
        </w:rPr>
        <w:tab/>
      </w:r>
      <w:r w:rsidRPr="00E028C5">
        <w:rPr>
          <w:lang w:val="es-ES_tradnl"/>
        </w:rPr>
        <w:t>Servicio radioeléctrico general por paquetes (</w:t>
      </w:r>
      <w:r w:rsidRPr="00E028C5">
        <w:rPr>
          <w:i/>
          <w:lang w:val="es-ES_tradnl"/>
        </w:rPr>
        <w:t>general packet radio service</w:t>
      </w:r>
      <w:r w:rsidRPr="00E028C5">
        <w:rPr>
          <w:lang w:val="es-ES_tradnl"/>
        </w:rPr>
        <w:t>)</w:t>
      </w:r>
    </w:p>
    <w:p w:rsidR="00E028C5" w:rsidRPr="00E028C5" w:rsidRDefault="00E028C5" w:rsidP="00CE2A82">
      <w:pPr>
        <w:ind w:left="1588" w:hanging="1588"/>
        <w:rPr>
          <w:lang w:val="es-ES_tradnl"/>
        </w:rPr>
      </w:pPr>
      <w:r w:rsidRPr="00E028C5">
        <w:rPr>
          <w:lang w:val="es-ES_tradnl"/>
        </w:rPr>
        <w:t>GPS</w:t>
      </w:r>
      <w:r w:rsidR="00CE2A82">
        <w:rPr>
          <w:lang w:val="es-ES_tradnl"/>
        </w:rPr>
        <w:tab/>
      </w:r>
      <w:r w:rsidR="00CE2A82">
        <w:rPr>
          <w:lang w:val="es-ES_tradnl"/>
        </w:rPr>
        <w:tab/>
      </w:r>
      <w:r w:rsidR="00CE2A82">
        <w:rPr>
          <w:lang w:val="es-ES_tradnl"/>
        </w:rPr>
        <w:tab/>
      </w:r>
      <w:r w:rsidRPr="00E028C5">
        <w:rPr>
          <w:lang w:val="es-ES_tradnl"/>
        </w:rPr>
        <w:t>Sistema de posicionamiento global (</w:t>
      </w:r>
      <w:r w:rsidRPr="00E028C5">
        <w:rPr>
          <w:i/>
          <w:lang w:val="es-ES_tradnl"/>
        </w:rPr>
        <w:t>global positioning system</w:t>
      </w:r>
      <w:r w:rsidRPr="00E028C5">
        <w:rPr>
          <w:lang w:val="es-ES_tradnl"/>
        </w:rPr>
        <w:t>)</w:t>
      </w:r>
    </w:p>
    <w:p w:rsidR="00E028C5" w:rsidRPr="00E028C5" w:rsidRDefault="00E028C5" w:rsidP="00CE2A82">
      <w:pPr>
        <w:ind w:left="1588" w:hanging="1588"/>
        <w:rPr>
          <w:lang w:val="es-ES_tradnl"/>
        </w:rPr>
      </w:pPr>
      <w:r w:rsidRPr="00E028C5">
        <w:rPr>
          <w:lang w:val="es-ES_tradnl"/>
        </w:rPr>
        <w:t>HiperMAN</w:t>
      </w:r>
      <w:r w:rsidR="00CE2A82">
        <w:rPr>
          <w:lang w:val="es-ES_tradnl"/>
        </w:rPr>
        <w:tab/>
      </w:r>
      <w:r w:rsidR="00CE2A82">
        <w:rPr>
          <w:lang w:val="es-ES_tradnl"/>
        </w:rPr>
        <w:tab/>
      </w:r>
      <w:r w:rsidRPr="00E028C5">
        <w:rPr>
          <w:lang w:val="es-ES_tradnl"/>
        </w:rPr>
        <w:t>Red de área metropolitana de altas prestaciones (</w:t>
      </w:r>
      <w:r w:rsidRPr="00E028C5">
        <w:rPr>
          <w:i/>
          <w:iCs/>
          <w:lang w:val="es-ES_tradnl"/>
        </w:rPr>
        <w:t>high performance metropolitan area network</w:t>
      </w:r>
      <w:r w:rsidRPr="00E028C5">
        <w:rPr>
          <w:lang w:val="es-ES_tradnl"/>
        </w:rPr>
        <w:t xml:space="preserve">) </w:t>
      </w:r>
    </w:p>
    <w:p w:rsidR="00E028C5" w:rsidRPr="00E028C5" w:rsidRDefault="00E028C5" w:rsidP="00CE2A82">
      <w:pPr>
        <w:ind w:left="1588" w:hanging="1588"/>
        <w:rPr>
          <w:lang w:val="es-ES_tradnl"/>
        </w:rPr>
      </w:pPr>
      <w:r w:rsidRPr="00E028C5">
        <w:rPr>
          <w:lang w:val="es-ES_tradnl"/>
        </w:rPr>
        <w:t>HRPD</w:t>
      </w:r>
      <w:r w:rsidR="00CE2A82">
        <w:rPr>
          <w:lang w:val="es-ES_tradnl"/>
        </w:rPr>
        <w:tab/>
      </w:r>
      <w:r w:rsidR="00CE2A82">
        <w:rPr>
          <w:lang w:val="es-ES_tradnl"/>
        </w:rPr>
        <w:tab/>
      </w:r>
      <w:r w:rsidR="00CE2A82">
        <w:rPr>
          <w:lang w:val="es-ES_tradnl"/>
        </w:rPr>
        <w:tab/>
      </w:r>
      <w:r w:rsidRPr="00E028C5">
        <w:rPr>
          <w:lang w:val="es-ES_tradnl"/>
        </w:rPr>
        <w:t>Datos de paquetes a alta velocidad (</w:t>
      </w:r>
      <w:r w:rsidRPr="00E028C5">
        <w:rPr>
          <w:i/>
          <w:lang w:val="es-ES_tradnl"/>
        </w:rPr>
        <w:t>high rate packet data</w:t>
      </w:r>
      <w:r w:rsidRPr="00E028C5">
        <w:rPr>
          <w:lang w:val="es-ES_tradnl"/>
        </w:rPr>
        <w:t>)</w:t>
      </w:r>
    </w:p>
    <w:p w:rsidR="00E028C5" w:rsidRPr="00E028C5" w:rsidRDefault="00E028C5" w:rsidP="00CE2A82">
      <w:pPr>
        <w:ind w:left="1588" w:hanging="1588"/>
        <w:rPr>
          <w:lang w:val="es-ES_tradnl"/>
        </w:rPr>
      </w:pPr>
      <w:r w:rsidRPr="00E028C5">
        <w:rPr>
          <w:lang w:val="es-ES_tradnl"/>
        </w:rPr>
        <w:t>HSDPA</w:t>
      </w:r>
      <w:r w:rsidR="00CE2A82">
        <w:rPr>
          <w:lang w:val="es-ES_tradnl"/>
        </w:rPr>
        <w:tab/>
      </w:r>
      <w:r w:rsidR="00CE2A82">
        <w:rPr>
          <w:lang w:val="es-ES_tradnl"/>
        </w:rPr>
        <w:tab/>
      </w:r>
      <w:r w:rsidR="00CE2A82">
        <w:rPr>
          <w:lang w:val="es-ES_tradnl"/>
        </w:rPr>
        <w:tab/>
      </w:r>
      <w:r w:rsidRPr="00E028C5">
        <w:rPr>
          <w:lang w:val="es-ES_tradnl"/>
        </w:rPr>
        <w:t>Acceso de paquetes de alta velocidad en sentido descendente (</w:t>
      </w:r>
      <w:r w:rsidRPr="00E028C5">
        <w:rPr>
          <w:i/>
          <w:lang w:val="es-ES_tradnl"/>
        </w:rPr>
        <w:t>high speed downlink packet access</w:t>
      </w:r>
      <w:r w:rsidRPr="00E028C5">
        <w:rPr>
          <w:lang w:val="es-ES_tradnl"/>
        </w:rPr>
        <w:t>)</w:t>
      </w:r>
    </w:p>
    <w:p w:rsidR="00E028C5" w:rsidRPr="00E028C5" w:rsidRDefault="00E028C5" w:rsidP="00CE2A82">
      <w:pPr>
        <w:ind w:left="1588" w:hanging="1588"/>
        <w:rPr>
          <w:lang w:val="es-ES_tradnl"/>
        </w:rPr>
      </w:pPr>
      <w:r w:rsidRPr="00E028C5">
        <w:rPr>
          <w:lang w:val="es-ES_tradnl"/>
        </w:rPr>
        <w:t>HS-DSCH</w:t>
      </w:r>
      <w:r w:rsidR="00CE2A82">
        <w:rPr>
          <w:lang w:val="es-ES_tradnl"/>
        </w:rPr>
        <w:tab/>
      </w:r>
      <w:r w:rsidR="00CE2A82">
        <w:rPr>
          <w:lang w:val="es-ES_tradnl"/>
        </w:rPr>
        <w:tab/>
      </w:r>
      <w:r w:rsidR="00CE2A82">
        <w:rPr>
          <w:lang w:val="es-ES_tradnl"/>
        </w:rPr>
        <w:tab/>
      </w:r>
      <w:r w:rsidRPr="00E028C5">
        <w:rPr>
          <w:lang w:val="es-ES_tradnl"/>
        </w:rPr>
        <w:t>Canal de alta velocidad compartido en sentido descendente (</w:t>
      </w:r>
      <w:r w:rsidRPr="00E028C5">
        <w:rPr>
          <w:i/>
          <w:lang w:val="es-ES_tradnl"/>
        </w:rPr>
        <w:t>high speed downlink shared channel</w:t>
      </w:r>
      <w:r w:rsidRPr="00E028C5">
        <w:rPr>
          <w:lang w:val="es-ES_tradnl"/>
        </w:rPr>
        <w:t>)</w:t>
      </w:r>
    </w:p>
    <w:p w:rsidR="00E028C5" w:rsidRPr="00E028C5" w:rsidRDefault="00E028C5" w:rsidP="00CE2A82">
      <w:pPr>
        <w:ind w:left="1588" w:hanging="1588"/>
        <w:rPr>
          <w:lang w:val="es-ES_tradnl"/>
        </w:rPr>
      </w:pPr>
      <w:r w:rsidRPr="00E028C5">
        <w:rPr>
          <w:lang w:val="es-ES_tradnl"/>
        </w:rPr>
        <w:t>HSUPA</w:t>
      </w:r>
      <w:r w:rsidR="00CE2A82">
        <w:rPr>
          <w:lang w:val="es-ES_tradnl"/>
        </w:rPr>
        <w:tab/>
      </w:r>
      <w:r w:rsidR="00CE2A82">
        <w:rPr>
          <w:lang w:val="es-ES_tradnl"/>
        </w:rPr>
        <w:tab/>
      </w:r>
      <w:r w:rsidR="00CE2A82">
        <w:rPr>
          <w:lang w:val="es-ES_tradnl"/>
        </w:rPr>
        <w:tab/>
      </w:r>
      <w:r w:rsidRPr="00E028C5">
        <w:rPr>
          <w:lang w:val="es-ES_tradnl"/>
        </w:rPr>
        <w:t>Acceso de paquetes de alta velocidad en sentido ascendente (</w:t>
      </w:r>
      <w:r w:rsidRPr="00E028C5">
        <w:rPr>
          <w:i/>
          <w:lang w:val="es-ES_tradnl"/>
        </w:rPr>
        <w:t>high speed uplink packet access</w:t>
      </w:r>
      <w:r w:rsidRPr="00E028C5">
        <w:rPr>
          <w:lang w:val="es-ES_tradnl"/>
        </w:rPr>
        <w:t>)</w:t>
      </w:r>
    </w:p>
    <w:p w:rsidR="00E028C5" w:rsidRPr="00E028C5" w:rsidRDefault="00E028C5" w:rsidP="00CE2A82">
      <w:pPr>
        <w:ind w:left="1588" w:hanging="1588"/>
        <w:rPr>
          <w:lang w:val="es-ES_tradnl"/>
        </w:rPr>
      </w:pPr>
      <w:r w:rsidRPr="00E028C5">
        <w:rPr>
          <w:lang w:val="es-ES_tradnl"/>
        </w:rPr>
        <w:t>ICIC</w:t>
      </w:r>
      <w:r w:rsidR="00CE2A82">
        <w:rPr>
          <w:lang w:val="es-ES_tradnl"/>
        </w:rPr>
        <w:tab/>
      </w:r>
      <w:r w:rsidR="00CE2A82">
        <w:rPr>
          <w:lang w:val="es-ES_tradnl"/>
        </w:rPr>
        <w:tab/>
      </w:r>
      <w:r w:rsidR="00CE2A82">
        <w:rPr>
          <w:lang w:val="es-ES_tradnl"/>
        </w:rPr>
        <w:tab/>
      </w:r>
      <w:r w:rsidRPr="00E028C5">
        <w:rPr>
          <w:lang w:val="es-ES_tradnl"/>
        </w:rPr>
        <w:t>Coordinación de la interferencia entre células (</w:t>
      </w:r>
      <w:r w:rsidRPr="00E028C5">
        <w:rPr>
          <w:i/>
          <w:iCs/>
          <w:lang w:val="es-ES_tradnl"/>
        </w:rPr>
        <w:t>inter-cell interference</w:t>
      </w:r>
      <w:r w:rsidRPr="00E028C5">
        <w:rPr>
          <w:lang w:val="es-ES_tradnl"/>
        </w:rPr>
        <w:t xml:space="preserve"> </w:t>
      </w:r>
      <w:r w:rsidRPr="00E028C5">
        <w:rPr>
          <w:i/>
          <w:iCs/>
          <w:lang w:val="es-ES_tradnl"/>
        </w:rPr>
        <w:t>coordination</w:t>
      </w:r>
      <w:r w:rsidRPr="00E028C5">
        <w:rPr>
          <w:lang w:val="es-ES_tradnl"/>
        </w:rPr>
        <w:t>)</w:t>
      </w:r>
    </w:p>
    <w:p w:rsidR="00E028C5" w:rsidRPr="00E028C5" w:rsidRDefault="00E028C5" w:rsidP="00CE2A82">
      <w:pPr>
        <w:ind w:left="1588" w:hanging="1588"/>
        <w:rPr>
          <w:lang w:val="es-ES_tradnl"/>
        </w:rPr>
      </w:pPr>
      <w:r w:rsidRPr="00E028C5">
        <w:rPr>
          <w:lang w:val="es-ES_tradnl"/>
        </w:rPr>
        <w:t>IETF</w:t>
      </w:r>
      <w:r w:rsidR="00CE2A82">
        <w:rPr>
          <w:lang w:val="es-ES_tradnl"/>
        </w:rPr>
        <w:tab/>
      </w:r>
      <w:r w:rsidR="00CE2A82">
        <w:rPr>
          <w:lang w:val="es-ES_tradnl"/>
        </w:rPr>
        <w:tab/>
      </w:r>
      <w:r w:rsidR="00CE2A82">
        <w:rPr>
          <w:lang w:val="es-ES_tradnl"/>
        </w:rPr>
        <w:tab/>
      </w:r>
      <w:r w:rsidRPr="00E028C5">
        <w:rPr>
          <w:lang w:val="es-ES_tradnl"/>
        </w:rPr>
        <w:t>Grupo Especial sobre ingeniería de Internet (</w:t>
      </w:r>
      <w:r w:rsidRPr="00E028C5">
        <w:rPr>
          <w:i/>
          <w:iCs/>
          <w:lang w:val="es-ES_tradnl"/>
        </w:rPr>
        <w:t>Internet engineering task force</w:t>
      </w:r>
      <w:r w:rsidRPr="00E028C5">
        <w:rPr>
          <w:lang w:val="es-ES_tradnl"/>
        </w:rPr>
        <w:t>)</w:t>
      </w:r>
    </w:p>
    <w:p w:rsidR="00E028C5" w:rsidRPr="00E028C5" w:rsidRDefault="00E028C5" w:rsidP="00CE2A82">
      <w:pPr>
        <w:ind w:left="1588" w:hanging="1588"/>
        <w:rPr>
          <w:lang w:val="es-ES_tradnl"/>
        </w:rPr>
      </w:pPr>
      <w:r w:rsidRPr="00E028C5">
        <w:rPr>
          <w:lang w:val="es-ES_tradnl"/>
        </w:rPr>
        <w:t>IP</w:t>
      </w:r>
      <w:r w:rsidR="00CE2A82">
        <w:rPr>
          <w:lang w:val="es-ES_tradnl"/>
        </w:rPr>
        <w:tab/>
      </w:r>
      <w:r w:rsidR="00CE2A82">
        <w:rPr>
          <w:lang w:val="es-ES_tradnl"/>
        </w:rPr>
        <w:tab/>
      </w:r>
      <w:r w:rsidR="00CE2A82">
        <w:rPr>
          <w:lang w:val="es-ES_tradnl"/>
        </w:rPr>
        <w:tab/>
      </w:r>
      <w:r w:rsidRPr="00E028C5">
        <w:rPr>
          <w:lang w:val="es-ES_tradnl"/>
        </w:rPr>
        <w:t>Protocolo Internet (</w:t>
      </w:r>
      <w:r w:rsidRPr="00E028C5">
        <w:rPr>
          <w:i/>
          <w:iCs/>
          <w:lang w:val="es-ES_tradnl"/>
        </w:rPr>
        <w:t>Internet protocol</w:t>
      </w:r>
      <w:r w:rsidRPr="00E028C5">
        <w:rPr>
          <w:lang w:val="es-ES_tradnl"/>
        </w:rPr>
        <w:t>)</w:t>
      </w:r>
    </w:p>
    <w:p w:rsidR="00E028C5" w:rsidRPr="00E028C5" w:rsidRDefault="00E028C5" w:rsidP="00CE2A82">
      <w:pPr>
        <w:ind w:left="1588" w:hanging="1588"/>
        <w:rPr>
          <w:lang w:val="es-ES_tradnl"/>
        </w:rPr>
      </w:pPr>
      <w:r w:rsidRPr="00E028C5">
        <w:rPr>
          <w:lang w:val="es-ES_tradnl"/>
        </w:rPr>
        <w:t>LAC</w:t>
      </w:r>
      <w:r w:rsidR="00CE2A82">
        <w:rPr>
          <w:lang w:val="es-ES_tradnl"/>
        </w:rPr>
        <w:tab/>
      </w:r>
      <w:r w:rsidR="00CE2A82">
        <w:rPr>
          <w:lang w:val="es-ES_tradnl"/>
        </w:rPr>
        <w:tab/>
      </w:r>
      <w:r w:rsidR="00CE2A82">
        <w:rPr>
          <w:lang w:val="es-ES_tradnl"/>
        </w:rPr>
        <w:tab/>
      </w:r>
      <w:r w:rsidRPr="00E028C5">
        <w:rPr>
          <w:lang w:val="es-ES_tradnl"/>
        </w:rPr>
        <w:t>Control de acceso al enlace (</w:t>
      </w:r>
      <w:r w:rsidRPr="00E028C5">
        <w:rPr>
          <w:i/>
          <w:iCs/>
          <w:lang w:val="es-ES_tradnl"/>
        </w:rPr>
        <w:t>link access control)</w:t>
      </w:r>
    </w:p>
    <w:p w:rsidR="00E028C5" w:rsidRPr="00E028C5" w:rsidRDefault="00E028C5" w:rsidP="00CE2A82">
      <w:pPr>
        <w:ind w:left="1588" w:hanging="1588"/>
        <w:rPr>
          <w:lang w:val="es-ES_tradnl"/>
        </w:rPr>
      </w:pPr>
      <w:r w:rsidRPr="00E028C5">
        <w:rPr>
          <w:lang w:val="es-ES_tradnl"/>
        </w:rPr>
        <w:lastRenderedPageBreak/>
        <w:t>LAN</w:t>
      </w:r>
      <w:r w:rsidR="00CE2A82">
        <w:rPr>
          <w:lang w:val="es-ES_tradnl"/>
        </w:rPr>
        <w:tab/>
      </w:r>
      <w:r w:rsidR="00CE2A82">
        <w:rPr>
          <w:lang w:val="es-ES_tradnl"/>
        </w:rPr>
        <w:tab/>
      </w:r>
      <w:r w:rsidR="00CE2A82">
        <w:rPr>
          <w:lang w:val="es-ES_tradnl"/>
        </w:rPr>
        <w:tab/>
      </w:r>
      <w:r w:rsidRPr="00E028C5">
        <w:rPr>
          <w:lang w:val="es-ES_tradnl"/>
        </w:rPr>
        <w:t>Red de área local (</w:t>
      </w:r>
      <w:r w:rsidRPr="00E028C5">
        <w:rPr>
          <w:i/>
          <w:iCs/>
          <w:lang w:val="es-ES_tradnl"/>
        </w:rPr>
        <w:t>local area network</w:t>
      </w:r>
      <w:r w:rsidRPr="00E028C5">
        <w:rPr>
          <w:lang w:val="es-ES_tradnl"/>
        </w:rPr>
        <w:t>)</w:t>
      </w:r>
    </w:p>
    <w:p w:rsidR="00E028C5" w:rsidRPr="00E028C5" w:rsidRDefault="00E028C5" w:rsidP="00CE2A82">
      <w:pPr>
        <w:ind w:left="1588" w:hanging="1588"/>
        <w:rPr>
          <w:lang w:val="es-ES_tradnl"/>
        </w:rPr>
      </w:pPr>
      <w:r w:rsidRPr="00E028C5">
        <w:rPr>
          <w:lang w:val="es-ES_tradnl"/>
        </w:rPr>
        <w:t>LDPC</w:t>
      </w:r>
      <w:r w:rsidR="00CE2A82">
        <w:rPr>
          <w:lang w:val="es-ES_tradnl"/>
        </w:rPr>
        <w:tab/>
      </w:r>
      <w:r w:rsidR="00CE2A82">
        <w:rPr>
          <w:lang w:val="es-ES_tradnl"/>
        </w:rPr>
        <w:tab/>
      </w:r>
      <w:r w:rsidR="00CE2A82">
        <w:rPr>
          <w:lang w:val="es-ES_tradnl"/>
        </w:rPr>
        <w:tab/>
      </w:r>
      <w:r w:rsidRPr="00E028C5">
        <w:rPr>
          <w:lang w:val="es-ES_tradnl"/>
        </w:rPr>
        <w:t>Verificación de paridad de baja densidad (</w:t>
      </w:r>
      <w:r w:rsidRPr="00E028C5">
        <w:rPr>
          <w:i/>
          <w:iCs/>
          <w:lang w:val="es-ES_tradnl"/>
        </w:rPr>
        <w:t>low density parity check</w:t>
      </w:r>
      <w:r w:rsidRPr="00E028C5">
        <w:rPr>
          <w:lang w:val="es-ES_tradnl"/>
        </w:rPr>
        <w:t>)</w:t>
      </w:r>
    </w:p>
    <w:p w:rsidR="00E028C5" w:rsidRPr="00E028C5" w:rsidRDefault="00E028C5" w:rsidP="00CE2A82">
      <w:pPr>
        <w:ind w:left="1588" w:hanging="1588"/>
        <w:rPr>
          <w:lang w:val="es-ES_tradnl"/>
        </w:rPr>
      </w:pPr>
      <w:r w:rsidRPr="00E028C5">
        <w:rPr>
          <w:lang w:val="es-ES_tradnl"/>
        </w:rPr>
        <w:t>LLC</w:t>
      </w:r>
      <w:r w:rsidR="00CE2A82">
        <w:rPr>
          <w:lang w:val="es-ES_tradnl"/>
        </w:rPr>
        <w:tab/>
      </w:r>
      <w:r w:rsidR="00CE2A82">
        <w:rPr>
          <w:lang w:val="es-ES_tradnl"/>
        </w:rPr>
        <w:tab/>
      </w:r>
      <w:r w:rsidR="00CE2A82">
        <w:rPr>
          <w:lang w:val="es-ES_tradnl"/>
        </w:rPr>
        <w:tab/>
      </w:r>
      <w:r w:rsidRPr="00E028C5">
        <w:rPr>
          <w:lang w:val="es-ES_tradnl"/>
        </w:rPr>
        <w:t>Control de enlace lógico (</w:t>
      </w:r>
      <w:r w:rsidRPr="00E028C5">
        <w:rPr>
          <w:i/>
          <w:iCs/>
          <w:lang w:val="es-ES_tradnl"/>
        </w:rPr>
        <w:t>logic link control</w:t>
      </w:r>
      <w:r w:rsidRPr="00E028C5">
        <w:rPr>
          <w:lang w:val="es-ES_tradnl"/>
        </w:rPr>
        <w:t>)</w:t>
      </w:r>
    </w:p>
    <w:p w:rsidR="00E028C5" w:rsidRPr="00E028C5" w:rsidRDefault="00E028C5" w:rsidP="00CE2A82">
      <w:pPr>
        <w:ind w:left="1588" w:hanging="1588"/>
        <w:rPr>
          <w:lang w:val="es-ES_tradnl"/>
        </w:rPr>
      </w:pPr>
      <w:r w:rsidRPr="00E028C5">
        <w:rPr>
          <w:lang w:val="es-ES_tradnl"/>
        </w:rPr>
        <w:t>LTE</w:t>
      </w:r>
      <w:r w:rsidR="00CE2A82">
        <w:rPr>
          <w:lang w:val="es-ES_tradnl"/>
        </w:rPr>
        <w:tab/>
      </w:r>
      <w:r w:rsidR="00CE2A82">
        <w:rPr>
          <w:lang w:val="es-ES_tradnl"/>
        </w:rPr>
        <w:tab/>
      </w:r>
      <w:r w:rsidR="00CE2A82">
        <w:rPr>
          <w:lang w:val="es-ES_tradnl"/>
        </w:rPr>
        <w:tab/>
      </w:r>
      <w:r w:rsidRPr="00E028C5">
        <w:rPr>
          <w:lang w:val="es-ES_tradnl"/>
        </w:rPr>
        <w:t>Evolución a largo plazo (</w:t>
      </w:r>
      <w:r w:rsidRPr="00E028C5">
        <w:rPr>
          <w:i/>
          <w:iCs/>
          <w:lang w:val="es-ES_tradnl"/>
        </w:rPr>
        <w:t>long term evolution</w:t>
      </w:r>
      <w:r w:rsidRPr="00E028C5">
        <w:rPr>
          <w:lang w:val="es-ES_tradnl"/>
        </w:rPr>
        <w:t>)</w:t>
      </w:r>
    </w:p>
    <w:p w:rsidR="00E028C5" w:rsidRPr="00E028C5" w:rsidRDefault="00E028C5" w:rsidP="00CE2A82">
      <w:pPr>
        <w:ind w:left="1588" w:hanging="1588"/>
        <w:rPr>
          <w:lang w:val="es-ES_tradnl"/>
        </w:rPr>
      </w:pPr>
      <w:r w:rsidRPr="00E028C5">
        <w:rPr>
          <w:lang w:val="es-ES_tradnl"/>
        </w:rPr>
        <w:t>MAC</w:t>
      </w:r>
      <w:r w:rsidR="00CE2A82">
        <w:rPr>
          <w:lang w:val="es-ES_tradnl"/>
        </w:rPr>
        <w:tab/>
      </w:r>
      <w:r w:rsidR="00CE2A82">
        <w:rPr>
          <w:lang w:val="es-ES_tradnl"/>
        </w:rPr>
        <w:tab/>
      </w:r>
      <w:r w:rsidR="00CE2A82">
        <w:rPr>
          <w:lang w:val="es-ES_tradnl"/>
        </w:rPr>
        <w:tab/>
      </w:r>
      <w:r w:rsidRPr="00E028C5">
        <w:rPr>
          <w:lang w:val="es-ES_tradnl"/>
        </w:rPr>
        <w:t>Control de acceso al medio (</w:t>
      </w:r>
      <w:r w:rsidRPr="00E028C5">
        <w:rPr>
          <w:i/>
          <w:iCs/>
          <w:lang w:val="es-ES_tradnl"/>
        </w:rPr>
        <w:t>medium access control</w:t>
      </w:r>
      <w:r w:rsidRPr="00E028C5">
        <w:rPr>
          <w:lang w:val="es-ES_tradnl"/>
        </w:rPr>
        <w:t>)</w:t>
      </w:r>
    </w:p>
    <w:p w:rsidR="00E028C5" w:rsidRPr="00E028C5" w:rsidRDefault="00E028C5" w:rsidP="00CE2A82">
      <w:pPr>
        <w:ind w:left="1588" w:hanging="1588"/>
        <w:rPr>
          <w:lang w:val="es-ES_tradnl"/>
        </w:rPr>
      </w:pPr>
      <w:r w:rsidRPr="00E028C5">
        <w:rPr>
          <w:lang w:val="es-ES_tradnl"/>
        </w:rPr>
        <w:t>MAN</w:t>
      </w:r>
      <w:r w:rsidR="00CE2A82">
        <w:rPr>
          <w:lang w:val="es-ES_tradnl"/>
        </w:rPr>
        <w:tab/>
      </w:r>
      <w:r w:rsidR="00CE2A82">
        <w:rPr>
          <w:lang w:val="es-ES_tradnl"/>
        </w:rPr>
        <w:tab/>
      </w:r>
      <w:r w:rsidR="00CE2A82">
        <w:rPr>
          <w:lang w:val="es-ES_tradnl"/>
        </w:rPr>
        <w:tab/>
      </w:r>
      <w:r w:rsidRPr="00E028C5">
        <w:rPr>
          <w:lang w:val="es-ES_tradnl"/>
        </w:rPr>
        <w:t>Red de área metropolitana (</w:t>
      </w:r>
      <w:r w:rsidRPr="00E028C5">
        <w:rPr>
          <w:i/>
          <w:iCs/>
          <w:lang w:val="es-ES_tradnl"/>
        </w:rPr>
        <w:t>metropolitan area network</w:t>
      </w:r>
      <w:r w:rsidRPr="00E028C5">
        <w:rPr>
          <w:lang w:val="es-ES_tradnl"/>
        </w:rPr>
        <w:t>)</w:t>
      </w:r>
    </w:p>
    <w:p w:rsidR="00E028C5" w:rsidRPr="00E028C5" w:rsidRDefault="00E028C5" w:rsidP="00CE2A82">
      <w:pPr>
        <w:ind w:left="1588" w:hanging="1588"/>
        <w:rPr>
          <w:lang w:val="es-ES_tradnl"/>
        </w:rPr>
      </w:pPr>
      <w:r w:rsidRPr="00E028C5">
        <w:rPr>
          <w:lang w:val="es-ES_tradnl"/>
        </w:rPr>
        <w:t>MAQ</w:t>
      </w:r>
      <w:r w:rsidR="00CE2A82">
        <w:rPr>
          <w:lang w:val="es-ES_tradnl"/>
        </w:rPr>
        <w:tab/>
      </w:r>
      <w:r w:rsidR="00CE2A82">
        <w:rPr>
          <w:lang w:val="es-ES_tradnl"/>
        </w:rPr>
        <w:tab/>
      </w:r>
      <w:r w:rsidR="00CE2A82">
        <w:rPr>
          <w:lang w:val="es-ES_tradnl"/>
        </w:rPr>
        <w:tab/>
      </w:r>
      <w:r w:rsidRPr="00E028C5">
        <w:rPr>
          <w:lang w:val="es-ES_tradnl"/>
        </w:rPr>
        <w:t>Modulación de amplitud en cuadratura (</w:t>
      </w:r>
      <w:r w:rsidRPr="00E028C5">
        <w:rPr>
          <w:i/>
          <w:lang w:val="es-ES_tradnl"/>
        </w:rPr>
        <w:t>quadrature amplitude modulation, QAM</w:t>
      </w:r>
      <w:r w:rsidRPr="00E028C5">
        <w:rPr>
          <w:lang w:val="es-ES_tradnl"/>
        </w:rPr>
        <w:t>)</w:t>
      </w:r>
    </w:p>
    <w:p w:rsidR="00E028C5" w:rsidRPr="00E028C5" w:rsidRDefault="00E028C5" w:rsidP="00CE2A82">
      <w:pPr>
        <w:ind w:left="1588" w:hanging="1588"/>
        <w:rPr>
          <w:lang w:val="es-ES_tradnl"/>
        </w:rPr>
      </w:pPr>
      <w:r w:rsidRPr="00E028C5">
        <w:rPr>
          <w:lang w:val="es-ES_tradnl"/>
        </w:rPr>
        <w:t>MCSB</w:t>
      </w:r>
      <w:r w:rsidR="00CE2A82">
        <w:rPr>
          <w:lang w:val="es-ES_tradnl"/>
        </w:rPr>
        <w:tab/>
      </w:r>
      <w:r w:rsidR="00CE2A82">
        <w:rPr>
          <w:lang w:val="es-ES_tradnl"/>
        </w:rPr>
        <w:tab/>
      </w:r>
      <w:r w:rsidR="00CE2A82">
        <w:rPr>
          <w:lang w:val="es-ES_tradnl"/>
        </w:rPr>
        <w:tab/>
      </w:r>
      <w:r w:rsidRPr="00E028C5">
        <w:rPr>
          <w:lang w:val="es-ES_tradnl"/>
        </w:rPr>
        <w:t>Formación de haz síncrona multiportadora (</w:t>
      </w:r>
      <w:r w:rsidRPr="00E028C5">
        <w:rPr>
          <w:i/>
          <w:iCs/>
          <w:lang w:val="es-ES_tradnl"/>
        </w:rPr>
        <w:t>multi-carrier synchronous beamforming</w:t>
      </w:r>
      <w:r w:rsidRPr="00E028C5">
        <w:rPr>
          <w:lang w:val="es-ES_tradnl"/>
        </w:rPr>
        <w:t>)</w:t>
      </w:r>
    </w:p>
    <w:p w:rsidR="00E028C5" w:rsidRPr="00E028C5" w:rsidRDefault="00E028C5" w:rsidP="00CE2A82">
      <w:pPr>
        <w:ind w:left="1588" w:hanging="1588"/>
        <w:rPr>
          <w:color w:val="000000"/>
          <w:lang w:val="es-ES_tradnl"/>
        </w:rPr>
      </w:pPr>
      <w:r w:rsidRPr="00E028C5">
        <w:rPr>
          <w:lang w:val="es-ES_tradnl"/>
        </w:rPr>
        <w:t>MDFO</w:t>
      </w:r>
      <w:r w:rsidR="00CE2A82">
        <w:rPr>
          <w:lang w:val="es-ES_tradnl"/>
        </w:rPr>
        <w:tab/>
      </w:r>
      <w:r w:rsidR="00CE2A82">
        <w:rPr>
          <w:lang w:val="es-ES_tradnl"/>
        </w:rPr>
        <w:tab/>
      </w:r>
      <w:r w:rsidR="00CE2A82">
        <w:rPr>
          <w:lang w:val="es-ES_tradnl"/>
        </w:rPr>
        <w:tab/>
      </w:r>
      <w:r w:rsidRPr="00E028C5">
        <w:rPr>
          <w:lang w:val="es-ES_tradnl"/>
        </w:rPr>
        <w:t xml:space="preserve">Multiplexión por división de frecuencia ortogonal </w:t>
      </w:r>
      <w:r w:rsidRPr="00E028C5">
        <w:rPr>
          <w:color w:val="000000"/>
          <w:lang w:val="es-ES_tradnl"/>
        </w:rPr>
        <w:t>(</w:t>
      </w:r>
      <w:r w:rsidRPr="00E028C5">
        <w:rPr>
          <w:i/>
          <w:iCs/>
          <w:color w:val="000000"/>
          <w:lang w:val="es-ES_tradnl"/>
        </w:rPr>
        <w:t>orthogonal frequency division multiplexing</w:t>
      </w:r>
      <w:r w:rsidRPr="00E028C5">
        <w:rPr>
          <w:color w:val="000000"/>
          <w:lang w:val="es-ES_tradnl"/>
        </w:rPr>
        <w:t>)</w:t>
      </w:r>
    </w:p>
    <w:p w:rsidR="00E028C5" w:rsidRPr="00E028C5" w:rsidRDefault="00E028C5" w:rsidP="00CE2A82">
      <w:pPr>
        <w:ind w:left="1588" w:hanging="1588"/>
        <w:rPr>
          <w:lang w:val="es-ES_tradnl"/>
        </w:rPr>
      </w:pPr>
      <w:r w:rsidRPr="00E028C5">
        <w:rPr>
          <w:lang w:val="es-ES_tradnl"/>
        </w:rPr>
        <w:t>MIMO</w:t>
      </w:r>
      <w:r w:rsidR="00CE2A82">
        <w:rPr>
          <w:lang w:val="es-ES_tradnl"/>
        </w:rPr>
        <w:tab/>
      </w:r>
      <w:r w:rsidR="00CE2A82">
        <w:rPr>
          <w:lang w:val="es-ES_tradnl"/>
        </w:rPr>
        <w:tab/>
      </w:r>
      <w:r w:rsidR="00CE2A82">
        <w:rPr>
          <w:lang w:val="es-ES_tradnl"/>
        </w:rPr>
        <w:tab/>
      </w:r>
      <w:r w:rsidRPr="00E028C5">
        <w:rPr>
          <w:lang w:val="es-ES_tradnl"/>
        </w:rPr>
        <w:t>Entrada múltiple salida múltiple (</w:t>
      </w:r>
      <w:r w:rsidRPr="00E028C5">
        <w:rPr>
          <w:i/>
          <w:iCs/>
          <w:lang w:val="es-ES_tradnl"/>
        </w:rPr>
        <w:t>multiple input multiple output</w:t>
      </w:r>
      <w:r w:rsidRPr="00E028C5">
        <w:rPr>
          <w:lang w:val="es-ES_tradnl"/>
        </w:rPr>
        <w:t>)</w:t>
      </w:r>
    </w:p>
    <w:p w:rsidR="00E028C5" w:rsidRPr="00E028C5" w:rsidRDefault="00E028C5" w:rsidP="00CE2A82">
      <w:pPr>
        <w:ind w:left="1588" w:hanging="1588"/>
        <w:rPr>
          <w:lang w:val="es-ES_tradnl"/>
        </w:rPr>
      </w:pPr>
      <w:r w:rsidRPr="00E028C5">
        <w:rPr>
          <w:lang w:val="es-ES_tradnl"/>
        </w:rPr>
        <w:t>MS</w:t>
      </w:r>
      <w:r w:rsidR="00CE2A82">
        <w:rPr>
          <w:lang w:val="es-ES_tradnl"/>
        </w:rPr>
        <w:tab/>
      </w:r>
      <w:r w:rsidR="00CE2A82">
        <w:rPr>
          <w:lang w:val="es-ES_tradnl"/>
        </w:rPr>
        <w:tab/>
      </w:r>
      <w:r w:rsidR="00CE2A82">
        <w:rPr>
          <w:lang w:val="es-ES_tradnl"/>
        </w:rPr>
        <w:tab/>
      </w:r>
      <w:r w:rsidRPr="00E028C5">
        <w:rPr>
          <w:lang w:val="es-ES_tradnl"/>
        </w:rPr>
        <w:t>Estación móvil (</w:t>
      </w:r>
      <w:r w:rsidRPr="00E028C5">
        <w:rPr>
          <w:i/>
          <w:lang w:val="es-ES_tradnl"/>
        </w:rPr>
        <w:t>mobile station</w:t>
      </w:r>
      <w:r w:rsidRPr="00E028C5">
        <w:rPr>
          <w:lang w:val="es-ES_tradnl"/>
        </w:rPr>
        <w:t>)</w:t>
      </w:r>
    </w:p>
    <w:p w:rsidR="00E028C5" w:rsidRPr="00E028C5" w:rsidRDefault="00E028C5" w:rsidP="00CE2A82">
      <w:pPr>
        <w:ind w:left="1588" w:hanging="1588"/>
        <w:rPr>
          <w:lang w:val="es-ES_tradnl"/>
        </w:rPr>
      </w:pPr>
      <w:r w:rsidRPr="00E028C5">
        <w:rPr>
          <w:lang w:val="es-ES_tradnl"/>
        </w:rPr>
        <w:t>NLoS</w:t>
      </w:r>
      <w:r w:rsidR="00CE2A82">
        <w:rPr>
          <w:lang w:val="es-ES_tradnl"/>
        </w:rPr>
        <w:tab/>
      </w:r>
      <w:r w:rsidR="00CE2A82">
        <w:rPr>
          <w:lang w:val="es-ES_tradnl"/>
        </w:rPr>
        <w:tab/>
      </w:r>
      <w:r w:rsidR="00CE2A82">
        <w:rPr>
          <w:lang w:val="es-ES_tradnl"/>
        </w:rPr>
        <w:tab/>
      </w:r>
      <w:r w:rsidRPr="00E028C5">
        <w:rPr>
          <w:lang w:val="es-ES_tradnl"/>
        </w:rPr>
        <w:t>Sin visibilidad directa (</w:t>
      </w:r>
      <w:r w:rsidRPr="00E028C5">
        <w:rPr>
          <w:i/>
          <w:iCs/>
          <w:lang w:val="es-ES_tradnl"/>
        </w:rPr>
        <w:t>non</w:t>
      </w:r>
      <w:r w:rsidRPr="00E028C5">
        <w:rPr>
          <w:i/>
          <w:iCs/>
          <w:lang w:val="es-ES_tradnl"/>
        </w:rPr>
        <w:noBreakHyphen/>
        <w:t>line of sight</w:t>
      </w:r>
      <w:r w:rsidRPr="00E028C5">
        <w:rPr>
          <w:lang w:val="es-ES_tradnl"/>
        </w:rPr>
        <w:t>)</w:t>
      </w:r>
    </w:p>
    <w:p w:rsidR="00E028C5" w:rsidRPr="00E028C5" w:rsidRDefault="00E028C5" w:rsidP="00CE2A82">
      <w:pPr>
        <w:ind w:left="1588" w:hanging="1588"/>
        <w:rPr>
          <w:lang w:val="es-ES_tradnl"/>
        </w:rPr>
      </w:pPr>
      <w:r w:rsidRPr="00E028C5">
        <w:rPr>
          <w:lang w:val="es-ES_tradnl"/>
        </w:rPr>
        <w:t>OSI</w:t>
      </w:r>
      <w:r w:rsidR="00CE2A82">
        <w:rPr>
          <w:lang w:val="es-ES_tradnl"/>
        </w:rPr>
        <w:tab/>
      </w:r>
      <w:r w:rsidR="00CE2A82">
        <w:rPr>
          <w:lang w:val="es-ES_tradnl"/>
        </w:rPr>
        <w:tab/>
      </w:r>
      <w:r w:rsidR="00CE2A82">
        <w:rPr>
          <w:lang w:val="es-ES_tradnl"/>
        </w:rPr>
        <w:tab/>
      </w:r>
      <w:r w:rsidRPr="00E028C5">
        <w:rPr>
          <w:lang w:val="es-ES_tradnl"/>
        </w:rPr>
        <w:t>Interconexión de sistemas abiertos (</w:t>
      </w:r>
      <w:r w:rsidRPr="00E028C5">
        <w:rPr>
          <w:i/>
          <w:lang w:val="es-ES_tradnl"/>
        </w:rPr>
        <w:t>open systems interconnection</w:t>
      </w:r>
      <w:r w:rsidRPr="00E028C5">
        <w:rPr>
          <w:lang w:val="es-ES_tradnl"/>
        </w:rPr>
        <w:t>)</w:t>
      </w:r>
    </w:p>
    <w:p w:rsidR="00E028C5" w:rsidRPr="00E028C5" w:rsidRDefault="00E028C5" w:rsidP="00CE2A82">
      <w:pPr>
        <w:ind w:left="1588" w:hanging="1588"/>
        <w:rPr>
          <w:lang w:val="es-ES_tradnl"/>
        </w:rPr>
      </w:pPr>
      <w:r w:rsidRPr="00E028C5">
        <w:rPr>
          <w:lang w:val="es-ES_tradnl"/>
        </w:rPr>
        <w:t>PAPR</w:t>
      </w:r>
      <w:r w:rsidR="00CE2A82">
        <w:rPr>
          <w:lang w:val="es-ES_tradnl"/>
        </w:rPr>
        <w:tab/>
      </w:r>
      <w:r w:rsidR="00CE2A82">
        <w:rPr>
          <w:lang w:val="es-ES_tradnl"/>
        </w:rPr>
        <w:tab/>
      </w:r>
      <w:r w:rsidR="00CE2A82">
        <w:rPr>
          <w:lang w:val="es-ES_tradnl"/>
        </w:rPr>
        <w:tab/>
      </w:r>
      <w:r w:rsidRPr="00E028C5">
        <w:rPr>
          <w:lang w:val="es-ES_tradnl"/>
        </w:rPr>
        <w:t>Relación potencia de cresta/potencia media (</w:t>
      </w:r>
      <w:r w:rsidRPr="00E028C5">
        <w:rPr>
          <w:i/>
          <w:iCs/>
          <w:lang w:val="es-ES_tradnl"/>
        </w:rPr>
        <w:t>peak-to-average power ratio</w:t>
      </w:r>
      <w:r w:rsidRPr="00E028C5">
        <w:rPr>
          <w:lang w:val="es-ES_tradnl"/>
        </w:rPr>
        <w:t>)</w:t>
      </w:r>
    </w:p>
    <w:p w:rsidR="00E028C5" w:rsidRPr="00E028C5" w:rsidRDefault="00E028C5" w:rsidP="00CE2A82">
      <w:pPr>
        <w:ind w:left="1588" w:hanging="1588"/>
        <w:rPr>
          <w:lang w:val="es-ES_tradnl"/>
        </w:rPr>
      </w:pPr>
      <w:r w:rsidRPr="00E028C5">
        <w:rPr>
          <w:lang w:val="es-ES_tradnl"/>
        </w:rPr>
        <w:t>PDCP</w:t>
      </w:r>
      <w:r w:rsidR="00CE2A82">
        <w:rPr>
          <w:lang w:val="es-ES_tradnl"/>
        </w:rPr>
        <w:tab/>
      </w:r>
      <w:r w:rsidR="00CE2A82">
        <w:rPr>
          <w:lang w:val="es-ES_tradnl"/>
        </w:rPr>
        <w:tab/>
      </w:r>
      <w:r w:rsidR="00CE2A82">
        <w:rPr>
          <w:lang w:val="es-ES_tradnl"/>
        </w:rPr>
        <w:tab/>
      </w:r>
      <w:r w:rsidRPr="00E028C5">
        <w:rPr>
          <w:lang w:val="es-ES_tradnl"/>
        </w:rPr>
        <w:t>Protocolo de convergencia de datos de paquetes (</w:t>
      </w:r>
      <w:r w:rsidRPr="00E028C5">
        <w:rPr>
          <w:i/>
          <w:lang w:val="es-ES_tradnl"/>
        </w:rPr>
        <w:t>packet data convergence protocol</w:t>
      </w:r>
      <w:r w:rsidRPr="00E028C5">
        <w:rPr>
          <w:lang w:val="es-ES_tradnl"/>
        </w:rPr>
        <w:t>)</w:t>
      </w:r>
    </w:p>
    <w:p w:rsidR="00E028C5" w:rsidRPr="00E028C5" w:rsidRDefault="00E028C5" w:rsidP="00CE2A82">
      <w:pPr>
        <w:ind w:left="1588" w:hanging="1588"/>
        <w:rPr>
          <w:lang w:val="es-ES_tradnl"/>
        </w:rPr>
      </w:pPr>
      <w:r w:rsidRPr="00E028C5">
        <w:rPr>
          <w:lang w:val="es-ES_tradnl"/>
        </w:rPr>
        <w:t>PHS</w:t>
      </w:r>
      <w:r w:rsidR="00CE2A82">
        <w:rPr>
          <w:lang w:val="es-ES_tradnl"/>
        </w:rPr>
        <w:tab/>
      </w:r>
      <w:r w:rsidR="00CE2A82">
        <w:rPr>
          <w:lang w:val="es-ES_tradnl"/>
        </w:rPr>
        <w:tab/>
      </w:r>
      <w:r w:rsidR="00CE2A82">
        <w:rPr>
          <w:lang w:val="es-ES_tradnl"/>
        </w:rPr>
        <w:tab/>
      </w:r>
      <w:r w:rsidRPr="00E028C5">
        <w:rPr>
          <w:lang w:val="es-ES_tradnl"/>
        </w:rPr>
        <w:t>Sistema de teléfono transportable personal (</w:t>
      </w:r>
      <w:r w:rsidRPr="00E028C5">
        <w:rPr>
          <w:i/>
          <w:lang w:val="es-ES_tradnl"/>
        </w:rPr>
        <w:t>personal handyphone system</w:t>
      </w:r>
      <w:r w:rsidRPr="00E028C5">
        <w:rPr>
          <w:lang w:val="es-ES_tradnl"/>
        </w:rPr>
        <w:t>)</w:t>
      </w:r>
    </w:p>
    <w:p w:rsidR="00E028C5" w:rsidRPr="00E028C5" w:rsidRDefault="00E028C5" w:rsidP="00CE2A82">
      <w:pPr>
        <w:ind w:left="1588" w:hanging="1588"/>
        <w:rPr>
          <w:lang w:val="es-ES_tradnl"/>
        </w:rPr>
      </w:pPr>
      <w:r w:rsidRPr="00E028C5">
        <w:rPr>
          <w:lang w:val="es-ES_tradnl"/>
        </w:rPr>
        <w:t>PHY</w:t>
      </w:r>
      <w:r w:rsidR="00CE2A82">
        <w:rPr>
          <w:lang w:val="es-ES_tradnl"/>
        </w:rPr>
        <w:tab/>
      </w:r>
      <w:r w:rsidR="00CE2A82">
        <w:rPr>
          <w:lang w:val="es-ES_tradnl"/>
        </w:rPr>
        <w:tab/>
      </w:r>
      <w:r w:rsidR="00CE2A82">
        <w:rPr>
          <w:lang w:val="es-ES_tradnl"/>
        </w:rPr>
        <w:tab/>
      </w:r>
      <w:r w:rsidRPr="00E028C5">
        <w:rPr>
          <w:lang w:val="es-ES_tradnl"/>
        </w:rPr>
        <w:t>Capa física (</w:t>
      </w:r>
      <w:r w:rsidRPr="00E028C5">
        <w:rPr>
          <w:i/>
          <w:lang w:val="es-ES_tradnl"/>
        </w:rPr>
        <w:t>physical layer</w:t>
      </w:r>
      <w:r w:rsidRPr="00E028C5">
        <w:rPr>
          <w:lang w:val="es-ES_tradnl"/>
        </w:rPr>
        <w:t>)</w:t>
      </w:r>
    </w:p>
    <w:p w:rsidR="00E028C5" w:rsidRPr="00E028C5" w:rsidRDefault="00E028C5" w:rsidP="00CE2A82">
      <w:pPr>
        <w:ind w:left="1588" w:hanging="1588"/>
        <w:rPr>
          <w:color w:val="000000"/>
          <w:lang w:val="es-ES_tradnl"/>
        </w:rPr>
      </w:pPr>
      <w:r w:rsidRPr="00E028C5">
        <w:rPr>
          <w:lang w:val="es-ES_tradnl"/>
        </w:rPr>
        <w:t>PLP</w:t>
      </w:r>
      <w:r w:rsidR="00CE2A82">
        <w:rPr>
          <w:lang w:val="es-ES_tradnl"/>
        </w:rPr>
        <w:tab/>
      </w:r>
      <w:r w:rsidR="00CE2A82">
        <w:rPr>
          <w:lang w:val="es-ES_tradnl"/>
        </w:rPr>
        <w:tab/>
      </w:r>
      <w:r w:rsidR="00CE2A82">
        <w:rPr>
          <w:lang w:val="es-ES_tradnl"/>
        </w:rPr>
        <w:tab/>
      </w:r>
      <w:r w:rsidRPr="00E028C5">
        <w:rPr>
          <w:lang w:val="es-ES_tradnl"/>
        </w:rPr>
        <w:t>Protocolo de capa física</w:t>
      </w:r>
      <w:r w:rsidRPr="00E028C5">
        <w:rPr>
          <w:color w:val="000000"/>
          <w:lang w:val="es-ES_tradnl"/>
        </w:rPr>
        <w:t xml:space="preserve"> (</w:t>
      </w:r>
      <w:r w:rsidRPr="00E028C5">
        <w:rPr>
          <w:i/>
          <w:iCs/>
          <w:color w:val="000000"/>
          <w:lang w:val="es-ES_tradnl"/>
        </w:rPr>
        <w:t>physical layer protocol</w:t>
      </w:r>
      <w:r w:rsidRPr="00E028C5">
        <w:rPr>
          <w:color w:val="000000"/>
          <w:lang w:val="es-ES_tradnl"/>
        </w:rPr>
        <w:t>)</w:t>
      </w:r>
    </w:p>
    <w:p w:rsidR="00E028C5" w:rsidRPr="00E028C5" w:rsidRDefault="00E028C5" w:rsidP="00CE2A82">
      <w:pPr>
        <w:ind w:left="1588" w:hanging="1588"/>
        <w:rPr>
          <w:lang w:val="es-ES_tradnl"/>
        </w:rPr>
      </w:pPr>
      <w:r w:rsidRPr="00E028C5">
        <w:rPr>
          <w:lang w:val="es-ES_tradnl"/>
        </w:rPr>
        <w:t>PMI</w:t>
      </w:r>
      <w:r w:rsidR="00CE2A82">
        <w:rPr>
          <w:lang w:val="es-ES_tradnl"/>
        </w:rPr>
        <w:tab/>
      </w:r>
      <w:r w:rsidR="00CE2A82">
        <w:rPr>
          <w:lang w:val="es-ES_tradnl"/>
        </w:rPr>
        <w:tab/>
      </w:r>
      <w:r w:rsidR="00CE2A82">
        <w:rPr>
          <w:lang w:val="es-ES_tradnl"/>
        </w:rPr>
        <w:tab/>
      </w:r>
      <w:r w:rsidRPr="00E028C5">
        <w:rPr>
          <w:lang w:val="es-ES_tradnl"/>
        </w:rPr>
        <w:t>Índice de matriz preferida (</w:t>
      </w:r>
      <w:r w:rsidRPr="00E028C5">
        <w:rPr>
          <w:i/>
          <w:iCs/>
          <w:lang w:val="es-ES_tradnl"/>
        </w:rPr>
        <w:t>preferred matrix index</w:t>
      </w:r>
      <w:r w:rsidRPr="00E028C5">
        <w:rPr>
          <w:lang w:val="es-ES_tradnl"/>
        </w:rPr>
        <w:t>)</w:t>
      </w:r>
    </w:p>
    <w:p w:rsidR="00E028C5" w:rsidRPr="00E028C5" w:rsidRDefault="00E028C5" w:rsidP="00CE2A82">
      <w:pPr>
        <w:ind w:left="1588" w:hanging="1588"/>
        <w:rPr>
          <w:lang w:val="es-ES_tradnl"/>
        </w:rPr>
      </w:pPr>
      <w:r w:rsidRPr="00E028C5">
        <w:rPr>
          <w:lang w:val="es-ES_tradnl"/>
        </w:rPr>
        <w:t>PT</w:t>
      </w:r>
      <w:r w:rsidR="00CE2A82">
        <w:rPr>
          <w:lang w:val="es-ES_tradnl"/>
        </w:rPr>
        <w:tab/>
      </w:r>
      <w:r w:rsidR="00CE2A82">
        <w:rPr>
          <w:lang w:val="es-ES_tradnl"/>
        </w:rPr>
        <w:tab/>
      </w:r>
      <w:r w:rsidR="00CE2A82">
        <w:rPr>
          <w:lang w:val="es-ES_tradnl"/>
        </w:rPr>
        <w:tab/>
      </w:r>
      <w:r w:rsidRPr="00E028C5">
        <w:rPr>
          <w:lang w:val="es-ES_tradnl"/>
        </w:rPr>
        <w:t>Terminación transportable</w:t>
      </w:r>
      <w:r w:rsidRPr="00E028C5">
        <w:rPr>
          <w:color w:val="000000"/>
          <w:lang w:val="es-ES_tradnl"/>
        </w:rPr>
        <w:t xml:space="preserve"> (</w:t>
      </w:r>
      <w:r w:rsidRPr="00E028C5">
        <w:rPr>
          <w:i/>
          <w:iCs/>
          <w:color w:val="000000"/>
          <w:lang w:val="es-ES_tradnl"/>
        </w:rPr>
        <w:t>portable termination</w:t>
      </w:r>
      <w:r w:rsidRPr="00E028C5">
        <w:rPr>
          <w:color w:val="000000"/>
          <w:lang w:val="es-ES_tradnl"/>
        </w:rPr>
        <w:t>)</w:t>
      </w:r>
    </w:p>
    <w:p w:rsidR="00E028C5" w:rsidRPr="00E028C5" w:rsidRDefault="00E028C5" w:rsidP="00CE2A82">
      <w:pPr>
        <w:ind w:left="1588" w:hanging="1588"/>
        <w:rPr>
          <w:lang w:val="es-ES_tradnl"/>
        </w:rPr>
      </w:pPr>
      <w:r w:rsidRPr="00E028C5">
        <w:rPr>
          <w:lang w:val="es-ES_tradnl"/>
        </w:rPr>
        <w:t>QoS</w:t>
      </w:r>
      <w:r w:rsidR="00CE2A82">
        <w:rPr>
          <w:lang w:val="es-ES_tradnl"/>
        </w:rPr>
        <w:tab/>
      </w:r>
      <w:r w:rsidR="00CE2A82">
        <w:rPr>
          <w:lang w:val="es-ES_tradnl"/>
        </w:rPr>
        <w:tab/>
      </w:r>
      <w:r w:rsidR="00CE2A82">
        <w:rPr>
          <w:lang w:val="es-ES_tradnl"/>
        </w:rPr>
        <w:tab/>
      </w:r>
      <w:r w:rsidRPr="00E028C5">
        <w:rPr>
          <w:lang w:val="es-ES_tradnl"/>
        </w:rPr>
        <w:t>Calidad de servicio (</w:t>
      </w:r>
      <w:r w:rsidRPr="00E028C5">
        <w:rPr>
          <w:i/>
          <w:iCs/>
          <w:lang w:val="es-ES_tradnl"/>
        </w:rPr>
        <w:t>quality of service</w:t>
      </w:r>
      <w:r w:rsidRPr="00E028C5">
        <w:rPr>
          <w:lang w:val="es-ES_tradnl"/>
        </w:rPr>
        <w:t>)</w:t>
      </w:r>
    </w:p>
    <w:p w:rsidR="00E028C5" w:rsidRPr="00E028C5" w:rsidRDefault="00E028C5" w:rsidP="00CE2A82">
      <w:pPr>
        <w:ind w:left="1588" w:hanging="1588"/>
        <w:rPr>
          <w:lang w:val="es-ES_tradnl"/>
        </w:rPr>
      </w:pPr>
      <w:r w:rsidRPr="00E028C5">
        <w:rPr>
          <w:lang w:val="es-ES_tradnl"/>
        </w:rPr>
        <w:t>RAC</w:t>
      </w:r>
      <w:r w:rsidR="00CE2A82">
        <w:rPr>
          <w:lang w:val="es-ES_tradnl"/>
        </w:rPr>
        <w:tab/>
      </w:r>
      <w:r w:rsidR="00CE2A82">
        <w:rPr>
          <w:lang w:val="es-ES_tradnl"/>
        </w:rPr>
        <w:tab/>
      </w:r>
      <w:r w:rsidR="00CE2A82">
        <w:rPr>
          <w:lang w:val="es-ES_tradnl"/>
        </w:rPr>
        <w:tab/>
      </w:r>
      <w:r w:rsidRPr="00E028C5">
        <w:rPr>
          <w:lang w:val="es-ES_tradnl"/>
        </w:rPr>
        <w:t>Canal de acceso inverso (</w:t>
      </w:r>
      <w:r w:rsidRPr="00E028C5">
        <w:rPr>
          <w:i/>
          <w:iCs/>
          <w:lang w:val="es-ES_tradnl"/>
        </w:rPr>
        <w:t>reverse access channel</w:t>
      </w:r>
      <w:r w:rsidRPr="00E028C5">
        <w:rPr>
          <w:lang w:val="es-ES_tradnl"/>
        </w:rPr>
        <w:t>)</w:t>
      </w:r>
    </w:p>
    <w:p w:rsidR="00E028C5" w:rsidRPr="00E028C5" w:rsidRDefault="00E028C5" w:rsidP="00CE2A82">
      <w:pPr>
        <w:ind w:left="1588" w:hanging="1588"/>
        <w:rPr>
          <w:lang w:val="es-ES_tradnl"/>
        </w:rPr>
      </w:pPr>
      <w:r w:rsidRPr="00E028C5">
        <w:rPr>
          <w:lang w:val="es-ES_tradnl"/>
        </w:rPr>
        <w:t>RF</w:t>
      </w:r>
      <w:r w:rsidR="00CE2A82">
        <w:rPr>
          <w:lang w:val="es-ES_tradnl"/>
        </w:rPr>
        <w:tab/>
      </w:r>
      <w:r w:rsidR="00CE2A82">
        <w:rPr>
          <w:lang w:val="es-ES_tradnl"/>
        </w:rPr>
        <w:tab/>
      </w:r>
      <w:r w:rsidR="00CE2A82">
        <w:rPr>
          <w:lang w:val="es-ES_tradnl"/>
        </w:rPr>
        <w:tab/>
      </w:r>
      <w:r w:rsidRPr="00E028C5">
        <w:rPr>
          <w:lang w:val="es-ES_tradnl"/>
        </w:rPr>
        <w:t>Radiofrecuencia (</w:t>
      </w:r>
      <w:r w:rsidRPr="00E028C5">
        <w:rPr>
          <w:i/>
          <w:iCs/>
          <w:lang w:val="es-ES_tradnl"/>
        </w:rPr>
        <w:t>radio frequency</w:t>
      </w:r>
      <w:r w:rsidRPr="00E028C5">
        <w:rPr>
          <w:lang w:val="es-ES_tradnl"/>
        </w:rPr>
        <w:t>)</w:t>
      </w:r>
    </w:p>
    <w:p w:rsidR="00E028C5" w:rsidRPr="00E028C5" w:rsidRDefault="00E028C5" w:rsidP="00CE2A82">
      <w:pPr>
        <w:ind w:left="1588" w:hanging="1588"/>
        <w:rPr>
          <w:lang w:val="es-ES_tradnl"/>
        </w:rPr>
      </w:pPr>
      <w:r w:rsidRPr="00E028C5">
        <w:rPr>
          <w:lang w:val="es-ES_tradnl"/>
        </w:rPr>
        <w:t>RIT</w:t>
      </w:r>
      <w:r w:rsidR="00CE2A82">
        <w:rPr>
          <w:lang w:val="es-ES_tradnl"/>
        </w:rPr>
        <w:tab/>
      </w:r>
      <w:r w:rsidR="00CE2A82">
        <w:rPr>
          <w:lang w:val="es-ES_tradnl"/>
        </w:rPr>
        <w:tab/>
      </w:r>
      <w:r w:rsidR="00CE2A82">
        <w:rPr>
          <w:lang w:val="es-ES_tradnl"/>
        </w:rPr>
        <w:tab/>
      </w:r>
      <w:r w:rsidRPr="00E028C5">
        <w:rPr>
          <w:lang w:val="es-ES_tradnl"/>
        </w:rPr>
        <w:t>Tecnologías de interfaz radioeléctrica (</w:t>
      </w:r>
      <w:r w:rsidRPr="00E028C5">
        <w:rPr>
          <w:i/>
          <w:iCs/>
          <w:lang w:val="es-ES_tradnl"/>
        </w:rPr>
        <w:t>radio interface technologies</w:t>
      </w:r>
      <w:r w:rsidRPr="00E028C5">
        <w:rPr>
          <w:lang w:val="es-ES_tradnl"/>
        </w:rPr>
        <w:t>)</w:t>
      </w:r>
    </w:p>
    <w:p w:rsidR="00E028C5" w:rsidRPr="00E028C5" w:rsidRDefault="00E028C5" w:rsidP="00CE2A82">
      <w:pPr>
        <w:ind w:left="1588" w:hanging="1588"/>
        <w:rPr>
          <w:lang w:val="es-ES_tradnl"/>
        </w:rPr>
      </w:pPr>
      <w:r w:rsidRPr="00E028C5">
        <w:rPr>
          <w:lang w:val="es-ES_tradnl"/>
        </w:rPr>
        <w:t>RLAN</w:t>
      </w:r>
      <w:r w:rsidR="00CE2A82">
        <w:rPr>
          <w:lang w:val="es-ES_tradnl"/>
        </w:rPr>
        <w:tab/>
      </w:r>
      <w:r w:rsidR="00CE2A82">
        <w:rPr>
          <w:lang w:val="es-ES_tradnl"/>
        </w:rPr>
        <w:tab/>
      </w:r>
      <w:r w:rsidR="00CE2A82">
        <w:rPr>
          <w:lang w:val="es-ES_tradnl"/>
        </w:rPr>
        <w:tab/>
      </w:r>
      <w:r w:rsidRPr="00E028C5">
        <w:rPr>
          <w:lang w:val="es-ES_tradnl"/>
        </w:rPr>
        <w:t>Red radioeléctrica de área local (</w:t>
      </w:r>
      <w:r w:rsidRPr="00E028C5">
        <w:rPr>
          <w:i/>
          <w:lang w:val="es-ES_tradnl"/>
        </w:rPr>
        <w:t>radio local area network</w:t>
      </w:r>
      <w:r w:rsidRPr="00E028C5">
        <w:rPr>
          <w:lang w:val="es-ES_tradnl"/>
        </w:rPr>
        <w:t>)</w:t>
      </w:r>
    </w:p>
    <w:p w:rsidR="00E028C5" w:rsidRPr="00E028C5" w:rsidRDefault="00E028C5" w:rsidP="00CE2A82">
      <w:pPr>
        <w:ind w:left="1588" w:hanging="1588"/>
        <w:rPr>
          <w:lang w:val="es-ES_tradnl"/>
        </w:rPr>
      </w:pPr>
      <w:r w:rsidRPr="00E028C5">
        <w:rPr>
          <w:lang w:val="es-ES_tradnl"/>
        </w:rPr>
        <w:t>RLC</w:t>
      </w:r>
      <w:r w:rsidR="00CE2A82">
        <w:rPr>
          <w:lang w:val="es-ES_tradnl"/>
        </w:rPr>
        <w:tab/>
      </w:r>
      <w:r w:rsidR="00CE2A82">
        <w:rPr>
          <w:lang w:val="es-ES_tradnl"/>
        </w:rPr>
        <w:tab/>
      </w:r>
      <w:r w:rsidR="00CE2A82">
        <w:rPr>
          <w:lang w:val="es-ES_tradnl"/>
        </w:rPr>
        <w:tab/>
      </w:r>
      <w:r w:rsidRPr="00E028C5">
        <w:rPr>
          <w:lang w:val="es-ES_tradnl"/>
        </w:rPr>
        <w:t>Control del radioenlace (</w:t>
      </w:r>
      <w:r w:rsidRPr="00E028C5">
        <w:rPr>
          <w:i/>
          <w:iCs/>
          <w:lang w:val="es-ES_tradnl"/>
        </w:rPr>
        <w:t>radio link control</w:t>
      </w:r>
      <w:r w:rsidRPr="00E028C5">
        <w:rPr>
          <w:lang w:val="es-ES_tradnl"/>
        </w:rPr>
        <w:t>)</w:t>
      </w:r>
    </w:p>
    <w:p w:rsidR="00E028C5" w:rsidRPr="00E028C5" w:rsidRDefault="00E028C5" w:rsidP="00CE2A82">
      <w:pPr>
        <w:ind w:left="1588" w:hanging="1588"/>
        <w:rPr>
          <w:lang w:val="es-ES_tradnl"/>
        </w:rPr>
      </w:pPr>
      <w:r w:rsidRPr="00E028C5">
        <w:rPr>
          <w:lang w:val="es-ES_tradnl"/>
        </w:rPr>
        <w:t>RLP</w:t>
      </w:r>
      <w:r w:rsidR="00CE2A82">
        <w:rPr>
          <w:lang w:val="es-ES_tradnl"/>
        </w:rPr>
        <w:tab/>
      </w:r>
      <w:r w:rsidR="00CE2A82">
        <w:rPr>
          <w:lang w:val="es-ES_tradnl"/>
        </w:rPr>
        <w:tab/>
      </w:r>
      <w:r w:rsidR="00CE2A82">
        <w:rPr>
          <w:lang w:val="es-ES_tradnl"/>
        </w:rPr>
        <w:tab/>
      </w:r>
      <w:r w:rsidRPr="00E028C5">
        <w:rPr>
          <w:lang w:val="es-ES_tradnl"/>
        </w:rPr>
        <w:t>Protocolo de radioenlace (</w:t>
      </w:r>
      <w:r w:rsidRPr="00E028C5">
        <w:rPr>
          <w:i/>
          <w:iCs/>
          <w:lang w:val="es-ES_tradnl"/>
        </w:rPr>
        <w:t>radio link protocol</w:t>
      </w:r>
      <w:r w:rsidRPr="00E028C5">
        <w:rPr>
          <w:lang w:val="es-ES_tradnl"/>
        </w:rPr>
        <w:t>)</w:t>
      </w:r>
    </w:p>
    <w:p w:rsidR="00E028C5" w:rsidRPr="00E028C5" w:rsidRDefault="00E028C5" w:rsidP="00CE2A82">
      <w:pPr>
        <w:ind w:left="1588" w:hanging="1588"/>
        <w:rPr>
          <w:lang w:val="es-ES_tradnl"/>
        </w:rPr>
      </w:pPr>
      <w:r w:rsidRPr="00E028C5">
        <w:rPr>
          <w:lang w:val="es-ES_tradnl"/>
        </w:rPr>
        <w:t>RPC</w:t>
      </w:r>
      <w:r w:rsidR="00CE2A82">
        <w:rPr>
          <w:lang w:val="es-ES_tradnl"/>
        </w:rPr>
        <w:tab/>
      </w:r>
      <w:r w:rsidR="00CE2A82">
        <w:rPr>
          <w:lang w:val="es-ES_tradnl"/>
        </w:rPr>
        <w:tab/>
      </w:r>
      <w:r w:rsidR="00CE2A82">
        <w:rPr>
          <w:lang w:val="es-ES_tradnl"/>
        </w:rPr>
        <w:tab/>
      </w:r>
      <w:r w:rsidRPr="00E028C5">
        <w:rPr>
          <w:lang w:val="es-ES_tradnl"/>
        </w:rPr>
        <w:t>Control de potencia inverso</w:t>
      </w:r>
    </w:p>
    <w:p w:rsidR="00E028C5" w:rsidRPr="00E028C5" w:rsidRDefault="00E028C5" w:rsidP="00CE2A82">
      <w:pPr>
        <w:ind w:left="1588" w:hanging="1588"/>
        <w:rPr>
          <w:lang w:val="es-ES_tradnl"/>
        </w:rPr>
      </w:pPr>
      <w:r w:rsidRPr="00E028C5">
        <w:rPr>
          <w:lang w:val="es-ES_tradnl"/>
        </w:rPr>
        <w:t>RTC</w:t>
      </w:r>
      <w:r w:rsidR="00CE2A82">
        <w:rPr>
          <w:lang w:val="es-ES_tradnl"/>
        </w:rPr>
        <w:tab/>
      </w:r>
      <w:r w:rsidR="00CE2A82">
        <w:rPr>
          <w:lang w:val="es-ES_tradnl"/>
        </w:rPr>
        <w:tab/>
      </w:r>
      <w:r w:rsidR="00CE2A82">
        <w:rPr>
          <w:lang w:val="es-ES_tradnl"/>
        </w:rPr>
        <w:tab/>
      </w:r>
      <w:r w:rsidRPr="00E028C5">
        <w:rPr>
          <w:lang w:val="es-ES_tradnl"/>
        </w:rPr>
        <w:t xml:space="preserve">Canal de tráfico inverso </w:t>
      </w:r>
      <w:r w:rsidRPr="00E028C5">
        <w:rPr>
          <w:color w:val="000000"/>
          <w:lang w:val="es-ES_tradnl"/>
        </w:rPr>
        <w:t>(</w:t>
      </w:r>
      <w:r w:rsidRPr="00E028C5">
        <w:rPr>
          <w:i/>
          <w:iCs/>
          <w:color w:val="000000"/>
          <w:lang w:val="es-ES_tradnl"/>
        </w:rPr>
        <w:t>reverse traffic channel</w:t>
      </w:r>
      <w:r w:rsidRPr="00E028C5">
        <w:rPr>
          <w:color w:val="000000"/>
          <w:lang w:val="es-ES_tradnl"/>
        </w:rPr>
        <w:t>)</w:t>
      </w:r>
    </w:p>
    <w:p w:rsidR="00E028C5" w:rsidRPr="00E028C5" w:rsidRDefault="00E028C5" w:rsidP="00CE2A82">
      <w:pPr>
        <w:ind w:left="1588" w:hanging="1588"/>
        <w:rPr>
          <w:lang w:val="es-ES_tradnl"/>
        </w:rPr>
      </w:pPr>
      <w:r w:rsidRPr="00E028C5">
        <w:rPr>
          <w:lang w:val="es-ES_tradnl"/>
        </w:rPr>
        <w:t>SC</w:t>
      </w:r>
      <w:r w:rsidR="00CE2A82">
        <w:rPr>
          <w:lang w:val="es-ES_tradnl"/>
        </w:rPr>
        <w:tab/>
      </w:r>
      <w:r w:rsidR="00CE2A82">
        <w:rPr>
          <w:lang w:val="es-ES_tradnl"/>
        </w:rPr>
        <w:tab/>
      </w:r>
      <w:r w:rsidR="00CE2A82">
        <w:rPr>
          <w:lang w:val="es-ES_tradnl"/>
        </w:rPr>
        <w:tab/>
      </w:r>
      <w:r w:rsidRPr="00E028C5">
        <w:rPr>
          <w:lang w:val="es-ES_tradnl"/>
        </w:rPr>
        <w:t>Portadora única (</w:t>
      </w:r>
      <w:r w:rsidRPr="00E028C5">
        <w:rPr>
          <w:i/>
          <w:iCs/>
          <w:lang w:val="es-ES_tradnl"/>
        </w:rPr>
        <w:t>single carrier</w:t>
      </w:r>
      <w:r w:rsidRPr="00E028C5">
        <w:rPr>
          <w:lang w:val="es-ES_tradnl"/>
        </w:rPr>
        <w:t>)</w:t>
      </w:r>
    </w:p>
    <w:p w:rsidR="00E028C5" w:rsidRPr="00E028C5" w:rsidRDefault="00E028C5" w:rsidP="00CE2A82">
      <w:pPr>
        <w:ind w:left="1588" w:hanging="1588"/>
        <w:rPr>
          <w:lang w:val="es-ES_tradnl"/>
        </w:rPr>
      </w:pPr>
      <w:r w:rsidRPr="00E028C5">
        <w:rPr>
          <w:lang w:val="es-ES_tradnl"/>
        </w:rPr>
        <w:t>SC-FDMA</w:t>
      </w:r>
      <w:r w:rsidR="00CE2A82">
        <w:rPr>
          <w:lang w:val="es-ES_tradnl"/>
        </w:rPr>
        <w:tab/>
      </w:r>
      <w:r w:rsidR="00CE2A82">
        <w:rPr>
          <w:lang w:val="es-ES_tradnl"/>
        </w:rPr>
        <w:tab/>
      </w:r>
      <w:r w:rsidRPr="00E028C5">
        <w:rPr>
          <w:lang w:val="es-ES_tradnl"/>
        </w:rPr>
        <w:t>Acceso múltiple por división de frecuencia de portadora única (</w:t>
      </w:r>
      <w:r w:rsidRPr="00E028C5">
        <w:rPr>
          <w:i/>
          <w:lang w:val="es-ES_tradnl"/>
        </w:rPr>
        <w:t>single carrier-frequency division multiple access</w:t>
      </w:r>
      <w:r w:rsidRPr="00E028C5">
        <w:rPr>
          <w:lang w:val="es-ES_tradnl"/>
        </w:rPr>
        <w:t>)</w:t>
      </w:r>
    </w:p>
    <w:p w:rsidR="00E028C5" w:rsidRPr="00E028C5" w:rsidRDefault="00E028C5" w:rsidP="00CE2A82">
      <w:pPr>
        <w:ind w:left="1588" w:hanging="1588"/>
        <w:rPr>
          <w:lang w:val="es-ES_tradnl"/>
        </w:rPr>
      </w:pPr>
      <w:r w:rsidRPr="00E028C5">
        <w:rPr>
          <w:lang w:val="es-ES_tradnl"/>
        </w:rPr>
        <w:t>SCG</w:t>
      </w:r>
      <w:r w:rsidR="00CE2A82">
        <w:rPr>
          <w:lang w:val="es-ES_tradnl"/>
        </w:rPr>
        <w:tab/>
      </w:r>
      <w:r w:rsidR="00CE2A82">
        <w:rPr>
          <w:lang w:val="es-ES_tradnl"/>
        </w:rPr>
        <w:tab/>
      </w:r>
      <w:r w:rsidR="00CE2A82">
        <w:rPr>
          <w:lang w:val="es-ES_tradnl"/>
        </w:rPr>
        <w:tab/>
      </w:r>
      <w:r w:rsidRPr="00E028C5">
        <w:rPr>
          <w:lang w:val="es-ES_tradnl"/>
        </w:rPr>
        <w:t>Grupo de subportadora (</w:t>
      </w:r>
      <w:r w:rsidRPr="00E028C5">
        <w:rPr>
          <w:i/>
          <w:lang w:val="es-ES_tradnl"/>
        </w:rPr>
        <w:t>subcarrier group</w:t>
      </w:r>
      <w:r w:rsidRPr="00E028C5">
        <w:rPr>
          <w:lang w:val="es-ES_tradnl"/>
        </w:rPr>
        <w:t>)</w:t>
      </w:r>
    </w:p>
    <w:p w:rsidR="00E028C5" w:rsidRPr="00E028C5" w:rsidRDefault="00E028C5" w:rsidP="00CE2A82">
      <w:pPr>
        <w:ind w:left="1588" w:hanging="1588"/>
        <w:rPr>
          <w:lang w:val="es-ES_tradnl"/>
        </w:rPr>
      </w:pPr>
      <w:r w:rsidRPr="00E028C5">
        <w:rPr>
          <w:lang w:val="es-ES_tradnl"/>
        </w:rPr>
        <w:t>SDO</w:t>
      </w:r>
      <w:r w:rsidR="00CE2A82">
        <w:rPr>
          <w:lang w:val="es-ES_tradnl"/>
        </w:rPr>
        <w:tab/>
      </w:r>
      <w:r w:rsidR="00CE2A82">
        <w:rPr>
          <w:lang w:val="es-ES_tradnl"/>
        </w:rPr>
        <w:tab/>
      </w:r>
      <w:r w:rsidR="00CE2A82">
        <w:rPr>
          <w:lang w:val="es-ES_tradnl"/>
        </w:rPr>
        <w:tab/>
      </w:r>
      <w:r w:rsidRPr="00E028C5">
        <w:rPr>
          <w:lang w:val="es-ES_tradnl"/>
        </w:rPr>
        <w:t>Organización de normalización (</w:t>
      </w:r>
      <w:r w:rsidRPr="00E028C5">
        <w:rPr>
          <w:i/>
          <w:iCs/>
          <w:lang w:val="es-ES_tradnl"/>
        </w:rPr>
        <w:t>Standards Development Organization</w:t>
      </w:r>
      <w:r w:rsidRPr="00E028C5">
        <w:rPr>
          <w:lang w:val="es-ES_tradnl"/>
        </w:rPr>
        <w:t>)</w:t>
      </w:r>
    </w:p>
    <w:p w:rsidR="00E028C5" w:rsidRPr="00E028C5" w:rsidRDefault="00E028C5" w:rsidP="00CE2A82">
      <w:pPr>
        <w:ind w:left="1588" w:hanging="1588"/>
        <w:rPr>
          <w:lang w:val="es-ES_tradnl"/>
        </w:rPr>
      </w:pPr>
      <w:r w:rsidRPr="00E028C5">
        <w:rPr>
          <w:lang w:val="es-ES_tradnl"/>
        </w:rPr>
        <w:t>SFBC</w:t>
      </w:r>
      <w:r w:rsidR="00CE2A82">
        <w:rPr>
          <w:lang w:val="es-ES_tradnl"/>
        </w:rPr>
        <w:tab/>
      </w:r>
      <w:r w:rsidR="00CE2A82">
        <w:rPr>
          <w:lang w:val="es-ES_tradnl"/>
        </w:rPr>
        <w:tab/>
      </w:r>
      <w:r w:rsidR="00CE2A82">
        <w:rPr>
          <w:lang w:val="es-ES_tradnl"/>
        </w:rPr>
        <w:tab/>
      </w:r>
      <w:r w:rsidRPr="00E028C5">
        <w:rPr>
          <w:lang w:val="es-ES_tradnl"/>
        </w:rPr>
        <w:t>Codificación del bloque espacio-frecuencia (</w:t>
      </w:r>
      <w:r w:rsidRPr="00E028C5">
        <w:rPr>
          <w:i/>
          <w:iCs/>
          <w:lang w:val="es-ES_tradnl"/>
        </w:rPr>
        <w:t>space frequency block coding</w:t>
      </w:r>
      <w:r w:rsidRPr="00E028C5">
        <w:rPr>
          <w:lang w:val="es-ES_tradnl"/>
        </w:rPr>
        <w:t>)</w:t>
      </w:r>
    </w:p>
    <w:p w:rsidR="00E028C5" w:rsidRPr="00E028C5" w:rsidRDefault="00E028C5" w:rsidP="00CE2A82">
      <w:pPr>
        <w:ind w:left="1588" w:hanging="1588"/>
        <w:rPr>
          <w:lang w:val="es-ES_tradnl"/>
        </w:rPr>
      </w:pPr>
      <w:r w:rsidRPr="00E028C5">
        <w:rPr>
          <w:lang w:val="es-ES_tradnl"/>
        </w:rPr>
        <w:lastRenderedPageBreak/>
        <w:t>SISO</w:t>
      </w:r>
      <w:r w:rsidR="00CE2A82">
        <w:rPr>
          <w:lang w:val="es-ES_tradnl"/>
        </w:rPr>
        <w:tab/>
      </w:r>
      <w:r w:rsidR="00CE2A82">
        <w:rPr>
          <w:lang w:val="es-ES_tradnl"/>
        </w:rPr>
        <w:tab/>
      </w:r>
      <w:r w:rsidR="00CE2A82">
        <w:rPr>
          <w:lang w:val="es-ES_tradnl"/>
        </w:rPr>
        <w:tab/>
      </w:r>
      <w:r w:rsidRPr="00E028C5">
        <w:rPr>
          <w:lang w:val="es-ES_tradnl"/>
        </w:rPr>
        <w:t>Entrada única salida única (</w:t>
      </w:r>
      <w:r w:rsidRPr="00E028C5">
        <w:rPr>
          <w:i/>
          <w:lang w:val="es-ES_tradnl"/>
        </w:rPr>
        <w:t>single input single output</w:t>
      </w:r>
      <w:r w:rsidRPr="00E028C5">
        <w:rPr>
          <w:lang w:val="es-ES_tradnl"/>
        </w:rPr>
        <w:t xml:space="preserve">) </w:t>
      </w:r>
    </w:p>
    <w:p w:rsidR="00E028C5" w:rsidRPr="00E028C5" w:rsidRDefault="00E028C5" w:rsidP="00CE2A82">
      <w:pPr>
        <w:ind w:left="1588" w:hanging="1588"/>
        <w:rPr>
          <w:lang w:val="es-ES_tradnl"/>
        </w:rPr>
      </w:pPr>
      <w:r w:rsidRPr="00E028C5">
        <w:rPr>
          <w:lang w:val="es-ES_tradnl"/>
        </w:rPr>
        <w:t>SL</w:t>
      </w:r>
      <w:r w:rsidR="00CE2A82">
        <w:rPr>
          <w:lang w:val="es-ES_tradnl"/>
        </w:rPr>
        <w:tab/>
      </w:r>
      <w:r w:rsidR="00CE2A82">
        <w:rPr>
          <w:lang w:val="es-ES_tradnl"/>
        </w:rPr>
        <w:tab/>
      </w:r>
      <w:r w:rsidR="00CE2A82">
        <w:rPr>
          <w:lang w:val="es-ES_tradnl"/>
        </w:rPr>
        <w:tab/>
      </w:r>
      <w:r w:rsidRPr="00E028C5">
        <w:rPr>
          <w:lang w:val="es-ES_tradnl"/>
        </w:rPr>
        <w:t>Capa de seguridad/sesión/tren (</w:t>
      </w:r>
      <w:r w:rsidRPr="00E028C5">
        <w:rPr>
          <w:i/>
          <w:lang w:val="es-ES_tradnl"/>
        </w:rPr>
        <w:t>security</w:t>
      </w:r>
      <w:r w:rsidRPr="00E028C5">
        <w:rPr>
          <w:iCs/>
          <w:lang w:val="es-ES_tradnl"/>
        </w:rPr>
        <w:t>/</w:t>
      </w:r>
      <w:r w:rsidRPr="00E028C5">
        <w:rPr>
          <w:i/>
          <w:lang w:val="es-ES_tradnl"/>
        </w:rPr>
        <w:t>session</w:t>
      </w:r>
      <w:r w:rsidRPr="00E028C5">
        <w:rPr>
          <w:iCs/>
          <w:lang w:val="es-ES_tradnl"/>
        </w:rPr>
        <w:t>/</w:t>
      </w:r>
      <w:r w:rsidRPr="00E028C5">
        <w:rPr>
          <w:i/>
          <w:lang w:val="es-ES_tradnl"/>
        </w:rPr>
        <w:t>stream layer</w:t>
      </w:r>
      <w:r w:rsidRPr="00E028C5">
        <w:rPr>
          <w:lang w:val="es-ES_tradnl"/>
        </w:rPr>
        <w:t>)</w:t>
      </w:r>
    </w:p>
    <w:p w:rsidR="00E028C5" w:rsidRPr="00E028C5" w:rsidRDefault="00E028C5" w:rsidP="00CE2A82">
      <w:pPr>
        <w:ind w:left="1588" w:hanging="1588"/>
        <w:rPr>
          <w:lang w:val="es-ES_tradnl"/>
        </w:rPr>
      </w:pPr>
      <w:r w:rsidRPr="00E028C5">
        <w:rPr>
          <w:lang w:val="es-ES_tradnl"/>
        </w:rPr>
        <w:t>SM</w:t>
      </w:r>
      <w:r w:rsidR="00CE2A82">
        <w:rPr>
          <w:lang w:val="es-ES_tradnl"/>
        </w:rPr>
        <w:tab/>
      </w:r>
      <w:r w:rsidR="00CE2A82">
        <w:rPr>
          <w:lang w:val="es-ES_tradnl"/>
        </w:rPr>
        <w:tab/>
      </w:r>
      <w:r w:rsidR="00CE2A82">
        <w:rPr>
          <w:lang w:val="es-ES_tradnl"/>
        </w:rPr>
        <w:tab/>
      </w:r>
      <w:r w:rsidRPr="00E028C5">
        <w:rPr>
          <w:lang w:val="es-ES_tradnl"/>
        </w:rPr>
        <w:t>Multiplexación espacial (</w:t>
      </w:r>
      <w:r w:rsidRPr="00E028C5">
        <w:rPr>
          <w:i/>
          <w:lang w:val="es-ES_tradnl"/>
        </w:rPr>
        <w:t>spatial multiplexing</w:t>
      </w:r>
      <w:r w:rsidRPr="00E028C5">
        <w:rPr>
          <w:lang w:val="es-ES_tradnl"/>
        </w:rPr>
        <w:t>)</w:t>
      </w:r>
    </w:p>
    <w:p w:rsidR="00E028C5" w:rsidRPr="00E028C5" w:rsidRDefault="00E028C5" w:rsidP="00CE2A82">
      <w:pPr>
        <w:ind w:left="1588" w:hanging="1588"/>
        <w:rPr>
          <w:lang w:val="es-ES_tradnl"/>
        </w:rPr>
      </w:pPr>
      <w:r w:rsidRPr="00E028C5">
        <w:rPr>
          <w:lang w:val="es-ES_tradnl"/>
        </w:rPr>
        <w:t>SNP</w:t>
      </w:r>
      <w:r w:rsidR="00CE2A82">
        <w:rPr>
          <w:lang w:val="es-ES_tradnl"/>
        </w:rPr>
        <w:tab/>
      </w:r>
      <w:r w:rsidR="00CE2A82">
        <w:rPr>
          <w:lang w:val="es-ES_tradnl"/>
        </w:rPr>
        <w:tab/>
      </w:r>
      <w:r w:rsidR="00CE2A82">
        <w:rPr>
          <w:lang w:val="es-ES_tradnl"/>
        </w:rPr>
        <w:tab/>
      </w:r>
      <w:r w:rsidRPr="00E028C5">
        <w:rPr>
          <w:lang w:val="es-ES_tradnl"/>
        </w:rPr>
        <w:t>Protocolo de red de señalización (</w:t>
      </w:r>
      <w:r w:rsidRPr="00E028C5">
        <w:rPr>
          <w:i/>
          <w:iCs/>
          <w:lang w:val="es-ES_tradnl"/>
        </w:rPr>
        <w:t>signalling network protocol</w:t>
      </w:r>
      <w:r w:rsidRPr="00E028C5">
        <w:rPr>
          <w:lang w:val="es-ES_tradnl"/>
        </w:rPr>
        <w:t>)</w:t>
      </w:r>
    </w:p>
    <w:p w:rsidR="00E028C5" w:rsidRPr="00E028C5" w:rsidRDefault="00E028C5" w:rsidP="00CE2A82">
      <w:pPr>
        <w:ind w:left="1588" w:hanging="1588"/>
        <w:rPr>
          <w:lang w:val="es-ES_tradnl"/>
        </w:rPr>
      </w:pPr>
      <w:r w:rsidRPr="00E028C5">
        <w:rPr>
          <w:lang w:val="es-ES_tradnl"/>
        </w:rPr>
        <w:t>TCC</w:t>
      </w:r>
      <w:r w:rsidR="00CE2A82">
        <w:rPr>
          <w:lang w:val="es-ES_tradnl"/>
        </w:rPr>
        <w:tab/>
      </w:r>
      <w:r w:rsidR="00CE2A82">
        <w:rPr>
          <w:lang w:val="es-ES_tradnl"/>
        </w:rPr>
        <w:tab/>
      </w:r>
      <w:r w:rsidR="00CE2A82">
        <w:rPr>
          <w:lang w:val="es-ES_tradnl"/>
        </w:rPr>
        <w:tab/>
      </w:r>
      <w:r w:rsidRPr="00E028C5">
        <w:rPr>
          <w:lang w:val="es-ES_tradnl"/>
        </w:rPr>
        <w:t>Canales de código de tráfico (</w:t>
      </w:r>
      <w:r w:rsidRPr="00E028C5">
        <w:rPr>
          <w:i/>
          <w:iCs/>
          <w:lang w:val="es-ES_tradnl"/>
        </w:rPr>
        <w:t>traffic code channels</w:t>
      </w:r>
      <w:r w:rsidRPr="00E028C5">
        <w:rPr>
          <w:lang w:val="es-ES_tradnl"/>
        </w:rPr>
        <w:t>)</w:t>
      </w:r>
    </w:p>
    <w:p w:rsidR="00E028C5" w:rsidRPr="00E028C5" w:rsidRDefault="00E028C5" w:rsidP="00CE2A82">
      <w:pPr>
        <w:ind w:left="1588" w:hanging="1588"/>
        <w:rPr>
          <w:lang w:val="es-ES_tradnl"/>
        </w:rPr>
      </w:pPr>
      <w:r w:rsidRPr="00E028C5">
        <w:rPr>
          <w:lang w:val="es-ES_tradnl"/>
        </w:rPr>
        <w:t>TTA</w:t>
      </w:r>
      <w:r w:rsidR="00CE2A82">
        <w:rPr>
          <w:lang w:val="es-ES_tradnl"/>
        </w:rPr>
        <w:tab/>
      </w:r>
      <w:r w:rsidR="00CE2A82">
        <w:rPr>
          <w:lang w:val="es-ES_tradnl"/>
        </w:rPr>
        <w:tab/>
      </w:r>
      <w:r w:rsidR="00CE2A82">
        <w:rPr>
          <w:lang w:val="es-ES_tradnl"/>
        </w:rPr>
        <w:tab/>
      </w:r>
      <w:r w:rsidRPr="00E028C5">
        <w:rPr>
          <w:lang w:val="es-ES_tradnl"/>
        </w:rPr>
        <w:t>Asociación de Tecnologías de Telecomunicación (</w:t>
      </w:r>
      <w:r w:rsidRPr="00E028C5">
        <w:rPr>
          <w:i/>
          <w:lang w:val="es-ES_tradnl"/>
        </w:rPr>
        <w:t>Telecommunications Technology Association</w:t>
      </w:r>
      <w:r w:rsidRPr="00E028C5">
        <w:rPr>
          <w:lang w:val="es-ES_tradnl"/>
        </w:rPr>
        <w:t>)</w:t>
      </w:r>
    </w:p>
    <w:p w:rsidR="00E028C5" w:rsidRPr="00E028C5" w:rsidRDefault="00E028C5" w:rsidP="00CE2A82">
      <w:pPr>
        <w:ind w:left="1588" w:hanging="1588"/>
        <w:rPr>
          <w:lang w:val="es-ES_tradnl"/>
        </w:rPr>
      </w:pPr>
      <w:r w:rsidRPr="00E028C5">
        <w:rPr>
          <w:lang w:val="es-ES_tradnl"/>
        </w:rPr>
        <w:t>TTI</w:t>
      </w:r>
      <w:r w:rsidR="00CE2A82">
        <w:rPr>
          <w:lang w:val="es-ES_tradnl"/>
        </w:rPr>
        <w:tab/>
      </w:r>
      <w:r w:rsidR="00CE2A82">
        <w:rPr>
          <w:lang w:val="es-ES_tradnl"/>
        </w:rPr>
        <w:tab/>
      </w:r>
      <w:r w:rsidR="00CE2A82">
        <w:rPr>
          <w:lang w:val="es-ES_tradnl"/>
        </w:rPr>
        <w:tab/>
      </w:r>
      <w:r w:rsidRPr="00E028C5">
        <w:rPr>
          <w:lang w:val="es-ES_tradnl"/>
        </w:rPr>
        <w:t>Intervalo de tiempo de trasmisión (</w:t>
      </w:r>
      <w:r w:rsidRPr="00E028C5">
        <w:rPr>
          <w:i/>
          <w:iCs/>
          <w:lang w:val="es-ES_tradnl"/>
        </w:rPr>
        <w:t>trasmisision time interval</w:t>
      </w:r>
      <w:r w:rsidRPr="00E028C5">
        <w:rPr>
          <w:lang w:val="es-ES_tradnl"/>
        </w:rPr>
        <w:t>)</w:t>
      </w:r>
    </w:p>
    <w:p w:rsidR="00E028C5" w:rsidRPr="00E028C5" w:rsidRDefault="00E028C5" w:rsidP="00CE2A82">
      <w:pPr>
        <w:ind w:left="1588" w:hanging="1588"/>
        <w:rPr>
          <w:lang w:val="es-ES_tradnl"/>
        </w:rPr>
      </w:pPr>
      <w:r w:rsidRPr="00E028C5">
        <w:rPr>
          <w:lang w:val="es-ES_tradnl"/>
        </w:rPr>
        <w:t>U-plane</w:t>
      </w:r>
      <w:r w:rsidR="00CE2A82">
        <w:rPr>
          <w:lang w:val="es-ES_tradnl"/>
        </w:rPr>
        <w:tab/>
      </w:r>
      <w:r w:rsidR="00CE2A82">
        <w:rPr>
          <w:lang w:val="es-ES_tradnl"/>
        </w:rPr>
        <w:tab/>
      </w:r>
      <w:r w:rsidR="00CE2A82">
        <w:rPr>
          <w:lang w:val="es-ES_tradnl"/>
        </w:rPr>
        <w:tab/>
      </w:r>
      <w:r w:rsidRPr="00E028C5">
        <w:rPr>
          <w:lang w:val="es-ES_tradnl"/>
        </w:rPr>
        <w:t xml:space="preserve">Plano de usuario </w:t>
      </w:r>
      <w:r w:rsidRPr="00E028C5">
        <w:rPr>
          <w:color w:val="000000"/>
          <w:lang w:val="es-ES_tradnl"/>
        </w:rPr>
        <w:t>(</w:t>
      </w:r>
      <w:r w:rsidRPr="00E028C5">
        <w:rPr>
          <w:i/>
          <w:iCs/>
          <w:color w:val="000000"/>
          <w:lang w:val="es-ES_tradnl"/>
        </w:rPr>
        <w:t>user plane</w:t>
      </w:r>
      <w:r w:rsidRPr="00E028C5">
        <w:rPr>
          <w:color w:val="000000"/>
          <w:lang w:val="es-ES_tradnl"/>
        </w:rPr>
        <w:t>)</w:t>
      </w:r>
    </w:p>
    <w:p w:rsidR="00E028C5" w:rsidRPr="00E028C5" w:rsidRDefault="00E028C5" w:rsidP="00CE2A82">
      <w:pPr>
        <w:ind w:left="1588" w:hanging="1588"/>
        <w:rPr>
          <w:lang w:val="es-ES_tradnl"/>
        </w:rPr>
      </w:pPr>
      <w:r w:rsidRPr="00E028C5">
        <w:rPr>
          <w:lang w:val="es-ES_tradnl"/>
        </w:rPr>
        <w:t>WiBro</w:t>
      </w:r>
      <w:r w:rsidR="00CE2A82">
        <w:rPr>
          <w:lang w:val="es-ES_tradnl"/>
        </w:rPr>
        <w:tab/>
      </w:r>
      <w:r w:rsidR="00CE2A82">
        <w:rPr>
          <w:lang w:val="es-ES_tradnl"/>
        </w:rPr>
        <w:tab/>
      </w:r>
      <w:r w:rsidR="00CE2A82">
        <w:rPr>
          <w:lang w:val="es-ES_tradnl"/>
        </w:rPr>
        <w:tab/>
      </w:r>
      <w:r w:rsidRPr="00E028C5">
        <w:rPr>
          <w:lang w:val="es-ES_tradnl"/>
        </w:rPr>
        <w:t>Banda ancha inalámbrica (</w:t>
      </w:r>
      <w:r w:rsidRPr="00E028C5">
        <w:rPr>
          <w:i/>
          <w:lang w:val="es-ES_tradnl"/>
        </w:rPr>
        <w:t>wíreles broadband</w:t>
      </w:r>
      <w:r w:rsidRPr="00E028C5">
        <w:rPr>
          <w:lang w:val="es-ES_tradnl"/>
        </w:rPr>
        <w:t>)</w:t>
      </w:r>
    </w:p>
    <w:p w:rsidR="00E028C5" w:rsidRPr="00E028C5" w:rsidRDefault="00E028C5" w:rsidP="00CE2A82">
      <w:pPr>
        <w:ind w:left="1588" w:hanging="1588"/>
        <w:rPr>
          <w:lang w:val="es-ES_tradnl"/>
        </w:rPr>
      </w:pPr>
      <w:r w:rsidRPr="00E028C5">
        <w:rPr>
          <w:lang w:val="es-ES_tradnl"/>
        </w:rPr>
        <w:t>WirelessMAN</w:t>
      </w:r>
      <w:r w:rsidR="00CE2A82">
        <w:rPr>
          <w:lang w:val="es-ES_tradnl"/>
        </w:rPr>
        <w:tab/>
      </w:r>
      <w:r w:rsidRPr="00E028C5">
        <w:rPr>
          <w:lang w:val="es-ES_tradnl"/>
        </w:rPr>
        <w:t>Red inalámbrica de área metropolitana (</w:t>
      </w:r>
      <w:r w:rsidRPr="00E028C5">
        <w:rPr>
          <w:i/>
          <w:iCs/>
          <w:lang w:val="es-ES_tradnl"/>
        </w:rPr>
        <w:t>wireless metropolitan area network</w:t>
      </w:r>
      <w:r w:rsidRPr="00E028C5">
        <w:rPr>
          <w:lang w:val="es-ES_tradnl"/>
        </w:rPr>
        <w:t>)</w:t>
      </w:r>
    </w:p>
    <w:p w:rsidR="00E028C5" w:rsidRPr="00E028C5" w:rsidRDefault="00E028C5" w:rsidP="00CE2A82">
      <w:pPr>
        <w:ind w:left="1588" w:hanging="1588"/>
        <w:rPr>
          <w:lang w:val="es-ES_tradnl"/>
        </w:rPr>
      </w:pPr>
      <w:r w:rsidRPr="00E028C5">
        <w:rPr>
          <w:lang w:val="es-ES_tradnl"/>
        </w:rPr>
        <w:t>WTSC</w:t>
      </w:r>
      <w:r w:rsidR="00CE2A82">
        <w:rPr>
          <w:lang w:val="es-ES_tradnl"/>
        </w:rPr>
        <w:tab/>
      </w:r>
      <w:r w:rsidR="00CE2A82">
        <w:rPr>
          <w:lang w:val="es-ES_tradnl"/>
        </w:rPr>
        <w:tab/>
      </w:r>
      <w:r w:rsidR="00CE2A82">
        <w:rPr>
          <w:lang w:val="es-ES_tradnl"/>
        </w:rPr>
        <w:tab/>
      </w:r>
      <w:r w:rsidRPr="00E028C5">
        <w:rPr>
          <w:lang w:val="es-ES_tradnl"/>
        </w:rPr>
        <w:t>Comité de tecnologías y sistemas inalámbricos (</w:t>
      </w:r>
      <w:r w:rsidRPr="00E028C5">
        <w:rPr>
          <w:i/>
          <w:iCs/>
          <w:lang w:val="es-ES_tradnl"/>
        </w:rPr>
        <w:t>wireless technologies and systems committee</w:t>
      </w:r>
      <w:r w:rsidRPr="00E028C5">
        <w:rPr>
          <w:iCs/>
          <w:lang w:val="es-ES_tradnl"/>
        </w:rPr>
        <w:t>)</w:t>
      </w:r>
    </w:p>
    <w:p w:rsidR="00E028C5" w:rsidRPr="00E028C5" w:rsidRDefault="00E028C5" w:rsidP="00CE2A82">
      <w:pPr>
        <w:ind w:left="1588" w:hanging="1588"/>
        <w:rPr>
          <w:lang w:val="es-ES_tradnl"/>
        </w:rPr>
      </w:pPr>
      <w:r w:rsidRPr="00E028C5">
        <w:rPr>
          <w:lang w:val="es-ES_tradnl"/>
        </w:rPr>
        <w:t>WWINA</w:t>
      </w:r>
      <w:r w:rsidR="00CE2A82">
        <w:rPr>
          <w:lang w:val="es-ES_tradnl"/>
        </w:rPr>
        <w:tab/>
      </w:r>
      <w:r w:rsidR="00CE2A82">
        <w:rPr>
          <w:lang w:val="es-ES_tradnl"/>
        </w:rPr>
        <w:tab/>
      </w:r>
      <w:r w:rsidRPr="00E028C5">
        <w:rPr>
          <w:lang w:val="es-ES_tradnl"/>
        </w:rPr>
        <w:t>Acceso inalámbrico a Internet de banda ancha (</w:t>
      </w:r>
      <w:r w:rsidRPr="00E028C5">
        <w:rPr>
          <w:i/>
          <w:iCs/>
          <w:lang w:val="es-ES_tradnl"/>
        </w:rPr>
        <w:t>wireless wideband Internet access</w:t>
      </w:r>
      <w:r w:rsidRPr="00E028C5">
        <w:rPr>
          <w:lang w:val="es-ES_tradnl"/>
        </w:rPr>
        <w:t>)</w:t>
      </w:r>
    </w:p>
    <w:p w:rsidR="00E028C5" w:rsidRPr="00E028C5" w:rsidRDefault="00E028C5" w:rsidP="00CE2A82">
      <w:pPr>
        <w:ind w:left="1588" w:hanging="1588"/>
        <w:rPr>
          <w:lang w:val="es-ES_tradnl"/>
        </w:rPr>
      </w:pPr>
      <w:r w:rsidRPr="00E028C5">
        <w:rPr>
          <w:lang w:val="es-ES_tradnl"/>
        </w:rPr>
        <w:t>XGP</w:t>
      </w:r>
      <w:r w:rsidR="00CE2A82">
        <w:rPr>
          <w:lang w:val="es-ES_tradnl"/>
        </w:rPr>
        <w:tab/>
      </w:r>
      <w:r w:rsidR="00CE2A82">
        <w:rPr>
          <w:lang w:val="es-ES_tradnl"/>
        </w:rPr>
        <w:tab/>
      </w:r>
      <w:r w:rsidR="00CE2A82">
        <w:rPr>
          <w:lang w:val="es-ES_tradnl"/>
        </w:rPr>
        <w:tab/>
      </w:r>
      <w:r w:rsidRPr="00E028C5">
        <w:rPr>
          <w:lang w:val="es-ES_tradnl"/>
        </w:rPr>
        <w:t>Plataforma global extendida (</w:t>
      </w:r>
      <w:r w:rsidRPr="00E028C5">
        <w:rPr>
          <w:i/>
          <w:lang w:val="es-ES_tradnl"/>
        </w:rPr>
        <w:t>eXtended global platform</w:t>
      </w:r>
      <w:r w:rsidRPr="00E028C5">
        <w:rPr>
          <w:lang w:val="es-ES_tradnl"/>
        </w:rPr>
        <w:t>)</w:t>
      </w:r>
    </w:p>
    <w:p w:rsidR="00E028C5" w:rsidRPr="00E028C5" w:rsidRDefault="00E028C5" w:rsidP="00CE2A82">
      <w:pPr>
        <w:pStyle w:val="Heading1"/>
        <w:rPr>
          <w:lang w:val="es-ES_tradnl"/>
        </w:rPr>
      </w:pPr>
      <w:r w:rsidRPr="00E028C5">
        <w:rPr>
          <w:lang w:val="es-ES_tradnl"/>
        </w:rPr>
        <w:t>5</w:t>
      </w:r>
      <w:r w:rsidRPr="00E028C5">
        <w:rPr>
          <w:lang w:val="es-ES_tradnl"/>
        </w:rPr>
        <w:tab/>
        <w:t>Observando</w:t>
      </w:r>
    </w:p>
    <w:p w:rsidR="00E028C5" w:rsidRPr="00E028C5" w:rsidRDefault="00E028C5" w:rsidP="00E028C5">
      <w:pPr>
        <w:rPr>
          <w:lang w:val="es-ES_tradnl"/>
        </w:rPr>
      </w:pPr>
      <w:r w:rsidRPr="00E028C5">
        <w:rPr>
          <w:lang w:val="es-ES_tradnl"/>
        </w:rPr>
        <w:t>La Recomendación UIT-R F.1763 recomienda normas de interfaz radioeléctrica para sistemas de acceso inalámbrico de banda ancha en el servicio fijo que funcionan por debajo de 66 GHz.</w:t>
      </w:r>
    </w:p>
    <w:p w:rsidR="00E028C5" w:rsidRPr="00376F4F" w:rsidRDefault="00E028C5" w:rsidP="00E028C5">
      <w:pPr>
        <w:pStyle w:val="Normalaftertitle0"/>
        <w:rPr>
          <w:lang w:val="es-ES_tradnl"/>
        </w:rPr>
      </w:pPr>
      <w:r w:rsidRPr="00376F4F">
        <w:rPr>
          <w:lang w:val="es-ES_tradnl"/>
        </w:rPr>
        <w:t xml:space="preserve">La Asamblea de Radiocomunicaciones de la UIT, </w:t>
      </w:r>
    </w:p>
    <w:p w:rsidR="00E028C5" w:rsidRPr="00E028C5" w:rsidRDefault="00E028C5" w:rsidP="00E028C5">
      <w:pPr>
        <w:pStyle w:val="Call"/>
        <w:rPr>
          <w:lang w:val="es-ES_tradnl"/>
        </w:rPr>
      </w:pPr>
      <w:r w:rsidRPr="00E028C5">
        <w:rPr>
          <w:lang w:val="es-ES_tradnl"/>
        </w:rPr>
        <w:t>recomienda</w:t>
      </w:r>
    </w:p>
    <w:p w:rsidR="00E028C5" w:rsidRPr="00E028C5" w:rsidRDefault="00E028C5" w:rsidP="00E028C5">
      <w:pPr>
        <w:rPr>
          <w:lang w:val="es-ES_tradnl"/>
        </w:rPr>
      </w:pPr>
      <w:r w:rsidRPr="00E028C5">
        <w:rPr>
          <w:lang w:val="es-ES_tradnl"/>
        </w:rPr>
        <w:t>la utilización de las normas de interfaz radioeléctrica de los Anexos 1 a 8 para sistemas de acceso inalámbrico de banda ancha (BWA) del servicio móvil que funcionan por debajo de 6 GHz.</w:t>
      </w:r>
    </w:p>
    <w:p w:rsidR="00E028C5" w:rsidRPr="00E028C5" w:rsidRDefault="00E028C5" w:rsidP="00E028C5">
      <w:pPr>
        <w:rPr>
          <w:lang w:val="es-ES_tradnl"/>
        </w:rPr>
      </w:pPr>
      <w:r w:rsidRPr="00E028C5">
        <w:rPr>
          <w:lang w:val="es-ES_tradnl"/>
        </w:rPr>
        <w:t xml:space="preserve">NOTA 1 – El Anexo 9 proporciona un resumen de las características de las normas que figuran en los Anexos </w:t>
      </w:r>
      <w:smartTag w:uri="urn:schemas-microsoft-com:office:smarttags" w:element="metricconverter">
        <w:smartTagPr>
          <w:attr w:name="ProductID" w:val="1 a"/>
        </w:smartTagPr>
        <w:r w:rsidRPr="00E028C5">
          <w:rPr>
            <w:lang w:val="es-ES_tradnl"/>
          </w:rPr>
          <w:t>1 a</w:t>
        </w:r>
      </w:smartTag>
      <w:r w:rsidRPr="00E028C5">
        <w:rPr>
          <w:lang w:val="es-ES_tradnl"/>
        </w:rPr>
        <w:t xml:space="preserve"> 8.</w:t>
      </w:r>
    </w:p>
    <w:p w:rsidR="00E028C5" w:rsidRPr="00E028C5" w:rsidRDefault="00E028C5" w:rsidP="00E028C5">
      <w:pPr>
        <w:pStyle w:val="AnnexNoTitle"/>
        <w:rPr>
          <w:lang w:val="es-ES_tradnl"/>
        </w:rPr>
      </w:pPr>
      <w:r w:rsidRPr="00E028C5">
        <w:rPr>
          <w:lang w:val="es-ES_tradnl"/>
        </w:rPr>
        <w:lastRenderedPageBreak/>
        <w:t>Anexo 1</w:t>
      </w:r>
      <w:r w:rsidRPr="00E028C5">
        <w:rPr>
          <w:lang w:val="es-ES_tradnl"/>
        </w:rPr>
        <w:br/>
      </w:r>
      <w:r w:rsidRPr="00E028C5">
        <w:rPr>
          <w:lang w:val="es-ES_tradnl"/>
        </w:rPr>
        <w:br/>
        <w:t>Redes radioeléctricas de área local de banda ancha</w:t>
      </w:r>
    </w:p>
    <w:p w:rsidR="00E028C5" w:rsidRPr="00E028C5" w:rsidRDefault="00E028C5" w:rsidP="00424DE9">
      <w:pPr>
        <w:pStyle w:val="Normalaftertitle"/>
        <w:keepNext/>
        <w:keepLines/>
        <w:rPr>
          <w:lang w:val="es-ES_tradnl"/>
        </w:rPr>
      </w:pPr>
      <w:r w:rsidRPr="00E028C5">
        <w:rPr>
          <w:lang w:val="es-ES_tradnl"/>
        </w:rPr>
        <w:t>Las redes radioeléctricas de área local (RLAN) constituyen una ampliación de las LAN de cable que utilizan medios radioeléctricos para la conexión. Tienen aplicación en entornos comerciales en los que se pueden lograr grandes ahorros tanto de coste como de tiempo en la instalación de una red; en entornos del hogar en los que proporcionan conectividad barata y flexible a múltiples ordenadores domésticos y en entornos universitarios y públicos en los que cada vez se utilizan más ordenadores portátiles tanto para los negocios como para uso personal, mientras se viaja o por el aumento de las prácticas de trabajo flexibles, por ejemplo, trabajadores nómadas que utilizan ordenadores personales no sólo en la oficina y en casa, sino también en hoteles, centros de conferencias, aeropuertos, trenes, aviones y automóviles. En resumen, están destinados principalmente a aplicaciones de acceso inalámbrico nómada en lo que respecta al punto de acceso (por ejemplo, cuando el usuario está moviéndose en un vehículo el punto de acceso también es el vehículo).</w:t>
      </w:r>
    </w:p>
    <w:p w:rsidR="00E028C5" w:rsidRPr="00E028C5" w:rsidRDefault="00E028C5" w:rsidP="00456C44">
      <w:pPr>
        <w:rPr>
          <w:lang w:val="es-ES_tradnl"/>
        </w:rPr>
      </w:pPr>
      <w:r w:rsidRPr="00E028C5">
        <w:rPr>
          <w:lang w:val="es-ES_tradnl"/>
        </w:rPr>
        <w:t>Las normas para redes radioeléctricas de área local de banda ancha figuran en la Recomendación UIT</w:t>
      </w:r>
      <w:r w:rsidR="00456C44">
        <w:rPr>
          <w:lang w:val="es-ES_tradnl"/>
        </w:rPr>
        <w:noBreakHyphen/>
      </w:r>
      <w:r w:rsidRPr="00E028C5">
        <w:rPr>
          <w:lang w:val="es-ES_tradnl"/>
        </w:rPr>
        <w:t>R</w:t>
      </w:r>
      <w:r w:rsidR="00456C44">
        <w:rPr>
          <w:lang w:val="es-ES_tradnl"/>
        </w:rPr>
        <w:t> </w:t>
      </w:r>
      <w:r w:rsidRPr="00E028C5">
        <w:rPr>
          <w:lang w:val="es-ES_tradnl"/>
        </w:rPr>
        <w:t>M.1450 y se pueden agrupar de la forma siguiente:</w:t>
      </w:r>
    </w:p>
    <w:p w:rsidR="00E028C5" w:rsidRPr="00E028C5" w:rsidRDefault="00E028C5" w:rsidP="00E028C5">
      <w:pPr>
        <w:pStyle w:val="enumlev1"/>
        <w:rPr>
          <w:lang w:val="es-ES_tradnl"/>
        </w:rPr>
      </w:pPr>
      <w:r w:rsidRPr="00E028C5">
        <w:rPr>
          <w:lang w:val="es-ES_tradnl"/>
        </w:rPr>
        <w:t>–</w:t>
      </w:r>
      <w:r w:rsidRPr="00E028C5">
        <w:rPr>
          <w:lang w:val="es-ES_tradnl"/>
        </w:rPr>
        <w:tab/>
        <w:t>IEEE 802.11</w:t>
      </w:r>
    </w:p>
    <w:p w:rsidR="00E028C5" w:rsidRPr="00E028C5" w:rsidRDefault="00E028C5" w:rsidP="00E028C5">
      <w:pPr>
        <w:pStyle w:val="enumlev1"/>
        <w:rPr>
          <w:lang w:val="es-ES_tradnl"/>
        </w:rPr>
      </w:pPr>
      <w:r w:rsidRPr="00E028C5">
        <w:rPr>
          <w:lang w:val="es-ES_tradnl"/>
        </w:rPr>
        <w:t>–</w:t>
      </w:r>
      <w:r w:rsidRPr="00E028C5">
        <w:rPr>
          <w:lang w:val="es-ES_tradnl"/>
        </w:rPr>
        <w:tab/>
        <w:t>ETSI BRAN HIPERLAN</w:t>
      </w:r>
    </w:p>
    <w:p w:rsidR="00E028C5" w:rsidRPr="00E028C5" w:rsidRDefault="00E028C5" w:rsidP="00E028C5">
      <w:pPr>
        <w:pStyle w:val="enumlev1"/>
        <w:rPr>
          <w:lang w:val="es-ES_tradnl"/>
        </w:rPr>
      </w:pPr>
      <w:r w:rsidRPr="00E028C5">
        <w:rPr>
          <w:lang w:val="es-ES_tradnl"/>
        </w:rPr>
        <w:t>–</w:t>
      </w:r>
      <w:r w:rsidRPr="00E028C5">
        <w:rPr>
          <w:lang w:val="es-ES_tradnl"/>
        </w:rPr>
        <w:tab/>
        <w:t>ARIB HiSWANa</w:t>
      </w:r>
      <w:r w:rsidR="00456C44">
        <w:rPr>
          <w:lang w:val="es-ES_tradnl"/>
        </w:rPr>
        <w:t>.</w:t>
      </w:r>
    </w:p>
    <w:p w:rsidR="00E028C5" w:rsidRPr="00E028C5" w:rsidRDefault="00E028C5" w:rsidP="00E028C5">
      <w:pPr>
        <w:pStyle w:val="Heading1"/>
        <w:rPr>
          <w:lang w:val="es-ES_tradnl"/>
        </w:rPr>
      </w:pPr>
      <w:r w:rsidRPr="00E028C5">
        <w:rPr>
          <w:lang w:val="es-ES_tradnl"/>
        </w:rPr>
        <w:t>1</w:t>
      </w:r>
      <w:r w:rsidRPr="00E028C5">
        <w:rPr>
          <w:lang w:val="es-ES_tradnl"/>
        </w:rPr>
        <w:tab/>
        <w:t>IEEE 802.11</w:t>
      </w:r>
    </w:p>
    <w:p w:rsidR="00E028C5" w:rsidRPr="00E028C5" w:rsidRDefault="00E028C5" w:rsidP="009652B2">
      <w:pPr>
        <w:rPr>
          <w:lang w:val="es-ES_tradnl"/>
        </w:rPr>
      </w:pPr>
      <w:r w:rsidRPr="00E028C5">
        <w:rPr>
          <w:bCs/>
          <w:lang w:val="es-ES_tradnl"/>
        </w:rPr>
        <w:t>El Grupo de trabajo IEEE 802.11</w:t>
      </w:r>
      <w:r w:rsidR="009652B2" w:rsidRPr="009652B2">
        <w:rPr>
          <w:lang w:val="es-ES_tradnl"/>
        </w:rPr>
        <w:t>™</w:t>
      </w:r>
      <w:r w:rsidRPr="004F7A87">
        <w:rPr>
          <w:lang w:val="es-ES_tradnl"/>
        </w:rPr>
        <w:t xml:space="preserve"> </w:t>
      </w:r>
      <w:r w:rsidRPr="00E028C5">
        <w:rPr>
          <w:lang w:val="es-ES_tradnl"/>
        </w:rPr>
        <w:t>ha desarrollado un conjunto de normas para las RLAN, 802.11</w:t>
      </w:r>
      <w:r w:rsidRPr="00E028C5">
        <w:rPr>
          <w:lang w:val="es-ES_tradnl"/>
        </w:rPr>
        <w:noBreakHyphen/>
        <w:t>2012, que forman parte de la serie de normas IEEE 802 para redes de área local y metropolitana. La unidad de control de acceso al medio (MAC) de la norma IEEE 802.11 está concebida para soportar unidades de capa física que se puedan adoptar en función de la disponibilidad de espectro. La norma IEEE 802.11 funciona en la banda</w:t>
      </w:r>
      <w:r w:rsidR="009652B2">
        <w:rPr>
          <w:lang w:val="es-ES_tradnl"/>
        </w:rPr>
        <w:t xml:space="preserve"> </w:t>
      </w:r>
      <w:r w:rsidRPr="00E028C5">
        <w:rPr>
          <w:lang w:val="es-ES_tradnl"/>
        </w:rPr>
        <w:t>2 400-2 500 MHz y en bandas incluidas en 3 650</w:t>
      </w:r>
      <w:r w:rsidRPr="00E028C5">
        <w:rPr>
          <w:lang w:val="es-ES_tradnl"/>
        </w:rPr>
        <w:noBreakHyphen/>
        <w:t>3 700 MHz, 4,94-4,99 GHz, 5,03</w:t>
      </w:r>
      <w:r w:rsidRPr="00E028C5">
        <w:rPr>
          <w:lang w:val="es-ES_tradnl"/>
        </w:rPr>
        <w:noBreakHyphen/>
        <w:t>5,091 GHz, 5,15</w:t>
      </w:r>
      <w:r w:rsidRPr="00E028C5">
        <w:rPr>
          <w:lang w:val="es-ES_tradnl"/>
        </w:rPr>
        <w:noBreakHyphen/>
        <w:t>5,25 GHz, 5,25</w:t>
      </w:r>
      <w:r w:rsidRPr="00E028C5">
        <w:rPr>
          <w:lang w:val="es-ES_tradnl"/>
        </w:rPr>
        <w:noBreakHyphen/>
        <w:t>5,35 GHz, 5,47</w:t>
      </w:r>
      <w:r w:rsidRPr="00E028C5">
        <w:rPr>
          <w:lang w:val="es-ES_tradnl"/>
        </w:rPr>
        <w:noBreakHyphen/>
        <w:t>5,725 GHz y 5,725</w:t>
      </w:r>
      <w:r w:rsidRPr="00E028C5">
        <w:rPr>
          <w:lang w:val="es-ES_tradnl"/>
        </w:rPr>
        <w:noBreakHyphen/>
        <w:t>5,850 GHz. La norma 802.11 utiliza la técnica de espectro ensanchado por salto de frecuencia (FHSS), la técnica de espectro ensanchado de secuencia directa (DSSS), la técnica de multiplexación por división de frecuencia ortogonal (MDFO) y la técnica entrada múltiple/salida múltiple (MIMO).</w:t>
      </w:r>
    </w:p>
    <w:p w:rsidR="00E028C5" w:rsidRPr="00E028C5" w:rsidRDefault="00E028C5" w:rsidP="00E028C5">
      <w:pPr>
        <w:rPr>
          <w:lang w:val="es-ES_tradnl"/>
        </w:rPr>
      </w:pPr>
      <w:r w:rsidRPr="00E028C5">
        <w:rPr>
          <w:lang w:val="es-ES_tradnl"/>
        </w:rPr>
        <w:t>Las modificaciones a la norma básica IEEE 802.11-2012 aprobadas incluyen la priorización de las tramas de gestión (IEEE 802.11ac) y flujo continuo de audio-vídeo robusto (IEEE 802.11aa).</w:t>
      </w:r>
    </w:p>
    <w:p w:rsidR="00E028C5" w:rsidRPr="00E028C5" w:rsidRDefault="00E028C5" w:rsidP="00E028C5">
      <w:pPr>
        <w:rPr>
          <w:lang w:val="es-ES_tradnl"/>
        </w:rPr>
      </w:pPr>
      <w:r w:rsidRPr="00E028C5">
        <w:rPr>
          <w:lang w:val="es-ES_tradnl"/>
        </w:rPr>
        <w:t xml:space="preserve">La URL del grupo de trabajo IEEE 802.11 es </w:t>
      </w:r>
      <w:hyperlink r:id="rId17" w:history="1">
        <w:r w:rsidRPr="00E028C5">
          <w:rPr>
            <w:rStyle w:val="Hyperlink"/>
            <w:lang w:val="es-ES_tradnl"/>
          </w:rPr>
          <w:t>http://www.ieee802.org/11</w:t>
        </w:r>
      </w:hyperlink>
      <w:r w:rsidRPr="00E028C5">
        <w:rPr>
          <w:lang w:val="es-ES_tradnl"/>
        </w:rPr>
        <w:t>. La norma IEEE 802.11</w:t>
      </w:r>
      <w:r w:rsidRPr="00E028C5">
        <w:rPr>
          <w:lang w:val="es-ES_tradnl"/>
        </w:rPr>
        <w:noBreakHyphen/>
        <w:t xml:space="preserve">2012 y sus modificaciones están disponibles sin coste mediante el programa Get IEEE 802™ en </w:t>
      </w:r>
      <w:hyperlink r:id="rId18" w:history="1">
        <w:r w:rsidRPr="00E028C5">
          <w:rPr>
            <w:rStyle w:val="Hyperlink"/>
            <w:lang w:val="es-ES_tradnl"/>
          </w:rPr>
          <w:t>http://standards.ieee.org/about/get</w:t>
        </w:r>
      </w:hyperlink>
      <w:r w:rsidRPr="00E028C5">
        <w:rPr>
          <w:lang w:val="es-ES_tradnl"/>
        </w:rPr>
        <w:t xml:space="preserve">, y las futuras modificaciones estarán también disponibles sin coste durante los seis meses siguientes a su publicación. Las modificaciones aprobadas y los proyectos de modificación pueden adquirirse en </w:t>
      </w:r>
      <w:hyperlink r:id="rId19" w:history="1">
        <w:r w:rsidRPr="00E028C5">
          <w:rPr>
            <w:rStyle w:val="Hyperlink"/>
            <w:lang w:val="es-ES_tradnl"/>
          </w:rPr>
          <w:t>http://www.techstreet.com/ieeegate</w:t>
        </w:r>
      </w:hyperlink>
      <w:r w:rsidRPr="00E028C5">
        <w:rPr>
          <w:lang w:val="es-ES_tradnl"/>
        </w:rPr>
        <w:t>.</w:t>
      </w:r>
    </w:p>
    <w:p w:rsidR="00E028C5" w:rsidRPr="00E028C5" w:rsidRDefault="00E028C5" w:rsidP="00E028C5">
      <w:pPr>
        <w:pStyle w:val="Heading1"/>
        <w:rPr>
          <w:lang w:val="es-ES_tradnl"/>
        </w:rPr>
      </w:pPr>
      <w:r w:rsidRPr="00E028C5">
        <w:rPr>
          <w:lang w:val="es-ES_tradnl"/>
        </w:rPr>
        <w:t>2</w:t>
      </w:r>
      <w:r w:rsidRPr="00E028C5">
        <w:rPr>
          <w:lang w:val="es-ES_tradnl"/>
        </w:rPr>
        <w:tab/>
        <w:t>ETSI BRAN HIPERLAN</w:t>
      </w:r>
    </w:p>
    <w:p w:rsidR="00E028C5" w:rsidRPr="00E028C5" w:rsidRDefault="00E028C5" w:rsidP="00424DE9">
      <w:pPr>
        <w:rPr>
          <w:lang w:val="es-ES_tradnl"/>
        </w:rPr>
      </w:pPr>
      <w:r w:rsidRPr="00E028C5">
        <w:rPr>
          <w:lang w:val="es-ES_tradnl"/>
        </w:rPr>
        <w:t>Las especificaciones HiperLAN 2 fueron desarrolladas por el Comité Técnico ETSI TC BRAN (</w:t>
      </w:r>
      <w:r w:rsidRPr="00E028C5">
        <w:rPr>
          <w:i/>
          <w:iCs/>
          <w:lang w:val="es-ES_tradnl"/>
        </w:rPr>
        <w:t>broadband radio access networks</w:t>
      </w:r>
      <w:r w:rsidRPr="00E028C5">
        <w:rPr>
          <w:lang w:val="es-ES_tradnl"/>
        </w:rPr>
        <w:t>). HiperLAN 2 es una norma RLAN flexible, diseñada para proporcionar acceso de alta velocidad de hasta 54 Mbit/s en la capa física (PHY) a diversas redes, incluidas las redes basadas en el protocolo Internet (IP) utilizadas normalmente para sistemas RLAN. Se especifican capas de convergencia que proporcionan su interfuncionamiento con Ethernet, IEEE</w:t>
      </w:r>
      <w:r w:rsidR="00424DE9">
        <w:rPr>
          <w:lang w:val="es-ES_tradnl"/>
        </w:rPr>
        <w:t> </w:t>
      </w:r>
      <w:r w:rsidRPr="00E028C5">
        <w:rPr>
          <w:lang w:val="es-ES_tradnl"/>
        </w:rPr>
        <w:t xml:space="preserve">1394 y ATM. Las aplicaciones básicas son de datos, voz y vídeo, teniendo en cuenta parámetros </w:t>
      </w:r>
      <w:r w:rsidRPr="00E028C5">
        <w:rPr>
          <w:lang w:val="es-ES_tradnl"/>
        </w:rPr>
        <w:lastRenderedPageBreak/>
        <w:t>específicos de calidad de servicio (QoS). Los sistemas HiperLAN 2 pueden instalarse en oficinas, aulas, domicilios, fábricas, zonas de alta ocupación tales como pabellones de exposiciones y, de forma más general, donde la transmisión radioeléctrica sea una alternativa eficaz o complemente la tecnología por cable.</w:t>
      </w:r>
    </w:p>
    <w:p w:rsidR="00E028C5" w:rsidRPr="00E028C5" w:rsidRDefault="00E028C5" w:rsidP="00456C44">
      <w:pPr>
        <w:rPr>
          <w:lang w:val="es-ES_tradnl"/>
        </w:rPr>
      </w:pPr>
      <w:r w:rsidRPr="00E028C5">
        <w:rPr>
          <w:lang w:val="es-ES_tradnl"/>
        </w:rPr>
        <w:t>HiperLAN 2 está diseñada para funcionar en las bandas 5,15-5,25 GHz, 5,25-5,35 GHz y</w:t>
      </w:r>
      <w:r w:rsidR="00456C44">
        <w:rPr>
          <w:lang w:val="es-ES_tradnl"/>
        </w:rPr>
        <w:t xml:space="preserve"> </w:t>
      </w:r>
      <w:r w:rsidRPr="00E028C5">
        <w:rPr>
          <w:lang w:val="es-ES_tradnl"/>
        </w:rPr>
        <w:t>5,47</w:t>
      </w:r>
      <w:r w:rsidRPr="00E028C5">
        <w:rPr>
          <w:lang w:val="es-ES_tradnl"/>
        </w:rPr>
        <w:noBreakHyphen/>
        <w:t>5,725 GHz. Las especificaciones básicas son TS 101 475 (capa física), TS 101</w:t>
      </w:r>
      <w:r w:rsidR="00456C44">
        <w:rPr>
          <w:lang w:val="es-ES_tradnl"/>
        </w:rPr>
        <w:t> </w:t>
      </w:r>
      <w:r w:rsidRPr="00E028C5">
        <w:rPr>
          <w:lang w:val="es-ES_tradnl"/>
        </w:rPr>
        <w:t>761 (capa de control de enlace de datos) y TS 101</w:t>
      </w:r>
      <w:r w:rsidR="00456C44">
        <w:rPr>
          <w:lang w:val="es-ES_tradnl"/>
        </w:rPr>
        <w:t> </w:t>
      </w:r>
      <w:r w:rsidRPr="00E028C5">
        <w:rPr>
          <w:lang w:val="es-ES_tradnl"/>
        </w:rPr>
        <w:t xml:space="preserve">493 (capas de convergencia). Todas las normas ETSI están disponibles en formato electrónico en </w:t>
      </w:r>
      <w:hyperlink r:id="rId20" w:history="1">
        <w:r w:rsidRPr="00E028C5">
          <w:rPr>
            <w:color w:val="0000FF"/>
            <w:u w:val="single"/>
            <w:lang w:val="es-ES_tradnl"/>
          </w:rPr>
          <w:t>http://pda.etsi.org/pda/queryform.asp</w:t>
        </w:r>
      </w:hyperlink>
      <w:r w:rsidRPr="00E028C5">
        <w:rPr>
          <w:lang w:val="es-ES_tradnl"/>
        </w:rPr>
        <w:t>, cuando se especifica el número de norma en la casilla de búsqueda.</w:t>
      </w:r>
    </w:p>
    <w:p w:rsidR="00E028C5" w:rsidRPr="00E028C5" w:rsidRDefault="00E028C5" w:rsidP="00E028C5">
      <w:pPr>
        <w:rPr>
          <w:lang w:val="es-ES_tradnl"/>
        </w:rPr>
      </w:pPr>
      <w:r w:rsidRPr="00E028C5">
        <w:rPr>
          <w:lang w:val="es-ES_tradnl"/>
        </w:rPr>
        <w:t>ETSI TC BRAN también ha desarrollado especificaciones de pruebas de conformidad para las normas HIPERLAN 2 básicas, para garantizar la interoperatividad de dispositivos y productos fabricados por diferentes suministradores. Las especificaciones de pruebas incluyen tanto pruebas radioeléctricas como de protocolo.</w:t>
      </w:r>
    </w:p>
    <w:p w:rsidR="00E028C5" w:rsidRPr="00E028C5" w:rsidRDefault="00E028C5" w:rsidP="00E028C5">
      <w:pPr>
        <w:rPr>
          <w:lang w:val="es-ES_tradnl"/>
        </w:rPr>
      </w:pPr>
      <w:r w:rsidRPr="00E028C5">
        <w:rPr>
          <w:lang w:val="es-ES_tradnl"/>
        </w:rPr>
        <w:t>ETSI TC BRAN ha trabajado en estrecha colaboración con IEEE-SA (Grupo de Trabajo 802.11) y con MMAC en Japón (Grupo de Trabajo sobre redes de acceso inalámbricas de alta velocidad) para armonizar los sistemas desarrollados por estos tres foros para las bandas de 5 GHz.</w:t>
      </w:r>
    </w:p>
    <w:p w:rsidR="00E028C5" w:rsidRPr="00E028C5" w:rsidRDefault="00E028C5" w:rsidP="0032700A">
      <w:pPr>
        <w:pStyle w:val="Heading1"/>
        <w:tabs>
          <w:tab w:val="left" w:pos="3157"/>
        </w:tabs>
        <w:rPr>
          <w:lang w:val="es-ES_tradnl"/>
        </w:rPr>
      </w:pPr>
      <w:r w:rsidRPr="00E028C5">
        <w:rPr>
          <w:lang w:val="es-ES_tradnl"/>
        </w:rPr>
        <w:t>3</w:t>
      </w:r>
      <w:r w:rsidRPr="00E028C5">
        <w:rPr>
          <w:lang w:val="es-ES_tradnl"/>
        </w:rPr>
        <w:tab/>
        <w:t>MMAC</w:t>
      </w:r>
      <w:r w:rsidR="0032700A">
        <w:rPr>
          <w:rStyle w:val="FootnoteReference"/>
          <w:lang w:val="es-ES_tradnl"/>
        </w:rPr>
        <w:footnoteReference w:id="4"/>
      </w:r>
      <w:r w:rsidRPr="00E028C5">
        <w:rPr>
          <w:lang w:val="es-ES_tradnl"/>
        </w:rPr>
        <w:t xml:space="preserve"> HSWA</w:t>
      </w:r>
      <w:r w:rsidR="0032700A">
        <w:rPr>
          <w:rStyle w:val="FootnoteReference"/>
          <w:lang w:val="es-ES_tradnl"/>
        </w:rPr>
        <w:footnoteReference w:id="5"/>
      </w:r>
    </w:p>
    <w:p w:rsidR="00E028C5" w:rsidRPr="00E028C5" w:rsidRDefault="00E028C5" w:rsidP="0032700A">
      <w:pPr>
        <w:rPr>
          <w:lang w:val="es-ES_tradnl"/>
        </w:rPr>
      </w:pPr>
      <w:r w:rsidRPr="00E028C5">
        <w:rPr>
          <w:lang w:val="es-ES_tradnl"/>
        </w:rPr>
        <w:t xml:space="preserve">El MMAC HSWA ha desarrollado y </w:t>
      </w:r>
      <w:r w:rsidRPr="009652B2">
        <w:rPr>
          <w:lang w:val="es-ES_tradnl"/>
        </w:rPr>
        <w:t>ARIB</w:t>
      </w:r>
      <w:r w:rsidR="0032700A" w:rsidRPr="009652B2">
        <w:rPr>
          <w:rStyle w:val="FootnoteReference"/>
          <w:lang w:val="es-ES_tradnl"/>
        </w:rPr>
        <w:footnoteReference w:id="6"/>
      </w:r>
      <w:r w:rsidRPr="00E028C5">
        <w:rPr>
          <w:lang w:val="es-ES_tradnl"/>
        </w:rPr>
        <w:t xml:space="preserve"> ha aprobado y publicado una norma para sistemas de comunicaciones de acceso móvil de banda ancha. Se denomina HiSWANa (ARIB STD-T70). El ámbito de las especificaciones técnicas se limita a la interfaz aérea, a las interfaces de servicio del subsistema inalámbrico, a las funciones de la capa de convergencia y a las capacidades de soporte necesarias para realizar los servicios.</w:t>
      </w:r>
    </w:p>
    <w:p w:rsidR="00E028C5" w:rsidRPr="00E028C5" w:rsidRDefault="00E028C5" w:rsidP="00E028C5">
      <w:pPr>
        <w:rPr>
          <w:lang w:val="es-ES_tradnl"/>
        </w:rPr>
      </w:pPr>
      <w:r w:rsidRPr="00E028C5">
        <w:rPr>
          <w:lang w:val="es-ES_tradnl"/>
        </w:rPr>
        <w:t>Las especificaciones técnicas describen las capas PHY y MAC/DLC, que no dependen de la red principal, y la capa de convergencia específica de la red principal. La velocidad de datos típica se encuentra entre 6 y 36 Mbit/s. Se utilizan las técnicas MDFO y AMDT-DDT. Es capaz de soportar aplicaciones multimedios con mecanismos para tener en cuenta la QoS. En la zona de servicio local se soporta una movilidad de usuario restringida. Actualmente, sólo se soporta Ethernet.</w:t>
      </w:r>
    </w:p>
    <w:p w:rsidR="00E028C5" w:rsidRPr="00E028C5" w:rsidRDefault="00E028C5" w:rsidP="00E028C5">
      <w:pPr>
        <w:rPr>
          <w:lang w:val="es-ES_tradnl"/>
        </w:rPr>
      </w:pPr>
      <w:r w:rsidRPr="00E028C5">
        <w:rPr>
          <w:lang w:val="es-ES_tradnl"/>
        </w:rPr>
        <w:t>El sistema HiSWANa funciona en las bandas de 5 GHz (4,9-5,0 GHz y 5,15-5,25 GHz).</w:t>
      </w:r>
    </w:p>
    <w:p w:rsidR="00E028C5" w:rsidRPr="00E028C5" w:rsidRDefault="00E028C5" w:rsidP="00E028C5">
      <w:pPr>
        <w:pStyle w:val="AnnexNoTitle"/>
        <w:rPr>
          <w:lang w:val="es-ES_tradnl"/>
        </w:rPr>
      </w:pPr>
      <w:r w:rsidRPr="00E028C5">
        <w:rPr>
          <w:lang w:val="es-ES_tradnl"/>
        </w:rPr>
        <w:lastRenderedPageBreak/>
        <w:t>Anexo 2</w:t>
      </w:r>
      <w:r w:rsidRPr="00E028C5">
        <w:rPr>
          <w:lang w:val="es-ES_tradnl"/>
        </w:rPr>
        <w:br/>
      </w:r>
      <w:r w:rsidRPr="00E028C5">
        <w:rPr>
          <w:lang w:val="es-ES_tradnl"/>
        </w:rPr>
        <w:br/>
        <w:t>Interfaces radioeléctricas terrenales IMT–2000</w:t>
      </w:r>
    </w:p>
    <w:p w:rsidR="00E028C5" w:rsidRPr="00E028C5" w:rsidRDefault="00E028C5" w:rsidP="00424DE9">
      <w:pPr>
        <w:pStyle w:val="Normalaftertitle"/>
        <w:keepNext/>
        <w:keepLines/>
        <w:rPr>
          <w:lang w:val="es-ES_tradnl"/>
        </w:rPr>
      </w:pPr>
      <w:r w:rsidRPr="00E028C5">
        <w:rPr>
          <w:lang w:val="es-ES_tradnl"/>
        </w:rPr>
        <w:t xml:space="preserve">Los epígrafes de este </w:t>
      </w:r>
      <w:r w:rsidR="007E1B67" w:rsidRPr="00E028C5">
        <w:rPr>
          <w:lang w:val="es-ES_tradnl"/>
        </w:rPr>
        <w:t>Anexo</w:t>
      </w:r>
      <w:r w:rsidRPr="00E028C5">
        <w:rPr>
          <w:lang w:val="es-ES_tradnl"/>
        </w:rPr>
        <w:t xml:space="preserve"> se han tomado del § 5 de la Recomendación UIT-R M.1457, donde se puede encontrar información adicional y actualizada.</w:t>
      </w:r>
    </w:p>
    <w:p w:rsidR="00E028C5" w:rsidRPr="00E028C5" w:rsidRDefault="00E028C5" w:rsidP="0032700A">
      <w:pPr>
        <w:pStyle w:val="Heading1"/>
        <w:rPr>
          <w:lang w:val="es-ES_tradnl"/>
        </w:rPr>
      </w:pPr>
      <w:r w:rsidRPr="00E028C5">
        <w:rPr>
          <w:lang w:val="es-ES_tradnl"/>
        </w:rPr>
        <w:t>1</w:t>
      </w:r>
      <w:r w:rsidRPr="00E028C5">
        <w:rPr>
          <w:lang w:val="es-ES_tradnl"/>
        </w:rPr>
        <w:tab/>
        <w:t>Espectro ensanchado de secuencia directa AMDC IMT–2000</w:t>
      </w:r>
      <w:r w:rsidR="0032700A">
        <w:rPr>
          <w:rStyle w:val="FootnoteReference"/>
          <w:lang w:val="es-ES_tradnl"/>
        </w:rPr>
        <w:footnoteReference w:id="7"/>
      </w:r>
    </w:p>
    <w:p w:rsidR="00E028C5" w:rsidRPr="00E028C5" w:rsidRDefault="00E028C5" w:rsidP="00E028C5">
      <w:pPr>
        <w:rPr>
          <w:lang w:val="es-ES_tradnl"/>
        </w:rPr>
      </w:pPr>
      <w:r w:rsidRPr="00E028C5">
        <w:rPr>
          <w:lang w:val="es-ES_tradnl"/>
        </w:rPr>
        <w:t>El acceso radioeléctrico UTRAN es un acceso de acceso múltiple por división de código de secuencia directa (AMDC-SD) con la información distribuida en una anchura de banda aproximada de 5 MHz, con una velocidad de datos codificados de 3,84 Mchip/s. Se utiliza una modulación de alto nivel (MAQ-64 en sentido descendente y MAQ-16 en sentido ascendente), antenas de múltiples entradas y múltiples salidas (MIMO), L2 mejorado para alta velocidad de datos y técnicas de codificación (códigos turbo) para el acceso de paquetes a alta velocidad.</w:t>
      </w:r>
    </w:p>
    <w:p w:rsidR="00E028C5" w:rsidRPr="00E028C5" w:rsidRDefault="00E028C5" w:rsidP="00E028C5">
      <w:pPr>
        <w:rPr>
          <w:lang w:val="es-ES_tradnl"/>
        </w:rPr>
      </w:pPr>
      <w:r w:rsidRPr="00E028C5">
        <w:rPr>
          <w:lang w:val="es-ES_tradnl"/>
        </w:rPr>
        <w:t>Una trama radioeléctrica de 10 ms se divide en 15 intervalos (2 560 datos codificados por intervalo a la velocidad de datos codificados de 3,84 Mchip/s). Por tanto, cada canal físico se define como un código (o un conjunto de códigos). Se definen subtramas de 2 ms constituidas por 3 intervalos para HS</w:t>
      </w:r>
      <w:r w:rsidRPr="00E028C5">
        <w:rPr>
          <w:lang w:val="es-ES_tradnl"/>
        </w:rPr>
        <w:noBreakHyphen/>
        <w:t>DSCH (acceso de paquetes de alta velocidad en sentido descendente – HSDPA), E-DCH (acceso de paquetes de alta velocidad en sentido ascendente – HSUPA) y los canales de señalización asociados. Esta tecnología logra una velocidad de transmisión máxima próxima a 42 Mbit/s en sentido descendente y hasta 11 Mbit/s en sentido ascendente. En el enlace descendente, nuevas mejoras de DC-HSDPA en combinación con la característica MIMO soportan velocidades de datos de cresta que pueden llegar hasta 84 Mbit/s. En el enlace ascendente, la característica de célula doble también es aplicable a dos frecuencias adyacentes en la misma banda con enlace ascendente mejorado para soportar velocidades de datos de creta que pueden llegar hasta 23 Mbit/s. Pueden conseguirse células con gran alcance si las condiciones de propagación son adecuadas (por ejemplo, en desiertos, llanuras, zonas costeras, etc.).</w:t>
      </w:r>
    </w:p>
    <w:p w:rsidR="00E028C5" w:rsidRPr="00E028C5" w:rsidRDefault="00E028C5" w:rsidP="00E028C5">
      <w:pPr>
        <w:rPr>
          <w:lang w:val="es-ES_tradnl"/>
        </w:rPr>
      </w:pPr>
      <w:r w:rsidRPr="00E028C5">
        <w:rPr>
          <w:lang w:val="es-ES_tradnl"/>
        </w:rPr>
        <w:t xml:space="preserve">Para disponer de conectividad permanente de forma eficiente al tiempo que se ahorra consumo de batería en el equipo de usuario y se aumenta la capacidad de la interfaz aérea, las especificaciones incluyen una facilidad de conectividad permanente de paquetes (CPC, </w:t>
      </w:r>
      <w:r w:rsidRPr="00E028C5">
        <w:rPr>
          <w:i/>
          <w:lang w:val="es-ES_tradnl"/>
        </w:rPr>
        <w:t>continuous packet connectivity</w:t>
      </w:r>
      <w:r w:rsidRPr="00E028C5">
        <w:rPr>
          <w:lang w:val="es-ES_tradnl"/>
        </w:rPr>
        <w:t>). Los servicios de voz CS se soportan en HSPA.</w:t>
      </w:r>
    </w:p>
    <w:p w:rsidR="00E028C5" w:rsidRPr="00E028C5" w:rsidRDefault="00E028C5" w:rsidP="00E028C5">
      <w:pPr>
        <w:rPr>
          <w:lang w:val="es-ES_tradnl"/>
        </w:rPr>
      </w:pPr>
      <w:r w:rsidRPr="00E028C5">
        <w:rPr>
          <w:lang w:val="es-ES_tradnl"/>
        </w:rPr>
        <w:t>La interfaz radioeléctrica se define para transportar una amplia gama de servicios y soportar eficazmente servicios por circuitos conmutados (por ejemplo, redes basadas en la RTPC y la RDSI) y servicios con conmutación de paquetes (por ejemplo, redes basadas en IP). Se ha diseñado un protocolo radioeléctrico flexible en el que el usuario utiliza simultáneamente servicios diferentes, tales como voz, datos y multimedios, que se multiplexan en una única portadora. Los servicios radioeléctricos definidos proporcionan soporte tanto a servicios con características de tiempo real como a servicios con características distintas a tiempo real mediante el transporte transparente y/o no transparente de datos. La QoS puede ajustarse en términos de retardo, probabilidad de errores en los bits y tasa de errores de trama (FER).</w:t>
      </w:r>
    </w:p>
    <w:p w:rsidR="00E028C5" w:rsidRPr="00E028C5" w:rsidRDefault="00E028C5" w:rsidP="00E028C5">
      <w:pPr>
        <w:rPr>
          <w:lang w:val="es-ES_tradnl"/>
        </w:rPr>
      </w:pPr>
      <w:r w:rsidRPr="00E028C5">
        <w:rPr>
          <w:lang w:val="es-ES_tradnl"/>
        </w:rPr>
        <w:t>La arquitectura de la red radioeléctrica de acceso también soporta servicios de difusión y de multidifusión multimedios, es decir, que permiten la distribución de contenidos multimedios a grupos de usuarios sobre una capacidad portadora punto a multipunto.</w:t>
      </w:r>
    </w:p>
    <w:p w:rsidR="00E028C5" w:rsidRPr="00E028C5" w:rsidRDefault="00E028C5" w:rsidP="00E028C5">
      <w:pPr>
        <w:rPr>
          <w:lang w:val="es-ES_tradnl"/>
        </w:rPr>
      </w:pPr>
      <w:r w:rsidRPr="00E028C5">
        <w:rPr>
          <w:lang w:val="es-ES_tradnl"/>
        </w:rPr>
        <w:lastRenderedPageBreak/>
        <w:t>El UTRA evolucionado (E-UTRA) tiene por objeto conseguir la evolución de las tecnologías de acceso radioeléctrico a velocidades de transmisión de datos elevadas, con bajo retardo y optimizadas para la transmisión de paquetes.</w:t>
      </w:r>
    </w:p>
    <w:p w:rsidR="00E028C5" w:rsidRPr="00E028C5" w:rsidRDefault="00E028C5" w:rsidP="00E028C5">
      <w:pPr>
        <w:rPr>
          <w:lang w:val="es-ES_tradnl"/>
        </w:rPr>
      </w:pPr>
      <w:r w:rsidRPr="00E028C5">
        <w:rPr>
          <w:lang w:val="es-ES_tradnl"/>
        </w:rPr>
        <w:t xml:space="preserve">El esquema de trasmisión del enlace descendente se basa en MDFO convencional para conseguir un alto grado de robustez frente a la selectividad en frecuencia del canal sin perjuicio de la implementación de receptores de poca complejidad en anchuras de banda muy grandes. El esquema de transmisión del enlace ascendente se basa en </w:t>
      </w:r>
      <w:r w:rsidR="00AA2C0C">
        <w:rPr>
          <w:lang w:val="es-ES_tradnl"/>
        </w:rPr>
        <w:t>S</w:t>
      </w:r>
      <w:r w:rsidRPr="00E028C5">
        <w:rPr>
          <w:lang w:val="es-ES_tradnl"/>
        </w:rPr>
        <w:t>C-AMDF (AMDF de portadora única); más concretamente MDFO con ensanchamiento DFT (DFTS-MDFO). También soporta asignación multiagrupación de DFTS-MDFO para el enlace ascendente se justifica por la menor relación potencia de cresta a potencia media (PAPR) de la señal transmitida frente a la MDFO convencional.</w:t>
      </w:r>
    </w:p>
    <w:p w:rsidR="00E028C5" w:rsidRPr="00E028C5" w:rsidRDefault="00E028C5" w:rsidP="00E028C5">
      <w:pPr>
        <w:rPr>
          <w:b/>
          <w:bCs/>
          <w:lang w:val="es-ES_tradnl"/>
        </w:rPr>
      </w:pPr>
      <w:r w:rsidRPr="00E028C5">
        <w:rPr>
          <w:lang w:val="es-ES_tradnl"/>
        </w:rPr>
        <w:t>E-UTRA soporta anchuras de banda desde aproximadamente 1,4 MHz hasta 100 MHz, arrojando velocidades de datos de cresta de hasta unos 3 Gbit/s en el enlace descendente y 1,5 Gbit/s en el enlace ascendente. Se recurre a la agregación de portadoras, es decir la transmisión simultánea de varias portadoras de varios componentes en paralelo hacia/desde el mismo terminal, para soportar anchuras de banda superiores a 20 MHz.</w:t>
      </w:r>
    </w:p>
    <w:p w:rsidR="00E028C5" w:rsidRPr="00E028C5" w:rsidRDefault="00E028C5" w:rsidP="00C47BCE">
      <w:pPr>
        <w:pStyle w:val="Heading1"/>
        <w:rPr>
          <w:lang w:val="es-ES_tradnl"/>
        </w:rPr>
      </w:pPr>
      <w:r w:rsidRPr="00E028C5">
        <w:rPr>
          <w:lang w:val="es-ES_tradnl"/>
        </w:rPr>
        <w:t>2</w:t>
      </w:r>
      <w:r w:rsidRPr="00E028C5">
        <w:rPr>
          <w:lang w:val="es-ES_tradnl"/>
        </w:rPr>
        <w:tab/>
        <w:t>AMDC multiportadora IMT–2000</w:t>
      </w:r>
      <w:r w:rsidR="00C47BCE">
        <w:rPr>
          <w:rStyle w:val="FootnoteReference"/>
          <w:lang w:val="es-ES_tradnl"/>
        </w:rPr>
        <w:footnoteReference w:id="8"/>
      </w:r>
    </w:p>
    <w:p w:rsidR="00E028C5" w:rsidRPr="00E028C5" w:rsidRDefault="00E028C5" w:rsidP="00E028C5">
      <w:pPr>
        <w:rPr>
          <w:lang w:val="es-ES_tradnl"/>
        </w:rPr>
      </w:pPr>
      <w:r w:rsidRPr="00E028C5">
        <w:rPr>
          <w:lang w:val="es-ES_tradnl"/>
        </w:rPr>
        <w:t xml:space="preserve">La interfaz radioeléctrica AMDC multiportadora ofrece dos posibilidades: funcionamiento cdma2000 con una o tres portadoras de radiofrecuencia o funcionamiento de datos en modo paquete cdma2000 de alta velocidad (HRPR, </w:t>
      </w:r>
      <w:r w:rsidRPr="00E028C5">
        <w:rPr>
          <w:i/>
          <w:lang w:val="es-ES_tradnl"/>
        </w:rPr>
        <w:t>high rate packet data</w:t>
      </w:r>
      <w:r w:rsidRPr="00E028C5">
        <w:rPr>
          <w:lang w:val="es-ES_tradnl"/>
        </w:rPr>
        <w:t>) en el que se utilizan de una a quince portadoras de radiofrecuencia.</w:t>
      </w:r>
    </w:p>
    <w:p w:rsidR="00E028C5" w:rsidRPr="00E028C5" w:rsidRDefault="00E028C5" w:rsidP="00E028C5">
      <w:pPr>
        <w:rPr>
          <w:lang w:val="es-ES_tradnl"/>
        </w:rPr>
      </w:pPr>
      <w:r w:rsidRPr="00E028C5">
        <w:rPr>
          <w:lang w:val="es-ES_tradnl"/>
        </w:rPr>
        <w:t>La opción de funcionamiento cdma2000 soporta una o tres portadoras de RF de 1,2288 Mchip/s. La interfaz radioeléctrica se define para que transporte una amplia gama de servicios y soporte tanto servicios de circuitos conmutados (por ejemplo, redes basadas en la RTPC y la RDSI) como servicios con conmutación de paquetes (por ejemplo, redes basadas en IP). El protocolo radioeléctrico se ha diseñado de manera que el usuario pueda utilizar de forma flexible varios servicios diferentes como voz, datos y multimedios multiplexados en una única portadora. Los servicios radioeléctricos definidos proporcionan soporte tanto a servicio con características de tiempo real como a servicios sin características de tiempo real mediante el transporte transparente y/o no transparente de datos. La QoS puede ajustarse en términos de retardo, probabilidad de errores en los bits y tasa de errores de trama (FER).</w:t>
      </w:r>
    </w:p>
    <w:p w:rsidR="00E028C5" w:rsidRPr="00E028C5" w:rsidRDefault="00E028C5" w:rsidP="00E028C5">
      <w:pPr>
        <w:rPr>
          <w:lang w:val="es-ES_tradnl"/>
        </w:rPr>
      </w:pPr>
      <w:r w:rsidRPr="00E028C5">
        <w:rPr>
          <w:lang w:val="es-ES_tradnl"/>
        </w:rPr>
        <w:t>La especificación de la interfaz radioeléctrica incluye características mejoradas para su uso simultáneo por servicios de datos de paquetes de alta velocidad y otros servicios, tales como voz en una única portadora. En particular, se han introducido características para el enlace inverso mejorado, lo que permite una mayor capacidad y cobertura, así como velocidades de datos superiores al valor actual en el enlace ascendente y un retardo y una variación de retardo menores en el enlace inverso.</w:t>
      </w:r>
    </w:p>
    <w:p w:rsidR="00E028C5" w:rsidRPr="00E028C5" w:rsidRDefault="00E028C5" w:rsidP="00E028C5">
      <w:pPr>
        <w:rPr>
          <w:lang w:val="es-ES_tradnl"/>
        </w:rPr>
      </w:pPr>
      <w:r w:rsidRPr="00E028C5">
        <w:rPr>
          <w:lang w:val="es-ES_tradnl"/>
        </w:rPr>
        <w:t>La arquitectura de la red de acceso radioeléctrico también permite servicios de difusión y de multidifusión multimedios, es decir, la distribución de contenidos multimedios a grupos de usuarios sobre una capacidad portadora punto a multipunto.</w:t>
      </w:r>
    </w:p>
    <w:p w:rsidR="00E028C5" w:rsidRPr="00E028C5" w:rsidRDefault="00E028C5" w:rsidP="00E028C5">
      <w:pPr>
        <w:rPr>
          <w:lang w:val="es-ES_tradnl"/>
        </w:rPr>
      </w:pPr>
      <w:r w:rsidRPr="00E028C5">
        <w:rPr>
          <w:lang w:val="es-ES_tradnl"/>
        </w:rPr>
        <w:t>Para cdma2000 HRPD, el canal de ida, con un número de portadoras de una a quince, consta de los siguientes canales multiplexados en el tiempo: canal piloto, canal MAC de ida, canal de control y canal de tráfico de ida. El canal de tráfico de ida transporta paquetes de datos de usuario. El canal de control transporta mensajes de control y también puede transportar tráfico de usuario. Cada canal está subdividido en canales Walsh en cuadratura multiplexados por división de código.</w:t>
      </w:r>
    </w:p>
    <w:p w:rsidR="00E028C5" w:rsidRPr="00E028C5" w:rsidRDefault="00E028C5" w:rsidP="004F6283">
      <w:pPr>
        <w:rPr>
          <w:lang w:val="es-ES_tradnl"/>
        </w:rPr>
      </w:pPr>
      <w:r w:rsidRPr="00E028C5">
        <w:rPr>
          <w:lang w:val="es-ES_tradnl"/>
        </w:rPr>
        <w:lastRenderedPageBreak/>
        <w:t xml:space="preserve">El canal MAC cdma2000 HRPD está constituido por dos subcanales: el canal de control de potencia inverso (RPC) y el canal de actividad inversa (RA). El canal RA transmite un tren de bits de actividad del enlace inverso (RAB, </w:t>
      </w:r>
      <w:r w:rsidRPr="00E028C5">
        <w:rPr>
          <w:i/>
          <w:lang w:val="es-ES_tradnl"/>
        </w:rPr>
        <w:t>reverse link activity bit</w:t>
      </w:r>
      <w:r w:rsidRPr="00E028C5">
        <w:rPr>
          <w:lang w:val="es-ES_tradnl"/>
        </w:rPr>
        <w:t>). Cada símbolo del canal MAC está modulado MDP</w:t>
      </w:r>
      <w:r w:rsidR="004F6283">
        <w:rPr>
          <w:lang w:val="es-ES_tradnl"/>
        </w:rPr>
        <w:noBreakHyphen/>
      </w:r>
      <w:r w:rsidRPr="00E028C5">
        <w:rPr>
          <w:lang w:val="es-ES_tradnl"/>
        </w:rPr>
        <w:t>2 en una de las palabras de código Walsh 64.</w:t>
      </w:r>
    </w:p>
    <w:p w:rsidR="00E028C5" w:rsidRPr="00E028C5" w:rsidRDefault="00E028C5" w:rsidP="004F6283">
      <w:pPr>
        <w:rPr>
          <w:lang w:val="es-ES_tradnl"/>
        </w:rPr>
      </w:pPr>
      <w:r w:rsidRPr="00E028C5">
        <w:rPr>
          <w:lang w:val="es-ES_tradnl"/>
        </w:rPr>
        <w:t>El canal de tráfico de ida cdma2000 HRPD es un canal de velocidad variable basado en paquetes. Los datos de usuario de un terminal de acceso se transmiten a una velocidad de datos que varía entre 38,4</w:t>
      </w:r>
      <w:r w:rsidR="004F6283">
        <w:rPr>
          <w:lang w:val="es-ES_tradnl"/>
        </w:rPr>
        <w:t> </w:t>
      </w:r>
      <w:r w:rsidRPr="00E028C5">
        <w:rPr>
          <w:lang w:val="es-ES_tradnl"/>
        </w:rPr>
        <w:t>kbit/s y 4,9 Mbit/s por cada portadora de 1,2288 Mchip/s. Los datos del canal de tráfico de ida y del canal de control están codificados, aleatorizados y entrelazados. Las salidas del entrelazador de canal se introducen en un modulador MDP</w:t>
      </w:r>
      <w:r w:rsidRPr="00E028C5">
        <w:rPr>
          <w:lang w:val="es-ES_tradnl"/>
        </w:rPr>
        <w:noBreakHyphen/>
        <w:t>4/MDP-8/MAQ-16/MAQ-64. Las secuencias de símbolos modulados se repiten y se puntean según las necesidades. Posteriormente las secuencias resultantes de los símbolos de modulación se demultiplexan para formar 16 parejas (en fase y en cuadratura) de trenes en paralelo. Cada uno de los trenes en paralelo se trata mediante una función Walsh módulo 16 específica y con una velocidad de datos codificados que permita símbolos Walsh a 76,8 ksymbol/s. Los símbolos codificados Walsh de todos los trenes se suman para formar un único tren en fase y un único tren en cuadratura a una velocidad de datos codificados de 1,2288 Mchip/s. Los datos codificados resultantes se multiplexan por división en el tiempo con preámbulo, canal piloto y canal MAC para formar la secuencia resultante de datos codificados para el funcionamiento con ensanchamiento de espectro en cuadratura.</w:t>
      </w:r>
    </w:p>
    <w:p w:rsidR="00E028C5" w:rsidRPr="00E028C5" w:rsidRDefault="00E028C5" w:rsidP="00E028C5">
      <w:pPr>
        <w:rPr>
          <w:lang w:val="es-ES_tradnl"/>
        </w:rPr>
      </w:pPr>
      <w:r w:rsidRPr="00E028C5">
        <w:rPr>
          <w:lang w:val="es-ES_tradnl"/>
        </w:rPr>
        <w:t>Los paquetes de capa física del canal de tráfico de ida cdma2000 HRPD pueden transmitirse en un número de intervalos de entre 1 y 16. Cuando se asigna más de un intervalo, los intervalos transmitidos utilizan un entrelazado de 4 intervalos. Es decir, los intervalos transmitidos de un paquete están separados por 3 intervalos y los intervalos de otros paquetes se transmiten en intervalos que a su vez existen entre dichos intervalos transmitidos. Si se recibe un acuse de recibo positivo por el canal ACK del enlace inverso indicando que el paquete de capa física se ha recibido en el canal de tráfico de ida, antes de que se hayan transmitido todos los intervalos asignados, no se transmitirán los intervalos restantes y se utilizará el siguiente intervalo asignado para el primer intervalo de la siguiente transmisión de paquetes de capa física.</w:t>
      </w:r>
    </w:p>
    <w:p w:rsidR="00E028C5" w:rsidRPr="00E028C5" w:rsidRDefault="00E028C5" w:rsidP="00E028C5">
      <w:pPr>
        <w:rPr>
          <w:lang w:val="es-ES_tradnl"/>
        </w:rPr>
      </w:pPr>
      <w:r w:rsidRPr="00E028C5">
        <w:rPr>
          <w:lang w:val="es-ES_tradnl"/>
        </w:rPr>
        <w:t>El canal inverso cdma2000 HRPD, desplegado sobre un número de portadoras de RF entre una y quince, está constituido por el canal de acceso y el canal de tráfico inverso. El canal de acceso lo utiliza el terminal de acceso para iniciar la comunicación con la red de acceso o para responder a un mensaje dirigido al terminal de acceso. El canal de acceso está constituido por un canal piloto y un canal de datos. La estación móvil utiliza el canal de tráfico inverso para transmitir tráfico específico de usuario o información de señalización a la red de acceso. El canal inverso de tráfico de enlace cdma2000 HRPD está constituido por un canal piloto, un canal indicador de velocidad inversa (RRI), un canal de control de la velocidad de datos (DRC), un canal de acuse de recibo (ACK) y un canal de datos. Los datos de usuario de un terminal de acceso se transmiten a una velocidad de entre 4,8 kbit/s y 1,8 Mbit/s por cada portadora de 1,2288 Mchip/s. El canal RRI se utiliza para indicar la velocidad de datos transmitida en el canal de tráfico inverso. El canal RRI se multiplexa en el tiempo con el canal piloto. La estación móvil utiliza el canal DRC para indicar a la red de acceso la velocidad de datos admisible del canal de tráfico de ida y el sector con mejor servicio en el canal AMDC de ida. El terminal de acceso utiliza el canal ACK para informar a la red de acceso si se ha recibido con éxito o no el paquete de datos transmitido en el canal de tráfico de ida.</w:t>
      </w:r>
    </w:p>
    <w:p w:rsidR="00E028C5" w:rsidRPr="00E028C5" w:rsidRDefault="00E028C5" w:rsidP="00E028C5">
      <w:pPr>
        <w:rPr>
          <w:lang w:val="es-ES_tradnl"/>
        </w:rPr>
      </w:pPr>
      <w:r w:rsidRPr="00E028C5">
        <w:rPr>
          <w:lang w:val="es-ES_tradnl"/>
        </w:rPr>
        <w:t>Para el acceso HRPD mejorado, se implementan H-ARQ (petición de repetición automática híbrida) de capa física, menores tamaños de trama, mecanismos de planificación/control de velocidad más rápidos y modulación y codificación adaptativas a fin de aumentar la velocidad de datos máxima y el caudal del enlace inverso.</w:t>
      </w:r>
    </w:p>
    <w:p w:rsidR="00E028C5" w:rsidRPr="00E028C5" w:rsidRDefault="00E028C5" w:rsidP="00E028C5">
      <w:pPr>
        <w:pStyle w:val="Heading2"/>
        <w:rPr>
          <w:lang w:val="es-ES_tradnl" w:eastAsia="ja-JP"/>
        </w:rPr>
      </w:pPr>
      <w:r w:rsidRPr="00E028C5">
        <w:rPr>
          <w:lang w:val="es-ES_tradnl" w:eastAsia="ja-JP"/>
        </w:rPr>
        <w:lastRenderedPageBreak/>
        <w:t>2.1</w:t>
      </w:r>
      <w:r w:rsidRPr="00E028C5">
        <w:rPr>
          <w:lang w:val="es-ES_tradnl" w:eastAsia="ja-JP"/>
        </w:rPr>
        <w:tab/>
        <w:t>Sistema de ultra banda ancha móvil</w:t>
      </w:r>
    </w:p>
    <w:p w:rsidR="00E028C5" w:rsidRPr="00E028C5" w:rsidRDefault="00E028C5" w:rsidP="00E028C5">
      <w:pPr>
        <w:rPr>
          <w:lang w:val="es-ES_tradnl" w:eastAsia="ja-JP"/>
        </w:rPr>
      </w:pPr>
      <w:r w:rsidRPr="00E028C5">
        <w:rPr>
          <w:lang w:val="es-ES_tradnl" w:eastAsia="ja-JP"/>
        </w:rPr>
        <w:t>El sistema de ultra banda ancha móvil (UMB) proporciona un diseño unificado para los modos de funcionamiento DDT y DDF, tanto dúplex como semidúplex, con anchuras de banda escalables entre 1,25 MHz y 20 MHz. El sistema está diseñado para proporcionar un acceso radioeléctrico robusto y está optimizado para conseguir una elevada eficiencia espectral y un retardo reducido mediante técnicas de modulación avanzadas, de adaptación del enlace y de transmisión con múltiples antenas. También se aplica el traspaso rápido de llamadas, el control rápido de potencia y la gestión de la interferencia entre sectores. Para conseguir elevadas eficiencias espectrales se utiliza la codificación y modulación adaptativa con H-ARQ síncrona y turbocodificación (opcionalmente LDPC). El mecanismo de gestión de subbandas permite prestaciones mejoradas en los enlaces directo (de ida) e inverso gracias a ganancias de diversidad con múltiples usuarios para tráfico sensible al retardo.</w:t>
      </w:r>
    </w:p>
    <w:p w:rsidR="00E028C5" w:rsidRPr="00E028C5" w:rsidRDefault="00E028C5" w:rsidP="00560BB9">
      <w:pPr>
        <w:rPr>
          <w:lang w:val="es-ES_tradnl" w:eastAsia="ja-JP"/>
        </w:rPr>
      </w:pPr>
      <w:r w:rsidRPr="00E028C5">
        <w:rPr>
          <w:lang w:val="es-ES_tradnl" w:eastAsia="ja-JP"/>
        </w:rPr>
        <w:t>El enlace de ida utiliza acceso múltiple por división en frecuencia ortogonal (AMDFO) mejorado mediante técnicas de transmisión multiantena, incluido MIMO, conformación de haz de bucle cerrado y acceso múltiple por división espacial (AMDE) con un orden de multiplexación espacial máximo de</w:t>
      </w:r>
      <w:r w:rsidR="00560BB9">
        <w:rPr>
          <w:lang w:val="es-ES_tradnl" w:eastAsia="ja-JP"/>
        </w:rPr>
        <w:t> </w:t>
      </w:r>
      <w:r w:rsidRPr="00E028C5">
        <w:rPr>
          <w:lang w:val="es-ES_tradnl" w:eastAsia="ja-JP"/>
        </w:rPr>
        <w:t>4. El retardo mínimo de retransmisión del enlace de ida es de aproximadamente 5,5</w:t>
      </w:r>
      <w:r w:rsidR="00424DE9">
        <w:rPr>
          <w:lang w:val="es-ES_tradnl" w:eastAsia="ja-JP"/>
        </w:rPr>
        <w:t> </w:t>
      </w:r>
      <w:r w:rsidRPr="00E028C5">
        <w:rPr>
          <w:lang w:val="es-ES_tradnl" w:eastAsia="ja-JP"/>
        </w:rPr>
        <w:t>ms, consiguiéndose una velocidad máxima de 288 Mbit/s mediante MIMO de orden 4 en 20 MHz.</w:t>
      </w:r>
    </w:p>
    <w:p w:rsidR="00E028C5" w:rsidRPr="00E028C5" w:rsidRDefault="00E028C5" w:rsidP="00456C44">
      <w:pPr>
        <w:rPr>
          <w:lang w:val="es-ES_tradnl" w:eastAsia="ja-JP"/>
        </w:rPr>
      </w:pPr>
      <w:r w:rsidRPr="00E028C5">
        <w:rPr>
          <w:lang w:val="es-ES_tradnl" w:eastAsia="ja-JP"/>
        </w:rPr>
        <w:t>El enlace inverso es cuasi ortogonal. Es decir, utiliza transmisión ortogonal basada en AMDFO junto con multiplexación no ortogonal de usuarios con superposición estratificada o antenas de recepción múltiples (AMDE). El enlace inverso también incluye opcionalmente la transmisión AMDC para tráfico de baja velocidad. La gestión de la interferencia se realiza mediante reutilización fraccional de la frecuencia. El equilibrio óptimo entre caudal e imparcialidad en la utilización de los recursos se consigue mediante el control distribuido de la potencia en función de la interferencia con otras células. El enlace inverso utiliza un segmento de control AMDC y un segmento de control AMDFO. El sistema utiliza acceso rápido gracias a una tara reducida y peticiones rápidas. El enlace inverso utiliza una señal de referencia de banda ancha para el control de la potencia, las decisiones de traspaso y la programación del uso de subbandas. El diseño del MAC UMB permite una transmisión eficiente en potencia en el enlace inverso mediante terminales de potencia limitada con programación del uso de recursos. El retardo de transmisión del enlace inverso es de aproximadamente 7,3</w:t>
      </w:r>
      <w:r w:rsidR="00456C44">
        <w:rPr>
          <w:lang w:val="es-ES_tradnl" w:eastAsia="ja-JP"/>
        </w:rPr>
        <w:t> </w:t>
      </w:r>
      <w:r w:rsidRPr="00E028C5">
        <w:rPr>
          <w:lang w:val="es-ES_tradnl" w:eastAsia="ja-JP"/>
        </w:rPr>
        <w:t>ms y la velocidad de datos máx</w:t>
      </w:r>
      <w:r w:rsidR="00456C44">
        <w:rPr>
          <w:lang w:val="es-ES_tradnl" w:eastAsia="ja-JP"/>
        </w:rPr>
        <w:t xml:space="preserve">ima que se consigue es mayor de </w:t>
      </w:r>
      <w:r w:rsidRPr="00E028C5">
        <w:rPr>
          <w:lang w:val="es-ES_tradnl" w:eastAsia="ja-JP"/>
        </w:rPr>
        <w:t>75</w:t>
      </w:r>
      <w:r w:rsidR="00456C44">
        <w:rPr>
          <w:lang w:val="es-ES_tradnl" w:eastAsia="ja-JP"/>
        </w:rPr>
        <w:t> </w:t>
      </w:r>
      <w:r w:rsidRPr="00E028C5">
        <w:rPr>
          <w:lang w:val="es-ES_tradnl" w:eastAsia="ja-JP"/>
        </w:rPr>
        <w:t>Mbit/s en una anchura de banda de 20 MHz (con codificación cuasi-ortogonal de palabra código única).</w:t>
      </w:r>
    </w:p>
    <w:p w:rsidR="00E028C5" w:rsidRPr="00E028C5" w:rsidRDefault="00E028C5" w:rsidP="00E028C5">
      <w:pPr>
        <w:rPr>
          <w:lang w:val="es-ES_tradnl" w:eastAsia="ja-JP"/>
        </w:rPr>
      </w:pPr>
      <w:r w:rsidRPr="00E028C5">
        <w:rPr>
          <w:lang w:val="es-ES_tradnl" w:eastAsia="ja-JP"/>
        </w:rPr>
        <w:t>La UMB está diseñada para funcionar en despliegues parcial o completamente síncronos; no obstante, la interfaz aérea está optimizada para aprovechar la sincronización entre células. Se utilizan canales piloto de tara reducida (balizas) para permitir una búsqueda de baja complejidad en áreas vecinas y facilitar el traspaso en la misma frecuencia y entre frecuencias con una interrupción mínima.</w:t>
      </w:r>
    </w:p>
    <w:p w:rsidR="00E028C5" w:rsidRPr="00E028C5" w:rsidRDefault="00E028C5" w:rsidP="00E028C5">
      <w:pPr>
        <w:rPr>
          <w:lang w:val="es-ES_tradnl" w:eastAsia="ja-JP"/>
        </w:rPr>
      </w:pPr>
      <w:r w:rsidRPr="00E028C5">
        <w:rPr>
          <w:lang w:val="es-ES_tradnl" w:eastAsia="ja-JP"/>
        </w:rPr>
        <w:t>La UMB también dispone de modos de funcionamiento eficientes en potencia para alargar la vida de la batería del terminal. En particular, el modo de entrelazado selectivo está optimizado para aplicaciones sensibles al retardo y de baja velocidad, como la VoIP, existiendo un estado semiconectado que ofrece una DTX/DRX eficiente con un ciclo de actividad bajo para tráfico tolerante al retardo.</w:t>
      </w:r>
    </w:p>
    <w:p w:rsidR="00E028C5" w:rsidRPr="00E028C5" w:rsidRDefault="00E028C5" w:rsidP="00C47BCE">
      <w:pPr>
        <w:pStyle w:val="Heading1"/>
        <w:rPr>
          <w:lang w:val="es-ES_tradnl"/>
        </w:rPr>
      </w:pPr>
      <w:r w:rsidRPr="00E028C5">
        <w:rPr>
          <w:lang w:val="es-ES_tradnl"/>
        </w:rPr>
        <w:t>3</w:t>
      </w:r>
      <w:r w:rsidRPr="00E028C5">
        <w:rPr>
          <w:lang w:val="es-ES_tradnl"/>
        </w:rPr>
        <w:tab/>
        <w:t>DDT de AMDC IMT–2000</w:t>
      </w:r>
      <w:r w:rsidR="00C47BCE">
        <w:rPr>
          <w:rStyle w:val="FootnoteReference"/>
          <w:lang w:val="es-ES_tradnl"/>
        </w:rPr>
        <w:footnoteReference w:id="9"/>
      </w:r>
    </w:p>
    <w:p w:rsidR="00E028C5" w:rsidRPr="00E028C5" w:rsidRDefault="00E028C5" w:rsidP="00E028C5">
      <w:pPr>
        <w:rPr>
          <w:lang w:val="es-ES_tradnl"/>
        </w:rPr>
      </w:pPr>
      <w:r w:rsidRPr="00E028C5">
        <w:rPr>
          <w:lang w:val="es-ES_tradnl"/>
        </w:rPr>
        <w:t>Se definen tres opciones para la interfaz radioeléctrica dúplex por división en el de tiempo (DDT) del acceso radioeléctrico terrenal un</w:t>
      </w:r>
      <w:r w:rsidR="00456C44">
        <w:rPr>
          <w:lang w:val="es-ES_tradnl"/>
        </w:rPr>
        <w:t xml:space="preserve">iversal (UTRA), a saber, DDT de </w:t>
      </w:r>
      <w:r w:rsidRPr="00E028C5">
        <w:rPr>
          <w:lang w:val="es-ES_tradnl"/>
        </w:rPr>
        <w:t>1,28 Mchip/s (AMDS-DT), DDT de 3,84 Mchip/s y DDT de 7,68 Mchip/s.</w:t>
      </w:r>
    </w:p>
    <w:p w:rsidR="00E028C5" w:rsidRPr="00E028C5" w:rsidRDefault="00E028C5" w:rsidP="00E028C5">
      <w:pPr>
        <w:rPr>
          <w:lang w:val="es-ES_tradnl"/>
        </w:rPr>
      </w:pPr>
      <w:r w:rsidRPr="00E028C5">
        <w:rPr>
          <w:lang w:val="es-ES_tradnl"/>
        </w:rPr>
        <w:lastRenderedPageBreak/>
        <w:t>La interfaz radioeléctrica DDT UTRA se desarrolló con el firme objetivo de la armonización con el componente DDF (véase § 1) para maximizar los elementos comunes. Esto se consiguió armonizando parámetros significativos de la capa física, especificándose un conjunto común de protocolos en las capas superiores para DDF y DDT, incorporando numerosos elementos comunes en la DDT de 1,28 Mchip/s, la DDT de 3,84 Mchip/s y la DDT de 7,68 Mchip/s. Con las tres opciones de la DDT UTRA, ésta satisface las necesidades de diferentes regiones de forma flexible e incorpora un conjunto común de especificaciones.</w:t>
      </w:r>
    </w:p>
    <w:p w:rsidR="00E028C5" w:rsidRPr="00E028C5" w:rsidRDefault="00E028C5" w:rsidP="00E028C5">
      <w:pPr>
        <w:rPr>
          <w:lang w:val="es-ES_tradnl"/>
        </w:rPr>
      </w:pPr>
      <w:r w:rsidRPr="00E028C5">
        <w:rPr>
          <w:lang w:val="es-ES_tradnl"/>
        </w:rPr>
        <w:t>El método de acceso radioeléctrico es acceso múltiple por división de código con secuencia directa (AMDC-SD). Incluye tres opciones de velocidad de datos codificados: la DDT de 3,84 Mchip/s, en la que la información se distribuye sobre una anchura de banda aproximada de 5 MHz con una velocidad de datos codificados de 3,84 Mchip/s, la DDT de 7,68 Mchip/s, en la que la información se distribuye sobre una anchura de banda aproximada de 5 MHz con una velocidad de datos codificados de 7,68 Mchip/s y la DDT de 1,28 Mchip/s, en la que la información se distribuye en una anchura de banda aproximada de 1,6 MHz con una velocidad de datos codificados de 1,28 Mchip/s. La interfaz radioeléctrica debe transportar una amplia gama de servicios y soportar eficazmente servicios basados en conmutación de circuitos (por ejemplo, redes basadas en la RTPC y la RDSI) y servicios basados en conmutación de paquetes (por ejemplo, redes basadas en IP). Se ha diseñado un protocolo radioeléctrico flexible en el que el usuario puede utilizar simultáneamente varios servicios diferentes, tales como voz, datos y multimedios, multiplexados en una única portadora. Los servicios radioeléctricos portadores definidos soportan servicios con características de tiempo real y servicios con características distintas a tiempo real mediante el transporte transparente y/o no transparente de datos. La QoS puede establecerse en términos de retardo, BER y FER.</w:t>
      </w:r>
    </w:p>
    <w:p w:rsidR="00E028C5" w:rsidRPr="00E028C5" w:rsidRDefault="00E028C5" w:rsidP="00456C44">
      <w:pPr>
        <w:rPr>
          <w:lang w:val="es-ES_tradnl"/>
        </w:rPr>
      </w:pPr>
      <w:r w:rsidRPr="00E028C5">
        <w:rPr>
          <w:lang w:val="es-ES_tradnl"/>
        </w:rPr>
        <w:t>La especificación de la interfaz radioeléctrica incluye características mejoradas para el acceso de paquetes de alta velocidad en sentido descendente (HSDPA) y capacidades mejoradas a nivel 2 (L2) para altas velocidades binarias, permitiendo la transmisión de datos en modo paquete en sentido descendente con velocidades máximas de 2,8</w:t>
      </w:r>
      <w:r w:rsidR="00456C44">
        <w:rPr>
          <w:lang w:val="es-ES_tradnl"/>
        </w:rPr>
        <w:t> </w:t>
      </w:r>
      <w:r w:rsidRPr="00E028C5">
        <w:rPr>
          <w:lang w:val="es-ES_tradnl"/>
        </w:rPr>
        <w:t>Mbit/s, 10,2 Mbit/s y 20,4 Mbit/s para los modos de</w:t>
      </w:r>
      <w:r w:rsidR="00456C44">
        <w:rPr>
          <w:lang w:val="es-ES_tradnl"/>
        </w:rPr>
        <w:t xml:space="preserve"> </w:t>
      </w:r>
      <w:r w:rsidRPr="00E028C5">
        <w:rPr>
          <w:lang w:val="es-ES_tradnl"/>
        </w:rPr>
        <w:t>1,28</w:t>
      </w:r>
      <w:r w:rsidR="00456C44">
        <w:rPr>
          <w:lang w:val="es-ES_tradnl"/>
        </w:rPr>
        <w:t> </w:t>
      </w:r>
      <w:r w:rsidRPr="00E028C5">
        <w:rPr>
          <w:lang w:val="es-ES_tradnl"/>
        </w:rPr>
        <w:t xml:space="preserve">Mchip/s, 3,84 Mchip/s y 7,68 Mchip/s respectivamente, y el uso simultáneo para datos en modo paquete y otros servicios de datos, como la voz, en una única portadora. Se han introducido mejoras en el enlace ascendente para disponer de capacidad y cobertura mejoradas, velocidades superiores y valores de retardo y variación de retardo reducidos en dicho sentido ascendente. </w:t>
      </w:r>
    </w:p>
    <w:p w:rsidR="00E028C5" w:rsidRPr="00E028C5" w:rsidRDefault="00E028C5" w:rsidP="00456C44">
      <w:pPr>
        <w:rPr>
          <w:lang w:val="es-ES_tradnl"/>
        </w:rPr>
      </w:pPr>
      <w:r w:rsidRPr="00E028C5">
        <w:rPr>
          <w:lang w:val="es-ES_tradnl"/>
        </w:rPr>
        <w:t>La inclusión de modulación de un orden superior (MAQ-16) para el enlace ascendente mejorado, permite velocidades máximas de hasta 2,2</w:t>
      </w:r>
      <w:r w:rsidR="00456C44">
        <w:rPr>
          <w:lang w:val="es-ES_tradnl"/>
        </w:rPr>
        <w:t> </w:t>
      </w:r>
      <w:r w:rsidRPr="00E028C5">
        <w:rPr>
          <w:lang w:val="es-ES_tradnl"/>
        </w:rPr>
        <w:t>Mbit/s, 9,2</w:t>
      </w:r>
      <w:r w:rsidR="00456C44">
        <w:rPr>
          <w:lang w:val="es-ES_tradnl"/>
        </w:rPr>
        <w:t> </w:t>
      </w:r>
      <w:r w:rsidRPr="00E028C5">
        <w:rPr>
          <w:lang w:val="es-ES_tradnl"/>
        </w:rPr>
        <w:t>Mbit/s y 17,7</w:t>
      </w:r>
      <w:r w:rsidR="00456C44">
        <w:rPr>
          <w:lang w:val="es-ES_tradnl"/>
        </w:rPr>
        <w:t> </w:t>
      </w:r>
      <w:r w:rsidRPr="00E028C5">
        <w:rPr>
          <w:lang w:val="es-ES_tradnl"/>
        </w:rPr>
        <w:t>Mbit/s para los modos de</w:t>
      </w:r>
      <w:r w:rsidR="00456C44">
        <w:rPr>
          <w:lang w:val="es-ES_tradnl"/>
        </w:rPr>
        <w:t xml:space="preserve"> </w:t>
      </w:r>
      <w:r w:rsidRPr="00E028C5">
        <w:rPr>
          <w:lang w:val="es-ES_tradnl"/>
        </w:rPr>
        <w:t>1,28 Mchip/s, 3,84 Mchip/s y 7,68 Mchip/s respectivamente. Se ha añadido el modo de funcionamiento multifrecuencia para el modo DDT UTRA de 1,28 Mchip/s.</w:t>
      </w:r>
    </w:p>
    <w:p w:rsidR="00E028C5" w:rsidRPr="00E028C5" w:rsidRDefault="00E028C5" w:rsidP="00E028C5">
      <w:pPr>
        <w:rPr>
          <w:lang w:val="es-ES_tradnl"/>
        </w:rPr>
      </w:pPr>
      <w:r w:rsidRPr="00E028C5">
        <w:rPr>
          <w:lang w:val="es-ES_tradnl"/>
        </w:rPr>
        <w:t>La arquitectura de la red de acceso radioeléctrica también facilita los servicios de difusión y multidifusión de multimedios, es decir, permite la distribución de contenidos multimedios a grupos de usuarios en portadores punto a multipunto.</w:t>
      </w:r>
    </w:p>
    <w:p w:rsidR="00E028C5" w:rsidRPr="00E028C5" w:rsidRDefault="00E028C5" w:rsidP="00E028C5">
      <w:pPr>
        <w:rPr>
          <w:lang w:val="es-ES_tradnl"/>
        </w:rPr>
      </w:pPr>
      <w:r w:rsidRPr="00E028C5">
        <w:rPr>
          <w:lang w:val="es-ES_tradnl"/>
        </w:rPr>
        <w:t>El UTRA evolucionado (E-UTRA) tiene por objeto conseguir la evolución de las tecnologías de acceso radioeléctrico a velocidades de transmisión de datos elevadas, con bajo retardo y optimizadas para la transmisión de paquetes.</w:t>
      </w:r>
    </w:p>
    <w:p w:rsidR="00E028C5" w:rsidRPr="00E028C5" w:rsidRDefault="00E028C5" w:rsidP="00E028C5">
      <w:pPr>
        <w:rPr>
          <w:lang w:val="es-ES_tradnl"/>
        </w:rPr>
      </w:pPr>
      <w:r w:rsidRPr="00E028C5">
        <w:rPr>
          <w:lang w:val="es-ES_tradnl"/>
        </w:rPr>
        <w:t>El esquema de trasmisión del enlace descendente se basa en MDFO convencional para conseguir un alto grado de robustez frente a la selectividad en frecuencia del canal sin perjuicio de la implementación de receptores de poca complejidad en anchuras de banda muy grandes. El esquema de transmisión del enlace ascendente se basa en SC-AMDF (AMDF de portadora única); más concretamente MDFO con ensanchamiento DFT (DFTS-MDFO). También soporta asignación multiagrupación de DFTS-MDFO. La utilización de la transmisión DFTS-MDFO para el enlace ascendente se justifica por la menor relación potencia de creta a potencia media (PAPR) de la señal transmitida frente a la MDFO convencional.</w:t>
      </w:r>
    </w:p>
    <w:p w:rsidR="00E028C5" w:rsidRPr="00E028C5" w:rsidRDefault="00E028C5" w:rsidP="00E028C5">
      <w:pPr>
        <w:rPr>
          <w:lang w:val="es-ES_tradnl"/>
        </w:rPr>
      </w:pPr>
      <w:r w:rsidRPr="00E028C5">
        <w:rPr>
          <w:lang w:val="es-ES_tradnl"/>
        </w:rPr>
        <w:lastRenderedPageBreak/>
        <w:t>E-UTRA soporta anchuras de banda desde aproximadamente 1,4 MHz hasta 100 MHz, arrojando velocidades de datos de cresta de hasta unos 3 Gbit/s en el enlace descendente y 1,5 Gbit/s en el enlace ascendente. Se recurre a la agregación de portadoras, es decir la transmisión simultánea de varias portadoras de varios componentes en paralelo hacia/desde el mismo terminal, para soportar anchuras de banda superiores a 20 MHz.</w:t>
      </w:r>
    </w:p>
    <w:p w:rsidR="00E028C5" w:rsidRPr="00E028C5" w:rsidRDefault="00E028C5" w:rsidP="00C47BCE">
      <w:pPr>
        <w:pStyle w:val="Heading1"/>
        <w:rPr>
          <w:lang w:val="es-ES_tradnl"/>
        </w:rPr>
      </w:pPr>
      <w:r w:rsidRPr="00E028C5">
        <w:rPr>
          <w:lang w:val="es-ES_tradnl"/>
        </w:rPr>
        <w:t>4</w:t>
      </w:r>
      <w:r w:rsidRPr="00E028C5">
        <w:rPr>
          <w:lang w:val="es-ES_tradnl"/>
        </w:rPr>
        <w:tab/>
        <w:t>AMDT de portadora única IMT–2000</w:t>
      </w:r>
      <w:r w:rsidR="00C47BCE">
        <w:rPr>
          <w:rStyle w:val="FootnoteReference"/>
          <w:lang w:val="es-ES_tradnl"/>
        </w:rPr>
        <w:footnoteReference w:id="10"/>
      </w:r>
    </w:p>
    <w:p w:rsidR="00E028C5" w:rsidRPr="00E028C5" w:rsidRDefault="00E028C5" w:rsidP="00E028C5">
      <w:pPr>
        <w:rPr>
          <w:lang w:val="es-ES_tradnl"/>
        </w:rPr>
      </w:pPr>
      <w:r w:rsidRPr="00E028C5">
        <w:rPr>
          <w:lang w:val="es-ES_tradnl"/>
        </w:rPr>
        <w:t>Esta interfaz radioeléctrica proporciona tres opciones de anchura de banda para datos de alta velocidad, que utilizan tecnología AMDT. La opción de anchura de banda de portadora de 200 kHz (EDGE) utiliza modulación MDP-8 o MAQ-32 con una velocidad de símbolos aumentada gracias a la modulación ARQ híbrida y consigue una velocidad de transmisión de canal en el modo de portadora dual de 1,625 Mbit/s o 3,25 Mbit/s, soportando alta movilidad. Para entornos de menos movilidad, se proporciona una anchura de banda de 1,6 MHz en la que se utiliza modulación MAQ desplazada binaria y cuaternaria con ARQ híbrido. Esta opción de anchura de banda de 1,6 MHz permite la asignación flexible de intervalos y alcanza una velocidad de transmisión de canal de 5,2 Mbit/s.</w:t>
      </w:r>
    </w:p>
    <w:p w:rsidR="00E028C5" w:rsidRPr="00E028C5" w:rsidRDefault="00E028C5" w:rsidP="00E028C5">
      <w:pPr>
        <w:rPr>
          <w:lang w:val="es-ES_tradnl"/>
        </w:rPr>
      </w:pPr>
      <w:r w:rsidRPr="00E028C5">
        <w:rPr>
          <w:lang w:val="es-ES_tradnl"/>
        </w:rPr>
        <w:t>Se proporciona un servicio de difusión o punto a multipunto enriquecido conocido como servicio de difusión/multidifusión de multimedios (MBMS,</w:t>
      </w:r>
      <w:r w:rsidRPr="00E028C5">
        <w:rPr>
          <w:kern w:val="28"/>
          <w:lang w:val="es-ES_tradnl"/>
        </w:rPr>
        <w:t xml:space="preserve"> </w:t>
      </w:r>
      <w:r w:rsidRPr="00E028C5">
        <w:rPr>
          <w:i/>
          <w:kern w:val="28"/>
          <w:lang w:val="es-ES_tradnl"/>
        </w:rPr>
        <w:t>multimedia broadcast/multicast service</w:t>
      </w:r>
      <w:r w:rsidRPr="00E028C5">
        <w:rPr>
          <w:lang w:val="es-ES_tradnl"/>
        </w:rPr>
        <w:t>). Actualmente existen servicios punto a multipunto que permiten transmitir datos desde una única entidad origen a múltiples puntos de destino. MBMS proporciona eficazmente esa capacidad para servicios de difusión/multidifusión prestados por suministradores de servicios en entornos domésticos y de otros servicios de valor añadido (VASP).</w:t>
      </w:r>
    </w:p>
    <w:p w:rsidR="00E028C5" w:rsidRPr="00E028C5" w:rsidRDefault="00E028C5" w:rsidP="00E028C5">
      <w:pPr>
        <w:rPr>
          <w:lang w:val="es-ES_tradnl"/>
        </w:rPr>
      </w:pPr>
      <w:r w:rsidRPr="00E028C5">
        <w:rPr>
          <w:lang w:val="es-ES_tradnl"/>
        </w:rPr>
        <w:t>El MBMS es un servicio portador punto a multipunto unidireccional en el que se transmiten los datos desde una entidad de origen única a múltiples receptores. También podrá ampliar su capacidad para soportar otros servicios con dichas capacidades portadoras.</w:t>
      </w:r>
    </w:p>
    <w:p w:rsidR="00E028C5" w:rsidRPr="00E028C5" w:rsidRDefault="00E028C5" w:rsidP="00E028C5">
      <w:pPr>
        <w:rPr>
          <w:lang w:val="es-ES_tradnl"/>
        </w:rPr>
      </w:pPr>
      <w:r w:rsidRPr="00E028C5">
        <w:rPr>
          <w:lang w:val="es-ES_tradnl"/>
        </w:rPr>
        <w:t>El modo multidifusión es interoperable con la multidifusión IP del IETF. Esto permitirá una óptima utilización de las plataformas de servicios IP para mejorar la disponibilidad de aplicaciones y contenidos para que los servicios actuales y futuros puedan entregarse más eficientemente desde el punto de vista de los recursos.</w:t>
      </w:r>
    </w:p>
    <w:p w:rsidR="00E028C5" w:rsidRPr="00E028C5" w:rsidRDefault="00E028C5" w:rsidP="00C47BCE">
      <w:pPr>
        <w:pStyle w:val="Heading1"/>
        <w:rPr>
          <w:lang w:val="es-ES_tradnl"/>
        </w:rPr>
      </w:pPr>
      <w:r w:rsidRPr="00E028C5">
        <w:rPr>
          <w:lang w:val="es-ES_tradnl"/>
        </w:rPr>
        <w:t>5</w:t>
      </w:r>
      <w:r w:rsidRPr="00E028C5">
        <w:rPr>
          <w:lang w:val="es-ES_tradnl"/>
        </w:rPr>
        <w:tab/>
        <w:t>AMDF/AMDT IMT–2000</w:t>
      </w:r>
      <w:r w:rsidR="00C47BCE">
        <w:rPr>
          <w:rStyle w:val="FootnoteReference"/>
          <w:lang w:val="es-ES_tradnl"/>
        </w:rPr>
        <w:footnoteReference w:id="11"/>
      </w:r>
    </w:p>
    <w:p w:rsidR="00E028C5" w:rsidRPr="00E028C5" w:rsidRDefault="00E028C5" w:rsidP="00E028C5">
      <w:pPr>
        <w:rPr>
          <w:lang w:val="es-ES_tradnl"/>
        </w:rPr>
      </w:pPr>
      <w:r w:rsidRPr="00E028C5">
        <w:rPr>
          <w:lang w:val="es-ES_tradnl"/>
        </w:rPr>
        <w:t>La interfaz radioeléctrica IMT-2000 para tecnología AMDF/AMDT se denomina telecomunicaciones digitales mejoradas sin cordón (DECT).</w:t>
      </w:r>
    </w:p>
    <w:p w:rsidR="00E028C5" w:rsidRPr="00E028C5" w:rsidRDefault="00E028C5" w:rsidP="00E028C5">
      <w:pPr>
        <w:rPr>
          <w:lang w:val="es-ES_tradnl"/>
        </w:rPr>
      </w:pPr>
      <w:r w:rsidRPr="00E028C5">
        <w:rPr>
          <w:lang w:val="es-ES_tradnl"/>
        </w:rPr>
        <w:t>Esta interfaz radioeléctrica especifica una interfaz radioeléctrica AMDT con DDT. Las velocidades de transmisión de canal para los tipos de modulación especificados son 1,152 Mbit/s, 2,304 Mbit/s, 3,456 Mbit/s, 4,608 Mbit/s y 6,912 Mbit/s. La norma soporta conexiones simétricas y asimétricas y transporte de datos con conexión y sin conexión. La utilización del funcionamiento multiportadora con, por ejemplo, tres portadoras permite velocidades binarias de hasta 20 Mbit/s. La capa de red contiene los protocolos para el control de llamadas, los servicios complementarios, el servicio de mensajes con conexión, el servicio de mensajes sin conexión y la gestión de movilidad, incluida los servicios para la seguridad y la confidencialidad.</w:t>
      </w:r>
    </w:p>
    <w:p w:rsidR="00E028C5" w:rsidRPr="00E028C5" w:rsidRDefault="00E028C5" w:rsidP="00424DE9">
      <w:pPr>
        <w:keepNext/>
        <w:keepLines/>
        <w:rPr>
          <w:lang w:val="es-ES_tradnl"/>
        </w:rPr>
      </w:pPr>
      <w:r w:rsidRPr="00E028C5">
        <w:rPr>
          <w:lang w:val="es-ES_tradnl"/>
        </w:rPr>
        <w:lastRenderedPageBreak/>
        <w:t>Se definen los canales de frecuencias de acceso radioeléctrico así como una estructura temporal. La separación entre portadoras es de 1,728 MHz. Para acceder al medio a tiempo, se utiliza una estructura regular AMDT con una duración de trama de 10 ms. En esta trama se crean 24 intervalos completos, constituido cada uno de ellos por dos mitades de intervalo. Un intervalo doble tiene una longitud de dos intervalos completos y empieza con un intervalo completo.</w:t>
      </w:r>
    </w:p>
    <w:p w:rsidR="00E028C5" w:rsidRPr="00E028C5" w:rsidRDefault="00E028C5" w:rsidP="00456C44">
      <w:pPr>
        <w:rPr>
          <w:lang w:val="es-ES_tradnl"/>
        </w:rPr>
      </w:pPr>
      <w:r w:rsidRPr="00E028C5">
        <w:rPr>
          <w:lang w:val="es-ES_tradnl"/>
        </w:rPr>
        <w:t xml:space="preserve">La modulación puede ser modulación por desplazamiento de frecuencia gaussiana (MDFG), con un producto nominal de anchura de banda por periodo binario de 0,5, modulación por desplazamiento de fase diferencial (MDPD) o modulación de amplitud en cuadratura (MAQ). El equipo puede utilizar modulaciones de 4 niveles y/o 8, y/o 16 y/o 64 niveles, además de modulaciones de 2 niveles. Esto aumenta la velocidad binaria de un único equipo radioeléctrico por un factor de 2, 3, 4 ó 6. La modulación de 4 niveles será </w:t>
      </w:r>
      <w:r w:rsidRPr="00BE3323">
        <w:sym w:font="Symbol" w:char="F070"/>
      </w:r>
      <w:r w:rsidRPr="00E028C5">
        <w:rPr>
          <w:lang w:val="es-ES_tradnl"/>
        </w:rPr>
        <w:t xml:space="preserve">/MDPD-4, la de 8 niveles será </w:t>
      </w:r>
      <w:r w:rsidRPr="00BE3323">
        <w:sym w:font="Symbol" w:char="F070"/>
      </w:r>
      <w:r w:rsidRPr="00E028C5">
        <w:rPr>
          <w:lang w:val="es-ES_tradnl"/>
        </w:rPr>
        <w:t>/MDPD</w:t>
      </w:r>
      <w:r w:rsidRPr="00E028C5">
        <w:rPr>
          <w:lang w:val="es-ES_tradnl"/>
        </w:rPr>
        <w:noBreakHyphen/>
        <w:t>8, la de 16 niveles será MAQ</w:t>
      </w:r>
      <w:r w:rsidR="00456C44">
        <w:rPr>
          <w:lang w:val="es-ES_tradnl"/>
        </w:rPr>
        <w:noBreakHyphen/>
      </w:r>
      <w:r w:rsidRPr="00E028C5">
        <w:rPr>
          <w:lang w:val="es-ES_tradnl"/>
        </w:rPr>
        <w:t xml:space="preserve">16 y la de 64 niveles MAQ-64. </w:t>
      </w:r>
    </w:p>
    <w:p w:rsidR="00E028C5" w:rsidRPr="00E028C5" w:rsidRDefault="00E028C5" w:rsidP="00E028C5">
      <w:pPr>
        <w:keepNext/>
        <w:keepLines/>
        <w:rPr>
          <w:lang w:val="es-ES_tradnl"/>
        </w:rPr>
      </w:pPr>
      <w:r w:rsidRPr="00E028C5">
        <w:rPr>
          <w:lang w:val="es-ES_tradnl"/>
        </w:rPr>
        <w:t>La capa MAC ofrece tres grupos de servicios a las capas superiores y a la entidad de gestión:</w:t>
      </w:r>
    </w:p>
    <w:p w:rsidR="00E028C5" w:rsidRPr="00E028C5" w:rsidRDefault="00E028C5" w:rsidP="00F13399">
      <w:pPr>
        <w:pStyle w:val="enumlev1"/>
        <w:rPr>
          <w:lang w:val="es-ES_tradnl"/>
        </w:rPr>
      </w:pPr>
      <w:r w:rsidRPr="00E028C5">
        <w:rPr>
          <w:lang w:val="es-ES_tradnl"/>
        </w:rPr>
        <w:t>–</w:t>
      </w:r>
      <w:r w:rsidRPr="00E028C5">
        <w:rPr>
          <w:lang w:val="es-ES_tradnl"/>
        </w:rPr>
        <w:tab/>
        <w:t>control de mensajes de difusión (BMC);</w:t>
      </w:r>
    </w:p>
    <w:p w:rsidR="00E028C5" w:rsidRPr="00E028C5" w:rsidRDefault="00E028C5" w:rsidP="00E028C5">
      <w:pPr>
        <w:pStyle w:val="enumlev1"/>
        <w:rPr>
          <w:lang w:val="es-ES_tradnl"/>
        </w:rPr>
      </w:pPr>
      <w:r w:rsidRPr="00E028C5">
        <w:rPr>
          <w:lang w:val="es-ES_tradnl"/>
        </w:rPr>
        <w:t>–</w:t>
      </w:r>
      <w:r w:rsidRPr="00E028C5">
        <w:rPr>
          <w:lang w:val="es-ES_tradnl"/>
        </w:rPr>
        <w:tab/>
        <w:t>control de mensajes sin conexión (CMC);</w:t>
      </w:r>
    </w:p>
    <w:p w:rsidR="00E028C5" w:rsidRPr="00E028C5" w:rsidRDefault="00E028C5" w:rsidP="00E028C5">
      <w:pPr>
        <w:pStyle w:val="enumlev1"/>
        <w:rPr>
          <w:lang w:val="es-ES_tradnl"/>
        </w:rPr>
      </w:pPr>
      <w:r w:rsidRPr="00E028C5">
        <w:rPr>
          <w:lang w:val="es-ES_tradnl"/>
        </w:rPr>
        <w:t>–</w:t>
      </w:r>
      <w:r w:rsidRPr="00E028C5">
        <w:rPr>
          <w:lang w:val="es-ES_tradnl"/>
        </w:rPr>
        <w:tab/>
        <w:t>control multiportador (MBC).</w:t>
      </w:r>
    </w:p>
    <w:p w:rsidR="00E028C5" w:rsidRPr="00E028C5" w:rsidRDefault="00E028C5" w:rsidP="00E028C5">
      <w:pPr>
        <w:rPr>
          <w:lang w:val="es-ES_tradnl"/>
        </w:rPr>
      </w:pPr>
      <w:r w:rsidRPr="00E028C5">
        <w:rPr>
          <w:lang w:val="es-ES_tradnl"/>
        </w:rPr>
        <w:t>El BMC proporciona un conjunto de servicios sin conexión punto a punto continuos. Se utilizan para transportar canales lógicos internos y también se ofrecen a las capas superiores. Estos canales funcionan en el sentido terminación fija (FT) a terminación transportable (PT) y están disponibles en todas las PT a su alcance.</w:t>
      </w:r>
    </w:p>
    <w:p w:rsidR="00E028C5" w:rsidRPr="00E028C5" w:rsidRDefault="00E028C5" w:rsidP="00E028C5">
      <w:pPr>
        <w:rPr>
          <w:lang w:val="es-ES_tradnl"/>
        </w:rPr>
      </w:pPr>
      <w:r w:rsidRPr="00E028C5">
        <w:rPr>
          <w:lang w:val="es-ES_tradnl"/>
        </w:rPr>
        <w:t>El CMC proporciona un servicio punto a punto o punto multipunto sin conexión a las capas superiores. Estos servicios pueden funcionar en ambos sentidos entre una FT específica y una o más PT.</w:t>
      </w:r>
    </w:p>
    <w:p w:rsidR="00E028C5" w:rsidRPr="00E028C5" w:rsidRDefault="00E028C5" w:rsidP="00E028C5">
      <w:pPr>
        <w:rPr>
          <w:lang w:val="es-ES_tradnl"/>
        </w:rPr>
      </w:pPr>
      <w:r w:rsidRPr="00E028C5">
        <w:rPr>
          <w:lang w:val="es-ES_tradnl"/>
        </w:rPr>
        <w:t>Cada instancia BMC proporciona a las capas superiores uno o varios servicios punto a punto con conexión. Un servicio BMC puede utilizar más de un portador para proporcionar un único servicio.</w:t>
      </w:r>
    </w:p>
    <w:p w:rsidR="00E028C5" w:rsidRPr="00E028C5" w:rsidRDefault="00E028C5" w:rsidP="00E028C5">
      <w:pPr>
        <w:rPr>
          <w:lang w:val="es-ES_tradnl"/>
        </w:rPr>
      </w:pPr>
      <w:r w:rsidRPr="00E028C5">
        <w:rPr>
          <w:lang w:val="es-ES_tradnl"/>
        </w:rPr>
        <w:t>Se definen cuatro tipos de portadores MAC:</w:t>
      </w:r>
    </w:p>
    <w:p w:rsidR="00E028C5" w:rsidRPr="00E028C5" w:rsidRDefault="00E028C5" w:rsidP="00E028C5">
      <w:pPr>
        <w:pStyle w:val="enumlev1"/>
        <w:rPr>
          <w:lang w:val="es-ES_tradnl"/>
        </w:rPr>
      </w:pPr>
      <w:r w:rsidRPr="00E028C5">
        <w:rPr>
          <w:lang w:val="es-ES_tradnl"/>
        </w:rPr>
        <w:t>–</w:t>
      </w:r>
      <w:r w:rsidRPr="00E028C5">
        <w:rPr>
          <w:lang w:val="es-ES_tradnl"/>
        </w:rPr>
        <w:tab/>
        <w:t>Portador símplex: un portador símplex se crea para asignar un canal físico para transmisiones en un sentido.</w:t>
      </w:r>
    </w:p>
    <w:p w:rsidR="00E028C5" w:rsidRPr="00E028C5" w:rsidRDefault="00E028C5" w:rsidP="00E028C5">
      <w:pPr>
        <w:pStyle w:val="enumlev1"/>
        <w:rPr>
          <w:lang w:val="es-ES_tradnl"/>
        </w:rPr>
      </w:pPr>
      <w:r w:rsidRPr="00E028C5">
        <w:rPr>
          <w:lang w:val="es-ES_tradnl"/>
        </w:rPr>
        <w:t>–</w:t>
      </w:r>
      <w:r w:rsidRPr="00E028C5">
        <w:rPr>
          <w:lang w:val="es-ES_tradnl"/>
        </w:rPr>
        <w:tab/>
        <w:t>Portador dúplex: un portador dúplex se crea mediante un par de portadores símplex, que funcionan en sentidos opuestos en dos canales físicos.</w:t>
      </w:r>
    </w:p>
    <w:p w:rsidR="00E028C5" w:rsidRPr="00E028C5" w:rsidRDefault="00E028C5" w:rsidP="00E028C5">
      <w:pPr>
        <w:pStyle w:val="enumlev1"/>
        <w:rPr>
          <w:lang w:val="es-ES_tradnl"/>
        </w:rPr>
      </w:pPr>
      <w:r w:rsidRPr="00E028C5">
        <w:rPr>
          <w:lang w:val="es-ES_tradnl"/>
        </w:rPr>
        <w:t>–</w:t>
      </w:r>
      <w:r w:rsidRPr="00E028C5">
        <w:rPr>
          <w:lang w:val="es-ES_tradnl"/>
        </w:rPr>
        <w:tab/>
        <w:t>Portador símplex doble: se crea un portador símplex doble mediante un par de portadores símplex largos que funcionan en el mismo sentido en dos canales físicos.</w:t>
      </w:r>
    </w:p>
    <w:p w:rsidR="00E028C5" w:rsidRPr="00E028C5" w:rsidRDefault="00E028C5" w:rsidP="00E028C5">
      <w:pPr>
        <w:pStyle w:val="enumlev1"/>
        <w:rPr>
          <w:lang w:val="es-ES_tradnl"/>
        </w:rPr>
      </w:pPr>
      <w:r w:rsidRPr="00E028C5">
        <w:rPr>
          <w:lang w:val="es-ES_tradnl"/>
        </w:rPr>
        <w:t>–</w:t>
      </w:r>
      <w:r w:rsidRPr="00E028C5">
        <w:rPr>
          <w:lang w:val="es-ES_tradnl"/>
        </w:rPr>
        <w:tab/>
        <w:t>Portador dúplex doble: un portador dúplex doble está compuesto por un par de portadores dúplex que se refieren a la misma conexión MAC.</w:t>
      </w:r>
    </w:p>
    <w:p w:rsidR="00E028C5" w:rsidRPr="00E028C5" w:rsidRDefault="00E028C5" w:rsidP="00E028C5">
      <w:pPr>
        <w:rPr>
          <w:lang w:val="es-ES_tradnl"/>
        </w:rPr>
      </w:pPr>
      <w:r w:rsidRPr="00E028C5">
        <w:rPr>
          <w:lang w:val="es-ES_tradnl"/>
        </w:rPr>
        <w:t>Un portador puede estar en uno de los tres estados de funcionamiento siguientes:</w:t>
      </w:r>
    </w:p>
    <w:p w:rsidR="00E028C5" w:rsidRPr="00E028C5" w:rsidRDefault="00E028C5" w:rsidP="00E028C5">
      <w:pPr>
        <w:pStyle w:val="enumlev1"/>
        <w:rPr>
          <w:lang w:val="es-ES_tradnl"/>
        </w:rPr>
      </w:pPr>
      <w:r w:rsidRPr="00E028C5">
        <w:rPr>
          <w:lang w:val="es-ES_tradnl"/>
        </w:rPr>
        <w:t>–</w:t>
      </w:r>
      <w:r w:rsidRPr="00E028C5">
        <w:rPr>
          <w:lang w:val="es-ES_tradnl"/>
        </w:rPr>
        <w:tab/>
        <w:t>Estado simulado: en el que hay normalmente transmisiones continuas (es decir, una transmisión en cada trama).</w:t>
      </w:r>
    </w:p>
    <w:p w:rsidR="00E028C5" w:rsidRPr="00E028C5" w:rsidRDefault="00E028C5" w:rsidP="00E028C5">
      <w:pPr>
        <w:pStyle w:val="enumlev1"/>
        <w:rPr>
          <w:lang w:val="es-ES_tradnl"/>
        </w:rPr>
      </w:pPr>
      <w:r w:rsidRPr="00E028C5">
        <w:rPr>
          <w:lang w:val="es-ES_tradnl"/>
        </w:rPr>
        <w:t>–</w:t>
      </w:r>
      <w:r w:rsidRPr="00E028C5">
        <w:rPr>
          <w:lang w:val="es-ES_tradnl"/>
        </w:rPr>
        <w:tab/>
        <w:t>Portador de tráfico: cuando existen transmisiones punto a punto continuas. Un portador de tráfico es un portador dúplex o un portador símplex doble o un portador dúplex doble.</w:t>
      </w:r>
    </w:p>
    <w:p w:rsidR="00E028C5" w:rsidRPr="00E028C5" w:rsidRDefault="00E028C5" w:rsidP="00E028C5">
      <w:pPr>
        <w:pStyle w:val="enumlev1"/>
        <w:rPr>
          <w:lang w:val="es-ES_tradnl"/>
        </w:rPr>
      </w:pPr>
      <w:r w:rsidRPr="00E028C5">
        <w:rPr>
          <w:lang w:val="es-ES_tradnl"/>
        </w:rPr>
        <w:t>–</w:t>
      </w:r>
      <w:r w:rsidRPr="00E028C5">
        <w:rPr>
          <w:lang w:val="es-ES_tradnl"/>
        </w:rPr>
        <w:tab/>
        <w:t>Portador sin conexión: cuando existen transmisiones discontinuas. Un portador sin conexión es un portador símplex o dúplex.</w:t>
      </w:r>
    </w:p>
    <w:p w:rsidR="00E028C5" w:rsidRPr="00E028C5" w:rsidRDefault="00E028C5" w:rsidP="00E028C5">
      <w:pPr>
        <w:rPr>
          <w:lang w:val="es-ES_tradnl"/>
        </w:rPr>
      </w:pPr>
      <w:r w:rsidRPr="00E028C5">
        <w:rPr>
          <w:lang w:val="es-ES_tradnl"/>
        </w:rPr>
        <w:t>La capa MAC define una estructura lógica para los canales físicos. La velocidad binaria de usuario depende del tipo de intervalo seleccionado, del esquema de modulación, del nivel de protección, del número de intervalos y del número de portadoras.</w:t>
      </w:r>
    </w:p>
    <w:p w:rsidR="00E028C5" w:rsidRPr="00E028C5" w:rsidRDefault="00E028C5" w:rsidP="00E028C5">
      <w:pPr>
        <w:rPr>
          <w:lang w:val="es-ES_tradnl"/>
        </w:rPr>
      </w:pPr>
      <w:r w:rsidRPr="00E028C5">
        <w:rPr>
          <w:lang w:val="es-ES_tradnl"/>
        </w:rPr>
        <w:lastRenderedPageBreak/>
        <w:t>Los mensajes y procedimientos de selección de canales dinámicos de instante obligatorios permiten la coexistencia efectiva de sistemas públicos y privados no coordinados en la banda de frecuencias designada común y hacen innecesaria la planificación de frecuencias tradicional. Cada dispositivo tiene acceso a todos los canales (combinaciones de tiempo y de frecuencia). Cuando se necesita una conexión, se selecciona el canal que en ese instante y en esa ubicación tiene menos interferencias de todos los canales de acceso comunes. Ello evita la planificación tradicional de frecuencias y simplifica en gran medida las instalaciones. Este procedimiento también proporciona cada vez mayor capacidad a las estaciones de base, situadas cada vez más próximas entre sí, y mantiene al mismo tiempo una calidad alta del enlace radioeléctrico. Al no necesitar distribuir las frecuencias entre diferentes servicios o usuarios, se hace un uso eficiente del espectro.</w:t>
      </w:r>
    </w:p>
    <w:p w:rsidR="00E028C5" w:rsidRPr="00E028C5" w:rsidRDefault="00E028C5" w:rsidP="00E028C5">
      <w:pPr>
        <w:rPr>
          <w:lang w:val="es-ES_tradnl"/>
        </w:rPr>
      </w:pPr>
      <w:r w:rsidRPr="00E028C5">
        <w:rPr>
          <w:lang w:val="es-ES_tradnl"/>
        </w:rPr>
        <w:t>Las últimas especificaciones proporcionan una actualización al denominado «DECT de nueva generación» en el que el interés principal reside en el soporte de servicios basados en IP. La calidad del servicio de voz mejora aún más utilizando codificación de banda ancha. El códec obligatorio para interfuncionamiento en la interfaz aérea es el de la Recomendación UIT-T G.722. También se pueden negociar otros códecs opcionales. Además de voz por IP, el «DECT de nueva generación» puede proporcionar audio, vídeo y otros servicios basados en IP.</w:t>
      </w:r>
    </w:p>
    <w:p w:rsidR="00E028C5" w:rsidRPr="00E028C5" w:rsidRDefault="00E028C5" w:rsidP="00C47BCE">
      <w:pPr>
        <w:pStyle w:val="Heading1"/>
        <w:rPr>
          <w:lang w:val="es-ES_tradnl" w:eastAsia="ja-JP"/>
        </w:rPr>
      </w:pPr>
      <w:r w:rsidRPr="00E028C5">
        <w:rPr>
          <w:lang w:val="es-ES_tradnl"/>
        </w:rPr>
        <w:t>6</w:t>
      </w:r>
      <w:r w:rsidRPr="00E028C5">
        <w:rPr>
          <w:lang w:val="es-ES_tradnl"/>
        </w:rPr>
        <w:tab/>
        <w:t>WMAN DDT con AMDFO IMT–2000</w:t>
      </w:r>
      <w:r w:rsidR="00C47BCE">
        <w:rPr>
          <w:rStyle w:val="FootnoteReference"/>
          <w:lang w:val="es-ES_tradnl"/>
        </w:rPr>
        <w:footnoteReference w:id="12"/>
      </w:r>
    </w:p>
    <w:p w:rsidR="00E028C5" w:rsidRPr="00E028C5" w:rsidRDefault="00E028C5" w:rsidP="00E028C5">
      <w:pPr>
        <w:rPr>
          <w:lang w:val="es-ES_tradnl" w:eastAsia="zh-CN"/>
        </w:rPr>
      </w:pPr>
      <w:r w:rsidRPr="00E028C5">
        <w:rPr>
          <w:lang w:val="es-ES_tradnl" w:eastAsia="zh-CN"/>
        </w:rPr>
        <w:t>La interfaz radioeléctrica IMT-2000 para WMAN DDT con AMDFO se basa en la interfaz 802.16 del IEEE, desarrollada y mantenida por el Grupo de trabajo IEEE 802.16 sobre accesos inalámbricos de banda ancha. Es publicada por la Asociación de Normas del IEEE (IEEE-SA) del Instituto de Ingenieros Eléctricos y Electrónicos (IEEE). La tecnología de la interfaz radioeléctrica de la norma IEEE 802.16 es flexible y puede utilizarse para una amplia gama de aplicaciones, frecuencias de funcionamiento y entornos reglamentarios. La IEEE 802.16 incluye varias especificaciones de la capa física, una de las cuales es conocida como MAN inalámbrica-AMDFO (</w:t>
      </w:r>
      <w:r w:rsidRPr="00E028C5">
        <w:rPr>
          <w:i/>
          <w:lang w:val="es-ES_tradnl" w:eastAsia="zh-CN"/>
        </w:rPr>
        <w:t>WirelessMAN-OFDMA</w:t>
      </w:r>
      <w:r w:rsidRPr="00E028C5">
        <w:rPr>
          <w:lang w:val="es-ES_tradnl" w:eastAsia="zh-CN"/>
        </w:rPr>
        <w:t>). La WMAN DDT AMDFO es un caso especial de MAN inalámbrica</w:t>
      </w:r>
      <w:r w:rsidRPr="00E028C5">
        <w:rPr>
          <w:lang w:val="es-ES_tradnl" w:eastAsia="zh-CN"/>
        </w:rPr>
        <w:noBreakHyphen/>
        <w:t>AMDFO con una interfaz radioeléctrica interoperable específica. La WMAN DDT AMDFO descrita en este documento funciona en DDT y DDF.</w:t>
      </w:r>
    </w:p>
    <w:p w:rsidR="00E028C5" w:rsidRPr="00E028C5" w:rsidRDefault="00E028C5" w:rsidP="00E028C5">
      <w:pPr>
        <w:rPr>
          <w:lang w:val="es-ES_tradnl"/>
        </w:rPr>
      </w:pPr>
      <w:r w:rsidRPr="00E028C5">
        <w:rPr>
          <w:lang w:val="es-ES_tradnl"/>
        </w:rPr>
        <w:t xml:space="preserve">La interfaz radioeléctrica </w:t>
      </w:r>
      <w:r w:rsidRPr="00E028C5">
        <w:rPr>
          <w:lang w:val="es-ES_tradnl" w:eastAsia="zh-CN"/>
        </w:rPr>
        <w:t xml:space="preserve">WMAN DDT AMDFO incluye las dos capas inferiores, la capa física (PHY) y la capa de control del enlace de datos (DLC). El elemento más bajo de la DLC es el MAC; el elemento superior de la DLC es la capa de control del enlace lógico (LLC). La PHY está basada en AMDFO con canalizaciones flexibles en las bandas de </w:t>
      </w:r>
      <w:r w:rsidRPr="00E028C5">
        <w:rPr>
          <w:lang w:val="es-ES_tradnl" w:eastAsia="ko-KR"/>
        </w:rPr>
        <w:t>5 MHz, 7 MHz, 8,75 MHz y 10 MHz. El MAC se basa en un protocolo con conexión diseñado para ser utilizado en una configuración punto a multipunto. Está diseñada para poder transportar una amplia gama de servicios con conmutación de paquetes (típicamente basados en IP) y permitir simultáneamente un control fino e instantáneo de la atribución de recursos para poder diferenciar calidades de servicio (QoS) en un entorno de prestador de servicios con alto un nivel de exigencia y prestaciones (</w:t>
      </w:r>
      <w:r w:rsidRPr="00E028C5">
        <w:rPr>
          <w:i/>
          <w:lang w:val="es-ES_tradnl" w:eastAsia="ko-KR"/>
        </w:rPr>
        <w:t>carrier class</w:t>
      </w:r>
      <w:r w:rsidRPr="00E028C5">
        <w:rPr>
          <w:lang w:val="es-ES_tradnl" w:eastAsia="ko-KR"/>
        </w:rPr>
        <w:t>).</w:t>
      </w:r>
    </w:p>
    <w:p w:rsidR="00E028C5" w:rsidRPr="00E028C5" w:rsidRDefault="00E028C5" w:rsidP="00E028C5">
      <w:pPr>
        <w:rPr>
          <w:lang w:val="es-ES_tradnl"/>
        </w:rPr>
      </w:pPr>
      <w:r w:rsidRPr="00E028C5">
        <w:rPr>
          <w:lang w:val="es-ES_tradnl"/>
        </w:rPr>
        <w:t xml:space="preserve">La interfaz radioeléctrica </w:t>
      </w:r>
      <w:r w:rsidRPr="00E028C5">
        <w:rPr>
          <w:lang w:val="es-ES_tradnl" w:eastAsia="zh-CN"/>
        </w:rPr>
        <w:t>WMAN DDT AMDFO ha sido diseñada para transportar tráfico de paquetes, incluido tráfico IP. Es suficientemente flexible como para soportar una amplia gama de arquitecturas de red de alto nivel para uso fijo, nómada o plenamente móvil, con capacidad de traspaso. Soporta la funcionalidad adecuada para servicios de datos genéricos así como para servicios de voz y multimedios críticos en relación con el tiempo, servicios de difusión y multidifusión y servicios regulados obligatorios.</w:t>
      </w:r>
    </w:p>
    <w:p w:rsidR="00E028C5" w:rsidRPr="00E028C5" w:rsidRDefault="00E028C5" w:rsidP="00456C44">
      <w:pPr>
        <w:keepNext/>
        <w:keepLines/>
        <w:rPr>
          <w:lang w:val="es-ES_tradnl" w:eastAsia="zh-CN"/>
        </w:rPr>
      </w:pPr>
      <w:r w:rsidRPr="00E028C5">
        <w:rPr>
          <w:lang w:val="es-ES_tradnl"/>
        </w:rPr>
        <w:lastRenderedPageBreak/>
        <w:t>La norma de la interfaz radioeléctrica especifica las capas 1 y 2; no está incluida la especificación de las capas de red de nivel superior. Ofrece la ventaja de flexibilidad y apertura en la interfaz entre las capas</w:t>
      </w:r>
      <w:r w:rsidR="00456C44">
        <w:rPr>
          <w:lang w:val="es-ES_tradnl"/>
        </w:rPr>
        <w:t> </w:t>
      </w:r>
      <w:r w:rsidRPr="00E028C5">
        <w:rPr>
          <w:lang w:val="es-ES_tradnl"/>
        </w:rPr>
        <w:t>2 y 3 y permite una amplia gama de infraestructuras de red. La interfaz radioeléctrica es compatible con las arquitecturas de red definidas en la Recomendación UIT-T Q.1701. En particular, en el documento «</w:t>
      </w:r>
      <w:r w:rsidRPr="00E028C5">
        <w:rPr>
          <w:rFonts w:eastAsia="Batang"/>
          <w:szCs w:val="24"/>
          <w:lang w:val="es-ES_tradnl" w:eastAsia="ko-KR"/>
        </w:rPr>
        <w:t>WiMAX End to End Network Systems Architecture Stage 2-3</w:t>
      </w:r>
      <w:r w:rsidRPr="00E028C5">
        <w:rPr>
          <w:szCs w:val="24"/>
          <w:lang w:val="es-ES_tradnl"/>
        </w:rPr>
        <w:t>», del</w:t>
      </w:r>
      <w:r w:rsidRPr="00E028C5">
        <w:rPr>
          <w:lang w:val="es-ES_tradnl"/>
        </w:rPr>
        <w:t xml:space="preserve"> WiMAX Forum</w:t>
      </w:r>
      <w:r w:rsidR="00C47BCE">
        <w:rPr>
          <w:rStyle w:val="FootnoteReference"/>
          <w:lang w:val="es-ES_tradnl"/>
        </w:rPr>
        <w:footnoteReference w:id="13"/>
      </w:r>
      <w:r w:rsidRPr="00E028C5">
        <w:rPr>
          <w:lang w:val="es-ES_tradnl"/>
        </w:rPr>
        <w:t xml:space="preserve"> se describe un diseño de arquitectura de red que optimiza la utilización de la Norma IEEE</w:t>
      </w:r>
      <w:r w:rsidR="00C47BCE">
        <w:rPr>
          <w:lang w:val="es-ES_tradnl"/>
        </w:rPr>
        <w:t> </w:t>
      </w:r>
      <w:r w:rsidRPr="00E028C5">
        <w:rPr>
          <w:lang w:val="es-ES_tradnl"/>
        </w:rPr>
        <w:t xml:space="preserve">802.16 y la interfaz radioeléctrica </w:t>
      </w:r>
      <w:r w:rsidRPr="00E028C5">
        <w:rPr>
          <w:lang w:val="es-ES_tradnl" w:eastAsia="zh-CN"/>
        </w:rPr>
        <w:t>WMAN DDT AMDFO.</w:t>
      </w:r>
    </w:p>
    <w:p w:rsidR="00E028C5" w:rsidRDefault="00E028C5" w:rsidP="00E028C5">
      <w:pPr>
        <w:tabs>
          <w:tab w:val="clear" w:pos="794"/>
          <w:tab w:val="clear" w:pos="1191"/>
          <w:tab w:val="clear" w:pos="1588"/>
          <w:tab w:val="clear" w:pos="1985"/>
        </w:tabs>
        <w:overflowPunct/>
        <w:autoSpaceDE/>
        <w:autoSpaceDN/>
        <w:adjustRightInd/>
        <w:spacing w:before="0"/>
        <w:textAlignment w:val="auto"/>
        <w:rPr>
          <w:lang w:val="es-ES_tradnl" w:eastAsia="zh-CN"/>
        </w:rPr>
      </w:pPr>
    </w:p>
    <w:p w:rsidR="00424DE9" w:rsidRPr="00E028C5" w:rsidRDefault="00424DE9" w:rsidP="00E028C5">
      <w:pPr>
        <w:tabs>
          <w:tab w:val="clear" w:pos="794"/>
          <w:tab w:val="clear" w:pos="1191"/>
          <w:tab w:val="clear" w:pos="1588"/>
          <w:tab w:val="clear" w:pos="1985"/>
        </w:tabs>
        <w:overflowPunct/>
        <w:autoSpaceDE/>
        <w:autoSpaceDN/>
        <w:adjustRightInd/>
        <w:spacing w:before="0"/>
        <w:textAlignment w:val="auto"/>
        <w:rPr>
          <w:lang w:val="es-ES_tradnl" w:eastAsia="zh-CN"/>
        </w:rPr>
      </w:pPr>
    </w:p>
    <w:p w:rsidR="00E028C5" w:rsidRPr="00E028C5" w:rsidRDefault="00E028C5" w:rsidP="002E254C">
      <w:pPr>
        <w:pStyle w:val="AnnexNoTitle"/>
        <w:rPr>
          <w:lang w:val="es-ES_tradnl"/>
        </w:rPr>
      </w:pPr>
      <w:r w:rsidRPr="00E028C5">
        <w:rPr>
          <w:lang w:val="es-ES_tradnl"/>
        </w:rPr>
        <w:t>Anexo 3</w:t>
      </w:r>
      <w:r w:rsidRPr="00E028C5">
        <w:rPr>
          <w:lang w:val="es-ES_tradnl"/>
        </w:rPr>
        <w:br/>
      </w:r>
      <w:r w:rsidRPr="00E028C5">
        <w:rPr>
          <w:lang w:val="es-ES_tradnl"/>
        </w:rPr>
        <w:br/>
        <w:t>Interfaces radioeléctricas terrenales de las IMT</w:t>
      </w:r>
      <w:r w:rsidR="002E254C">
        <w:rPr>
          <w:lang w:val="es-ES_tradnl"/>
        </w:rPr>
        <w:t>-</w:t>
      </w:r>
      <w:r w:rsidRPr="00E028C5">
        <w:rPr>
          <w:lang w:val="es-ES_tradnl"/>
        </w:rPr>
        <w:t>Avanzadas</w:t>
      </w:r>
    </w:p>
    <w:p w:rsidR="00E028C5" w:rsidRPr="00E028C5" w:rsidRDefault="002E254C" w:rsidP="00C47BCE">
      <w:pPr>
        <w:pStyle w:val="Heading1"/>
        <w:rPr>
          <w:lang w:val="es-ES_tradnl"/>
        </w:rPr>
      </w:pPr>
      <w:r>
        <w:rPr>
          <w:lang w:val="es-ES_tradnl"/>
        </w:rPr>
        <w:t>1</w:t>
      </w:r>
      <w:r>
        <w:rPr>
          <w:lang w:val="es-ES_tradnl"/>
        </w:rPr>
        <w:tab/>
        <w:t>LTE-</w:t>
      </w:r>
      <w:r w:rsidR="00E028C5" w:rsidRPr="00E028C5">
        <w:rPr>
          <w:lang w:val="es-ES_tradnl"/>
        </w:rPr>
        <w:t>Avanzadas</w:t>
      </w:r>
      <w:r w:rsidR="00C47BCE">
        <w:rPr>
          <w:rStyle w:val="FootnoteReference"/>
          <w:lang w:val="es-ES_tradnl"/>
        </w:rPr>
        <w:footnoteReference w:id="14"/>
      </w:r>
    </w:p>
    <w:p w:rsidR="00E028C5" w:rsidRPr="00E028C5" w:rsidRDefault="00E028C5" w:rsidP="00E028C5">
      <w:pPr>
        <w:rPr>
          <w:rFonts w:eastAsia="SimSun"/>
          <w:lang w:val="es-ES_tradnl"/>
        </w:rPr>
      </w:pPr>
      <w:r w:rsidRPr="00E028C5">
        <w:rPr>
          <w:rFonts w:eastAsia="SimSun"/>
          <w:lang w:val="es-ES_tradnl"/>
        </w:rPr>
        <w:t xml:space="preserve">Las especificaciones de la interfaz radioeléctrica terrenal de las IMT-Avanzadas conocida como </w:t>
      </w:r>
      <w:r w:rsidRPr="00E028C5">
        <w:rPr>
          <w:rFonts w:eastAsia="SimSun"/>
          <w:i/>
          <w:iCs/>
          <w:lang w:val="es-ES_tradnl"/>
        </w:rPr>
        <w:t>LTE</w:t>
      </w:r>
      <w:r w:rsidRPr="00E028C5">
        <w:rPr>
          <w:rFonts w:eastAsia="SimSun"/>
          <w:i/>
          <w:iCs/>
          <w:lang w:val="es-ES_tradnl"/>
        </w:rPr>
        <w:noBreakHyphen/>
        <w:t>Avanzada</w:t>
      </w:r>
      <w:r w:rsidRPr="00E028C5">
        <w:rPr>
          <w:rFonts w:eastAsia="SimSun"/>
          <w:lang w:val="es-ES_tradnl"/>
        </w:rPr>
        <w:t xml:space="preserve"> basada en la LTE Versión 10 y sistemas posteriores, se elaboran en el 3GPP.</w:t>
      </w:r>
    </w:p>
    <w:p w:rsidR="00E028C5" w:rsidRPr="00E028C5" w:rsidRDefault="00E028C5" w:rsidP="00456C44">
      <w:pPr>
        <w:rPr>
          <w:rFonts w:eastAsia="SimSun"/>
          <w:lang w:val="es-ES_tradnl" w:eastAsia="zh-CN"/>
        </w:rPr>
      </w:pPr>
      <w:r w:rsidRPr="00E028C5">
        <w:rPr>
          <w:rFonts w:eastAsia="SimSun"/>
          <w:iCs/>
          <w:lang w:val="es-ES_tradnl" w:eastAsia="zh-CN"/>
        </w:rPr>
        <w:t xml:space="preserve">La </w:t>
      </w:r>
      <w:r w:rsidRPr="00E028C5">
        <w:rPr>
          <w:rFonts w:eastAsia="SimSun"/>
          <w:i/>
          <w:iCs/>
          <w:lang w:val="es-ES_tradnl" w:eastAsia="zh-CN"/>
        </w:rPr>
        <w:t>LTE-Avanzada</w:t>
      </w:r>
      <w:r w:rsidRPr="00E028C5">
        <w:rPr>
          <w:rFonts w:eastAsia="SimSun"/>
          <w:lang w:val="es-ES_tradnl"/>
        </w:rPr>
        <w:t xml:space="preserve"> es un conjunto de RIT (tecnologías de la interfaz radioeléctrica) que consta de una RIT</w:t>
      </w:r>
      <w:r w:rsidR="00456C44">
        <w:rPr>
          <w:rFonts w:eastAsia="SimSun"/>
          <w:lang w:val="es-ES_tradnl"/>
        </w:rPr>
        <w:t> </w:t>
      </w:r>
      <w:r w:rsidRPr="00E028C5">
        <w:rPr>
          <w:rFonts w:eastAsia="SimSun"/>
          <w:lang w:val="es-ES_tradnl"/>
        </w:rPr>
        <w:t>FDD y una RIT TDD diseñadas para funcionar en un espectro de frecuencias apareadas y no apareadas, respectivamente. Las</w:t>
      </w:r>
      <w:r w:rsidRPr="00E028C5">
        <w:rPr>
          <w:rFonts w:eastAsia="SimSun"/>
          <w:lang w:val="es-ES_tradnl" w:eastAsia="zh-CN"/>
        </w:rPr>
        <w:t xml:space="preserve"> RIT TDD se denominan asimismo TD-LTE Versión 10 y sistemas posteriores o </w:t>
      </w:r>
      <w:r w:rsidRPr="00E028C5">
        <w:rPr>
          <w:rFonts w:eastAsia="SimSun"/>
          <w:i/>
          <w:iCs/>
          <w:lang w:val="es-ES_tradnl" w:eastAsia="zh-CN"/>
        </w:rPr>
        <w:t>TD-LTE-Avanzada</w:t>
      </w:r>
      <w:r w:rsidRPr="00E028C5">
        <w:rPr>
          <w:rFonts w:eastAsia="SimSun"/>
          <w:lang w:val="es-ES_tradnl" w:eastAsia="zh-CN"/>
        </w:rPr>
        <w:t>. Las dos RIT han sido desarrolladas conjuntamente, por lo que poseen un alto grado de uniformidad, sin perjuicio de la optimización de cada RIT con respecto a su esquema específico de espectro/dúplex.</w:t>
      </w:r>
    </w:p>
    <w:p w:rsidR="00E028C5" w:rsidRPr="00E028C5" w:rsidRDefault="00E028C5" w:rsidP="00E028C5">
      <w:pPr>
        <w:rPr>
          <w:rFonts w:eastAsia="SimSun"/>
          <w:lang w:val="es-ES_tradnl"/>
        </w:rPr>
      </w:pPr>
      <w:r w:rsidRPr="00E028C5">
        <w:rPr>
          <w:rFonts w:eastAsia="SimSun"/>
          <w:lang w:val="es-ES_tradnl"/>
        </w:rPr>
        <w:t>La RIT FDD y la RIT TDD representan la evolución de las primeras versiones de la LTE FDD y la LTE TDD, respectivamente. Ambas RIT comparten muchas de las estructuras subyacentes, lo que simplifica la implementación de los equipos de acceso radioeléctrico en modo dual. Se soportan anchuras de bandas de transmisión de hasta 100 MHz, obteniendo velocidades de datos de cresta de hasta 3 Gbit/s en el enlace descendente y 1,5 Gbit/s en el ascendente, aproximadamente.</w:t>
      </w:r>
    </w:p>
    <w:p w:rsidR="00E028C5" w:rsidRPr="00E028C5" w:rsidRDefault="00E028C5" w:rsidP="00E028C5">
      <w:pPr>
        <w:rPr>
          <w:rFonts w:eastAsia="SimSun"/>
          <w:lang w:val="es-ES_tradnl"/>
        </w:rPr>
      </w:pPr>
      <w:r w:rsidRPr="00E028C5">
        <w:rPr>
          <w:rFonts w:eastAsia="SimSun"/>
          <w:lang w:val="es-ES_tradnl"/>
        </w:rPr>
        <w:t>El esquema de transmisión del enlace descendente utiliza MDFO convencional para conseguir un alto grado de robustez frente a la selectividad en frecuencia del canal sin perjuicio de la implementación de receptores de poca complejidad incluso en anchuras de banda muy grandes.</w:t>
      </w:r>
    </w:p>
    <w:p w:rsidR="00E028C5" w:rsidRPr="00E028C5" w:rsidRDefault="00E028C5" w:rsidP="00E028C5">
      <w:pPr>
        <w:rPr>
          <w:rFonts w:eastAsia="SimSun"/>
          <w:lang w:val="es-ES_tradnl"/>
        </w:rPr>
      </w:pPr>
      <w:r w:rsidRPr="00E028C5">
        <w:rPr>
          <w:rFonts w:eastAsia="SimSun"/>
          <w:lang w:val="es-ES_tradnl"/>
        </w:rPr>
        <w:t>El esquema de transmisión del enlace ascendente utiliza MDFO con ensanchamiento DFT (DFTS</w:t>
      </w:r>
      <w:r w:rsidRPr="00E028C5">
        <w:rPr>
          <w:rFonts w:eastAsia="SimSun"/>
          <w:lang w:val="es-ES_tradnl"/>
        </w:rPr>
        <w:noBreakHyphen/>
        <w:t>MDFO). La utilización de la transmisión DFTS-MDFO para el enlace ascendente se justifica por la menor relación potencia de cresta a potencia media (PAPR) de la señal transmitida frente a la MDFO convencional. Esto permite utilizar con mayor eficiencia el amplificador de potencia del terminal, lo que se traduce en un aumento de la cobertura y un menor consumo de energía del terminal. La numeración del enlace ascendente está alineada con la del descendente.</w:t>
      </w:r>
    </w:p>
    <w:p w:rsidR="00E028C5" w:rsidRPr="00E028C5" w:rsidRDefault="00E028C5" w:rsidP="00A0514D">
      <w:pPr>
        <w:rPr>
          <w:rFonts w:eastAsia="SimSun"/>
          <w:lang w:val="es-ES_tradnl"/>
        </w:rPr>
      </w:pPr>
      <w:r w:rsidRPr="00E028C5">
        <w:rPr>
          <w:rFonts w:eastAsia="SimSun"/>
          <w:lang w:val="es-ES_tradnl"/>
        </w:rPr>
        <w:t xml:space="preserve">Al canal se le aplica una codificación </w:t>
      </w:r>
      <w:r w:rsidR="002E254C" w:rsidRPr="00E028C5">
        <w:rPr>
          <w:rFonts w:eastAsia="SimSun"/>
          <w:lang w:val="es-ES_tradnl"/>
        </w:rPr>
        <w:t xml:space="preserve">turbo </w:t>
      </w:r>
      <w:r w:rsidRPr="00E028C5">
        <w:rPr>
          <w:rFonts w:eastAsia="SimSun"/>
          <w:lang w:val="es-ES_tradnl"/>
        </w:rPr>
        <w:t>de velocidad</w:t>
      </w:r>
      <w:r w:rsidRPr="00E028C5">
        <w:rPr>
          <w:rFonts w:eastAsia="SimSun"/>
          <w:lang w:val="es-ES_tradnl"/>
        </w:rPr>
        <w:noBreakHyphen/>
        <w:t>1/3 que viene complementada por ARQ</w:t>
      </w:r>
      <w:r w:rsidR="00A0514D">
        <w:rPr>
          <w:rFonts w:eastAsia="SimSun"/>
          <w:lang w:val="es-ES_tradnl"/>
        </w:rPr>
        <w:t> </w:t>
      </w:r>
      <w:r w:rsidR="00A0514D" w:rsidRPr="00E028C5">
        <w:rPr>
          <w:rFonts w:eastAsia="SimSun"/>
          <w:lang w:val="es-ES_tradnl"/>
        </w:rPr>
        <w:t xml:space="preserve">híbrida </w:t>
      </w:r>
      <w:r w:rsidRPr="00E028C5">
        <w:rPr>
          <w:rFonts w:eastAsia="SimSun"/>
          <w:lang w:val="es-ES_tradnl"/>
        </w:rPr>
        <w:t>con combinación blanda para resolver los errores de decodificación en el extremo receptor. La modulación de datos soporta MDP-4, MAQ-16 y MAQ-64 tanto para el enlace descendente como para el ascendente.</w:t>
      </w:r>
    </w:p>
    <w:p w:rsidR="00E028C5" w:rsidRPr="00E028C5" w:rsidRDefault="00E028C5" w:rsidP="00E028C5">
      <w:pPr>
        <w:rPr>
          <w:rFonts w:eastAsia="SimSun"/>
          <w:lang w:val="es-ES_tradnl"/>
        </w:rPr>
      </w:pPr>
      <w:r w:rsidRPr="00E028C5">
        <w:rPr>
          <w:rFonts w:eastAsia="SimSun"/>
          <w:lang w:val="es-ES_tradnl"/>
        </w:rPr>
        <w:lastRenderedPageBreak/>
        <w:t>Las RIT FDD y TDD soportan anchuras de banda de entre 1,4 MHz y 100 MHz, aproximadamente. Se recurre a la agregación de portadoras, es decir la transmisión simultánea de varias portadoras componentes en paralelo hacia/desde el mismo terminal, para soportar anchuras de banda superiores a 20 MHz. Las portadoras componentes no tienen por qué ser adyacentes en frecuencia e incluso pueden estar situadas en distintas bandas de frecuencias a fin de poder explotar atribuciones espectrales fragmentadas por medio de la agregación de espectro.</w:t>
      </w:r>
    </w:p>
    <w:p w:rsidR="00E028C5" w:rsidRPr="00E028C5" w:rsidRDefault="00E028C5" w:rsidP="00E028C5">
      <w:pPr>
        <w:rPr>
          <w:rFonts w:eastAsia="SimSun"/>
          <w:lang w:val="es-ES_tradnl"/>
        </w:rPr>
      </w:pPr>
      <w:r w:rsidRPr="00E028C5">
        <w:rPr>
          <w:rFonts w:eastAsia="SimSun"/>
          <w:lang w:val="es-ES_tradnl"/>
        </w:rPr>
        <w:t>Se soporta la planificación dependiente del canal, tanto en el dominio del tiempo como en el de la frecuencia, y tanto para el enlace descendente como para el ascendente. El planificador de la estación base se encarga de seleccionar (dinámicamente) el recurso de transmisión y la velocidad de datos. La operación básica es la planificación dinámica. El planificador de la estación de base se encarga de adoptar una decisión en cada intervalo de tiempo de transmisión (TTI) de 1 ms. aunque existe también la posibilidad de la planificación tenga carácter semipermanente. La planificación semipermanente permite realizar una atribución semiestática de los recursos de transmisión y de las velocidades de datos a un determinado equipo de usuario (UE) durante un periodo de tiempo superior a un TTI para reducir la tara de la señalización de control.</w:t>
      </w:r>
    </w:p>
    <w:p w:rsidR="00E028C5" w:rsidRPr="00E028C5" w:rsidRDefault="00E028C5" w:rsidP="00E028C5">
      <w:pPr>
        <w:rPr>
          <w:rFonts w:eastAsia="SimSun"/>
          <w:lang w:val="es-ES_tradnl"/>
        </w:rPr>
      </w:pPr>
      <w:r w:rsidRPr="00E028C5">
        <w:rPr>
          <w:rFonts w:eastAsia="SimSun"/>
          <w:lang w:val="es-ES_tradnl"/>
        </w:rPr>
        <w:t>Los esquemas de transmisión multiantena forman parte integral de ambas RIT. La precodificación multiantena con adaptación dinámica de rango soporta tanto la multiplexación espacial (MIMO de un solo usuario) como la de conformación de haz. Se soporta la multiplexación espacial de un máximo de ocho capas en el enlace descendente y de cuatro en el ascendente. También se soporta la MIMO de varios usuarios, de modo que se asignan los mismos recursos de tiempo</w:t>
      </w:r>
      <w:r w:rsidRPr="00E028C5">
        <w:rPr>
          <w:rFonts w:eastAsia="SimSun"/>
          <w:lang w:val="es-ES_tradnl"/>
        </w:rPr>
        <w:noBreakHyphen/>
        <w:t>frecuencia a una pluralidad de usuarios. Por último, se soporta también la diversidad de transmisión con arreglo a la codificación de bloques de espacio</w:t>
      </w:r>
      <w:r w:rsidRPr="00E028C5">
        <w:rPr>
          <w:rFonts w:eastAsia="SimSun"/>
          <w:lang w:val="es-ES_tradnl"/>
        </w:rPr>
        <w:noBreakHyphen/>
        <w:t>frecuencia (SFBC) o una combinación de SFBC y diversidad de transmisión por conmutación de frecuencias (</w:t>
      </w:r>
      <w:r w:rsidRPr="00E028C5">
        <w:rPr>
          <w:rFonts w:eastAsia="SimSun"/>
          <w:lang w:val="es-ES_tradnl" w:eastAsia="zh-CN"/>
        </w:rPr>
        <w:t>FSTD</w:t>
      </w:r>
      <w:r w:rsidRPr="00E028C5">
        <w:rPr>
          <w:rFonts w:eastAsia="SimSun"/>
          <w:lang w:val="es-ES_tradnl"/>
        </w:rPr>
        <w:t>).</w:t>
      </w:r>
    </w:p>
    <w:p w:rsidR="00E028C5" w:rsidRPr="00E028C5" w:rsidRDefault="00E028C5" w:rsidP="00E028C5">
      <w:pPr>
        <w:rPr>
          <w:lang w:val="es-ES_tradnl"/>
        </w:rPr>
      </w:pPr>
      <w:r w:rsidRPr="00E028C5">
        <w:rPr>
          <w:rFonts w:eastAsia="SimSun"/>
          <w:lang w:val="es-ES_tradnl"/>
        </w:rPr>
        <w:t>Las RIT soportan la coordinación de interferencias entre células (ICIC), que consiste en el intercambio de información entre células vecinas para ayudar a la planificación a reducir las interferencias. Puede utilizarse la ICIC en instalaciones homogéneas de células no solapadas con potencias de transmisión semejantes, así como en instalaciones heterogéneas en las que una célula de mayor potencia se superponga a uno o varios nodos de menor potencia.</w:t>
      </w:r>
    </w:p>
    <w:p w:rsidR="00E028C5" w:rsidRPr="00E028C5" w:rsidRDefault="00E028C5" w:rsidP="00C47BCE">
      <w:pPr>
        <w:pStyle w:val="Heading1"/>
        <w:rPr>
          <w:lang w:val="es-ES_tradnl"/>
        </w:rPr>
      </w:pPr>
      <w:r w:rsidRPr="00E028C5">
        <w:rPr>
          <w:lang w:val="es-ES_tradnl"/>
        </w:rPr>
        <w:t>2</w:t>
      </w:r>
      <w:r w:rsidRPr="00E028C5">
        <w:rPr>
          <w:lang w:val="es-ES_tradnl"/>
        </w:rPr>
        <w:tab/>
        <w:t>MAN Inalámbrica-Avanzada</w:t>
      </w:r>
      <w:r w:rsidR="00C47BCE">
        <w:rPr>
          <w:rStyle w:val="FootnoteReference"/>
          <w:lang w:val="es-ES_tradnl"/>
        </w:rPr>
        <w:footnoteReference w:id="15"/>
      </w:r>
    </w:p>
    <w:p w:rsidR="00E028C5" w:rsidRPr="00E028C5" w:rsidRDefault="00E028C5" w:rsidP="00E028C5">
      <w:pPr>
        <w:rPr>
          <w:lang w:val="es-ES_tradnl"/>
        </w:rPr>
      </w:pPr>
      <w:r w:rsidRPr="00E028C5">
        <w:rPr>
          <w:rFonts w:eastAsia="SimSun"/>
          <w:lang w:val="es-ES_tradnl" w:eastAsia="ja-JP"/>
        </w:rPr>
        <w:t xml:space="preserve">La especificación de la interfaz radioeléctrica </w:t>
      </w:r>
      <w:r w:rsidRPr="00E028C5">
        <w:rPr>
          <w:rFonts w:eastAsia="SimSun"/>
          <w:i/>
          <w:lang w:val="es-ES_tradnl" w:eastAsia="ja-JP"/>
        </w:rPr>
        <w:t>MAN Inalámbrica-Avanzada</w:t>
      </w:r>
      <w:r w:rsidRPr="00E028C5">
        <w:rPr>
          <w:rFonts w:eastAsia="SimSun"/>
          <w:lang w:val="es-ES_tradnl" w:eastAsia="ja-JP"/>
        </w:rPr>
        <w:t xml:space="preserve"> es un desarrollo del IEEE. El sistema completo extremo a extremo basado en la </w:t>
      </w:r>
      <w:r w:rsidRPr="00E028C5">
        <w:rPr>
          <w:rFonts w:eastAsia="SimSun"/>
          <w:i/>
          <w:lang w:val="es-ES_tradnl" w:eastAsia="ja-JP"/>
        </w:rPr>
        <w:t>MAN Inalámbrica-Avanzada</w:t>
      </w:r>
      <w:r w:rsidRPr="00E028C5">
        <w:rPr>
          <w:rFonts w:eastAsia="SimSun"/>
          <w:lang w:val="es-ES_tradnl" w:eastAsia="ja-JP"/>
        </w:rPr>
        <w:t xml:space="preserve"> se denomina WiMAX 2 y es un desarrollo del WiMAX Forum.</w:t>
      </w:r>
    </w:p>
    <w:p w:rsidR="00E028C5" w:rsidRPr="00E028C5" w:rsidRDefault="00E028C5" w:rsidP="00E42B84">
      <w:pPr>
        <w:rPr>
          <w:lang w:val="es-ES_tradnl"/>
        </w:rPr>
      </w:pPr>
      <w:r w:rsidRPr="00E028C5">
        <w:rPr>
          <w:rFonts w:eastAsia="SimSun"/>
          <w:lang w:val="es-ES_tradnl"/>
        </w:rPr>
        <w:t xml:space="preserve">La </w:t>
      </w:r>
      <w:r w:rsidRPr="00E028C5">
        <w:rPr>
          <w:rFonts w:eastAsia="SimSun"/>
          <w:i/>
          <w:lang w:val="es-ES_tradnl"/>
        </w:rPr>
        <w:t>MAN Inalámbrica-Avanzada</w:t>
      </w:r>
      <w:r w:rsidRPr="00E028C5">
        <w:rPr>
          <w:rFonts w:eastAsia="SimSun"/>
          <w:lang w:val="es-ES_tradnl"/>
        </w:rPr>
        <w:t xml:space="preserve"> utiliza AMDFO como esquema de acceso múltiple en el enlace descendente </w:t>
      </w:r>
      <w:r w:rsidRPr="00E028C5">
        <w:rPr>
          <w:rFonts w:eastAsia="SimSun"/>
          <w:lang w:val="es-ES_tradnl" w:eastAsia="ja-JP"/>
        </w:rPr>
        <w:t xml:space="preserve">(DL) </w:t>
      </w:r>
      <w:r w:rsidRPr="00E028C5">
        <w:rPr>
          <w:rFonts w:eastAsia="SimSun"/>
          <w:lang w:val="es-ES_tradnl"/>
        </w:rPr>
        <w:t xml:space="preserve">y el ascendente </w:t>
      </w:r>
      <w:r w:rsidRPr="00E028C5">
        <w:rPr>
          <w:rFonts w:eastAsia="SimSun"/>
          <w:lang w:val="es-ES_tradnl" w:eastAsia="ja-JP"/>
        </w:rPr>
        <w:t>(UL)</w:t>
      </w:r>
      <w:r w:rsidRPr="00E028C5">
        <w:rPr>
          <w:rFonts w:eastAsia="SimSun"/>
          <w:lang w:val="es-ES_tradnl"/>
        </w:rPr>
        <w:t>. Además soporta los esquemas de dúplex FDD y TDD y en particular el funcionamiento en H-FDD de las estaciones móviles</w:t>
      </w:r>
      <w:r w:rsidRPr="00E028C5">
        <w:rPr>
          <w:rFonts w:eastAsia="SimSun"/>
          <w:lang w:val="es-ES_tradnl" w:eastAsia="ja-JP"/>
        </w:rPr>
        <w:t xml:space="preserve"> (MS)</w:t>
      </w:r>
      <w:r w:rsidRPr="00E028C5">
        <w:rPr>
          <w:rFonts w:eastAsia="SimSun"/>
          <w:lang w:val="es-ES_tradnl"/>
        </w:rPr>
        <w:t xml:space="preserve"> en las redes FDD. Los atributos de la estructura de trama y el procesamiento de la banda base son comunes en ambos esquemas dúplex. La </w:t>
      </w:r>
      <w:r w:rsidRPr="00E028C5">
        <w:rPr>
          <w:rFonts w:eastAsia="SimSun"/>
          <w:i/>
          <w:lang w:val="es-ES_tradnl" w:eastAsia="ja-JP"/>
        </w:rPr>
        <w:t>MAN Inalámbrica</w:t>
      </w:r>
      <w:r w:rsidRPr="00E028C5">
        <w:rPr>
          <w:rFonts w:eastAsia="SimSun"/>
          <w:i/>
          <w:lang w:val="es-ES_tradnl" w:eastAsia="ja-JP"/>
        </w:rPr>
        <w:noBreakHyphen/>
        <w:t>Avanzada</w:t>
      </w:r>
      <w:r w:rsidRPr="00E028C5">
        <w:rPr>
          <w:rFonts w:eastAsia="SimSun"/>
          <w:lang w:val="es-ES_tradnl" w:eastAsia="ja-JP"/>
        </w:rPr>
        <w:t xml:space="preserve"> también soporta mayores anchuras de b</w:t>
      </w:r>
      <w:r w:rsidR="00E42B84">
        <w:rPr>
          <w:rFonts w:eastAsia="SimSun"/>
          <w:lang w:val="es-ES_tradnl" w:eastAsia="ja-JP"/>
        </w:rPr>
        <w:t>anda de canal, que alcanzan los 1</w:t>
      </w:r>
      <w:r w:rsidRPr="00E028C5">
        <w:rPr>
          <w:lang w:val="es-ES_tradnl" w:eastAsia="ja-JP"/>
        </w:rPr>
        <w:t>6</w:t>
      </w:r>
      <w:r w:rsidRPr="00E028C5">
        <w:rPr>
          <w:rFonts w:eastAsia="SimSun"/>
          <w:lang w:val="es-ES_tradnl" w:eastAsia="ja-JP"/>
        </w:rPr>
        <w:t>0 MHz, con agregación de portadoras.</w:t>
      </w:r>
    </w:p>
    <w:p w:rsidR="00E028C5" w:rsidRPr="00E028C5" w:rsidRDefault="00E028C5" w:rsidP="00E028C5">
      <w:pPr>
        <w:rPr>
          <w:lang w:val="es-ES_tradnl"/>
        </w:rPr>
      </w:pPr>
      <w:r w:rsidRPr="00E028C5">
        <w:rPr>
          <w:lang w:val="es-ES_tradnl"/>
        </w:rPr>
        <w:t xml:space="preserve">La </w:t>
      </w:r>
      <w:r w:rsidRPr="00E028C5">
        <w:rPr>
          <w:i/>
          <w:lang w:val="es-ES_tradnl"/>
        </w:rPr>
        <w:t>MAN Inalámbrica-Avanzada</w:t>
      </w:r>
      <w:r w:rsidRPr="00E028C5">
        <w:rPr>
          <w:lang w:val="es-ES_tradnl"/>
        </w:rPr>
        <w:t xml:space="preserve"> utiliza el código turbo convolucional (CTC) con velocidad de código de 1/3. El esquema del CTC se amplía para soportar tamaños adicionales del bloque FEC. Además, los tamaños del bloque FEC pueden aumentarse periódicamente con resoluciones predeterminadas del tamaño del bloque.</w:t>
      </w:r>
    </w:p>
    <w:p w:rsidR="00E028C5" w:rsidRPr="00E028C5" w:rsidRDefault="00E028C5" w:rsidP="008A42D4">
      <w:pPr>
        <w:keepNext/>
        <w:keepLines/>
        <w:rPr>
          <w:rFonts w:eastAsia="SimSun"/>
          <w:lang w:val="es-ES_tradnl" w:eastAsia="ja-JP"/>
        </w:rPr>
      </w:pPr>
      <w:r w:rsidRPr="00E028C5">
        <w:rPr>
          <w:lang w:val="es-ES_tradnl"/>
        </w:rPr>
        <w:lastRenderedPageBreak/>
        <w:t>Se soportan las constelaciones de modulación MDP-4, MAQ-16 y MAQ-64. La correspondencia de los bits con los puntos de la constelación dependen de la versión de reordenación de la constelación (CoRe) utilizada para la retransmisión HARQ descrita y depende además del esquema MIMO. Los símbolos MAQ se asignan a la entrada del codificador MIMO.</w:t>
      </w:r>
      <w:bookmarkStart w:id="4" w:name="_Toc235847233"/>
      <w:bookmarkStart w:id="5" w:name="_Toc235847695"/>
      <w:r w:rsidRPr="00E028C5">
        <w:rPr>
          <w:lang w:val="es-ES_tradnl"/>
        </w:rPr>
        <w:t xml:space="preserve"> Los tamaños comprenden la CRC añadida (por ráfaga y bloque FEC), en su caso. Otros tamaños requieren de relleno hasta alcanzar el siguiente tamaño de ráfaga. La velocidad de códigos y la modulación dependen del tamaño de la ráfaga y de la atribución de recursos.</w:t>
      </w:r>
    </w:p>
    <w:bookmarkEnd w:id="4"/>
    <w:bookmarkEnd w:id="5"/>
    <w:p w:rsidR="00E028C5" w:rsidRPr="00E028C5" w:rsidRDefault="00E028C5" w:rsidP="00E028C5">
      <w:pPr>
        <w:rPr>
          <w:lang w:val="es-ES_tradnl"/>
        </w:rPr>
      </w:pPr>
      <w:r w:rsidRPr="00E028C5">
        <w:rPr>
          <w:lang w:val="es-ES_tradnl"/>
        </w:rPr>
        <w:t xml:space="preserve">En la </w:t>
      </w:r>
      <w:r w:rsidRPr="00E028C5">
        <w:rPr>
          <w:rFonts w:eastAsia="SimSun"/>
          <w:i/>
          <w:lang w:val="es-ES_tradnl"/>
        </w:rPr>
        <w:t>MAN Inalámbrica-Avanzada</w:t>
      </w:r>
      <w:r w:rsidRPr="00E028C5">
        <w:rPr>
          <w:lang w:val="es-ES_tradnl"/>
        </w:rPr>
        <w:t xml:space="preserve"> se utiliza la HARQ de redundancia incremental (HARQ-IR) con determinación de la posición de comienzo de la selección de bits en las retransmisiones HARQ. También se soporta la HARQ con combinación de repetición (HARQ</w:t>
      </w:r>
      <w:r w:rsidRPr="00E028C5">
        <w:rPr>
          <w:lang w:val="es-ES_tradnl"/>
        </w:rPr>
        <w:noBreakHyphen/>
        <w:t>CC) que se considera como un caso especial de HARQ-IR.</w:t>
      </w:r>
    </w:p>
    <w:p w:rsidR="00E028C5" w:rsidRPr="00E028C5" w:rsidRDefault="00E028C5" w:rsidP="00E028C5">
      <w:pPr>
        <w:rPr>
          <w:rFonts w:eastAsia="SimSun"/>
          <w:lang w:val="es-ES_tradnl"/>
        </w:rPr>
      </w:pPr>
      <w:r w:rsidRPr="00E028C5">
        <w:rPr>
          <w:rFonts w:eastAsia="SimSun"/>
          <w:lang w:val="es-ES_tradnl" w:eastAsia="ja-JP"/>
        </w:rPr>
        <w:t>La realimentación CQI</w:t>
      </w:r>
      <w:r w:rsidRPr="00E028C5">
        <w:rPr>
          <w:rFonts w:eastAsia="SimSun"/>
          <w:lang w:val="es-ES_tradnl"/>
        </w:rPr>
        <w:t xml:space="preserve"> ofrece información sobre las condiciones del canal desde el punto de vista de la </w:t>
      </w:r>
      <w:r w:rsidRPr="00E028C5">
        <w:rPr>
          <w:rFonts w:eastAsia="SimSun"/>
          <w:lang w:val="es-ES_tradnl" w:eastAsia="ja-JP"/>
        </w:rPr>
        <w:t>MS</w:t>
      </w:r>
      <w:r w:rsidRPr="00E028C5">
        <w:rPr>
          <w:rFonts w:eastAsia="SimSun"/>
          <w:lang w:val="es-ES_tradnl"/>
        </w:rPr>
        <w:t xml:space="preserve">. Esta información la utiliza la </w:t>
      </w:r>
      <w:r w:rsidRPr="00E028C5">
        <w:rPr>
          <w:rFonts w:eastAsia="SimSun"/>
          <w:lang w:val="es-ES_tradnl" w:eastAsia="ja-JP"/>
        </w:rPr>
        <w:t>BS</w:t>
      </w:r>
      <w:r w:rsidRPr="00E028C5">
        <w:rPr>
          <w:rFonts w:eastAsia="SimSun"/>
          <w:lang w:val="es-ES_tradnl"/>
        </w:rPr>
        <w:t xml:space="preserve"> en la adaptación del enlace, la atribución del recurso, el control de potencia, etc. La medición de la calidad del canal comprende las efectuadas en banda estrecha y en banda ancha. La tara de realimentación del CQI puede reducirse mediante realimentación diferencial u otras técnicas de compresión. Como ejemplos de CQI se pueden citar la relación de portadora efectiva a interferencia más ruido (CINR), la selección de banda, etc.</w:t>
      </w:r>
    </w:p>
    <w:p w:rsidR="00E028C5" w:rsidRPr="00E028C5" w:rsidRDefault="00E028C5" w:rsidP="00E028C5">
      <w:pPr>
        <w:rPr>
          <w:rFonts w:eastAsia="SimSun"/>
          <w:lang w:val="es-ES_tradnl"/>
        </w:rPr>
      </w:pPr>
      <w:r w:rsidRPr="00E028C5">
        <w:rPr>
          <w:rFonts w:eastAsia="SimSun"/>
          <w:lang w:val="es-ES_tradnl"/>
        </w:rPr>
        <w:t xml:space="preserve">La realimentación MIMO proporciona las características espaciales del canal en banda ancha y/o banda estrecha que son necesarias para el funcionamiento en MIMO. El modo MIMO, </w:t>
      </w:r>
      <w:r w:rsidRPr="00E028C5">
        <w:rPr>
          <w:rFonts w:eastAsia="SimSun"/>
          <w:lang w:val="es-ES_tradnl" w:eastAsia="ja-JP"/>
        </w:rPr>
        <w:t>el índice de la matriz preferida (PMI)</w:t>
      </w:r>
      <w:r w:rsidRPr="00E028C5">
        <w:rPr>
          <w:rFonts w:eastAsia="SimSun"/>
          <w:lang w:val="es-ES_tradnl"/>
        </w:rPr>
        <w:t>, la información de adaptación de rango, los elementos de la matriz de covarianza del canal, y el índice de la mejor subbanda son ejemplos de la información de realimentación MIMO.</w:t>
      </w:r>
    </w:p>
    <w:p w:rsidR="00E028C5" w:rsidRPr="00E028C5" w:rsidRDefault="00E028C5" w:rsidP="00E028C5">
      <w:pPr>
        <w:rPr>
          <w:rFonts w:eastAsia="Batang"/>
          <w:lang w:val="es-ES_tradnl"/>
        </w:rPr>
      </w:pPr>
      <w:r w:rsidRPr="00E028C5">
        <w:rPr>
          <w:rFonts w:eastAsia="Batang"/>
          <w:lang w:val="es-ES_tradnl" w:eastAsia="ko-KR"/>
        </w:rPr>
        <w:t xml:space="preserve">El mecanismo de control de potencia está soportado para el </w:t>
      </w:r>
      <w:r w:rsidRPr="00E028C5">
        <w:rPr>
          <w:rFonts w:eastAsia="SimSun"/>
          <w:lang w:val="es-ES_tradnl" w:eastAsia="ja-JP"/>
        </w:rPr>
        <w:t>DL</w:t>
      </w:r>
      <w:r w:rsidRPr="00E028C5">
        <w:rPr>
          <w:rFonts w:eastAsia="Batang"/>
          <w:lang w:val="es-ES_tradnl" w:eastAsia="ko-KR"/>
        </w:rPr>
        <w:t xml:space="preserve"> y el </w:t>
      </w:r>
      <w:r w:rsidRPr="00E028C5">
        <w:rPr>
          <w:rFonts w:eastAsia="SimSun"/>
          <w:lang w:val="es-ES_tradnl" w:eastAsia="ja-JP"/>
        </w:rPr>
        <w:t>UL</w:t>
      </w:r>
      <w:r w:rsidRPr="00E028C5">
        <w:rPr>
          <w:rFonts w:eastAsia="Batang"/>
          <w:lang w:val="es-ES_tradnl" w:eastAsia="ko-KR"/>
        </w:rPr>
        <w:t xml:space="preserve">. Utilizando el control de potencia del </w:t>
      </w:r>
      <w:r w:rsidRPr="00E028C5">
        <w:rPr>
          <w:rFonts w:eastAsia="SimSun"/>
          <w:lang w:val="es-ES_tradnl" w:eastAsia="ja-JP"/>
        </w:rPr>
        <w:t>DL</w:t>
      </w:r>
      <w:r w:rsidRPr="00E028C5">
        <w:rPr>
          <w:rFonts w:eastAsia="Batang"/>
          <w:lang w:val="es-ES_tradnl" w:eastAsia="ko-KR"/>
        </w:rPr>
        <w:t xml:space="preserve">, el terminal con nivel de potencia controlado recibe información específica del usuario con piloto dedicado. Las MAP avanzadas del </w:t>
      </w:r>
      <w:r w:rsidRPr="00E028C5">
        <w:rPr>
          <w:rFonts w:eastAsia="SimSun"/>
          <w:lang w:val="es-ES_tradnl" w:eastAsia="ja-JP"/>
        </w:rPr>
        <w:t>DL</w:t>
      </w:r>
      <w:r w:rsidRPr="00E028C5">
        <w:rPr>
          <w:rFonts w:eastAsia="Batang"/>
          <w:lang w:val="es-ES_tradnl" w:eastAsia="ko-KR"/>
        </w:rPr>
        <w:t xml:space="preserve"> pueden controlarse en potencia con arreglo a la realimentación de calidad del canal </w:t>
      </w:r>
      <w:r w:rsidRPr="00E028C5">
        <w:rPr>
          <w:rFonts w:eastAsia="SimSun"/>
          <w:lang w:val="es-ES_tradnl" w:eastAsia="ja-JP"/>
        </w:rPr>
        <w:t>UL</w:t>
      </w:r>
      <w:r w:rsidRPr="00E028C5">
        <w:rPr>
          <w:rFonts w:eastAsia="Batang"/>
          <w:lang w:val="es-ES_tradnl" w:eastAsia="ko-KR"/>
        </w:rPr>
        <w:t xml:space="preserve"> del terminal. </w:t>
      </w:r>
    </w:p>
    <w:p w:rsidR="00E028C5" w:rsidRPr="00E028C5" w:rsidRDefault="00E028C5" w:rsidP="00E028C5">
      <w:pPr>
        <w:rPr>
          <w:lang w:val="es-ES_tradnl"/>
        </w:rPr>
      </w:pPr>
      <w:r w:rsidRPr="00E028C5">
        <w:rPr>
          <w:rFonts w:eastAsia="Batang"/>
          <w:lang w:val="es-ES_tradnl" w:eastAsia="ko-KR"/>
        </w:rPr>
        <w:t xml:space="preserve">Se soporta el control de potencia del </w:t>
      </w:r>
      <w:r w:rsidRPr="00E028C5">
        <w:rPr>
          <w:rFonts w:eastAsia="SimSun"/>
          <w:lang w:val="es-ES_tradnl" w:eastAsia="ja-JP"/>
        </w:rPr>
        <w:t>UL</w:t>
      </w:r>
      <w:r w:rsidRPr="00E028C5">
        <w:rPr>
          <w:rFonts w:eastAsia="Batang"/>
          <w:lang w:val="es-ES_tradnl" w:eastAsia="ko-KR"/>
        </w:rPr>
        <w:t xml:space="preserve"> para compensar la pérdida del trayecto, el sombreado, el desvanecimiento rápido y las pérdidas de la implementación así como para mitigar la interferencia entre células y en el interior de éstas. La BS puede transmitir la información necesaria mediante el canal de control o enviando un mensaje a los terminales para que soporten el control de potencia del </w:t>
      </w:r>
      <w:r w:rsidRPr="00E028C5">
        <w:rPr>
          <w:rFonts w:eastAsia="SimSun"/>
          <w:lang w:val="es-ES_tradnl" w:eastAsia="ja-JP"/>
        </w:rPr>
        <w:t>UL</w:t>
      </w:r>
      <w:r w:rsidRPr="00E028C5">
        <w:rPr>
          <w:rFonts w:eastAsia="Batang"/>
          <w:lang w:val="es-ES_tradnl" w:eastAsia="ko-KR"/>
        </w:rPr>
        <w:t>. La BS optimiza los parámetros del algoritmo de control de potencia para todo el sistema y los difunde periódicamente.</w:t>
      </w:r>
    </w:p>
    <w:p w:rsidR="00E028C5" w:rsidRPr="00E028C5" w:rsidRDefault="00E028C5" w:rsidP="00E028C5">
      <w:pPr>
        <w:rPr>
          <w:lang w:val="es-ES_tradnl"/>
        </w:rPr>
      </w:pPr>
      <w:r w:rsidRPr="00E028C5">
        <w:rPr>
          <w:rFonts w:eastAsia="SimSun"/>
          <w:lang w:val="es-ES_tradnl"/>
        </w:rPr>
        <w:t xml:space="preserve">La </w:t>
      </w:r>
      <w:r w:rsidRPr="00E028C5">
        <w:rPr>
          <w:rFonts w:eastAsia="SimSun"/>
          <w:i/>
          <w:lang w:val="es-ES_tradnl"/>
        </w:rPr>
        <w:t>MAN Inalámbrica-Avanzada</w:t>
      </w:r>
      <w:r w:rsidRPr="00E028C5">
        <w:rPr>
          <w:rFonts w:eastAsia="SimSun"/>
          <w:bCs/>
          <w:lang w:val="es-ES_tradnl"/>
        </w:rPr>
        <w:t xml:space="preserve"> soporta varias técnicas avanzadas multiantena entre ellas la de MIMO sencillo y multiusuario (multiplexación espacial y conformación del haz) así como varios esquemas con diversidad de transmisión. En el esquema de MIMO de un solo usuario (SU-MIMO) sólo puede programarse un usuario por unidad de recurso (tiempo, frecuencia o espacio). Sin embargo, en la MIMO multiusuario (MU-MIMO) se pueden planificar varios usuarios por unidad de recurso.</w:t>
      </w:r>
    </w:p>
    <w:p w:rsidR="00E028C5" w:rsidRDefault="00E028C5" w:rsidP="00F13399">
      <w:pPr>
        <w:rPr>
          <w:lang w:val="es-ES_tradnl"/>
        </w:rPr>
      </w:pPr>
      <w:r w:rsidRPr="00E028C5">
        <w:rPr>
          <w:lang w:val="es-ES_tradnl"/>
        </w:rPr>
        <w:t xml:space="preserve">La configuración mínima de la antena en el DL y en el UL es de 2 × 2 y 1 × 2, respectivamente. Para la multiplexación espacial en bucle abierto y la SU-MIMO en bucle cerrado, el número de trenes se restringe al mínimo número de antenas trasmisoras o receptoras. La MU-MIMO puede soportar hasta </w:t>
      </w:r>
      <w:r w:rsidR="00F13399">
        <w:rPr>
          <w:lang w:val="es-ES_tradnl"/>
        </w:rPr>
        <w:t>2 </w:t>
      </w:r>
      <w:r w:rsidRPr="00E028C5">
        <w:rPr>
          <w:lang w:val="es-ES_tradnl"/>
        </w:rPr>
        <w:t xml:space="preserve">trenes con </w:t>
      </w:r>
      <w:r w:rsidR="00F13399">
        <w:rPr>
          <w:lang w:val="es-ES_tradnl"/>
        </w:rPr>
        <w:t>2</w:t>
      </w:r>
      <w:r w:rsidRPr="00E028C5">
        <w:rPr>
          <w:lang w:val="es-ES_tradnl"/>
        </w:rPr>
        <w:t xml:space="preserve"> antenas transmisoras, hasta </w:t>
      </w:r>
      <w:r w:rsidR="00F13399">
        <w:rPr>
          <w:lang w:val="es-ES_tradnl"/>
        </w:rPr>
        <w:t>4</w:t>
      </w:r>
      <w:r w:rsidRPr="00E028C5">
        <w:rPr>
          <w:lang w:val="es-ES_tradnl"/>
        </w:rPr>
        <w:t xml:space="preserve"> trenes para </w:t>
      </w:r>
      <w:r w:rsidR="00F13399">
        <w:rPr>
          <w:lang w:val="es-ES_tradnl"/>
        </w:rPr>
        <w:t>4</w:t>
      </w:r>
      <w:r w:rsidRPr="00E028C5">
        <w:rPr>
          <w:lang w:val="es-ES_tradnl"/>
        </w:rPr>
        <w:t xml:space="preserve"> antenas transmisoras y hasta </w:t>
      </w:r>
      <w:r w:rsidR="00F13399">
        <w:rPr>
          <w:lang w:val="es-ES_tradnl"/>
        </w:rPr>
        <w:t>8 </w:t>
      </w:r>
      <w:r w:rsidRPr="00E028C5">
        <w:rPr>
          <w:lang w:val="es-ES_tradnl"/>
        </w:rPr>
        <w:t xml:space="preserve">trenes para </w:t>
      </w:r>
      <w:r w:rsidR="00F13399">
        <w:rPr>
          <w:lang w:val="es-ES_tradnl"/>
        </w:rPr>
        <w:t>8 </w:t>
      </w:r>
      <w:r w:rsidRPr="00E028C5">
        <w:rPr>
          <w:lang w:val="es-ES_tradnl"/>
        </w:rPr>
        <w:t>antenas transmisoras.</w:t>
      </w:r>
    </w:p>
    <w:p w:rsidR="00E028C5" w:rsidRPr="00E028C5" w:rsidRDefault="00E028C5" w:rsidP="00E028C5">
      <w:pPr>
        <w:pStyle w:val="AnnexNoTitle"/>
        <w:rPr>
          <w:lang w:val="es-ES_tradnl"/>
        </w:rPr>
      </w:pPr>
      <w:r w:rsidRPr="00E028C5">
        <w:rPr>
          <w:lang w:val="es-ES_tradnl"/>
        </w:rPr>
        <w:lastRenderedPageBreak/>
        <w:t>Anexo 4</w:t>
      </w:r>
      <w:r w:rsidRPr="00E028C5">
        <w:rPr>
          <w:lang w:val="es-ES_tradnl"/>
        </w:rPr>
        <w:br/>
      </w:r>
      <w:r w:rsidRPr="00E028C5">
        <w:rPr>
          <w:lang w:val="es-ES_tradnl"/>
        </w:rPr>
        <w:br/>
        <w:t>Normas armonizadas de interfaces radioeléctricas IEEE y ETSI para</w:t>
      </w:r>
      <w:r w:rsidRPr="00E028C5">
        <w:rPr>
          <w:lang w:val="es-ES_tradnl"/>
        </w:rPr>
        <w:br/>
        <w:t>sistemas de acceso inalámbrico de banda ancha (BWA) incluidas</w:t>
      </w:r>
      <w:r w:rsidRPr="00E028C5">
        <w:rPr>
          <w:lang w:val="es-ES_tradnl"/>
        </w:rPr>
        <w:br/>
        <w:t>aplicaciones móviles y nómadas en el servicio móvil</w:t>
      </w:r>
    </w:p>
    <w:p w:rsidR="00E028C5" w:rsidRPr="00E028C5" w:rsidRDefault="00E028C5" w:rsidP="00E028C5">
      <w:pPr>
        <w:pStyle w:val="Heading1"/>
        <w:rPr>
          <w:lang w:val="es-ES_tradnl"/>
        </w:rPr>
      </w:pPr>
      <w:r w:rsidRPr="00E028C5">
        <w:rPr>
          <w:lang w:val="es-ES_tradnl"/>
        </w:rPr>
        <w:t>1</w:t>
      </w:r>
      <w:r w:rsidRPr="00E028C5">
        <w:rPr>
          <w:lang w:val="es-ES_tradnl"/>
        </w:rPr>
        <w:tab/>
        <w:t>Visión general de la interfaz radioeléctrica</w:t>
      </w:r>
    </w:p>
    <w:p w:rsidR="00E028C5" w:rsidRPr="00E028C5" w:rsidRDefault="00E028C5" w:rsidP="00F13399">
      <w:pPr>
        <w:rPr>
          <w:lang w:val="es-ES_tradnl"/>
        </w:rPr>
      </w:pPr>
      <w:r w:rsidRPr="00E028C5">
        <w:rPr>
          <w:lang w:val="es-ES_tradnl"/>
        </w:rPr>
        <w:t>La norma IEEE 802.16-2009 y las normas ETSI HiperMAN definen interfaces radioeléctricas armonizadas para las capas físicas MDFO y AMDFO y la capa</w:t>
      </w:r>
      <w:r w:rsidR="00F13399">
        <w:rPr>
          <w:lang w:val="es-ES_tradnl"/>
        </w:rPr>
        <w:t xml:space="preserve"> </w:t>
      </w:r>
      <w:r w:rsidRPr="00E028C5">
        <w:rPr>
          <w:lang w:val="es-ES_tradnl"/>
        </w:rPr>
        <w:t>MAC/DLC. Sin embargo la ETSI BRAN HiperMAN sólo tiene por objeto aplicaciones nómadas, mientras que la norma IEEE 802.16-2009 también se destina a aplicaciones integradas en vehículos.</w:t>
      </w:r>
    </w:p>
    <w:p w:rsidR="00E028C5" w:rsidRPr="00E028C5" w:rsidRDefault="00E028C5" w:rsidP="00E028C5">
      <w:pPr>
        <w:rPr>
          <w:lang w:val="es-ES_tradnl"/>
        </w:rPr>
      </w:pPr>
      <w:r w:rsidRPr="00E028C5">
        <w:rPr>
          <w:lang w:val="es-ES_tradnl"/>
        </w:rPr>
        <w:t>El uso de bandas de frecuencias inferiores a 6 GHz facilita que el sistema de acceso se construya de conformidad con esta interfaz radioeléctrica normalizada para soportar una variedad de aplicaciones, incluidas aplicaciones empresariales y residenciales con movilidad total en zonas urbanas, suburbanas y rurales. La interfaz está optimizada para canales radioeléctricos móviles dinámicos y permite la aplicación de métodos de traspaso optimizados y un conjunto completo de modos de ahorro de energía. La especificación podría soportar fácilmente tanto datos de tipo Internet genéricos como datos en tiempo real, incluidas aplicaciones como voz y videoconferencia.</w:t>
      </w:r>
    </w:p>
    <w:p w:rsidR="00E028C5" w:rsidRPr="00E028C5" w:rsidRDefault="00E028C5" w:rsidP="00E028C5">
      <w:pPr>
        <w:rPr>
          <w:lang w:val="es-ES_tradnl"/>
        </w:rPr>
      </w:pPr>
      <w:r w:rsidRPr="00E028C5">
        <w:rPr>
          <w:lang w:val="es-ES_tradnl"/>
        </w:rPr>
        <w:t>Este tipo de sistema se conoce como red inalámbrica de área metropolitana (WirelessMAN en IEEE e HiperMAN en ETSI BRAN). La palabra «metropolitana» no se refiere a la aplicación sino a la escala. La arquitectura para este tipo de sistema es fundamentalmente punto a multipunto, con una estación de base que da servicio a abonados en una celda con un tamaño de hasta unos pocos kilómetros. Los usuarios pueden acceder a diversos tipos de terminales, por ejemplo, teléfonos inalámbricos, teléfonos inteligentes, PDA y PC portátiles en un entorno móvil. La interfaz radioeléctrica soporta diversas anchuras de canal, tales como 1,25; 3,5; 5; 7; 8,75; 10; 14; 15; 17,5 y 20 MHz para frecuencias de funcionamiento por debajo de 6 GHz. El uso de MDFO y acceso múltiple por división de frecuencia ortogonal (AMDFO) mejora la eficiencia de la anchura de banda, debido a la programación y flexibilidad combinadas en tiempo y frecuencia cuando se gestionan diferentes dispositivos de usuario con diversos tipos de antena y factores de forma. Aporta una reducción de la interferencia para los dispositivos de usuario con antenas omnidireccionales y capacidades mejoradas en condiciones sin visibilidad directa (NLoS), fundamentales cuando se presta servicio a abonados móviles. La subcanalización define subcanales que se pueden asignar a diferentes abonados en función de las condiciones del canal y de sus necesidades de datos. Esto ofrece a los proveedores de servicio más flexibilidad en la gestión de la anchura de banda y de la potencia transmitida y conduce a un uso más eficiente de los recursos, incluido el espectro.</w:t>
      </w:r>
    </w:p>
    <w:p w:rsidR="00E028C5" w:rsidRPr="00E028C5" w:rsidRDefault="00E028C5" w:rsidP="00E028C5">
      <w:pPr>
        <w:rPr>
          <w:lang w:val="es-ES_tradnl"/>
        </w:rPr>
      </w:pPr>
      <w:r w:rsidRPr="00E028C5">
        <w:rPr>
          <w:lang w:val="es-ES_tradnl"/>
        </w:rPr>
        <w:t>La interfaz radioeléctrica soporta diversas anchuras de canal y frecuencias de funcionamiento que aportan una eficiencia espectral máxima de hasta 3,5 bit/s/Hz en una única configuración de antena receptora y transmisora (SISO).</w:t>
      </w:r>
    </w:p>
    <w:p w:rsidR="00E028C5" w:rsidRPr="00E028C5" w:rsidRDefault="00E028C5" w:rsidP="00E028C5">
      <w:pPr>
        <w:rPr>
          <w:lang w:val="es-ES_tradnl"/>
        </w:rPr>
      </w:pPr>
      <w:r w:rsidRPr="00E028C5">
        <w:rPr>
          <w:lang w:val="es-ES_tradnl"/>
        </w:rPr>
        <w:t xml:space="preserve">La interfaz radioeléctrica incluye PHY así como MAC/DLC. El MAC/DLC se basa en un acceso múltiple asignado por demanda en el que se programan las transmisiones en función de la prioridad y de la disponibilidad. Este diseño tiene su origen en la necesidad de soportar un acceso </w:t>
      </w:r>
      <w:r w:rsidRPr="00E028C5">
        <w:rPr>
          <w:lang w:val="es-ES_tradnl" w:eastAsia="ko-KR"/>
        </w:rPr>
        <w:t>con alto nivel de exigencia y prestaciones (</w:t>
      </w:r>
      <w:r w:rsidRPr="00E028C5">
        <w:rPr>
          <w:i/>
          <w:lang w:val="es-ES_tradnl" w:eastAsia="ko-KR"/>
        </w:rPr>
        <w:t>carrier-class</w:t>
      </w:r>
      <w:r w:rsidRPr="00E028C5">
        <w:rPr>
          <w:lang w:val="es-ES_tradnl" w:eastAsia="ko-KR"/>
        </w:rPr>
        <w:t xml:space="preserve">) a </w:t>
      </w:r>
      <w:r w:rsidRPr="00E028C5">
        <w:rPr>
          <w:lang w:val="es-ES_tradnl"/>
        </w:rPr>
        <w:t>redes públicas, soportando diversas subcapas de convergencia, tales como el protocolo IP y Ethernet con una oferta completa de QoS.</w:t>
      </w:r>
    </w:p>
    <w:p w:rsidR="00E028C5" w:rsidRPr="00E028C5" w:rsidRDefault="00E028C5" w:rsidP="00E028C5">
      <w:pPr>
        <w:rPr>
          <w:lang w:val="es-ES_tradnl"/>
        </w:rPr>
      </w:pPr>
      <w:r w:rsidRPr="00E028C5">
        <w:rPr>
          <w:lang w:val="es-ES_tradnl"/>
        </w:rPr>
        <w:t>El MAC/DLC armonizado soporta los modos de PHY MDFO y AMDFO.</w:t>
      </w:r>
    </w:p>
    <w:p w:rsidR="00E028C5" w:rsidRPr="00E028C5" w:rsidRDefault="00E028C5" w:rsidP="00E028C5">
      <w:pPr>
        <w:rPr>
          <w:lang w:val="es-ES_tradnl"/>
        </w:rPr>
      </w:pPr>
      <w:r w:rsidRPr="00E028C5">
        <w:rPr>
          <w:lang w:val="es-ES_tradnl"/>
        </w:rPr>
        <w:t>La Fig. 1 muestra de forma esquemática las especificaciones de interfuncionamiento armonizado de las normas IEEE WirelessMAN y ETSI HiperMAN, que incluyen especificaciones para las capas físicas MDFO y AMDFO así como para la toda la capa MAC, incluida la seguridad.</w:t>
      </w:r>
    </w:p>
    <w:p w:rsidR="00E028C5" w:rsidRPr="00E028C5" w:rsidRDefault="00E028C5" w:rsidP="00E028C5">
      <w:pPr>
        <w:pStyle w:val="FigureNo"/>
        <w:rPr>
          <w:szCs w:val="18"/>
          <w:lang w:val="es-ES_tradnl"/>
        </w:rPr>
      </w:pPr>
      <w:r w:rsidRPr="00E028C5">
        <w:rPr>
          <w:szCs w:val="18"/>
          <w:lang w:val="es-ES_tradnl"/>
        </w:rPr>
        <w:lastRenderedPageBreak/>
        <w:t>figura 1</w:t>
      </w:r>
    </w:p>
    <w:p w:rsidR="00E028C5" w:rsidRPr="00E028C5" w:rsidRDefault="00E028C5" w:rsidP="00456C44">
      <w:pPr>
        <w:pStyle w:val="Figuretitle"/>
        <w:rPr>
          <w:szCs w:val="18"/>
          <w:lang w:val="es-ES_tradnl"/>
        </w:rPr>
      </w:pPr>
      <w:r w:rsidRPr="00E028C5">
        <w:rPr>
          <w:szCs w:val="18"/>
          <w:lang w:val="es-ES_tradnl"/>
        </w:rPr>
        <w:t>Normas BWA armonizadas para el interfuncionamiento</w:t>
      </w:r>
      <w:r w:rsidR="00456C44">
        <w:rPr>
          <w:szCs w:val="18"/>
          <w:lang w:val="es-ES_tradnl"/>
        </w:rPr>
        <w:br/>
      </w:r>
      <w:r w:rsidRPr="00E028C5">
        <w:rPr>
          <w:szCs w:val="18"/>
          <w:lang w:val="es-ES_tradnl"/>
        </w:rPr>
        <w:t>para frecuencias inferiores a 6 GHz</w:t>
      </w:r>
    </w:p>
    <w:p w:rsidR="00E028C5" w:rsidRPr="00BE3323" w:rsidRDefault="007E1B67" w:rsidP="00E028C5">
      <w:pPr>
        <w:pStyle w:val="Figure"/>
      </w:pPr>
      <w:r w:rsidRPr="00BE3323">
        <w:object w:dxaOrig="5193"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7pt;height:188.55pt" o:ole="">
            <v:imagedata r:id="rId21" o:title=""/>
          </v:shape>
          <o:OLEObject Type="Embed" ProgID="CorelDraw.Graphic.16" ShapeID="_x0000_i1025" DrawAspect="Content" ObjectID="_1479640790" r:id="rId22"/>
        </w:object>
      </w:r>
    </w:p>
    <w:p w:rsidR="00E028C5" w:rsidRPr="00E028C5" w:rsidRDefault="00E028C5" w:rsidP="00C47BCE">
      <w:pPr>
        <w:pStyle w:val="Normalaftertitle"/>
        <w:rPr>
          <w:lang w:val="es-ES_tradnl" w:eastAsia="he-IL"/>
        </w:rPr>
      </w:pPr>
      <w:r w:rsidRPr="00E028C5">
        <w:rPr>
          <w:lang w:val="es-ES_tradnl"/>
        </w:rPr>
        <w:t>El WiMAX Forum</w:t>
      </w:r>
      <w:r w:rsidRPr="00E028C5">
        <w:rPr>
          <w:szCs w:val="24"/>
          <w:vertAlign w:val="superscript"/>
          <w:lang w:val="es-ES_tradnl"/>
        </w:rPr>
        <w:t>TM</w:t>
      </w:r>
      <w:r w:rsidRPr="00E028C5">
        <w:rPr>
          <w:lang w:val="es-ES_tradnl"/>
        </w:rPr>
        <w:t>, IEEE 802.16 y ETSI HiperMAN definen perfiles para los parámetros de interfuncionamiento recomendados. Los perfiles IEEE 802.16 se incluyen en el documento normativo principal mientras que los perfiles HiperMAN se incluyen en un documento separado. La TTA (</w:t>
      </w:r>
      <w:r w:rsidRPr="00E028C5">
        <w:rPr>
          <w:i/>
          <w:iCs/>
          <w:lang w:val="es-ES_tradnl"/>
        </w:rPr>
        <w:t>Telecommunications Technology Association</w:t>
      </w:r>
      <w:r w:rsidRPr="00E028C5">
        <w:rPr>
          <w:lang w:val="es-ES_tradnl"/>
        </w:rPr>
        <w:t xml:space="preserve">) define un perfil para el servicio WiBro que está basado en el perfil </w:t>
      </w:r>
      <w:r w:rsidRPr="00E028C5">
        <w:rPr>
          <w:lang w:val="es-ES_tradnl" w:eastAsia="he-IL"/>
        </w:rPr>
        <w:t>1A</w:t>
      </w:r>
      <w:r w:rsidR="00C47BCE">
        <w:rPr>
          <w:rStyle w:val="FootnoteReference"/>
          <w:lang w:val="es-ES_tradnl" w:eastAsia="he-IL"/>
        </w:rPr>
        <w:footnoteReference w:id="16"/>
      </w:r>
      <w:r w:rsidRPr="00E028C5">
        <w:rPr>
          <w:lang w:val="es-ES_tradnl" w:eastAsia="he-IL"/>
        </w:rPr>
        <w:t xml:space="preserve"> </w:t>
      </w:r>
      <w:r w:rsidRPr="00E028C5">
        <w:rPr>
          <w:lang w:val="es-ES_tradnl"/>
        </w:rPr>
        <w:t xml:space="preserve">del WiMAX Forum. </w:t>
      </w:r>
      <w:r w:rsidRPr="00E028C5">
        <w:rPr>
          <w:lang w:val="es-ES_tradnl" w:eastAsia="zh-CN"/>
        </w:rPr>
        <w:t>Aunque no está explícitamente incluido en el Anexo 2, el contenido de esta norma</w:t>
      </w:r>
      <w:r w:rsidRPr="00E028C5">
        <w:rPr>
          <w:lang w:val="es-ES_tradnl" w:eastAsia="he-IL"/>
        </w:rPr>
        <w:t>, TTAK.KO</w:t>
      </w:r>
      <w:r w:rsidRPr="00E028C5">
        <w:rPr>
          <w:lang w:val="es-ES_tradnl" w:eastAsia="he-IL"/>
        </w:rPr>
        <w:noBreakHyphen/>
        <w:t>06.0082/R2</w:t>
      </w:r>
      <w:r w:rsidRPr="00E028C5">
        <w:rPr>
          <w:lang w:val="es-ES_tradnl" w:eastAsia="zh-CN"/>
        </w:rPr>
        <w:t>, incluida la canalización de </w:t>
      </w:r>
      <w:r w:rsidRPr="00E028C5">
        <w:rPr>
          <w:lang w:val="es-ES_tradnl" w:eastAsia="he-IL"/>
        </w:rPr>
        <w:t>8,75 MHz</w:t>
      </w:r>
      <w:r w:rsidRPr="00E028C5">
        <w:rPr>
          <w:lang w:val="es-ES_tradnl" w:eastAsia="zh-CN"/>
        </w:rPr>
        <w:t>, es idéntica a una de las opciones que figuran en</w:t>
      </w:r>
      <w:r w:rsidR="00E42B84">
        <w:rPr>
          <w:lang w:val="es-ES_tradnl" w:eastAsia="he-IL"/>
        </w:rPr>
        <w:t xml:space="preserve"> </w:t>
      </w:r>
      <w:r w:rsidRPr="00E028C5">
        <w:rPr>
          <w:lang w:val="es-ES_tradnl" w:eastAsia="he-IL"/>
        </w:rPr>
        <w:t>§ 6 del Anexo 2.</w:t>
      </w:r>
    </w:p>
    <w:p w:rsidR="00E028C5" w:rsidRPr="00E028C5" w:rsidRDefault="00E028C5" w:rsidP="00E028C5">
      <w:pPr>
        <w:pStyle w:val="Heading1"/>
        <w:rPr>
          <w:lang w:val="es-ES_tradnl"/>
        </w:rPr>
      </w:pPr>
      <w:r w:rsidRPr="00E028C5">
        <w:rPr>
          <w:lang w:val="es-ES_tradnl"/>
        </w:rPr>
        <w:t>2</w:t>
      </w:r>
      <w:r w:rsidRPr="00E028C5">
        <w:rPr>
          <w:lang w:val="es-ES_tradnl"/>
        </w:rPr>
        <w:tab/>
        <w:t>Especificación detallada de la interfaz radioeléctrica</w:t>
      </w:r>
    </w:p>
    <w:p w:rsidR="00E028C5" w:rsidRPr="00E028C5" w:rsidRDefault="00E028C5" w:rsidP="00E028C5">
      <w:pPr>
        <w:pStyle w:val="Heading2"/>
        <w:rPr>
          <w:lang w:val="es-ES_tradnl"/>
        </w:rPr>
      </w:pPr>
      <w:r w:rsidRPr="00E028C5">
        <w:rPr>
          <w:lang w:val="es-ES_tradnl"/>
        </w:rPr>
        <w:t>2.1</w:t>
      </w:r>
      <w:r w:rsidRPr="00E028C5">
        <w:rPr>
          <w:lang w:val="es-ES_tradnl"/>
        </w:rPr>
        <w:tab/>
        <w:t>IEEE 802.16</w:t>
      </w:r>
    </w:p>
    <w:p w:rsidR="00E028C5" w:rsidRPr="00456C44" w:rsidRDefault="00E028C5" w:rsidP="004A70D3">
      <w:pPr>
        <w:pStyle w:val="Headingi"/>
        <w:rPr>
          <w:lang w:val="es-ES_tradnl"/>
        </w:rPr>
      </w:pPr>
      <w:r w:rsidRPr="00456C44">
        <w:rPr>
          <w:lang w:val="es-ES_tradnl"/>
        </w:rPr>
        <w:t>Norma IEEE para redes de área metropolitana y local Parte 16: interfaz aérea para sistemas móviles y fijos de ac</w:t>
      </w:r>
      <w:r w:rsidR="007E1B67">
        <w:rPr>
          <w:lang w:val="es-ES_tradnl"/>
        </w:rPr>
        <w:t>ceso inalámbrico de banda ancha</w:t>
      </w:r>
    </w:p>
    <w:p w:rsidR="00E028C5" w:rsidRPr="00E028C5" w:rsidRDefault="00E028C5" w:rsidP="00E028C5">
      <w:pPr>
        <w:rPr>
          <w:lang w:val="es-ES_tradnl"/>
        </w:rPr>
      </w:pPr>
      <w:r w:rsidRPr="00E028C5">
        <w:rPr>
          <w:lang w:val="es-ES_tradnl"/>
        </w:rPr>
        <w:t>La norma IEEE 802.16 es una norma de interfaz aérea para acceso inalámbrico de banda ancha (BWA). Soporta sistemas fijos, nómadas y móviles y permite el funcionamiento combinado fijo y móvil en bandas de frecuencias autorizadas por debajo de 6 GHz. La actual norma IEEE 802.16</w:t>
      </w:r>
      <w:r w:rsidRPr="00E028C5">
        <w:rPr>
          <w:lang w:val="es-ES_tradnl"/>
        </w:rPr>
        <w:noBreakHyphen/>
        <w:t>2009 está diseñada para redes radioeléctricas de datos por paquetes de gran capacidad capaces de soportar diversos tipos de aplicaciones y servicios IP, basadas en diferentes modelos de uso, de movilidad y de modelo de negocio. Para permitir dicha diversidad, la interfaz aérea IEEE 802.16 está diseñada con un alto grado de flexibilidad y un amplio conjunto de opciones.</w:t>
      </w:r>
    </w:p>
    <w:p w:rsidR="00E028C5" w:rsidRPr="00E028C5" w:rsidRDefault="00E028C5" w:rsidP="00E028C5">
      <w:pPr>
        <w:rPr>
          <w:lang w:val="es-ES_tradnl"/>
        </w:rPr>
      </w:pPr>
      <w:r w:rsidRPr="00E028C5">
        <w:rPr>
          <w:lang w:val="es-ES_tradnl"/>
        </w:rPr>
        <w:t>La tecnología móvil inalámbrica de banda ancha, basada en la norma IEEE 802.16, permite el despliegue flexible de redes y servicios. A continuación se describen algunas características importantes de la norma:</w:t>
      </w:r>
    </w:p>
    <w:p w:rsidR="00E028C5" w:rsidRPr="00456C44" w:rsidRDefault="00E028C5" w:rsidP="004A70D3">
      <w:pPr>
        <w:pStyle w:val="Headingi"/>
        <w:rPr>
          <w:lang w:val="es-ES_tradnl"/>
        </w:rPr>
      </w:pPr>
      <w:r w:rsidRPr="00456C44">
        <w:rPr>
          <w:lang w:val="es-ES_tradnl"/>
        </w:rPr>
        <w:lastRenderedPageBreak/>
        <w:t>Caudal, eficiencia espectral y cobertura</w:t>
      </w:r>
    </w:p>
    <w:p w:rsidR="00E028C5" w:rsidRPr="00E028C5" w:rsidRDefault="00E028C5" w:rsidP="007513BA">
      <w:pPr>
        <w:keepNext/>
        <w:keepLines/>
        <w:rPr>
          <w:lang w:val="es-ES_tradnl"/>
        </w:rPr>
      </w:pPr>
      <w:r w:rsidRPr="00E028C5">
        <w:rPr>
          <w:lang w:val="es-ES_tradnl"/>
        </w:rPr>
        <w:t>La señalización AMDFO es compatible con técnicas de antenas múltiples avanzadas para maximizar la capacidad y cobertura del sistema. La señalización MDFO convierte un canal de banda ancha con desvanecimiento selectivo en frecuencia en múltiples subportadoras de banda estrecha con desvanecimiento constante y, por lo tanto, es posible la utilización de antenas inteligentes con subportadoras de vector constante. Se enumeran a continuación las principales características de la técnica de antena múltiple:</w:t>
      </w:r>
    </w:p>
    <w:p w:rsidR="00E028C5" w:rsidRPr="00E028C5" w:rsidRDefault="00E028C5" w:rsidP="00E028C5">
      <w:pPr>
        <w:pStyle w:val="enumlev1"/>
        <w:rPr>
          <w:lang w:val="es-ES_tradnl"/>
        </w:rPr>
      </w:pPr>
      <w:r w:rsidRPr="00E028C5">
        <w:rPr>
          <w:lang w:val="es-ES_tradnl"/>
        </w:rPr>
        <w:t>–</w:t>
      </w:r>
      <w:r w:rsidRPr="00E028C5">
        <w:rPr>
          <w:lang w:val="es-ES_tradnl"/>
        </w:rPr>
        <w:tab/>
        <w:t>MIMO de segundo, tercer y cuarto orden y multiplexación espacial (SM) en los enlaces ascendente y descendente;</w:t>
      </w:r>
    </w:p>
    <w:p w:rsidR="00E028C5" w:rsidRPr="00E028C5" w:rsidRDefault="00E028C5" w:rsidP="00E028C5">
      <w:pPr>
        <w:pStyle w:val="enumlev1"/>
        <w:rPr>
          <w:lang w:val="es-ES_tradnl"/>
        </w:rPr>
      </w:pPr>
      <w:r w:rsidRPr="00E028C5">
        <w:rPr>
          <w:lang w:val="es-ES_tradnl"/>
        </w:rPr>
        <w:t>–</w:t>
      </w:r>
      <w:r w:rsidRPr="00E028C5">
        <w:rPr>
          <w:lang w:val="es-ES_tradnl"/>
        </w:rPr>
        <w:tab/>
        <w:t>conmutación MIMO adaptativa entre la multiplexación espacial y la codificación de bloques en espacio y tiempo para maximizar la eficiencia espectral sin reducir la zona de cobertura;</w:t>
      </w:r>
    </w:p>
    <w:p w:rsidR="00E028C5" w:rsidRPr="00E028C5" w:rsidRDefault="00E028C5" w:rsidP="00E028C5">
      <w:pPr>
        <w:pStyle w:val="enumlev1"/>
        <w:rPr>
          <w:lang w:val="es-ES_tradnl"/>
        </w:rPr>
      </w:pPr>
      <w:r w:rsidRPr="00E028C5">
        <w:rPr>
          <w:lang w:val="es-ES_tradnl"/>
        </w:rPr>
        <w:t>–</w:t>
      </w:r>
      <w:r w:rsidRPr="00E028C5">
        <w:rPr>
          <w:lang w:val="es-ES_tradnl"/>
        </w:rPr>
        <w:tab/>
        <w:t>multiplexación espacial colaborativa UL (en el enlace ascendente) para dispositivos con una única antena transmisora;</w:t>
      </w:r>
    </w:p>
    <w:p w:rsidR="00E028C5" w:rsidRPr="00E028C5" w:rsidRDefault="00E028C5" w:rsidP="00E028C5">
      <w:pPr>
        <w:pStyle w:val="enumlev1"/>
        <w:rPr>
          <w:lang w:val="es-ES_tradnl"/>
        </w:rPr>
      </w:pPr>
      <w:r w:rsidRPr="00E028C5">
        <w:rPr>
          <w:lang w:val="es-ES_tradnl"/>
        </w:rPr>
        <w:t>–</w:t>
      </w:r>
      <w:r w:rsidRPr="00E028C5">
        <w:rPr>
          <w:lang w:val="es-ES_tradnl"/>
        </w:rPr>
        <w:tab/>
        <w:t>formación de haz avanzada y generación de nulos.</w:t>
      </w:r>
    </w:p>
    <w:p w:rsidR="00E028C5" w:rsidRPr="00E028C5" w:rsidRDefault="00E028C5" w:rsidP="00E028C5">
      <w:pPr>
        <w:rPr>
          <w:lang w:val="es-ES_tradnl"/>
        </w:rPr>
      </w:pPr>
      <w:r w:rsidRPr="00E028C5">
        <w:rPr>
          <w:lang w:val="es-ES_tradnl"/>
        </w:rPr>
        <w:t>Tanto en el enlace ascendente como en el descendente se soportan órdenes de modulación MDP-4, MAQ-16 y MAQ-64. Los esquemas de codificación avanzados, incluyendo codificación convolucional, CTC, BTC y LDPC, junto la técnica de combinación de paquetes («</w:t>
      </w:r>
      <w:r w:rsidRPr="00E028C5">
        <w:rPr>
          <w:i/>
          <w:lang w:val="es-ES_tradnl"/>
        </w:rPr>
        <w:t>chase combining</w:t>
      </w:r>
      <w:r w:rsidRPr="00E028C5">
        <w:rPr>
          <w:lang w:val="es-ES_tradnl"/>
        </w:rPr>
        <w:t>») con ARQ híbrida de redundancia incremental y combinada, y mecanismos de modulación y codificación adaptativas, permiten a esta tecnología ofrecer enlaces aéreos robustos de altas prestaciones.</w:t>
      </w:r>
    </w:p>
    <w:p w:rsidR="00E028C5" w:rsidRPr="00456C44" w:rsidRDefault="00E028C5" w:rsidP="004A70D3">
      <w:pPr>
        <w:pStyle w:val="Headingi"/>
        <w:rPr>
          <w:lang w:val="es-ES_tradnl"/>
        </w:rPr>
      </w:pPr>
      <w:r w:rsidRPr="00456C44">
        <w:rPr>
          <w:lang w:val="es-ES_tradnl"/>
        </w:rPr>
        <w:t>Soporte de movilidad</w:t>
      </w:r>
    </w:p>
    <w:p w:rsidR="00E028C5" w:rsidRPr="00E028C5" w:rsidRDefault="00E028C5" w:rsidP="00456C44">
      <w:pPr>
        <w:rPr>
          <w:lang w:val="es-ES_tradnl"/>
        </w:rPr>
      </w:pPr>
      <w:r w:rsidRPr="00E028C5">
        <w:rPr>
          <w:lang w:val="es-ES_tradnl"/>
        </w:rPr>
        <w:t>La norma soporta traspaso definitivo optimizado, iniciado por estación de base y por estación móvil para un uso eficiente de la anchura de banda con un retardo reducido para lograr un retardo de traspaso inferior a 50</w:t>
      </w:r>
      <w:r w:rsidR="00456C44">
        <w:rPr>
          <w:lang w:val="es-ES_tradnl"/>
        </w:rPr>
        <w:t> </w:t>
      </w:r>
      <w:r w:rsidRPr="00E028C5">
        <w:rPr>
          <w:lang w:val="es-ES_tradnl"/>
        </w:rPr>
        <w:t>ms. La norma también soporta la conmutación rápida en la estación de base (FBSS) y el traspaso de diversidad Marco (MDHO) como opciones para reducir aún más el retardo por traspaso.</w:t>
      </w:r>
    </w:p>
    <w:p w:rsidR="00E028C5" w:rsidRPr="00E028C5" w:rsidRDefault="00E028C5" w:rsidP="00E028C5">
      <w:pPr>
        <w:rPr>
          <w:lang w:val="es-ES_tradnl"/>
        </w:rPr>
      </w:pPr>
      <w:r w:rsidRPr="00E028C5">
        <w:rPr>
          <w:lang w:val="es-ES_tradnl"/>
        </w:rPr>
        <w:t>Se soportan diversos modelos de ahorro de energía, incluidos múltiples tipos de clases de ahorro de energía en modo espera y en modo reposo.</w:t>
      </w:r>
    </w:p>
    <w:p w:rsidR="00E028C5" w:rsidRPr="00456C44" w:rsidRDefault="00E028C5" w:rsidP="004A70D3">
      <w:pPr>
        <w:pStyle w:val="Headingi"/>
        <w:rPr>
          <w:lang w:val="es-ES_tradnl"/>
        </w:rPr>
      </w:pPr>
      <w:r w:rsidRPr="00456C44">
        <w:rPr>
          <w:lang w:val="es-ES_tradnl"/>
        </w:rPr>
        <w:t>Oferta de servicios y clases de servicios</w:t>
      </w:r>
    </w:p>
    <w:p w:rsidR="00E028C5" w:rsidRPr="00E028C5" w:rsidRDefault="00E028C5" w:rsidP="00456C44">
      <w:pPr>
        <w:rPr>
          <w:lang w:val="es-ES_tradnl"/>
        </w:rPr>
      </w:pPr>
      <w:r w:rsidRPr="00E028C5">
        <w:rPr>
          <w:lang w:val="es-ES_tradnl"/>
        </w:rPr>
        <w:t xml:space="preserve">Se dispone de un conjunto de opciones de QoS tales como concesión de servicio no solicitada (UGS, </w:t>
      </w:r>
      <w:r w:rsidRPr="00E028C5">
        <w:rPr>
          <w:i/>
          <w:lang w:val="es-ES_tradnl"/>
        </w:rPr>
        <w:t>unsolicited grant service</w:t>
      </w:r>
      <w:r w:rsidRPr="00E028C5">
        <w:rPr>
          <w:lang w:val="es-ES_tradnl"/>
        </w:rPr>
        <w:t>), velocidad variable en condiciones de tiempo real, velocidad variable en condiciones distintas a tiempo real, sin garantías (</w:t>
      </w:r>
      <w:r w:rsidRPr="00E028C5">
        <w:rPr>
          <w:i/>
          <w:lang w:val="es-ES_tradnl"/>
        </w:rPr>
        <w:t>best effort</w:t>
      </w:r>
      <w:r w:rsidRPr="00E028C5">
        <w:rPr>
          <w:lang w:val="es-ES_tradnl"/>
        </w:rPr>
        <w:t>) y velocidad variable en condiciones de tiempo real ampliadas y optimizada con supresión de silencios (principalmente para</w:t>
      </w:r>
      <w:r w:rsidR="00456C44">
        <w:rPr>
          <w:lang w:val="es-ES_tradnl"/>
        </w:rPr>
        <w:t xml:space="preserve"> </w:t>
      </w:r>
      <w:r w:rsidRPr="00E028C5">
        <w:rPr>
          <w:lang w:val="es-ES_tradnl"/>
        </w:rPr>
        <w:t>VoIP) para permitir niveles de servicio garantizados incluida velocidad de información máxima y comprometida, velocidad mínima reservada, velocidad máxima sostenida, tolerancia máxima al retardo, tolerancia a la fluctuación de fase y prioridad de tráfico para diversos tipos de aplicaciones de internet y de tiempo real tales como VoIP.</w:t>
      </w:r>
    </w:p>
    <w:p w:rsidR="00E028C5" w:rsidRPr="00E028C5" w:rsidRDefault="00E028C5" w:rsidP="00E028C5">
      <w:pPr>
        <w:rPr>
          <w:lang w:val="es-ES_tradnl"/>
        </w:rPr>
      </w:pPr>
      <w:r w:rsidRPr="00E028C5">
        <w:rPr>
          <w:lang w:val="es-ES_tradnl"/>
        </w:rPr>
        <w:t>La asignación variable de subtramas en los enlaces ascendente y descendente permite un tráfico de datos asimétrico por definición.</w:t>
      </w:r>
    </w:p>
    <w:p w:rsidR="00E028C5" w:rsidRPr="00E028C5" w:rsidRDefault="00E028C5" w:rsidP="00E028C5">
      <w:pPr>
        <w:rPr>
          <w:lang w:val="es-ES_tradnl"/>
        </w:rPr>
      </w:pPr>
      <w:r w:rsidRPr="00E028C5">
        <w:rPr>
          <w:lang w:val="es-ES_tradnl"/>
        </w:rPr>
        <w:t>La utilización de múltiples modos de asignación de subportadoras AMDFO diversificadas y adyacentes permite establecer mediante esta tecnología un equilibrio entre movilidad y capacidad en la red y entre usuarios. El AMDFO con permutación de subportadoras adyacentes permite asignar un subconjunto de subportadoras a usuarios móviles en función de la intensidad relativa de la señal.</w:t>
      </w:r>
    </w:p>
    <w:p w:rsidR="00E028C5" w:rsidRPr="00E028C5" w:rsidRDefault="00E028C5" w:rsidP="00456C44">
      <w:pPr>
        <w:keepNext/>
        <w:keepLines/>
        <w:rPr>
          <w:lang w:val="es-ES_tradnl"/>
        </w:rPr>
      </w:pPr>
      <w:r w:rsidRPr="00E028C5">
        <w:rPr>
          <w:lang w:val="es-ES_tradnl"/>
        </w:rPr>
        <w:lastRenderedPageBreak/>
        <w:t>Los esquemas de señalización de subcanalización y basados en MAP, proporcionan un mecanismo para la programación óptima de los recursos de espacio, frecuencia y tiempo para controlar y al mismo tiempo asignar datos (multidifusión, difusión y unidifusión) a través de la interfaz aérea para cada trama.</w:t>
      </w:r>
    </w:p>
    <w:p w:rsidR="00E028C5" w:rsidRPr="00456C44" w:rsidRDefault="00E028C5" w:rsidP="004A70D3">
      <w:pPr>
        <w:pStyle w:val="Headingi"/>
        <w:rPr>
          <w:lang w:val="es-ES_tradnl"/>
        </w:rPr>
      </w:pPr>
      <w:r w:rsidRPr="00456C44">
        <w:rPr>
          <w:lang w:val="es-ES_tradnl"/>
        </w:rPr>
        <w:t>Escalabilidad</w:t>
      </w:r>
    </w:p>
    <w:p w:rsidR="00E028C5" w:rsidRPr="00E028C5" w:rsidRDefault="00E028C5" w:rsidP="00424DE9">
      <w:pPr>
        <w:keepNext/>
        <w:keepLines/>
        <w:rPr>
          <w:lang w:val="es-ES_tradnl"/>
        </w:rPr>
      </w:pPr>
      <w:r w:rsidRPr="00E028C5">
        <w:rPr>
          <w:lang w:val="es-ES_tradnl"/>
        </w:rPr>
        <w:t>La norma IEEE 802.16 está definida para tener en consideración diferentes anchuras de banda de canal entre 1,25 y 28 MHz y cumplir así diversos requisitos en todo el mundo.</w:t>
      </w:r>
    </w:p>
    <w:p w:rsidR="00E028C5" w:rsidRPr="00E028C5" w:rsidRDefault="00E028C5" w:rsidP="00E028C5">
      <w:pPr>
        <w:rPr>
          <w:lang w:val="es-ES_tradnl"/>
        </w:rPr>
      </w:pPr>
      <w:r w:rsidRPr="00E028C5">
        <w:rPr>
          <w:lang w:val="es-ES_tradnl"/>
        </w:rPr>
        <w:t>La capa física escalable basada en el concepto de AMDFO escalable permite a esta tecnología optimizar las características en un entorno móvil con desvanecimiento multitrayecto, caracterizado por la dispersión de los valores de retardo debidos al ensanchamiento y al desplazamiento Doppler con una tara mínima en una amplia gama de anchuras de banda de canal. La escalabilidad se logra ajustando el tamaño del FFT a la anchura de banda del canal y fijando la separación entre las frecuencias de subportadoras.</w:t>
      </w:r>
    </w:p>
    <w:p w:rsidR="00E028C5" w:rsidRPr="00456C44" w:rsidRDefault="00E028C5" w:rsidP="004A70D3">
      <w:pPr>
        <w:pStyle w:val="Headingi"/>
        <w:rPr>
          <w:lang w:val="es-ES_tradnl"/>
        </w:rPr>
      </w:pPr>
      <w:r w:rsidRPr="00456C44">
        <w:rPr>
          <w:lang w:val="es-ES_tradnl"/>
        </w:rPr>
        <w:t>Planificación de reutilización</w:t>
      </w:r>
    </w:p>
    <w:p w:rsidR="00E028C5" w:rsidRPr="00E028C5" w:rsidRDefault="00E028C5" w:rsidP="00E028C5">
      <w:pPr>
        <w:rPr>
          <w:lang w:val="es-ES_tradnl"/>
        </w:rPr>
      </w:pPr>
      <w:r w:rsidRPr="00E028C5">
        <w:rPr>
          <w:lang w:val="es-ES_tradnl"/>
        </w:rPr>
        <w:t>La PHY AMDFO IEEE 802.16 soporta diversos modos de asignación de subportadoras y estructuras de trama tales como la subcanalización parcial (PUSC), la subcanalización total (FUSC) y la modulación y codificación avanzada (AMC). Estas opciones permiten a los proveedores de servicio realizar de forma flexible su planificación de reutilización de las redes inalámbricas para los casos de despliegue de uso eficiente del espectro, factor de utilización 1, de reutilización resistente a las interferencias, factor de reutilización 3, y reutilización fraccional óptima.</w:t>
      </w:r>
    </w:p>
    <w:p w:rsidR="00555F43" w:rsidRDefault="00E028C5" w:rsidP="00555F43">
      <w:pPr>
        <w:rPr>
          <w:lang w:val="es-ES_tradnl"/>
        </w:rPr>
      </w:pPr>
      <w:r w:rsidRPr="00E028C5">
        <w:rPr>
          <w:lang w:val="es-ES_tradnl"/>
        </w:rPr>
        <w:t>En el caso del factor de reutilización 1, aunque la capacidad del sistema puede normalmente mejorar, los usuarios en el borde de la celda pueden sufrir una baja calidad de conexión debido a las interferencias. Puesto que en AMDFO los usuarios utilizan subcanales que sólo ocupan una pequeña fracción de la anchura de banda del canal, el problema de las interferencias en el borde de la celda puede resolverse fácilmente mediante la reconfiguración del uso de los subcanales y el factor de reutilización en las tramas (de ahí la noción de reutilización fraccional) sin recurrir a la planificación tradicional de frecuencias. En esta configuración, se mantiene el factor de reutilización de frecuencias</w:t>
      </w:r>
      <w:r w:rsidR="00555F43">
        <w:rPr>
          <w:lang w:val="es-ES_tradnl"/>
        </w:rPr>
        <w:t> </w:t>
      </w:r>
      <w:r w:rsidRPr="00E028C5">
        <w:rPr>
          <w:lang w:val="es-ES_tradnl"/>
        </w:rPr>
        <w:t>1 para usuarios</w:t>
      </w:r>
      <w:r w:rsidR="00C47BCE">
        <w:rPr>
          <w:rStyle w:val="FootnoteReference"/>
          <w:lang w:val="es-ES_tradnl"/>
        </w:rPr>
        <w:footnoteReference w:id="17"/>
      </w:r>
      <w:r w:rsidRPr="00E028C5">
        <w:rPr>
          <w:lang w:val="es-ES_tradnl"/>
        </w:rPr>
        <w:t xml:space="preserve"> centrales que disponen de una conexión de enlace mejor para maximizar el uso eficiente del espectro, mientras que la reutilización de frecuencia fraccional se usa para usuarios en el borde</w:t>
      </w:r>
      <w:r w:rsidR="00C47BCE">
        <w:rPr>
          <w:rStyle w:val="FootnoteReference"/>
          <w:lang w:val="es-ES_tradnl"/>
        </w:rPr>
        <w:footnoteReference w:id="18"/>
      </w:r>
      <w:r w:rsidRPr="00E028C5">
        <w:rPr>
          <w:lang w:val="es-ES_tradnl"/>
        </w:rPr>
        <w:t xml:space="preserve"> para mejorar la calidad</w:t>
      </w:r>
      <w:r w:rsidR="00555F43">
        <w:rPr>
          <w:lang w:val="es-ES_tradnl"/>
        </w:rPr>
        <w:t xml:space="preserve"> de su conexión y su capacidad.</w:t>
      </w:r>
    </w:p>
    <w:p w:rsidR="00E028C5" w:rsidRPr="00E028C5" w:rsidRDefault="00E028C5" w:rsidP="00555F43">
      <w:pPr>
        <w:rPr>
          <w:lang w:val="es-ES_tradnl"/>
        </w:rPr>
      </w:pPr>
      <w:r w:rsidRPr="00E028C5">
        <w:rPr>
          <w:lang w:val="es-ES_tradnl"/>
        </w:rPr>
        <w:t>La planificación de reutilización de subcanales puede optimizarse de forma adaptativa en sectores o celdas basándose en la carga de la red, la distribución de diversos tipos de usuario (estacionarios y móviles) y las condiciones de interferencia para cada trama. Todas las celdas/sectores pueden funcionar en el mismo canal de frecuencia RF y no se requiere la planificación de frecuencia convencional.</w:t>
      </w:r>
    </w:p>
    <w:p w:rsidR="00E028C5" w:rsidRPr="00456C44" w:rsidRDefault="00E028C5" w:rsidP="004A70D3">
      <w:pPr>
        <w:pStyle w:val="Headingi"/>
        <w:rPr>
          <w:lang w:val="es-ES_tradnl"/>
        </w:rPr>
      </w:pPr>
      <w:r w:rsidRPr="00456C44">
        <w:rPr>
          <w:lang w:val="es-ES_tradnl"/>
        </w:rPr>
        <w:t>Subcapa de seguridad</w:t>
      </w:r>
    </w:p>
    <w:p w:rsidR="00E028C5" w:rsidRPr="00E028C5" w:rsidRDefault="00E028C5" w:rsidP="00E028C5">
      <w:pPr>
        <w:rPr>
          <w:lang w:val="es-ES_tradnl"/>
        </w:rPr>
      </w:pPr>
      <w:r w:rsidRPr="00E028C5">
        <w:rPr>
          <w:lang w:val="es-ES_tradnl"/>
        </w:rPr>
        <w:t>IEEE 802.16 soporta la gestión de privacidad y de claves – PKMv1 RSA, HMAC, AES-CCM y PKMv2 – EAP, CMAC, AES-CTR, MBS.</w:t>
      </w:r>
    </w:p>
    <w:p w:rsidR="00E028C5" w:rsidRPr="00456C44" w:rsidRDefault="00E028C5" w:rsidP="004A70D3">
      <w:pPr>
        <w:pStyle w:val="Headingi"/>
        <w:rPr>
          <w:lang w:val="es-ES_tradnl"/>
        </w:rPr>
      </w:pPr>
      <w:r w:rsidRPr="00456C44">
        <w:rPr>
          <w:lang w:val="es-ES_tradnl"/>
        </w:rPr>
        <w:t xml:space="preserve">Norma </w:t>
      </w:r>
    </w:p>
    <w:p w:rsidR="00E028C5" w:rsidRPr="00E028C5" w:rsidRDefault="00E028C5" w:rsidP="00E028C5">
      <w:pPr>
        <w:rPr>
          <w:lang w:val="es-ES_tradnl"/>
        </w:rPr>
      </w:pPr>
      <w:r w:rsidRPr="00E028C5">
        <w:rPr>
          <w:lang w:val="es-ES_tradnl"/>
        </w:rPr>
        <w:t>La norma IEEE está disponible en formato electrónico en la dirección siguiente:</w:t>
      </w:r>
    </w:p>
    <w:p w:rsidR="00E028C5" w:rsidRPr="00E028C5" w:rsidRDefault="00E028C5" w:rsidP="00E028C5">
      <w:pPr>
        <w:pStyle w:val="enumlev1"/>
        <w:rPr>
          <w:rStyle w:val="Hyperlink"/>
          <w:lang w:val="es-ES_tradnl"/>
        </w:rPr>
      </w:pPr>
      <w:r w:rsidRPr="00E028C5">
        <w:rPr>
          <w:lang w:val="es-ES_tradnl"/>
        </w:rPr>
        <w:tab/>
      </w:r>
      <w:hyperlink r:id="rId23" w:history="1">
        <w:r w:rsidRPr="00E028C5">
          <w:rPr>
            <w:rStyle w:val="Hyperlink"/>
            <w:lang w:val="es-ES_tradnl"/>
          </w:rPr>
          <w:t>http://standards.ieee.org/getieee802/download/802.16-2009.pdf</w:t>
        </w:r>
      </w:hyperlink>
      <w:r w:rsidRPr="00E028C5">
        <w:rPr>
          <w:rStyle w:val="Hyperlink"/>
          <w:lang w:val="es-ES_tradnl"/>
        </w:rPr>
        <w:t>.</w:t>
      </w:r>
    </w:p>
    <w:p w:rsidR="00E028C5" w:rsidRPr="00E028C5" w:rsidRDefault="00E028C5" w:rsidP="00E028C5">
      <w:pPr>
        <w:pStyle w:val="Heading2"/>
        <w:rPr>
          <w:lang w:val="es-ES_tradnl"/>
        </w:rPr>
      </w:pPr>
      <w:r w:rsidRPr="00E028C5">
        <w:rPr>
          <w:lang w:val="es-ES_tradnl"/>
        </w:rPr>
        <w:lastRenderedPageBreak/>
        <w:t>2.2</w:t>
      </w:r>
      <w:r w:rsidRPr="00E028C5">
        <w:rPr>
          <w:lang w:val="es-ES_tradnl"/>
        </w:rPr>
        <w:tab/>
        <w:t>Normas ETSI</w:t>
      </w:r>
    </w:p>
    <w:p w:rsidR="00E028C5" w:rsidRPr="00E028C5" w:rsidRDefault="00E028C5" w:rsidP="00424DE9">
      <w:pPr>
        <w:keepNext/>
        <w:keepLines/>
        <w:rPr>
          <w:lang w:val="es-ES_tradnl"/>
        </w:rPr>
      </w:pPr>
      <w:r w:rsidRPr="00E028C5">
        <w:rPr>
          <w:lang w:val="es-ES_tradnl"/>
        </w:rPr>
        <w:t>Las especificaciones incluidas en este punto contienen las últimas versiones disponibles de las normas BWA siguientes:</w:t>
      </w:r>
    </w:p>
    <w:p w:rsidR="00E028C5" w:rsidRPr="009967E4" w:rsidRDefault="00E028C5" w:rsidP="00E028C5">
      <w:pPr>
        <w:pStyle w:val="enumlev1"/>
        <w:rPr>
          <w:lang w:val="en-US"/>
        </w:rPr>
      </w:pPr>
      <w:r w:rsidRPr="009967E4">
        <w:rPr>
          <w:lang w:val="en-US"/>
        </w:rPr>
        <w:t>–</w:t>
      </w:r>
      <w:r w:rsidRPr="009967E4">
        <w:rPr>
          <w:lang w:val="en-US"/>
        </w:rPr>
        <w:tab/>
        <w:t>ETSI TS 102 177 v1.3.2: Broadband Radio Access Networks (BRAN); HiperMAN; Physical (PHY) Layer.</w:t>
      </w:r>
    </w:p>
    <w:p w:rsidR="00E028C5" w:rsidRPr="009967E4" w:rsidRDefault="00E028C5" w:rsidP="00E028C5">
      <w:pPr>
        <w:pStyle w:val="enumlev1"/>
        <w:rPr>
          <w:lang w:val="en-US"/>
        </w:rPr>
      </w:pPr>
      <w:r w:rsidRPr="009967E4">
        <w:rPr>
          <w:lang w:val="en-US"/>
        </w:rPr>
        <w:t>–</w:t>
      </w:r>
      <w:r w:rsidRPr="009967E4">
        <w:rPr>
          <w:lang w:val="en-US"/>
        </w:rPr>
        <w:tab/>
        <w:t xml:space="preserve">ETSI TS 102 178 v1.3.2: Broadband Radio Access Networks (BRAN); HiperMAN; Data Link Control (DLC) </w:t>
      </w:r>
      <w:r>
        <w:rPr>
          <w:lang w:val="en-US"/>
        </w:rPr>
        <w:t>L</w:t>
      </w:r>
      <w:r w:rsidRPr="009967E4">
        <w:rPr>
          <w:lang w:val="en-US"/>
        </w:rPr>
        <w:t>ayer.</w:t>
      </w:r>
    </w:p>
    <w:p w:rsidR="00E028C5" w:rsidRPr="009967E4" w:rsidRDefault="00E028C5" w:rsidP="00E028C5">
      <w:pPr>
        <w:pStyle w:val="enumlev1"/>
        <w:rPr>
          <w:lang w:val="en-US"/>
        </w:rPr>
      </w:pPr>
      <w:r w:rsidRPr="009967E4">
        <w:rPr>
          <w:lang w:val="en-US"/>
        </w:rPr>
        <w:t>–</w:t>
      </w:r>
      <w:r w:rsidRPr="009967E4">
        <w:rPr>
          <w:lang w:val="en-US"/>
        </w:rPr>
        <w:tab/>
        <w:t>ETSI TS 102 210 v1.2.1: Broadband Radio Access Networks (BRAN); HiperMAN; system profiles.</w:t>
      </w:r>
    </w:p>
    <w:p w:rsidR="00E028C5" w:rsidRPr="00E028C5" w:rsidRDefault="00E028C5" w:rsidP="00A756E4">
      <w:pPr>
        <w:rPr>
          <w:lang w:val="es-ES_tradnl"/>
        </w:rPr>
      </w:pPr>
      <w:r w:rsidRPr="00E028C5">
        <w:rPr>
          <w:i/>
          <w:lang w:val="es-ES_tradnl"/>
        </w:rPr>
        <w:t>Resumen</w:t>
      </w:r>
      <w:r w:rsidRPr="00E028C5">
        <w:rPr>
          <w:lang w:val="es-ES_tradnl"/>
        </w:rPr>
        <w:t>: La norma HiperMAN abarca el interfuncionamiento entre sistemas BWA en frecuencias inferiores a 11 GHz que permiten mayores tamaños de celda cuando no hay visibilidad directa (NLoS). La norma facilita el soporte de DDF y DDT, alta eficiencia espectral y altas velocidades de datos, modulación adaptativa, grandes tamaños de celda, sistemas de antenas avanzados y algoritmos de cifrado de alta seguridad. Los perfiles existentes tienden a unas separaciones de canales de 1,75</w:t>
      </w:r>
      <w:r w:rsidR="00A756E4">
        <w:rPr>
          <w:lang w:val="es-ES_tradnl"/>
        </w:rPr>
        <w:t> </w:t>
      </w:r>
      <w:r w:rsidRPr="00E028C5">
        <w:rPr>
          <w:lang w:val="es-ES_tradnl"/>
        </w:rPr>
        <w:t>MHz, 3,5 MHz y 7 MHz que son adecuadas para la banda de 3,5 GHz.</w:t>
      </w:r>
    </w:p>
    <w:p w:rsidR="00E028C5" w:rsidRPr="00E028C5" w:rsidRDefault="00E028C5" w:rsidP="00E028C5">
      <w:pPr>
        <w:keepNext/>
        <w:keepLines/>
        <w:rPr>
          <w:lang w:val="es-ES_tradnl"/>
        </w:rPr>
      </w:pPr>
      <w:r w:rsidRPr="00E028C5">
        <w:rPr>
          <w:lang w:val="es-ES_tradnl"/>
        </w:rPr>
        <w:t>Las principales características de las normas HiperMAN, que están completamente armonizadas con IEEE 802.16, son:</w:t>
      </w:r>
    </w:p>
    <w:p w:rsidR="00E028C5" w:rsidRPr="00E028C5" w:rsidRDefault="00E028C5" w:rsidP="00E028C5">
      <w:pPr>
        <w:pStyle w:val="enumlev1"/>
        <w:rPr>
          <w:lang w:val="es-ES_tradnl"/>
        </w:rPr>
      </w:pPr>
      <w:r w:rsidRPr="00E028C5">
        <w:rPr>
          <w:lang w:val="es-ES_tradnl"/>
        </w:rPr>
        <w:t>–</w:t>
      </w:r>
      <w:r w:rsidRPr="00E028C5">
        <w:rPr>
          <w:lang w:val="es-ES_tradnl"/>
        </w:rPr>
        <w:tab/>
        <w:t>todas las mejoras de PHY relativas a los modos MDFO y AMDFO, incluido MIMO para el modo AMDFO;</w:t>
      </w:r>
    </w:p>
    <w:p w:rsidR="00E028C5" w:rsidRPr="00E028C5" w:rsidRDefault="00E028C5" w:rsidP="00E028C5">
      <w:pPr>
        <w:pStyle w:val="enumlev1"/>
        <w:rPr>
          <w:lang w:val="es-ES_tradnl"/>
        </w:rPr>
      </w:pPr>
      <w:r w:rsidRPr="00E028C5">
        <w:rPr>
          <w:lang w:val="es-ES_tradnl"/>
        </w:rPr>
        <w:t>–</w:t>
      </w:r>
      <w:r w:rsidRPr="00E028C5">
        <w:rPr>
          <w:lang w:val="es-ES_tradnl"/>
        </w:rPr>
        <w:tab/>
        <w:t>canalización flexible, incluido tamaños de FFT de 3,5 MHz, 7 MHz y 10 MHz (hasta 28 MHz);</w:t>
      </w:r>
    </w:p>
    <w:p w:rsidR="00E028C5" w:rsidRPr="00E028C5" w:rsidRDefault="00E028C5" w:rsidP="00E028C5">
      <w:pPr>
        <w:pStyle w:val="enumlev1"/>
        <w:rPr>
          <w:lang w:val="es-ES_tradnl"/>
        </w:rPr>
      </w:pPr>
      <w:r w:rsidRPr="00E028C5">
        <w:rPr>
          <w:lang w:val="es-ES_tradnl"/>
        </w:rPr>
        <w:t>–</w:t>
      </w:r>
      <w:r w:rsidRPr="00E028C5">
        <w:rPr>
          <w:lang w:val="es-ES_tradnl"/>
        </w:rPr>
        <w:tab/>
        <w:t>AMDFO escalable, incluidos tamaños de FFT de 512, 1 024 y 2 048 puntos, que se utilizan en función de la anchura del canal, de forma que la separación entre subportadoras se mantiene constante;</w:t>
      </w:r>
    </w:p>
    <w:p w:rsidR="00E028C5" w:rsidRPr="00E028C5" w:rsidRDefault="00E028C5" w:rsidP="00E028C5">
      <w:pPr>
        <w:pStyle w:val="enumlev1"/>
        <w:rPr>
          <w:lang w:val="es-ES_tradnl"/>
        </w:rPr>
      </w:pPr>
      <w:r w:rsidRPr="00E028C5">
        <w:rPr>
          <w:lang w:val="es-ES_tradnl"/>
        </w:rPr>
        <w:t>–</w:t>
      </w:r>
      <w:r w:rsidRPr="00E028C5">
        <w:rPr>
          <w:lang w:val="es-ES_tradnl"/>
        </w:rPr>
        <w:tab/>
        <w:t>AMDFO ascendente y descendente (subcanalización) para los modos MDFO y AMDFO;</w:t>
      </w:r>
    </w:p>
    <w:p w:rsidR="00E028C5" w:rsidRPr="00E028C5" w:rsidRDefault="00E028C5" w:rsidP="00E028C5">
      <w:pPr>
        <w:pStyle w:val="enumlev1"/>
        <w:rPr>
          <w:lang w:val="es-ES_tradnl"/>
        </w:rPr>
      </w:pPr>
      <w:r w:rsidRPr="00E028C5">
        <w:rPr>
          <w:lang w:val="es-ES_tradnl"/>
        </w:rPr>
        <w:t>–</w:t>
      </w:r>
      <w:r w:rsidRPr="00E028C5">
        <w:rPr>
          <w:lang w:val="es-ES_tradnl"/>
        </w:rPr>
        <w:tab/>
        <w:t>soporta las antenas adaptativas para los modos MDFO y AMDFO.</w:t>
      </w:r>
    </w:p>
    <w:p w:rsidR="00E028C5" w:rsidRPr="00E028C5" w:rsidRDefault="00E028C5" w:rsidP="00E028C5">
      <w:pPr>
        <w:rPr>
          <w:lang w:val="es-ES_tradnl"/>
        </w:rPr>
      </w:pPr>
      <w:r w:rsidRPr="00E028C5">
        <w:rPr>
          <w:i/>
          <w:lang w:val="es-ES_tradnl"/>
        </w:rPr>
        <w:t>Normas</w:t>
      </w:r>
      <w:r w:rsidRPr="00E028C5">
        <w:rPr>
          <w:lang w:val="es-ES_tradnl"/>
        </w:rPr>
        <w:t xml:space="preserve">: todas las normas ETSI están disponibles en formato electrónico en: </w:t>
      </w:r>
      <w:hyperlink r:id="rId24" w:history="1">
        <w:r w:rsidRPr="00E028C5">
          <w:rPr>
            <w:rStyle w:val="Hyperlink"/>
            <w:lang w:val="es-ES_tradnl"/>
          </w:rPr>
          <w:t>http://pda.etsi.org/pda/queryform.asp</w:t>
        </w:r>
      </w:hyperlink>
      <w:r w:rsidRPr="00E028C5">
        <w:rPr>
          <w:color w:val="0000FF"/>
          <w:lang w:val="es-ES_tradnl"/>
        </w:rPr>
        <w:t xml:space="preserve"> </w:t>
      </w:r>
      <w:r w:rsidRPr="00E028C5">
        <w:rPr>
          <w:lang w:val="es-ES_tradnl"/>
        </w:rPr>
        <w:t>especificando en la casilla de búsqueda el número de la norma.</w:t>
      </w:r>
    </w:p>
    <w:p w:rsidR="00E028C5" w:rsidRPr="00E028C5" w:rsidRDefault="00E028C5" w:rsidP="00E028C5">
      <w:pPr>
        <w:rPr>
          <w:lang w:val="es-ES_tradnl"/>
        </w:rPr>
      </w:pPr>
    </w:p>
    <w:p w:rsidR="00E028C5" w:rsidRPr="00E028C5" w:rsidRDefault="00E028C5" w:rsidP="00424DE9">
      <w:pPr>
        <w:pStyle w:val="AnnexNoTitle"/>
        <w:rPr>
          <w:lang w:val="es-ES_tradnl"/>
        </w:rPr>
      </w:pPr>
      <w:r w:rsidRPr="00E028C5">
        <w:rPr>
          <w:lang w:val="es-ES_tradnl"/>
        </w:rPr>
        <w:lastRenderedPageBreak/>
        <w:t>Anexo 5</w:t>
      </w:r>
      <w:r w:rsidRPr="00E028C5">
        <w:rPr>
          <w:lang w:val="es-ES_tradnl"/>
        </w:rPr>
        <w:br/>
      </w:r>
      <w:r w:rsidRPr="00E028C5">
        <w:rPr>
          <w:lang w:val="es-ES_tradnl"/>
        </w:rPr>
        <w:br/>
        <w:t>Normas de interfaz radioeléctrica ATIS WTSC para sistemas</w:t>
      </w:r>
      <w:r w:rsidR="00424DE9">
        <w:rPr>
          <w:lang w:val="es-ES_tradnl"/>
        </w:rPr>
        <w:br/>
      </w:r>
      <w:r w:rsidRPr="00E028C5">
        <w:rPr>
          <w:lang w:val="es-ES_tradnl"/>
        </w:rPr>
        <w:t>de acceso inalámbrico de banda ancha (BWA)</w:t>
      </w:r>
      <w:r w:rsidR="00424DE9">
        <w:rPr>
          <w:lang w:val="es-ES_tradnl"/>
        </w:rPr>
        <w:br/>
      </w:r>
      <w:r w:rsidRPr="00E028C5">
        <w:rPr>
          <w:lang w:val="es-ES_tradnl"/>
        </w:rPr>
        <w:t>en el servicio móvil</w:t>
      </w:r>
    </w:p>
    <w:p w:rsidR="00E028C5" w:rsidRPr="00E028C5" w:rsidRDefault="00E028C5" w:rsidP="00E028C5">
      <w:pPr>
        <w:pStyle w:val="Heading1"/>
        <w:rPr>
          <w:lang w:val="es-ES_tradnl"/>
        </w:rPr>
      </w:pPr>
      <w:r w:rsidRPr="00E028C5">
        <w:rPr>
          <w:lang w:val="es-ES_tradnl"/>
        </w:rPr>
        <w:t>1</w:t>
      </w:r>
      <w:r w:rsidRPr="00E028C5">
        <w:rPr>
          <w:lang w:val="es-ES_tradnl"/>
        </w:rPr>
        <w:tab/>
        <w:t>Acceso a Internet inalámbrico de banda ancha ATIS WTSC y otras normas</w:t>
      </w:r>
    </w:p>
    <w:p w:rsidR="00E028C5" w:rsidRPr="00E028C5" w:rsidRDefault="00E028C5" w:rsidP="00424DE9">
      <w:pPr>
        <w:keepNext/>
        <w:keepLines/>
        <w:rPr>
          <w:lang w:val="es-ES_tradnl"/>
        </w:rPr>
      </w:pPr>
      <w:r w:rsidRPr="00E028C5">
        <w:rPr>
          <w:lang w:val="es-ES_tradnl"/>
        </w:rPr>
        <w:t xml:space="preserve">El Comité sobre sistemas y tecnologías inalámbricos (WTSC) de la </w:t>
      </w:r>
      <w:r w:rsidRPr="00E028C5">
        <w:rPr>
          <w:i/>
          <w:iCs/>
          <w:lang w:val="es-ES_tradnl"/>
        </w:rPr>
        <w:t>Alliance of Telecommunications Industry Solutions</w:t>
      </w:r>
      <w:r w:rsidRPr="00E028C5">
        <w:rPr>
          <w:lang w:val="es-ES_tradnl"/>
        </w:rPr>
        <w:t xml:space="preserve"> (ATIS), una organización de normalización acreditada por la </w:t>
      </w:r>
      <w:r w:rsidRPr="00E028C5">
        <w:rPr>
          <w:i/>
          <w:iCs/>
          <w:lang w:val="es-ES_tradnl"/>
        </w:rPr>
        <w:t>American National Standards Institute</w:t>
      </w:r>
      <w:r w:rsidRPr="00E028C5">
        <w:rPr>
          <w:lang w:val="es-ES_tradnl"/>
        </w:rPr>
        <w:t xml:space="preserve"> (ANSI), ha desarrollado una norma nacional americana, que se adhieren a los requisitos adoptados para los sistemas de acceso inalámbrico de banda ancha a Internet (WWINA). La norma de interfaz aérea WWINA permite servicios de abonado con portabilidad inalámbrica y con itinerancia nómada que complementan los mercados DSL y de módem de cable. Este sistema está optimizado para servicios de datos por paquetes de alta velocidad que funcionan en un canal separado optimizado para datos. Los requisitos WWINA especifican una interfaz aérea a Internet inalámbrica sin visibilidad directa (NLoS) para dispositivos multimedios de pantalla completa y altas prestaciones.</w:t>
      </w:r>
    </w:p>
    <w:p w:rsidR="00E028C5" w:rsidRPr="00E028C5" w:rsidRDefault="00E028C5" w:rsidP="00E028C5">
      <w:pPr>
        <w:rPr>
          <w:lang w:val="es-ES_tradnl"/>
        </w:rPr>
      </w:pPr>
      <w:r w:rsidRPr="00E028C5">
        <w:rPr>
          <w:lang w:val="es-ES_tradnl"/>
        </w:rPr>
        <w:t>Esta interfaz aérea sirve para dispositivos portátiles de terminal de acceso (AT) con prestaciones mejoradas cuando se compara a otros sistemas orientados a dispositivos de usuarios de alta movilidad. En particular, la interfaz aérea WWINA optimiza los siguientes atributos de calidad:</w:t>
      </w:r>
    </w:p>
    <w:p w:rsidR="00E028C5" w:rsidRPr="00E028C5" w:rsidRDefault="00E028C5" w:rsidP="00E028C5">
      <w:pPr>
        <w:pStyle w:val="enumlev1"/>
        <w:rPr>
          <w:lang w:val="es-ES_tradnl"/>
        </w:rPr>
      </w:pPr>
      <w:r w:rsidRPr="00E028C5">
        <w:rPr>
          <w:lang w:val="es-ES_tradnl"/>
        </w:rPr>
        <w:t>–</w:t>
      </w:r>
      <w:r w:rsidRPr="00E028C5">
        <w:rPr>
          <w:lang w:val="es-ES_tradnl"/>
        </w:rPr>
        <w:tab/>
        <w:t>velocidades de datos del sistema;</w:t>
      </w:r>
    </w:p>
    <w:p w:rsidR="00E028C5" w:rsidRPr="00E028C5" w:rsidRDefault="00E028C5" w:rsidP="00E028C5">
      <w:pPr>
        <w:pStyle w:val="enumlev1"/>
        <w:rPr>
          <w:lang w:val="es-ES_tradnl"/>
        </w:rPr>
      </w:pPr>
      <w:r w:rsidRPr="00E028C5">
        <w:rPr>
          <w:lang w:val="es-ES_tradnl"/>
        </w:rPr>
        <w:t>–</w:t>
      </w:r>
      <w:r w:rsidRPr="00E028C5">
        <w:rPr>
          <w:lang w:val="es-ES_tradnl"/>
        </w:rPr>
        <w:tab/>
        <w:t>cobertura/alcance del sistema;</w:t>
      </w:r>
    </w:p>
    <w:p w:rsidR="00E028C5" w:rsidRPr="00E028C5" w:rsidRDefault="00E028C5" w:rsidP="00E028C5">
      <w:pPr>
        <w:pStyle w:val="enumlev1"/>
        <w:rPr>
          <w:lang w:val="es-ES_tradnl"/>
        </w:rPr>
      </w:pPr>
      <w:r w:rsidRPr="00E028C5">
        <w:rPr>
          <w:lang w:val="es-ES_tradnl"/>
        </w:rPr>
        <w:t>–</w:t>
      </w:r>
      <w:r w:rsidRPr="00E028C5">
        <w:rPr>
          <w:lang w:val="es-ES_tradnl"/>
        </w:rPr>
        <w:tab/>
        <w:t>capacidad de red;</w:t>
      </w:r>
    </w:p>
    <w:p w:rsidR="00E028C5" w:rsidRPr="00E028C5" w:rsidRDefault="00E028C5" w:rsidP="00E028C5">
      <w:pPr>
        <w:pStyle w:val="enumlev1"/>
        <w:rPr>
          <w:lang w:val="es-ES_tradnl"/>
        </w:rPr>
      </w:pPr>
      <w:r w:rsidRPr="00E028C5">
        <w:rPr>
          <w:lang w:val="es-ES_tradnl"/>
        </w:rPr>
        <w:t>–</w:t>
      </w:r>
      <w:r w:rsidRPr="00E028C5">
        <w:rPr>
          <w:lang w:val="es-ES_tradnl"/>
        </w:rPr>
        <w:tab/>
        <w:t>mínima complejidad de la red;</w:t>
      </w:r>
    </w:p>
    <w:p w:rsidR="00E028C5" w:rsidRPr="00E028C5" w:rsidRDefault="00E028C5" w:rsidP="00E028C5">
      <w:pPr>
        <w:pStyle w:val="enumlev1"/>
        <w:rPr>
          <w:lang w:val="es-ES_tradnl"/>
        </w:rPr>
      </w:pPr>
      <w:r w:rsidRPr="00E028C5">
        <w:rPr>
          <w:lang w:val="es-ES_tradnl"/>
        </w:rPr>
        <w:t>–</w:t>
      </w:r>
      <w:r w:rsidRPr="00E028C5">
        <w:rPr>
          <w:lang w:val="es-ES_tradnl"/>
        </w:rPr>
        <w:tab/>
        <w:t>gestión del grado de servicio y de la calidad del servicio.</w:t>
      </w:r>
    </w:p>
    <w:p w:rsidR="00E028C5" w:rsidRPr="00E028C5" w:rsidRDefault="00E028C5" w:rsidP="00E028C5">
      <w:pPr>
        <w:pStyle w:val="Heading1"/>
        <w:rPr>
          <w:lang w:val="es-ES_tradnl"/>
        </w:rPr>
      </w:pPr>
      <w:r w:rsidRPr="00E028C5">
        <w:rPr>
          <w:lang w:val="es-ES_tradnl"/>
        </w:rPr>
        <w:t>2</w:t>
      </w:r>
      <w:r w:rsidRPr="00E028C5">
        <w:rPr>
          <w:lang w:val="es-ES_tradnl"/>
        </w:rPr>
        <w:tab/>
        <w:t>Acceso múltiple por división espacial de alta capacidad (AMDE-AC) ATIS</w:t>
      </w:r>
      <w:r w:rsidRPr="00E028C5">
        <w:rPr>
          <w:lang w:val="es-ES_tradnl"/>
        </w:rPr>
        <w:noBreakHyphen/>
        <w:t>0700004.2005</w:t>
      </w:r>
    </w:p>
    <w:p w:rsidR="00E028C5" w:rsidRPr="00E028C5" w:rsidRDefault="00E028C5" w:rsidP="00E028C5">
      <w:pPr>
        <w:pStyle w:val="Heading2"/>
        <w:rPr>
          <w:lang w:val="es-ES_tradnl"/>
        </w:rPr>
      </w:pPr>
      <w:r w:rsidRPr="00E028C5">
        <w:rPr>
          <w:lang w:val="es-ES_tradnl"/>
        </w:rPr>
        <w:t>2.1</w:t>
      </w:r>
      <w:r w:rsidRPr="00E028C5">
        <w:rPr>
          <w:lang w:val="es-ES_tradnl"/>
        </w:rPr>
        <w:tab/>
        <w:t>Visión general de la interfaz radioeléctrica</w:t>
      </w:r>
    </w:p>
    <w:p w:rsidR="00E028C5" w:rsidRPr="00E028C5" w:rsidRDefault="00E028C5" w:rsidP="00424DE9">
      <w:pPr>
        <w:rPr>
          <w:lang w:val="es-ES_tradnl"/>
        </w:rPr>
      </w:pPr>
      <w:r w:rsidRPr="00E028C5">
        <w:rPr>
          <w:lang w:val="es-ES_tradnl"/>
        </w:rPr>
        <w:t>La norma de AMDE-AC especifica la interfaz radioeléctrica para un sistema de banda ancha móvil de amplia cobertura. El AMDE-AC utiliza DDT y tecnologías de antenas adaptativas (AA) junto con algoritmos de procesamiento espacial con antenas múltiples para generar un sistema de comunicaciones móvil eficiente desde el punto de vista del espectro que puede proporcionar un servicio de banda ancha móvil desplegado en una única banda de frecuencias tan pequeña como</w:t>
      </w:r>
      <w:r w:rsidR="00424DE9">
        <w:rPr>
          <w:lang w:val="es-ES_tradnl"/>
        </w:rPr>
        <w:t xml:space="preserve"> </w:t>
      </w:r>
      <w:r w:rsidRPr="00E028C5">
        <w:rPr>
          <w:lang w:val="es-ES_tradnl"/>
        </w:rPr>
        <w:t>5 MHz (no emparejada) en el espectro atribuido a los servicios móviles. Los sistemas AMDE</w:t>
      </w:r>
      <w:r w:rsidRPr="00E028C5">
        <w:rPr>
          <w:lang w:val="es-ES_tradnl"/>
        </w:rPr>
        <w:noBreakHyphen/>
        <w:t>AC están diseñados para funcionar en frecuencias autorizadas por debajo de 3 GHz, que son las que mejor se adaptan a las aplicaciones móviles y las que ofrecen movilidad total y una amplia zona de cobertura. Puesto que se basa en tecnología DDT y no requiere bandas simétricas emparejadas separadas por un intervalo adecuado o una separación de duplexor, los sistemas basados en la norma AMDE-AC pueden fácilmente cambiar de frecuencia para su funcionamiento en diferentes bandas de frecuencias. La tecnología AMDE-AC consigue una velocidad de transmisión de canal de 20</w:t>
      </w:r>
      <w:r w:rsidR="00424DE9">
        <w:rPr>
          <w:lang w:val="es-ES_tradnl"/>
        </w:rPr>
        <w:t> </w:t>
      </w:r>
      <w:r w:rsidRPr="00E028C5">
        <w:rPr>
          <w:lang w:val="es-ES_tradnl"/>
        </w:rPr>
        <w:t xml:space="preserve">Mbit/s en una banda autorizada de 5 MHz. Con un factor de reutilización de frecuencias </w:t>
      </w:r>
      <w:r w:rsidRPr="00E028C5">
        <w:rPr>
          <w:i/>
          <w:lang w:val="es-ES_tradnl"/>
        </w:rPr>
        <w:t>N</w:t>
      </w:r>
      <w:r w:rsidR="00424DE9" w:rsidRPr="00424DE9">
        <w:rPr>
          <w:lang w:val="es-ES_tradnl"/>
        </w:rPr>
        <w:t> </w:t>
      </w:r>
      <w:r w:rsidRPr="00E028C5">
        <w:rPr>
          <w:lang w:val="es-ES_tradnl"/>
        </w:rPr>
        <w:t>=</w:t>
      </w:r>
      <w:r w:rsidR="00424DE9">
        <w:rPr>
          <w:lang w:val="es-ES_tradnl"/>
        </w:rPr>
        <w:t> </w:t>
      </w:r>
      <w:r w:rsidRPr="00E028C5">
        <w:rPr>
          <w:lang w:val="es-ES_tradnl"/>
        </w:rPr>
        <w:t>1/2, en un despliegue que utilice 10 MHz de espectro autorizado, se dispone en estas redes de una velocidad de transmisión de 40 Mbit/s en cada celda, lo que constituye una eficiencia espectral de 4 bit/s/Hz/celda.</w:t>
      </w:r>
    </w:p>
    <w:p w:rsidR="00E028C5" w:rsidRPr="00E028C5" w:rsidRDefault="00E028C5" w:rsidP="00E028C5">
      <w:pPr>
        <w:pStyle w:val="Heading2"/>
        <w:rPr>
          <w:lang w:val="es-ES_tradnl"/>
        </w:rPr>
      </w:pPr>
      <w:r w:rsidRPr="00E028C5">
        <w:rPr>
          <w:lang w:val="es-ES_tradnl"/>
        </w:rPr>
        <w:lastRenderedPageBreak/>
        <w:t>2.2</w:t>
      </w:r>
      <w:r w:rsidRPr="00E028C5">
        <w:rPr>
          <w:lang w:val="es-ES_tradnl"/>
        </w:rPr>
        <w:tab/>
        <w:t>Especificaciones detalladas de la interfaz radioeléctrica</w:t>
      </w:r>
    </w:p>
    <w:p w:rsidR="00E028C5" w:rsidRPr="00E028C5" w:rsidRDefault="00E028C5" w:rsidP="00E028C5">
      <w:pPr>
        <w:rPr>
          <w:lang w:val="es-ES_tradnl"/>
        </w:rPr>
      </w:pPr>
      <w:r w:rsidRPr="00E028C5">
        <w:rPr>
          <w:lang w:val="es-ES_tradnl"/>
        </w:rPr>
        <w:t>La interfaz aérea AMDE-AC tiene una estructura DDT/AMDT cuyas características físicas y lógicas se han elegido para el transporte eficaz de datos IP de usuario y para conseguir el mayor beneficio posible del uso de antenas adaptativas. Los aspectos físicos del protocolo tienen por objetivo proporcionar datos de acondicionamiento espacial y entornos de interferencias de enlace ascendente y descendente correlacionadas para canales lógicos dispuestos para la transmisión y recepción directiva, tales como canales de tráfico. Por el contrario, los canales a los que no resulta aplicable el procesamiento directivo, tales como los canales de mensajería y de difusión, tienen cabidas útiles más pequeñas y obtienen un mayor grado de protección contra errores para equilibrar sus enlaces con los de los canales procesados de forma directiva. Los enlaces ascendente y descendente incorporan modulación y codificación de canales adaptativas, junto con el control de potencia, para proporcionar transmisiones fiables a través de una amplia gama de condiciones de enlace. La modulación, la codificación y el control de potencia están complementados con un ARQ rápido para proporcionar un enlace fiable. También se soporta un traspaso rápido entre celdas con tara reducida. La autenticación, autorización y privacidad para el enlace de acceso radioeléctrico se consigue mediante autenticación mutua de los terminales y de la red de acceso y mediante cifrado.</w:t>
      </w:r>
    </w:p>
    <w:p w:rsidR="00E028C5" w:rsidRPr="00E028C5" w:rsidRDefault="00E028C5" w:rsidP="00E028C5">
      <w:pPr>
        <w:rPr>
          <w:lang w:val="es-ES_tradnl"/>
        </w:rPr>
      </w:pPr>
      <w:r w:rsidRPr="00E028C5">
        <w:rPr>
          <w:lang w:val="es-ES_tradnl"/>
        </w:rPr>
        <w:t xml:space="preserve">La interfaz aérea AMDE-AC tiene tres capas designadas como L1, L2 y L3. </w:t>
      </w:r>
    </w:p>
    <w:p w:rsidR="00E028C5" w:rsidRPr="00E028C5" w:rsidRDefault="00E028C5" w:rsidP="00E028C5">
      <w:pPr>
        <w:rPr>
          <w:lang w:val="es-ES_tradnl"/>
        </w:rPr>
      </w:pPr>
      <w:r w:rsidRPr="00E028C5">
        <w:rPr>
          <w:lang w:val="es-ES_tradnl"/>
        </w:rPr>
        <w:t xml:space="preserve">El Cuadro 1 describe la funcionalidad de la interfaz aérea que corresponde a cada capa. Se describe brevemente la característica de cada capa; en apartados posteriores de este </w:t>
      </w:r>
      <w:r w:rsidR="007E1B67" w:rsidRPr="00E028C5">
        <w:rPr>
          <w:lang w:val="es-ES_tradnl"/>
        </w:rPr>
        <w:t>Anexo</w:t>
      </w:r>
      <w:r w:rsidRPr="00E028C5">
        <w:rPr>
          <w:lang w:val="es-ES_tradnl"/>
        </w:rPr>
        <w:t xml:space="preserve"> se describen con más detalle aspectos fundamentales.</w:t>
      </w:r>
    </w:p>
    <w:p w:rsidR="00E028C5" w:rsidRPr="00E028C5" w:rsidRDefault="00E028C5" w:rsidP="00E028C5">
      <w:pPr>
        <w:pStyle w:val="TableNo"/>
        <w:keepLines/>
        <w:rPr>
          <w:lang w:val="es-ES_tradnl"/>
        </w:rPr>
      </w:pPr>
      <w:r w:rsidRPr="00E028C5">
        <w:rPr>
          <w:lang w:val="es-ES_tradnl"/>
        </w:rPr>
        <w:t>CUADRO 1</w:t>
      </w:r>
    </w:p>
    <w:p w:rsidR="00E028C5" w:rsidRPr="00E028C5" w:rsidRDefault="00E028C5" w:rsidP="00E028C5">
      <w:pPr>
        <w:pStyle w:val="Tabletitle"/>
        <w:rPr>
          <w:lang w:val="es-ES_tradnl"/>
        </w:rPr>
      </w:pPr>
      <w:r w:rsidRPr="00E028C5">
        <w:rPr>
          <w:lang w:val="es-ES_tradnl"/>
        </w:rPr>
        <w:t>Capas de la interfaz aérea</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7937"/>
      </w:tblGrid>
      <w:tr w:rsidR="00E028C5" w:rsidRPr="00BE3323" w:rsidTr="00D131F9">
        <w:trPr>
          <w:jc w:val="center"/>
        </w:trPr>
        <w:tc>
          <w:tcPr>
            <w:tcW w:w="1570" w:type="dxa"/>
          </w:tcPr>
          <w:p w:rsidR="00E028C5" w:rsidRPr="00BE3323" w:rsidRDefault="00E028C5" w:rsidP="00253A39">
            <w:pPr>
              <w:pStyle w:val="Tablehead"/>
              <w:keepLines/>
            </w:pPr>
            <w:r w:rsidRPr="00BE3323">
              <w:t xml:space="preserve">Capa </w:t>
            </w:r>
          </w:p>
        </w:tc>
        <w:tc>
          <w:tcPr>
            <w:tcW w:w="7937" w:type="dxa"/>
          </w:tcPr>
          <w:p w:rsidR="00E028C5" w:rsidRPr="00BE3323" w:rsidRDefault="00E028C5" w:rsidP="00253A39">
            <w:pPr>
              <w:pStyle w:val="Tablehead"/>
              <w:keepLines/>
            </w:pPr>
            <w:r w:rsidRPr="00BE3323">
              <w:t>Propiedades definidas</w:t>
            </w:r>
          </w:p>
        </w:tc>
      </w:tr>
      <w:tr w:rsidR="00E028C5" w:rsidRPr="007932A5" w:rsidTr="00D131F9">
        <w:trPr>
          <w:jc w:val="center"/>
        </w:trPr>
        <w:tc>
          <w:tcPr>
            <w:tcW w:w="1570" w:type="dxa"/>
          </w:tcPr>
          <w:p w:rsidR="00E028C5" w:rsidRPr="00BE3323" w:rsidRDefault="00E028C5" w:rsidP="00253A39">
            <w:pPr>
              <w:pStyle w:val="Tabletext"/>
              <w:keepNext/>
              <w:keepLines/>
              <w:jc w:val="center"/>
            </w:pPr>
            <w:r w:rsidRPr="00BE3323">
              <w:t>L1</w:t>
            </w:r>
          </w:p>
        </w:tc>
        <w:tc>
          <w:tcPr>
            <w:tcW w:w="7937" w:type="dxa"/>
          </w:tcPr>
          <w:p w:rsidR="00E028C5" w:rsidRPr="00E028C5" w:rsidRDefault="00E028C5" w:rsidP="00D131F9">
            <w:pPr>
              <w:pStyle w:val="Tabletext"/>
              <w:keepNext/>
              <w:keepLines/>
              <w:jc w:val="left"/>
              <w:rPr>
                <w:lang w:val="es-ES_tradnl"/>
              </w:rPr>
            </w:pPr>
            <w:r w:rsidRPr="00E028C5">
              <w:rPr>
                <w:lang w:val="es-ES_tradnl"/>
              </w:rPr>
              <w:t>Estructuras de trama y de ráfaga, modulación y codificación de canal, avance de temporización</w:t>
            </w:r>
          </w:p>
        </w:tc>
      </w:tr>
      <w:tr w:rsidR="00E028C5" w:rsidRPr="007932A5" w:rsidTr="00D131F9">
        <w:trPr>
          <w:jc w:val="center"/>
        </w:trPr>
        <w:tc>
          <w:tcPr>
            <w:tcW w:w="1570" w:type="dxa"/>
          </w:tcPr>
          <w:p w:rsidR="00E028C5" w:rsidRPr="00BE3323" w:rsidRDefault="00E028C5" w:rsidP="00253A39">
            <w:pPr>
              <w:pStyle w:val="Tabletext"/>
              <w:keepNext/>
              <w:keepLines/>
              <w:jc w:val="center"/>
            </w:pPr>
            <w:r w:rsidRPr="00BE3323">
              <w:t>L2</w:t>
            </w:r>
          </w:p>
        </w:tc>
        <w:tc>
          <w:tcPr>
            <w:tcW w:w="7937" w:type="dxa"/>
          </w:tcPr>
          <w:p w:rsidR="00E028C5" w:rsidRPr="00E028C5" w:rsidRDefault="00E028C5" w:rsidP="00D131F9">
            <w:pPr>
              <w:pStyle w:val="Tabletext"/>
              <w:keepNext/>
              <w:keepLines/>
              <w:jc w:val="left"/>
              <w:rPr>
                <w:lang w:val="es-ES_tradnl"/>
              </w:rPr>
            </w:pPr>
            <w:r w:rsidRPr="00E028C5">
              <w:rPr>
                <w:lang w:val="es-ES_tradnl"/>
              </w:rPr>
              <w:t>Transmisión fiable, correspondencia de canales lógicos a físicos, cifrado en bloque</w:t>
            </w:r>
          </w:p>
        </w:tc>
      </w:tr>
      <w:tr w:rsidR="00E028C5" w:rsidRPr="007932A5" w:rsidTr="00D131F9">
        <w:trPr>
          <w:jc w:val="center"/>
        </w:trPr>
        <w:tc>
          <w:tcPr>
            <w:tcW w:w="1570" w:type="dxa"/>
          </w:tcPr>
          <w:p w:rsidR="00E028C5" w:rsidRPr="00BE3323" w:rsidRDefault="00E028C5" w:rsidP="00D131F9">
            <w:pPr>
              <w:pStyle w:val="Tabletext"/>
              <w:jc w:val="center"/>
            </w:pPr>
            <w:r w:rsidRPr="00BE3323">
              <w:t>L3</w:t>
            </w:r>
          </w:p>
        </w:tc>
        <w:tc>
          <w:tcPr>
            <w:tcW w:w="7937" w:type="dxa"/>
          </w:tcPr>
          <w:p w:rsidR="00E028C5" w:rsidRPr="00E028C5" w:rsidRDefault="00E028C5" w:rsidP="00D131F9">
            <w:pPr>
              <w:pStyle w:val="Tabletext"/>
              <w:jc w:val="left"/>
              <w:rPr>
                <w:lang w:val="es-ES_tradnl"/>
              </w:rPr>
            </w:pPr>
            <w:r w:rsidRPr="00E028C5">
              <w:rPr>
                <w:lang w:val="es-ES_tradnl"/>
              </w:rPr>
              <w:t>Gestión de sesión, gestión de recursos, gestión de movilidad, fragmentación, control de</w:t>
            </w:r>
            <w:r w:rsidR="00D131F9">
              <w:rPr>
                <w:lang w:val="es-ES_tradnl"/>
              </w:rPr>
              <w:t> </w:t>
            </w:r>
            <w:r w:rsidRPr="00E028C5">
              <w:rPr>
                <w:lang w:val="es-ES_tradnl"/>
              </w:rPr>
              <w:t>potencia, adaptación de enlace, autenticación</w:t>
            </w:r>
          </w:p>
        </w:tc>
      </w:tr>
    </w:tbl>
    <w:p w:rsidR="00E028C5" w:rsidRPr="00BE3323" w:rsidRDefault="00E028C5" w:rsidP="00E028C5">
      <w:pPr>
        <w:pStyle w:val="Tablefin"/>
        <w:rPr>
          <w:lang w:val="es-ES_tradnl"/>
        </w:rPr>
      </w:pPr>
    </w:p>
    <w:p w:rsidR="00E028C5" w:rsidRPr="00E028C5" w:rsidRDefault="00E028C5" w:rsidP="00E028C5">
      <w:pPr>
        <w:rPr>
          <w:lang w:val="es-ES_tradnl"/>
        </w:rPr>
      </w:pPr>
      <w:r w:rsidRPr="00E028C5">
        <w:rPr>
          <w:lang w:val="es-ES_tradnl"/>
        </w:rPr>
        <w:t>El Cuadro 2 resume los elementos fundamentales de una interfaz aérea AMDE-AC.</w:t>
      </w:r>
    </w:p>
    <w:p w:rsidR="00E028C5" w:rsidRPr="00E028C5" w:rsidRDefault="00E028C5" w:rsidP="00E028C5">
      <w:pPr>
        <w:pStyle w:val="TableNo"/>
        <w:keepLines/>
        <w:rPr>
          <w:lang w:val="es-ES_tradnl"/>
        </w:rPr>
      </w:pPr>
      <w:r w:rsidRPr="00E028C5">
        <w:rPr>
          <w:lang w:val="es-ES_tradnl"/>
        </w:rPr>
        <w:lastRenderedPageBreak/>
        <w:t>CUADRO 2</w:t>
      </w:r>
    </w:p>
    <w:p w:rsidR="00E028C5" w:rsidRPr="00E028C5" w:rsidRDefault="00E028C5" w:rsidP="00E028C5">
      <w:pPr>
        <w:pStyle w:val="Tabletitle"/>
        <w:rPr>
          <w:lang w:val="es-ES_tradnl"/>
        </w:rPr>
      </w:pPr>
      <w:r w:rsidRPr="00E028C5">
        <w:rPr>
          <w:lang w:val="es-ES_tradnl"/>
        </w:rPr>
        <w:t>Resumen de los elementos básicos de la interfaz aérea AMDE-AC</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5"/>
        <w:gridCol w:w="6123"/>
      </w:tblGrid>
      <w:tr w:rsidR="00E028C5" w:rsidRPr="00BE3323" w:rsidTr="00D131F9">
        <w:trPr>
          <w:cantSplit/>
          <w:tblHeader/>
          <w:jc w:val="center"/>
        </w:trPr>
        <w:tc>
          <w:tcPr>
            <w:tcW w:w="3515" w:type="dxa"/>
          </w:tcPr>
          <w:p w:rsidR="00E028C5" w:rsidRPr="00BE3323" w:rsidRDefault="00E028C5" w:rsidP="00253A39">
            <w:pPr>
              <w:pStyle w:val="Tablehead"/>
              <w:keepLines/>
            </w:pPr>
            <w:r w:rsidRPr="00BE3323">
              <w:t>Cantidad</w:t>
            </w:r>
          </w:p>
        </w:tc>
        <w:tc>
          <w:tcPr>
            <w:tcW w:w="6123" w:type="dxa"/>
          </w:tcPr>
          <w:p w:rsidR="00E028C5" w:rsidRPr="00BE3323" w:rsidRDefault="00E028C5" w:rsidP="00253A39">
            <w:pPr>
              <w:pStyle w:val="Tablehead"/>
              <w:keepLines/>
            </w:pPr>
            <w:r w:rsidRPr="00BE3323">
              <w:t>Valor</w:t>
            </w:r>
          </w:p>
        </w:tc>
      </w:tr>
      <w:tr w:rsidR="00E028C5" w:rsidRPr="00BE3323" w:rsidTr="00D131F9">
        <w:trPr>
          <w:cantSplit/>
          <w:jc w:val="center"/>
        </w:trPr>
        <w:tc>
          <w:tcPr>
            <w:tcW w:w="3515" w:type="dxa"/>
          </w:tcPr>
          <w:p w:rsidR="00E028C5" w:rsidRPr="00BE3323" w:rsidRDefault="00E028C5" w:rsidP="00424DE9">
            <w:pPr>
              <w:pStyle w:val="Tabletext"/>
              <w:keepNext/>
              <w:keepLines/>
              <w:jc w:val="left"/>
            </w:pPr>
            <w:r w:rsidRPr="00BE3323">
              <w:t>Método dúplex</w:t>
            </w:r>
          </w:p>
        </w:tc>
        <w:tc>
          <w:tcPr>
            <w:tcW w:w="6123" w:type="dxa"/>
          </w:tcPr>
          <w:p w:rsidR="00E028C5" w:rsidRPr="00BE3323" w:rsidRDefault="00E028C5" w:rsidP="00424DE9">
            <w:pPr>
              <w:pStyle w:val="Tabletext"/>
              <w:keepNext/>
              <w:keepLines/>
              <w:jc w:val="left"/>
            </w:pPr>
            <w:r w:rsidRPr="00BE3323">
              <w:t>DDT</w:t>
            </w:r>
          </w:p>
        </w:tc>
      </w:tr>
      <w:tr w:rsidR="00E028C5" w:rsidRPr="00BE3323" w:rsidTr="00D131F9">
        <w:trPr>
          <w:cantSplit/>
          <w:jc w:val="center"/>
        </w:trPr>
        <w:tc>
          <w:tcPr>
            <w:tcW w:w="3515" w:type="dxa"/>
          </w:tcPr>
          <w:p w:rsidR="00E028C5" w:rsidRPr="00BE3323" w:rsidRDefault="00E028C5" w:rsidP="00424DE9">
            <w:pPr>
              <w:pStyle w:val="Tabletext"/>
              <w:keepNext/>
              <w:keepLines/>
              <w:jc w:val="left"/>
            </w:pPr>
            <w:r w:rsidRPr="00BE3323">
              <w:t>Método de acceso múltiple</w:t>
            </w:r>
          </w:p>
        </w:tc>
        <w:tc>
          <w:tcPr>
            <w:tcW w:w="6123" w:type="dxa"/>
          </w:tcPr>
          <w:p w:rsidR="00E028C5" w:rsidRPr="00BE3323" w:rsidRDefault="00E028C5" w:rsidP="00424DE9">
            <w:pPr>
              <w:pStyle w:val="Tabletext"/>
              <w:keepNext/>
              <w:keepLines/>
              <w:jc w:val="left"/>
            </w:pPr>
            <w:r w:rsidRPr="00BE3323">
              <w:t>AMDF/AMDT/AMDE</w:t>
            </w:r>
          </w:p>
        </w:tc>
      </w:tr>
      <w:tr w:rsidR="00E028C5" w:rsidRPr="007932A5" w:rsidTr="00D131F9">
        <w:trPr>
          <w:cantSplit/>
          <w:jc w:val="center"/>
        </w:trPr>
        <w:tc>
          <w:tcPr>
            <w:tcW w:w="3515" w:type="dxa"/>
          </w:tcPr>
          <w:p w:rsidR="00E028C5" w:rsidRPr="00BE3323" w:rsidRDefault="00E028C5" w:rsidP="00424DE9">
            <w:pPr>
              <w:pStyle w:val="Tabletext"/>
              <w:keepNext/>
              <w:keepLines/>
              <w:jc w:val="left"/>
            </w:pPr>
            <w:r w:rsidRPr="00BE3323">
              <w:t>Esquema de acceso</w:t>
            </w:r>
          </w:p>
        </w:tc>
        <w:tc>
          <w:tcPr>
            <w:tcW w:w="6123" w:type="dxa"/>
          </w:tcPr>
          <w:p w:rsidR="00E028C5" w:rsidRPr="00E028C5" w:rsidRDefault="00E028C5" w:rsidP="00424DE9">
            <w:pPr>
              <w:pStyle w:val="Tabletext"/>
              <w:keepNext/>
              <w:keepLines/>
              <w:jc w:val="left"/>
              <w:rPr>
                <w:lang w:val="es-ES_tradnl"/>
              </w:rPr>
            </w:pPr>
            <w:r w:rsidRPr="00E028C5">
              <w:rPr>
                <w:lang w:val="es-ES_tradnl"/>
              </w:rPr>
              <w:t>Sentido de colisión/evitación, programación centralizada</w:t>
            </w:r>
          </w:p>
        </w:tc>
      </w:tr>
      <w:tr w:rsidR="00E028C5" w:rsidRPr="00BE3323" w:rsidTr="00D131F9">
        <w:trPr>
          <w:cantSplit/>
          <w:jc w:val="center"/>
        </w:trPr>
        <w:tc>
          <w:tcPr>
            <w:tcW w:w="3515" w:type="dxa"/>
          </w:tcPr>
          <w:p w:rsidR="00E028C5" w:rsidRPr="00BE3323" w:rsidRDefault="00E028C5" w:rsidP="00424DE9">
            <w:pPr>
              <w:pStyle w:val="Tabletext"/>
              <w:keepNext/>
              <w:keepLines/>
              <w:jc w:val="left"/>
            </w:pPr>
            <w:r w:rsidRPr="00BE3323">
              <w:t>Separación de portadoras</w:t>
            </w:r>
          </w:p>
        </w:tc>
        <w:tc>
          <w:tcPr>
            <w:tcW w:w="6123" w:type="dxa"/>
          </w:tcPr>
          <w:p w:rsidR="00E028C5" w:rsidRPr="00BE3323" w:rsidRDefault="00E028C5" w:rsidP="00424DE9">
            <w:pPr>
              <w:pStyle w:val="Tabletext"/>
              <w:keepNext/>
              <w:keepLines/>
              <w:jc w:val="left"/>
            </w:pPr>
            <w:r w:rsidRPr="00BE3323">
              <w:t>625 kHz</w:t>
            </w:r>
          </w:p>
        </w:tc>
      </w:tr>
      <w:tr w:rsidR="00E028C5" w:rsidRPr="00BE3323" w:rsidTr="00D131F9">
        <w:trPr>
          <w:cantSplit/>
          <w:jc w:val="center"/>
        </w:trPr>
        <w:tc>
          <w:tcPr>
            <w:tcW w:w="3515" w:type="dxa"/>
          </w:tcPr>
          <w:p w:rsidR="00E028C5" w:rsidRPr="00BE3323" w:rsidRDefault="00E028C5" w:rsidP="00424DE9">
            <w:pPr>
              <w:pStyle w:val="Tabletext"/>
              <w:keepNext/>
              <w:keepLines/>
              <w:jc w:val="left"/>
            </w:pPr>
            <w:r w:rsidRPr="00BE3323">
              <w:t>Periodo de trama</w:t>
            </w:r>
          </w:p>
        </w:tc>
        <w:tc>
          <w:tcPr>
            <w:tcW w:w="6123" w:type="dxa"/>
          </w:tcPr>
          <w:p w:rsidR="00E028C5" w:rsidRPr="00BE3323" w:rsidRDefault="00E028C5" w:rsidP="00424DE9">
            <w:pPr>
              <w:pStyle w:val="Tabletext"/>
              <w:keepNext/>
              <w:keepLines/>
              <w:jc w:val="left"/>
            </w:pPr>
            <w:r w:rsidRPr="00BE3323">
              <w:t>5 ms</w:t>
            </w:r>
          </w:p>
        </w:tc>
      </w:tr>
      <w:tr w:rsidR="00E028C5" w:rsidRPr="007932A5" w:rsidTr="00D131F9">
        <w:trPr>
          <w:cantSplit/>
          <w:jc w:val="center"/>
        </w:trPr>
        <w:tc>
          <w:tcPr>
            <w:tcW w:w="3515" w:type="dxa"/>
          </w:tcPr>
          <w:p w:rsidR="00E028C5" w:rsidRPr="00E028C5" w:rsidRDefault="00E028C5" w:rsidP="00424DE9">
            <w:pPr>
              <w:pStyle w:val="Tabletext"/>
              <w:keepNext/>
              <w:keepLines/>
              <w:jc w:val="left"/>
              <w:rPr>
                <w:lang w:val="es-ES_tradnl"/>
              </w:rPr>
            </w:pPr>
            <w:r w:rsidRPr="00E028C5">
              <w:rPr>
                <w:lang w:val="es-ES_tradnl"/>
              </w:rPr>
              <w:t>Asimetría de la velocidad de datos de usuario</w:t>
            </w:r>
          </w:p>
        </w:tc>
        <w:tc>
          <w:tcPr>
            <w:tcW w:w="6123" w:type="dxa"/>
          </w:tcPr>
          <w:p w:rsidR="00E028C5" w:rsidRPr="00E028C5" w:rsidRDefault="00E028C5" w:rsidP="00424DE9">
            <w:pPr>
              <w:pStyle w:val="Tabletext"/>
              <w:keepNext/>
              <w:keepLines/>
              <w:jc w:val="left"/>
              <w:rPr>
                <w:lang w:val="es-ES_tradnl"/>
              </w:rPr>
            </w:pPr>
            <w:r w:rsidRPr="00E028C5">
              <w:rPr>
                <w:lang w:val="es-ES_tradnl"/>
              </w:rPr>
              <w:t>3:1 asimetría de abajo a arriba de velocidades máximas</w:t>
            </w:r>
          </w:p>
        </w:tc>
      </w:tr>
      <w:tr w:rsidR="00E028C5" w:rsidRPr="00BE3323" w:rsidTr="00D131F9">
        <w:trPr>
          <w:cantSplit/>
          <w:jc w:val="center"/>
        </w:trPr>
        <w:tc>
          <w:tcPr>
            <w:tcW w:w="3515" w:type="dxa"/>
          </w:tcPr>
          <w:p w:rsidR="00E028C5" w:rsidRPr="00E028C5" w:rsidRDefault="00E028C5" w:rsidP="00424DE9">
            <w:pPr>
              <w:pStyle w:val="Tabletext"/>
              <w:keepNext/>
              <w:keepLines/>
              <w:jc w:val="left"/>
              <w:rPr>
                <w:lang w:val="es-ES_tradnl"/>
              </w:rPr>
            </w:pPr>
            <w:r w:rsidRPr="00E028C5">
              <w:rPr>
                <w:lang w:val="es-ES_tradnl"/>
              </w:rPr>
              <w:t>Intervalos de tiempo de enlace ascendente</w:t>
            </w:r>
          </w:p>
        </w:tc>
        <w:tc>
          <w:tcPr>
            <w:tcW w:w="6123" w:type="dxa"/>
          </w:tcPr>
          <w:p w:rsidR="00E028C5" w:rsidRPr="00BE3323" w:rsidRDefault="00E028C5" w:rsidP="00424DE9">
            <w:pPr>
              <w:pStyle w:val="Tabletext"/>
              <w:keepNext/>
              <w:keepLines/>
              <w:jc w:val="left"/>
            </w:pPr>
            <w:r w:rsidRPr="00BE3323">
              <w:t>3</w:t>
            </w:r>
          </w:p>
        </w:tc>
      </w:tr>
      <w:tr w:rsidR="00E028C5" w:rsidRPr="00BE3323" w:rsidTr="00D131F9">
        <w:trPr>
          <w:cantSplit/>
          <w:jc w:val="center"/>
        </w:trPr>
        <w:tc>
          <w:tcPr>
            <w:tcW w:w="3515" w:type="dxa"/>
          </w:tcPr>
          <w:p w:rsidR="00E028C5" w:rsidRPr="00E028C5" w:rsidRDefault="00E028C5" w:rsidP="00424DE9">
            <w:pPr>
              <w:pStyle w:val="Tabletext"/>
              <w:jc w:val="left"/>
              <w:rPr>
                <w:lang w:val="es-ES_tradnl"/>
              </w:rPr>
            </w:pPr>
            <w:r w:rsidRPr="00E028C5">
              <w:rPr>
                <w:lang w:val="es-ES_tradnl"/>
              </w:rPr>
              <w:t>Intervalos de tiempo de enlace descendente</w:t>
            </w:r>
          </w:p>
        </w:tc>
        <w:tc>
          <w:tcPr>
            <w:tcW w:w="6123" w:type="dxa"/>
          </w:tcPr>
          <w:p w:rsidR="00E028C5" w:rsidRPr="00BE3323" w:rsidRDefault="00E028C5" w:rsidP="00424DE9">
            <w:pPr>
              <w:pStyle w:val="Tabletext"/>
              <w:jc w:val="left"/>
            </w:pPr>
            <w:r w:rsidRPr="00BE3323">
              <w:t>3</w:t>
            </w:r>
          </w:p>
        </w:tc>
      </w:tr>
      <w:tr w:rsidR="00E028C5" w:rsidRPr="00BE3323" w:rsidTr="00D131F9">
        <w:trPr>
          <w:cantSplit/>
          <w:jc w:val="center"/>
        </w:trPr>
        <w:tc>
          <w:tcPr>
            <w:tcW w:w="3515" w:type="dxa"/>
          </w:tcPr>
          <w:p w:rsidR="00E028C5" w:rsidRPr="00BE3323" w:rsidRDefault="00E028C5" w:rsidP="00424DE9">
            <w:pPr>
              <w:pStyle w:val="Tabletext"/>
              <w:jc w:val="left"/>
            </w:pPr>
            <w:r w:rsidRPr="00BE3323">
              <w:t xml:space="preserve">Alcance </w:t>
            </w:r>
          </w:p>
        </w:tc>
        <w:tc>
          <w:tcPr>
            <w:tcW w:w="6123" w:type="dxa"/>
          </w:tcPr>
          <w:p w:rsidR="00E028C5" w:rsidRPr="00BE3323" w:rsidRDefault="00E028C5" w:rsidP="00424DE9">
            <w:pPr>
              <w:pStyle w:val="Tabletext"/>
              <w:jc w:val="left"/>
            </w:pPr>
            <w:r w:rsidRPr="00BE3323">
              <w:t xml:space="preserve">&gt; </w:t>
            </w:r>
            <w:smartTag w:uri="urn:schemas-microsoft-com:office:smarttags" w:element="metricconverter">
              <w:smartTagPr>
                <w:attr w:name="ProductID" w:val="15 km"/>
              </w:smartTagPr>
              <w:r w:rsidRPr="00BE3323">
                <w:t>15 km</w:t>
              </w:r>
            </w:smartTag>
          </w:p>
        </w:tc>
      </w:tr>
      <w:tr w:rsidR="00E028C5" w:rsidRPr="00BE3323" w:rsidTr="00D131F9">
        <w:trPr>
          <w:cantSplit/>
          <w:jc w:val="center"/>
        </w:trPr>
        <w:tc>
          <w:tcPr>
            <w:tcW w:w="3515" w:type="dxa"/>
          </w:tcPr>
          <w:p w:rsidR="00E028C5" w:rsidRPr="00BE3323" w:rsidRDefault="00E028C5" w:rsidP="00424DE9">
            <w:pPr>
              <w:pStyle w:val="Tabletext"/>
              <w:jc w:val="left"/>
            </w:pPr>
            <w:r w:rsidRPr="00BE3323">
              <w:t>Velocidad de símbolos</w:t>
            </w:r>
          </w:p>
        </w:tc>
        <w:tc>
          <w:tcPr>
            <w:tcW w:w="6123" w:type="dxa"/>
          </w:tcPr>
          <w:p w:rsidR="00E028C5" w:rsidRPr="00BE3323" w:rsidRDefault="00E028C5" w:rsidP="00424DE9">
            <w:pPr>
              <w:pStyle w:val="Tabletext"/>
              <w:jc w:val="left"/>
            </w:pPr>
            <w:r w:rsidRPr="00BE3323">
              <w:t>500 kbaudio/s</w:t>
            </w:r>
          </w:p>
        </w:tc>
      </w:tr>
      <w:tr w:rsidR="00E028C5" w:rsidRPr="007932A5" w:rsidTr="00D131F9">
        <w:trPr>
          <w:cantSplit/>
          <w:jc w:val="center"/>
        </w:trPr>
        <w:tc>
          <w:tcPr>
            <w:tcW w:w="3515" w:type="dxa"/>
          </w:tcPr>
          <w:p w:rsidR="00E028C5" w:rsidRPr="00BE3323" w:rsidRDefault="00E028C5" w:rsidP="00424DE9">
            <w:pPr>
              <w:pStyle w:val="Tabletext"/>
              <w:jc w:val="left"/>
            </w:pPr>
            <w:r w:rsidRPr="00BE3323">
              <w:t>Conformación del pulso</w:t>
            </w:r>
          </w:p>
        </w:tc>
        <w:tc>
          <w:tcPr>
            <w:tcW w:w="6123" w:type="dxa"/>
          </w:tcPr>
          <w:p w:rsidR="00E028C5" w:rsidRPr="00E028C5" w:rsidRDefault="00E028C5" w:rsidP="00424DE9">
            <w:pPr>
              <w:pStyle w:val="Tabletext"/>
              <w:jc w:val="left"/>
              <w:rPr>
                <w:lang w:val="es-ES_tradnl"/>
              </w:rPr>
            </w:pPr>
            <w:r w:rsidRPr="00E028C5">
              <w:rPr>
                <w:lang w:val="es-ES_tradnl"/>
              </w:rPr>
              <w:t>Raíz cuadrada del coseno alzado</w:t>
            </w:r>
          </w:p>
        </w:tc>
      </w:tr>
      <w:tr w:rsidR="00E028C5" w:rsidRPr="00BE3323" w:rsidTr="00D131F9">
        <w:trPr>
          <w:cantSplit/>
          <w:jc w:val="center"/>
        </w:trPr>
        <w:tc>
          <w:tcPr>
            <w:tcW w:w="3515" w:type="dxa"/>
          </w:tcPr>
          <w:p w:rsidR="00E028C5" w:rsidRPr="00E028C5" w:rsidRDefault="00E028C5" w:rsidP="00424DE9">
            <w:pPr>
              <w:pStyle w:val="Tabletext"/>
              <w:jc w:val="left"/>
              <w:rPr>
                <w:lang w:val="es-ES_tradnl"/>
              </w:rPr>
            </w:pPr>
            <w:r w:rsidRPr="00E028C5">
              <w:rPr>
                <w:lang w:val="es-ES_tradnl"/>
              </w:rPr>
              <w:t>Anchura de banda de canal en exceso</w:t>
            </w:r>
          </w:p>
        </w:tc>
        <w:tc>
          <w:tcPr>
            <w:tcW w:w="6123" w:type="dxa"/>
          </w:tcPr>
          <w:p w:rsidR="00E028C5" w:rsidRPr="00BE3323" w:rsidRDefault="00E028C5" w:rsidP="00424DE9">
            <w:pPr>
              <w:pStyle w:val="Tabletext"/>
              <w:jc w:val="left"/>
            </w:pPr>
            <w:r w:rsidRPr="00BE3323">
              <w:t>25%</w:t>
            </w:r>
          </w:p>
        </w:tc>
      </w:tr>
      <w:tr w:rsidR="00E028C5" w:rsidRPr="007932A5" w:rsidTr="00D131F9">
        <w:trPr>
          <w:cantSplit/>
          <w:jc w:val="center"/>
        </w:trPr>
        <w:tc>
          <w:tcPr>
            <w:tcW w:w="3515" w:type="dxa"/>
          </w:tcPr>
          <w:p w:rsidR="00E028C5" w:rsidRPr="00BE3323" w:rsidRDefault="00E028C5" w:rsidP="00424DE9">
            <w:pPr>
              <w:pStyle w:val="Tabletext"/>
              <w:jc w:val="left"/>
            </w:pPr>
            <w:r w:rsidRPr="00BE3323">
              <w:t>Modulación y codificación</w:t>
            </w:r>
          </w:p>
        </w:tc>
        <w:tc>
          <w:tcPr>
            <w:tcW w:w="6123" w:type="dxa"/>
          </w:tcPr>
          <w:p w:rsidR="00E028C5" w:rsidRPr="00E028C5" w:rsidRDefault="00E028C5" w:rsidP="00424DE9">
            <w:pPr>
              <w:pStyle w:val="Tabletext"/>
              <w:ind w:left="284" w:hanging="284"/>
              <w:jc w:val="left"/>
              <w:rPr>
                <w:lang w:val="es-ES_tradnl"/>
              </w:rPr>
            </w:pPr>
            <w:r w:rsidRPr="00E028C5">
              <w:rPr>
                <w:lang w:val="es-ES_tradnl"/>
              </w:rPr>
              <w:t>–</w:t>
            </w:r>
            <w:r w:rsidRPr="00E028C5">
              <w:rPr>
                <w:lang w:val="es-ES_tradnl"/>
              </w:rPr>
              <w:tab/>
              <w:t>selección de trama a trama independiente para constelación + codificación de enlace ascendente y de enlace descendente</w:t>
            </w:r>
          </w:p>
          <w:p w:rsidR="00E028C5" w:rsidRPr="00E028C5" w:rsidRDefault="00E028C5" w:rsidP="00424DE9">
            <w:pPr>
              <w:pStyle w:val="Tabletext"/>
              <w:ind w:left="284" w:hanging="284"/>
              <w:jc w:val="left"/>
              <w:rPr>
                <w:lang w:val="es-ES_tradnl"/>
              </w:rPr>
            </w:pPr>
            <w:r w:rsidRPr="00E028C5">
              <w:rPr>
                <w:lang w:val="es-ES_tradnl"/>
              </w:rPr>
              <w:t>–</w:t>
            </w:r>
            <w:r w:rsidRPr="00E028C5">
              <w:rPr>
                <w:lang w:val="es-ES_tradnl"/>
              </w:rPr>
              <w:tab/>
              <w:t xml:space="preserve">constelación de 8 enlaces ascendentes + clases de codificación </w:t>
            </w:r>
          </w:p>
          <w:p w:rsidR="00E028C5" w:rsidRPr="00E028C5" w:rsidRDefault="00E028C5" w:rsidP="00424DE9">
            <w:pPr>
              <w:pStyle w:val="Tabletext"/>
              <w:ind w:left="284" w:hanging="284"/>
              <w:jc w:val="left"/>
              <w:rPr>
                <w:lang w:val="es-ES_tradnl"/>
              </w:rPr>
            </w:pPr>
            <w:r w:rsidRPr="00E028C5">
              <w:rPr>
                <w:lang w:val="es-ES_tradnl"/>
              </w:rPr>
              <w:t>–</w:t>
            </w:r>
            <w:r w:rsidRPr="00E028C5">
              <w:rPr>
                <w:lang w:val="es-ES_tradnl"/>
              </w:rPr>
              <w:tab/>
              <w:t>constelación de 9 enlaces descendentes + clases de codificación</w:t>
            </w:r>
          </w:p>
          <w:p w:rsidR="00E028C5" w:rsidRPr="00E028C5" w:rsidRDefault="00E028C5" w:rsidP="00424DE9">
            <w:pPr>
              <w:pStyle w:val="Tabletext"/>
              <w:ind w:left="284" w:hanging="284"/>
              <w:jc w:val="left"/>
              <w:rPr>
                <w:lang w:val="es-ES_tradnl"/>
              </w:rPr>
            </w:pPr>
            <w:r w:rsidRPr="00E028C5">
              <w:rPr>
                <w:lang w:val="es-ES_tradnl"/>
              </w:rPr>
              <w:t>–</w:t>
            </w:r>
            <w:r w:rsidRPr="00E028C5">
              <w:rPr>
                <w:lang w:val="es-ES_tradnl"/>
              </w:rPr>
              <w:tab/>
              <w:t xml:space="preserve">módulo constante y constelaciones rectangulares </w:t>
            </w:r>
          </w:p>
        </w:tc>
      </w:tr>
      <w:tr w:rsidR="00E028C5" w:rsidRPr="007932A5" w:rsidTr="00D131F9">
        <w:trPr>
          <w:cantSplit/>
          <w:jc w:val="center"/>
        </w:trPr>
        <w:tc>
          <w:tcPr>
            <w:tcW w:w="3515" w:type="dxa"/>
          </w:tcPr>
          <w:p w:rsidR="00E028C5" w:rsidRPr="00BE3323" w:rsidRDefault="00E028C5" w:rsidP="00424DE9">
            <w:pPr>
              <w:pStyle w:val="Tabletext"/>
              <w:jc w:val="left"/>
            </w:pPr>
            <w:r w:rsidRPr="00BE3323">
              <w:t>Control de potencia</w:t>
            </w:r>
          </w:p>
        </w:tc>
        <w:tc>
          <w:tcPr>
            <w:tcW w:w="6123" w:type="dxa"/>
          </w:tcPr>
          <w:p w:rsidR="00E028C5" w:rsidRPr="00E028C5" w:rsidRDefault="00E028C5" w:rsidP="00424DE9">
            <w:pPr>
              <w:pStyle w:val="Tabletext"/>
              <w:jc w:val="left"/>
              <w:rPr>
                <w:lang w:val="es-ES_tradnl"/>
              </w:rPr>
            </w:pPr>
            <w:r w:rsidRPr="00E028C5">
              <w:rPr>
                <w:lang w:val="es-ES_tradnl"/>
              </w:rPr>
              <w:t>Bucle abierto y cerrado de trama a trama de enlace ascendente y de enlace descendente</w:t>
            </w:r>
          </w:p>
        </w:tc>
      </w:tr>
      <w:tr w:rsidR="00E028C5" w:rsidRPr="00BE3323" w:rsidTr="00D131F9">
        <w:trPr>
          <w:cantSplit/>
          <w:jc w:val="center"/>
        </w:trPr>
        <w:tc>
          <w:tcPr>
            <w:tcW w:w="3515" w:type="dxa"/>
          </w:tcPr>
          <w:p w:rsidR="00E028C5" w:rsidRPr="00BE3323" w:rsidRDefault="00E028C5" w:rsidP="00424DE9">
            <w:pPr>
              <w:pStyle w:val="Tabletext"/>
              <w:jc w:val="left"/>
            </w:pPr>
            <w:r w:rsidRPr="00BE3323">
              <w:t>ARQ rápido</w:t>
            </w:r>
          </w:p>
        </w:tc>
        <w:tc>
          <w:tcPr>
            <w:tcW w:w="6123" w:type="dxa"/>
          </w:tcPr>
          <w:p w:rsidR="00E028C5" w:rsidRPr="00BE3323" w:rsidRDefault="00E028C5" w:rsidP="00424DE9">
            <w:pPr>
              <w:pStyle w:val="Tabletext"/>
              <w:jc w:val="left"/>
            </w:pPr>
            <w:r w:rsidRPr="00BE3323">
              <w:t>Sí</w:t>
            </w:r>
          </w:p>
        </w:tc>
      </w:tr>
      <w:tr w:rsidR="00E028C5" w:rsidRPr="00BE3323" w:rsidTr="00D131F9">
        <w:trPr>
          <w:cantSplit/>
          <w:jc w:val="center"/>
        </w:trPr>
        <w:tc>
          <w:tcPr>
            <w:tcW w:w="3515" w:type="dxa"/>
          </w:tcPr>
          <w:p w:rsidR="00E028C5" w:rsidRPr="00E028C5" w:rsidRDefault="00E028C5" w:rsidP="00424DE9">
            <w:pPr>
              <w:pStyle w:val="Tabletext"/>
              <w:jc w:val="left"/>
              <w:rPr>
                <w:lang w:val="es-ES_tradnl"/>
              </w:rPr>
            </w:pPr>
            <w:r w:rsidRPr="00E028C5">
              <w:rPr>
                <w:lang w:val="es-ES_tradnl"/>
              </w:rPr>
              <w:t>Agregación de portadora e intervalo de tiempo</w:t>
            </w:r>
          </w:p>
        </w:tc>
        <w:tc>
          <w:tcPr>
            <w:tcW w:w="6123" w:type="dxa"/>
          </w:tcPr>
          <w:p w:rsidR="00E028C5" w:rsidRPr="00BE3323" w:rsidRDefault="00E028C5" w:rsidP="00424DE9">
            <w:pPr>
              <w:pStyle w:val="Tabletext"/>
              <w:jc w:val="left"/>
            </w:pPr>
            <w:r w:rsidRPr="00BE3323">
              <w:t>Sí</w:t>
            </w:r>
          </w:p>
        </w:tc>
      </w:tr>
      <w:tr w:rsidR="00E028C5" w:rsidRPr="007932A5" w:rsidTr="00D131F9">
        <w:trPr>
          <w:cantSplit/>
          <w:jc w:val="center"/>
        </w:trPr>
        <w:tc>
          <w:tcPr>
            <w:tcW w:w="3515" w:type="dxa"/>
          </w:tcPr>
          <w:p w:rsidR="00E028C5" w:rsidRPr="00BE3323" w:rsidRDefault="00E028C5" w:rsidP="00424DE9">
            <w:pPr>
              <w:pStyle w:val="Tabletext"/>
              <w:jc w:val="left"/>
            </w:pPr>
            <w:r w:rsidRPr="00BE3323">
              <w:t>QoS</w:t>
            </w:r>
          </w:p>
        </w:tc>
        <w:tc>
          <w:tcPr>
            <w:tcW w:w="6123" w:type="dxa"/>
          </w:tcPr>
          <w:p w:rsidR="00E028C5" w:rsidRPr="00E028C5" w:rsidRDefault="00E028C5" w:rsidP="00424DE9">
            <w:pPr>
              <w:pStyle w:val="Tabletext"/>
              <w:jc w:val="left"/>
              <w:rPr>
                <w:lang w:val="es-ES_tradnl"/>
              </w:rPr>
            </w:pPr>
            <w:r w:rsidRPr="00E028C5">
              <w:rPr>
                <w:lang w:val="es-ES_tradnl"/>
              </w:rPr>
              <w:t>Especificación de política DiffServ (servicios diferenciados), soporta la limitación de velocidad, prioridad, participación, etc.</w:t>
            </w:r>
          </w:p>
        </w:tc>
      </w:tr>
      <w:tr w:rsidR="00E028C5" w:rsidRPr="007932A5" w:rsidTr="00D131F9">
        <w:trPr>
          <w:cantSplit/>
          <w:jc w:val="center"/>
        </w:trPr>
        <w:tc>
          <w:tcPr>
            <w:tcW w:w="3515" w:type="dxa"/>
          </w:tcPr>
          <w:p w:rsidR="00E028C5" w:rsidRPr="00BE3323" w:rsidRDefault="00E028C5" w:rsidP="00424DE9">
            <w:pPr>
              <w:pStyle w:val="Tabletext"/>
              <w:jc w:val="left"/>
            </w:pPr>
            <w:r w:rsidRPr="00BE3323">
              <w:t xml:space="preserve">Seguridad </w:t>
            </w:r>
          </w:p>
        </w:tc>
        <w:tc>
          <w:tcPr>
            <w:tcW w:w="6123" w:type="dxa"/>
          </w:tcPr>
          <w:p w:rsidR="00E028C5" w:rsidRPr="00E028C5" w:rsidRDefault="00E028C5" w:rsidP="00424DE9">
            <w:pPr>
              <w:pStyle w:val="Tabletext"/>
              <w:jc w:val="left"/>
              <w:rPr>
                <w:lang w:val="es-ES_tradnl"/>
              </w:rPr>
            </w:pPr>
            <w:r w:rsidRPr="00E028C5">
              <w:rPr>
                <w:lang w:val="es-ES_tradnl"/>
              </w:rPr>
              <w:t>AT mutua y autenticación BSR, cifrado para privacidad</w:t>
            </w:r>
          </w:p>
        </w:tc>
      </w:tr>
      <w:tr w:rsidR="00E028C5" w:rsidRPr="007932A5" w:rsidTr="00D131F9">
        <w:trPr>
          <w:cantSplit/>
          <w:jc w:val="center"/>
        </w:trPr>
        <w:tc>
          <w:tcPr>
            <w:tcW w:w="3515" w:type="dxa"/>
          </w:tcPr>
          <w:p w:rsidR="00E028C5" w:rsidRPr="00BE3323" w:rsidRDefault="00E028C5" w:rsidP="00424DE9">
            <w:pPr>
              <w:pStyle w:val="Tabletext"/>
              <w:jc w:val="left"/>
            </w:pPr>
            <w:r w:rsidRPr="00BE3323">
              <w:t>Traspaso</w:t>
            </w:r>
          </w:p>
        </w:tc>
        <w:tc>
          <w:tcPr>
            <w:tcW w:w="6123" w:type="dxa"/>
          </w:tcPr>
          <w:p w:rsidR="00E028C5" w:rsidRPr="00E028C5" w:rsidRDefault="00E028C5" w:rsidP="00424DE9">
            <w:pPr>
              <w:pStyle w:val="Tabletext"/>
              <w:jc w:val="left"/>
              <w:rPr>
                <w:szCs w:val="22"/>
                <w:lang w:val="es-ES_tradnl"/>
              </w:rPr>
            </w:pPr>
            <w:r w:rsidRPr="00E028C5">
              <w:rPr>
                <w:szCs w:val="22"/>
                <w:lang w:val="es-ES_tradnl"/>
              </w:rPr>
              <w:t>Dirigido a terminal de acceso</w:t>
            </w:r>
          </w:p>
        </w:tc>
      </w:tr>
      <w:tr w:rsidR="00E028C5" w:rsidRPr="007932A5" w:rsidTr="00D131F9">
        <w:trPr>
          <w:cantSplit/>
          <w:jc w:val="center"/>
        </w:trPr>
        <w:tc>
          <w:tcPr>
            <w:tcW w:w="3515" w:type="dxa"/>
          </w:tcPr>
          <w:p w:rsidR="00E028C5" w:rsidRPr="00BE3323" w:rsidRDefault="00E028C5" w:rsidP="00424DE9">
            <w:pPr>
              <w:pStyle w:val="Tabletext"/>
              <w:jc w:val="left"/>
            </w:pPr>
            <w:r w:rsidRPr="00BE3323">
              <w:t>Asignación de recursos</w:t>
            </w:r>
          </w:p>
        </w:tc>
        <w:tc>
          <w:tcPr>
            <w:tcW w:w="6123" w:type="dxa"/>
          </w:tcPr>
          <w:p w:rsidR="00E028C5" w:rsidRPr="00E028C5" w:rsidRDefault="00E028C5" w:rsidP="00424DE9">
            <w:pPr>
              <w:pStyle w:val="Tabletext"/>
              <w:jc w:val="left"/>
              <w:rPr>
                <w:szCs w:val="22"/>
                <w:lang w:val="es-ES_tradnl"/>
              </w:rPr>
            </w:pPr>
            <w:r w:rsidRPr="00E028C5">
              <w:rPr>
                <w:szCs w:val="22"/>
                <w:lang w:val="es-ES_tradnl"/>
              </w:rPr>
              <w:t>Anchura de banda dinámica bajo demanda</w:t>
            </w:r>
          </w:p>
        </w:tc>
      </w:tr>
    </w:tbl>
    <w:p w:rsidR="00E028C5" w:rsidRPr="00376F4F" w:rsidRDefault="00E028C5" w:rsidP="00E028C5">
      <w:pPr>
        <w:pStyle w:val="Tablefin"/>
        <w:rPr>
          <w:lang w:val="es-ES_tradnl"/>
        </w:rPr>
      </w:pPr>
    </w:p>
    <w:p w:rsidR="00E028C5" w:rsidRPr="00E028C5" w:rsidRDefault="00E028C5" w:rsidP="00E028C5">
      <w:pPr>
        <w:rPr>
          <w:lang w:val="es-ES_tradnl"/>
        </w:rPr>
      </w:pPr>
      <w:r w:rsidRPr="00E028C5">
        <w:rPr>
          <w:lang w:val="es-ES_tradnl"/>
        </w:rPr>
        <w:t xml:space="preserve">Todas las normas referenciadas en este </w:t>
      </w:r>
      <w:r w:rsidR="007E1B67" w:rsidRPr="00E028C5">
        <w:rPr>
          <w:lang w:val="es-ES_tradnl"/>
        </w:rPr>
        <w:t>Anexo</w:t>
      </w:r>
      <w:r w:rsidRPr="00E028C5">
        <w:rPr>
          <w:lang w:val="es-ES_tradnl"/>
        </w:rPr>
        <w:t xml:space="preserve"> están disponibles en formato electrónico en: </w:t>
      </w:r>
      <w:hyperlink r:id="rId25" w:history="1">
        <w:r w:rsidRPr="00E028C5">
          <w:rPr>
            <w:color w:val="0000FF"/>
            <w:u w:val="single"/>
            <w:lang w:val="es-ES_tradnl"/>
          </w:rPr>
          <w:t>https://www.atis.org/docstore/default.aspx</w:t>
        </w:r>
      </w:hyperlink>
      <w:r w:rsidRPr="00E028C5">
        <w:rPr>
          <w:color w:val="0000FF"/>
          <w:lang w:val="es-ES_tradnl"/>
        </w:rPr>
        <w:t>.</w:t>
      </w:r>
    </w:p>
    <w:p w:rsidR="00E028C5" w:rsidRPr="00E028C5" w:rsidRDefault="00E028C5" w:rsidP="00D131F9">
      <w:pPr>
        <w:pStyle w:val="AnnexNoTitle"/>
        <w:rPr>
          <w:lang w:val="es-ES_tradnl"/>
        </w:rPr>
      </w:pPr>
      <w:bookmarkStart w:id="6" w:name="OLE_LINK1"/>
      <w:bookmarkStart w:id="7" w:name="OLE_LINK2"/>
      <w:r w:rsidRPr="00E028C5">
        <w:rPr>
          <w:lang w:val="es-ES_tradnl"/>
        </w:rPr>
        <w:lastRenderedPageBreak/>
        <w:t>Anexo 6</w:t>
      </w:r>
      <w:r w:rsidRPr="00E028C5">
        <w:rPr>
          <w:lang w:val="es-ES_tradnl"/>
        </w:rPr>
        <w:br/>
      </w:r>
      <w:bookmarkEnd w:id="6"/>
      <w:bookmarkEnd w:id="7"/>
      <w:r w:rsidRPr="00E028C5">
        <w:rPr>
          <w:lang w:val="es-ES_tradnl"/>
        </w:rPr>
        <w:br/>
        <w:t>«Plataforma Global eXtendida: XGP» para sistemas de acceso</w:t>
      </w:r>
      <w:r w:rsidR="00D131F9">
        <w:rPr>
          <w:lang w:val="es-ES_tradnl"/>
        </w:rPr>
        <w:br/>
      </w:r>
      <w:r w:rsidRPr="00E028C5">
        <w:rPr>
          <w:lang w:val="es-ES_tradnl"/>
        </w:rPr>
        <w:t>inalámbrico de banda ancha (BWA) en el servicio móvil</w:t>
      </w:r>
    </w:p>
    <w:p w:rsidR="00E028C5" w:rsidRPr="00E028C5" w:rsidRDefault="00E028C5" w:rsidP="00E028C5">
      <w:pPr>
        <w:pStyle w:val="Heading1"/>
        <w:rPr>
          <w:lang w:val="es-ES_tradnl"/>
        </w:rPr>
      </w:pPr>
      <w:r w:rsidRPr="00E028C5">
        <w:rPr>
          <w:lang w:val="es-ES_tradnl"/>
        </w:rPr>
        <w:t>1</w:t>
      </w:r>
      <w:r w:rsidRPr="00E028C5">
        <w:rPr>
          <w:lang w:val="es-ES_tradnl"/>
        </w:rPr>
        <w:tab/>
        <w:t>Visión general de la interfaz radioeléctrica</w:t>
      </w:r>
    </w:p>
    <w:p w:rsidR="00E028C5" w:rsidRPr="00E028C5" w:rsidRDefault="00E028C5" w:rsidP="00E028C5">
      <w:pPr>
        <w:rPr>
          <w:lang w:val="es-ES_tradnl"/>
        </w:rPr>
      </w:pPr>
      <w:r w:rsidRPr="00E028C5">
        <w:rPr>
          <w:lang w:val="es-ES_tradnl"/>
        </w:rPr>
        <w:t xml:space="preserve">El XGP Forum, previamente conocido como grupo MoU PHS, que es una organización de normalización, ha desarrollado la </w:t>
      </w:r>
      <w:r w:rsidRPr="00E028C5">
        <w:rPr>
          <w:lang w:val="es-ES_tradnl" w:eastAsia="ja-JP"/>
        </w:rPr>
        <w:t>«eXtended Global Platform: XGP» (</w:t>
      </w:r>
      <w:r w:rsidRPr="00E028C5">
        <w:rPr>
          <w:lang w:val="es-ES_tradnl"/>
        </w:rPr>
        <w:t>«Plataforma Global eXtendida: XGP») como uno de los sistemas de acceso inalámbrico de banda ancha (BWA). La «Plataforma Global eXtendida» también conocida como «PHS de próxima generación» logra una alta eficiencia en el uso del espectro principalmente porque utiliza microceldas cuyos radios son mucho menores que los de las celdas típicas de telefonía móvil y del sistema PHS original.</w:t>
      </w:r>
    </w:p>
    <w:p w:rsidR="00E028C5" w:rsidRPr="00E028C5" w:rsidRDefault="00E028C5" w:rsidP="00E028C5">
      <w:pPr>
        <w:rPr>
          <w:lang w:val="es-ES_tradnl"/>
        </w:rPr>
      </w:pPr>
      <w:r w:rsidRPr="00E028C5">
        <w:rPr>
          <w:lang w:val="es-ES_tradnl"/>
        </w:rPr>
        <w:t>XGP es el sistema BWA móvil que utiliza AMDFO/SC-AMDF/AMDT-DDT, y algunas características más avanzadas que se describen a continuación:</w:t>
      </w:r>
    </w:p>
    <w:p w:rsidR="00E028C5" w:rsidRPr="00E028C5" w:rsidRDefault="00E028C5" w:rsidP="00E028C5">
      <w:pPr>
        <w:pStyle w:val="enumlev1"/>
        <w:rPr>
          <w:lang w:val="es-ES_tradnl"/>
        </w:rPr>
      </w:pPr>
      <w:r w:rsidRPr="00E028C5">
        <w:rPr>
          <w:lang w:val="es-ES_tradnl"/>
        </w:rPr>
        <w:t>–</w:t>
      </w:r>
      <w:r w:rsidRPr="00E028C5">
        <w:rPr>
          <w:lang w:val="es-ES_tradnl"/>
        </w:rPr>
        <w:tab/>
        <w:t>Realización de un entorno siempre conectado a nivel IP</w:t>
      </w:r>
    </w:p>
    <w:p w:rsidR="00E028C5" w:rsidRPr="00E028C5" w:rsidRDefault="00E028C5" w:rsidP="00E028C5">
      <w:pPr>
        <w:pStyle w:val="enumlev1"/>
        <w:rPr>
          <w:lang w:val="es-ES_tradnl"/>
        </w:rPr>
      </w:pPr>
      <w:r w:rsidRPr="00E028C5">
        <w:rPr>
          <w:lang w:val="es-ES_tradnl"/>
        </w:rPr>
        <w:tab/>
        <w:t>Es fundamental la sesión siempre conectada a nivel IP que permita a los usuarios iniciar inmediatamente la transmisión a alta velocidad teniendo en cuenta la conveniencia del entorno siempre conectado proporcionado por los módem de cable, etc.</w:t>
      </w:r>
    </w:p>
    <w:p w:rsidR="00E028C5" w:rsidRPr="00E028C5" w:rsidRDefault="00E028C5" w:rsidP="00E028C5">
      <w:pPr>
        <w:pStyle w:val="enumlev1"/>
        <w:rPr>
          <w:lang w:val="es-ES_tradnl"/>
        </w:rPr>
      </w:pPr>
      <w:r w:rsidRPr="00E028C5">
        <w:rPr>
          <w:lang w:val="es-ES_tradnl"/>
        </w:rPr>
        <w:t>–</w:t>
      </w:r>
      <w:r w:rsidRPr="00E028C5">
        <w:rPr>
          <w:lang w:val="es-ES_tradnl"/>
        </w:rPr>
        <w:tab/>
        <w:t>Alta velocidad de datos de transmisión</w:t>
      </w:r>
    </w:p>
    <w:p w:rsidR="00E028C5" w:rsidRPr="00E028C5" w:rsidRDefault="00E028C5" w:rsidP="00E028C5">
      <w:pPr>
        <w:pStyle w:val="enumlev1"/>
        <w:rPr>
          <w:lang w:val="es-ES_tradnl"/>
        </w:rPr>
      </w:pPr>
      <w:r w:rsidRPr="00E028C5">
        <w:rPr>
          <w:lang w:val="es-ES_tradnl"/>
        </w:rPr>
        <w:tab/>
        <w:t>También resulta importante mantener el caudal en cierta medida por razones prácticas, incluso en el caso de que se produzca una concentración grave de tráfico.</w:t>
      </w:r>
    </w:p>
    <w:p w:rsidR="00E028C5" w:rsidRPr="00E028C5" w:rsidRDefault="00E028C5" w:rsidP="00E028C5">
      <w:pPr>
        <w:pStyle w:val="enumlev1"/>
        <w:rPr>
          <w:lang w:val="es-ES_tradnl"/>
        </w:rPr>
      </w:pPr>
      <w:r w:rsidRPr="00E028C5">
        <w:rPr>
          <w:lang w:val="es-ES_tradnl"/>
        </w:rPr>
        <w:t>–</w:t>
      </w:r>
      <w:r w:rsidRPr="00E028C5">
        <w:rPr>
          <w:lang w:val="es-ES_tradnl"/>
        </w:rPr>
        <w:tab/>
        <w:t>Alta velocidad de datos de transmisión para el enlace ascendente</w:t>
      </w:r>
    </w:p>
    <w:p w:rsidR="00E028C5" w:rsidRPr="00E028C5" w:rsidRDefault="00E028C5" w:rsidP="00E028C5">
      <w:pPr>
        <w:pStyle w:val="enumlev1"/>
        <w:rPr>
          <w:lang w:val="es-ES_tradnl"/>
        </w:rPr>
      </w:pPr>
      <w:r w:rsidRPr="00E028C5">
        <w:rPr>
          <w:lang w:val="es-ES_tradnl"/>
        </w:rPr>
        <w:tab/>
        <w:t>Cuando se considera la demanda futura de comunicaciones de banda ancha bidireccionales, tales como videoconferencia, se estima muy importante utilizar velocidades de datos de transmisión de enlace ascendente superiores a 10 Mbit/s.</w:t>
      </w:r>
    </w:p>
    <w:p w:rsidR="00E028C5" w:rsidRPr="00E028C5" w:rsidRDefault="00E028C5" w:rsidP="00E028C5">
      <w:pPr>
        <w:pStyle w:val="enumlev1"/>
        <w:rPr>
          <w:lang w:val="es-ES_tradnl"/>
        </w:rPr>
      </w:pPr>
      <w:r w:rsidRPr="00E028C5">
        <w:rPr>
          <w:lang w:val="es-ES_tradnl"/>
        </w:rPr>
        <w:t>–</w:t>
      </w:r>
      <w:r w:rsidRPr="00E028C5">
        <w:rPr>
          <w:lang w:val="es-ES_tradnl"/>
        </w:rPr>
        <w:tab/>
        <w:t>Alta eficiencia en el uso del espectro</w:t>
      </w:r>
    </w:p>
    <w:p w:rsidR="00E028C5" w:rsidRPr="00E028C5" w:rsidRDefault="00E028C5" w:rsidP="00E028C5">
      <w:pPr>
        <w:pStyle w:val="enumlev1"/>
        <w:rPr>
          <w:lang w:val="es-ES_tradnl"/>
        </w:rPr>
      </w:pPr>
      <w:r w:rsidRPr="00E028C5">
        <w:rPr>
          <w:lang w:val="es-ES_tradnl"/>
        </w:rPr>
        <w:tab/>
        <w:t>Es necesaria una mayor eficiencia en el uso del espectro para evitar la interrupción de las aplicaciones de servicio por la falta de frecuencias debido a una grave congestión de tráfico concentrada en zonas empresariales o urbanas.</w:t>
      </w:r>
    </w:p>
    <w:p w:rsidR="00E028C5" w:rsidRPr="00E028C5" w:rsidRDefault="00E028C5" w:rsidP="00E028C5">
      <w:pPr>
        <w:rPr>
          <w:lang w:val="es-ES_tradnl"/>
        </w:rPr>
      </w:pPr>
      <w:r w:rsidRPr="00E028C5">
        <w:rPr>
          <w:lang w:val="es-ES_tradnl"/>
        </w:rPr>
        <w:t>Además, logra un uso espectral muy eficiente al adoptar las últimas tecnologías tales como la de grupos de antenas, acceso múltiple por división en el espacio y control descentralizado. Estas tecnologías también contribuyen a hacer innecesaria la planificación de designación de celdas y, por lo tanto, se consiguen radios de celda inferiores a 100 m.</w:t>
      </w:r>
    </w:p>
    <w:p w:rsidR="00E028C5" w:rsidRPr="00E028C5" w:rsidRDefault="00E028C5" w:rsidP="00E028C5">
      <w:pPr>
        <w:rPr>
          <w:lang w:val="es-ES_tradnl" w:eastAsia="ja-JP"/>
        </w:rPr>
      </w:pPr>
      <w:r w:rsidRPr="00E028C5">
        <w:rPr>
          <w:lang w:val="es-ES_tradnl" w:eastAsia="ja-JP"/>
        </w:rPr>
        <w:t>Los sistemas inalámbricos móviles requieren generalmente un alto nivel de exactitud de la posición de la instalación a fin de evitar interferencias con otras celdas. En el caso de redes basadas en macroceldas, un desplazamiento de la estación base de un edificio/posición a otro adyacente debido a una negociación infructuosa con el propietario del edificio sólo causa interferencias entre celdas que pueden calificarse como un error marginal.</w:t>
      </w:r>
    </w:p>
    <w:p w:rsidR="00E028C5" w:rsidRPr="00E028C5" w:rsidRDefault="00E028C5" w:rsidP="00E028C5">
      <w:pPr>
        <w:rPr>
          <w:lang w:val="es-ES_tradnl" w:eastAsia="ja-JP"/>
        </w:rPr>
      </w:pPr>
      <w:r w:rsidRPr="00E028C5">
        <w:rPr>
          <w:lang w:val="es-ES_tradnl" w:eastAsia="ja-JP"/>
        </w:rPr>
        <w:t>Sin embargo, en el caso de redes basadas en microceldas, como tal desplazamiento no puede ignorarse como errores marginales, en algunos casos es necesario el reajuste de las celdas adyacentes.</w:t>
      </w:r>
    </w:p>
    <w:p w:rsidR="00E028C5" w:rsidRPr="00E028C5" w:rsidRDefault="00E028C5" w:rsidP="00E028C5">
      <w:pPr>
        <w:rPr>
          <w:lang w:val="es-ES_tradnl" w:eastAsia="ja-JP"/>
        </w:rPr>
      </w:pPr>
      <w:r w:rsidRPr="00E028C5">
        <w:rPr>
          <w:lang w:val="es-ES_tradnl" w:eastAsia="ja-JP"/>
        </w:rPr>
        <w:t xml:space="preserve">Este problema se resuelve actualmente con el sistema </w:t>
      </w:r>
      <w:r w:rsidRPr="00E028C5">
        <w:rPr>
          <w:lang w:val="es-ES_tradnl"/>
        </w:rPr>
        <w:t>XGP, que tiene una estructura resistente a la interferencia que no requiere una precisión estricta de la posición de las estaciones base, constituyendo una forma menos problemática de construcción de redes basadas en microceldas.</w:t>
      </w:r>
    </w:p>
    <w:p w:rsidR="00E028C5" w:rsidRPr="00E028C5" w:rsidRDefault="00E028C5" w:rsidP="00E028C5">
      <w:pPr>
        <w:rPr>
          <w:lang w:val="es-ES_tradnl"/>
        </w:rPr>
      </w:pPr>
      <w:r w:rsidRPr="00E028C5">
        <w:rPr>
          <w:lang w:val="es-ES_tradnl" w:eastAsia="ja-JP"/>
        </w:rPr>
        <w:lastRenderedPageBreak/>
        <w:t>XGP</w:t>
      </w:r>
      <w:r w:rsidRPr="00E028C5">
        <w:rPr>
          <w:lang w:val="es-ES_tradnl"/>
        </w:rPr>
        <w:t xml:space="preserve"> es uno de los sistemas de acceso inalámbricos de banda ancha (BWA), pero que posee la característica diferenciadora de una utilización flexible en el caso de redes basadas en microceldas así como en el caso de macroceldas para resolver situaciones de congestión grave en zonas densamente pobladas.</w:t>
      </w:r>
    </w:p>
    <w:p w:rsidR="00E028C5" w:rsidRPr="00E028C5" w:rsidRDefault="00E028C5" w:rsidP="00E028C5">
      <w:pPr>
        <w:rPr>
          <w:lang w:val="es-ES_tradnl"/>
        </w:rPr>
      </w:pPr>
      <w:r w:rsidRPr="00E028C5">
        <w:rPr>
          <w:lang w:val="es-ES_tradnl" w:eastAsia="ja-JP"/>
        </w:rPr>
        <w:t xml:space="preserve">El </w:t>
      </w:r>
      <w:r w:rsidRPr="00E028C5">
        <w:rPr>
          <w:lang w:val="es-ES_tradnl"/>
        </w:rPr>
        <w:t>método de control descentralizado autónomo de XGP demuestra sus ventajas en la construcción de redes de microceldas. Su utilización también permite el despliegue de una red basada en picoceldas y femtoceldas sin que aparezcan problemas de interferencia. Además, puesto que hace innecesario un diseño estricto de las celdas para la construcción de una red de macroceldas, permite aplicar un método sencillo de operación y, con independencia de que se trate de microceldas o macroceldas, aplicar un método sencillo para la instalación en la red de estaciones base adicionales.</w:t>
      </w:r>
    </w:p>
    <w:p w:rsidR="00E028C5" w:rsidRPr="00E028C5" w:rsidRDefault="00E028C5" w:rsidP="00E028C5">
      <w:pPr>
        <w:rPr>
          <w:lang w:val="es-ES_tradnl"/>
        </w:rPr>
      </w:pPr>
      <w:r w:rsidRPr="00E028C5">
        <w:rPr>
          <w:lang w:val="es-ES_tradnl"/>
        </w:rPr>
        <w:t>De la versión 2 de las especificaciones del XGP, además del modo original XGP, se ha añadido el Modo Global que se refiere a la especificación 3GPP (LTE TDD) para alcanzar la escala de méritos proporcionada por LTE. Por tanto, XGP pasó a ser sustancialmente compatible con LTE TDD y puede considerarse como parte de la comunidad LTE que comparte un ecosistema común.</w:t>
      </w:r>
    </w:p>
    <w:p w:rsidR="00E028C5" w:rsidRPr="00E028C5" w:rsidRDefault="00E028C5" w:rsidP="00E028C5">
      <w:pPr>
        <w:rPr>
          <w:lang w:val="es-ES_tradnl" w:eastAsia="ja-JP"/>
        </w:rPr>
      </w:pPr>
      <w:r w:rsidRPr="00E028C5">
        <w:rPr>
          <w:lang w:val="es-ES_tradnl"/>
        </w:rPr>
        <w:t>La versión 2 de las especificaciones de XGP también incluye algunos requisitos específicos que cumplen con la regulación regional o local.</w:t>
      </w:r>
    </w:p>
    <w:p w:rsidR="00E028C5" w:rsidRPr="00E028C5" w:rsidRDefault="00E028C5" w:rsidP="00E028C5">
      <w:pPr>
        <w:pStyle w:val="Heading1"/>
        <w:rPr>
          <w:lang w:val="es-ES_tradnl"/>
        </w:rPr>
      </w:pPr>
      <w:r w:rsidRPr="00E028C5">
        <w:rPr>
          <w:lang w:val="es-ES_tradnl"/>
        </w:rPr>
        <w:t>2</w:t>
      </w:r>
      <w:r w:rsidRPr="00E028C5">
        <w:rPr>
          <w:lang w:val="es-ES_tradnl"/>
        </w:rPr>
        <w:tab/>
        <w:t>Especificación detallada de la interfaz radioeléctrica</w:t>
      </w:r>
    </w:p>
    <w:p w:rsidR="00E028C5" w:rsidRPr="00E028C5" w:rsidRDefault="00E028C5" w:rsidP="00760C0E">
      <w:pPr>
        <w:rPr>
          <w:lang w:val="es-ES_tradnl"/>
        </w:rPr>
      </w:pPr>
      <w:r w:rsidRPr="00E028C5">
        <w:rPr>
          <w:lang w:val="es-ES_tradnl"/>
        </w:rPr>
        <w:t>La interfaz radioeléctrica de XGP permite dos métodos de acceso múltiple, a saber, AMDFO, SC</w:t>
      </w:r>
      <w:r w:rsidRPr="00E028C5">
        <w:rPr>
          <w:lang w:val="es-ES_tradnl"/>
        </w:rPr>
        <w:noBreakHyphen/>
        <w:t>AMDF (controlado a lo largo del eje de frecuencias) y AMDT (controlado a lo largo del eje de tiempo).</w:t>
      </w:r>
      <w:r w:rsidR="00760C0E">
        <w:rPr>
          <w:lang w:val="es-ES_tradnl"/>
        </w:rPr>
        <w:t xml:space="preserve"> </w:t>
      </w:r>
      <w:r w:rsidRPr="00E028C5">
        <w:rPr>
          <w:lang w:val="es-ES_tradnl"/>
        </w:rPr>
        <w:t>AMDFO es una técnica AMDF que divide un canal de comunicaciones en un pequeño número de bandas de frecuencia equiespaciadas cada una de las cuales incorpora una porción de la señal radioeléctrica en paralelo. A continuación estas subportadoras se transmiten simultáneamente hacia el receptor con diferentes frecuencias. AMDFO se ha convertido en un esquema popular para las comunicaciones digitales de banda ancha.</w:t>
      </w:r>
    </w:p>
    <w:p w:rsidR="00E028C5" w:rsidRPr="00E028C5" w:rsidRDefault="00E028C5" w:rsidP="00E028C5">
      <w:pPr>
        <w:rPr>
          <w:lang w:val="es-ES_tradnl"/>
        </w:rPr>
      </w:pPr>
      <w:r w:rsidRPr="00E028C5">
        <w:rPr>
          <w:lang w:val="es-ES_tradnl"/>
        </w:rPr>
        <w:t>El método dúplex es DDT, que no es necesario para los canales de espectro emparejado y permite dedicar recursos a los enlaces ascendente y descendente de manera asimétrica, liberando capacidad para aplicaciones de gran cantidad de datos en los enlaces ascendente y descendente.</w:t>
      </w:r>
    </w:p>
    <w:p w:rsidR="00E028C5" w:rsidRPr="00E028C5" w:rsidRDefault="00E028C5" w:rsidP="00760C0E">
      <w:pPr>
        <w:rPr>
          <w:lang w:val="es-ES_tradnl"/>
        </w:rPr>
      </w:pPr>
      <w:r w:rsidRPr="00E028C5">
        <w:rPr>
          <w:lang w:val="es-ES_tradnl"/>
        </w:rPr>
        <w:t xml:space="preserve">Las anchuras de banda del canal de funcionamiento soportadas por XGP son de 1,25 MHz; 2,5 MHz; 5 MHz; 10 MHz; 20 MHz; 22,5 MHz; 25 MHz y 30 MHz, y su esquema de modulación soporta MDP-2, MDP-4, MAQ-16, MAQ-64 y MAQ-256. La separación entre las frecuencias de las subportadoras es de 15 kHz y 37,5 kHz. La trama temporal tiene </w:t>
      </w:r>
      <w:r w:rsidR="00760C0E">
        <w:rPr>
          <w:lang w:val="es-ES_tradnl"/>
        </w:rPr>
        <w:t xml:space="preserve">4, 8, 10, 16 y 20 intervalos de </w:t>
      </w:r>
      <w:r w:rsidRPr="00E028C5">
        <w:rPr>
          <w:lang w:val="es-ES_tradnl"/>
        </w:rPr>
        <w:t>2,5</w:t>
      </w:r>
      <w:r w:rsidR="00760C0E">
        <w:rPr>
          <w:lang w:val="es-ES_tradnl"/>
        </w:rPr>
        <w:t> </w:t>
      </w:r>
      <w:r w:rsidRPr="00E028C5">
        <w:rPr>
          <w:lang w:val="es-ES_tradnl"/>
        </w:rPr>
        <w:t>ms, 5</w:t>
      </w:r>
      <w:r w:rsidR="00760C0E">
        <w:rPr>
          <w:lang w:val="es-ES_tradnl"/>
        </w:rPr>
        <w:t> </w:t>
      </w:r>
      <w:r w:rsidRPr="00E028C5">
        <w:rPr>
          <w:lang w:val="es-ES_tradnl"/>
        </w:rPr>
        <w:t>ms y 10 ms. Cada intervalo puede usarse por separado o de forma continua por un solo usuario y además de manera continua en una estructura de trama asimétrica.</w:t>
      </w:r>
    </w:p>
    <w:p w:rsidR="00E028C5" w:rsidRPr="00E028C5" w:rsidRDefault="00E028C5" w:rsidP="00E028C5">
      <w:pPr>
        <w:rPr>
          <w:lang w:val="es-ES_tradnl"/>
        </w:rPr>
      </w:pPr>
      <w:r w:rsidRPr="00E028C5">
        <w:rPr>
          <w:lang w:val="es-ES_tradnl"/>
        </w:rPr>
        <w:t>En la Fig. 2 se muestra la imagen de la estructura de trama de XGP.</w:t>
      </w:r>
    </w:p>
    <w:p w:rsidR="00E028C5" w:rsidRPr="00E028C5" w:rsidRDefault="00E028C5" w:rsidP="00E028C5">
      <w:pPr>
        <w:pStyle w:val="FigureNo"/>
        <w:rPr>
          <w:szCs w:val="18"/>
          <w:lang w:val="es-ES_tradnl"/>
        </w:rPr>
      </w:pPr>
      <w:r w:rsidRPr="00E028C5">
        <w:rPr>
          <w:szCs w:val="18"/>
          <w:lang w:val="es-ES_tradnl"/>
        </w:rPr>
        <w:lastRenderedPageBreak/>
        <w:t>figura 2</w:t>
      </w:r>
    </w:p>
    <w:p w:rsidR="00E028C5" w:rsidRPr="00E028C5" w:rsidRDefault="00E028C5" w:rsidP="00E028C5">
      <w:pPr>
        <w:pStyle w:val="Figuretitle"/>
        <w:rPr>
          <w:szCs w:val="18"/>
          <w:lang w:val="es-ES_tradnl"/>
        </w:rPr>
      </w:pPr>
      <w:r w:rsidRPr="00E028C5">
        <w:rPr>
          <w:szCs w:val="18"/>
          <w:lang w:val="es-ES_tradnl"/>
        </w:rPr>
        <w:t>Imagen de la estructura de trama de XGP</w:t>
      </w:r>
    </w:p>
    <w:p w:rsidR="00E028C5" w:rsidRDefault="00E028C5" w:rsidP="00E028C5">
      <w:pPr>
        <w:pStyle w:val="Figure"/>
      </w:pPr>
      <w:r>
        <w:rPr>
          <w:noProof/>
          <w:lang w:val="en-US" w:eastAsia="zh-CN"/>
        </w:rPr>
        <w:drawing>
          <wp:inline distT="0" distB="0" distL="0" distR="0">
            <wp:extent cx="3188970" cy="2075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8970" cy="2075180"/>
                    </a:xfrm>
                    <a:prstGeom prst="rect">
                      <a:avLst/>
                    </a:prstGeom>
                    <a:noFill/>
                    <a:ln>
                      <a:noFill/>
                    </a:ln>
                  </pic:spPr>
                </pic:pic>
              </a:graphicData>
            </a:graphic>
          </wp:inline>
        </w:drawing>
      </w:r>
    </w:p>
    <w:p w:rsidR="00E028C5" w:rsidRPr="00E028C5" w:rsidRDefault="00E028C5" w:rsidP="00E028C5">
      <w:pPr>
        <w:rPr>
          <w:lang w:val="es-ES_tradnl"/>
        </w:rPr>
      </w:pPr>
      <w:r w:rsidRPr="00E028C5">
        <w:rPr>
          <w:lang w:val="es-ES_tradnl"/>
        </w:rPr>
        <w:t>XGP consigue una utilización del espectro eficiente para algunas funciones tales como los sistemas de antenas adaptativas, AMDE y MIMO.</w:t>
      </w:r>
    </w:p>
    <w:p w:rsidR="00E028C5" w:rsidRPr="00E028C5" w:rsidRDefault="00E028C5" w:rsidP="001F6989">
      <w:pPr>
        <w:rPr>
          <w:lang w:val="es-ES_tradnl"/>
        </w:rPr>
      </w:pPr>
      <w:r w:rsidRPr="00E028C5">
        <w:rPr>
          <w:lang w:val="es-ES_tradnl"/>
        </w:rPr>
        <w:t>El sistema de antenas adaptativas en una técnica que construye un haz adaptativo de una EB/EM a una EM/EB combinando señales de las antenas respectivas. Este sistema hace uso de múltiples antenas y combina sus señales</w:t>
      </w:r>
      <w:r w:rsidR="001F6989">
        <w:rPr>
          <w:lang w:val="es-ES_tradnl"/>
        </w:rPr>
        <w:t xml:space="preserve">: </w:t>
      </w:r>
      <w:r w:rsidRPr="00E028C5">
        <w:rPr>
          <w:lang w:val="es-ES_tradnl"/>
        </w:rPr>
        <w:t>1)</w:t>
      </w:r>
      <w:r w:rsidR="001F6989">
        <w:rPr>
          <w:lang w:val="es-ES_tradnl"/>
        </w:rPr>
        <w:t> </w:t>
      </w:r>
      <w:r w:rsidRPr="00E028C5">
        <w:rPr>
          <w:lang w:val="es-ES_tradnl"/>
        </w:rPr>
        <w:t>para formar de manera adaptativa un haz orientado hacia las direcciones deseadas para evitar la interferencia perjudicial procedente de fuentes interferentes</w:t>
      </w:r>
      <w:r w:rsidR="001F6989">
        <w:rPr>
          <w:lang w:val="es-ES_tradnl"/>
        </w:rPr>
        <w:t>;</w:t>
      </w:r>
      <w:r w:rsidRPr="00E028C5">
        <w:rPr>
          <w:lang w:val="es-ES_tradnl"/>
        </w:rPr>
        <w:t xml:space="preserve"> y 2)</w:t>
      </w:r>
      <w:r w:rsidR="001F6989">
        <w:rPr>
          <w:lang w:val="es-ES_tradnl"/>
        </w:rPr>
        <w:t> </w:t>
      </w:r>
      <w:r w:rsidRPr="00E028C5">
        <w:rPr>
          <w:lang w:val="es-ES_tradnl"/>
        </w:rPr>
        <w:t>para enviar las ondas/señales radioeléctricas más adecuadas a un terminal específico utilizando el haz formado. En el sistema XGP que utiliza esquemas AMDFO SC-AMDF/AMDT-DTT, esta tecnología de antenas es adecuada y puede aplicarse de manera eficiente al transmisor y al receptor. Tiene la posibilidad de incrementar la eficiencia espectral del XGP y de hacer posible la cobertura de una zona más extensa a un menor coste.</w:t>
      </w:r>
    </w:p>
    <w:p w:rsidR="00E028C5" w:rsidRPr="00E028C5" w:rsidRDefault="00E028C5" w:rsidP="00E028C5">
      <w:pPr>
        <w:rPr>
          <w:lang w:val="es-ES_tradnl"/>
        </w:rPr>
      </w:pPr>
      <w:r w:rsidRPr="00E028C5">
        <w:rPr>
          <w:lang w:val="es-ES_tradnl"/>
        </w:rPr>
        <w:t>Las especificaciones principales de la interfaz radioeléctrica se muestran en el Cuadro 3.</w:t>
      </w:r>
    </w:p>
    <w:p w:rsidR="00E028C5" w:rsidRPr="00BE3323" w:rsidRDefault="00E028C5" w:rsidP="00E028C5">
      <w:pPr>
        <w:pStyle w:val="TableNo"/>
        <w:spacing w:before="480"/>
      </w:pPr>
      <w:r w:rsidRPr="00BE3323">
        <w:t>CUADRO 3</w:t>
      </w:r>
    </w:p>
    <w:p w:rsidR="00E028C5" w:rsidRPr="00BE3323" w:rsidRDefault="00E028C5" w:rsidP="00E028C5">
      <w:pPr>
        <w:pStyle w:val="Tabletitle"/>
      </w:pPr>
      <w:r w:rsidRPr="00BE3323">
        <w:t>Especificaciones principales de XGP</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4932"/>
      </w:tblGrid>
      <w:tr w:rsidR="00E028C5" w:rsidRPr="00BE3323" w:rsidTr="00190BB8">
        <w:trPr>
          <w:jc w:val="center"/>
        </w:trPr>
        <w:tc>
          <w:tcPr>
            <w:tcW w:w="4535" w:type="dxa"/>
          </w:tcPr>
          <w:p w:rsidR="00E028C5" w:rsidRPr="00BE3323" w:rsidRDefault="00E028C5" w:rsidP="00424DE9">
            <w:pPr>
              <w:pStyle w:val="Tabletext"/>
              <w:jc w:val="left"/>
              <w:rPr>
                <w:lang w:eastAsia="ja-JP"/>
              </w:rPr>
            </w:pPr>
            <w:r w:rsidRPr="00BE3323">
              <w:rPr>
                <w:lang w:eastAsia="ja-JP"/>
              </w:rPr>
              <w:t>Método de acceso múltiple</w:t>
            </w:r>
          </w:p>
        </w:tc>
        <w:tc>
          <w:tcPr>
            <w:tcW w:w="4932" w:type="dxa"/>
          </w:tcPr>
          <w:p w:rsidR="00E028C5" w:rsidRPr="00BE3323" w:rsidRDefault="00E028C5" w:rsidP="00424DE9">
            <w:pPr>
              <w:pStyle w:val="Tabletext"/>
              <w:jc w:val="left"/>
              <w:rPr>
                <w:lang w:eastAsia="ja-JP"/>
              </w:rPr>
            </w:pPr>
            <w:r w:rsidRPr="00BE3323">
              <w:rPr>
                <w:lang w:eastAsia="ja-JP"/>
              </w:rPr>
              <w:t>AMDFO/AMDT</w:t>
            </w:r>
          </w:p>
        </w:tc>
      </w:tr>
      <w:tr w:rsidR="00E028C5" w:rsidRPr="00BE3323" w:rsidTr="00190BB8">
        <w:trPr>
          <w:jc w:val="center"/>
        </w:trPr>
        <w:tc>
          <w:tcPr>
            <w:tcW w:w="4535" w:type="dxa"/>
          </w:tcPr>
          <w:p w:rsidR="00E028C5" w:rsidRPr="00BE3323" w:rsidRDefault="00E028C5" w:rsidP="00424DE9">
            <w:pPr>
              <w:pStyle w:val="Tabletext"/>
              <w:jc w:val="left"/>
              <w:rPr>
                <w:lang w:eastAsia="ja-JP"/>
              </w:rPr>
            </w:pPr>
            <w:r w:rsidRPr="00BE3323">
              <w:rPr>
                <w:lang w:eastAsia="ja-JP"/>
              </w:rPr>
              <w:t>Método dúplex</w:t>
            </w:r>
          </w:p>
        </w:tc>
        <w:tc>
          <w:tcPr>
            <w:tcW w:w="4932" w:type="dxa"/>
          </w:tcPr>
          <w:p w:rsidR="00E028C5" w:rsidRPr="00BE3323" w:rsidRDefault="00E028C5" w:rsidP="00424DE9">
            <w:pPr>
              <w:pStyle w:val="Tabletext"/>
              <w:jc w:val="left"/>
              <w:rPr>
                <w:lang w:eastAsia="ja-JP"/>
              </w:rPr>
            </w:pPr>
            <w:r w:rsidRPr="00BE3323">
              <w:rPr>
                <w:lang w:eastAsia="ja-JP"/>
              </w:rPr>
              <w:t>TDD</w:t>
            </w:r>
          </w:p>
        </w:tc>
      </w:tr>
      <w:tr w:rsidR="00E028C5" w:rsidRPr="007932A5" w:rsidTr="00190BB8">
        <w:trPr>
          <w:jc w:val="center"/>
        </w:trPr>
        <w:tc>
          <w:tcPr>
            <w:tcW w:w="4535" w:type="dxa"/>
          </w:tcPr>
          <w:p w:rsidR="00E028C5" w:rsidRPr="00E028C5" w:rsidRDefault="00E028C5" w:rsidP="00424DE9">
            <w:pPr>
              <w:pStyle w:val="Tabletext"/>
              <w:jc w:val="left"/>
              <w:rPr>
                <w:lang w:val="es-ES_tradnl" w:eastAsia="ja-JP"/>
              </w:rPr>
            </w:pPr>
            <w:r w:rsidRPr="00E028C5">
              <w:rPr>
                <w:lang w:val="es-ES_tradnl" w:eastAsia="ja-JP"/>
              </w:rPr>
              <w:t>Anchura de banda del canal de funcionamiento</w:t>
            </w:r>
          </w:p>
        </w:tc>
        <w:tc>
          <w:tcPr>
            <w:tcW w:w="4932" w:type="dxa"/>
          </w:tcPr>
          <w:p w:rsidR="00E028C5" w:rsidRPr="00E028C5" w:rsidRDefault="00E028C5" w:rsidP="00424DE9">
            <w:pPr>
              <w:pStyle w:val="Tabletext"/>
              <w:jc w:val="left"/>
              <w:rPr>
                <w:lang w:val="es-ES_tradnl" w:eastAsia="ja-JP"/>
              </w:rPr>
            </w:pPr>
            <w:r w:rsidRPr="00E028C5">
              <w:rPr>
                <w:lang w:val="es-ES_tradnl" w:eastAsia="ja-JP"/>
              </w:rPr>
              <w:t>1,25 MHz, 2,5 MHz, 5 MHz, 10 MHz, 20 MHz, 22,5 MHz, 25 MHz, 30 MHz</w:t>
            </w:r>
          </w:p>
        </w:tc>
      </w:tr>
      <w:tr w:rsidR="00E028C5" w:rsidRPr="00BE3323" w:rsidTr="00190BB8">
        <w:trPr>
          <w:jc w:val="center"/>
        </w:trPr>
        <w:tc>
          <w:tcPr>
            <w:tcW w:w="4535" w:type="dxa"/>
          </w:tcPr>
          <w:p w:rsidR="00E028C5" w:rsidRPr="00E028C5" w:rsidRDefault="00E028C5" w:rsidP="00424DE9">
            <w:pPr>
              <w:pStyle w:val="Tabletext"/>
              <w:jc w:val="left"/>
              <w:rPr>
                <w:lang w:val="es-ES_tradnl" w:eastAsia="ja-JP"/>
              </w:rPr>
            </w:pPr>
            <w:r w:rsidRPr="00E028C5">
              <w:rPr>
                <w:lang w:val="es-ES_tradnl" w:eastAsia="ja-JP"/>
              </w:rPr>
              <w:t>Separación entre frecuencias de subportadoras</w:t>
            </w:r>
          </w:p>
        </w:tc>
        <w:tc>
          <w:tcPr>
            <w:tcW w:w="4932" w:type="dxa"/>
          </w:tcPr>
          <w:p w:rsidR="00E028C5" w:rsidRPr="00BE3323" w:rsidRDefault="00E028C5" w:rsidP="00424DE9">
            <w:pPr>
              <w:pStyle w:val="Tabletext"/>
              <w:jc w:val="left"/>
              <w:rPr>
                <w:lang w:eastAsia="ja-JP"/>
              </w:rPr>
            </w:pPr>
            <w:r>
              <w:rPr>
                <w:lang w:eastAsia="ja-JP"/>
              </w:rPr>
              <w:t>15 kHz</w:t>
            </w:r>
            <w:r w:rsidRPr="00BE3323">
              <w:rPr>
                <w:lang w:eastAsia="ja-JP"/>
              </w:rPr>
              <w:t>, 37,5 kHz</w:t>
            </w:r>
          </w:p>
        </w:tc>
      </w:tr>
      <w:tr w:rsidR="00E028C5" w:rsidRPr="00BE3323" w:rsidTr="00190BB8">
        <w:trPr>
          <w:jc w:val="center"/>
        </w:trPr>
        <w:tc>
          <w:tcPr>
            <w:tcW w:w="4535" w:type="dxa"/>
          </w:tcPr>
          <w:p w:rsidR="00E028C5" w:rsidRPr="00BE3323" w:rsidRDefault="00E028C5" w:rsidP="00424DE9">
            <w:pPr>
              <w:pStyle w:val="Tabletext"/>
              <w:jc w:val="left"/>
              <w:rPr>
                <w:lang w:eastAsia="ja-JP"/>
              </w:rPr>
            </w:pPr>
            <w:r w:rsidRPr="00BE3323">
              <w:rPr>
                <w:lang w:eastAsia="ja-JP"/>
              </w:rPr>
              <w:t>Duración de trama</w:t>
            </w:r>
          </w:p>
        </w:tc>
        <w:tc>
          <w:tcPr>
            <w:tcW w:w="4932" w:type="dxa"/>
          </w:tcPr>
          <w:p w:rsidR="00E028C5" w:rsidRPr="00BE3323" w:rsidRDefault="00E028C5" w:rsidP="00424DE9">
            <w:pPr>
              <w:pStyle w:val="Tabletext"/>
              <w:jc w:val="left"/>
              <w:rPr>
                <w:lang w:eastAsia="ja-JP"/>
              </w:rPr>
            </w:pPr>
            <w:r w:rsidRPr="00BE3323">
              <w:rPr>
                <w:lang w:eastAsia="ja-JP"/>
              </w:rPr>
              <w:t>2,5 ms, 5</w:t>
            </w:r>
            <w:r>
              <w:rPr>
                <w:lang w:eastAsia="ja-JP"/>
              </w:rPr>
              <w:t xml:space="preserve"> </w:t>
            </w:r>
            <w:r w:rsidRPr="00BE3323">
              <w:rPr>
                <w:lang w:eastAsia="ja-JP"/>
              </w:rPr>
              <w:t xml:space="preserve">ms, 10 ms </w:t>
            </w:r>
          </w:p>
        </w:tc>
      </w:tr>
      <w:tr w:rsidR="00E028C5" w:rsidRPr="00BE3323" w:rsidTr="00190BB8">
        <w:trPr>
          <w:jc w:val="center"/>
        </w:trPr>
        <w:tc>
          <w:tcPr>
            <w:tcW w:w="4535" w:type="dxa"/>
          </w:tcPr>
          <w:p w:rsidR="00E028C5" w:rsidRPr="00BE3323" w:rsidRDefault="00E028C5" w:rsidP="00424DE9">
            <w:pPr>
              <w:pStyle w:val="Tabletext"/>
              <w:jc w:val="left"/>
              <w:rPr>
                <w:lang w:eastAsia="ja-JP"/>
              </w:rPr>
            </w:pPr>
            <w:r w:rsidRPr="00BE3323">
              <w:rPr>
                <w:lang w:eastAsia="ja-JP"/>
              </w:rPr>
              <w:t>Número de intervalos</w:t>
            </w:r>
          </w:p>
        </w:tc>
        <w:tc>
          <w:tcPr>
            <w:tcW w:w="4932" w:type="dxa"/>
          </w:tcPr>
          <w:p w:rsidR="00E028C5" w:rsidRPr="00BE3323" w:rsidRDefault="00E028C5" w:rsidP="00424DE9">
            <w:pPr>
              <w:pStyle w:val="Tabletext"/>
              <w:jc w:val="left"/>
              <w:rPr>
                <w:lang w:eastAsia="ja-JP"/>
              </w:rPr>
            </w:pPr>
            <w:r w:rsidRPr="00BE3323">
              <w:rPr>
                <w:lang w:eastAsia="ja-JP"/>
              </w:rPr>
              <w:t>4, 8, 10, 16, 20 intervalos</w:t>
            </w:r>
          </w:p>
        </w:tc>
      </w:tr>
      <w:tr w:rsidR="00E028C5" w:rsidRPr="009967E4" w:rsidTr="00190BB8">
        <w:trPr>
          <w:jc w:val="center"/>
        </w:trPr>
        <w:tc>
          <w:tcPr>
            <w:tcW w:w="4535" w:type="dxa"/>
          </w:tcPr>
          <w:p w:rsidR="00E028C5" w:rsidRPr="00BE3323" w:rsidRDefault="00E028C5" w:rsidP="00424DE9">
            <w:pPr>
              <w:pStyle w:val="Tabletext"/>
              <w:jc w:val="left"/>
              <w:rPr>
                <w:lang w:eastAsia="ja-JP"/>
              </w:rPr>
            </w:pPr>
            <w:r w:rsidRPr="00BE3323">
              <w:rPr>
                <w:lang w:eastAsia="ja-JP"/>
              </w:rPr>
              <w:t>Esquema de modulación</w:t>
            </w:r>
          </w:p>
        </w:tc>
        <w:tc>
          <w:tcPr>
            <w:tcW w:w="4932" w:type="dxa"/>
          </w:tcPr>
          <w:p w:rsidR="00E028C5" w:rsidRPr="00BE3323" w:rsidRDefault="00E028C5" w:rsidP="00424DE9">
            <w:pPr>
              <w:pStyle w:val="Tabletext"/>
              <w:jc w:val="left"/>
              <w:rPr>
                <w:lang w:eastAsia="ja-JP"/>
              </w:rPr>
            </w:pPr>
            <w:r w:rsidRPr="00BE3323">
              <w:rPr>
                <w:lang w:eastAsia="ja-JP"/>
              </w:rPr>
              <w:t>MDP-2, MDP-4, MAQ-16, MAQ-32, MAQ-64, MAQ-256</w:t>
            </w:r>
          </w:p>
        </w:tc>
      </w:tr>
      <w:tr w:rsidR="00E028C5" w:rsidRPr="007932A5" w:rsidTr="00190BB8">
        <w:trPr>
          <w:jc w:val="center"/>
        </w:trPr>
        <w:tc>
          <w:tcPr>
            <w:tcW w:w="4535" w:type="dxa"/>
          </w:tcPr>
          <w:p w:rsidR="00E028C5" w:rsidRPr="00E028C5" w:rsidRDefault="00E028C5" w:rsidP="00424DE9">
            <w:pPr>
              <w:pStyle w:val="Tabletext"/>
              <w:jc w:val="left"/>
              <w:rPr>
                <w:lang w:val="es-ES_tradnl" w:eastAsia="ja-JP"/>
              </w:rPr>
            </w:pPr>
            <w:r w:rsidRPr="00E028C5">
              <w:rPr>
                <w:lang w:val="es-ES_tradnl"/>
              </w:rPr>
              <w:t>Tecnologías de uso eficiente del espectro</w:t>
            </w:r>
          </w:p>
        </w:tc>
        <w:tc>
          <w:tcPr>
            <w:tcW w:w="4932" w:type="dxa"/>
          </w:tcPr>
          <w:p w:rsidR="00E028C5" w:rsidRPr="00E028C5" w:rsidRDefault="00E028C5" w:rsidP="00424DE9">
            <w:pPr>
              <w:pStyle w:val="Tabletext"/>
              <w:jc w:val="left"/>
              <w:rPr>
                <w:lang w:val="es-ES_tradnl" w:eastAsia="ja-JP"/>
              </w:rPr>
            </w:pPr>
            <w:r w:rsidRPr="00E028C5">
              <w:rPr>
                <w:lang w:val="es-ES_tradnl"/>
              </w:rPr>
              <w:t>Conjunto de antenas adaptativas, AMDE, MIMO</w:t>
            </w:r>
          </w:p>
        </w:tc>
      </w:tr>
      <w:tr w:rsidR="00E028C5" w:rsidRPr="00190BB8" w:rsidTr="00190BB8">
        <w:trPr>
          <w:jc w:val="center"/>
        </w:trPr>
        <w:tc>
          <w:tcPr>
            <w:tcW w:w="4535" w:type="dxa"/>
          </w:tcPr>
          <w:p w:rsidR="00E028C5" w:rsidRPr="00E028C5" w:rsidRDefault="00E028C5" w:rsidP="00424DE9">
            <w:pPr>
              <w:pStyle w:val="Tabletext"/>
              <w:ind w:right="-108"/>
              <w:jc w:val="left"/>
              <w:rPr>
                <w:lang w:val="es-ES_tradnl" w:eastAsia="ja-JP"/>
              </w:rPr>
            </w:pPr>
            <w:r w:rsidRPr="00E028C5">
              <w:rPr>
                <w:lang w:val="es-ES_tradnl" w:eastAsia="ja-JP"/>
              </w:rPr>
              <w:t>Velocidad de transmisión de canal máxima/</w:t>
            </w:r>
            <w:r w:rsidR="00190BB8">
              <w:rPr>
                <w:lang w:val="es-ES_tradnl" w:eastAsia="ja-JP"/>
              </w:rPr>
              <w:br/>
            </w:r>
            <w:r w:rsidRPr="00E028C5">
              <w:rPr>
                <w:lang w:val="es-ES_tradnl" w:eastAsia="ja-JP"/>
              </w:rPr>
              <w:t>20 MHz (en caso de SISO, UL: DL=1:3)</w:t>
            </w:r>
          </w:p>
        </w:tc>
        <w:tc>
          <w:tcPr>
            <w:tcW w:w="4932" w:type="dxa"/>
          </w:tcPr>
          <w:p w:rsidR="00E028C5" w:rsidRPr="00190BB8" w:rsidRDefault="00E028C5" w:rsidP="00424DE9">
            <w:pPr>
              <w:pStyle w:val="Tabletext"/>
              <w:tabs>
                <w:tab w:val="clear" w:pos="284"/>
                <w:tab w:val="clear" w:pos="567"/>
                <w:tab w:val="clear" w:pos="851"/>
                <w:tab w:val="clear" w:pos="1134"/>
                <w:tab w:val="clear" w:pos="1418"/>
                <w:tab w:val="clear" w:pos="1701"/>
              </w:tabs>
              <w:jc w:val="left"/>
              <w:rPr>
                <w:lang w:val="es-ES_tradnl" w:eastAsia="ja-JP"/>
              </w:rPr>
            </w:pPr>
            <w:r w:rsidRPr="00190BB8">
              <w:rPr>
                <w:lang w:val="es-ES_tradnl" w:eastAsia="ja-JP"/>
              </w:rPr>
              <w:t>Enlace ascendente:</w:t>
            </w:r>
            <w:r w:rsidRPr="00190BB8">
              <w:rPr>
                <w:lang w:val="es-ES_tradnl" w:eastAsia="ja-JP"/>
              </w:rPr>
              <w:tab/>
              <w:t>15 Mbit/s</w:t>
            </w:r>
            <w:r w:rsidRPr="00190BB8">
              <w:rPr>
                <w:lang w:val="es-ES_tradnl" w:eastAsia="ja-JP"/>
              </w:rPr>
              <w:br/>
              <w:t>Enlace descendente:</w:t>
            </w:r>
            <w:r w:rsidRPr="00190BB8">
              <w:rPr>
                <w:lang w:val="es-ES_tradnl" w:eastAsia="ja-JP"/>
              </w:rPr>
              <w:tab/>
              <w:t>55 Mbit/s</w:t>
            </w:r>
          </w:p>
        </w:tc>
      </w:tr>
    </w:tbl>
    <w:p w:rsidR="00E028C5" w:rsidRPr="00190BB8" w:rsidRDefault="00E028C5" w:rsidP="00E028C5">
      <w:pPr>
        <w:pStyle w:val="Headingb"/>
        <w:rPr>
          <w:lang w:val="es-ES_tradnl" w:eastAsia="ja-JP"/>
        </w:rPr>
      </w:pPr>
      <w:r w:rsidRPr="00190BB8">
        <w:rPr>
          <w:lang w:val="es-ES_tradnl" w:eastAsia="ja-JP"/>
        </w:rPr>
        <w:t>Normas</w:t>
      </w:r>
    </w:p>
    <w:p w:rsidR="00E028C5" w:rsidRPr="00E028C5" w:rsidRDefault="00E028C5" w:rsidP="00424DE9">
      <w:pPr>
        <w:rPr>
          <w:lang w:val="es-ES_tradnl"/>
        </w:rPr>
      </w:pPr>
      <w:r w:rsidRPr="00E028C5">
        <w:rPr>
          <w:lang w:val="es-ES_tradnl"/>
        </w:rPr>
        <w:t>Las especificaciones de la «Plataforma Global eXtendida» del XGP Forum están disponibles en formato electrónico en su sitio web:</w:t>
      </w:r>
    </w:p>
    <w:p w:rsidR="00E028C5" w:rsidRPr="00853AE4" w:rsidRDefault="00E028C5" w:rsidP="00853AE4">
      <w:pPr>
        <w:pStyle w:val="enumlev1"/>
        <w:rPr>
          <w:lang w:val="en-US"/>
        </w:rPr>
      </w:pPr>
      <w:r w:rsidRPr="004F6283">
        <w:rPr>
          <w:lang w:val="es-ES_tradnl"/>
        </w:rPr>
        <w:tab/>
      </w:r>
      <w:r w:rsidRPr="00853AE4">
        <w:rPr>
          <w:lang w:val="en-US"/>
        </w:rPr>
        <w:t xml:space="preserve">«A-GN4.00-02-TS: eXtended Global Platform Specifications» </w:t>
      </w:r>
      <w:hyperlink r:id="rId27" w:history="1">
        <w:r w:rsidR="00853AE4" w:rsidRPr="00853AE4">
          <w:rPr>
            <w:rStyle w:val="Hyperlink"/>
            <w:lang w:val="en-US"/>
          </w:rPr>
          <w:t>http://www.xgpforum.com</w:t>
        </w:r>
      </w:hyperlink>
      <w:r w:rsidR="00853AE4" w:rsidRPr="00853AE4">
        <w:rPr>
          <w:lang w:val="en-US" w:eastAsia="ja-JP"/>
        </w:rPr>
        <w:t>.</w:t>
      </w:r>
    </w:p>
    <w:p w:rsidR="00E028C5" w:rsidRPr="00E028C5" w:rsidRDefault="00E028C5" w:rsidP="00E028C5">
      <w:pPr>
        <w:rPr>
          <w:lang w:val="es-ES_tradnl"/>
        </w:rPr>
      </w:pPr>
      <w:r w:rsidRPr="00E028C5">
        <w:rPr>
          <w:lang w:val="es-ES_tradnl" w:eastAsia="ja-JP"/>
        </w:rPr>
        <w:lastRenderedPageBreak/>
        <w:t>La ARIB (</w:t>
      </w:r>
      <w:r w:rsidRPr="00E028C5">
        <w:rPr>
          <w:i/>
          <w:lang w:val="es-ES_tradnl" w:eastAsia="ja-JP"/>
        </w:rPr>
        <w:t>Association of Radio Industries and Businesses</w:t>
      </w:r>
      <w:r w:rsidRPr="00E028C5">
        <w:rPr>
          <w:lang w:val="es-ES_tradnl" w:eastAsia="ja-JP"/>
        </w:rPr>
        <w:t xml:space="preserve">) también ha normalizado la </w:t>
      </w:r>
      <w:r w:rsidRPr="00E028C5">
        <w:rPr>
          <w:lang w:val="es-ES_tradnl"/>
        </w:rPr>
        <w:t>«Plataforma Global eXtendida» para su uso por la industria japonesa.</w:t>
      </w:r>
    </w:p>
    <w:p w:rsidR="00E028C5" w:rsidRPr="00E028C5" w:rsidRDefault="00E028C5" w:rsidP="00E028C5">
      <w:pPr>
        <w:rPr>
          <w:lang w:val="es-ES_tradnl" w:eastAsia="ja-JP"/>
        </w:rPr>
      </w:pPr>
      <w:r w:rsidRPr="00E028C5">
        <w:rPr>
          <w:lang w:val="es-ES_tradnl"/>
        </w:rPr>
        <w:t>La norma de ARIB de la «Plataforma Global eXtendida» también está disponible en la dirección web de la ARIB:</w:t>
      </w:r>
    </w:p>
    <w:p w:rsidR="00E028C5" w:rsidRPr="009967E4" w:rsidRDefault="00E028C5" w:rsidP="00E028C5">
      <w:pPr>
        <w:pStyle w:val="enumlev1"/>
        <w:rPr>
          <w:lang w:val="en-US" w:eastAsia="ja-JP"/>
        </w:rPr>
      </w:pPr>
      <w:r w:rsidRPr="00E028C5">
        <w:rPr>
          <w:lang w:val="es-ES_tradnl"/>
        </w:rPr>
        <w:tab/>
      </w:r>
      <w:r w:rsidRPr="009967E4">
        <w:rPr>
          <w:lang w:val="en-US"/>
        </w:rPr>
        <w:t>«</w:t>
      </w:r>
      <w:r w:rsidRPr="009967E4">
        <w:rPr>
          <w:lang w:val="en-US" w:eastAsia="ja-JP"/>
        </w:rPr>
        <w:t xml:space="preserve">ARIB STD-T95: OFDMA/TDMA TDD Broadband Access System ARIB STANDARD» </w:t>
      </w:r>
      <w:hyperlink r:id="rId28" w:history="1">
        <w:r w:rsidRPr="009967E4">
          <w:rPr>
            <w:rStyle w:val="Hyperlink"/>
            <w:lang w:val="en-US" w:eastAsia="ja-JP"/>
          </w:rPr>
          <w:t>http://www.arib.or.jp/english/index.html.</w:t>
        </w:r>
      </w:hyperlink>
      <w:r w:rsidRPr="009967E4">
        <w:rPr>
          <w:lang w:val="en-US" w:eastAsia="ja-JP"/>
        </w:rPr>
        <w:t xml:space="preserve"> </w:t>
      </w:r>
    </w:p>
    <w:p w:rsidR="00E028C5" w:rsidRDefault="00E028C5" w:rsidP="00E028C5">
      <w:pPr>
        <w:rPr>
          <w:lang w:val="es-ES_tradnl" w:eastAsia="ja-JP"/>
        </w:rPr>
      </w:pPr>
      <w:r w:rsidRPr="00E028C5">
        <w:rPr>
          <w:noProof/>
          <w:lang w:val="es-ES_tradnl" w:eastAsia="zh-CN"/>
        </w:rPr>
        <w:t xml:space="preserve">La norma </w:t>
      </w:r>
      <w:r w:rsidRPr="00E028C5">
        <w:rPr>
          <w:lang w:val="es-ES_tradnl" w:eastAsia="ja-JP"/>
        </w:rPr>
        <w:t>«ARIB STD-T95» incluye las especificaciones propias de la reglamentación japonesa así como las especificaciones originales del sistema.</w:t>
      </w:r>
    </w:p>
    <w:p w:rsidR="00190BB8" w:rsidRDefault="00190BB8" w:rsidP="00E028C5">
      <w:pPr>
        <w:rPr>
          <w:lang w:val="es-ES_tradnl" w:eastAsia="ja-JP"/>
        </w:rPr>
      </w:pPr>
    </w:p>
    <w:p w:rsidR="00190BB8" w:rsidRPr="00E028C5" w:rsidRDefault="00190BB8" w:rsidP="00E028C5">
      <w:pPr>
        <w:rPr>
          <w:lang w:val="es-ES_tradnl" w:eastAsia="ja-JP"/>
        </w:rPr>
      </w:pPr>
    </w:p>
    <w:p w:rsidR="00E028C5" w:rsidRPr="00E028C5" w:rsidRDefault="00E028C5" w:rsidP="00E028C5">
      <w:pPr>
        <w:pStyle w:val="AnnexNoTitle"/>
        <w:rPr>
          <w:lang w:val="es-ES_tradnl"/>
        </w:rPr>
      </w:pPr>
      <w:r w:rsidRPr="00E028C5">
        <w:rPr>
          <w:lang w:val="es-ES_tradnl"/>
        </w:rPr>
        <w:t xml:space="preserve">Anexo 7 </w:t>
      </w:r>
      <w:r w:rsidRPr="00E028C5">
        <w:rPr>
          <w:lang w:val="es-ES_tradnl"/>
        </w:rPr>
        <w:br/>
      </w:r>
      <w:r w:rsidRPr="00E028C5">
        <w:rPr>
          <w:lang w:val="es-ES_tradnl"/>
        </w:rPr>
        <w:br/>
        <w:t>IEEE 802.20: Norma de la interfaz aérea para el acceso inalámbrico</w:t>
      </w:r>
      <w:r w:rsidRPr="00E028C5">
        <w:rPr>
          <w:lang w:val="es-ES_tradnl"/>
        </w:rPr>
        <w:br/>
        <w:t xml:space="preserve">de banda ancha móvil para movilidad asociada a vehículos </w:t>
      </w:r>
    </w:p>
    <w:p w:rsidR="00E028C5" w:rsidRPr="00E028C5" w:rsidRDefault="00E028C5" w:rsidP="00E028C5">
      <w:pPr>
        <w:pStyle w:val="Normalaftertitle"/>
        <w:rPr>
          <w:lang w:val="es-ES_tradnl" w:eastAsia="ja-JP"/>
        </w:rPr>
      </w:pPr>
      <w:r w:rsidRPr="00E028C5">
        <w:rPr>
          <w:lang w:val="es-ES_tradnl" w:eastAsia="ja-JP"/>
        </w:rPr>
        <w:t>La norma IEEE 802.20 está diseñada para proporcionar acceso inalámbrico de banda ancha basado en IP (Internet) en un entorno móvil. Incluye un modo de banda amplia y un modo multiportadora</w:t>
      </w:r>
      <w:r w:rsidRPr="00E028C5">
        <w:rPr>
          <w:lang w:val="es-ES_tradnl" w:eastAsia="ja-JP"/>
        </w:rPr>
        <w:noBreakHyphen/>
        <w:t>625k (625k-MC). Ambos modos soportan DDT; el modo de banda amplia soporta DDF.</w:t>
      </w:r>
    </w:p>
    <w:p w:rsidR="00E028C5" w:rsidRPr="00E028C5" w:rsidRDefault="00E028C5" w:rsidP="00E028C5">
      <w:pPr>
        <w:pStyle w:val="Heading1"/>
        <w:rPr>
          <w:lang w:val="es-ES_tradnl" w:eastAsia="ja-JP"/>
        </w:rPr>
      </w:pPr>
      <w:r w:rsidRPr="00E028C5">
        <w:rPr>
          <w:lang w:val="es-ES_tradnl" w:eastAsia="ja-JP"/>
        </w:rPr>
        <w:t>1</w:t>
      </w:r>
      <w:r w:rsidRPr="00E028C5">
        <w:rPr>
          <w:lang w:val="es-ES_tradnl" w:eastAsia="ja-JP"/>
        </w:rPr>
        <w:tab/>
        <w:t>Aspectos relevantes del sistema</w:t>
      </w:r>
    </w:p>
    <w:p w:rsidR="00E028C5" w:rsidRPr="00E028C5" w:rsidRDefault="00E028C5" w:rsidP="00E028C5">
      <w:pPr>
        <w:rPr>
          <w:lang w:val="es-ES_tradnl" w:eastAsia="ja-JP"/>
        </w:rPr>
      </w:pPr>
      <w:r w:rsidRPr="00E028C5">
        <w:rPr>
          <w:lang w:val="es-ES_tradnl" w:eastAsia="ja-JP"/>
        </w:rPr>
        <w:t>La norma 802.20 específica requisitos que garantizan la compatibilidad entre un terminal de acceso y un nodo de acceso o una estación base que sean conformes con la misma, de conformidad con modos de la norma adecuadamente seleccionados.</w:t>
      </w:r>
    </w:p>
    <w:p w:rsidR="00E028C5" w:rsidRPr="00E028C5" w:rsidRDefault="00E028C5" w:rsidP="00E028C5">
      <w:pPr>
        <w:rPr>
          <w:lang w:val="es-ES_tradnl" w:eastAsia="ja-JP"/>
        </w:rPr>
      </w:pPr>
      <w:r w:rsidRPr="00E028C5">
        <w:rPr>
          <w:lang w:val="es-ES_tradnl" w:eastAsia="ja-JP"/>
        </w:rPr>
        <w:t>La norma 802.20 tiene por objetivo permitir una estructura jerárquica fija de enlaces de conexión (tradicional del entorno celular) o una estructura más dinámica no jerárquica. La arquitectura de la especificación 802.20 se ha elaborado de forma que proporcione un marco de retrocompatibilidad para ulteriores adiciones de servicio y de cara a la ampliación de las capacidades del sistema sin que ello suponga pérdida de retrocompatibilidad ni de soporte de la tecnología preexistente.</w:t>
      </w:r>
    </w:p>
    <w:p w:rsidR="00E028C5" w:rsidRPr="00E028C5" w:rsidRDefault="00E028C5" w:rsidP="00E028C5">
      <w:pPr>
        <w:rPr>
          <w:lang w:val="es-ES_tradnl" w:eastAsia="ja-JP"/>
        </w:rPr>
      </w:pPr>
      <w:r w:rsidRPr="00E028C5">
        <w:rPr>
          <w:lang w:val="es-ES_tradnl" w:eastAsia="ja-JP"/>
        </w:rPr>
        <w:t>El modo de banda amplia se basa en técnicas AMDFO y está diseñado para funcionar con DDF y DDT con anchuras de banda desde 5 MHz a 20 MHz. En el caso de sistemas con más de 20 MHz disponibles, el modo de banda amplia define un modo multiportadora que puede acomodar anchuras de banda superiores.</w:t>
      </w:r>
    </w:p>
    <w:p w:rsidR="00E028C5" w:rsidRPr="00E028C5" w:rsidRDefault="00E028C5" w:rsidP="00E028C5">
      <w:pPr>
        <w:rPr>
          <w:lang w:val="es-ES_tradnl" w:eastAsia="ja-JP"/>
        </w:rPr>
      </w:pPr>
      <w:r w:rsidRPr="00E028C5">
        <w:rPr>
          <w:lang w:val="es-ES_tradnl" w:eastAsia="ja-JP"/>
        </w:rPr>
        <w:t>El modo 625k-MC es una interfaz aérea DDT desarrollada para extraer el máximo beneficio del procesado de señal adaptativo con múltiples antenas. Permite el acceso inalámbrico de banda ancha mediante múltiples portadoras de radiofrecuencia con una separación entre portadoras de 625 kHz que típicamente se despliegan en bloques de canales de 5 MHz y mayores. El modo 625k-MC soporta la agregación de múltiples portadores de radiofrecuencia DDT para aumentar las velocidades máximas de datos disponibles por usuario.</w:t>
      </w:r>
    </w:p>
    <w:p w:rsidR="00E028C5" w:rsidRPr="00E028C5" w:rsidRDefault="00E028C5" w:rsidP="00E028C5">
      <w:pPr>
        <w:pStyle w:val="Heading2"/>
        <w:rPr>
          <w:lang w:val="es-ES_tradnl" w:eastAsia="ja-JP"/>
        </w:rPr>
      </w:pPr>
      <w:r w:rsidRPr="00E028C5">
        <w:rPr>
          <w:lang w:val="es-ES_tradnl" w:eastAsia="ja-JP"/>
        </w:rPr>
        <w:t>1.1</w:t>
      </w:r>
      <w:r w:rsidRPr="00E028C5">
        <w:rPr>
          <w:lang w:val="es-ES_tradnl" w:eastAsia="ja-JP"/>
        </w:rPr>
        <w:tab/>
        <w:t>Modo de banda amplia – características de la capa física</w:t>
      </w:r>
    </w:p>
    <w:p w:rsidR="00E028C5" w:rsidRPr="00E028C5" w:rsidRDefault="00E028C5" w:rsidP="00424DE9">
      <w:pPr>
        <w:rPr>
          <w:lang w:val="es-ES_tradnl"/>
        </w:rPr>
      </w:pPr>
      <w:r w:rsidRPr="00E028C5">
        <w:rPr>
          <w:lang w:val="es-ES_tradnl"/>
        </w:rPr>
        <w:t xml:space="preserve">El modo de banda amplia de la norma 802.20 proporciona una capa física basada en AMDFO para los enlaces directo e inverso. Se soportan despliegues DDF y DDT, y la capa física (PHY) utiliza una forma de onda de banda de base similar para ambos, reduciendo por tanto el número de tecnologías </w:t>
      </w:r>
      <w:r w:rsidRPr="00E028C5">
        <w:rPr>
          <w:lang w:val="es-ES_tradnl"/>
        </w:rPr>
        <w:lastRenderedPageBreak/>
        <w:t>que los suministradores deben implementar. La especificación ofrece esquemas de modulación de hasta MAQ-64 con HARQ síncrono para los enlaces directo e inverso que mejoran los caudales en entonos dinámicos. Para hacer frente a distintos entornos, los esquemas de codificación soportados incluyen códigos convolucionales, turbocódigos y un esquema LDPC opcional que ofrece unas prestaciones comparables o mejores que los turbocódigos en todas las terminaciones HARQ.</w:t>
      </w:r>
    </w:p>
    <w:p w:rsidR="00E028C5" w:rsidRPr="00E028C5" w:rsidRDefault="00E028C5" w:rsidP="00E028C5">
      <w:pPr>
        <w:rPr>
          <w:szCs w:val="24"/>
          <w:lang w:val="es-ES_tradnl"/>
        </w:rPr>
      </w:pPr>
      <w:r w:rsidRPr="00E028C5">
        <w:rPr>
          <w:szCs w:val="24"/>
          <w:lang w:val="es-ES_tradnl"/>
        </w:rPr>
        <w:t>Aunque la capa física del enlace inverso está basada en AMDFO, parte de la señalización desde el terminal de acceso hasta el nodo de acceso se cursa sobre un segmento de control AMDC integrado en determinadas subportadoras de la forma de onda MDFO. Esta característica singular permite que la señalización entre terminal y nodo de acceso sea robusta y continua, pudiéndose utilizar técnicas de traspaso flexible y otras técnicas desarrolladas para la transmisión celular AMDC. El resultado es una mayor robustez de la señalización en el enlace inverso y la continuidad del canal de señalización incluso durante las transiciones como las que se producen en el acceso y en el traspaso. Dado que el segmento AMDC «salta» por todo el canal de banda ancha, el nodo de acceso puede realizar fácilmente medidas de banda ancha para mejorar la interferencia y la gestión de los recursos.</w:t>
      </w:r>
    </w:p>
    <w:p w:rsidR="00E028C5" w:rsidRPr="00E028C5" w:rsidRDefault="00E028C5" w:rsidP="00E028C5">
      <w:pPr>
        <w:pStyle w:val="Heading2"/>
        <w:rPr>
          <w:lang w:val="es-ES_tradnl" w:eastAsia="ja-JP"/>
        </w:rPr>
      </w:pPr>
      <w:r w:rsidRPr="00E028C5">
        <w:rPr>
          <w:lang w:val="es-ES_tradnl" w:eastAsia="ja-JP"/>
        </w:rPr>
        <w:t>1.2</w:t>
      </w:r>
      <w:r w:rsidRPr="00E028C5">
        <w:rPr>
          <w:lang w:val="es-ES_tradnl" w:eastAsia="ja-JP"/>
        </w:rPr>
        <w:tab/>
        <w:t xml:space="preserve">Modo de banda amplia – técnicas de antenas múltiples </w:t>
      </w:r>
    </w:p>
    <w:p w:rsidR="00E028C5" w:rsidRPr="00E028C5" w:rsidRDefault="00E028C5" w:rsidP="00E028C5">
      <w:pPr>
        <w:rPr>
          <w:szCs w:val="24"/>
          <w:lang w:val="es-ES_tradnl"/>
        </w:rPr>
      </w:pPr>
      <w:r w:rsidRPr="00E028C5">
        <w:rPr>
          <w:szCs w:val="24"/>
          <w:lang w:val="es-ES_tradnl"/>
        </w:rPr>
        <w:t>Desde un punto de vista del sistema, la tecnología 802.20 especifica diversas técnicas de antenas múltiples que pueden utilizarse en el enlace de ida. Pueden soportarse simultáneamente usuarios SISO y MIMO, optimizándose la experiencia de usuario de forma que ésta sea la mejor posible en las condiciones del canal. Para usuarios que se encuentren cerca del punto de acceso, MIMO permite velocidades de datos muy elevadas. La conformación de haces aumenta la velocidad de datos del usuario al concentrar la potencia de transmisión en la dirección del usuario y permitir una SINR de recepción más elevada en el terminal. El AMDE aumenta la capacidad de un sector al permitir la transmisión simultánea hacia usuarios separados espacialmente utilizando los mismos conjuntos de subportadoras. Por tanto, la conformación de haces combinada con MIMO y AMDE proporciona velocidades de datos de usuario superiores en zonas con SINR alta y con SINR baja.</w:t>
      </w:r>
    </w:p>
    <w:p w:rsidR="00E028C5" w:rsidRPr="00E028C5" w:rsidRDefault="00E028C5" w:rsidP="00E028C5">
      <w:pPr>
        <w:pStyle w:val="Heading2"/>
        <w:ind w:left="0" w:firstLine="0"/>
        <w:rPr>
          <w:lang w:val="es-ES_tradnl" w:eastAsia="ja-JP"/>
        </w:rPr>
      </w:pPr>
      <w:r w:rsidRPr="00E028C5">
        <w:rPr>
          <w:lang w:val="es-ES_tradnl" w:eastAsia="ja-JP"/>
        </w:rPr>
        <w:t>1.3</w:t>
      </w:r>
      <w:r w:rsidRPr="00E028C5">
        <w:rPr>
          <w:lang w:val="es-ES_tradnl" w:eastAsia="ja-JP"/>
        </w:rPr>
        <w:tab/>
        <w:t xml:space="preserve">Modo 625k-MC – características de la interfaz aérea </w:t>
      </w:r>
    </w:p>
    <w:p w:rsidR="00E028C5" w:rsidRPr="00E028C5" w:rsidRDefault="00E028C5" w:rsidP="00E028C5">
      <w:pPr>
        <w:rPr>
          <w:szCs w:val="24"/>
          <w:lang w:val="es-ES_tradnl"/>
        </w:rPr>
      </w:pPr>
      <w:r w:rsidRPr="00E028C5">
        <w:rPr>
          <w:szCs w:val="24"/>
          <w:lang w:val="es-ES_tradnl"/>
        </w:rPr>
        <w:t>El proyecto de especificación del Modo 625k-MC de IEEE 802.20 es una mejora de las especificaciones básicas incluidas en la norma de la interfaz radioeléctrica de acceso múltiple por división espacial de alta capacidad (AMDE-AC) (ATIS.0700004.2005) y es plenamente retrocompatible con los sistemas desplegados comercialmente basados en las especificaciones AMDE-AC.</w:t>
      </w:r>
    </w:p>
    <w:p w:rsidR="00E028C5" w:rsidRDefault="00E028C5" w:rsidP="00853AE4">
      <w:pPr>
        <w:rPr>
          <w:szCs w:val="24"/>
          <w:lang w:val="es-ES_tradnl"/>
        </w:rPr>
      </w:pPr>
      <w:r w:rsidRPr="00E028C5">
        <w:rPr>
          <w:szCs w:val="24"/>
          <w:lang w:val="es-ES_tradnl"/>
        </w:rPr>
        <w:t>El Modo 625k-MC, con un diseño singular basado en múltiples antenas con procesamiento espacial y AMDE, permite la transferencia de tráfico IP, incluyendo datos IP de alta velocidad en base a un modelo de referencia estratificado como se muestra en la Fig. 2. Las capas física (PHY) y del enlace de datos (MAC y LLC) se ajustan de forma óptima para obtener el máximo beneficio de las tecnologías de procesamiento espacial: procesamiento de antena adaptativa y AMDE, eficiencia y capacidad espectral mejorada y una cobertura mayor, con un funcionamiento económico incluso cuando el espectro disponible sea tan pequeño como 625 kHz. En segundo lugar, las capas física y del enlace de datos soportan velocidades de datos y caudales superiores mediante la agregación de múltiples portadoras de 625</w:t>
      </w:r>
      <w:r w:rsidR="00853AE4">
        <w:rPr>
          <w:szCs w:val="24"/>
          <w:lang w:val="es-ES_tradnl"/>
        </w:rPr>
        <w:t> </w:t>
      </w:r>
      <w:r w:rsidRPr="00E028C5">
        <w:rPr>
          <w:szCs w:val="24"/>
          <w:lang w:val="es-ES_tradnl"/>
        </w:rPr>
        <w:t>kHz, de lo que se deriva el nombre de «modo</w:t>
      </w:r>
      <w:r w:rsidR="00853AE4">
        <w:rPr>
          <w:szCs w:val="24"/>
          <w:lang w:val="es-ES_tradnl"/>
        </w:rPr>
        <w:t> </w:t>
      </w:r>
      <w:r w:rsidRPr="00E028C5">
        <w:rPr>
          <w:szCs w:val="24"/>
          <w:lang w:val="es-ES_tradnl"/>
        </w:rPr>
        <w:t>625k-MC» (MC, </w:t>
      </w:r>
      <w:r w:rsidRPr="00E028C5">
        <w:rPr>
          <w:i/>
          <w:szCs w:val="24"/>
          <w:lang w:val="es-ES_tradnl"/>
        </w:rPr>
        <w:t>multi</w:t>
      </w:r>
      <w:r w:rsidRPr="00E028C5">
        <w:rPr>
          <w:i/>
          <w:szCs w:val="24"/>
          <w:lang w:val="es-ES_tradnl"/>
        </w:rPr>
        <w:noBreakHyphen/>
        <w:t>carrier</w:t>
      </w:r>
      <w:r w:rsidRPr="00E028C5">
        <w:rPr>
          <w:szCs w:val="24"/>
          <w:lang w:val="es-ES_tradnl"/>
        </w:rPr>
        <w:t>).</w:t>
      </w:r>
    </w:p>
    <w:p w:rsidR="00853AE4" w:rsidRPr="00853AE4" w:rsidRDefault="00DA2419" w:rsidP="00E028C5">
      <w:pPr>
        <w:rPr>
          <w:szCs w:val="24"/>
          <w:lang w:val="es-ES_tradnl"/>
        </w:rPr>
      </w:pPr>
      <w:hyperlink r:id="rId29" w:history="1">
        <w:r w:rsidR="00853AE4" w:rsidRPr="00853AE4">
          <w:rPr>
            <w:color w:val="0000FF"/>
            <w:u w:val="single"/>
            <w:lang w:val="es-ES_tradnl" w:eastAsia="ja-JP"/>
          </w:rPr>
          <w:t>https://sbwsweb.ieee.org/ecustomercme_enu/start.swe?SWECmd=GotoView&amp;SWEView=Catalog+View+(eSales)_Standards_IEEE&amp;mem_type=Customer&amp;SWEHo=sbwsweb.ieee.org&amp;SWETS=1192713657</w:t>
        </w:r>
      </w:hyperlink>
      <w:r w:rsidR="00853AE4" w:rsidRPr="00853AE4">
        <w:rPr>
          <w:lang w:val="es-ES_tradnl" w:eastAsia="ja-JP"/>
        </w:rPr>
        <w:t>.</w:t>
      </w:r>
    </w:p>
    <w:p w:rsidR="00E028C5" w:rsidRDefault="00E028C5" w:rsidP="00427EAC">
      <w:pPr>
        <w:pStyle w:val="AnnexNoTitle"/>
        <w:spacing w:before="240"/>
        <w:rPr>
          <w:lang w:val="es-ES_tradnl"/>
        </w:rPr>
      </w:pPr>
      <w:r w:rsidRPr="00E028C5">
        <w:rPr>
          <w:lang w:val="es-ES_tradnl"/>
        </w:rPr>
        <w:lastRenderedPageBreak/>
        <w:t xml:space="preserve">Anexo 8 </w:t>
      </w:r>
      <w:r w:rsidRPr="00E028C5">
        <w:rPr>
          <w:lang w:val="es-ES_tradnl"/>
        </w:rPr>
        <w:br/>
      </w:r>
      <w:r w:rsidRPr="00E028C5">
        <w:rPr>
          <w:lang w:val="es-ES_tradnl"/>
        </w:rPr>
        <w:br/>
        <w:t>Interfaz aérea de la norma del sistema de acceso</w:t>
      </w:r>
      <w:r w:rsidR="00427EAC">
        <w:rPr>
          <w:lang w:val="es-ES_tradnl"/>
        </w:rPr>
        <w:t xml:space="preserve"> </w:t>
      </w:r>
      <w:r w:rsidRPr="00E028C5">
        <w:rPr>
          <w:lang w:val="es-ES_tradnl"/>
        </w:rPr>
        <w:t>inalámbrico</w:t>
      </w:r>
      <w:r w:rsidR="00427EAC">
        <w:rPr>
          <w:lang w:val="es-ES_tradnl"/>
        </w:rPr>
        <w:br/>
      </w:r>
      <w:r w:rsidRPr="00E028C5">
        <w:rPr>
          <w:lang w:val="es-ES_tradnl"/>
        </w:rPr>
        <w:t>de banda ancha AMDC síncrono</w:t>
      </w:r>
    </w:p>
    <w:p w:rsidR="00E028C5" w:rsidRPr="00E028C5" w:rsidRDefault="00E028C5" w:rsidP="00E028C5">
      <w:pPr>
        <w:pStyle w:val="Heading1"/>
        <w:rPr>
          <w:lang w:val="es-ES_tradnl" w:eastAsia="ja-JP"/>
        </w:rPr>
      </w:pPr>
      <w:r w:rsidRPr="00E028C5">
        <w:rPr>
          <w:lang w:val="es-ES_tradnl" w:eastAsia="ja-JP"/>
        </w:rPr>
        <w:t>1</w:t>
      </w:r>
      <w:r w:rsidRPr="00E028C5">
        <w:rPr>
          <w:lang w:val="es-ES_tradnl" w:eastAsia="ja-JP"/>
        </w:rPr>
        <w:tab/>
      </w:r>
      <w:r w:rsidRPr="00E028C5">
        <w:rPr>
          <w:lang w:val="es-ES_tradnl"/>
        </w:rPr>
        <w:t xml:space="preserve">Visión general de la interfaz radioeléctrica </w:t>
      </w:r>
    </w:p>
    <w:p w:rsidR="00E028C5" w:rsidRPr="00E028C5" w:rsidRDefault="00E028C5" w:rsidP="00E028C5">
      <w:pPr>
        <w:rPr>
          <w:lang w:val="es-ES_tradnl"/>
        </w:rPr>
      </w:pPr>
      <w:r w:rsidRPr="00E028C5">
        <w:rPr>
          <w:lang w:val="es-ES_tradnl"/>
        </w:rPr>
        <w:t>La interfaz radioeléctrica normalizada define la capa física DDT/AMDFO de espectro ensanchado mediante código (CS-AMDFO) y la capa de control de acceso al medio (MAC)/control del enlace de datos (DLC). En el contexto de los datos basados en paquetes, los sistemas de banda ancha móviles construidos de conformidad con la interfaz radioeléctrica normalizada soportan una amplia gama de aplicaciones, incluidos servicios de datos sin garantías (</w:t>
      </w:r>
      <w:r w:rsidRPr="00E028C5">
        <w:rPr>
          <w:i/>
          <w:lang w:val="es-ES_tradnl"/>
        </w:rPr>
        <w:t>best-effort</w:t>
      </w:r>
      <w:r w:rsidRPr="00E028C5">
        <w:rPr>
          <w:lang w:val="es-ES_tradnl"/>
        </w:rPr>
        <w:t>) datos multimedia con características de tiempo real (</w:t>
      </w:r>
      <w:r w:rsidRPr="00E028C5">
        <w:rPr>
          <w:i/>
          <w:lang w:val="es-ES_tradnl"/>
        </w:rPr>
        <w:t>real-time</w:t>
      </w:r>
      <w:r w:rsidRPr="00E028C5">
        <w:rPr>
          <w:lang w:val="es-ES_tradnl"/>
        </w:rPr>
        <w:t>), o voz y datos simultáneos.</w:t>
      </w:r>
    </w:p>
    <w:p w:rsidR="00E028C5" w:rsidRPr="00E028C5" w:rsidRDefault="00E028C5" w:rsidP="00E028C5">
      <w:pPr>
        <w:rPr>
          <w:lang w:val="es-ES_tradnl"/>
        </w:rPr>
      </w:pPr>
      <w:r w:rsidRPr="00E028C5">
        <w:rPr>
          <w:lang w:val="es-ES_tradnl"/>
        </w:rPr>
        <w:t xml:space="preserve">La interfaz radioeléctrica se ha optimizado para servicios de voz altamente eficientes, servicios de voz y datos con movilidad total y para una elevada eficiencia en despliegues de frecuencia única. La interfaz radioeléctrica incluye técnicas basadas en antenas múltiples, tales como conformación de haces, gestión de nulos y diversidad de transmisión a fin de conseguir una mejor cobertura, prestaciones en movilidad y mitigación de la interferencia para despliegues con una factor de reutilización de frecuencias de </w:t>
      </w:r>
      <w:r w:rsidRPr="00E028C5">
        <w:rPr>
          <w:i/>
          <w:lang w:val="es-ES_tradnl"/>
        </w:rPr>
        <w:t xml:space="preserve">N </w:t>
      </w:r>
      <w:r w:rsidRPr="00E028C5">
        <w:rPr>
          <w:lang w:val="es-ES_tradnl"/>
        </w:rPr>
        <w:t>= 1.</w:t>
      </w:r>
    </w:p>
    <w:p w:rsidR="00E028C5" w:rsidRPr="00E028C5" w:rsidRDefault="00E028C5" w:rsidP="00046DA0">
      <w:pPr>
        <w:rPr>
          <w:lang w:val="es-ES_tradnl"/>
        </w:rPr>
      </w:pPr>
      <w:r w:rsidRPr="00E028C5">
        <w:rPr>
          <w:lang w:val="es-ES_tradnl"/>
        </w:rPr>
        <w:t>La interfaz radioeléctrica admite una anchura de banda del ca</w:t>
      </w:r>
      <w:r w:rsidR="00046DA0">
        <w:rPr>
          <w:lang w:val="es-ES_tradnl"/>
        </w:rPr>
        <w:t xml:space="preserve">nal en múltiplos de 1 MHz hasta </w:t>
      </w:r>
      <w:r w:rsidRPr="00E028C5">
        <w:rPr>
          <w:lang w:val="es-ES_tradnl"/>
        </w:rPr>
        <w:t>5 MHz. La subcanalización y el ensanchamiento de espectro por código, especialmente dentro</w:t>
      </w:r>
      <w:r w:rsidR="00046DA0">
        <w:rPr>
          <w:lang w:val="es-ES_tradnl"/>
        </w:rPr>
        <w:t xml:space="preserve"> </w:t>
      </w:r>
      <w:r w:rsidRPr="00E028C5">
        <w:rPr>
          <w:lang w:val="es-ES_tradnl"/>
        </w:rPr>
        <w:t>de cada anchura de banda de 1 MHz, proporciona diversidad en frecuencia y capacidad de observación de la interferencia para la asignación de recursos radioeléctricos con una granularidad de anchura de banda de 8</w:t>
      </w:r>
      <w:r w:rsidR="00046DA0">
        <w:rPr>
          <w:lang w:val="es-ES_tradnl"/>
        </w:rPr>
        <w:t> </w:t>
      </w:r>
      <w:r w:rsidRPr="00E028C5">
        <w:rPr>
          <w:lang w:val="es-ES_tradnl"/>
        </w:rPr>
        <w:t>kbit/s. La canalización también permite la asignación dinámica de canales de forma coordinada entre celdas para evitar la interferencia mutua de forma eficiente. Un sistema que utilice una anchura de banda de 5 MHz soporta una concurrencia de 120 usuarios. Por tanto, la subcanalización y la asignación de potencia para múltiples usuarios se realizan en base a las condiciones de propagación y los niveles de interferencia de los enlaces.</w:t>
      </w:r>
    </w:p>
    <w:p w:rsidR="00E028C5" w:rsidRPr="00E028C5" w:rsidRDefault="00E028C5" w:rsidP="00E028C5">
      <w:pPr>
        <w:rPr>
          <w:lang w:val="es-ES_tradnl"/>
        </w:rPr>
      </w:pPr>
      <w:r w:rsidRPr="00E028C5">
        <w:rPr>
          <w:lang w:val="es-ES_tradnl"/>
        </w:rPr>
        <w:t>La interfaz radioeléctrica soporta las modulaciones MDP-4, MDP-8, MAQ-16 y MAQ-64 en los enlaces ascendente y descendente, consiguiendo una eficiencia espectral de 3 bit/s/Hz para una configuración de antena única en transmisión y en recepción. El sistema utiliza DDT para separar la transmisión ascendente y descendente. La relación entre el caudal ascendente y descendente puede ajustarse de forma flexible cambiando el punto de conmutación de los enlaces ascendente y descendente.</w:t>
      </w:r>
    </w:p>
    <w:p w:rsidR="00E028C5" w:rsidRPr="00E028C5" w:rsidRDefault="00E028C5" w:rsidP="00E028C5">
      <w:pPr>
        <w:rPr>
          <w:lang w:val="es-ES_tradnl"/>
        </w:rPr>
      </w:pPr>
      <w:r w:rsidRPr="00E028C5">
        <w:rPr>
          <w:lang w:val="es-ES_tradnl"/>
        </w:rPr>
        <w:t xml:space="preserve">La capa MAC/LDC realiza el control de acceso del usuario, la gestión de sesión y la recuperación de errores ARQ. También realiza las asignaciones de anchura de banda, las atribuciones de canales y la gestión y planificación de paquetes para comunicaciones de varios usuarios, de acuerdo con las solicitudes de anchura de banda, prioridades de los usuarios, requisitos de QoS/GoS y condiciones del canal. </w:t>
      </w:r>
    </w:p>
    <w:p w:rsidR="00E028C5" w:rsidRPr="00E028C5" w:rsidRDefault="00E028C5" w:rsidP="00E028C5">
      <w:pPr>
        <w:pStyle w:val="Heading1"/>
        <w:rPr>
          <w:lang w:val="es-ES_tradnl"/>
        </w:rPr>
      </w:pPr>
      <w:r w:rsidRPr="00E028C5">
        <w:rPr>
          <w:lang w:val="es-ES_tradnl"/>
        </w:rPr>
        <w:t>2</w:t>
      </w:r>
      <w:r w:rsidRPr="00E028C5">
        <w:rPr>
          <w:lang w:val="es-ES_tradnl"/>
        </w:rPr>
        <w:tab/>
        <w:t xml:space="preserve">Aspectos generales de la interfaz radioeléctrica </w:t>
      </w:r>
    </w:p>
    <w:p w:rsidR="00E028C5" w:rsidRPr="00E028C5" w:rsidRDefault="00E028C5" w:rsidP="00E028C5">
      <w:pPr>
        <w:pStyle w:val="Heading2"/>
        <w:rPr>
          <w:lang w:val="es-ES_tradnl"/>
        </w:rPr>
      </w:pPr>
      <w:r w:rsidRPr="00E028C5">
        <w:rPr>
          <w:lang w:val="es-ES_tradnl"/>
        </w:rPr>
        <w:t>2.1</w:t>
      </w:r>
      <w:r w:rsidRPr="00E028C5">
        <w:rPr>
          <w:lang w:val="es-ES_tradnl"/>
        </w:rPr>
        <w:tab/>
        <w:t xml:space="preserve">AMDFO-CS y estructura de trama </w:t>
      </w:r>
    </w:p>
    <w:p w:rsidR="00E028C5" w:rsidRPr="00E028C5" w:rsidRDefault="00E028C5" w:rsidP="00E028C5">
      <w:pPr>
        <w:rPr>
          <w:lang w:val="es-ES_tradnl"/>
        </w:rPr>
      </w:pPr>
      <w:r w:rsidRPr="00E028C5">
        <w:rPr>
          <w:lang w:val="es-ES_tradnl"/>
        </w:rPr>
        <w:t>La norma de la interfaz radioeléctrica utiliza AMDFO-CS (acceso múltiple por división de frecuencia ortogonal con ensanchamiento por código) como técnica fundamental de transmisión de la señal y de acceso múltiple. La técnica AMDFO-CS está basada en AMDFO y, al igual que ésta, a cada usuario se le asigna un conjunto dedicado de componentes tiempo</w:t>
      </w:r>
      <w:r w:rsidRPr="00E028C5">
        <w:rPr>
          <w:lang w:val="es-ES_tradnl"/>
        </w:rPr>
        <w:noBreakHyphen/>
        <w:t xml:space="preserve">frecuencia de la rejilla de referencia de </w:t>
      </w:r>
      <w:r w:rsidRPr="00E028C5">
        <w:rPr>
          <w:lang w:val="es-ES_tradnl"/>
        </w:rPr>
        <w:lastRenderedPageBreak/>
        <w:t>forma que no se produzca interferencia de acceso múltiple ni interferencia multitrayecto. Sin embargo, a diferencia de AMDFO en que cada símbolo de código corresponde a un componente tiempo-frecuencia de la rejilla, se genera un vector de señal AMDFO-CS mediante la precodificación de un vector de símbolos codificados. Se establece entonces una correspondencia entre el vector de la señal AMDFO-CS resultante y múltiples componentes tiempo-frecuencia distribuidos en el tiempo y la frecuencia. De esta forma, las señales se transmiten con una diversidad inherente de tiempo y frecuencia. La representación de la estructura de trama de la Fig. 3 ilustra el uso de AMDFO-CS y acceso múltiple.</w:t>
      </w:r>
    </w:p>
    <w:p w:rsidR="00E028C5" w:rsidRPr="00E028C5" w:rsidRDefault="00E028C5" w:rsidP="00046DA0">
      <w:pPr>
        <w:pStyle w:val="FigureNo"/>
        <w:rPr>
          <w:lang w:val="es-ES_tradnl"/>
        </w:rPr>
      </w:pPr>
      <w:r w:rsidRPr="00E028C5">
        <w:rPr>
          <w:lang w:val="es-ES_tradnl"/>
        </w:rPr>
        <w:t>FIGURA 3</w:t>
      </w:r>
    </w:p>
    <w:p w:rsidR="00E028C5" w:rsidRPr="00E028C5" w:rsidRDefault="00E028C5" w:rsidP="00E028C5">
      <w:pPr>
        <w:pStyle w:val="Figuretitle"/>
        <w:rPr>
          <w:szCs w:val="18"/>
          <w:lang w:val="es-ES_tradnl"/>
        </w:rPr>
      </w:pPr>
      <w:r w:rsidRPr="00E028C5">
        <w:rPr>
          <w:szCs w:val="18"/>
          <w:lang w:val="es-ES_tradnl"/>
        </w:rPr>
        <w:t>Estructura de trama para enlaces ascendentes y descendentes simétricos</w:t>
      </w:r>
    </w:p>
    <w:p w:rsidR="00E028C5" w:rsidRPr="00BE3323" w:rsidRDefault="00591E78" w:rsidP="00E028C5">
      <w:pPr>
        <w:pStyle w:val="Figure"/>
      </w:pPr>
      <w:r w:rsidRPr="00BE3323">
        <w:object w:dxaOrig="4863" w:dyaOrig="3401">
          <v:shape id="_x0000_i1026" type="#_x0000_t75" style="width:396.85pt;height:245.15pt" o:ole="">
            <v:imagedata r:id="rId30" o:title="" croptop="8578f"/>
          </v:shape>
          <o:OLEObject Type="Embed" ProgID="CorelDRAW.Graphic.14" ShapeID="_x0000_i1026" DrawAspect="Content" ObjectID="_1479640791" r:id="rId31"/>
        </w:object>
      </w:r>
    </w:p>
    <w:p w:rsidR="00E028C5" w:rsidRPr="00E028C5" w:rsidRDefault="00E028C5" w:rsidP="00E028C5">
      <w:pPr>
        <w:rPr>
          <w:lang w:val="es-ES_tradnl"/>
        </w:rPr>
      </w:pPr>
      <w:r w:rsidRPr="00E028C5">
        <w:rPr>
          <w:lang w:val="es-ES_tradnl"/>
        </w:rPr>
        <w:t>En la Fig. 3 la banda de 5 MHz se divide en cinco subbandas de 1 MHz cada una. Cada subbanda consta de 128 subportadoras que se dividen en 16 subcanales y cada subcanal incluye ocho subportadoras distribuidas. La trama DDT del AMDFO-CS tiene una duración de 10 ms y consta de un intervalo preámbulo, un intervalo sobre el alcance, ocho intervalos de tráfico y dos intervalos de guarda. La relación entre intervalos dedicados al enlace ascendente y descendente es configurable. Cada intervalo incluye 8/10 símbolos AMDFO consecutivos. Los parámetros básicos de la señal AMDFO se enumeran en el Cuadro 4.</w:t>
      </w:r>
    </w:p>
    <w:p w:rsidR="00E028C5" w:rsidRPr="00E028C5" w:rsidRDefault="00E028C5" w:rsidP="00E028C5">
      <w:pPr>
        <w:pStyle w:val="TableNo"/>
        <w:rPr>
          <w:lang w:val="es-ES_tradnl"/>
        </w:rPr>
      </w:pPr>
      <w:r w:rsidRPr="00E028C5">
        <w:rPr>
          <w:lang w:val="es-ES_tradnl"/>
        </w:rPr>
        <w:t>CUADRO 4</w:t>
      </w:r>
    </w:p>
    <w:p w:rsidR="00E028C5" w:rsidRPr="00E028C5" w:rsidRDefault="00E028C5" w:rsidP="00E028C5">
      <w:pPr>
        <w:pStyle w:val="Tabletitle"/>
        <w:rPr>
          <w:szCs w:val="24"/>
          <w:lang w:val="es-ES_tradnl"/>
        </w:rPr>
      </w:pPr>
      <w:r w:rsidRPr="00E028C5">
        <w:rPr>
          <w:szCs w:val="24"/>
          <w:lang w:val="es-ES_tradnl"/>
        </w:rPr>
        <w:t>Parámetros básicos de la señal AMDFO-CS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4661"/>
        <w:gridCol w:w="1784"/>
      </w:tblGrid>
      <w:tr w:rsidR="00E028C5" w:rsidRPr="00BE3323" w:rsidTr="00046DA0">
        <w:trPr>
          <w:trHeight w:val="20"/>
          <w:tblHeader/>
          <w:jc w:val="center"/>
        </w:trPr>
        <w:tc>
          <w:tcPr>
            <w:tcW w:w="4661" w:type="dxa"/>
            <w:shd w:val="clear" w:color="auto" w:fill="auto"/>
            <w:vAlign w:val="center"/>
          </w:tcPr>
          <w:p w:rsidR="00E028C5" w:rsidRPr="00BE3323" w:rsidRDefault="00E028C5" w:rsidP="00253A39">
            <w:pPr>
              <w:pStyle w:val="Tablehead"/>
            </w:pPr>
            <w:r w:rsidRPr="00BE3323">
              <w:t>Parámetro</w:t>
            </w:r>
          </w:p>
        </w:tc>
        <w:tc>
          <w:tcPr>
            <w:tcW w:w="1784" w:type="dxa"/>
            <w:shd w:val="clear" w:color="auto" w:fill="auto"/>
            <w:vAlign w:val="center"/>
          </w:tcPr>
          <w:p w:rsidR="00E028C5" w:rsidRPr="00BE3323" w:rsidRDefault="00E028C5" w:rsidP="00253A39">
            <w:pPr>
              <w:pStyle w:val="Tablehead"/>
            </w:pPr>
            <w:r w:rsidRPr="00BE3323">
              <w:t>Valor</w:t>
            </w:r>
          </w:p>
        </w:tc>
      </w:tr>
      <w:tr w:rsidR="00E028C5" w:rsidRPr="00BE3323" w:rsidTr="00046DA0">
        <w:trPr>
          <w:trHeight w:val="20"/>
          <w:jc w:val="center"/>
        </w:trPr>
        <w:tc>
          <w:tcPr>
            <w:tcW w:w="4661" w:type="dxa"/>
            <w:shd w:val="clear" w:color="auto" w:fill="auto"/>
            <w:vAlign w:val="center"/>
          </w:tcPr>
          <w:p w:rsidR="00E028C5" w:rsidRPr="00BE3323" w:rsidRDefault="00E028C5" w:rsidP="00253A39">
            <w:pPr>
              <w:pStyle w:val="Tabletext"/>
            </w:pPr>
            <w:r w:rsidRPr="00BE3323">
              <w:t xml:space="preserve">Tamaño de FFT </w:t>
            </w:r>
          </w:p>
        </w:tc>
        <w:tc>
          <w:tcPr>
            <w:tcW w:w="1784" w:type="dxa"/>
            <w:shd w:val="clear" w:color="auto" w:fill="auto"/>
            <w:vAlign w:val="center"/>
          </w:tcPr>
          <w:p w:rsidR="00E028C5" w:rsidRPr="00BE3323" w:rsidRDefault="00E028C5" w:rsidP="00253A39">
            <w:pPr>
              <w:pStyle w:val="Tabletext"/>
              <w:rPr>
                <w:bCs/>
              </w:rPr>
            </w:pPr>
            <w:r w:rsidRPr="00BE3323">
              <w:rPr>
                <w:bCs/>
              </w:rPr>
              <w:t>1 024</w:t>
            </w:r>
          </w:p>
        </w:tc>
      </w:tr>
      <w:tr w:rsidR="00E028C5" w:rsidRPr="00BE3323" w:rsidTr="00046DA0">
        <w:trPr>
          <w:trHeight w:val="20"/>
          <w:jc w:val="center"/>
        </w:trPr>
        <w:tc>
          <w:tcPr>
            <w:tcW w:w="4661" w:type="dxa"/>
            <w:shd w:val="clear" w:color="auto" w:fill="auto"/>
            <w:vAlign w:val="center"/>
          </w:tcPr>
          <w:p w:rsidR="00E028C5" w:rsidRPr="00BE3323" w:rsidRDefault="00E028C5" w:rsidP="00253A39">
            <w:pPr>
              <w:pStyle w:val="Tabletext"/>
            </w:pPr>
            <w:r w:rsidRPr="00BE3323">
              <w:t>Separación entre subportadoras</w:t>
            </w:r>
          </w:p>
        </w:tc>
        <w:tc>
          <w:tcPr>
            <w:tcW w:w="1784" w:type="dxa"/>
            <w:shd w:val="clear" w:color="auto" w:fill="auto"/>
            <w:vAlign w:val="center"/>
          </w:tcPr>
          <w:p w:rsidR="00E028C5" w:rsidRPr="00BE3323" w:rsidRDefault="00E028C5" w:rsidP="00253A39">
            <w:pPr>
              <w:pStyle w:val="Tabletext"/>
              <w:rPr>
                <w:bCs/>
              </w:rPr>
            </w:pPr>
            <w:r w:rsidRPr="00BE3323">
              <w:rPr>
                <w:bCs/>
              </w:rPr>
              <w:t>7,8125 kHz</w:t>
            </w:r>
          </w:p>
        </w:tc>
      </w:tr>
      <w:tr w:rsidR="00E028C5" w:rsidRPr="00BE3323" w:rsidTr="00046DA0">
        <w:trPr>
          <w:trHeight w:val="20"/>
          <w:jc w:val="center"/>
        </w:trPr>
        <w:tc>
          <w:tcPr>
            <w:tcW w:w="4661" w:type="dxa"/>
            <w:shd w:val="clear" w:color="auto" w:fill="auto"/>
            <w:vAlign w:val="center"/>
          </w:tcPr>
          <w:p w:rsidR="00E028C5" w:rsidRPr="00E028C5" w:rsidRDefault="00E028C5" w:rsidP="00253A39">
            <w:pPr>
              <w:pStyle w:val="Tabletext"/>
              <w:rPr>
                <w:lang w:val="es-ES_tradnl"/>
              </w:rPr>
            </w:pPr>
            <w:r w:rsidRPr="00E028C5">
              <w:rPr>
                <w:lang w:val="es-ES_tradnl"/>
              </w:rPr>
              <w:t>Duración de los símbolos AMDFO</w:t>
            </w:r>
            <w:r w:rsidRPr="00E028C5">
              <w:rPr>
                <w:lang w:val="es-ES_tradnl"/>
              </w:rPr>
              <w:noBreakHyphen/>
              <w:t xml:space="preserve">CS </w:t>
            </w:r>
          </w:p>
        </w:tc>
        <w:tc>
          <w:tcPr>
            <w:tcW w:w="1784" w:type="dxa"/>
            <w:shd w:val="clear" w:color="auto" w:fill="auto"/>
            <w:vAlign w:val="center"/>
          </w:tcPr>
          <w:p w:rsidR="00E028C5" w:rsidRPr="00BE3323" w:rsidRDefault="00E028C5" w:rsidP="00253A39">
            <w:pPr>
              <w:pStyle w:val="Tabletext"/>
              <w:rPr>
                <w:bCs/>
              </w:rPr>
            </w:pPr>
            <w:r w:rsidRPr="00BE3323">
              <w:rPr>
                <w:bCs/>
              </w:rPr>
              <w:t xml:space="preserve">137,5 </w:t>
            </w:r>
            <w:r w:rsidRPr="00BE3323">
              <w:rPr>
                <w:bCs/>
              </w:rPr>
              <w:sym w:font="Symbol" w:char="F06D"/>
            </w:r>
            <w:r w:rsidRPr="00BE3323">
              <w:rPr>
                <w:bCs/>
              </w:rPr>
              <w:t>s</w:t>
            </w:r>
          </w:p>
        </w:tc>
      </w:tr>
      <w:tr w:rsidR="00E028C5" w:rsidRPr="00BE3323" w:rsidTr="00046DA0">
        <w:trPr>
          <w:trHeight w:val="20"/>
          <w:jc w:val="center"/>
        </w:trPr>
        <w:tc>
          <w:tcPr>
            <w:tcW w:w="4661" w:type="dxa"/>
            <w:shd w:val="clear" w:color="auto" w:fill="auto"/>
            <w:vAlign w:val="center"/>
          </w:tcPr>
          <w:p w:rsidR="00E028C5" w:rsidRPr="00BE3323" w:rsidRDefault="00E028C5" w:rsidP="00253A39">
            <w:pPr>
              <w:pStyle w:val="Tabletext"/>
            </w:pPr>
            <w:r w:rsidRPr="00BE3323">
              <w:t>Duración del prefijo cíclico</w:t>
            </w:r>
          </w:p>
        </w:tc>
        <w:tc>
          <w:tcPr>
            <w:tcW w:w="1784" w:type="dxa"/>
            <w:shd w:val="clear" w:color="auto" w:fill="auto"/>
            <w:vAlign w:val="center"/>
          </w:tcPr>
          <w:p w:rsidR="00E028C5" w:rsidRPr="00BE3323" w:rsidRDefault="00E028C5" w:rsidP="00253A39">
            <w:pPr>
              <w:pStyle w:val="Tabletext"/>
              <w:rPr>
                <w:bCs/>
              </w:rPr>
            </w:pPr>
            <w:r w:rsidRPr="00BE3323">
              <w:rPr>
                <w:bCs/>
              </w:rPr>
              <w:t xml:space="preserve">9,5 </w:t>
            </w:r>
            <w:r w:rsidRPr="00BE3323">
              <w:rPr>
                <w:bCs/>
              </w:rPr>
              <w:sym w:font="Symbol" w:char="F06D"/>
            </w:r>
            <w:r w:rsidRPr="00BE3323">
              <w:rPr>
                <w:bCs/>
              </w:rPr>
              <w:t>s</w:t>
            </w:r>
          </w:p>
        </w:tc>
      </w:tr>
      <w:tr w:rsidR="00E028C5" w:rsidRPr="00BE3323" w:rsidTr="00046DA0">
        <w:trPr>
          <w:trHeight w:val="20"/>
          <w:jc w:val="center"/>
        </w:trPr>
        <w:tc>
          <w:tcPr>
            <w:tcW w:w="4661" w:type="dxa"/>
            <w:shd w:val="clear" w:color="auto" w:fill="auto"/>
            <w:vAlign w:val="center"/>
          </w:tcPr>
          <w:p w:rsidR="00E028C5" w:rsidRPr="00E028C5" w:rsidRDefault="00E028C5" w:rsidP="00253A39">
            <w:pPr>
              <w:pStyle w:val="Tabletext"/>
              <w:rPr>
                <w:lang w:val="es-ES_tradnl"/>
              </w:rPr>
            </w:pPr>
            <w:r w:rsidRPr="00E028C5">
              <w:rPr>
                <w:lang w:val="es-ES_tradnl"/>
              </w:rPr>
              <w:t xml:space="preserve">Anchura de banda ocupada por la BS </w:t>
            </w:r>
          </w:p>
        </w:tc>
        <w:tc>
          <w:tcPr>
            <w:tcW w:w="1784" w:type="dxa"/>
            <w:shd w:val="clear" w:color="auto" w:fill="auto"/>
            <w:vAlign w:val="center"/>
          </w:tcPr>
          <w:p w:rsidR="00E028C5" w:rsidRPr="00BE3323" w:rsidRDefault="00E028C5" w:rsidP="00253A39">
            <w:pPr>
              <w:pStyle w:val="Tabletext"/>
              <w:rPr>
                <w:bCs/>
              </w:rPr>
            </w:pPr>
            <w:r w:rsidRPr="00BE3323">
              <w:rPr>
                <w:bCs/>
              </w:rPr>
              <w:t>5 MHz</w:t>
            </w:r>
          </w:p>
        </w:tc>
      </w:tr>
      <w:tr w:rsidR="00E028C5" w:rsidRPr="00BE3323" w:rsidTr="00046DA0">
        <w:trPr>
          <w:trHeight w:val="20"/>
          <w:jc w:val="center"/>
        </w:trPr>
        <w:tc>
          <w:tcPr>
            <w:tcW w:w="4661" w:type="dxa"/>
            <w:shd w:val="clear" w:color="auto" w:fill="auto"/>
            <w:vAlign w:val="center"/>
          </w:tcPr>
          <w:p w:rsidR="00E028C5" w:rsidRPr="00E028C5" w:rsidRDefault="00E028C5" w:rsidP="00253A39">
            <w:pPr>
              <w:pStyle w:val="Tabletext"/>
              <w:rPr>
                <w:bCs/>
                <w:lang w:val="es-ES_tradnl"/>
              </w:rPr>
            </w:pPr>
            <w:r w:rsidRPr="00E028C5">
              <w:rPr>
                <w:bCs/>
                <w:lang w:val="es-ES_tradnl"/>
              </w:rPr>
              <w:t>Número de subportadoras de guarda</w:t>
            </w:r>
          </w:p>
        </w:tc>
        <w:tc>
          <w:tcPr>
            <w:tcW w:w="1784" w:type="dxa"/>
            <w:shd w:val="clear" w:color="auto" w:fill="auto"/>
            <w:vAlign w:val="center"/>
          </w:tcPr>
          <w:p w:rsidR="00E028C5" w:rsidRPr="00BE3323" w:rsidRDefault="00E028C5" w:rsidP="00253A39">
            <w:pPr>
              <w:pStyle w:val="Tabletext"/>
              <w:rPr>
                <w:bCs/>
              </w:rPr>
            </w:pPr>
            <w:r w:rsidRPr="00BE3323">
              <w:rPr>
                <w:bCs/>
              </w:rPr>
              <w:t>32</w:t>
            </w:r>
          </w:p>
        </w:tc>
      </w:tr>
    </w:tbl>
    <w:p w:rsidR="00E028C5" w:rsidRPr="00E028C5" w:rsidRDefault="00E028C5" w:rsidP="00E028C5">
      <w:pPr>
        <w:rPr>
          <w:lang w:val="es-ES_tradnl"/>
        </w:rPr>
      </w:pPr>
      <w:r w:rsidRPr="00E028C5">
        <w:rPr>
          <w:lang w:val="es-ES_tradnl"/>
        </w:rPr>
        <w:lastRenderedPageBreak/>
        <w:t>Todas las subportadoras dentro de una subbanda y un intervalo forman un bloque de recursos que contiene 128 subportadoras mediante ocho símbolos AMDFO. El ensanchamiento por código se realiza sobre ocho subportadoras seleccionadas de cada bloque de recursos, estando las ocho subportadoras distribuidas uniformemente a lo lago de la subbanda de 1 MHz. Se genera un vector de señal AMDFO-CS de tamaño 8 × 1 mediante la multiplicación de un vector de símbolos codificados de L × 1 por una matriz de precodificación de tamaño 8 × L. Las señales resultantes se hacen corresponder entonces con las ocho subportadoras. L es el factor de carga del ensanchamiento por código y es una variable que toma un valor entero menor de 8. La Fig. 4 ilustra este esquema.</w:t>
      </w:r>
    </w:p>
    <w:p w:rsidR="00E028C5" w:rsidRPr="00E028C5" w:rsidRDefault="00E028C5" w:rsidP="00E028C5">
      <w:pPr>
        <w:pStyle w:val="FigureNo"/>
        <w:tabs>
          <w:tab w:val="left" w:pos="2552"/>
        </w:tabs>
        <w:rPr>
          <w:szCs w:val="18"/>
          <w:lang w:val="es-ES_tradnl"/>
        </w:rPr>
      </w:pPr>
      <w:r w:rsidRPr="00E028C5">
        <w:rPr>
          <w:szCs w:val="18"/>
          <w:lang w:val="es-ES_tradnl"/>
        </w:rPr>
        <w:t>FIGURA 4</w:t>
      </w:r>
    </w:p>
    <w:p w:rsidR="00E028C5" w:rsidRPr="00E028C5" w:rsidRDefault="00E028C5" w:rsidP="00E028C5">
      <w:pPr>
        <w:pStyle w:val="Figuretitle"/>
        <w:rPr>
          <w:szCs w:val="18"/>
          <w:lang w:val="es-ES_tradnl"/>
        </w:rPr>
      </w:pPr>
      <w:r w:rsidRPr="00E028C5">
        <w:rPr>
          <w:szCs w:val="18"/>
          <w:lang w:val="es-ES_tradnl"/>
        </w:rPr>
        <w:t xml:space="preserve">Ensanchamiento por código mediante una matriz de precodificación </w:t>
      </w:r>
      <w:r w:rsidRPr="00E028C5">
        <w:rPr>
          <w:szCs w:val="18"/>
          <w:lang w:val="es-ES_tradnl"/>
        </w:rPr>
        <w:br/>
        <w:t>y su correspondencia con subportadoras</w:t>
      </w:r>
    </w:p>
    <w:p w:rsidR="00E028C5" w:rsidRDefault="00BC5A15" w:rsidP="003D2CCD">
      <w:pPr>
        <w:pStyle w:val="Figure"/>
        <w:rPr>
          <w:noProof/>
          <w:lang w:eastAsia="zh-CN"/>
        </w:rPr>
      </w:pPr>
      <w:r w:rsidRPr="00BE3323">
        <w:rPr>
          <w:noProof/>
          <w:lang w:eastAsia="zh-CN"/>
        </w:rPr>
        <w:object w:dxaOrig="4886" w:dyaOrig="2881">
          <v:shape id="_x0000_i1027" type="#_x0000_t75" style="width:402.45pt;height:200.15pt" o:ole="">
            <v:imagedata r:id="rId32" o:title="" croptop="10358f"/>
          </v:shape>
          <o:OLEObject Type="Embed" ProgID="CorelDRAW.Graphic.14" ShapeID="_x0000_i1027" DrawAspect="Content" ObjectID="_1479640792" r:id="rId33"/>
        </w:object>
      </w:r>
    </w:p>
    <w:p w:rsidR="00E028C5" w:rsidRPr="00E028C5" w:rsidRDefault="00E028C5" w:rsidP="00E028C5">
      <w:pPr>
        <w:pStyle w:val="Heading2"/>
        <w:rPr>
          <w:lang w:val="es-ES_tradnl"/>
        </w:rPr>
      </w:pPr>
      <w:r w:rsidRPr="00E028C5">
        <w:rPr>
          <w:lang w:val="es-ES_tradnl"/>
        </w:rPr>
        <w:t>2.2</w:t>
      </w:r>
      <w:r w:rsidRPr="00E028C5">
        <w:rPr>
          <w:lang w:val="es-ES_tradnl"/>
        </w:rPr>
        <w:tab/>
        <w:t xml:space="preserve">Características esenciales de la norma de la interfaz radioeléctrica </w:t>
      </w:r>
    </w:p>
    <w:p w:rsidR="00E028C5" w:rsidRPr="00E028C5" w:rsidRDefault="00E028C5" w:rsidP="00E028C5">
      <w:pPr>
        <w:keepNext/>
        <w:keepLines/>
        <w:rPr>
          <w:lang w:val="es-ES_tradnl"/>
        </w:rPr>
      </w:pPr>
      <w:r w:rsidRPr="00E028C5">
        <w:rPr>
          <w:lang w:val="es-ES_tradnl"/>
        </w:rPr>
        <w:t>La norma de la interfaz radioeléctrica proporciona un marco optimizado para la integración de técnicas de gestión de capas PHY/MAC/DLC tales como antenas múltiples avanzadas, factor de carga y modulación adaptativos, atribución dinámica de canales, traspaso antes de interrupción del servicio y control de QoS/GoS. El sistema móvil de banda ancha basado en la norma de la interfaz radioeléctrica ofrece flexibilidad en el despliegue para satisfacer diversos requisitos de cobertura, capacidad y servicio.</w:t>
      </w:r>
    </w:p>
    <w:p w:rsidR="00E028C5" w:rsidRPr="00E028C5" w:rsidRDefault="00E028C5" w:rsidP="00E028C5">
      <w:pPr>
        <w:pStyle w:val="Heading3"/>
        <w:rPr>
          <w:lang w:val="es-ES_tradnl"/>
        </w:rPr>
      </w:pPr>
      <w:r w:rsidRPr="00E028C5">
        <w:rPr>
          <w:lang w:val="es-ES_tradnl"/>
        </w:rPr>
        <w:t>2.2.1</w:t>
      </w:r>
      <w:r w:rsidRPr="00E028C5">
        <w:rPr>
          <w:lang w:val="es-ES_tradnl"/>
        </w:rPr>
        <w:tab/>
        <w:t xml:space="preserve">Técnica de antenas múltiples </w:t>
      </w:r>
    </w:p>
    <w:p w:rsidR="00E028C5" w:rsidRPr="00E028C5" w:rsidRDefault="00E028C5" w:rsidP="00E028C5">
      <w:pPr>
        <w:rPr>
          <w:lang w:val="es-ES_tradnl"/>
        </w:rPr>
      </w:pPr>
      <w:r w:rsidRPr="00E028C5">
        <w:rPr>
          <w:lang w:val="es-ES_tradnl"/>
        </w:rPr>
        <w:t>La estructura de trama DDT/AMDFO-CS permite la aplicación de diversas técnicas de antenas múltiples. La conformación de haces del enlace ascendente y descendente mejora de forma significativa la calidad del enlace y la cobertura, al tiempo que reduce la interferencia entre celdas. La técnica de generación de nulos espaciales permite que el sistema trabaje en condiciones de intensa interferencia. La transmisión de una señal basada en la conformación de haces múltiples mejora la robustez de la comunicación en el enlace descendente.</w:t>
      </w:r>
    </w:p>
    <w:p w:rsidR="00E028C5" w:rsidRPr="00E028C5" w:rsidRDefault="00E028C5" w:rsidP="00E028C5">
      <w:pPr>
        <w:pStyle w:val="Heading3"/>
        <w:rPr>
          <w:lang w:val="es-ES_tradnl"/>
        </w:rPr>
      </w:pPr>
      <w:r w:rsidRPr="00E028C5">
        <w:rPr>
          <w:lang w:val="es-ES_tradnl"/>
        </w:rPr>
        <w:t>2.2.2</w:t>
      </w:r>
      <w:r w:rsidRPr="00E028C5">
        <w:rPr>
          <w:lang w:val="es-ES_tradnl"/>
        </w:rPr>
        <w:tab/>
        <w:t>DDT</w:t>
      </w:r>
    </w:p>
    <w:p w:rsidR="00E028C5" w:rsidRPr="00E028C5" w:rsidRDefault="00E028C5" w:rsidP="00E028C5">
      <w:pPr>
        <w:rPr>
          <w:lang w:val="es-ES_tradnl"/>
        </w:rPr>
      </w:pPr>
      <w:r w:rsidRPr="00E028C5">
        <w:rPr>
          <w:lang w:val="es-ES_tradnl"/>
        </w:rPr>
        <w:t>La estructura de trama DDT/AMDFO-CS permite relaciones de caudal flexibles entre el enlace ascendente y descendente de 1:7, 2:6, 3:5, 4:4, 5:3, 6:2 y 7:1. DDT permite utilizar el espectro no apareado para servicios de acceso de banda ancha. La norma de la interfaz radioeléctrica es inmune a la interferencia entre estaciones base debido a la distancia entre ellas y al mismo tiempo ofrece una cobertura entre estación base y terminal superior a 80 km.</w:t>
      </w:r>
    </w:p>
    <w:p w:rsidR="00E028C5" w:rsidRPr="00E028C5" w:rsidRDefault="00E028C5" w:rsidP="00E028C5">
      <w:pPr>
        <w:pStyle w:val="Heading3"/>
        <w:rPr>
          <w:lang w:val="es-ES_tradnl"/>
        </w:rPr>
      </w:pPr>
      <w:r w:rsidRPr="00E028C5">
        <w:rPr>
          <w:lang w:val="es-ES_tradnl"/>
        </w:rPr>
        <w:lastRenderedPageBreak/>
        <w:t>2.2.3</w:t>
      </w:r>
      <w:r w:rsidRPr="00E028C5">
        <w:rPr>
          <w:lang w:val="es-ES_tradnl"/>
        </w:rPr>
        <w:tab/>
        <w:t xml:space="preserve">Factor de carga y modulación adaptativos </w:t>
      </w:r>
    </w:p>
    <w:p w:rsidR="00E028C5" w:rsidRPr="00E028C5" w:rsidRDefault="00E028C5" w:rsidP="00E028C5">
      <w:pPr>
        <w:rPr>
          <w:lang w:val="es-ES_tradnl"/>
        </w:rPr>
      </w:pPr>
      <w:r w:rsidRPr="00E028C5">
        <w:rPr>
          <w:lang w:val="es-ES_tradnl"/>
        </w:rPr>
        <w:t>La interfaz radioeléctrica soporta los esquemas de modulación siguientes para los enlaces ascendente y descendente: MDP-4, MDP-8, MAQ-16 y MAQ-64. La corrección de errores en recepción (FEC) utiliza una codificación Reed-Solomon acortada (31, 29) con una relación de código fija 96/106. El control de velocidad de cada canal se realiza ajustando conjuntamente el orden de la modulación y el factor de carga del ensanchamiento por código, de acuerdo con la pérdida del trayecto, condiciones del canal, anchura de banda requerida y grado de servicio (GoS) del usuario para que la eficiencia espectral sea óptima en todo el sistema.</w:t>
      </w:r>
    </w:p>
    <w:p w:rsidR="00E028C5" w:rsidRPr="00E028C5" w:rsidRDefault="00E028C5" w:rsidP="00E028C5">
      <w:pPr>
        <w:pStyle w:val="Heading3"/>
        <w:rPr>
          <w:lang w:val="es-ES_tradnl"/>
        </w:rPr>
      </w:pPr>
      <w:bookmarkStart w:id="8" w:name="_Toc204419564"/>
      <w:r w:rsidRPr="00E028C5">
        <w:rPr>
          <w:lang w:val="es-ES_tradnl"/>
        </w:rPr>
        <w:t>2.2.4</w:t>
      </w:r>
      <w:r w:rsidRPr="00E028C5">
        <w:rPr>
          <w:lang w:val="es-ES_tradnl"/>
        </w:rPr>
        <w:tab/>
      </w:r>
      <w:bookmarkEnd w:id="8"/>
      <w:r w:rsidRPr="00E028C5">
        <w:rPr>
          <w:lang w:val="es-ES_tradnl"/>
        </w:rPr>
        <w:t>Atribución dinámica de canales</w:t>
      </w:r>
    </w:p>
    <w:p w:rsidR="00E028C5" w:rsidRPr="00E028C5" w:rsidRDefault="00E028C5" w:rsidP="00E028C5">
      <w:pPr>
        <w:rPr>
          <w:lang w:val="es-ES_tradnl"/>
        </w:rPr>
      </w:pPr>
      <w:r w:rsidRPr="00E028C5">
        <w:rPr>
          <w:lang w:val="es-ES_tradnl"/>
        </w:rPr>
        <w:t>La interfaz radioeléctrica ha incorporado un mecanismo inteligente de detección y evitación de interferencia. La estación base asigna canales a cada terminal en función de la distribución de la interferencia real observada por todos los terminales en los sentidos ascendente y descendente. De esta forma, cada terminal puede establecer una comunicación en todo momento utilizando los subcanales que presentan el menor nivel de interferencia. Esta técnica, combinada con la generación adaptativa de nulos permite el despliegue con un factor de reutilización de frecuencias igual a uno.</w:t>
      </w:r>
    </w:p>
    <w:p w:rsidR="00E028C5" w:rsidRPr="00E028C5" w:rsidRDefault="00E028C5" w:rsidP="00E028C5">
      <w:pPr>
        <w:pStyle w:val="Heading3"/>
        <w:rPr>
          <w:lang w:val="es-ES_tradnl"/>
        </w:rPr>
      </w:pPr>
      <w:bookmarkStart w:id="9" w:name="_Toc204419565"/>
      <w:r w:rsidRPr="00E028C5">
        <w:rPr>
          <w:lang w:val="es-ES_tradnl"/>
        </w:rPr>
        <w:t>2.2.5</w:t>
      </w:r>
      <w:r w:rsidRPr="00E028C5">
        <w:rPr>
          <w:lang w:val="es-ES_tradnl"/>
        </w:rPr>
        <w:tab/>
        <w:t>QoS/GoS</w:t>
      </w:r>
      <w:bookmarkEnd w:id="9"/>
    </w:p>
    <w:p w:rsidR="00E028C5" w:rsidRPr="00E028C5" w:rsidRDefault="00E028C5" w:rsidP="00E028C5">
      <w:pPr>
        <w:rPr>
          <w:lang w:val="es-ES_tradnl"/>
        </w:rPr>
      </w:pPr>
      <w:r w:rsidRPr="00E028C5">
        <w:rPr>
          <w:lang w:val="es-ES_tradnl"/>
        </w:rPr>
        <w:t>La interfaz radioeléctrica proporciona un mecanismo de control de la QoS/GoS que permite satisfacer los requisitos de calidad de diversas clases de servicio. Dicho mecanismo utiliza la adaptación del enlace en función de la QoS, la gestión o programación (</w:t>
      </w:r>
      <w:r w:rsidRPr="00E028C5">
        <w:rPr>
          <w:i/>
          <w:lang w:val="es-ES_tradnl"/>
        </w:rPr>
        <w:t>scheduling</w:t>
      </w:r>
      <w:r w:rsidRPr="00E028C5">
        <w:rPr>
          <w:lang w:val="es-ES_tradnl"/>
        </w:rPr>
        <w:t>) de paquetes y la gestión de la anchura de banda en función del GoS. La interfaz radioeléctrica define ocho niveles de QoS y ocho niveles de GoS.</w:t>
      </w:r>
    </w:p>
    <w:p w:rsidR="00E028C5" w:rsidRPr="00E028C5" w:rsidRDefault="00E028C5" w:rsidP="00E028C5">
      <w:pPr>
        <w:pStyle w:val="Heading3"/>
        <w:rPr>
          <w:lang w:val="es-ES_tradnl"/>
        </w:rPr>
      </w:pPr>
      <w:r w:rsidRPr="00E028C5">
        <w:rPr>
          <w:lang w:val="es-ES_tradnl"/>
        </w:rPr>
        <w:t>2.2.6</w:t>
      </w:r>
      <w:r w:rsidRPr="00E028C5">
        <w:rPr>
          <w:lang w:val="es-ES_tradnl"/>
        </w:rPr>
        <w:tab/>
        <w:t>Movilidad</w:t>
      </w:r>
    </w:p>
    <w:p w:rsidR="00E028C5" w:rsidRPr="00E028C5" w:rsidRDefault="00E028C5" w:rsidP="00E028C5">
      <w:pPr>
        <w:keepNext/>
        <w:keepLines/>
        <w:rPr>
          <w:lang w:val="es-ES_tradnl"/>
        </w:rPr>
      </w:pPr>
      <w:r w:rsidRPr="00E028C5">
        <w:rPr>
          <w:lang w:val="es-ES_tradnl"/>
        </w:rPr>
        <w:t>La estructura de trama DDT/AMDFO-CS permite la asignación dinámica de señales piloto en función de las características de movilidad del terminal. Se asignan más señales pilotos a los subcanales atribuidos a terminales de elevada movilidad para permitir el seguimiento de canales con variaciones rápidas. La interfaz radioeléctrica soporta el traspaso sin corte permitiendo que el terminal se comunique simultáneamente con la estación base a la que está conectado y con la estación base objetivo como forma de verificar la fiabilidad de la conexión antes de la eventual conmutación a la estación base objetivo.</w:t>
      </w:r>
    </w:p>
    <w:p w:rsidR="00E028C5" w:rsidRPr="00E028C5" w:rsidRDefault="00E028C5" w:rsidP="00E028C5">
      <w:pPr>
        <w:pStyle w:val="Reftitle"/>
        <w:keepNext/>
        <w:keepLines/>
        <w:rPr>
          <w:lang w:val="es-ES_tradnl"/>
        </w:rPr>
      </w:pPr>
      <w:r w:rsidRPr="00E028C5">
        <w:rPr>
          <w:lang w:val="es-ES_tradnl"/>
        </w:rPr>
        <w:t>Referencias</w:t>
      </w:r>
    </w:p>
    <w:p w:rsidR="00E028C5" w:rsidRPr="00E028C5" w:rsidRDefault="00E028C5" w:rsidP="00E028C5">
      <w:pPr>
        <w:rPr>
          <w:lang w:val="es-ES_tradnl"/>
        </w:rPr>
      </w:pPr>
      <w:r w:rsidRPr="00E028C5">
        <w:rPr>
          <w:lang w:val="es-ES_tradnl"/>
        </w:rPr>
        <w:t>Los requisitos técnicos de la interfaz aérea del sistema de acceso inalámbrico de banda ancha AMDCE (YD/T 1956</w:t>
      </w:r>
      <w:r w:rsidRPr="00E028C5">
        <w:rPr>
          <w:lang w:val="es-ES_tradnl"/>
        </w:rPr>
        <w:noBreakHyphen/>
        <w:t>2009) pueden encontrarse en:</w:t>
      </w:r>
    </w:p>
    <w:p w:rsidR="00E028C5" w:rsidRDefault="00E028C5" w:rsidP="00E028C5">
      <w:pPr>
        <w:rPr>
          <w:rStyle w:val="Hyperlink"/>
          <w:szCs w:val="24"/>
          <w:lang w:val="es-ES_tradnl"/>
        </w:rPr>
      </w:pPr>
      <w:r w:rsidRPr="00E028C5">
        <w:rPr>
          <w:lang w:val="es-ES_tradnl"/>
        </w:rPr>
        <w:tab/>
      </w:r>
      <w:hyperlink r:id="rId34" w:history="1">
        <w:r w:rsidRPr="00E028C5">
          <w:rPr>
            <w:rStyle w:val="Hyperlink"/>
            <w:szCs w:val="24"/>
            <w:lang w:val="es-ES_tradnl"/>
          </w:rPr>
          <w:t>http://www.ccsa.org.cn/worknews/content.php3?id=2393</w:t>
        </w:r>
      </w:hyperlink>
      <w:r w:rsidRPr="00E028C5">
        <w:rPr>
          <w:rStyle w:val="Hyperlink"/>
          <w:szCs w:val="24"/>
          <w:lang w:val="es-ES_tradnl"/>
        </w:rPr>
        <w:t>.</w:t>
      </w:r>
    </w:p>
    <w:p w:rsidR="00D131F9" w:rsidRDefault="00D131F9" w:rsidP="00D131F9">
      <w:pPr>
        <w:rPr>
          <w:lang w:val="es-ES_tradnl"/>
        </w:rPr>
      </w:pPr>
    </w:p>
    <w:p w:rsidR="003D2CCD" w:rsidRDefault="003D2CCD" w:rsidP="003D2CCD">
      <w:pPr>
        <w:spacing w:before="0"/>
        <w:rPr>
          <w:lang w:val="es-ES_tradnl"/>
        </w:rPr>
      </w:pPr>
    </w:p>
    <w:p w:rsidR="00BC5A15" w:rsidRPr="00E028C5" w:rsidRDefault="00BC5A15" w:rsidP="003D2CCD">
      <w:pPr>
        <w:spacing w:before="0"/>
        <w:rPr>
          <w:lang w:val="es-ES_tradnl"/>
        </w:rPr>
      </w:pPr>
    </w:p>
    <w:p w:rsidR="00E028C5" w:rsidRPr="00E028C5" w:rsidRDefault="00E028C5" w:rsidP="00E028C5">
      <w:pPr>
        <w:pStyle w:val="AnnexNoTitle"/>
        <w:spacing w:before="240"/>
        <w:rPr>
          <w:bCs/>
          <w:lang w:val="es-ES_tradnl"/>
        </w:rPr>
      </w:pPr>
      <w:r w:rsidRPr="00E028C5">
        <w:rPr>
          <w:lang w:val="es-ES_tradnl"/>
        </w:rPr>
        <w:t>Anexo 9</w:t>
      </w:r>
      <w:r w:rsidRPr="00E028C5">
        <w:rPr>
          <w:lang w:val="es-ES_tradnl"/>
        </w:rPr>
        <w:br/>
      </w:r>
      <w:r w:rsidRPr="00E028C5">
        <w:rPr>
          <w:lang w:val="es-ES_tradnl"/>
        </w:rPr>
        <w:br/>
      </w:r>
      <w:r w:rsidRPr="00E028C5">
        <w:rPr>
          <w:bCs/>
          <w:lang w:val="es-ES_tradnl"/>
        </w:rPr>
        <w:t>Características fundamentales de las normas</w:t>
      </w:r>
    </w:p>
    <w:p w:rsidR="00E028C5" w:rsidRDefault="00E028C5" w:rsidP="00D131F9">
      <w:pPr>
        <w:pStyle w:val="Normalaftertitle"/>
        <w:rPr>
          <w:lang w:val="es-ES_tradnl"/>
        </w:rPr>
      </w:pPr>
      <w:r w:rsidRPr="00E028C5">
        <w:rPr>
          <w:lang w:val="es-ES_tradnl"/>
        </w:rPr>
        <w:t>El Cuadro 5 proporciona un resumen de las características fundamentales de cada norma.</w:t>
      </w:r>
    </w:p>
    <w:p w:rsidR="00E028C5" w:rsidRPr="00E028C5" w:rsidRDefault="00E028C5" w:rsidP="00E028C5">
      <w:pPr>
        <w:rPr>
          <w:lang w:val="es-ES_tradnl"/>
        </w:rPr>
        <w:sectPr w:rsidR="00E028C5" w:rsidRPr="00E028C5" w:rsidSect="00253A39">
          <w:headerReference w:type="even" r:id="rId35"/>
          <w:headerReference w:type="default" r:id="rId36"/>
          <w:footerReference w:type="default" r:id="rId37"/>
          <w:pgSz w:w="11907" w:h="16834" w:code="9"/>
          <w:pgMar w:top="1418" w:right="1134" w:bottom="1134" w:left="1134" w:header="720" w:footer="482" w:gutter="0"/>
          <w:paperSrc w:first="4" w:other="4"/>
          <w:pgNumType w:start="1"/>
          <w:cols w:space="720"/>
        </w:sectPr>
      </w:pPr>
    </w:p>
    <w:p w:rsidR="00253A39" w:rsidRPr="00BE3323" w:rsidRDefault="00253A39" w:rsidP="00253A39">
      <w:pPr>
        <w:pStyle w:val="TableNo"/>
      </w:pPr>
      <w:r w:rsidRPr="00BE3323">
        <w:lastRenderedPageBreak/>
        <w:t>CUADRO 5</w:t>
      </w:r>
    </w:p>
    <w:p w:rsidR="00253A39" w:rsidRPr="00BE3323" w:rsidRDefault="00253A39" w:rsidP="00253A39">
      <w:pPr>
        <w:pStyle w:val="Tabletitle"/>
      </w:pPr>
      <w:r w:rsidRPr="00BE3323">
        <w:t>Parámetros técnicos fundamentales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800"/>
        <w:gridCol w:w="2160"/>
        <w:gridCol w:w="1126"/>
        <w:gridCol w:w="1465"/>
        <w:gridCol w:w="942"/>
        <w:gridCol w:w="981"/>
        <w:gridCol w:w="1033"/>
        <w:gridCol w:w="981"/>
        <w:gridCol w:w="1378"/>
        <w:gridCol w:w="1064"/>
      </w:tblGrid>
      <w:tr w:rsidR="00253A39" w:rsidRPr="00DA2419" w:rsidTr="00253A39">
        <w:trPr>
          <w:cantSplit/>
          <w:jc w:val="center"/>
        </w:trPr>
        <w:tc>
          <w:tcPr>
            <w:tcW w:w="1529"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Norma</w:t>
            </w:r>
          </w:p>
        </w:tc>
        <w:tc>
          <w:tcPr>
            <w:tcW w:w="1800"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0" w:type="dxa"/>
            <w:tcMar>
              <w:left w:w="57" w:type="dxa"/>
              <w:right w:w="57" w:type="dxa"/>
            </w:tcMar>
            <w:vAlign w:val="center"/>
          </w:tcPr>
          <w:p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Soporte de codificación</w:t>
            </w:r>
          </w:p>
        </w:tc>
        <w:tc>
          <w:tcPr>
            <w:tcW w:w="1465"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Soporta MIMO (sí/no)</w:t>
            </w:r>
          </w:p>
        </w:tc>
        <w:tc>
          <w:tcPr>
            <w:tcW w:w="1033"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 dúplex</w:t>
            </w:r>
          </w:p>
        </w:tc>
        <w:tc>
          <w:tcPr>
            <w:tcW w:w="981"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378"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rsidTr="00253A39">
        <w:trPr>
          <w:cantSplit/>
          <w:jc w:val="center"/>
        </w:trPr>
        <w:tc>
          <w:tcPr>
            <w:tcW w:w="1529" w:type="dxa"/>
          </w:tcPr>
          <w:p w:rsidR="00253A39" w:rsidRPr="009967E4" w:rsidRDefault="00253A39" w:rsidP="00D131F9">
            <w:pPr>
              <w:pStyle w:val="Tabletext"/>
              <w:jc w:val="left"/>
              <w:rPr>
                <w:sz w:val="18"/>
                <w:szCs w:val="18"/>
                <w:lang w:val="en-US"/>
              </w:rPr>
            </w:pPr>
            <w:r w:rsidRPr="009967E4">
              <w:rPr>
                <w:sz w:val="18"/>
                <w:szCs w:val="18"/>
                <w:lang w:val="en-US"/>
              </w:rPr>
              <w:t>IEEE 802.16 WirelessMAN /</w:t>
            </w:r>
            <w:r w:rsidRPr="009967E4">
              <w:rPr>
                <w:sz w:val="18"/>
                <w:szCs w:val="18"/>
                <w:lang w:val="en-US"/>
              </w:rPr>
              <w:br/>
              <w:t>ETSI HiperMAN</w:t>
            </w:r>
            <w:r w:rsidRPr="009967E4">
              <w:rPr>
                <w:sz w:val="18"/>
                <w:szCs w:val="18"/>
                <w:lang w:val="en-US"/>
              </w:rPr>
              <w:br/>
              <w:t>(Anexo 4)</w:t>
            </w:r>
          </w:p>
        </w:tc>
        <w:tc>
          <w:tcPr>
            <w:tcW w:w="1800" w:type="dxa"/>
          </w:tcPr>
          <w:p w:rsidR="00253A39" w:rsidRPr="00253A39" w:rsidRDefault="00253A39" w:rsidP="00D131F9">
            <w:pPr>
              <w:pStyle w:val="Tabletext"/>
              <w:jc w:val="left"/>
              <w:rPr>
                <w:sz w:val="18"/>
                <w:szCs w:val="18"/>
                <w:lang w:val="es-ES_tradnl"/>
              </w:rPr>
            </w:pPr>
            <w:r w:rsidRPr="00253A39">
              <w:rPr>
                <w:sz w:val="18"/>
                <w:szCs w:val="18"/>
                <w:lang w:val="es-ES_tradnl"/>
              </w:rPr>
              <w:t>Flexible desde 1,25 MHz hasta 28 MHz</w:t>
            </w:r>
          </w:p>
          <w:p w:rsidR="00253A39" w:rsidRPr="00253A39" w:rsidRDefault="00253A39" w:rsidP="00D131F9">
            <w:pPr>
              <w:pStyle w:val="Tabletext"/>
              <w:jc w:val="left"/>
              <w:rPr>
                <w:sz w:val="18"/>
                <w:szCs w:val="18"/>
                <w:lang w:val="es-ES_tradnl"/>
              </w:rPr>
            </w:pPr>
            <w:r w:rsidRPr="00253A39">
              <w:rPr>
                <w:sz w:val="18"/>
                <w:szCs w:val="18"/>
                <w:lang w:val="es-ES_tradnl"/>
              </w:rPr>
              <w:t>Anchuras de banda típicas:</w:t>
            </w:r>
            <w:r w:rsidRPr="00253A39">
              <w:rPr>
                <w:sz w:val="18"/>
                <w:szCs w:val="18"/>
                <w:lang w:val="es-ES_tradnl"/>
              </w:rPr>
              <w:br/>
              <w:t xml:space="preserve">3,5; </w:t>
            </w:r>
            <w:r w:rsidRPr="00253A39">
              <w:rPr>
                <w:sz w:val="18"/>
                <w:szCs w:val="18"/>
                <w:lang w:val="es-ES_tradnl"/>
              </w:rPr>
              <w:br/>
              <w:t>5;</w:t>
            </w:r>
            <w:r w:rsidRPr="00253A39">
              <w:rPr>
                <w:sz w:val="18"/>
                <w:szCs w:val="18"/>
                <w:lang w:val="es-ES_tradnl"/>
              </w:rPr>
              <w:br/>
              <w:t>7;</w:t>
            </w:r>
            <w:r w:rsidRPr="00253A39">
              <w:rPr>
                <w:sz w:val="18"/>
                <w:szCs w:val="18"/>
                <w:lang w:val="es-ES_tradnl"/>
              </w:rPr>
              <w:br/>
              <w:t>8,75;</w:t>
            </w:r>
            <w:r w:rsidRPr="00253A39">
              <w:rPr>
                <w:sz w:val="18"/>
                <w:szCs w:val="18"/>
                <w:lang w:val="es-ES_tradnl"/>
              </w:rPr>
              <w:br/>
              <w:t>10 y</w:t>
            </w:r>
            <w:r w:rsidRPr="00253A39">
              <w:rPr>
                <w:sz w:val="18"/>
                <w:szCs w:val="18"/>
                <w:lang w:val="es-ES_tradnl"/>
              </w:rPr>
              <w:br/>
              <w:t>20 MHz</w:t>
            </w:r>
          </w:p>
        </w:tc>
        <w:tc>
          <w:tcPr>
            <w:tcW w:w="2160" w:type="dxa"/>
          </w:tcPr>
          <w:p w:rsidR="00253A39" w:rsidRPr="00BE3323" w:rsidRDefault="00253A39" w:rsidP="00D131F9">
            <w:pPr>
              <w:pStyle w:val="Tabletext"/>
              <w:jc w:val="left"/>
              <w:rPr>
                <w:sz w:val="18"/>
                <w:szCs w:val="18"/>
              </w:rPr>
            </w:pPr>
            <w:r w:rsidRPr="00BE3323">
              <w:rPr>
                <w:sz w:val="18"/>
                <w:szCs w:val="18"/>
              </w:rPr>
              <w:t>Ascendente:</w:t>
            </w:r>
            <w:r w:rsidRPr="00BE3323">
              <w:rPr>
                <w:sz w:val="18"/>
                <w:szCs w:val="18"/>
              </w:rPr>
              <w:br/>
              <w:t>–</w:t>
            </w:r>
            <w:r w:rsidRPr="00BE3323">
              <w:rPr>
                <w:sz w:val="18"/>
                <w:szCs w:val="18"/>
              </w:rPr>
              <w:tab/>
              <w:t>MDPQ-1/2, 3/4</w:t>
            </w:r>
            <w:r w:rsidRPr="00BE3323">
              <w:rPr>
                <w:sz w:val="18"/>
                <w:szCs w:val="18"/>
              </w:rPr>
              <w:br/>
              <w:t>–</w:t>
            </w:r>
            <w:r w:rsidRPr="00BE3323">
              <w:rPr>
                <w:sz w:val="18"/>
                <w:szCs w:val="18"/>
              </w:rPr>
              <w:tab/>
              <w:t xml:space="preserve">MAQ-16-1/2, 3/4 </w:t>
            </w:r>
            <w:r w:rsidRPr="00BE3323">
              <w:rPr>
                <w:sz w:val="18"/>
                <w:szCs w:val="18"/>
              </w:rPr>
              <w:br/>
              <w:t>–</w:t>
            </w:r>
            <w:r w:rsidRPr="00BE3323">
              <w:rPr>
                <w:sz w:val="18"/>
                <w:szCs w:val="18"/>
              </w:rPr>
              <w:tab/>
              <w:t xml:space="preserve">MAQ-64-1/2, 2/3, </w:t>
            </w:r>
            <w:r w:rsidRPr="00BE3323">
              <w:rPr>
                <w:sz w:val="18"/>
                <w:szCs w:val="18"/>
              </w:rPr>
              <w:tab/>
              <w:t>3/4, 5/6</w:t>
            </w:r>
          </w:p>
          <w:p w:rsidR="00253A39" w:rsidRPr="00BE3323" w:rsidRDefault="00253A39" w:rsidP="00D131F9">
            <w:pPr>
              <w:pStyle w:val="Tabletext"/>
              <w:jc w:val="left"/>
              <w:rPr>
                <w:sz w:val="18"/>
                <w:szCs w:val="18"/>
              </w:rPr>
            </w:pPr>
            <w:r w:rsidRPr="00BE3323">
              <w:rPr>
                <w:sz w:val="18"/>
                <w:szCs w:val="18"/>
              </w:rPr>
              <w:t>Descendente:</w:t>
            </w:r>
            <w:r w:rsidRPr="00BE3323">
              <w:rPr>
                <w:sz w:val="18"/>
                <w:szCs w:val="18"/>
              </w:rPr>
              <w:br/>
              <w:t>–</w:t>
            </w:r>
            <w:r w:rsidRPr="00BE3323">
              <w:rPr>
                <w:sz w:val="18"/>
                <w:szCs w:val="18"/>
              </w:rPr>
              <w:tab/>
              <w:t>MDP-4-1/2, 3/4</w:t>
            </w:r>
            <w:r w:rsidRPr="00BE3323">
              <w:rPr>
                <w:sz w:val="18"/>
                <w:szCs w:val="18"/>
              </w:rPr>
              <w:br/>
              <w:t>–</w:t>
            </w:r>
            <w:r w:rsidRPr="00BE3323">
              <w:rPr>
                <w:sz w:val="18"/>
                <w:szCs w:val="18"/>
              </w:rPr>
              <w:tab/>
              <w:t xml:space="preserve">MAQ-16-1/2, 3/4 </w:t>
            </w:r>
            <w:r w:rsidRPr="00BE3323">
              <w:rPr>
                <w:sz w:val="18"/>
                <w:szCs w:val="18"/>
              </w:rPr>
              <w:br/>
              <w:t>–</w:t>
            </w:r>
            <w:r w:rsidRPr="00BE3323">
              <w:rPr>
                <w:sz w:val="18"/>
                <w:szCs w:val="18"/>
              </w:rPr>
              <w:tab/>
              <w:t xml:space="preserve">MAQ-64-1/2, 2/3, 3/4, </w:t>
            </w:r>
            <w:r w:rsidRPr="00BE3323">
              <w:rPr>
                <w:sz w:val="18"/>
                <w:szCs w:val="18"/>
              </w:rPr>
              <w:tab/>
              <w:t>5/6</w:t>
            </w:r>
          </w:p>
        </w:tc>
        <w:tc>
          <w:tcPr>
            <w:tcW w:w="1126" w:type="dxa"/>
          </w:tcPr>
          <w:p w:rsidR="00253A39" w:rsidRPr="00253A39" w:rsidRDefault="00253A39" w:rsidP="00D131F9">
            <w:pPr>
              <w:pStyle w:val="Tabletext"/>
              <w:jc w:val="left"/>
              <w:rPr>
                <w:sz w:val="18"/>
                <w:szCs w:val="18"/>
                <w:lang w:val="es-ES_tradnl"/>
              </w:rPr>
            </w:pPr>
            <w:r w:rsidRPr="00253A39">
              <w:rPr>
                <w:sz w:val="18"/>
                <w:szCs w:val="18"/>
                <w:lang w:val="es-ES_tradnl"/>
              </w:rPr>
              <w:t>CC/CTC</w:t>
            </w:r>
            <w:r w:rsidRPr="00253A39">
              <w:rPr>
                <w:sz w:val="18"/>
                <w:szCs w:val="18"/>
                <w:lang w:val="es-ES_tradnl"/>
              </w:rPr>
              <w:br/>
              <w:t>Otras opciones:</w:t>
            </w:r>
            <w:r w:rsidRPr="00253A39">
              <w:rPr>
                <w:sz w:val="18"/>
                <w:szCs w:val="18"/>
                <w:lang w:val="es-ES_tradnl"/>
              </w:rPr>
              <w:br/>
              <w:t>BTC/LDPC</w:t>
            </w:r>
          </w:p>
        </w:tc>
        <w:tc>
          <w:tcPr>
            <w:tcW w:w="1465" w:type="dxa"/>
          </w:tcPr>
          <w:p w:rsidR="00253A39" w:rsidRPr="00253A39" w:rsidRDefault="00253A39" w:rsidP="00D131F9">
            <w:pPr>
              <w:pStyle w:val="Tabletext"/>
              <w:jc w:val="left"/>
              <w:rPr>
                <w:sz w:val="18"/>
                <w:szCs w:val="18"/>
                <w:lang w:val="es-ES_tradnl"/>
              </w:rPr>
            </w:pPr>
            <w:r w:rsidRPr="00253A39">
              <w:rPr>
                <w:sz w:val="18"/>
                <w:szCs w:val="18"/>
                <w:lang w:val="es-ES_tradnl"/>
              </w:rPr>
              <w:t>Hasta 17,5 Mbit/s con SISO</w:t>
            </w:r>
          </w:p>
          <w:p w:rsidR="00253A39" w:rsidRPr="00253A39" w:rsidRDefault="00253A39" w:rsidP="00D131F9">
            <w:pPr>
              <w:pStyle w:val="Tabletext"/>
              <w:jc w:val="left"/>
              <w:rPr>
                <w:sz w:val="18"/>
                <w:szCs w:val="18"/>
                <w:lang w:val="es-ES_tradnl"/>
              </w:rPr>
            </w:pPr>
            <w:r w:rsidRPr="00253A39">
              <w:rPr>
                <w:sz w:val="18"/>
                <w:szCs w:val="18"/>
                <w:lang w:val="es-ES_tradnl"/>
              </w:rPr>
              <w:t>Hasta 35 Mbit/s con (2 × 2) MIMO</w:t>
            </w:r>
          </w:p>
          <w:p w:rsidR="00253A39" w:rsidRPr="00253A39" w:rsidRDefault="00253A39" w:rsidP="00D131F9">
            <w:pPr>
              <w:pStyle w:val="Tabletext"/>
              <w:jc w:val="left"/>
              <w:rPr>
                <w:sz w:val="18"/>
                <w:szCs w:val="18"/>
                <w:lang w:val="es-ES_tradnl"/>
              </w:rPr>
            </w:pPr>
            <w:r w:rsidRPr="00253A39">
              <w:rPr>
                <w:sz w:val="18"/>
                <w:szCs w:val="18"/>
                <w:lang w:val="es-ES_tradnl"/>
              </w:rPr>
              <w:t>Hasta 70 Mbit/s con (4 × 4) MIMO</w:t>
            </w:r>
          </w:p>
        </w:tc>
        <w:tc>
          <w:tcPr>
            <w:tcW w:w="942" w:type="dxa"/>
          </w:tcPr>
          <w:p w:rsidR="00253A39" w:rsidRPr="00BE3323" w:rsidRDefault="00253A39" w:rsidP="00D131F9">
            <w:pPr>
              <w:pStyle w:val="Tabletext"/>
              <w:jc w:val="left"/>
              <w:rPr>
                <w:sz w:val="18"/>
                <w:szCs w:val="18"/>
              </w:rPr>
            </w:pPr>
            <w:r w:rsidRPr="00BE3323">
              <w:rPr>
                <w:sz w:val="18"/>
                <w:szCs w:val="18"/>
              </w:rPr>
              <w:t>Sí</w:t>
            </w:r>
          </w:p>
        </w:tc>
        <w:tc>
          <w:tcPr>
            <w:tcW w:w="981" w:type="dxa"/>
          </w:tcPr>
          <w:p w:rsidR="00253A39" w:rsidRPr="00BE3323" w:rsidRDefault="00253A39" w:rsidP="00D131F9">
            <w:pPr>
              <w:pStyle w:val="Tabletext"/>
              <w:jc w:val="left"/>
              <w:rPr>
                <w:sz w:val="18"/>
                <w:szCs w:val="18"/>
              </w:rPr>
            </w:pPr>
            <w:r w:rsidRPr="00BE3323">
              <w:rPr>
                <w:sz w:val="18"/>
                <w:szCs w:val="18"/>
              </w:rPr>
              <w:t>Sí</w:t>
            </w:r>
          </w:p>
        </w:tc>
        <w:tc>
          <w:tcPr>
            <w:tcW w:w="1033" w:type="dxa"/>
          </w:tcPr>
          <w:p w:rsidR="00253A39" w:rsidRPr="00BE3323" w:rsidRDefault="00253A39" w:rsidP="00D131F9">
            <w:pPr>
              <w:pStyle w:val="Tabletext"/>
              <w:jc w:val="left"/>
              <w:rPr>
                <w:sz w:val="18"/>
                <w:szCs w:val="18"/>
              </w:rPr>
            </w:pPr>
            <w:r w:rsidRPr="00BE3323">
              <w:rPr>
                <w:sz w:val="18"/>
                <w:szCs w:val="18"/>
              </w:rPr>
              <w:t>DDT/</w:t>
            </w:r>
            <w:r w:rsidRPr="00BE3323">
              <w:rPr>
                <w:sz w:val="18"/>
                <w:szCs w:val="18"/>
              </w:rPr>
              <w:br/>
              <w:t>DDF/</w:t>
            </w:r>
            <w:r w:rsidRPr="00BE3323">
              <w:rPr>
                <w:sz w:val="18"/>
                <w:szCs w:val="18"/>
              </w:rPr>
              <w:br/>
              <w:t>HFDD</w:t>
            </w:r>
          </w:p>
        </w:tc>
        <w:tc>
          <w:tcPr>
            <w:tcW w:w="981" w:type="dxa"/>
          </w:tcPr>
          <w:p w:rsidR="00253A39" w:rsidRPr="00BE3323" w:rsidRDefault="00253A39" w:rsidP="00D131F9">
            <w:pPr>
              <w:pStyle w:val="Tabletext"/>
              <w:jc w:val="left"/>
              <w:rPr>
                <w:sz w:val="18"/>
                <w:szCs w:val="18"/>
              </w:rPr>
            </w:pPr>
            <w:r w:rsidRPr="00BE3323">
              <w:rPr>
                <w:sz w:val="18"/>
                <w:szCs w:val="18"/>
              </w:rPr>
              <w:t>AMDFO</w:t>
            </w:r>
            <w:r w:rsidRPr="00BE3323">
              <w:rPr>
                <w:sz w:val="18"/>
                <w:szCs w:val="18"/>
              </w:rPr>
              <w:br/>
              <w:t>AMDT</w:t>
            </w:r>
          </w:p>
        </w:tc>
        <w:tc>
          <w:tcPr>
            <w:tcW w:w="1378" w:type="dxa"/>
          </w:tcPr>
          <w:p w:rsidR="00253A39" w:rsidRPr="00253A39" w:rsidRDefault="00253A39" w:rsidP="00D131F9">
            <w:pPr>
              <w:pStyle w:val="Tabletext"/>
              <w:jc w:val="left"/>
              <w:rPr>
                <w:sz w:val="18"/>
                <w:szCs w:val="18"/>
                <w:lang w:val="es-ES_tradnl"/>
              </w:rPr>
            </w:pPr>
            <w:r w:rsidRPr="00253A39">
              <w:rPr>
                <w:sz w:val="18"/>
                <w:szCs w:val="18"/>
                <w:lang w:val="es-ES_tradnl"/>
              </w:rPr>
              <w:t>5 ms</w:t>
            </w:r>
            <w:r w:rsidRPr="00253A39">
              <w:rPr>
                <w:sz w:val="18"/>
                <w:szCs w:val="18"/>
                <w:lang w:val="es-ES_tradnl"/>
              </w:rPr>
              <w:br/>
              <w:t>Otras opciones: 2; 2,5; 4; 8; 10; 12,5 y 20 ms</w:t>
            </w:r>
          </w:p>
        </w:tc>
        <w:tc>
          <w:tcPr>
            <w:tcW w:w="1064" w:type="dxa"/>
          </w:tcPr>
          <w:p w:rsidR="00253A39" w:rsidRPr="00BE3323" w:rsidRDefault="00253A39" w:rsidP="00D131F9">
            <w:pPr>
              <w:pStyle w:val="Tabletext"/>
              <w:jc w:val="left"/>
              <w:rPr>
                <w:sz w:val="18"/>
                <w:szCs w:val="18"/>
              </w:rPr>
            </w:pPr>
            <w:r w:rsidRPr="00BE3323">
              <w:rPr>
                <w:sz w:val="18"/>
                <w:szCs w:val="18"/>
              </w:rPr>
              <w:t>Móvil</w:t>
            </w:r>
          </w:p>
          <w:p w:rsidR="00253A39" w:rsidRPr="00BE3323" w:rsidRDefault="00253A39" w:rsidP="00D131F9">
            <w:pPr>
              <w:pStyle w:val="Tabletext"/>
              <w:jc w:val="left"/>
              <w:rPr>
                <w:sz w:val="18"/>
                <w:szCs w:val="18"/>
              </w:rPr>
            </w:pPr>
          </w:p>
        </w:tc>
      </w:tr>
      <w:tr w:rsidR="00253A39" w:rsidRPr="00BE3323" w:rsidTr="00253A39">
        <w:trPr>
          <w:cantSplit/>
          <w:jc w:val="center"/>
        </w:trPr>
        <w:tc>
          <w:tcPr>
            <w:tcW w:w="1529" w:type="dxa"/>
          </w:tcPr>
          <w:p w:rsidR="00253A39" w:rsidRPr="00253A39" w:rsidRDefault="00253A39" w:rsidP="00D131F9">
            <w:pPr>
              <w:pStyle w:val="Tabletext"/>
              <w:jc w:val="left"/>
              <w:rPr>
                <w:sz w:val="18"/>
                <w:szCs w:val="18"/>
                <w:lang w:val="es-ES_tradnl"/>
              </w:rPr>
            </w:pPr>
            <w:r w:rsidRPr="00253A39">
              <w:rPr>
                <w:sz w:val="18"/>
                <w:szCs w:val="18"/>
                <w:lang w:val="es-ES_tradnl"/>
              </w:rPr>
              <w:t>ATIS-0700004.2005 acceso múltiple por división espacial de alta capacidad</w:t>
            </w:r>
            <w:r w:rsidRPr="00253A39">
              <w:rPr>
                <w:sz w:val="18"/>
                <w:szCs w:val="18"/>
                <w:lang w:val="es-ES_tradnl"/>
              </w:rPr>
              <w:br/>
              <w:t xml:space="preserve">(AMDE-AC) </w:t>
            </w:r>
            <w:r w:rsidRPr="00253A39">
              <w:rPr>
                <w:sz w:val="18"/>
                <w:szCs w:val="18"/>
                <w:lang w:val="es-ES_tradnl"/>
              </w:rPr>
              <w:br/>
              <w:t>(Anexo 5)</w:t>
            </w:r>
          </w:p>
        </w:tc>
        <w:tc>
          <w:tcPr>
            <w:tcW w:w="1800" w:type="dxa"/>
          </w:tcPr>
          <w:p w:rsidR="00253A39" w:rsidRPr="00BE3323" w:rsidRDefault="00253A39" w:rsidP="00D131F9">
            <w:pPr>
              <w:pStyle w:val="Tabletext"/>
              <w:jc w:val="left"/>
              <w:rPr>
                <w:sz w:val="18"/>
                <w:szCs w:val="18"/>
              </w:rPr>
            </w:pPr>
            <w:r w:rsidRPr="00BE3323">
              <w:rPr>
                <w:sz w:val="18"/>
                <w:szCs w:val="18"/>
              </w:rPr>
              <w:t>0,625 MHz</w:t>
            </w:r>
          </w:p>
        </w:tc>
        <w:tc>
          <w:tcPr>
            <w:tcW w:w="2160" w:type="dxa"/>
          </w:tcPr>
          <w:p w:rsidR="00253A39" w:rsidRPr="00BE3323" w:rsidRDefault="00253A39" w:rsidP="00D131F9">
            <w:pPr>
              <w:pStyle w:val="Tabletext"/>
              <w:jc w:val="left"/>
              <w:rPr>
                <w:sz w:val="18"/>
                <w:szCs w:val="18"/>
              </w:rPr>
            </w:pPr>
            <w:r w:rsidRPr="00BE3323">
              <w:rPr>
                <w:sz w:val="18"/>
                <w:szCs w:val="18"/>
              </w:rPr>
              <w:t>Ascendente:</w:t>
            </w:r>
            <w:r w:rsidRPr="00BE3323">
              <w:rPr>
                <w:sz w:val="18"/>
                <w:szCs w:val="18"/>
              </w:rPr>
              <w:br/>
              <w:t>–</w:t>
            </w:r>
            <w:r w:rsidRPr="00BE3323">
              <w:rPr>
                <w:sz w:val="18"/>
                <w:szCs w:val="18"/>
              </w:rPr>
              <w:tab/>
              <w:t xml:space="preserve">MDP-2, MDP-4, </w:t>
            </w:r>
            <w:r w:rsidRPr="00BE3323">
              <w:rPr>
                <w:sz w:val="18"/>
                <w:szCs w:val="18"/>
              </w:rPr>
              <w:tab/>
              <w:t>MDP</w:t>
            </w:r>
            <w:r w:rsidRPr="00BE3323">
              <w:rPr>
                <w:sz w:val="18"/>
                <w:szCs w:val="18"/>
              </w:rPr>
              <w:noBreakHyphen/>
              <w:t xml:space="preserve">8, MAQ-12, </w:t>
            </w:r>
            <w:r w:rsidRPr="00BE3323">
              <w:rPr>
                <w:sz w:val="18"/>
                <w:szCs w:val="18"/>
              </w:rPr>
              <w:tab/>
              <w:t>MAQ</w:t>
            </w:r>
            <w:r w:rsidRPr="00BE3323">
              <w:rPr>
                <w:sz w:val="18"/>
                <w:szCs w:val="18"/>
              </w:rPr>
              <w:noBreakHyphen/>
              <w:t>16 3/4</w:t>
            </w:r>
          </w:p>
          <w:p w:rsidR="00253A39" w:rsidRPr="00BE3323" w:rsidRDefault="00253A39" w:rsidP="00D131F9">
            <w:pPr>
              <w:pStyle w:val="Tabletext"/>
              <w:jc w:val="left"/>
              <w:rPr>
                <w:sz w:val="18"/>
                <w:szCs w:val="18"/>
              </w:rPr>
            </w:pPr>
            <w:r w:rsidRPr="00BE3323">
              <w:rPr>
                <w:sz w:val="18"/>
                <w:szCs w:val="18"/>
              </w:rPr>
              <w:t>Descendente:</w:t>
            </w:r>
            <w:r w:rsidRPr="00BE3323">
              <w:rPr>
                <w:sz w:val="18"/>
                <w:szCs w:val="18"/>
              </w:rPr>
              <w:br/>
              <w:t>–</w:t>
            </w:r>
            <w:r w:rsidRPr="00BE3323">
              <w:rPr>
                <w:sz w:val="18"/>
                <w:szCs w:val="18"/>
              </w:rPr>
              <w:tab/>
              <w:t xml:space="preserve">MDP-2, MDP-4, </w:t>
            </w:r>
            <w:r w:rsidRPr="00BE3323">
              <w:rPr>
                <w:sz w:val="18"/>
                <w:szCs w:val="18"/>
              </w:rPr>
              <w:tab/>
              <w:t>MDP</w:t>
            </w:r>
            <w:r w:rsidRPr="00BE3323">
              <w:rPr>
                <w:sz w:val="18"/>
                <w:szCs w:val="18"/>
              </w:rPr>
              <w:noBreakHyphen/>
              <w:t xml:space="preserve">8, MAQ-12, </w:t>
            </w:r>
            <w:r w:rsidRPr="00BE3323">
              <w:rPr>
                <w:sz w:val="18"/>
                <w:szCs w:val="18"/>
              </w:rPr>
              <w:tab/>
              <w:t>MAQ</w:t>
            </w:r>
            <w:r w:rsidRPr="00BE3323">
              <w:rPr>
                <w:sz w:val="18"/>
                <w:szCs w:val="18"/>
              </w:rPr>
              <w:noBreakHyphen/>
              <w:t xml:space="preserve">16, </w:t>
            </w:r>
            <w:r w:rsidRPr="00BE3323">
              <w:rPr>
                <w:sz w:val="18"/>
                <w:szCs w:val="18"/>
              </w:rPr>
              <w:br/>
            </w:r>
            <w:r w:rsidRPr="00BE3323">
              <w:rPr>
                <w:sz w:val="18"/>
                <w:szCs w:val="18"/>
              </w:rPr>
              <w:tab/>
              <w:t>MAQ-24 8/9</w:t>
            </w:r>
          </w:p>
        </w:tc>
        <w:tc>
          <w:tcPr>
            <w:tcW w:w="1126" w:type="dxa"/>
          </w:tcPr>
          <w:p w:rsidR="00253A39" w:rsidRPr="00253A39" w:rsidRDefault="00253A39" w:rsidP="00D131F9">
            <w:pPr>
              <w:pStyle w:val="Tabletext"/>
              <w:jc w:val="left"/>
              <w:rPr>
                <w:sz w:val="18"/>
                <w:szCs w:val="18"/>
                <w:lang w:val="es-ES_tradnl"/>
              </w:rPr>
            </w:pPr>
            <w:r w:rsidRPr="00253A39">
              <w:rPr>
                <w:sz w:val="18"/>
                <w:szCs w:val="18"/>
                <w:lang w:val="es-ES_tradnl"/>
              </w:rPr>
              <w:t>Código convolu-cional y de bloque</w:t>
            </w:r>
          </w:p>
        </w:tc>
        <w:tc>
          <w:tcPr>
            <w:tcW w:w="1465" w:type="dxa"/>
          </w:tcPr>
          <w:p w:rsidR="00253A39" w:rsidRPr="00BE3323" w:rsidRDefault="00253A39" w:rsidP="00D131F9">
            <w:pPr>
              <w:pStyle w:val="Tabletext"/>
              <w:jc w:val="left"/>
              <w:rPr>
                <w:sz w:val="18"/>
                <w:szCs w:val="18"/>
              </w:rPr>
            </w:pPr>
            <w:r w:rsidRPr="00BE3323">
              <w:rPr>
                <w:sz w:val="18"/>
                <w:szCs w:val="18"/>
              </w:rPr>
              <w:t>Ascendente:</w:t>
            </w:r>
            <w:r w:rsidRPr="00BE3323">
              <w:rPr>
                <w:sz w:val="18"/>
                <w:szCs w:val="18"/>
              </w:rPr>
              <w:br/>
              <w:t xml:space="preserve">2,866 Mbit/s × </w:t>
            </w:r>
            <w:r w:rsidRPr="00BE3323">
              <w:rPr>
                <w:sz w:val="18"/>
                <w:szCs w:val="18"/>
              </w:rPr>
              <w:br/>
              <w:t xml:space="preserve">8 subcanales × </w:t>
            </w:r>
            <w:r w:rsidRPr="00BE3323">
              <w:rPr>
                <w:sz w:val="18"/>
                <w:szCs w:val="18"/>
              </w:rPr>
              <w:br/>
              <w:t>4 canales espaciales =</w:t>
            </w:r>
            <w:r w:rsidRPr="00BE3323">
              <w:rPr>
                <w:sz w:val="18"/>
                <w:szCs w:val="18"/>
              </w:rPr>
              <w:br/>
              <w:t xml:space="preserve">91,7 Mbit/s </w:t>
            </w:r>
          </w:p>
          <w:p w:rsidR="00253A39" w:rsidRPr="00BE3323" w:rsidRDefault="00253A39" w:rsidP="00D131F9">
            <w:pPr>
              <w:pStyle w:val="Tabletext"/>
              <w:jc w:val="left"/>
              <w:rPr>
                <w:sz w:val="18"/>
                <w:szCs w:val="18"/>
              </w:rPr>
            </w:pPr>
            <w:r w:rsidRPr="00BE3323">
              <w:rPr>
                <w:sz w:val="18"/>
                <w:szCs w:val="18"/>
              </w:rPr>
              <w:t>Descendente:</w:t>
            </w:r>
            <w:r w:rsidRPr="00BE3323">
              <w:rPr>
                <w:sz w:val="18"/>
                <w:szCs w:val="18"/>
              </w:rPr>
              <w:br/>
              <w:t>2,5 Mbit/s × 8 subcanales ×</w:t>
            </w:r>
            <w:r w:rsidRPr="00BE3323">
              <w:rPr>
                <w:sz w:val="18"/>
                <w:szCs w:val="18"/>
              </w:rPr>
              <w:br/>
              <w:t xml:space="preserve">4 canales espaciales = </w:t>
            </w:r>
            <w:r w:rsidRPr="00BE3323">
              <w:rPr>
                <w:sz w:val="18"/>
                <w:szCs w:val="18"/>
              </w:rPr>
              <w:br/>
              <w:t xml:space="preserve">80 Mbit/s </w:t>
            </w:r>
          </w:p>
        </w:tc>
        <w:tc>
          <w:tcPr>
            <w:tcW w:w="942" w:type="dxa"/>
          </w:tcPr>
          <w:p w:rsidR="00253A39" w:rsidRPr="00BE3323" w:rsidRDefault="00253A39" w:rsidP="00D131F9">
            <w:pPr>
              <w:pStyle w:val="Tabletext"/>
              <w:jc w:val="left"/>
              <w:rPr>
                <w:sz w:val="18"/>
                <w:szCs w:val="18"/>
              </w:rPr>
            </w:pPr>
            <w:r w:rsidRPr="00BE3323">
              <w:rPr>
                <w:sz w:val="18"/>
                <w:szCs w:val="18"/>
              </w:rPr>
              <w:t>Sí</w:t>
            </w:r>
          </w:p>
        </w:tc>
        <w:tc>
          <w:tcPr>
            <w:tcW w:w="981" w:type="dxa"/>
          </w:tcPr>
          <w:p w:rsidR="00253A39" w:rsidRPr="00BE3323" w:rsidRDefault="00253A39" w:rsidP="00D131F9">
            <w:pPr>
              <w:pStyle w:val="Tabletext"/>
              <w:jc w:val="left"/>
              <w:rPr>
                <w:sz w:val="18"/>
                <w:szCs w:val="18"/>
              </w:rPr>
            </w:pPr>
            <w:r w:rsidRPr="00BE3323">
              <w:rPr>
                <w:sz w:val="18"/>
                <w:szCs w:val="18"/>
              </w:rPr>
              <w:t>Sí</w:t>
            </w:r>
          </w:p>
        </w:tc>
        <w:tc>
          <w:tcPr>
            <w:tcW w:w="1033" w:type="dxa"/>
          </w:tcPr>
          <w:p w:rsidR="00253A39" w:rsidRPr="00BE3323" w:rsidRDefault="00253A39" w:rsidP="00D131F9">
            <w:pPr>
              <w:pStyle w:val="Tabletext"/>
              <w:jc w:val="left"/>
              <w:rPr>
                <w:sz w:val="18"/>
                <w:szCs w:val="18"/>
              </w:rPr>
            </w:pPr>
            <w:r w:rsidRPr="00BE3323">
              <w:rPr>
                <w:sz w:val="18"/>
                <w:szCs w:val="18"/>
              </w:rPr>
              <w:t>DDT</w:t>
            </w:r>
          </w:p>
        </w:tc>
        <w:tc>
          <w:tcPr>
            <w:tcW w:w="981" w:type="dxa"/>
          </w:tcPr>
          <w:p w:rsidR="00253A39" w:rsidRPr="00BE3323" w:rsidRDefault="00253A39" w:rsidP="00D131F9">
            <w:pPr>
              <w:pStyle w:val="Tabletext"/>
              <w:jc w:val="left"/>
              <w:rPr>
                <w:sz w:val="18"/>
                <w:szCs w:val="18"/>
              </w:rPr>
            </w:pPr>
            <w:r w:rsidRPr="00BE3323">
              <w:rPr>
                <w:sz w:val="18"/>
                <w:szCs w:val="18"/>
              </w:rPr>
              <w:t>AMDT/</w:t>
            </w:r>
            <w:r w:rsidRPr="00BE3323">
              <w:rPr>
                <w:sz w:val="18"/>
                <w:szCs w:val="18"/>
              </w:rPr>
              <w:br/>
              <w:t>AMDF/</w:t>
            </w:r>
            <w:r w:rsidRPr="00BE3323">
              <w:rPr>
                <w:sz w:val="18"/>
                <w:szCs w:val="18"/>
              </w:rPr>
              <w:br/>
              <w:t>AMDE</w:t>
            </w:r>
          </w:p>
        </w:tc>
        <w:tc>
          <w:tcPr>
            <w:tcW w:w="1378" w:type="dxa"/>
          </w:tcPr>
          <w:p w:rsidR="00253A39" w:rsidRPr="00BE3323" w:rsidRDefault="00253A39" w:rsidP="00D131F9">
            <w:pPr>
              <w:pStyle w:val="Tabletext"/>
              <w:jc w:val="left"/>
              <w:rPr>
                <w:sz w:val="18"/>
                <w:szCs w:val="18"/>
              </w:rPr>
            </w:pPr>
            <w:r w:rsidRPr="00BE3323">
              <w:rPr>
                <w:sz w:val="18"/>
                <w:szCs w:val="18"/>
              </w:rPr>
              <w:t>5 ms</w:t>
            </w:r>
          </w:p>
        </w:tc>
        <w:tc>
          <w:tcPr>
            <w:tcW w:w="1064" w:type="dxa"/>
          </w:tcPr>
          <w:p w:rsidR="00253A39" w:rsidRPr="00BE3323" w:rsidRDefault="00253A39" w:rsidP="00D131F9">
            <w:pPr>
              <w:pStyle w:val="Tabletext"/>
              <w:jc w:val="left"/>
              <w:rPr>
                <w:sz w:val="18"/>
                <w:szCs w:val="18"/>
              </w:rPr>
            </w:pPr>
            <w:r w:rsidRPr="00BE3323">
              <w:rPr>
                <w:sz w:val="18"/>
                <w:szCs w:val="18"/>
              </w:rPr>
              <w:t>Móvil</w:t>
            </w:r>
          </w:p>
        </w:tc>
      </w:tr>
      <w:tr w:rsidR="00253A39" w:rsidRPr="00BE3323" w:rsidTr="00253A39">
        <w:trPr>
          <w:cantSplit/>
          <w:jc w:val="center"/>
        </w:trPr>
        <w:tc>
          <w:tcPr>
            <w:tcW w:w="1529" w:type="dxa"/>
          </w:tcPr>
          <w:p w:rsidR="00253A39" w:rsidRPr="00253A39" w:rsidRDefault="00253A39" w:rsidP="00D131F9">
            <w:pPr>
              <w:pStyle w:val="Tabletext"/>
              <w:jc w:val="left"/>
              <w:rPr>
                <w:sz w:val="18"/>
                <w:szCs w:val="18"/>
                <w:lang w:val="es-ES_tradnl"/>
              </w:rPr>
            </w:pPr>
            <w:r w:rsidRPr="00253A39">
              <w:rPr>
                <w:sz w:val="18"/>
                <w:szCs w:val="18"/>
                <w:lang w:val="es-ES_tradnl" w:eastAsia="ja-JP"/>
              </w:rPr>
              <w:t>Plataforma Global eXtendida: XGP</w:t>
            </w:r>
            <w:r w:rsidRPr="00253A39">
              <w:rPr>
                <w:sz w:val="18"/>
                <w:szCs w:val="18"/>
                <w:lang w:val="es-ES_tradnl" w:eastAsia="ja-JP"/>
              </w:rPr>
              <w:br/>
              <w:t>(Anexo 6)</w:t>
            </w:r>
          </w:p>
        </w:tc>
        <w:tc>
          <w:tcPr>
            <w:tcW w:w="1800" w:type="dxa"/>
          </w:tcPr>
          <w:p w:rsidR="00253A39" w:rsidRPr="00253A39" w:rsidRDefault="00253A39" w:rsidP="00D131F9">
            <w:pPr>
              <w:pStyle w:val="Tabletext"/>
              <w:jc w:val="left"/>
              <w:rPr>
                <w:sz w:val="18"/>
                <w:szCs w:val="18"/>
                <w:lang w:val="es-ES_tradnl"/>
              </w:rPr>
            </w:pPr>
            <w:r w:rsidRPr="00253A39">
              <w:rPr>
                <w:sz w:val="18"/>
                <w:szCs w:val="18"/>
                <w:lang w:val="es-ES_tradnl"/>
              </w:rPr>
              <w:t>1,25 MHz</w:t>
            </w:r>
            <w:r w:rsidRPr="00253A39">
              <w:rPr>
                <w:sz w:val="18"/>
                <w:szCs w:val="18"/>
                <w:lang w:val="es-ES_tradnl" w:eastAsia="ja-JP"/>
              </w:rPr>
              <w:br/>
              <w:t>2,5 MHz</w:t>
            </w:r>
            <w:r w:rsidRPr="00253A39">
              <w:rPr>
                <w:sz w:val="18"/>
                <w:szCs w:val="18"/>
                <w:lang w:val="es-ES_tradnl" w:eastAsia="ja-JP"/>
              </w:rPr>
              <w:br/>
            </w:r>
            <w:r w:rsidRPr="00253A39">
              <w:rPr>
                <w:sz w:val="18"/>
                <w:szCs w:val="18"/>
                <w:lang w:val="es-ES_tradnl"/>
              </w:rPr>
              <w:t>5 MHz</w:t>
            </w:r>
            <w:r w:rsidRPr="00253A39">
              <w:rPr>
                <w:sz w:val="18"/>
                <w:szCs w:val="18"/>
                <w:lang w:val="es-ES_tradnl"/>
              </w:rPr>
              <w:br/>
              <w:t>10 MHz</w:t>
            </w:r>
            <w:r w:rsidRPr="00253A39">
              <w:rPr>
                <w:sz w:val="18"/>
                <w:szCs w:val="18"/>
                <w:lang w:val="es-ES_tradnl"/>
              </w:rPr>
              <w:br/>
            </w:r>
            <w:r w:rsidRPr="00253A39">
              <w:rPr>
                <w:sz w:val="18"/>
                <w:szCs w:val="18"/>
                <w:lang w:val="es-ES_tradnl" w:eastAsia="ja-JP"/>
              </w:rPr>
              <w:t>20 MHz</w:t>
            </w:r>
          </w:p>
        </w:tc>
        <w:tc>
          <w:tcPr>
            <w:tcW w:w="2160" w:type="dxa"/>
          </w:tcPr>
          <w:p w:rsidR="00253A39" w:rsidRPr="00253A39" w:rsidRDefault="00253A39" w:rsidP="00D131F9">
            <w:pPr>
              <w:pStyle w:val="Tabletext"/>
              <w:jc w:val="left"/>
              <w:rPr>
                <w:sz w:val="18"/>
                <w:szCs w:val="18"/>
                <w:lang w:val="es-ES_tradnl"/>
              </w:rPr>
            </w:pPr>
            <w:r w:rsidRPr="00253A39">
              <w:rPr>
                <w:sz w:val="18"/>
                <w:szCs w:val="18"/>
                <w:lang w:val="es-ES_tradnl"/>
              </w:rPr>
              <w:t>Ascendente y descendente:</w:t>
            </w:r>
            <w:r w:rsidRPr="00253A39">
              <w:rPr>
                <w:sz w:val="18"/>
                <w:szCs w:val="18"/>
                <w:lang w:val="es-ES_tradnl"/>
              </w:rPr>
              <w:br/>
            </w:r>
            <w:r w:rsidRPr="00253A39">
              <w:rPr>
                <w:sz w:val="18"/>
                <w:szCs w:val="18"/>
                <w:lang w:val="es-ES_tradnl" w:eastAsia="ja-JP"/>
              </w:rPr>
              <w:t>MDP-2</w:t>
            </w:r>
            <w:r w:rsidRPr="00253A39">
              <w:rPr>
                <w:sz w:val="18"/>
                <w:szCs w:val="18"/>
                <w:lang w:val="es-ES_tradnl" w:eastAsia="ja-JP"/>
              </w:rPr>
              <w:br/>
              <w:t>MDP-4</w:t>
            </w:r>
            <w:r w:rsidRPr="00253A39">
              <w:rPr>
                <w:sz w:val="18"/>
                <w:szCs w:val="18"/>
                <w:lang w:val="es-ES_tradnl" w:eastAsia="ja-JP"/>
              </w:rPr>
              <w:br/>
            </w:r>
            <w:r w:rsidRPr="00253A39">
              <w:rPr>
                <w:sz w:val="18"/>
                <w:szCs w:val="18"/>
                <w:lang w:val="es-ES_tradnl"/>
              </w:rPr>
              <w:t>MAQ-16</w:t>
            </w:r>
            <w:r w:rsidRPr="00253A39">
              <w:rPr>
                <w:sz w:val="18"/>
                <w:szCs w:val="18"/>
                <w:lang w:val="es-ES_tradnl" w:eastAsia="ja-JP"/>
              </w:rPr>
              <w:br/>
              <w:t>MAQ-64</w:t>
            </w:r>
            <w:r w:rsidRPr="00253A39">
              <w:rPr>
                <w:sz w:val="18"/>
                <w:szCs w:val="18"/>
                <w:lang w:val="es-ES_tradnl" w:eastAsia="ja-JP"/>
              </w:rPr>
              <w:br/>
              <w:t>MAQ-256</w:t>
            </w:r>
          </w:p>
        </w:tc>
        <w:tc>
          <w:tcPr>
            <w:tcW w:w="1126" w:type="dxa"/>
          </w:tcPr>
          <w:p w:rsidR="00253A39" w:rsidRPr="00253A39" w:rsidRDefault="00253A39" w:rsidP="00D131F9">
            <w:pPr>
              <w:pStyle w:val="Tabletext"/>
              <w:jc w:val="left"/>
              <w:rPr>
                <w:sz w:val="18"/>
                <w:szCs w:val="18"/>
                <w:lang w:val="es-ES_tradnl"/>
              </w:rPr>
            </w:pPr>
            <w:r w:rsidRPr="00253A39">
              <w:rPr>
                <w:sz w:val="18"/>
                <w:szCs w:val="18"/>
                <w:lang w:val="es-ES_tradnl"/>
              </w:rPr>
              <w:t>Código convolu-cional</w:t>
            </w:r>
            <w:r w:rsidRPr="00253A39">
              <w:rPr>
                <w:sz w:val="18"/>
                <w:szCs w:val="18"/>
                <w:lang w:val="es-ES_tradnl" w:eastAsia="ja-JP"/>
              </w:rPr>
              <w:t xml:space="preserve"> </w:t>
            </w:r>
            <w:r w:rsidRPr="00253A39">
              <w:rPr>
                <w:sz w:val="18"/>
                <w:szCs w:val="18"/>
                <w:lang w:val="es-ES_tradnl" w:eastAsia="ja-JP"/>
              </w:rPr>
              <w:br/>
              <w:t>Código Turbo (opcional)</w:t>
            </w:r>
          </w:p>
        </w:tc>
        <w:tc>
          <w:tcPr>
            <w:tcW w:w="1465" w:type="dxa"/>
          </w:tcPr>
          <w:p w:rsidR="00253A39" w:rsidRPr="00253A39" w:rsidRDefault="00253A39" w:rsidP="00D131F9">
            <w:pPr>
              <w:pStyle w:val="Tabletext"/>
              <w:jc w:val="left"/>
              <w:rPr>
                <w:sz w:val="18"/>
                <w:szCs w:val="18"/>
                <w:lang w:val="es-ES_tradnl" w:eastAsia="ja-JP"/>
              </w:rPr>
            </w:pPr>
            <w:r w:rsidRPr="00253A39">
              <w:rPr>
                <w:sz w:val="18"/>
                <w:szCs w:val="18"/>
                <w:lang w:val="es-ES_tradnl"/>
              </w:rPr>
              <w:t>Ascendente:</w:t>
            </w:r>
            <w:r w:rsidRPr="00253A39">
              <w:rPr>
                <w:sz w:val="18"/>
                <w:szCs w:val="18"/>
                <w:lang w:val="es-ES_tradnl"/>
              </w:rPr>
              <w:br/>
            </w:r>
            <w:r w:rsidRPr="00253A39">
              <w:rPr>
                <w:sz w:val="18"/>
                <w:szCs w:val="18"/>
                <w:lang w:val="es-ES_tradnl" w:eastAsia="ja-JP"/>
              </w:rPr>
              <w:t>15 Mbit/s</w:t>
            </w:r>
          </w:p>
          <w:p w:rsidR="00253A39" w:rsidRPr="00253A39" w:rsidRDefault="00253A39" w:rsidP="00D131F9">
            <w:pPr>
              <w:pStyle w:val="Tabletext"/>
              <w:jc w:val="left"/>
              <w:rPr>
                <w:sz w:val="18"/>
                <w:szCs w:val="18"/>
                <w:lang w:val="es-ES_tradnl"/>
              </w:rPr>
            </w:pPr>
            <w:r w:rsidRPr="00253A39">
              <w:rPr>
                <w:sz w:val="18"/>
                <w:szCs w:val="18"/>
                <w:lang w:val="es-ES_tradnl"/>
              </w:rPr>
              <w:t>Descendente:</w:t>
            </w:r>
            <w:r w:rsidRPr="00253A39">
              <w:rPr>
                <w:sz w:val="18"/>
                <w:szCs w:val="18"/>
                <w:lang w:val="es-ES_tradnl"/>
              </w:rPr>
              <w:br/>
            </w:r>
            <w:r w:rsidRPr="00253A39">
              <w:rPr>
                <w:sz w:val="18"/>
                <w:szCs w:val="18"/>
                <w:lang w:val="es-ES_tradnl" w:eastAsia="ja-JP"/>
              </w:rPr>
              <w:t xml:space="preserve">55 Mbit/s </w:t>
            </w:r>
            <w:r w:rsidRPr="00253A39">
              <w:rPr>
                <w:sz w:val="18"/>
                <w:szCs w:val="18"/>
                <w:lang w:val="es-ES_tradnl" w:eastAsia="ja-JP"/>
              </w:rPr>
              <w:br/>
              <w:t>(en caso de 20 MHz SISO, UL:DL=1:3)</w:t>
            </w:r>
          </w:p>
        </w:tc>
        <w:tc>
          <w:tcPr>
            <w:tcW w:w="942" w:type="dxa"/>
          </w:tcPr>
          <w:p w:rsidR="00253A39" w:rsidRPr="00BE3323" w:rsidRDefault="00253A39" w:rsidP="00D131F9">
            <w:pPr>
              <w:pStyle w:val="Tabletext"/>
              <w:jc w:val="left"/>
              <w:rPr>
                <w:sz w:val="18"/>
                <w:szCs w:val="18"/>
              </w:rPr>
            </w:pPr>
            <w:r w:rsidRPr="00BE3323">
              <w:rPr>
                <w:sz w:val="18"/>
                <w:szCs w:val="18"/>
                <w:lang w:eastAsia="ja-JP"/>
              </w:rPr>
              <w:t>Sí (opción)</w:t>
            </w:r>
          </w:p>
        </w:tc>
        <w:tc>
          <w:tcPr>
            <w:tcW w:w="981" w:type="dxa"/>
          </w:tcPr>
          <w:p w:rsidR="00253A39" w:rsidRPr="00BE3323" w:rsidRDefault="00253A39" w:rsidP="00D131F9">
            <w:pPr>
              <w:pStyle w:val="Tabletext"/>
              <w:jc w:val="left"/>
              <w:rPr>
                <w:sz w:val="18"/>
                <w:szCs w:val="18"/>
              </w:rPr>
            </w:pPr>
            <w:r w:rsidRPr="00BE3323">
              <w:rPr>
                <w:sz w:val="18"/>
                <w:szCs w:val="18"/>
              </w:rPr>
              <w:t>Sí</w:t>
            </w:r>
            <w:r w:rsidRPr="00BE3323">
              <w:rPr>
                <w:sz w:val="18"/>
                <w:szCs w:val="18"/>
                <w:lang w:eastAsia="ja-JP"/>
              </w:rPr>
              <w:t xml:space="preserve"> (opción)</w:t>
            </w:r>
          </w:p>
        </w:tc>
        <w:tc>
          <w:tcPr>
            <w:tcW w:w="1033" w:type="dxa"/>
          </w:tcPr>
          <w:p w:rsidR="00253A39" w:rsidRPr="00BE3323" w:rsidRDefault="00253A39" w:rsidP="00D131F9">
            <w:pPr>
              <w:pStyle w:val="Tabletext"/>
              <w:jc w:val="left"/>
              <w:rPr>
                <w:sz w:val="18"/>
                <w:szCs w:val="18"/>
              </w:rPr>
            </w:pPr>
            <w:r w:rsidRPr="00BE3323">
              <w:rPr>
                <w:sz w:val="18"/>
                <w:szCs w:val="18"/>
                <w:lang w:eastAsia="ja-JP"/>
              </w:rPr>
              <w:t>DDT</w:t>
            </w:r>
          </w:p>
        </w:tc>
        <w:tc>
          <w:tcPr>
            <w:tcW w:w="981" w:type="dxa"/>
          </w:tcPr>
          <w:p w:rsidR="00253A39" w:rsidRPr="00BE3323" w:rsidRDefault="00253A39" w:rsidP="00D131F9">
            <w:pPr>
              <w:pStyle w:val="Tabletext"/>
              <w:jc w:val="left"/>
              <w:rPr>
                <w:sz w:val="18"/>
                <w:szCs w:val="18"/>
              </w:rPr>
            </w:pPr>
            <w:r w:rsidRPr="00BE3323">
              <w:rPr>
                <w:sz w:val="18"/>
                <w:szCs w:val="18"/>
                <w:lang w:eastAsia="ja-JP"/>
              </w:rPr>
              <w:t>AMDFO,AMDF-SC</w:t>
            </w:r>
            <w:r w:rsidRPr="00BE3323">
              <w:rPr>
                <w:sz w:val="18"/>
                <w:szCs w:val="18"/>
                <w:lang w:eastAsia="ja-JP"/>
              </w:rPr>
              <w:br/>
              <w:t>AMDT</w:t>
            </w:r>
          </w:p>
        </w:tc>
        <w:tc>
          <w:tcPr>
            <w:tcW w:w="1378" w:type="dxa"/>
          </w:tcPr>
          <w:p w:rsidR="00253A39" w:rsidRPr="00BE3323" w:rsidRDefault="00253A39" w:rsidP="00D131F9">
            <w:pPr>
              <w:pStyle w:val="Tabletext"/>
              <w:jc w:val="left"/>
              <w:rPr>
                <w:sz w:val="18"/>
                <w:szCs w:val="18"/>
              </w:rPr>
            </w:pPr>
            <w:r w:rsidRPr="00BE3323">
              <w:rPr>
                <w:sz w:val="18"/>
                <w:szCs w:val="18"/>
              </w:rPr>
              <w:t>2,5 ms</w:t>
            </w:r>
            <w:r w:rsidRPr="00BE3323">
              <w:rPr>
                <w:sz w:val="18"/>
                <w:szCs w:val="18"/>
              </w:rPr>
              <w:br/>
              <w:t>5 ms</w:t>
            </w:r>
            <w:r w:rsidRPr="00BE3323">
              <w:rPr>
                <w:sz w:val="18"/>
                <w:szCs w:val="18"/>
              </w:rPr>
              <w:br/>
              <w:t>10 ms</w:t>
            </w:r>
          </w:p>
        </w:tc>
        <w:tc>
          <w:tcPr>
            <w:tcW w:w="1064" w:type="dxa"/>
          </w:tcPr>
          <w:p w:rsidR="00253A39" w:rsidRPr="00BE3323" w:rsidRDefault="00253A39" w:rsidP="00D131F9">
            <w:pPr>
              <w:pStyle w:val="Tabletext"/>
              <w:jc w:val="left"/>
              <w:rPr>
                <w:sz w:val="18"/>
                <w:szCs w:val="18"/>
              </w:rPr>
            </w:pPr>
            <w:r w:rsidRPr="00BE3323">
              <w:rPr>
                <w:sz w:val="18"/>
                <w:szCs w:val="18"/>
              </w:rPr>
              <w:t>Móvil</w:t>
            </w:r>
          </w:p>
        </w:tc>
      </w:tr>
    </w:tbl>
    <w:p w:rsidR="00253A39" w:rsidRPr="00BE3323" w:rsidRDefault="00253A39" w:rsidP="00253A39">
      <w:pPr>
        <w:pStyle w:val="TableNo"/>
      </w:pPr>
      <w:r w:rsidRPr="00BE3323">
        <w:lastRenderedPageBreak/>
        <w:t>CUADRO 5 (</w:t>
      </w:r>
      <w:r w:rsidRPr="00BE3323">
        <w:rPr>
          <w:i/>
          <w:iCs/>
        </w:rPr>
        <w:t>continuación</w:t>
      </w:r>
      <w:r w:rsidRPr="00BE332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727"/>
        <w:gridCol w:w="2233"/>
        <w:gridCol w:w="1126"/>
        <w:gridCol w:w="1465"/>
        <w:gridCol w:w="942"/>
        <w:gridCol w:w="981"/>
        <w:gridCol w:w="1033"/>
        <w:gridCol w:w="1113"/>
        <w:gridCol w:w="1246"/>
        <w:gridCol w:w="1064"/>
      </w:tblGrid>
      <w:tr w:rsidR="00253A39" w:rsidRPr="00DA2419" w:rsidTr="00253A39">
        <w:trPr>
          <w:cantSplit/>
          <w:tblHeader/>
          <w:jc w:val="center"/>
        </w:trPr>
        <w:tc>
          <w:tcPr>
            <w:tcW w:w="1529"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Norma</w:t>
            </w:r>
          </w:p>
        </w:tc>
        <w:tc>
          <w:tcPr>
            <w:tcW w:w="1727"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Anchura de banda del canal RF nominal</w:t>
            </w:r>
          </w:p>
        </w:tc>
        <w:tc>
          <w:tcPr>
            <w:tcW w:w="2233" w:type="dxa"/>
            <w:tcMar>
              <w:left w:w="57" w:type="dxa"/>
              <w:right w:w="57" w:type="dxa"/>
            </w:tcMar>
            <w:vAlign w:val="center"/>
          </w:tcPr>
          <w:p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Soporte de codificación</w:t>
            </w:r>
          </w:p>
        </w:tc>
        <w:tc>
          <w:tcPr>
            <w:tcW w:w="1465"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Soporta MIMO (sí/no)</w:t>
            </w:r>
          </w:p>
        </w:tc>
        <w:tc>
          <w:tcPr>
            <w:tcW w:w="1033"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 dúplex</w:t>
            </w:r>
          </w:p>
        </w:tc>
        <w:tc>
          <w:tcPr>
            <w:tcW w:w="1113"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246"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rsidTr="00253A39">
        <w:trPr>
          <w:cantSplit/>
          <w:jc w:val="center"/>
        </w:trPr>
        <w:tc>
          <w:tcPr>
            <w:tcW w:w="1529" w:type="dxa"/>
          </w:tcPr>
          <w:p w:rsidR="00253A39" w:rsidRPr="00253A39" w:rsidRDefault="00253A39" w:rsidP="00D131F9">
            <w:pPr>
              <w:pStyle w:val="Tabletext"/>
              <w:ind w:right="-57"/>
              <w:jc w:val="left"/>
              <w:rPr>
                <w:sz w:val="18"/>
                <w:szCs w:val="18"/>
                <w:lang w:val="es-ES_tradnl"/>
              </w:rPr>
            </w:pPr>
            <w:r w:rsidRPr="00253A39">
              <w:rPr>
                <w:sz w:val="18"/>
                <w:szCs w:val="18"/>
                <w:lang w:val="es-ES_tradnl"/>
              </w:rPr>
              <w:t xml:space="preserve">IEEE 802.11-2012 subcláusula 17, (anteriormente 802.11b) </w:t>
            </w:r>
            <w:r w:rsidRPr="00253A39">
              <w:rPr>
                <w:sz w:val="18"/>
                <w:szCs w:val="18"/>
                <w:lang w:val="es-ES_tradnl"/>
              </w:rPr>
              <w:br/>
              <w:t>(Anexo 1)</w:t>
            </w:r>
          </w:p>
        </w:tc>
        <w:tc>
          <w:tcPr>
            <w:tcW w:w="1727" w:type="dxa"/>
          </w:tcPr>
          <w:p w:rsidR="00253A39" w:rsidRPr="00BE3323" w:rsidRDefault="00253A39" w:rsidP="00D131F9">
            <w:pPr>
              <w:pStyle w:val="Tabletext"/>
              <w:jc w:val="left"/>
              <w:rPr>
                <w:sz w:val="18"/>
                <w:szCs w:val="18"/>
              </w:rPr>
            </w:pPr>
            <w:r w:rsidRPr="00BE3323">
              <w:rPr>
                <w:sz w:val="18"/>
                <w:szCs w:val="18"/>
              </w:rPr>
              <w:t>22 MHz</w:t>
            </w:r>
          </w:p>
        </w:tc>
        <w:tc>
          <w:tcPr>
            <w:tcW w:w="2233" w:type="dxa"/>
          </w:tcPr>
          <w:p w:rsidR="00253A39" w:rsidRPr="00253A39" w:rsidRDefault="00253A39" w:rsidP="00D131F9">
            <w:pPr>
              <w:pStyle w:val="Tabletext"/>
              <w:jc w:val="left"/>
              <w:rPr>
                <w:sz w:val="18"/>
                <w:szCs w:val="18"/>
                <w:lang w:val="es-ES_tradnl"/>
              </w:rPr>
            </w:pPr>
            <w:r w:rsidRPr="00253A39">
              <w:rPr>
                <w:sz w:val="18"/>
                <w:szCs w:val="18"/>
                <w:lang w:val="es-ES_tradnl"/>
              </w:rPr>
              <w:t>Ascendente y descendente:</w:t>
            </w:r>
            <w:r w:rsidRPr="00253A39">
              <w:rPr>
                <w:sz w:val="18"/>
                <w:szCs w:val="18"/>
                <w:lang w:val="es-ES_tradnl"/>
              </w:rPr>
              <w:br/>
              <w:t>MDPD-4 CCK</w:t>
            </w:r>
            <w:r w:rsidRPr="00253A39">
              <w:rPr>
                <w:sz w:val="18"/>
                <w:szCs w:val="18"/>
                <w:lang w:val="es-ES_tradnl"/>
              </w:rPr>
              <w:br/>
              <w:t>MDP-2 PBCC – 1/2</w:t>
            </w:r>
            <w:r w:rsidRPr="00253A39">
              <w:rPr>
                <w:sz w:val="18"/>
                <w:szCs w:val="18"/>
                <w:lang w:val="es-ES_tradnl"/>
              </w:rPr>
              <w:br/>
              <w:t>MDP-4 PBCC – 1/2</w:t>
            </w:r>
          </w:p>
        </w:tc>
        <w:tc>
          <w:tcPr>
            <w:tcW w:w="1126" w:type="dxa"/>
          </w:tcPr>
          <w:p w:rsidR="00253A39" w:rsidRPr="00BE3323" w:rsidRDefault="00253A39" w:rsidP="00D131F9">
            <w:pPr>
              <w:pStyle w:val="Tabletext"/>
              <w:jc w:val="left"/>
              <w:rPr>
                <w:sz w:val="18"/>
                <w:szCs w:val="18"/>
              </w:rPr>
            </w:pPr>
            <w:r w:rsidRPr="00BE3323">
              <w:rPr>
                <w:sz w:val="18"/>
                <w:szCs w:val="18"/>
              </w:rPr>
              <w:t>Sin codificar/</w:t>
            </w:r>
            <w:r w:rsidRPr="00BE3323">
              <w:rPr>
                <w:sz w:val="18"/>
                <w:szCs w:val="18"/>
              </w:rPr>
              <w:br/>
              <w:t>CC</w:t>
            </w:r>
          </w:p>
        </w:tc>
        <w:tc>
          <w:tcPr>
            <w:tcW w:w="1465" w:type="dxa"/>
          </w:tcPr>
          <w:p w:rsidR="00253A39" w:rsidRPr="00BE3323" w:rsidRDefault="00253A39" w:rsidP="00D131F9">
            <w:pPr>
              <w:pStyle w:val="Tabletext"/>
              <w:jc w:val="left"/>
              <w:rPr>
                <w:sz w:val="18"/>
                <w:szCs w:val="18"/>
              </w:rPr>
            </w:pPr>
            <w:r w:rsidRPr="00BE3323">
              <w:rPr>
                <w:sz w:val="18"/>
                <w:szCs w:val="18"/>
              </w:rPr>
              <w:t>2,5 Mbit/s</w:t>
            </w:r>
          </w:p>
        </w:tc>
        <w:tc>
          <w:tcPr>
            <w:tcW w:w="942" w:type="dxa"/>
          </w:tcPr>
          <w:p w:rsidR="00253A39" w:rsidRPr="00BE3323" w:rsidRDefault="00253A39" w:rsidP="00D131F9">
            <w:pPr>
              <w:pStyle w:val="Tabletext"/>
              <w:jc w:val="left"/>
              <w:rPr>
                <w:sz w:val="18"/>
                <w:szCs w:val="18"/>
              </w:rPr>
            </w:pPr>
            <w:r w:rsidRPr="00BE3323">
              <w:rPr>
                <w:sz w:val="18"/>
                <w:szCs w:val="18"/>
              </w:rPr>
              <w:t>No</w:t>
            </w:r>
          </w:p>
        </w:tc>
        <w:tc>
          <w:tcPr>
            <w:tcW w:w="981" w:type="dxa"/>
          </w:tcPr>
          <w:p w:rsidR="00253A39" w:rsidRPr="00BE3323" w:rsidRDefault="00253A39" w:rsidP="00D131F9">
            <w:pPr>
              <w:pStyle w:val="Tabletext"/>
              <w:jc w:val="left"/>
              <w:rPr>
                <w:sz w:val="18"/>
                <w:szCs w:val="18"/>
              </w:rPr>
            </w:pPr>
            <w:r w:rsidRPr="00BE3323">
              <w:rPr>
                <w:sz w:val="18"/>
                <w:szCs w:val="18"/>
              </w:rPr>
              <w:t>No</w:t>
            </w:r>
          </w:p>
        </w:tc>
        <w:tc>
          <w:tcPr>
            <w:tcW w:w="1033" w:type="dxa"/>
          </w:tcPr>
          <w:p w:rsidR="00253A39" w:rsidRPr="00BE3323" w:rsidRDefault="00253A39" w:rsidP="00D131F9">
            <w:pPr>
              <w:pStyle w:val="Tabletext"/>
              <w:jc w:val="left"/>
              <w:rPr>
                <w:sz w:val="18"/>
                <w:szCs w:val="18"/>
              </w:rPr>
            </w:pPr>
            <w:r w:rsidRPr="00BE3323">
              <w:rPr>
                <w:sz w:val="18"/>
                <w:szCs w:val="18"/>
              </w:rPr>
              <w:t>DDT</w:t>
            </w:r>
          </w:p>
        </w:tc>
        <w:tc>
          <w:tcPr>
            <w:tcW w:w="1113" w:type="dxa"/>
          </w:tcPr>
          <w:p w:rsidR="00253A39" w:rsidRPr="00BE3323" w:rsidRDefault="00253A39" w:rsidP="00D131F9">
            <w:pPr>
              <w:pStyle w:val="Tabletext"/>
              <w:jc w:val="left"/>
              <w:rPr>
                <w:sz w:val="18"/>
                <w:szCs w:val="18"/>
              </w:rPr>
            </w:pPr>
            <w:r w:rsidRPr="00BE3323">
              <w:rPr>
                <w:sz w:val="18"/>
                <w:szCs w:val="18"/>
              </w:rPr>
              <w:t>CSMA/CA</w:t>
            </w:r>
          </w:p>
        </w:tc>
        <w:tc>
          <w:tcPr>
            <w:tcW w:w="1246" w:type="dxa"/>
          </w:tcPr>
          <w:p w:rsidR="00253A39" w:rsidRPr="00BE3323" w:rsidRDefault="00253A39" w:rsidP="00D131F9">
            <w:pPr>
              <w:pStyle w:val="Tabletext"/>
              <w:jc w:val="left"/>
              <w:rPr>
                <w:sz w:val="18"/>
                <w:szCs w:val="18"/>
              </w:rPr>
            </w:pPr>
            <w:r w:rsidRPr="00BE3323">
              <w:rPr>
                <w:sz w:val="18"/>
                <w:szCs w:val="18"/>
              </w:rPr>
              <w:t>Duración de trama variable</w:t>
            </w:r>
          </w:p>
        </w:tc>
        <w:tc>
          <w:tcPr>
            <w:tcW w:w="1064" w:type="dxa"/>
          </w:tcPr>
          <w:p w:rsidR="00253A39" w:rsidRPr="00BE3323" w:rsidRDefault="00253A39" w:rsidP="00D131F9">
            <w:pPr>
              <w:pStyle w:val="Tabletext"/>
              <w:jc w:val="left"/>
              <w:rPr>
                <w:sz w:val="18"/>
                <w:szCs w:val="18"/>
              </w:rPr>
            </w:pPr>
            <w:r w:rsidRPr="00BE3323">
              <w:rPr>
                <w:sz w:val="18"/>
                <w:szCs w:val="18"/>
              </w:rPr>
              <w:t>Nómada</w:t>
            </w:r>
          </w:p>
        </w:tc>
      </w:tr>
      <w:tr w:rsidR="00253A39" w:rsidRPr="00BE3323" w:rsidTr="00253A39">
        <w:trPr>
          <w:cantSplit/>
          <w:jc w:val="center"/>
        </w:trPr>
        <w:tc>
          <w:tcPr>
            <w:tcW w:w="1529" w:type="dxa"/>
          </w:tcPr>
          <w:p w:rsidR="00253A39" w:rsidRPr="00253A39" w:rsidRDefault="00253A39" w:rsidP="00BB0E97">
            <w:pPr>
              <w:pStyle w:val="Tabletext"/>
              <w:ind w:right="-57"/>
              <w:jc w:val="left"/>
              <w:rPr>
                <w:sz w:val="18"/>
                <w:szCs w:val="18"/>
                <w:lang w:val="es-ES_tradnl"/>
              </w:rPr>
            </w:pPr>
            <w:r w:rsidRPr="00253A39">
              <w:rPr>
                <w:sz w:val="18"/>
                <w:szCs w:val="18"/>
                <w:lang w:val="es-ES_tradnl"/>
              </w:rPr>
              <w:t>IEEE 802.11-2012 subcláusula 18 (anteriormente 802.11a, 802.11j y</w:t>
            </w:r>
            <w:r w:rsidR="00BB0E97">
              <w:rPr>
                <w:sz w:val="18"/>
                <w:szCs w:val="18"/>
                <w:lang w:val="es-ES_tradnl"/>
              </w:rPr>
              <w:t> </w:t>
            </w:r>
            <w:r w:rsidRPr="00253A39">
              <w:rPr>
                <w:sz w:val="18"/>
                <w:szCs w:val="18"/>
                <w:lang w:val="es-ES_tradnl"/>
              </w:rPr>
              <w:t xml:space="preserve">802.11y) </w:t>
            </w:r>
            <w:r w:rsidRPr="00253A39">
              <w:rPr>
                <w:sz w:val="18"/>
                <w:szCs w:val="18"/>
                <w:lang w:val="es-ES_tradnl"/>
              </w:rPr>
              <w:br/>
              <w:t>(Anexo 1)</w:t>
            </w:r>
          </w:p>
        </w:tc>
        <w:tc>
          <w:tcPr>
            <w:tcW w:w="1727" w:type="dxa"/>
          </w:tcPr>
          <w:p w:rsidR="00253A39" w:rsidRPr="00BE3323" w:rsidRDefault="00253A39" w:rsidP="00D131F9">
            <w:pPr>
              <w:pStyle w:val="Tabletext"/>
              <w:jc w:val="left"/>
              <w:rPr>
                <w:sz w:val="18"/>
                <w:szCs w:val="18"/>
              </w:rPr>
            </w:pPr>
            <w:r w:rsidRPr="00BE3323">
              <w:rPr>
                <w:sz w:val="18"/>
                <w:szCs w:val="18"/>
              </w:rPr>
              <w:t>5 MHz</w:t>
            </w:r>
          </w:p>
          <w:p w:rsidR="00253A39" w:rsidRPr="00BE3323" w:rsidRDefault="00253A39" w:rsidP="00D131F9">
            <w:pPr>
              <w:pStyle w:val="Tabletext"/>
              <w:jc w:val="left"/>
              <w:rPr>
                <w:sz w:val="18"/>
                <w:szCs w:val="18"/>
              </w:rPr>
            </w:pPr>
            <w:r w:rsidRPr="00BE3323">
              <w:rPr>
                <w:sz w:val="18"/>
                <w:szCs w:val="18"/>
              </w:rPr>
              <w:t>10 MHz</w:t>
            </w:r>
          </w:p>
          <w:p w:rsidR="00253A39" w:rsidRPr="00BE3323" w:rsidRDefault="00253A39" w:rsidP="00D131F9">
            <w:pPr>
              <w:pStyle w:val="Tabletext"/>
              <w:jc w:val="left"/>
              <w:rPr>
                <w:sz w:val="18"/>
                <w:szCs w:val="18"/>
              </w:rPr>
            </w:pPr>
            <w:r w:rsidRPr="00BE3323">
              <w:rPr>
                <w:sz w:val="18"/>
                <w:szCs w:val="18"/>
              </w:rPr>
              <w:t>20 MHz</w:t>
            </w:r>
          </w:p>
        </w:tc>
        <w:tc>
          <w:tcPr>
            <w:tcW w:w="2233" w:type="dxa"/>
          </w:tcPr>
          <w:p w:rsidR="00253A39" w:rsidRPr="00253A39" w:rsidRDefault="00253A39" w:rsidP="00D131F9">
            <w:pPr>
              <w:pStyle w:val="Tabletext"/>
              <w:jc w:val="left"/>
              <w:rPr>
                <w:sz w:val="18"/>
                <w:szCs w:val="18"/>
                <w:lang w:val="es-ES_tradnl"/>
              </w:rPr>
            </w:pPr>
            <w:r w:rsidRPr="00253A39">
              <w:rPr>
                <w:sz w:val="18"/>
                <w:szCs w:val="18"/>
                <w:lang w:val="es-ES_tradnl"/>
              </w:rPr>
              <w:t>Ascendente y descendente:</w:t>
            </w:r>
            <w:r w:rsidRPr="00253A39">
              <w:rPr>
                <w:sz w:val="18"/>
                <w:szCs w:val="18"/>
                <w:lang w:val="es-ES_tradnl"/>
              </w:rPr>
              <w:br/>
              <w:t>MAQ-64 MDFO – 2/3, 3/4</w:t>
            </w:r>
            <w:r w:rsidRPr="00253A39">
              <w:rPr>
                <w:sz w:val="18"/>
                <w:szCs w:val="18"/>
                <w:lang w:val="es-ES_tradnl"/>
              </w:rPr>
              <w:br/>
              <w:t>MAQ-16 MDFO –1/2, 3/4</w:t>
            </w:r>
            <w:r w:rsidRPr="00253A39">
              <w:rPr>
                <w:sz w:val="18"/>
                <w:szCs w:val="18"/>
                <w:lang w:val="es-ES_tradnl"/>
              </w:rPr>
              <w:br/>
              <w:t>MDP-4 MDFO – 1/2, 3/4</w:t>
            </w:r>
            <w:r w:rsidRPr="00253A39">
              <w:rPr>
                <w:sz w:val="18"/>
                <w:szCs w:val="18"/>
                <w:lang w:val="es-ES_tradnl"/>
              </w:rPr>
              <w:br/>
              <w:t>MDP-2 MDFO – 1/2, 3/4</w:t>
            </w:r>
          </w:p>
        </w:tc>
        <w:tc>
          <w:tcPr>
            <w:tcW w:w="1126" w:type="dxa"/>
          </w:tcPr>
          <w:p w:rsidR="00253A39" w:rsidRPr="00BE3323" w:rsidRDefault="00253A39" w:rsidP="00D131F9">
            <w:pPr>
              <w:pStyle w:val="Tabletext"/>
              <w:jc w:val="left"/>
              <w:rPr>
                <w:sz w:val="18"/>
                <w:szCs w:val="18"/>
              </w:rPr>
            </w:pPr>
            <w:r w:rsidRPr="00BE3323">
              <w:rPr>
                <w:sz w:val="18"/>
                <w:szCs w:val="18"/>
              </w:rPr>
              <w:t>CC</w:t>
            </w:r>
          </w:p>
        </w:tc>
        <w:tc>
          <w:tcPr>
            <w:tcW w:w="1465" w:type="dxa"/>
          </w:tcPr>
          <w:p w:rsidR="00253A39" w:rsidRPr="00BE3323" w:rsidRDefault="00253A39" w:rsidP="00D131F9">
            <w:pPr>
              <w:pStyle w:val="Tabletext"/>
              <w:jc w:val="left"/>
              <w:rPr>
                <w:sz w:val="18"/>
                <w:szCs w:val="18"/>
              </w:rPr>
            </w:pPr>
            <w:r w:rsidRPr="00BE3323">
              <w:rPr>
                <w:sz w:val="18"/>
                <w:szCs w:val="18"/>
              </w:rPr>
              <w:t>13,5 Mbit/s</w:t>
            </w:r>
          </w:p>
        </w:tc>
        <w:tc>
          <w:tcPr>
            <w:tcW w:w="942" w:type="dxa"/>
          </w:tcPr>
          <w:p w:rsidR="00253A39" w:rsidRPr="00BE3323" w:rsidRDefault="00253A39" w:rsidP="00D131F9">
            <w:pPr>
              <w:pStyle w:val="Tabletext"/>
              <w:jc w:val="left"/>
              <w:rPr>
                <w:sz w:val="18"/>
                <w:szCs w:val="18"/>
              </w:rPr>
            </w:pPr>
            <w:r w:rsidRPr="00BE3323">
              <w:rPr>
                <w:sz w:val="18"/>
                <w:szCs w:val="18"/>
              </w:rPr>
              <w:t>No</w:t>
            </w:r>
          </w:p>
        </w:tc>
        <w:tc>
          <w:tcPr>
            <w:tcW w:w="981" w:type="dxa"/>
          </w:tcPr>
          <w:p w:rsidR="00253A39" w:rsidRPr="00BE3323" w:rsidRDefault="00253A39" w:rsidP="00D131F9">
            <w:pPr>
              <w:pStyle w:val="Tabletext"/>
              <w:jc w:val="left"/>
              <w:rPr>
                <w:sz w:val="18"/>
                <w:szCs w:val="18"/>
              </w:rPr>
            </w:pPr>
            <w:r w:rsidRPr="00BE3323">
              <w:rPr>
                <w:sz w:val="18"/>
                <w:szCs w:val="18"/>
              </w:rPr>
              <w:t>No</w:t>
            </w:r>
          </w:p>
        </w:tc>
        <w:tc>
          <w:tcPr>
            <w:tcW w:w="1033" w:type="dxa"/>
          </w:tcPr>
          <w:p w:rsidR="00253A39" w:rsidRPr="00BE3323" w:rsidRDefault="00253A39" w:rsidP="00D131F9">
            <w:pPr>
              <w:pStyle w:val="Tabletext"/>
              <w:jc w:val="left"/>
              <w:rPr>
                <w:sz w:val="18"/>
                <w:szCs w:val="18"/>
              </w:rPr>
            </w:pPr>
            <w:r w:rsidRPr="00BE3323">
              <w:rPr>
                <w:sz w:val="18"/>
                <w:szCs w:val="18"/>
              </w:rPr>
              <w:t>DDT</w:t>
            </w:r>
          </w:p>
        </w:tc>
        <w:tc>
          <w:tcPr>
            <w:tcW w:w="1113" w:type="dxa"/>
          </w:tcPr>
          <w:p w:rsidR="00253A39" w:rsidRPr="00BE3323" w:rsidRDefault="00253A39" w:rsidP="00D131F9">
            <w:pPr>
              <w:pStyle w:val="Tabletext"/>
              <w:jc w:val="left"/>
              <w:rPr>
                <w:sz w:val="18"/>
                <w:szCs w:val="18"/>
              </w:rPr>
            </w:pPr>
            <w:r w:rsidRPr="00BE3323">
              <w:rPr>
                <w:sz w:val="18"/>
                <w:szCs w:val="18"/>
              </w:rPr>
              <w:t>CSMA/CA</w:t>
            </w:r>
          </w:p>
        </w:tc>
        <w:tc>
          <w:tcPr>
            <w:tcW w:w="1246" w:type="dxa"/>
          </w:tcPr>
          <w:p w:rsidR="00253A39" w:rsidRPr="00BE3323" w:rsidRDefault="00253A39" w:rsidP="00D131F9">
            <w:pPr>
              <w:pStyle w:val="Tabletext"/>
              <w:jc w:val="left"/>
              <w:rPr>
                <w:sz w:val="18"/>
                <w:szCs w:val="18"/>
              </w:rPr>
            </w:pPr>
            <w:r w:rsidRPr="00BE3323">
              <w:rPr>
                <w:sz w:val="18"/>
                <w:szCs w:val="18"/>
              </w:rPr>
              <w:t>Duración de trama variable</w:t>
            </w:r>
          </w:p>
        </w:tc>
        <w:tc>
          <w:tcPr>
            <w:tcW w:w="1064" w:type="dxa"/>
          </w:tcPr>
          <w:p w:rsidR="00253A39" w:rsidRPr="00BE3323" w:rsidRDefault="00253A39" w:rsidP="00D131F9">
            <w:pPr>
              <w:pStyle w:val="Tabletext"/>
              <w:jc w:val="left"/>
              <w:rPr>
                <w:sz w:val="18"/>
                <w:szCs w:val="18"/>
              </w:rPr>
            </w:pPr>
            <w:r w:rsidRPr="00BE3323">
              <w:rPr>
                <w:sz w:val="18"/>
                <w:szCs w:val="18"/>
              </w:rPr>
              <w:t>Nómada</w:t>
            </w:r>
          </w:p>
        </w:tc>
      </w:tr>
      <w:tr w:rsidR="00253A39" w:rsidRPr="00BE3323" w:rsidTr="00253A39">
        <w:trPr>
          <w:cantSplit/>
          <w:jc w:val="center"/>
        </w:trPr>
        <w:tc>
          <w:tcPr>
            <w:tcW w:w="1529" w:type="dxa"/>
          </w:tcPr>
          <w:p w:rsidR="00253A39" w:rsidRPr="00253A39" w:rsidDel="009E3DCF" w:rsidRDefault="00253A39" w:rsidP="00D131F9">
            <w:pPr>
              <w:pStyle w:val="Tabletext"/>
              <w:ind w:right="-57"/>
              <w:jc w:val="left"/>
              <w:rPr>
                <w:sz w:val="18"/>
                <w:szCs w:val="18"/>
                <w:lang w:val="es-ES_tradnl"/>
              </w:rPr>
            </w:pPr>
            <w:r w:rsidRPr="00253A39">
              <w:rPr>
                <w:sz w:val="18"/>
                <w:szCs w:val="18"/>
                <w:lang w:val="es-ES_tradnl"/>
              </w:rPr>
              <w:t>IEEE 802.11-2012 subcláusula 19, (anteriormente 802.11g)</w:t>
            </w:r>
            <w:r w:rsidRPr="00253A39">
              <w:rPr>
                <w:sz w:val="18"/>
                <w:szCs w:val="18"/>
                <w:lang w:val="es-ES_tradnl"/>
              </w:rPr>
              <w:br/>
              <w:t>(Anexo 1)</w:t>
            </w:r>
          </w:p>
        </w:tc>
        <w:tc>
          <w:tcPr>
            <w:tcW w:w="1727" w:type="dxa"/>
          </w:tcPr>
          <w:p w:rsidR="00253A39" w:rsidRPr="00BE3323" w:rsidRDefault="00253A39" w:rsidP="00D131F9">
            <w:pPr>
              <w:pStyle w:val="Tabletext"/>
              <w:jc w:val="left"/>
              <w:rPr>
                <w:sz w:val="18"/>
                <w:szCs w:val="18"/>
              </w:rPr>
            </w:pPr>
            <w:r w:rsidRPr="00BE3323">
              <w:rPr>
                <w:sz w:val="18"/>
                <w:szCs w:val="18"/>
              </w:rPr>
              <w:t>20 MHz</w:t>
            </w:r>
          </w:p>
        </w:tc>
        <w:tc>
          <w:tcPr>
            <w:tcW w:w="2233" w:type="dxa"/>
          </w:tcPr>
          <w:p w:rsidR="00253A39" w:rsidRPr="00BE3323" w:rsidRDefault="00253A39" w:rsidP="00D131F9">
            <w:pPr>
              <w:pStyle w:val="Tabletext"/>
              <w:jc w:val="left"/>
              <w:rPr>
                <w:sz w:val="18"/>
                <w:szCs w:val="18"/>
              </w:rPr>
            </w:pPr>
            <w:r w:rsidRPr="00BE3323">
              <w:rPr>
                <w:sz w:val="18"/>
                <w:szCs w:val="18"/>
              </w:rPr>
              <w:t xml:space="preserve">Ascendente y descendente: </w:t>
            </w:r>
            <w:r w:rsidRPr="00BE3323">
              <w:rPr>
                <w:sz w:val="18"/>
                <w:szCs w:val="18"/>
              </w:rPr>
              <w:br/>
              <w:t>MAQ-64 MDFO 2/3, 3/4</w:t>
            </w:r>
            <w:r w:rsidRPr="00BE3323">
              <w:rPr>
                <w:sz w:val="18"/>
                <w:szCs w:val="18"/>
              </w:rPr>
              <w:br/>
              <w:t>MAQ-16 MDFO – 1/2, 3/4</w:t>
            </w:r>
            <w:r w:rsidRPr="00BE3323">
              <w:rPr>
                <w:sz w:val="18"/>
                <w:szCs w:val="18"/>
              </w:rPr>
              <w:br/>
              <w:t>MDP-4 MDFO – 1/2, 3/4</w:t>
            </w:r>
            <w:r w:rsidRPr="00BE3323">
              <w:rPr>
                <w:sz w:val="18"/>
                <w:szCs w:val="18"/>
              </w:rPr>
              <w:br/>
              <w:t>MDP-2 MDFO – 1/2, 3/4</w:t>
            </w:r>
            <w:r w:rsidRPr="00BE3323">
              <w:rPr>
                <w:sz w:val="18"/>
                <w:szCs w:val="18"/>
              </w:rPr>
              <w:br/>
              <w:t>MDP-8 PBCC – 2/3</w:t>
            </w:r>
            <w:r w:rsidRPr="00BE3323">
              <w:rPr>
                <w:sz w:val="18"/>
                <w:szCs w:val="18"/>
              </w:rPr>
              <w:br/>
              <w:t>MAQ-64 DSSS-MDFO – 2/3, 3/4</w:t>
            </w:r>
            <w:r w:rsidRPr="00BE3323">
              <w:rPr>
                <w:sz w:val="18"/>
                <w:szCs w:val="18"/>
              </w:rPr>
              <w:br/>
              <w:t>MAQ-16 DSSS-MDFO – 1/2, 3/4</w:t>
            </w:r>
            <w:r w:rsidRPr="00BE3323">
              <w:rPr>
                <w:sz w:val="18"/>
                <w:szCs w:val="18"/>
              </w:rPr>
              <w:br/>
              <w:t>MDP-4 DSSS-MDFO – 1/2, 3/4</w:t>
            </w:r>
            <w:r w:rsidRPr="00BE3323">
              <w:rPr>
                <w:sz w:val="18"/>
                <w:szCs w:val="18"/>
              </w:rPr>
              <w:br/>
              <w:t>MDP-2 DSSS-MDFO – 1/2, 3/4</w:t>
            </w:r>
          </w:p>
        </w:tc>
        <w:tc>
          <w:tcPr>
            <w:tcW w:w="1126" w:type="dxa"/>
          </w:tcPr>
          <w:p w:rsidR="00253A39" w:rsidRPr="00BE3323" w:rsidRDefault="00253A39" w:rsidP="00D131F9">
            <w:pPr>
              <w:pStyle w:val="Tabletext"/>
              <w:jc w:val="left"/>
              <w:rPr>
                <w:sz w:val="18"/>
                <w:szCs w:val="18"/>
              </w:rPr>
            </w:pPr>
            <w:r w:rsidRPr="00BE3323">
              <w:rPr>
                <w:sz w:val="18"/>
                <w:szCs w:val="18"/>
              </w:rPr>
              <w:t>CC</w:t>
            </w:r>
          </w:p>
        </w:tc>
        <w:tc>
          <w:tcPr>
            <w:tcW w:w="1465" w:type="dxa"/>
          </w:tcPr>
          <w:p w:rsidR="00253A39" w:rsidRPr="00BE3323" w:rsidRDefault="00253A39" w:rsidP="00D131F9">
            <w:pPr>
              <w:pStyle w:val="Tabletext"/>
              <w:jc w:val="left"/>
              <w:rPr>
                <w:sz w:val="18"/>
                <w:szCs w:val="18"/>
              </w:rPr>
            </w:pPr>
            <w:r w:rsidRPr="00BE3323">
              <w:rPr>
                <w:sz w:val="18"/>
                <w:szCs w:val="18"/>
              </w:rPr>
              <w:t>13,5 Mbit/s</w:t>
            </w:r>
          </w:p>
        </w:tc>
        <w:tc>
          <w:tcPr>
            <w:tcW w:w="942" w:type="dxa"/>
          </w:tcPr>
          <w:p w:rsidR="00253A39" w:rsidRPr="00BE3323" w:rsidRDefault="00253A39" w:rsidP="00D131F9">
            <w:pPr>
              <w:pStyle w:val="Tabletext"/>
              <w:jc w:val="left"/>
              <w:rPr>
                <w:sz w:val="18"/>
                <w:szCs w:val="18"/>
              </w:rPr>
            </w:pPr>
            <w:r w:rsidRPr="00BE3323">
              <w:rPr>
                <w:sz w:val="18"/>
                <w:szCs w:val="18"/>
              </w:rPr>
              <w:t>No</w:t>
            </w:r>
          </w:p>
        </w:tc>
        <w:tc>
          <w:tcPr>
            <w:tcW w:w="981" w:type="dxa"/>
          </w:tcPr>
          <w:p w:rsidR="00253A39" w:rsidRPr="00BE3323" w:rsidRDefault="00253A39" w:rsidP="00D131F9">
            <w:pPr>
              <w:pStyle w:val="Tabletext"/>
              <w:jc w:val="left"/>
              <w:rPr>
                <w:sz w:val="18"/>
                <w:szCs w:val="18"/>
              </w:rPr>
            </w:pPr>
            <w:r w:rsidRPr="00BE3323">
              <w:rPr>
                <w:sz w:val="18"/>
                <w:szCs w:val="18"/>
              </w:rPr>
              <w:t>No</w:t>
            </w:r>
          </w:p>
        </w:tc>
        <w:tc>
          <w:tcPr>
            <w:tcW w:w="1033" w:type="dxa"/>
          </w:tcPr>
          <w:p w:rsidR="00253A39" w:rsidRPr="00BE3323" w:rsidRDefault="00253A39" w:rsidP="00D131F9">
            <w:pPr>
              <w:pStyle w:val="Tabletext"/>
              <w:jc w:val="left"/>
              <w:rPr>
                <w:sz w:val="18"/>
                <w:szCs w:val="18"/>
              </w:rPr>
            </w:pPr>
            <w:r w:rsidRPr="00BE3323">
              <w:rPr>
                <w:sz w:val="18"/>
                <w:szCs w:val="18"/>
              </w:rPr>
              <w:t>DDT</w:t>
            </w:r>
          </w:p>
        </w:tc>
        <w:tc>
          <w:tcPr>
            <w:tcW w:w="1113" w:type="dxa"/>
          </w:tcPr>
          <w:p w:rsidR="00253A39" w:rsidRPr="00BE3323" w:rsidRDefault="00253A39" w:rsidP="00D131F9">
            <w:pPr>
              <w:pStyle w:val="Tabletext"/>
              <w:jc w:val="left"/>
              <w:rPr>
                <w:sz w:val="18"/>
                <w:szCs w:val="18"/>
              </w:rPr>
            </w:pPr>
            <w:r w:rsidRPr="00BE3323">
              <w:rPr>
                <w:sz w:val="18"/>
                <w:szCs w:val="18"/>
              </w:rPr>
              <w:t>CSMA/CA</w:t>
            </w:r>
          </w:p>
        </w:tc>
        <w:tc>
          <w:tcPr>
            <w:tcW w:w="1246" w:type="dxa"/>
          </w:tcPr>
          <w:p w:rsidR="00253A39" w:rsidRPr="00BE3323" w:rsidRDefault="00253A39" w:rsidP="00D131F9">
            <w:pPr>
              <w:pStyle w:val="Tabletext"/>
              <w:jc w:val="left"/>
              <w:rPr>
                <w:sz w:val="18"/>
                <w:szCs w:val="18"/>
              </w:rPr>
            </w:pPr>
            <w:r w:rsidRPr="00BE3323">
              <w:rPr>
                <w:sz w:val="18"/>
                <w:szCs w:val="18"/>
              </w:rPr>
              <w:t>Duración de trama variable</w:t>
            </w:r>
          </w:p>
        </w:tc>
        <w:tc>
          <w:tcPr>
            <w:tcW w:w="1064" w:type="dxa"/>
          </w:tcPr>
          <w:p w:rsidR="00253A39" w:rsidRPr="00BE3323" w:rsidRDefault="00253A39" w:rsidP="00D131F9">
            <w:pPr>
              <w:pStyle w:val="Tabletext"/>
              <w:jc w:val="left"/>
              <w:rPr>
                <w:sz w:val="18"/>
                <w:szCs w:val="18"/>
              </w:rPr>
            </w:pPr>
            <w:r w:rsidRPr="00BE3323">
              <w:rPr>
                <w:sz w:val="18"/>
                <w:szCs w:val="18"/>
              </w:rPr>
              <w:t>Nómada</w:t>
            </w:r>
          </w:p>
        </w:tc>
      </w:tr>
      <w:tr w:rsidR="00253A39" w:rsidRPr="00BE3323" w:rsidTr="00253A39">
        <w:trPr>
          <w:cantSplit/>
          <w:jc w:val="center"/>
        </w:trPr>
        <w:tc>
          <w:tcPr>
            <w:tcW w:w="1529" w:type="dxa"/>
          </w:tcPr>
          <w:p w:rsidR="00253A39" w:rsidRPr="00253A39" w:rsidRDefault="00253A39" w:rsidP="00D131F9">
            <w:pPr>
              <w:pStyle w:val="Tabletext"/>
              <w:tabs>
                <w:tab w:val="clear" w:pos="1418"/>
              </w:tabs>
              <w:ind w:right="-134"/>
              <w:jc w:val="left"/>
              <w:rPr>
                <w:sz w:val="18"/>
                <w:szCs w:val="18"/>
                <w:lang w:val="es-ES_tradnl"/>
              </w:rPr>
            </w:pPr>
            <w:r w:rsidRPr="00253A39">
              <w:rPr>
                <w:sz w:val="18"/>
                <w:szCs w:val="18"/>
                <w:lang w:val="es-ES_tradnl"/>
              </w:rPr>
              <w:t>IEEE 802.11-2012 Modificada por IEEE 802.11n (subcláusula 20) (Anexo 1)</w:t>
            </w:r>
            <w:r w:rsidRPr="00253A39" w:rsidDel="00C66425">
              <w:rPr>
                <w:sz w:val="18"/>
                <w:szCs w:val="18"/>
                <w:lang w:val="es-ES_tradnl"/>
              </w:rPr>
              <w:t xml:space="preserve"> </w:t>
            </w:r>
          </w:p>
        </w:tc>
        <w:tc>
          <w:tcPr>
            <w:tcW w:w="1727" w:type="dxa"/>
          </w:tcPr>
          <w:p w:rsidR="00253A39" w:rsidRPr="00BE3323" w:rsidRDefault="00253A39" w:rsidP="00D131F9">
            <w:pPr>
              <w:pStyle w:val="Tabletext"/>
              <w:jc w:val="left"/>
              <w:rPr>
                <w:sz w:val="18"/>
                <w:szCs w:val="18"/>
              </w:rPr>
            </w:pPr>
            <w:r w:rsidRPr="00BE3323">
              <w:rPr>
                <w:sz w:val="18"/>
                <w:szCs w:val="18"/>
              </w:rPr>
              <w:t>20 MHz</w:t>
            </w:r>
          </w:p>
          <w:p w:rsidR="00253A39" w:rsidRPr="00BE3323" w:rsidRDefault="00253A39" w:rsidP="00D131F9">
            <w:pPr>
              <w:pStyle w:val="Tabletext"/>
              <w:jc w:val="left"/>
              <w:rPr>
                <w:sz w:val="18"/>
                <w:szCs w:val="18"/>
              </w:rPr>
            </w:pPr>
            <w:r w:rsidRPr="00BE3323">
              <w:rPr>
                <w:sz w:val="18"/>
                <w:szCs w:val="18"/>
              </w:rPr>
              <w:t>40 MHz</w:t>
            </w:r>
          </w:p>
        </w:tc>
        <w:tc>
          <w:tcPr>
            <w:tcW w:w="2233" w:type="dxa"/>
          </w:tcPr>
          <w:p w:rsidR="00253A39" w:rsidRPr="00253A39" w:rsidRDefault="00253A39" w:rsidP="00D131F9">
            <w:pPr>
              <w:pStyle w:val="Tabletext"/>
              <w:jc w:val="left"/>
              <w:rPr>
                <w:sz w:val="18"/>
                <w:szCs w:val="18"/>
                <w:lang w:val="es-ES_tradnl"/>
              </w:rPr>
            </w:pPr>
            <w:r w:rsidRPr="00253A39">
              <w:rPr>
                <w:sz w:val="18"/>
                <w:szCs w:val="18"/>
                <w:lang w:val="es-ES_tradnl"/>
              </w:rPr>
              <w:t xml:space="preserve">Ascendente y descendente: </w:t>
            </w:r>
          </w:p>
          <w:p w:rsidR="00253A39" w:rsidRPr="00253A39" w:rsidDel="00151AF0" w:rsidRDefault="00253A39" w:rsidP="00D131F9">
            <w:pPr>
              <w:pStyle w:val="Tabletext"/>
              <w:jc w:val="left"/>
              <w:rPr>
                <w:sz w:val="18"/>
                <w:szCs w:val="18"/>
                <w:lang w:val="es-ES_tradnl"/>
              </w:rPr>
            </w:pPr>
            <w:r w:rsidRPr="00253A39">
              <w:rPr>
                <w:sz w:val="18"/>
                <w:szCs w:val="18"/>
                <w:lang w:val="es-ES_tradnl"/>
              </w:rPr>
              <w:t>MAQ-64 MDF- 2/3, 3/4, 5/6</w:t>
            </w:r>
            <w:r w:rsidRPr="00253A39">
              <w:rPr>
                <w:sz w:val="18"/>
                <w:szCs w:val="18"/>
                <w:lang w:val="es-ES_tradnl"/>
              </w:rPr>
              <w:br/>
              <w:t>MAQ-16 MDFO –1/2, 3/4</w:t>
            </w:r>
            <w:r w:rsidRPr="00253A39">
              <w:rPr>
                <w:sz w:val="18"/>
                <w:szCs w:val="18"/>
                <w:lang w:val="es-ES_tradnl"/>
              </w:rPr>
              <w:br/>
              <w:t>MDP-4 MDFO – 1/2, 3/4</w:t>
            </w:r>
            <w:r w:rsidRPr="00253A39">
              <w:rPr>
                <w:sz w:val="18"/>
                <w:szCs w:val="18"/>
                <w:lang w:val="es-ES_tradnl"/>
              </w:rPr>
              <w:br/>
              <w:t>MDP-2 MDFO – 1/2</w:t>
            </w:r>
          </w:p>
        </w:tc>
        <w:tc>
          <w:tcPr>
            <w:tcW w:w="1126" w:type="dxa"/>
          </w:tcPr>
          <w:p w:rsidR="00253A39" w:rsidRPr="00BE3323" w:rsidRDefault="00253A39" w:rsidP="00D131F9">
            <w:pPr>
              <w:pStyle w:val="Tabletext"/>
              <w:jc w:val="left"/>
              <w:rPr>
                <w:sz w:val="18"/>
                <w:szCs w:val="18"/>
              </w:rPr>
            </w:pPr>
            <w:r w:rsidRPr="00BE3323">
              <w:rPr>
                <w:sz w:val="18"/>
                <w:szCs w:val="18"/>
              </w:rPr>
              <w:t>CC y LDPC</w:t>
            </w:r>
          </w:p>
        </w:tc>
        <w:tc>
          <w:tcPr>
            <w:tcW w:w="1465" w:type="dxa"/>
          </w:tcPr>
          <w:p w:rsidR="00253A39" w:rsidRPr="00BE3323" w:rsidRDefault="00253A39" w:rsidP="00D131F9">
            <w:pPr>
              <w:pStyle w:val="Tabletext"/>
              <w:jc w:val="left"/>
              <w:rPr>
                <w:sz w:val="18"/>
                <w:szCs w:val="18"/>
              </w:rPr>
            </w:pPr>
            <w:r w:rsidRPr="00BE3323">
              <w:rPr>
                <w:sz w:val="18"/>
                <w:szCs w:val="18"/>
              </w:rPr>
              <w:t>75 Mbit/s</w:t>
            </w:r>
          </w:p>
        </w:tc>
        <w:tc>
          <w:tcPr>
            <w:tcW w:w="942" w:type="dxa"/>
          </w:tcPr>
          <w:p w:rsidR="00253A39" w:rsidRPr="00BE3323" w:rsidRDefault="00253A39" w:rsidP="00D131F9">
            <w:pPr>
              <w:pStyle w:val="Tabletext"/>
              <w:jc w:val="left"/>
              <w:rPr>
                <w:sz w:val="18"/>
                <w:szCs w:val="18"/>
              </w:rPr>
            </w:pPr>
            <w:r w:rsidRPr="00BE3323">
              <w:rPr>
                <w:sz w:val="18"/>
                <w:szCs w:val="18"/>
              </w:rPr>
              <w:t>Sí</w:t>
            </w:r>
          </w:p>
        </w:tc>
        <w:tc>
          <w:tcPr>
            <w:tcW w:w="981" w:type="dxa"/>
          </w:tcPr>
          <w:p w:rsidR="00253A39" w:rsidRPr="00BE3323" w:rsidRDefault="00253A39" w:rsidP="00D131F9">
            <w:pPr>
              <w:pStyle w:val="Tabletext"/>
              <w:jc w:val="left"/>
              <w:rPr>
                <w:sz w:val="18"/>
                <w:szCs w:val="18"/>
              </w:rPr>
            </w:pPr>
            <w:r w:rsidRPr="00BE3323">
              <w:rPr>
                <w:sz w:val="18"/>
                <w:szCs w:val="18"/>
              </w:rPr>
              <w:t>Sí</w:t>
            </w:r>
          </w:p>
        </w:tc>
        <w:tc>
          <w:tcPr>
            <w:tcW w:w="1033" w:type="dxa"/>
          </w:tcPr>
          <w:p w:rsidR="00253A39" w:rsidRPr="00BE3323" w:rsidRDefault="00253A39" w:rsidP="00D131F9">
            <w:pPr>
              <w:pStyle w:val="Tabletext"/>
              <w:jc w:val="left"/>
              <w:rPr>
                <w:sz w:val="18"/>
                <w:szCs w:val="18"/>
              </w:rPr>
            </w:pPr>
            <w:r w:rsidRPr="00BE3323">
              <w:rPr>
                <w:sz w:val="18"/>
                <w:szCs w:val="18"/>
              </w:rPr>
              <w:t>DDT</w:t>
            </w:r>
          </w:p>
        </w:tc>
        <w:tc>
          <w:tcPr>
            <w:tcW w:w="1113" w:type="dxa"/>
          </w:tcPr>
          <w:p w:rsidR="00253A39" w:rsidRPr="00BE3323" w:rsidRDefault="00253A39" w:rsidP="00D131F9">
            <w:pPr>
              <w:pStyle w:val="Tabletext"/>
              <w:jc w:val="left"/>
              <w:rPr>
                <w:sz w:val="18"/>
                <w:szCs w:val="18"/>
              </w:rPr>
            </w:pPr>
            <w:r w:rsidRPr="00BE3323">
              <w:rPr>
                <w:sz w:val="18"/>
                <w:szCs w:val="18"/>
              </w:rPr>
              <w:t>CSMA/CA</w:t>
            </w:r>
          </w:p>
        </w:tc>
        <w:tc>
          <w:tcPr>
            <w:tcW w:w="1246" w:type="dxa"/>
          </w:tcPr>
          <w:p w:rsidR="00253A39" w:rsidRPr="00BE3323" w:rsidRDefault="00253A39" w:rsidP="00D131F9">
            <w:pPr>
              <w:pStyle w:val="Tabletext"/>
              <w:jc w:val="left"/>
              <w:rPr>
                <w:sz w:val="18"/>
                <w:szCs w:val="18"/>
              </w:rPr>
            </w:pPr>
            <w:r w:rsidRPr="00BE3323">
              <w:rPr>
                <w:sz w:val="18"/>
                <w:szCs w:val="18"/>
              </w:rPr>
              <w:t>Duración de trama variable</w:t>
            </w:r>
          </w:p>
        </w:tc>
        <w:tc>
          <w:tcPr>
            <w:tcW w:w="1064" w:type="dxa"/>
          </w:tcPr>
          <w:p w:rsidR="00253A39" w:rsidRPr="00BE3323" w:rsidRDefault="00253A39" w:rsidP="00D131F9">
            <w:pPr>
              <w:pStyle w:val="Tabletext"/>
              <w:jc w:val="left"/>
              <w:rPr>
                <w:sz w:val="18"/>
                <w:szCs w:val="18"/>
              </w:rPr>
            </w:pPr>
            <w:r w:rsidRPr="00BE3323">
              <w:rPr>
                <w:sz w:val="18"/>
                <w:szCs w:val="18"/>
              </w:rPr>
              <w:t>Nómada</w:t>
            </w:r>
          </w:p>
        </w:tc>
      </w:tr>
    </w:tbl>
    <w:p w:rsidR="00253A39" w:rsidRPr="00BE3323" w:rsidRDefault="00253A39" w:rsidP="00253A39">
      <w:pPr>
        <w:pStyle w:val="TableNo"/>
      </w:pPr>
      <w:r w:rsidRPr="00BE3323">
        <w:lastRenderedPageBreak/>
        <w:t>CUADRO 5 (</w:t>
      </w:r>
      <w:r w:rsidRPr="00BE3323">
        <w:rPr>
          <w:i/>
          <w:iCs/>
        </w:rPr>
        <w:t>continuación</w:t>
      </w:r>
      <w:r w:rsidRPr="00BE332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800"/>
        <w:gridCol w:w="2160"/>
        <w:gridCol w:w="1126"/>
        <w:gridCol w:w="1465"/>
        <w:gridCol w:w="942"/>
        <w:gridCol w:w="981"/>
        <w:gridCol w:w="1033"/>
        <w:gridCol w:w="1113"/>
        <w:gridCol w:w="1246"/>
        <w:gridCol w:w="1064"/>
      </w:tblGrid>
      <w:tr w:rsidR="00253A39" w:rsidRPr="00DA2419" w:rsidTr="00253A39">
        <w:trPr>
          <w:cantSplit/>
          <w:tblHeader/>
          <w:jc w:val="center"/>
        </w:trPr>
        <w:tc>
          <w:tcPr>
            <w:tcW w:w="1529"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Norma</w:t>
            </w:r>
          </w:p>
        </w:tc>
        <w:tc>
          <w:tcPr>
            <w:tcW w:w="1800"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0" w:type="dxa"/>
            <w:tcMar>
              <w:left w:w="57" w:type="dxa"/>
              <w:right w:w="57" w:type="dxa"/>
            </w:tcMar>
            <w:vAlign w:val="center"/>
          </w:tcPr>
          <w:p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Soporte de codificación</w:t>
            </w:r>
          </w:p>
        </w:tc>
        <w:tc>
          <w:tcPr>
            <w:tcW w:w="1465"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Soporta MIMO (sí/no)</w:t>
            </w:r>
          </w:p>
        </w:tc>
        <w:tc>
          <w:tcPr>
            <w:tcW w:w="1033"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 dúplex</w:t>
            </w:r>
          </w:p>
        </w:tc>
        <w:tc>
          <w:tcPr>
            <w:tcW w:w="1113"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246"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rsidTr="00253A39">
        <w:trPr>
          <w:cantSplit/>
          <w:jc w:val="center"/>
        </w:trPr>
        <w:tc>
          <w:tcPr>
            <w:tcW w:w="1529" w:type="dxa"/>
          </w:tcPr>
          <w:p w:rsidR="00253A39" w:rsidRPr="00BE3323" w:rsidRDefault="00253A39" w:rsidP="00D131F9">
            <w:pPr>
              <w:pStyle w:val="Tabletext"/>
              <w:jc w:val="left"/>
              <w:rPr>
                <w:sz w:val="18"/>
                <w:szCs w:val="18"/>
              </w:rPr>
            </w:pPr>
            <w:r w:rsidRPr="00BE3323">
              <w:rPr>
                <w:sz w:val="18"/>
                <w:szCs w:val="18"/>
              </w:rPr>
              <w:t>ETSI BRAN HiperLAN 2</w:t>
            </w:r>
            <w:r w:rsidRPr="00BE3323">
              <w:rPr>
                <w:sz w:val="18"/>
                <w:szCs w:val="18"/>
              </w:rPr>
              <w:br/>
              <w:t>(Anexo 1)</w:t>
            </w:r>
          </w:p>
        </w:tc>
        <w:tc>
          <w:tcPr>
            <w:tcW w:w="1800" w:type="dxa"/>
          </w:tcPr>
          <w:p w:rsidR="00253A39" w:rsidRPr="00BE3323" w:rsidRDefault="00253A39" w:rsidP="00D131F9">
            <w:pPr>
              <w:pStyle w:val="Tabletext"/>
              <w:jc w:val="left"/>
              <w:rPr>
                <w:sz w:val="18"/>
                <w:szCs w:val="18"/>
              </w:rPr>
            </w:pPr>
            <w:r w:rsidRPr="00BE3323">
              <w:rPr>
                <w:sz w:val="18"/>
                <w:szCs w:val="18"/>
              </w:rPr>
              <w:t>20 MHz</w:t>
            </w:r>
          </w:p>
        </w:tc>
        <w:tc>
          <w:tcPr>
            <w:tcW w:w="2160" w:type="dxa"/>
          </w:tcPr>
          <w:p w:rsidR="00253A39" w:rsidRPr="00253A39" w:rsidRDefault="00253A39" w:rsidP="00D131F9">
            <w:pPr>
              <w:pStyle w:val="Tabletext"/>
              <w:jc w:val="left"/>
              <w:rPr>
                <w:sz w:val="18"/>
                <w:szCs w:val="18"/>
                <w:lang w:val="es-ES_tradnl"/>
              </w:rPr>
            </w:pPr>
            <w:r w:rsidRPr="00253A39">
              <w:rPr>
                <w:sz w:val="18"/>
                <w:szCs w:val="18"/>
                <w:lang w:val="es-ES_tradnl"/>
              </w:rPr>
              <w:t>Ascendente y descendente</w:t>
            </w:r>
          </w:p>
          <w:p w:rsidR="00253A39" w:rsidRPr="00253A39" w:rsidRDefault="00253A39" w:rsidP="00D131F9">
            <w:pPr>
              <w:pStyle w:val="Tabletext"/>
              <w:jc w:val="left"/>
              <w:rPr>
                <w:sz w:val="18"/>
                <w:szCs w:val="18"/>
                <w:lang w:val="es-ES_tradnl"/>
              </w:rPr>
            </w:pPr>
            <w:r w:rsidRPr="00253A39">
              <w:rPr>
                <w:sz w:val="18"/>
                <w:szCs w:val="18"/>
                <w:lang w:val="es-ES_tradnl"/>
              </w:rPr>
              <w:t xml:space="preserve">MAQ-64-MDFO </w:t>
            </w:r>
            <w:r w:rsidRPr="00253A39">
              <w:rPr>
                <w:sz w:val="18"/>
                <w:szCs w:val="18"/>
                <w:lang w:val="es-ES_tradnl"/>
              </w:rPr>
              <w:br/>
              <w:t>MAQ-16-MDFO</w:t>
            </w:r>
            <w:r w:rsidRPr="00253A39">
              <w:rPr>
                <w:sz w:val="18"/>
                <w:szCs w:val="18"/>
                <w:lang w:val="es-ES_tradnl"/>
              </w:rPr>
              <w:br/>
              <w:t>MDP-4-MDFO</w:t>
            </w:r>
            <w:r w:rsidRPr="00253A39">
              <w:rPr>
                <w:sz w:val="18"/>
                <w:szCs w:val="18"/>
                <w:lang w:val="es-ES_tradnl"/>
              </w:rPr>
              <w:br/>
              <w:t>MDP-2-MDFO</w:t>
            </w:r>
          </w:p>
        </w:tc>
        <w:tc>
          <w:tcPr>
            <w:tcW w:w="1126" w:type="dxa"/>
          </w:tcPr>
          <w:p w:rsidR="00253A39" w:rsidRPr="00BE3323" w:rsidRDefault="00253A39" w:rsidP="00D131F9">
            <w:pPr>
              <w:pStyle w:val="Tabletext"/>
              <w:jc w:val="left"/>
              <w:rPr>
                <w:sz w:val="18"/>
                <w:szCs w:val="18"/>
              </w:rPr>
            </w:pPr>
            <w:r w:rsidRPr="00BE3323">
              <w:rPr>
                <w:sz w:val="18"/>
                <w:szCs w:val="18"/>
              </w:rPr>
              <w:t>CC</w:t>
            </w:r>
          </w:p>
        </w:tc>
        <w:tc>
          <w:tcPr>
            <w:tcW w:w="1465" w:type="dxa"/>
          </w:tcPr>
          <w:p w:rsidR="00253A39" w:rsidRPr="00253A39" w:rsidRDefault="00253A39" w:rsidP="00D131F9">
            <w:pPr>
              <w:pStyle w:val="Tabletext"/>
              <w:jc w:val="left"/>
              <w:rPr>
                <w:sz w:val="18"/>
                <w:szCs w:val="18"/>
                <w:lang w:val="es-ES_tradnl"/>
              </w:rPr>
            </w:pPr>
            <w:r w:rsidRPr="00253A39">
              <w:rPr>
                <w:sz w:val="18"/>
                <w:szCs w:val="18"/>
                <w:lang w:val="es-ES_tradnl"/>
              </w:rPr>
              <w:t>6, 9, 12, 18, 27, 36 y 54 Mbit/s en canales de 20 MHz (sólo se soportan canales de 20 MHz)</w:t>
            </w:r>
          </w:p>
        </w:tc>
        <w:tc>
          <w:tcPr>
            <w:tcW w:w="942" w:type="dxa"/>
          </w:tcPr>
          <w:p w:rsidR="00253A39" w:rsidRPr="00BE3323" w:rsidRDefault="00253A39" w:rsidP="00D131F9">
            <w:pPr>
              <w:pStyle w:val="Tabletext"/>
              <w:jc w:val="left"/>
              <w:rPr>
                <w:sz w:val="18"/>
                <w:szCs w:val="18"/>
              </w:rPr>
            </w:pPr>
            <w:r w:rsidRPr="00BE3323">
              <w:rPr>
                <w:sz w:val="18"/>
                <w:szCs w:val="18"/>
              </w:rPr>
              <w:t>No</w:t>
            </w:r>
          </w:p>
        </w:tc>
        <w:tc>
          <w:tcPr>
            <w:tcW w:w="981" w:type="dxa"/>
          </w:tcPr>
          <w:p w:rsidR="00253A39" w:rsidRPr="00BE3323" w:rsidRDefault="00253A39" w:rsidP="00D131F9">
            <w:pPr>
              <w:pStyle w:val="Tabletext"/>
              <w:jc w:val="left"/>
              <w:rPr>
                <w:sz w:val="18"/>
                <w:szCs w:val="18"/>
              </w:rPr>
            </w:pPr>
            <w:r w:rsidRPr="00BE3323">
              <w:rPr>
                <w:sz w:val="18"/>
                <w:szCs w:val="18"/>
              </w:rPr>
              <w:t>No</w:t>
            </w:r>
          </w:p>
        </w:tc>
        <w:tc>
          <w:tcPr>
            <w:tcW w:w="1033" w:type="dxa"/>
          </w:tcPr>
          <w:p w:rsidR="00253A39" w:rsidRPr="00BE3323" w:rsidRDefault="00253A39" w:rsidP="00D131F9">
            <w:pPr>
              <w:pStyle w:val="Tabletext"/>
              <w:jc w:val="left"/>
              <w:rPr>
                <w:sz w:val="18"/>
                <w:szCs w:val="18"/>
              </w:rPr>
            </w:pPr>
            <w:r w:rsidRPr="00BE3323">
              <w:rPr>
                <w:sz w:val="18"/>
                <w:szCs w:val="18"/>
              </w:rPr>
              <w:t>DDT</w:t>
            </w:r>
          </w:p>
        </w:tc>
        <w:tc>
          <w:tcPr>
            <w:tcW w:w="1113" w:type="dxa"/>
          </w:tcPr>
          <w:p w:rsidR="00253A39" w:rsidRPr="00BE3323" w:rsidRDefault="00253A39" w:rsidP="00D131F9">
            <w:pPr>
              <w:pStyle w:val="Tabletext"/>
              <w:jc w:val="left"/>
              <w:rPr>
                <w:sz w:val="18"/>
                <w:szCs w:val="18"/>
              </w:rPr>
            </w:pPr>
            <w:r w:rsidRPr="00BE3323">
              <w:rPr>
                <w:sz w:val="18"/>
                <w:szCs w:val="18"/>
              </w:rPr>
              <w:t>AMDT</w:t>
            </w:r>
          </w:p>
        </w:tc>
        <w:tc>
          <w:tcPr>
            <w:tcW w:w="1246" w:type="dxa"/>
          </w:tcPr>
          <w:p w:rsidR="00253A39" w:rsidRPr="00BE3323" w:rsidRDefault="00253A39" w:rsidP="00D131F9">
            <w:pPr>
              <w:pStyle w:val="Tabletext"/>
              <w:jc w:val="left"/>
              <w:rPr>
                <w:sz w:val="18"/>
                <w:szCs w:val="18"/>
              </w:rPr>
            </w:pPr>
            <w:r w:rsidRPr="00BE3323">
              <w:rPr>
                <w:sz w:val="18"/>
                <w:szCs w:val="18"/>
              </w:rPr>
              <w:t>2 ms</w:t>
            </w:r>
          </w:p>
        </w:tc>
        <w:tc>
          <w:tcPr>
            <w:tcW w:w="1064" w:type="dxa"/>
          </w:tcPr>
          <w:p w:rsidR="00253A39" w:rsidRPr="00BE3323" w:rsidRDefault="00253A39" w:rsidP="00D131F9">
            <w:pPr>
              <w:pStyle w:val="Tabletext"/>
              <w:jc w:val="left"/>
              <w:rPr>
                <w:sz w:val="18"/>
                <w:szCs w:val="18"/>
              </w:rPr>
            </w:pPr>
            <w:r w:rsidRPr="00BE3323">
              <w:rPr>
                <w:sz w:val="18"/>
                <w:szCs w:val="18"/>
              </w:rPr>
              <w:t>Nómada</w:t>
            </w:r>
          </w:p>
        </w:tc>
      </w:tr>
      <w:tr w:rsidR="00253A39" w:rsidRPr="00BE3323" w:rsidTr="00253A39">
        <w:trPr>
          <w:cantSplit/>
          <w:jc w:val="center"/>
        </w:trPr>
        <w:tc>
          <w:tcPr>
            <w:tcW w:w="1529" w:type="dxa"/>
          </w:tcPr>
          <w:p w:rsidR="00253A39" w:rsidRPr="00BE3323" w:rsidRDefault="00253A39" w:rsidP="00D131F9">
            <w:pPr>
              <w:pStyle w:val="Tabletext"/>
              <w:jc w:val="left"/>
              <w:rPr>
                <w:sz w:val="18"/>
                <w:szCs w:val="18"/>
              </w:rPr>
            </w:pPr>
            <w:r w:rsidRPr="00BE3323">
              <w:rPr>
                <w:sz w:val="18"/>
                <w:szCs w:val="18"/>
              </w:rPr>
              <w:t>ARIB HiSWANa</w:t>
            </w:r>
            <w:r w:rsidRPr="00BE3323">
              <w:rPr>
                <w:sz w:val="18"/>
                <w:szCs w:val="18"/>
              </w:rPr>
              <w:br/>
              <w:t>(Anexo 1)</w:t>
            </w:r>
          </w:p>
        </w:tc>
        <w:tc>
          <w:tcPr>
            <w:tcW w:w="1800" w:type="dxa"/>
          </w:tcPr>
          <w:p w:rsidR="00253A39" w:rsidRPr="00BE3323" w:rsidRDefault="00253A39" w:rsidP="00D131F9">
            <w:pPr>
              <w:pStyle w:val="Tabletext"/>
              <w:ind w:right="-57"/>
              <w:jc w:val="left"/>
              <w:rPr>
                <w:sz w:val="18"/>
                <w:szCs w:val="18"/>
                <w:lang w:eastAsia="ja-JP"/>
              </w:rPr>
            </w:pPr>
            <w:r w:rsidRPr="00BE3323">
              <w:rPr>
                <w:sz w:val="18"/>
                <w:szCs w:val="18"/>
                <w:lang w:eastAsia="ja-JP"/>
              </w:rPr>
              <w:t>4</w:t>
            </w:r>
            <w:r w:rsidRPr="00BE3323">
              <w:rPr>
                <w:sz w:val="18"/>
                <w:szCs w:val="18"/>
              </w:rPr>
              <w:t> × </w:t>
            </w:r>
            <w:r w:rsidRPr="00BE3323">
              <w:rPr>
                <w:sz w:val="18"/>
                <w:szCs w:val="18"/>
                <w:lang w:eastAsia="ja-JP"/>
              </w:rPr>
              <w:t>20</w:t>
            </w:r>
            <w:r w:rsidRPr="00BE3323">
              <w:rPr>
                <w:sz w:val="18"/>
                <w:szCs w:val="18"/>
              </w:rPr>
              <w:t xml:space="preserve"> MHz </w:t>
            </w:r>
            <w:r w:rsidRPr="00BE3323">
              <w:rPr>
                <w:sz w:val="18"/>
                <w:szCs w:val="18"/>
              </w:rPr>
              <w:br/>
            </w:r>
            <w:r w:rsidRPr="00BE3323">
              <w:rPr>
                <w:sz w:val="18"/>
                <w:szCs w:val="18"/>
                <w:lang w:eastAsia="ja-JP"/>
              </w:rPr>
              <w:t>(5,15-5,25 GHz)</w:t>
            </w:r>
          </w:p>
          <w:p w:rsidR="00253A39" w:rsidRPr="00BE3323" w:rsidRDefault="00253A39" w:rsidP="00D131F9">
            <w:pPr>
              <w:pStyle w:val="Tabletext"/>
              <w:jc w:val="left"/>
              <w:rPr>
                <w:sz w:val="18"/>
                <w:szCs w:val="18"/>
              </w:rPr>
            </w:pPr>
            <w:r w:rsidRPr="00BE3323">
              <w:rPr>
                <w:sz w:val="18"/>
                <w:szCs w:val="18"/>
                <w:lang w:eastAsia="ja-JP"/>
              </w:rPr>
              <w:t>4</w:t>
            </w:r>
            <w:r w:rsidRPr="00BE3323">
              <w:rPr>
                <w:sz w:val="18"/>
                <w:szCs w:val="18"/>
              </w:rPr>
              <w:t> × </w:t>
            </w:r>
            <w:r w:rsidRPr="00BE3323">
              <w:rPr>
                <w:sz w:val="18"/>
                <w:szCs w:val="18"/>
                <w:lang w:eastAsia="ja-JP"/>
              </w:rPr>
              <w:t>20</w:t>
            </w:r>
            <w:r w:rsidRPr="00BE3323">
              <w:rPr>
                <w:sz w:val="18"/>
                <w:szCs w:val="18"/>
              </w:rPr>
              <w:t> MHz</w:t>
            </w:r>
            <w:r w:rsidRPr="00BE3323">
              <w:rPr>
                <w:sz w:val="18"/>
                <w:szCs w:val="18"/>
                <w:lang w:eastAsia="ja-JP"/>
              </w:rPr>
              <w:br/>
              <w:t>(4,9-5,0 GHz)</w:t>
            </w:r>
          </w:p>
        </w:tc>
        <w:tc>
          <w:tcPr>
            <w:tcW w:w="2160" w:type="dxa"/>
          </w:tcPr>
          <w:p w:rsidR="00253A39" w:rsidRPr="00BE3323" w:rsidRDefault="00253A39" w:rsidP="00D131F9">
            <w:pPr>
              <w:pStyle w:val="Tabletext"/>
              <w:jc w:val="left"/>
              <w:rPr>
                <w:sz w:val="18"/>
                <w:szCs w:val="18"/>
              </w:rPr>
            </w:pPr>
            <w:r w:rsidRPr="00BE3323">
              <w:rPr>
                <w:sz w:val="18"/>
                <w:szCs w:val="18"/>
              </w:rPr>
              <w:t>–</w:t>
            </w:r>
            <w:r w:rsidRPr="00BE3323">
              <w:rPr>
                <w:sz w:val="18"/>
                <w:szCs w:val="18"/>
              </w:rPr>
              <w:tab/>
            </w:r>
            <w:r w:rsidRPr="00BE3323">
              <w:rPr>
                <w:sz w:val="18"/>
                <w:szCs w:val="18"/>
                <w:lang w:eastAsia="ja-JP"/>
              </w:rPr>
              <w:t>MDP-2 1/2</w:t>
            </w:r>
            <w:r w:rsidRPr="00BE3323">
              <w:rPr>
                <w:sz w:val="18"/>
                <w:szCs w:val="18"/>
                <w:lang w:eastAsia="ja-JP"/>
              </w:rPr>
              <w:br/>
            </w:r>
            <w:r w:rsidRPr="00BE3323">
              <w:rPr>
                <w:sz w:val="18"/>
                <w:szCs w:val="18"/>
              </w:rPr>
              <w:t>–</w:t>
            </w:r>
            <w:r w:rsidRPr="00BE3323">
              <w:rPr>
                <w:sz w:val="18"/>
                <w:szCs w:val="18"/>
              </w:rPr>
              <w:tab/>
              <w:t>MDP-2</w:t>
            </w:r>
            <w:r w:rsidRPr="00BE3323">
              <w:rPr>
                <w:sz w:val="18"/>
                <w:szCs w:val="18"/>
                <w:lang w:eastAsia="ja-JP"/>
              </w:rPr>
              <w:t xml:space="preserve"> 3/4</w:t>
            </w:r>
            <w:r w:rsidRPr="00BE3323">
              <w:rPr>
                <w:sz w:val="18"/>
                <w:szCs w:val="18"/>
              </w:rPr>
              <w:br/>
              <w:t>–</w:t>
            </w:r>
            <w:r w:rsidRPr="00BE3323">
              <w:rPr>
                <w:sz w:val="18"/>
                <w:szCs w:val="18"/>
              </w:rPr>
              <w:tab/>
              <w:t>MDP-4</w:t>
            </w:r>
            <w:r w:rsidRPr="00BE3323">
              <w:rPr>
                <w:sz w:val="18"/>
                <w:szCs w:val="18"/>
                <w:lang w:eastAsia="ja-JP"/>
              </w:rPr>
              <w:t xml:space="preserve"> 1/2</w:t>
            </w:r>
            <w:r w:rsidRPr="00BE3323">
              <w:rPr>
                <w:sz w:val="18"/>
                <w:szCs w:val="18"/>
                <w:lang w:eastAsia="ja-JP"/>
              </w:rPr>
              <w:br/>
            </w:r>
            <w:r w:rsidRPr="00BE3323">
              <w:rPr>
                <w:sz w:val="18"/>
                <w:szCs w:val="18"/>
              </w:rPr>
              <w:t>–</w:t>
            </w:r>
            <w:r w:rsidRPr="00BE3323">
              <w:rPr>
                <w:sz w:val="18"/>
                <w:szCs w:val="18"/>
              </w:rPr>
              <w:tab/>
              <w:t>MDP-4</w:t>
            </w:r>
            <w:r w:rsidRPr="00BE3323">
              <w:rPr>
                <w:sz w:val="18"/>
                <w:szCs w:val="18"/>
                <w:lang w:eastAsia="ja-JP"/>
              </w:rPr>
              <w:t xml:space="preserve"> 3/4</w:t>
            </w:r>
            <w:r w:rsidRPr="00BE3323">
              <w:rPr>
                <w:sz w:val="18"/>
                <w:szCs w:val="18"/>
                <w:lang w:eastAsia="ja-JP"/>
              </w:rPr>
              <w:br/>
            </w:r>
            <w:r w:rsidRPr="00BE3323">
              <w:rPr>
                <w:sz w:val="18"/>
                <w:szCs w:val="18"/>
              </w:rPr>
              <w:t>–</w:t>
            </w:r>
            <w:r w:rsidRPr="00BE3323">
              <w:rPr>
                <w:sz w:val="18"/>
                <w:szCs w:val="18"/>
              </w:rPr>
              <w:tab/>
              <w:t xml:space="preserve">MAQ-16 </w:t>
            </w:r>
            <w:r w:rsidRPr="00BE3323">
              <w:rPr>
                <w:sz w:val="18"/>
                <w:szCs w:val="18"/>
                <w:lang w:eastAsia="ja-JP"/>
              </w:rPr>
              <w:t>9</w:t>
            </w:r>
            <w:r w:rsidRPr="00BE3323">
              <w:rPr>
                <w:sz w:val="18"/>
                <w:szCs w:val="18"/>
              </w:rPr>
              <w:t>/</w:t>
            </w:r>
            <w:r w:rsidRPr="00BE3323">
              <w:rPr>
                <w:sz w:val="18"/>
                <w:szCs w:val="18"/>
                <w:lang w:eastAsia="ja-JP"/>
              </w:rPr>
              <w:t>16</w:t>
            </w:r>
            <w:r w:rsidRPr="00BE3323">
              <w:rPr>
                <w:sz w:val="18"/>
                <w:szCs w:val="18"/>
                <w:lang w:eastAsia="ja-JP"/>
              </w:rPr>
              <w:br/>
            </w:r>
            <w:r w:rsidRPr="00BE3323">
              <w:rPr>
                <w:sz w:val="18"/>
                <w:szCs w:val="18"/>
              </w:rPr>
              <w:t>–</w:t>
            </w:r>
            <w:r w:rsidRPr="00BE3323">
              <w:rPr>
                <w:sz w:val="18"/>
                <w:szCs w:val="18"/>
              </w:rPr>
              <w:tab/>
              <w:t>MAQ-16 3/4</w:t>
            </w:r>
            <w:r w:rsidRPr="00BE3323">
              <w:rPr>
                <w:sz w:val="18"/>
                <w:szCs w:val="18"/>
                <w:lang w:eastAsia="ja-JP"/>
              </w:rPr>
              <w:br/>
            </w:r>
            <w:r w:rsidRPr="00BE3323">
              <w:rPr>
                <w:sz w:val="18"/>
                <w:szCs w:val="18"/>
              </w:rPr>
              <w:t>–</w:t>
            </w:r>
            <w:r w:rsidRPr="00BE3323">
              <w:rPr>
                <w:sz w:val="18"/>
                <w:szCs w:val="18"/>
              </w:rPr>
              <w:tab/>
              <w:t>MAQ-64 3/4</w:t>
            </w:r>
          </w:p>
        </w:tc>
        <w:tc>
          <w:tcPr>
            <w:tcW w:w="1126" w:type="dxa"/>
          </w:tcPr>
          <w:p w:rsidR="00253A39" w:rsidRPr="00BE3323" w:rsidRDefault="00253A39" w:rsidP="00D131F9">
            <w:pPr>
              <w:pStyle w:val="Tabletext"/>
              <w:jc w:val="left"/>
              <w:rPr>
                <w:sz w:val="18"/>
                <w:szCs w:val="18"/>
              </w:rPr>
            </w:pPr>
            <w:r w:rsidRPr="00BE3323">
              <w:rPr>
                <w:sz w:val="18"/>
                <w:szCs w:val="18"/>
              </w:rPr>
              <w:t>Convolu-cional</w:t>
            </w:r>
          </w:p>
        </w:tc>
        <w:tc>
          <w:tcPr>
            <w:tcW w:w="1465" w:type="dxa"/>
          </w:tcPr>
          <w:p w:rsidR="00253A39" w:rsidRPr="00BE3323" w:rsidRDefault="00253A39" w:rsidP="00D131F9">
            <w:pPr>
              <w:pStyle w:val="Tabletext"/>
              <w:jc w:val="left"/>
              <w:rPr>
                <w:sz w:val="18"/>
                <w:szCs w:val="18"/>
              </w:rPr>
            </w:pPr>
            <w:r w:rsidRPr="00BE3323">
              <w:rPr>
                <w:sz w:val="18"/>
                <w:szCs w:val="18"/>
                <w:lang w:eastAsia="ja-JP"/>
              </w:rPr>
              <w:t>6-54 Mbit/s</w:t>
            </w:r>
            <w:r w:rsidRPr="00BE3323">
              <w:rPr>
                <w:sz w:val="18"/>
                <w:szCs w:val="18"/>
              </w:rPr>
              <w:t xml:space="preserve"> en </w:t>
            </w:r>
            <w:r w:rsidRPr="00BE3323">
              <w:rPr>
                <w:sz w:val="18"/>
                <w:szCs w:val="18"/>
                <w:lang w:eastAsia="ja-JP"/>
              </w:rPr>
              <w:t>20</w:t>
            </w:r>
            <w:r w:rsidRPr="00BE3323">
              <w:rPr>
                <w:sz w:val="18"/>
                <w:szCs w:val="18"/>
              </w:rPr>
              <w:t> MHz</w:t>
            </w:r>
          </w:p>
        </w:tc>
        <w:tc>
          <w:tcPr>
            <w:tcW w:w="942" w:type="dxa"/>
          </w:tcPr>
          <w:p w:rsidR="00253A39" w:rsidRPr="00BE3323" w:rsidRDefault="00253A39" w:rsidP="00D131F9">
            <w:pPr>
              <w:pStyle w:val="Tabletext"/>
              <w:jc w:val="left"/>
              <w:rPr>
                <w:sz w:val="18"/>
                <w:szCs w:val="18"/>
              </w:rPr>
            </w:pPr>
            <w:r w:rsidRPr="00BE3323">
              <w:rPr>
                <w:sz w:val="18"/>
                <w:szCs w:val="18"/>
              </w:rPr>
              <w:t>No</w:t>
            </w:r>
          </w:p>
        </w:tc>
        <w:tc>
          <w:tcPr>
            <w:tcW w:w="981" w:type="dxa"/>
          </w:tcPr>
          <w:p w:rsidR="00253A39" w:rsidRPr="00BE3323" w:rsidRDefault="00253A39" w:rsidP="00D131F9">
            <w:pPr>
              <w:pStyle w:val="Tabletext"/>
              <w:jc w:val="left"/>
              <w:rPr>
                <w:sz w:val="18"/>
                <w:szCs w:val="18"/>
              </w:rPr>
            </w:pPr>
            <w:r w:rsidRPr="00BE3323">
              <w:rPr>
                <w:sz w:val="18"/>
                <w:szCs w:val="18"/>
              </w:rPr>
              <w:t>No</w:t>
            </w:r>
          </w:p>
        </w:tc>
        <w:tc>
          <w:tcPr>
            <w:tcW w:w="1033" w:type="dxa"/>
          </w:tcPr>
          <w:p w:rsidR="00253A39" w:rsidRPr="00BE3323" w:rsidRDefault="00253A39" w:rsidP="00D131F9">
            <w:pPr>
              <w:pStyle w:val="Tabletext"/>
              <w:jc w:val="left"/>
              <w:rPr>
                <w:sz w:val="18"/>
                <w:szCs w:val="18"/>
              </w:rPr>
            </w:pPr>
            <w:r w:rsidRPr="00BE3323">
              <w:rPr>
                <w:sz w:val="18"/>
                <w:szCs w:val="18"/>
              </w:rPr>
              <w:t>DDT</w:t>
            </w:r>
          </w:p>
        </w:tc>
        <w:tc>
          <w:tcPr>
            <w:tcW w:w="1113" w:type="dxa"/>
          </w:tcPr>
          <w:p w:rsidR="00253A39" w:rsidRPr="00BE3323" w:rsidRDefault="00253A39" w:rsidP="00D131F9">
            <w:pPr>
              <w:pStyle w:val="Tabletext"/>
              <w:jc w:val="left"/>
              <w:rPr>
                <w:sz w:val="18"/>
                <w:szCs w:val="18"/>
              </w:rPr>
            </w:pPr>
            <w:r w:rsidRPr="00BE3323">
              <w:rPr>
                <w:sz w:val="18"/>
                <w:szCs w:val="18"/>
              </w:rPr>
              <w:t>AMDT</w:t>
            </w:r>
          </w:p>
        </w:tc>
        <w:tc>
          <w:tcPr>
            <w:tcW w:w="1246" w:type="dxa"/>
          </w:tcPr>
          <w:p w:rsidR="00253A39" w:rsidRPr="00BE3323" w:rsidRDefault="00253A39" w:rsidP="00D131F9">
            <w:pPr>
              <w:pStyle w:val="Tabletext"/>
              <w:jc w:val="left"/>
              <w:rPr>
                <w:sz w:val="18"/>
                <w:szCs w:val="18"/>
              </w:rPr>
            </w:pPr>
            <w:r w:rsidRPr="00BE3323">
              <w:rPr>
                <w:sz w:val="18"/>
                <w:szCs w:val="18"/>
                <w:lang w:eastAsia="ja-JP"/>
              </w:rPr>
              <w:t>2</w:t>
            </w:r>
            <w:r w:rsidRPr="00BE3323">
              <w:rPr>
                <w:sz w:val="18"/>
                <w:szCs w:val="18"/>
              </w:rPr>
              <w:t> ms</w:t>
            </w:r>
          </w:p>
        </w:tc>
        <w:tc>
          <w:tcPr>
            <w:tcW w:w="1064" w:type="dxa"/>
          </w:tcPr>
          <w:p w:rsidR="00253A39" w:rsidRPr="00BE3323" w:rsidRDefault="00253A39" w:rsidP="00D131F9">
            <w:pPr>
              <w:pStyle w:val="Tabletext"/>
              <w:jc w:val="left"/>
              <w:rPr>
                <w:sz w:val="18"/>
                <w:szCs w:val="18"/>
              </w:rPr>
            </w:pPr>
            <w:r w:rsidRPr="00BE3323">
              <w:rPr>
                <w:sz w:val="18"/>
                <w:szCs w:val="18"/>
                <w:lang w:eastAsia="ja-JP"/>
              </w:rPr>
              <w:t>Nómada</w:t>
            </w:r>
          </w:p>
        </w:tc>
      </w:tr>
      <w:tr w:rsidR="00253A39" w:rsidRPr="00BE3323" w:rsidTr="00253A39">
        <w:trPr>
          <w:cantSplit/>
          <w:jc w:val="center"/>
        </w:trPr>
        <w:tc>
          <w:tcPr>
            <w:tcW w:w="1529" w:type="dxa"/>
          </w:tcPr>
          <w:p w:rsidR="00253A39" w:rsidRPr="00253A39" w:rsidRDefault="00253A39" w:rsidP="00D131F9">
            <w:pPr>
              <w:pStyle w:val="Tabletext"/>
              <w:ind w:right="-57"/>
              <w:jc w:val="left"/>
              <w:rPr>
                <w:sz w:val="18"/>
                <w:szCs w:val="18"/>
                <w:lang w:val="es-ES_tradnl"/>
              </w:rPr>
            </w:pPr>
            <w:r w:rsidRPr="00253A39">
              <w:rPr>
                <w:sz w:val="18"/>
                <w:szCs w:val="18"/>
                <w:lang w:val="es-ES_tradnl"/>
              </w:rPr>
              <w:t>IMT-2000 AMDC Ensanchamiento directo</w:t>
            </w:r>
            <w:r w:rsidRPr="00253A39">
              <w:rPr>
                <w:sz w:val="18"/>
                <w:szCs w:val="18"/>
                <w:lang w:val="es-ES_tradnl"/>
              </w:rPr>
              <w:br/>
              <w:t>(Anexo 2)</w:t>
            </w:r>
          </w:p>
        </w:tc>
        <w:tc>
          <w:tcPr>
            <w:tcW w:w="1800" w:type="dxa"/>
          </w:tcPr>
          <w:p w:rsidR="00253A39" w:rsidRPr="00253A39" w:rsidRDefault="00253A39" w:rsidP="00D131F9">
            <w:pPr>
              <w:pStyle w:val="Tabletext"/>
              <w:jc w:val="left"/>
              <w:rPr>
                <w:sz w:val="18"/>
                <w:szCs w:val="18"/>
                <w:lang w:val="es-ES_tradnl"/>
              </w:rPr>
            </w:pPr>
            <w:r w:rsidRPr="00253A39">
              <w:rPr>
                <w:sz w:val="18"/>
                <w:szCs w:val="18"/>
                <w:lang w:val="es-ES_tradnl"/>
              </w:rPr>
              <w:t>5 MHz</w:t>
            </w:r>
          </w:p>
          <w:p w:rsidR="00253A39" w:rsidRPr="00253A39" w:rsidRDefault="00253A39" w:rsidP="00BB0E97">
            <w:pPr>
              <w:pStyle w:val="Tabletext"/>
              <w:jc w:val="left"/>
              <w:rPr>
                <w:sz w:val="18"/>
                <w:szCs w:val="18"/>
                <w:lang w:val="es-ES_tradnl"/>
              </w:rPr>
            </w:pPr>
            <w:r w:rsidRPr="00253A39">
              <w:rPr>
                <w:sz w:val="18"/>
                <w:szCs w:val="18"/>
                <w:lang w:val="es-ES_tradnl"/>
              </w:rPr>
              <w:t>(E-UTRAN)</w:t>
            </w:r>
            <w:r w:rsidR="00BB0E97">
              <w:rPr>
                <w:sz w:val="18"/>
                <w:szCs w:val="18"/>
                <w:lang w:val="es-ES_tradnl"/>
              </w:rPr>
              <w:br/>
            </w:r>
            <w:r w:rsidRPr="00253A39">
              <w:rPr>
                <w:sz w:val="18"/>
                <w:szCs w:val="18"/>
                <w:lang w:val="es-ES_tradnl"/>
              </w:rPr>
              <w:t>flexible 1,4 MHz, 3</w:t>
            </w:r>
            <w:r w:rsidR="00BB0E97">
              <w:rPr>
                <w:sz w:val="18"/>
                <w:szCs w:val="18"/>
                <w:lang w:val="es-ES_tradnl"/>
              </w:rPr>
              <w:t> </w:t>
            </w:r>
            <w:r w:rsidRPr="00253A39">
              <w:rPr>
                <w:sz w:val="18"/>
                <w:szCs w:val="18"/>
                <w:lang w:val="es-ES_tradnl"/>
              </w:rPr>
              <w:t xml:space="preserve">MHz, </w:t>
            </w:r>
            <w:r w:rsidRPr="00253A39">
              <w:rPr>
                <w:sz w:val="18"/>
                <w:szCs w:val="18"/>
                <w:lang w:val="es-ES_tradnl"/>
              </w:rPr>
              <w:br/>
              <w:t>5 MHz, 10 MHz, 15 MHz, 20 MHz</w:t>
            </w:r>
            <w:r w:rsidRPr="00253A39">
              <w:rPr>
                <w:sz w:val="18"/>
                <w:szCs w:val="18"/>
                <w:lang w:val="es-ES_tradnl"/>
              </w:rPr>
              <w:br/>
              <w:t>agregación de portadora hasta 100 MHz</w:t>
            </w:r>
          </w:p>
        </w:tc>
        <w:tc>
          <w:tcPr>
            <w:tcW w:w="2160" w:type="dxa"/>
          </w:tcPr>
          <w:p w:rsidR="00253A39" w:rsidRPr="00253A39" w:rsidRDefault="00253A39" w:rsidP="00D131F9">
            <w:pPr>
              <w:pStyle w:val="Tabletext"/>
              <w:jc w:val="left"/>
              <w:rPr>
                <w:sz w:val="18"/>
                <w:szCs w:val="18"/>
                <w:lang w:val="es-ES_tradnl" w:eastAsia="ja-JP"/>
              </w:rPr>
            </w:pPr>
            <w:r w:rsidRPr="00253A39">
              <w:rPr>
                <w:sz w:val="18"/>
                <w:szCs w:val="18"/>
                <w:lang w:val="es-ES_tradnl"/>
              </w:rPr>
              <w:t xml:space="preserve">Ascendente: </w:t>
            </w:r>
            <w:r w:rsidRPr="00253A39">
              <w:rPr>
                <w:sz w:val="18"/>
                <w:szCs w:val="18"/>
                <w:lang w:val="es-ES_tradnl"/>
              </w:rPr>
              <w:br/>
              <w:t xml:space="preserve">MDP-4 </w:t>
            </w:r>
            <w:r w:rsidRPr="00253A39">
              <w:rPr>
                <w:sz w:val="18"/>
                <w:szCs w:val="18"/>
                <w:lang w:val="es-ES_tradnl"/>
              </w:rPr>
              <w:br/>
              <w:t>MAQ-16</w:t>
            </w:r>
          </w:p>
          <w:p w:rsidR="00253A39" w:rsidRPr="00253A39" w:rsidRDefault="00253A39" w:rsidP="00D131F9">
            <w:pPr>
              <w:pStyle w:val="Tabletext"/>
              <w:jc w:val="left"/>
              <w:rPr>
                <w:sz w:val="18"/>
                <w:szCs w:val="18"/>
                <w:lang w:val="es-ES_tradnl"/>
              </w:rPr>
            </w:pPr>
            <w:r w:rsidRPr="00253A39">
              <w:rPr>
                <w:sz w:val="18"/>
                <w:szCs w:val="18"/>
                <w:lang w:val="es-ES_tradnl"/>
              </w:rPr>
              <w:t xml:space="preserve">Descendente: </w:t>
            </w:r>
            <w:r w:rsidRPr="00253A39">
              <w:rPr>
                <w:sz w:val="18"/>
                <w:szCs w:val="18"/>
                <w:lang w:val="es-ES_tradnl"/>
              </w:rPr>
              <w:br/>
              <w:t>MDP-4</w:t>
            </w:r>
            <w:r w:rsidRPr="00253A39">
              <w:rPr>
                <w:sz w:val="18"/>
                <w:szCs w:val="18"/>
                <w:lang w:val="es-ES_tradnl"/>
              </w:rPr>
              <w:br/>
              <w:t>MAQ-16</w:t>
            </w:r>
            <w:r w:rsidRPr="00253A39">
              <w:rPr>
                <w:sz w:val="18"/>
                <w:szCs w:val="18"/>
                <w:lang w:val="es-ES_tradnl"/>
              </w:rPr>
              <w:br/>
              <w:t>MAQ-64</w:t>
            </w:r>
          </w:p>
          <w:p w:rsidR="00BB0E97" w:rsidRDefault="00253A39" w:rsidP="00BB0E97">
            <w:pPr>
              <w:pStyle w:val="Tabletext"/>
              <w:jc w:val="left"/>
              <w:rPr>
                <w:sz w:val="18"/>
                <w:szCs w:val="18"/>
                <w:lang w:val="es-ES_tradnl"/>
              </w:rPr>
            </w:pPr>
            <w:r w:rsidRPr="00253A39">
              <w:rPr>
                <w:sz w:val="18"/>
                <w:szCs w:val="18"/>
                <w:lang w:val="es-ES_tradnl"/>
              </w:rPr>
              <w:t>(E-UTRAN) MDP-4, MAQ-16, MAQ-64</w:t>
            </w:r>
          </w:p>
          <w:p w:rsidR="00253A39" w:rsidRPr="00253A39" w:rsidRDefault="00253A39" w:rsidP="00BB0E97">
            <w:pPr>
              <w:pStyle w:val="Tabletext"/>
              <w:jc w:val="left"/>
              <w:rPr>
                <w:sz w:val="18"/>
                <w:szCs w:val="18"/>
                <w:lang w:val="es-ES_tradnl"/>
              </w:rPr>
            </w:pPr>
            <w:r w:rsidRPr="00253A39">
              <w:rPr>
                <w:sz w:val="18"/>
                <w:szCs w:val="18"/>
                <w:lang w:val="es-ES_tradnl"/>
              </w:rPr>
              <w:t>Velocidad de codificación plenamente variable con ARQ híbrida y redundancia incremental</w:t>
            </w:r>
          </w:p>
        </w:tc>
        <w:tc>
          <w:tcPr>
            <w:tcW w:w="1126" w:type="dxa"/>
          </w:tcPr>
          <w:p w:rsidR="00253A39" w:rsidRPr="00253A39" w:rsidRDefault="00253A39" w:rsidP="00D131F9">
            <w:pPr>
              <w:pStyle w:val="Tabletext"/>
              <w:jc w:val="left"/>
              <w:rPr>
                <w:sz w:val="18"/>
                <w:szCs w:val="18"/>
                <w:lang w:val="es-ES_tradnl"/>
              </w:rPr>
            </w:pPr>
            <w:r w:rsidRPr="00253A39">
              <w:rPr>
                <w:sz w:val="18"/>
                <w:szCs w:val="18"/>
                <w:lang w:val="es-ES_tradnl"/>
              </w:rPr>
              <w:t>Turbo convolu-</w:t>
            </w:r>
          </w:p>
          <w:p w:rsidR="00253A39" w:rsidRPr="00253A39" w:rsidRDefault="00253A39" w:rsidP="00D131F9">
            <w:pPr>
              <w:pStyle w:val="Tabletext"/>
              <w:jc w:val="left"/>
              <w:rPr>
                <w:sz w:val="18"/>
                <w:szCs w:val="18"/>
                <w:lang w:val="es-ES_tradnl"/>
              </w:rPr>
            </w:pPr>
            <w:r w:rsidRPr="00253A39">
              <w:rPr>
                <w:sz w:val="18"/>
                <w:szCs w:val="18"/>
                <w:lang w:val="es-ES_tradnl"/>
              </w:rPr>
              <w:t>cional</w:t>
            </w:r>
          </w:p>
          <w:p w:rsidR="00253A39" w:rsidRPr="00253A39" w:rsidRDefault="00253A39" w:rsidP="00D131F9">
            <w:pPr>
              <w:pStyle w:val="Tabletext"/>
              <w:jc w:val="left"/>
              <w:rPr>
                <w:sz w:val="18"/>
                <w:szCs w:val="18"/>
                <w:lang w:val="es-ES_tradnl"/>
              </w:rPr>
            </w:pPr>
          </w:p>
          <w:p w:rsidR="00253A39" w:rsidRPr="00253A39" w:rsidRDefault="00253A39" w:rsidP="00D131F9">
            <w:pPr>
              <w:pStyle w:val="Tabletext"/>
              <w:jc w:val="left"/>
              <w:rPr>
                <w:sz w:val="18"/>
                <w:szCs w:val="18"/>
                <w:lang w:val="es-ES_tradnl"/>
              </w:rPr>
            </w:pPr>
            <w:r w:rsidRPr="00253A39">
              <w:rPr>
                <w:sz w:val="18"/>
                <w:szCs w:val="18"/>
                <w:lang w:val="es-ES_tradnl"/>
              </w:rPr>
              <w:t xml:space="preserve">Código </w:t>
            </w:r>
            <w:r w:rsidR="00BB0E97" w:rsidRPr="00253A39">
              <w:rPr>
                <w:sz w:val="18"/>
                <w:szCs w:val="18"/>
                <w:lang w:val="es-ES_tradnl"/>
              </w:rPr>
              <w:t xml:space="preserve">turbo </w:t>
            </w:r>
            <w:r w:rsidRPr="00253A39">
              <w:rPr>
                <w:sz w:val="18"/>
                <w:szCs w:val="18"/>
                <w:lang w:val="es-ES_tradnl"/>
              </w:rPr>
              <w:t>para datos:</w:t>
            </w:r>
            <w:r w:rsidRPr="00253A39">
              <w:rPr>
                <w:sz w:val="18"/>
                <w:szCs w:val="18"/>
                <w:lang w:val="es-ES_tradnl"/>
              </w:rPr>
              <w:br/>
              <w:t>códigos convolu-</w:t>
            </w:r>
            <w:r w:rsidRPr="00253A39">
              <w:rPr>
                <w:sz w:val="18"/>
                <w:szCs w:val="18"/>
                <w:lang w:val="es-ES_tradnl"/>
              </w:rPr>
              <w:br/>
              <w:t>cional y de bloques para algunos canales de control</w:t>
            </w:r>
          </w:p>
        </w:tc>
        <w:tc>
          <w:tcPr>
            <w:tcW w:w="1465" w:type="dxa"/>
          </w:tcPr>
          <w:p w:rsidR="00253A39" w:rsidRPr="00253A39" w:rsidRDefault="00253A39" w:rsidP="00D131F9">
            <w:pPr>
              <w:pStyle w:val="Tabletext"/>
              <w:jc w:val="left"/>
              <w:rPr>
                <w:sz w:val="18"/>
                <w:szCs w:val="18"/>
                <w:lang w:val="es-ES_tradnl"/>
              </w:rPr>
            </w:pPr>
            <w:r w:rsidRPr="00253A39">
              <w:rPr>
                <w:sz w:val="18"/>
                <w:szCs w:val="18"/>
                <w:lang w:val="es-ES_tradnl"/>
              </w:rPr>
              <w:t>Ascendente:</w:t>
            </w:r>
            <w:r w:rsidRPr="00253A39">
              <w:rPr>
                <w:sz w:val="18"/>
                <w:szCs w:val="18"/>
                <w:lang w:val="es-ES_tradnl"/>
              </w:rPr>
              <w:br/>
              <w:t>11,5 Mbit/s</w:t>
            </w:r>
          </w:p>
          <w:p w:rsidR="00253A39" w:rsidRPr="00253A39" w:rsidRDefault="00253A39" w:rsidP="00D131F9">
            <w:pPr>
              <w:pStyle w:val="Tabletext"/>
              <w:jc w:val="left"/>
              <w:rPr>
                <w:sz w:val="18"/>
                <w:szCs w:val="18"/>
                <w:lang w:val="es-ES_tradnl"/>
              </w:rPr>
            </w:pPr>
            <w:r w:rsidRPr="00253A39">
              <w:rPr>
                <w:sz w:val="18"/>
                <w:szCs w:val="18"/>
                <w:lang w:val="es-ES_tradnl"/>
              </w:rPr>
              <w:t>Descendente:</w:t>
            </w:r>
            <w:r w:rsidRPr="00253A39">
              <w:rPr>
                <w:sz w:val="18"/>
                <w:szCs w:val="18"/>
                <w:lang w:val="es-ES_tradnl"/>
              </w:rPr>
              <w:br/>
              <w:t>42 Mbit/s</w:t>
            </w:r>
          </w:p>
          <w:p w:rsidR="00253A39" w:rsidRPr="00253A39" w:rsidRDefault="00253A39" w:rsidP="00D131F9">
            <w:pPr>
              <w:pStyle w:val="Tabletext"/>
              <w:jc w:val="left"/>
              <w:rPr>
                <w:sz w:val="18"/>
                <w:szCs w:val="18"/>
                <w:lang w:val="es-ES_tradnl"/>
              </w:rPr>
            </w:pPr>
            <w:r w:rsidRPr="00253A39">
              <w:rPr>
                <w:sz w:val="18"/>
                <w:szCs w:val="18"/>
                <w:lang w:val="es-ES_tradnl"/>
              </w:rPr>
              <w:t>(E-UTRAN)</w:t>
            </w:r>
          </w:p>
          <w:p w:rsidR="00253A39" w:rsidRPr="00253A39" w:rsidRDefault="00253A39" w:rsidP="00D131F9">
            <w:pPr>
              <w:pStyle w:val="Tabletext"/>
              <w:jc w:val="left"/>
              <w:rPr>
                <w:sz w:val="18"/>
                <w:szCs w:val="18"/>
                <w:highlight w:val="yellow"/>
                <w:lang w:val="es-ES_tradnl"/>
              </w:rPr>
            </w:pPr>
            <w:r w:rsidRPr="00253A39">
              <w:rPr>
                <w:sz w:val="18"/>
                <w:szCs w:val="18"/>
                <w:lang w:val="es-ES_tradnl"/>
              </w:rPr>
              <w:t xml:space="preserve">Ascendente: </w:t>
            </w:r>
            <w:r w:rsidRPr="00253A39">
              <w:rPr>
                <w:sz w:val="18"/>
                <w:szCs w:val="18"/>
                <w:lang w:val="es-ES_tradnl"/>
              </w:rPr>
              <w:br/>
              <w:t xml:space="preserve">300 Mbit/s / </w:t>
            </w:r>
            <w:r w:rsidRPr="00253A39">
              <w:rPr>
                <w:sz w:val="18"/>
                <w:szCs w:val="18"/>
                <w:lang w:val="es-ES_tradnl"/>
              </w:rPr>
              <w:br/>
              <w:t>20 MHz</w:t>
            </w:r>
            <w:r w:rsidRPr="00253A39">
              <w:rPr>
                <w:sz w:val="18"/>
                <w:szCs w:val="18"/>
                <w:vertAlign w:val="superscript"/>
                <w:lang w:val="es-ES_tradnl"/>
              </w:rPr>
              <w:t>(3)</w:t>
            </w:r>
          </w:p>
          <w:p w:rsidR="00253A39" w:rsidRPr="00253A39" w:rsidRDefault="00253A39" w:rsidP="00D131F9">
            <w:pPr>
              <w:pStyle w:val="Tabletext"/>
              <w:jc w:val="left"/>
              <w:rPr>
                <w:sz w:val="18"/>
                <w:szCs w:val="18"/>
                <w:vertAlign w:val="superscript"/>
                <w:lang w:val="es-ES_tradnl"/>
              </w:rPr>
            </w:pPr>
            <w:r w:rsidRPr="00253A39">
              <w:rPr>
                <w:sz w:val="18"/>
                <w:szCs w:val="18"/>
                <w:lang w:val="es-ES_tradnl"/>
              </w:rPr>
              <w:t>Descendente:</w:t>
            </w:r>
            <w:r w:rsidRPr="00253A39">
              <w:rPr>
                <w:sz w:val="18"/>
                <w:szCs w:val="18"/>
                <w:lang w:val="es-ES_tradnl"/>
              </w:rPr>
              <w:br/>
              <w:t>600 Mbit/s /</w:t>
            </w:r>
            <w:r w:rsidRPr="00253A39">
              <w:rPr>
                <w:sz w:val="18"/>
                <w:szCs w:val="18"/>
                <w:lang w:val="es-ES_tradnl"/>
              </w:rPr>
              <w:br/>
              <w:t>20 MHz</w:t>
            </w:r>
            <w:r w:rsidRPr="00253A39">
              <w:rPr>
                <w:sz w:val="18"/>
                <w:szCs w:val="18"/>
                <w:vertAlign w:val="superscript"/>
                <w:lang w:val="es-ES_tradnl"/>
              </w:rPr>
              <w:t>(3)</w:t>
            </w:r>
          </w:p>
          <w:p w:rsidR="00253A39" w:rsidRPr="00253A39" w:rsidRDefault="00253A39" w:rsidP="00D131F9">
            <w:pPr>
              <w:pStyle w:val="Tabletext"/>
              <w:jc w:val="left"/>
              <w:rPr>
                <w:sz w:val="18"/>
                <w:szCs w:val="18"/>
                <w:lang w:val="es-ES_tradnl"/>
              </w:rPr>
            </w:pPr>
            <w:r w:rsidRPr="00253A39">
              <w:rPr>
                <w:sz w:val="18"/>
                <w:szCs w:val="18"/>
                <w:lang w:val="es-ES_tradnl"/>
              </w:rPr>
              <w:t>Ascendente:</w:t>
            </w:r>
            <w:r w:rsidRPr="00253A39">
              <w:rPr>
                <w:sz w:val="18"/>
                <w:szCs w:val="18"/>
                <w:lang w:val="es-ES_tradnl"/>
              </w:rPr>
              <w:br/>
              <w:t>1,5 Gbit/s en 100 MHz</w:t>
            </w:r>
            <w:r w:rsidRPr="00253A39">
              <w:rPr>
                <w:sz w:val="18"/>
                <w:szCs w:val="18"/>
                <w:vertAlign w:val="superscript"/>
                <w:lang w:val="es-ES_tradnl"/>
              </w:rPr>
              <w:t>(4)</w:t>
            </w:r>
            <w:r w:rsidRPr="00253A39">
              <w:rPr>
                <w:sz w:val="18"/>
                <w:szCs w:val="18"/>
                <w:lang w:val="es-ES_tradnl"/>
              </w:rPr>
              <w:t xml:space="preserve"> agregados</w:t>
            </w:r>
          </w:p>
          <w:p w:rsidR="00253A39" w:rsidRPr="00253A39" w:rsidRDefault="00253A39" w:rsidP="00D131F9">
            <w:pPr>
              <w:pStyle w:val="Tabletext"/>
              <w:jc w:val="left"/>
              <w:rPr>
                <w:sz w:val="18"/>
                <w:szCs w:val="18"/>
                <w:lang w:val="es-ES_tradnl"/>
              </w:rPr>
            </w:pPr>
            <w:r w:rsidRPr="00253A39">
              <w:rPr>
                <w:sz w:val="18"/>
                <w:szCs w:val="18"/>
                <w:lang w:val="es-ES_tradnl"/>
              </w:rPr>
              <w:t>Descencente:</w:t>
            </w:r>
            <w:r w:rsidRPr="00253A39">
              <w:rPr>
                <w:sz w:val="18"/>
                <w:szCs w:val="18"/>
                <w:lang w:val="es-ES_tradnl"/>
              </w:rPr>
              <w:br/>
              <w:t>3 Gbit/s en 100 MHz</w:t>
            </w:r>
            <w:r w:rsidRPr="00253A39">
              <w:rPr>
                <w:sz w:val="18"/>
                <w:szCs w:val="18"/>
                <w:vertAlign w:val="superscript"/>
                <w:lang w:val="es-ES_tradnl"/>
              </w:rPr>
              <w:t>(4)</w:t>
            </w:r>
            <w:r w:rsidRPr="00253A39">
              <w:rPr>
                <w:sz w:val="18"/>
                <w:szCs w:val="18"/>
                <w:lang w:val="es-ES_tradnl"/>
              </w:rPr>
              <w:t xml:space="preserve"> agregados</w:t>
            </w:r>
          </w:p>
        </w:tc>
        <w:tc>
          <w:tcPr>
            <w:tcW w:w="942" w:type="dxa"/>
          </w:tcPr>
          <w:p w:rsidR="00253A39" w:rsidRPr="00BE3323" w:rsidRDefault="00253A39" w:rsidP="00D131F9">
            <w:pPr>
              <w:pStyle w:val="Tabletext"/>
              <w:jc w:val="left"/>
              <w:rPr>
                <w:sz w:val="18"/>
                <w:szCs w:val="18"/>
              </w:rPr>
            </w:pPr>
            <w:r w:rsidRPr="00BE3323">
              <w:rPr>
                <w:sz w:val="18"/>
                <w:szCs w:val="18"/>
              </w:rPr>
              <w:t>Sí</w:t>
            </w:r>
          </w:p>
        </w:tc>
        <w:tc>
          <w:tcPr>
            <w:tcW w:w="981" w:type="dxa"/>
          </w:tcPr>
          <w:p w:rsidR="00253A39" w:rsidRPr="00BE3323" w:rsidRDefault="00253A39" w:rsidP="00D131F9">
            <w:pPr>
              <w:pStyle w:val="Tabletext"/>
              <w:jc w:val="left"/>
              <w:rPr>
                <w:sz w:val="18"/>
                <w:szCs w:val="18"/>
              </w:rPr>
            </w:pPr>
            <w:r w:rsidRPr="00BE3323">
              <w:rPr>
                <w:sz w:val="18"/>
                <w:szCs w:val="18"/>
              </w:rPr>
              <w:t>Sí</w:t>
            </w:r>
          </w:p>
        </w:tc>
        <w:tc>
          <w:tcPr>
            <w:tcW w:w="1033" w:type="dxa"/>
          </w:tcPr>
          <w:p w:rsidR="00253A39" w:rsidRPr="00BE3323" w:rsidRDefault="00253A39" w:rsidP="00415A21">
            <w:pPr>
              <w:pStyle w:val="Tabletext"/>
              <w:jc w:val="left"/>
              <w:rPr>
                <w:sz w:val="18"/>
                <w:szCs w:val="18"/>
              </w:rPr>
            </w:pPr>
            <w:r w:rsidRPr="00BE3323">
              <w:rPr>
                <w:sz w:val="18"/>
                <w:szCs w:val="18"/>
              </w:rPr>
              <w:t>DDF</w:t>
            </w:r>
            <w:r w:rsidRPr="00BE3323">
              <w:rPr>
                <w:sz w:val="18"/>
                <w:szCs w:val="18"/>
              </w:rPr>
              <w:br/>
              <w:t>HD</w:t>
            </w:r>
            <w:r w:rsidR="00415A21">
              <w:rPr>
                <w:sz w:val="18"/>
                <w:szCs w:val="18"/>
              </w:rPr>
              <w:t>-</w:t>
            </w:r>
            <w:r w:rsidRPr="00BE3323">
              <w:rPr>
                <w:sz w:val="18"/>
                <w:szCs w:val="18"/>
              </w:rPr>
              <w:t>DDF</w:t>
            </w:r>
          </w:p>
        </w:tc>
        <w:tc>
          <w:tcPr>
            <w:tcW w:w="1113" w:type="dxa"/>
          </w:tcPr>
          <w:p w:rsidR="00253A39" w:rsidRPr="00253A39" w:rsidRDefault="00253A39" w:rsidP="00D131F9">
            <w:pPr>
              <w:pStyle w:val="Tabletext"/>
              <w:jc w:val="left"/>
              <w:rPr>
                <w:sz w:val="18"/>
                <w:szCs w:val="18"/>
                <w:lang w:val="es-ES_tradnl"/>
              </w:rPr>
            </w:pPr>
            <w:r w:rsidRPr="00253A39">
              <w:rPr>
                <w:sz w:val="18"/>
                <w:szCs w:val="18"/>
                <w:lang w:val="es-ES_tradnl"/>
              </w:rPr>
              <w:t>AMDC</w:t>
            </w:r>
          </w:p>
          <w:p w:rsidR="00253A39" w:rsidRPr="00253A39" w:rsidRDefault="00253A39" w:rsidP="00D131F9">
            <w:pPr>
              <w:pStyle w:val="Tabletext"/>
              <w:tabs>
                <w:tab w:val="clear" w:pos="851"/>
              </w:tabs>
              <w:ind w:right="-145"/>
              <w:jc w:val="left"/>
              <w:rPr>
                <w:sz w:val="18"/>
                <w:szCs w:val="18"/>
                <w:lang w:val="es-ES_tradnl"/>
              </w:rPr>
            </w:pPr>
            <w:r w:rsidRPr="00253A39">
              <w:rPr>
                <w:sz w:val="18"/>
                <w:szCs w:val="18"/>
                <w:lang w:val="es-ES_tradnl"/>
              </w:rPr>
              <w:t>(E-UTRAN) MDFO en el enlace descendente</w:t>
            </w:r>
          </w:p>
          <w:p w:rsidR="00253A39" w:rsidRPr="00253A39" w:rsidRDefault="00253A39" w:rsidP="00D131F9">
            <w:pPr>
              <w:pStyle w:val="Tabletext"/>
              <w:jc w:val="left"/>
              <w:rPr>
                <w:sz w:val="18"/>
                <w:szCs w:val="18"/>
                <w:lang w:val="es-ES_tradnl"/>
              </w:rPr>
            </w:pPr>
            <w:r w:rsidRPr="00253A39">
              <w:rPr>
                <w:sz w:val="18"/>
                <w:szCs w:val="18"/>
                <w:lang w:val="es-ES_tradnl"/>
              </w:rPr>
              <w:t>AMDF-SC-FDMA en el enlace ascendente</w:t>
            </w:r>
          </w:p>
        </w:tc>
        <w:tc>
          <w:tcPr>
            <w:tcW w:w="1246" w:type="dxa"/>
          </w:tcPr>
          <w:p w:rsidR="00253A39" w:rsidRPr="00253A39" w:rsidRDefault="00253A39" w:rsidP="00D131F9">
            <w:pPr>
              <w:pStyle w:val="Tabletext"/>
              <w:jc w:val="left"/>
              <w:rPr>
                <w:sz w:val="18"/>
                <w:szCs w:val="18"/>
                <w:lang w:val="es-ES_tradnl"/>
              </w:rPr>
            </w:pPr>
            <w:r w:rsidRPr="00253A39">
              <w:rPr>
                <w:sz w:val="18"/>
                <w:szCs w:val="18"/>
                <w:lang w:val="es-ES_tradnl"/>
              </w:rPr>
              <w:t>2 ms y 10 ms</w:t>
            </w:r>
          </w:p>
          <w:p w:rsidR="00253A39" w:rsidRPr="00253A39" w:rsidRDefault="00253A39" w:rsidP="00D131F9">
            <w:pPr>
              <w:pStyle w:val="Tabletext"/>
              <w:jc w:val="left"/>
              <w:rPr>
                <w:sz w:val="18"/>
                <w:szCs w:val="18"/>
                <w:lang w:val="es-ES_tradnl"/>
              </w:rPr>
            </w:pPr>
            <w:r w:rsidRPr="00253A39">
              <w:rPr>
                <w:sz w:val="18"/>
                <w:szCs w:val="18"/>
                <w:lang w:val="es-ES_tradnl"/>
              </w:rPr>
              <w:t xml:space="preserve">(E-UTRAN) </w:t>
            </w:r>
            <w:r w:rsidRPr="00253A39">
              <w:rPr>
                <w:sz w:val="18"/>
                <w:szCs w:val="18"/>
                <w:lang w:val="es-ES_tradnl"/>
              </w:rPr>
              <w:br/>
              <w:t>10 ms</w:t>
            </w:r>
          </w:p>
          <w:p w:rsidR="00253A39" w:rsidRPr="00BE3323" w:rsidRDefault="00253A39" w:rsidP="00D131F9">
            <w:pPr>
              <w:pStyle w:val="Tabletext"/>
              <w:jc w:val="left"/>
              <w:rPr>
                <w:sz w:val="18"/>
                <w:szCs w:val="18"/>
              </w:rPr>
            </w:pPr>
            <w:r w:rsidRPr="00BE3323">
              <w:rPr>
                <w:sz w:val="18"/>
                <w:szCs w:val="18"/>
              </w:rPr>
              <w:t xml:space="preserve">Duración de subtrama </w:t>
            </w:r>
            <w:r w:rsidRPr="00BE3323">
              <w:rPr>
                <w:sz w:val="18"/>
                <w:szCs w:val="18"/>
              </w:rPr>
              <w:br/>
              <w:t>1 ms</w:t>
            </w:r>
          </w:p>
        </w:tc>
        <w:tc>
          <w:tcPr>
            <w:tcW w:w="1064" w:type="dxa"/>
          </w:tcPr>
          <w:p w:rsidR="00253A39" w:rsidRPr="00BE3323" w:rsidRDefault="00253A39" w:rsidP="00D131F9">
            <w:pPr>
              <w:pStyle w:val="Tabletext"/>
              <w:jc w:val="left"/>
              <w:rPr>
                <w:sz w:val="18"/>
                <w:szCs w:val="18"/>
              </w:rPr>
            </w:pPr>
            <w:r w:rsidRPr="00BE3323">
              <w:rPr>
                <w:sz w:val="18"/>
                <w:szCs w:val="18"/>
              </w:rPr>
              <w:t>Móvil</w:t>
            </w:r>
          </w:p>
        </w:tc>
      </w:tr>
    </w:tbl>
    <w:p w:rsidR="00253A39" w:rsidRPr="00BE3323" w:rsidRDefault="00253A39" w:rsidP="00253A39">
      <w:pPr>
        <w:pStyle w:val="enumlev1"/>
      </w:pPr>
    </w:p>
    <w:p w:rsidR="00253A39" w:rsidRDefault="00253A39" w:rsidP="00253A39">
      <w:pPr>
        <w:pStyle w:val="TableNo"/>
      </w:pPr>
      <w:r w:rsidRPr="00BE3323">
        <w:lastRenderedPageBreak/>
        <w:t>CUADRO 5 (</w:t>
      </w:r>
      <w:r w:rsidRPr="00BE3323">
        <w:rPr>
          <w:i/>
          <w:iCs/>
        </w:rPr>
        <w:t>continuación</w:t>
      </w:r>
      <w:r w:rsidRPr="00BE332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800"/>
        <w:gridCol w:w="2160"/>
        <w:gridCol w:w="1126"/>
        <w:gridCol w:w="1465"/>
        <w:gridCol w:w="942"/>
        <w:gridCol w:w="981"/>
        <w:gridCol w:w="1033"/>
        <w:gridCol w:w="981"/>
        <w:gridCol w:w="1378"/>
        <w:gridCol w:w="1064"/>
      </w:tblGrid>
      <w:tr w:rsidR="003D2CCD" w:rsidRPr="00DA2419" w:rsidTr="003D2CCD">
        <w:trPr>
          <w:cantSplit/>
          <w:jc w:val="center"/>
        </w:trPr>
        <w:tc>
          <w:tcPr>
            <w:tcW w:w="1529" w:type="dxa"/>
            <w:tcMar>
              <w:left w:w="57" w:type="dxa"/>
              <w:right w:w="57" w:type="dxa"/>
            </w:tcMar>
            <w:vAlign w:val="center"/>
          </w:tcPr>
          <w:p w:rsidR="003D2CCD" w:rsidRPr="00BE3323" w:rsidRDefault="003D2CCD" w:rsidP="003D2CCD">
            <w:pPr>
              <w:pStyle w:val="Tablehead"/>
              <w:rPr>
                <w:sz w:val="18"/>
                <w:szCs w:val="18"/>
              </w:rPr>
            </w:pPr>
            <w:r w:rsidRPr="00BE3323">
              <w:rPr>
                <w:sz w:val="18"/>
                <w:szCs w:val="18"/>
              </w:rPr>
              <w:t>Norma</w:t>
            </w:r>
          </w:p>
        </w:tc>
        <w:tc>
          <w:tcPr>
            <w:tcW w:w="1800" w:type="dxa"/>
            <w:tcMar>
              <w:left w:w="57" w:type="dxa"/>
              <w:right w:w="57" w:type="dxa"/>
            </w:tcMar>
            <w:vAlign w:val="center"/>
          </w:tcPr>
          <w:p w:rsidR="003D2CCD" w:rsidRPr="00253A39" w:rsidRDefault="003D2CCD" w:rsidP="003D2CCD">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0" w:type="dxa"/>
            <w:tcMar>
              <w:left w:w="57" w:type="dxa"/>
              <w:right w:w="57" w:type="dxa"/>
            </w:tcMar>
            <w:vAlign w:val="center"/>
          </w:tcPr>
          <w:p w:rsidR="003D2CCD" w:rsidRPr="00253A39" w:rsidRDefault="003D2CCD" w:rsidP="003D2CCD">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rsidR="003D2CCD" w:rsidRPr="00253A39" w:rsidRDefault="003D2CCD" w:rsidP="003D2CCD">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rsidR="003D2CCD" w:rsidRPr="00BE3323" w:rsidRDefault="003D2CCD" w:rsidP="003D2CCD">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rsidR="003D2CCD" w:rsidRPr="00BE3323" w:rsidRDefault="003D2CCD" w:rsidP="003D2CCD">
            <w:pPr>
              <w:pStyle w:val="Tablehead"/>
              <w:rPr>
                <w:sz w:val="18"/>
                <w:szCs w:val="18"/>
              </w:rPr>
            </w:pPr>
            <w:r w:rsidRPr="00BE3323">
              <w:rPr>
                <w:sz w:val="18"/>
                <w:szCs w:val="18"/>
              </w:rPr>
              <w:t>Soporte de codificación</w:t>
            </w:r>
          </w:p>
        </w:tc>
        <w:tc>
          <w:tcPr>
            <w:tcW w:w="1465" w:type="dxa"/>
            <w:tcMar>
              <w:left w:w="57" w:type="dxa"/>
              <w:right w:w="57" w:type="dxa"/>
            </w:tcMar>
            <w:vAlign w:val="center"/>
          </w:tcPr>
          <w:p w:rsidR="003D2CCD" w:rsidRPr="00253A39" w:rsidRDefault="003D2CCD" w:rsidP="003D2CCD">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rsidR="003D2CCD" w:rsidRPr="00253A39" w:rsidRDefault="003D2CCD" w:rsidP="003D2CCD">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rsidR="003D2CCD" w:rsidRPr="00BE3323" w:rsidRDefault="003D2CCD" w:rsidP="003D2CCD">
            <w:pPr>
              <w:pStyle w:val="Tablehead"/>
              <w:rPr>
                <w:sz w:val="18"/>
                <w:szCs w:val="18"/>
              </w:rPr>
            </w:pPr>
            <w:r w:rsidRPr="00BE3323">
              <w:rPr>
                <w:sz w:val="18"/>
                <w:szCs w:val="18"/>
              </w:rPr>
              <w:t>Soporta MIMO (sí/no)</w:t>
            </w:r>
          </w:p>
        </w:tc>
        <w:tc>
          <w:tcPr>
            <w:tcW w:w="1033" w:type="dxa"/>
            <w:tcMar>
              <w:left w:w="57" w:type="dxa"/>
              <w:right w:w="57" w:type="dxa"/>
            </w:tcMar>
            <w:vAlign w:val="center"/>
          </w:tcPr>
          <w:p w:rsidR="003D2CCD" w:rsidRPr="00BE3323" w:rsidRDefault="003D2CCD" w:rsidP="003D2CCD">
            <w:pPr>
              <w:pStyle w:val="Tablehead"/>
              <w:rPr>
                <w:sz w:val="18"/>
                <w:szCs w:val="18"/>
              </w:rPr>
            </w:pPr>
            <w:r w:rsidRPr="00BE3323">
              <w:rPr>
                <w:sz w:val="18"/>
                <w:szCs w:val="18"/>
              </w:rPr>
              <w:t>Método dúplex</w:t>
            </w:r>
          </w:p>
        </w:tc>
        <w:tc>
          <w:tcPr>
            <w:tcW w:w="981" w:type="dxa"/>
            <w:tcMar>
              <w:left w:w="57" w:type="dxa"/>
              <w:right w:w="57" w:type="dxa"/>
            </w:tcMar>
            <w:vAlign w:val="center"/>
          </w:tcPr>
          <w:p w:rsidR="003D2CCD" w:rsidRPr="00BE3323" w:rsidRDefault="003D2CCD" w:rsidP="003D2CCD">
            <w:pPr>
              <w:pStyle w:val="Tablehead"/>
              <w:rPr>
                <w:sz w:val="18"/>
                <w:szCs w:val="18"/>
              </w:rPr>
            </w:pPr>
            <w:r w:rsidRPr="00BE3323">
              <w:rPr>
                <w:sz w:val="18"/>
                <w:szCs w:val="18"/>
              </w:rPr>
              <w:t>Método</w:t>
            </w:r>
            <w:r w:rsidRPr="00BE3323">
              <w:rPr>
                <w:sz w:val="18"/>
                <w:szCs w:val="18"/>
              </w:rPr>
              <w:br/>
              <w:t>de acceso múltiple</w:t>
            </w:r>
          </w:p>
        </w:tc>
        <w:tc>
          <w:tcPr>
            <w:tcW w:w="1378" w:type="dxa"/>
            <w:tcMar>
              <w:left w:w="57" w:type="dxa"/>
              <w:right w:w="57" w:type="dxa"/>
            </w:tcMar>
            <w:vAlign w:val="center"/>
          </w:tcPr>
          <w:p w:rsidR="003D2CCD" w:rsidRPr="00BE3323" w:rsidRDefault="003D2CCD" w:rsidP="003D2CCD">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rsidR="003D2CCD" w:rsidRPr="00253A39" w:rsidRDefault="003D2CCD" w:rsidP="003D2CCD">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4C7EA7" w:rsidRPr="00456C44" w:rsidTr="004C7EA7">
        <w:trPr>
          <w:cantSplit/>
          <w:jc w:val="center"/>
        </w:trPr>
        <w:tc>
          <w:tcPr>
            <w:tcW w:w="1529" w:type="dxa"/>
            <w:tcMar>
              <w:left w:w="57" w:type="dxa"/>
              <w:right w:w="57" w:type="dxa"/>
            </w:tcMar>
          </w:tcPr>
          <w:p w:rsidR="004C7EA7" w:rsidRPr="00BE3323" w:rsidRDefault="004C7EA7" w:rsidP="004C7EA7">
            <w:pPr>
              <w:pStyle w:val="Tabletext"/>
              <w:jc w:val="left"/>
            </w:pPr>
            <w:r w:rsidRPr="00BE3323">
              <w:rPr>
                <w:sz w:val="18"/>
                <w:szCs w:val="18"/>
              </w:rPr>
              <w:t>IMT-2000 CDMA Multiportadora</w:t>
            </w:r>
            <w:r w:rsidRPr="00BE3323">
              <w:rPr>
                <w:sz w:val="18"/>
                <w:szCs w:val="18"/>
              </w:rPr>
              <w:br/>
              <w:t>(Anexo 2)</w:t>
            </w:r>
          </w:p>
        </w:tc>
        <w:tc>
          <w:tcPr>
            <w:tcW w:w="1800" w:type="dxa"/>
            <w:tcMar>
              <w:left w:w="57" w:type="dxa"/>
              <w:right w:w="57" w:type="dxa"/>
            </w:tcMar>
          </w:tcPr>
          <w:p w:rsidR="004C7EA7" w:rsidRPr="00253A39" w:rsidRDefault="004C7EA7" w:rsidP="004C7EA7">
            <w:pPr>
              <w:pStyle w:val="Tabletext"/>
              <w:jc w:val="left"/>
              <w:rPr>
                <w:rFonts w:eastAsia="MS Mincho"/>
                <w:sz w:val="18"/>
                <w:szCs w:val="18"/>
                <w:lang w:val="es-ES_tradnl" w:eastAsia="ja-JP"/>
              </w:rPr>
            </w:pPr>
            <w:r w:rsidRPr="00253A39">
              <w:rPr>
                <w:rFonts w:eastAsia="MS Mincho"/>
                <w:sz w:val="18"/>
                <w:szCs w:val="18"/>
                <w:lang w:val="es-ES_tradnl" w:eastAsia="ja-JP"/>
              </w:rPr>
              <w:t>1,25 MHz y 3,75 MHz</w:t>
            </w:r>
            <w:r w:rsidRPr="00253A39">
              <w:rPr>
                <w:rFonts w:eastAsia="MS Mincho"/>
                <w:sz w:val="18"/>
                <w:szCs w:val="18"/>
                <w:lang w:val="es-ES_tradnl" w:eastAsia="ja-JP"/>
              </w:rPr>
              <w:br/>
              <w:t>(cdma2000)</w:t>
            </w:r>
          </w:p>
          <w:p w:rsidR="004C7EA7" w:rsidRPr="00253A39" w:rsidRDefault="004C7EA7" w:rsidP="004C7EA7">
            <w:pPr>
              <w:pStyle w:val="Tabletext"/>
              <w:jc w:val="left"/>
              <w:rPr>
                <w:rFonts w:eastAsia="MS Mincho"/>
                <w:sz w:val="18"/>
                <w:szCs w:val="18"/>
                <w:lang w:val="es-ES_tradnl" w:eastAsia="ja-JP"/>
              </w:rPr>
            </w:pPr>
            <w:r w:rsidRPr="00253A39">
              <w:rPr>
                <w:rFonts w:eastAsia="MS Mincho"/>
                <w:sz w:val="18"/>
                <w:szCs w:val="18"/>
                <w:lang w:val="es-ES_tradnl" w:eastAsia="ja-JP"/>
              </w:rPr>
              <w:br/>
              <w:t>1,25-20 MHz</w:t>
            </w:r>
            <w:r w:rsidRPr="00253A39">
              <w:rPr>
                <w:rFonts w:eastAsia="MS Mincho"/>
                <w:sz w:val="18"/>
                <w:szCs w:val="18"/>
                <w:lang w:val="es-ES_tradnl" w:eastAsia="ja-JP"/>
              </w:rPr>
              <w:br/>
              <w:t>(cdma2000 HRPD) granularidad en 1,25</w:t>
            </w:r>
            <w:r w:rsidRPr="00253A39">
              <w:rPr>
                <w:rFonts w:eastAsia="MS Mincho"/>
                <w:sz w:val="18"/>
                <w:szCs w:val="18"/>
                <w:lang w:val="es-ES_tradnl" w:eastAsia="ja-JP"/>
              </w:rPr>
              <w:noBreakHyphen/>
              <w:t xml:space="preserve">20 MHz; 153,6 kHz </w:t>
            </w:r>
          </w:p>
          <w:p w:rsidR="004C7EA7" w:rsidRPr="00253A39" w:rsidRDefault="004C7EA7" w:rsidP="004C7EA7">
            <w:pPr>
              <w:pStyle w:val="Tabletext"/>
              <w:jc w:val="left"/>
              <w:rPr>
                <w:lang w:val="es-ES_tradnl"/>
              </w:rPr>
            </w:pPr>
            <w:r w:rsidRPr="00BE3323">
              <w:rPr>
                <w:rFonts w:eastAsia="MS Mincho"/>
                <w:sz w:val="18"/>
                <w:szCs w:val="18"/>
                <w:lang w:eastAsia="ja-JP"/>
              </w:rPr>
              <w:t>(UMB)</w:t>
            </w:r>
          </w:p>
        </w:tc>
        <w:tc>
          <w:tcPr>
            <w:tcW w:w="2160" w:type="dxa"/>
            <w:tcMar>
              <w:left w:w="57" w:type="dxa"/>
              <w:right w:w="57" w:type="dxa"/>
            </w:tcMar>
          </w:tcPr>
          <w:p w:rsidR="004C7EA7" w:rsidRPr="00253A39" w:rsidRDefault="004C7EA7" w:rsidP="004C7EA7">
            <w:pPr>
              <w:pStyle w:val="Tabletext"/>
              <w:jc w:val="left"/>
              <w:rPr>
                <w:sz w:val="18"/>
                <w:szCs w:val="18"/>
                <w:lang w:val="es-ES_tradnl"/>
              </w:rPr>
            </w:pPr>
            <w:r w:rsidRPr="00253A39">
              <w:rPr>
                <w:sz w:val="18"/>
                <w:szCs w:val="18"/>
                <w:lang w:val="es-ES_tradnl"/>
              </w:rPr>
              <w:t xml:space="preserve">Ascendente: </w:t>
            </w:r>
          </w:p>
          <w:p w:rsidR="004C7EA7" w:rsidRPr="00253A39" w:rsidRDefault="004C7EA7" w:rsidP="004C7EA7">
            <w:pPr>
              <w:pStyle w:val="Tabletext"/>
              <w:jc w:val="left"/>
              <w:rPr>
                <w:sz w:val="18"/>
                <w:szCs w:val="18"/>
                <w:lang w:val="es-ES_tradnl"/>
              </w:rPr>
            </w:pPr>
            <w:r w:rsidRPr="00253A39">
              <w:rPr>
                <w:sz w:val="18"/>
                <w:szCs w:val="18"/>
                <w:lang w:val="es-ES_tradnl"/>
              </w:rPr>
              <w:t>MDP-2, MDP-4,</w:t>
            </w:r>
            <w:r w:rsidRPr="00253A39">
              <w:rPr>
                <w:sz w:val="18"/>
                <w:szCs w:val="18"/>
                <w:lang w:val="es-ES_tradnl"/>
              </w:rPr>
              <w:br/>
              <w:t>MDP-8</w:t>
            </w:r>
          </w:p>
          <w:p w:rsidR="004C7EA7" w:rsidRPr="00253A39" w:rsidRDefault="004C7EA7" w:rsidP="004C7EA7">
            <w:pPr>
              <w:pStyle w:val="Tabletext"/>
              <w:jc w:val="left"/>
              <w:rPr>
                <w:sz w:val="18"/>
                <w:szCs w:val="18"/>
                <w:lang w:val="es-ES_tradnl"/>
              </w:rPr>
            </w:pPr>
            <w:r w:rsidRPr="00253A39">
              <w:rPr>
                <w:sz w:val="18"/>
                <w:szCs w:val="18"/>
                <w:lang w:val="es-ES_tradnl"/>
              </w:rPr>
              <w:t xml:space="preserve">Descendente: </w:t>
            </w:r>
          </w:p>
          <w:p w:rsidR="004C7EA7" w:rsidRPr="00253A39" w:rsidRDefault="004C7EA7" w:rsidP="004C7EA7">
            <w:pPr>
              <w:pStyle w:val="Tabletext"/>
              <w:jc w:val="left"/>
              <w:rPr>
                <w:rFonts w:eastAsia="MS Mincho"/>
                <w:sz w:val="18"/>
                <w:szCs w:val="18"/>
                <w:lang w:val="es-ES_tradnl" w:eastAsia="ja-JP"/>
              </w:rPr>
            </w:pPr>
            <w:r w:rsidRPr="00253A39">
              <w:rPr>
                <w:sz w:val="18"/>
                <w:szCs w:val="18"/>
                <w:lang w:val="es-ES_tradnl"/>
              </w:rPr>
              <w:t>MDP-4, MDP-8, MAQ</w:t>
            </w:r>
            <w:r w:rsidRPr="00253A39">
              <w:rPr>
                <w:sz w:val="18"/>
                <w:szCs w:val="18"/>
                <w:lang w:val="es-ES_tradnl"/>
              </w:rPr>
              <w:noBreakHyphen/>
              <w:t xml:space="preserve">16, </w:t>
            </w:r>
            <w:r w:rsidRPr="00253A39">
              <w:rPr>
                <w:rFonts w:eastAsia="MS Mincho"/>
                <w:sz w:val="18"/>
                <w:szCs w:val="18"/>
                <w:lang w:val="es-ES_tradnl" w:eastAsia="ja-JP"/>
              </w:rPr>
              <w:t xml:space="preserve">(cdma2000) </w:t>
            </w:r>
          </w:p>
          <w:p w:rsidR="004C7EA7" w:rsidRPr="00253A39" w:rsidRDefault="004C7EA7" w:rsidP="004C7EA7">
            <w:pPr>
              <w:pStyle w:val="Tabletext"/>
              <w:jc w:val="left"/>
              <w:rPr>
                <w:sz w:val="18"/>
                <w:szCs w:val="18"/>
                <w:lang w:val="es-ES_tradnl"/>
              </w:rPr>
            </w:pPr>
            <w:r w:rsidRPr="00253A39">
              <w:rPr>
                <w:rFonts w:eastAsia="MS Mincho"/>
                <w:sz w:val="18"/>
                <w:szCs w:val="18"/>
                <w:lang w:val="es-ES_tradnl" w:eastAsia="ja-JP"/>
              </w:rPr>
              <w:br/>
            </w:r>
            <w:r w:rsidRPr="00253A39">
              <w:rPr>
                <w:sz w:val="18"/>
                <w:szCs w:val="18"/>
                <w:lang w:val="es-ES_tradnl"/>
              </w:rPr>
              <w:t>MDP-4, MDP-8, MAQ</w:t>
            </w:r>
            <w:r w:rsidRPr="00253A39">
              <w:rPr>
                <w:sz w:val="18"/>
                <w:szCs w:val="18"/>
                <w:lang w:val="es-ES_tradnl"/>
              </w:rPr>
              <w:noBreakHyphen/>
              <w:t>16, MAQ-64</w:t>
            </w:r>
            <w:r w:rsidRPr="00253A39">
              <w:rPr>
                <w:rFonts w:eastAsia="MS Mincho"/>
                <w:sz w:val="18"/>
                <w:szCs w:val="18"/>
                <w:lang w:val="es-ES_tradnl" w:eastAsia="ja-JP"/>
              </w:rPr>
              <w:t xml:space="preserve"> (cdma2000 HRPD)</w:t>
            </w:r>
            <w:r w:rsidRPr="00253A39">
              <w:rPr>
                <w:sz w:val="18"/>
                <w:szCs w:val="18"/>
                <w:lang w:val="es-ES_tradnl"/>
              </w:rPr>
              <w:br/>
            </w:r>
          </w:p>
          <w:p w:rsidR="004C7EA7" w:rsidRPr="00253A39" w:rsidRDefault="004C7EA7" w:rsidP="004C7EA7">
            <w:pPr>
              <w:pStyle w:val="Tabletext"/>
              <w:jc w:val="left"/>
              <w:rPr>
                <w:lang w:val="es-ES_tradnl"/>
              </w:rPr>
            </w:pPr>
            <w:r w:rsidRPr="00253A39">
              <w:rPr>
                <w:sz w:val="18"/>
                <w:szCs w:val="18"/>
                <w:lang w:val="es-ES_tradnl"/>
              </w:rPr>
              <w:t>MDP-4, MDP-8, MAQ</w:t>
            </w:r>
            <w:r w:rsidRPr="00253A39">
              <w:rPr>
                <w:sz w:val="18"/>
                <w:szCs w:val="18"/>
                <w:lang w:val="es-ES_tradnl"/>
              </w:rPr>
              <w:noBreakHyphen/>
              <w:t>16, MAQ-64</w:t>
            </w:r>
            <w:r w:rsidRPr="00253A39">
              <w:rPr>
                <w:rFonts w:eastAsia="MS Mincho"/>
                <w:sz w:val="18"/>
                <w:szCs w:val="18"/>
                <w:lang w:val="es-ES_tradnl" w:eastAsia="ja-JP"/>
              </w:rPr>
              <w:t xml:space="preserve"> </w:t>
            </w:r>
            <w:r w:rsidRPr="00253A39">
              <w:rPr>
                <w:sz w:val="18"/>
                <w:szCs w:val="18"/>
                <w:lang w:val="es-ES_tradnl"/>
              </w:rPr>
              <w:t>(UMB)</w:t>
            </w:r>
          </w:p>
        </w:tc>
        <w:tc>
          <w:tcPr>
            <w:tcW w:w="1126" w:type="dxa"/>
            <w:tcMar>
              <w:left w:w="57" w:type="dxa"/>
              <w:right w:w="57" w:type="dxa"/>
            </w:tcMar>
          </w:tcPr>
          <w:p w:rsidR="004C7EA7" w:rsidRPr="00253A39" w:rsidRDefault="004C7EA7" w:rsidP="004C7EA7">
            <w:pPr>
              <w:pStyle w:val="Tabletext"/>
              <w:jc w:val="left"/>
              <w:rPr>
                <w:rFonts w:eastAsia="MS Mincho"/>
                <w:sz w:val="18"/>
                <w:szCs w:val="18"/>
                <w:lang w:val="es-ES_tradnl" w:eastAsia="ja-JP"/>
              </w:rPr>
            </w:pPr>
            <w:r w:rsidRPr="00253A39">
              <w:rPr>
                <w:sz w:val="18"/>
                <w:szCs w:val="18"/>
                <w:lang w:val="es-ES_tradnl"/>
              </w:rPr>
              <w:t>Convolu-</w:t>
            </w:r>
            <w:r w:rsidRPr="00253A39">
              <w:rPr>
                <w:sz w:val="18"/>
                <w:szCs w:val="18"/>
                <w:lang w:val="es-ES_tradnl"/>
              </w:rPr>
              <w:br/>
              <w:t>cional/turbo</w:t>
            </w:r>
            <w:r w:rsidRPr="00253A39">
              <w:rPr>
                <w:sz w:val="18"/>
                <w:szCs w:val="18"/>
                <w:lang w:val="es-ES_tradnl"/>
              </w:rPr>
              <w:br/>
            </w:r>
            <w:r w:rsidRPr="00253A39">
              <w:rPr>
                <w:rFonts w:eastAsia="MS Mincho"/>
                <w:sz w:val="18"/>
                <w:szCs w:val="18"/>
                <w:lang w:val="es-ES_tradnl" w:eastAsia="ja-JP"/>
              </w:rPr>
              <w:t>(cdma2000 y cdma2000 HRPD)</w:t>
            </w:r>
          </w:p>
          <w:p w:rsidR="004C7EA7" w:rsidRPr="00253A39" w:rsidRDefault="004C7EA7" w:rsidP="002E254C">
            <w:pPr>
              <w:pStyle w:val="Tabletext"/>
              <w:jc w:val="left"/>
              <w:rPr>
                <w:sz w:val="18"/>
                <w:szCs w:val="18"/>
                <w:lang w:val="es-ES_tradnl"/>
              </w:rPr>
            </w:pPr>
            <w:r w:rsidRPr="00253A39">
              <w:rPr>
                <w:sz w:val="18"/>
                <w:szCs w:val="18"/>
                <w:lang w:val="es-ES_tradnl"/>
              </w:rPr>
              <w:t>Convolu</w:t>
            </w:r>
            <w:r w:rsidR="002E254C">
              <w:rPr>
                <w:sz w:val="18"/>
                <w:szCs w:val="18"/>
                <w:lang w:val="es-ES_tradnl"/>
              </w:rPr>
              <w:br/>
            </w:r>
            <w:r w:rsidRPr="00253A39">
              <w:rPr>
                <w:sz w:val="18"/>
                <w:szCs w:val="18"/>
                <w:lang w:val="es-ES_tradnl"/>
              </w:rPr>
              <w:t>cional/turbo/LDPC (opcional)</w:t>
            </w:r>
          </w:p>
          <w:p w:rsidR="004C7EA7" w:rsidRPr="004C7EA7" w:rsidRDefault="004C7EA7" w:rsidP="004C7EA7">
            <w:pPr>
              <w:pStyle w:val="Tabletext"/>
              <w:jc w:val="left"/>
              <w:rPr>
                <w:lang w:val="es-ES_tradnl"/>
              </w:rPr>
            </w:pPr>
            <w:r w:rsidRPr="00BE3323">
              <w:rPr>
                <w:sz w:val="18"/>
                <w:szCs w:val="18"/>
              </w:rPr>
              <w:t>(UMB)</w:t>
            </w:r>
          </w:p>
        </w:tc>
        <w:tc>
          <w:tcPr>
            <w:tcW w:w="1465" w:type="dxa"/>
            <w:tcMar>
              <w:left w:w="57" w:type="dxa"/>
              <w:right w:w="57" w:type="dxa"/>
            </w:tcMar>
          </w:tcPr>
          <w:p w:rsidR="004C7EA7" w:rsidRPr="00253A39" w:rsidRDefault="004C7EA7" w:rsidP="004C7EA7">
            <w:pPr>
              <w:pStyle w:val="Tabletext"/>
              <w:jc w:val="left"/>
              <w:rPr>
                <w:sz w:val="18"/>
                <w:szCs w:val="18"/>
                <w:lang w:val="es-ES_tradnl"/>
              </w:rPr>
            </w:pPr>
            <w:r w:rsidRPr="00253A39">
              <w:rPr>
                <w:sz w:val="18"/>
                <w:szCs w:val="18"/>
                <w:lang w:val="es-ES_tradnl"/>
              </w:rPr>
              <w:t>Ascendente:</w:t>
            </w:r>
            <w:r w:rsidRPr="00253A39">
              <w:rPr>
                <w:sz w:val="18"/>
                <w:szCs w:val="18"/>
                <w:lang w:val="es-ES_tradnl"/>
              </w:rPr>
              <w:br/>
              <w:t xml:space="preserve">1,8 Mbit/s por canal de 1,25 MHz </w:t>
            </w:r>
          </w:p>
          <w:p w:rsidR="004C7EA7" w:rsidRPr="00253A39" w:rsidRDefault="004C7EA7" w:rsidP="004C7EA7">
            <w:pPr>
              <w:pStyle w:val="Tabletext"/>
              <w:jc w:val="left"/>
              <w:rPr>
                <w:rFonts w:eastAsia="MS Mincho"/>
                <w:sz w:val="18"/>
                <w:szCs w:val="18"/>
                <w:lang w:val="es-ES_tradnl" w:eastAsia="ja-JP"/>
              </w:rPr>
            </w:pPr>
            <w:r w:rsidRPr="00253A39">
              <w:rPr>
                <w:sz w:val="18"/>
                <w:szCs w:val="18"/>
                <w:lang w:val="es-ES_tradnl"/>
              </w:rPr>
              <w:t>Descendente</w:t>
            </w:r>
            <w:r w:rsidRPr="00253A39">
              <w:rPr>
                <w:rFonts w:eastAsia="MS Mincho"/>
                <w:sz w:val="18"/>
                <w:szCs w:val="18"/>
                <w:lang w:val="es-ES_tradnl" w:eastAsia="ja-JP"/>
              </w:rPr>
              <w:t xml:space="preserve"> </w:t>
            </w:r>
            <w:r w:rsidRPr="00253A39">
              <w:rPr>
                <w:rFonts w:eastAsia="MS Mincho"/>
                <w:sz w:val="18"/>
                <w:szCs w:val="18"/>
                <w:lang w:val="es-ES_tradnl" w:eastAsia="ja-JP"/>
              </w:rPr>
              <w:br/>
            </w:r>
            <w:r w:rsidRPr="00253A39">
              <w:rPr>
                <w:sz w:val="18"/>
                <w:szCs w:val="18"/>
                <w:lang w:val="es-ES_tradnl"/>
              </w:rPr>
              <w:t>3,1 Mbit/s</w:t>
            </w:r>
            <w:r w:rsidRPr="00253A39">
              <w:rPr>
                <w:sz w:val="18"/>
                <w:szCs w:val="18"/>
                <w:lang w:val="es-ES_tradnl"/>
              </w:rPr>
              <w:br/>
              <w:t xml:space="preserve">Por 1,25 MHz </w:t>
            </w:r>
            <w:r w:rsidRPr="00253A39">
              <w:rPr>
                <w:rFonts w:eastAsia="MS Mincho"/>
                <w:sz w:val="18"/>
                <w:szCs w:val="18"/>
                <w:lang w:val="es-ES_tradnl" w:eastAsia="ja-JP"/>
              </w:rPr>
              <w:t>(cdma2000)</w:t>
            </w:r>
          </w:p>
          <w:p w:rsidR="004C7EA7" w:rsidRPr="00253A39" w:rsidRDefault="004C7EA7" w:rsidP="004C7EA7">
            <w:pPr>
              <w:pStyle w:val="Tabletext"/>
              <w:jc w:val="left"/>
              <w:rPr>
                <w:sz w:val="18"/>
                <w:szCs w:val="18"/>
                <w:lang w:val="es-ES_tradnl"/>
              </w:rPr>
            </w:pPr>
            <w:r w:rsidRPr="00253A39">
              <w:rPr>
                <w:sz w:val="18"/>
                <w:szCs w:val="18"/>
                <w:lang w:val="es-ES_tradnl"/>
              </w:rPr>
              <w:br/>
              <w:t>Ascendente:</w:t>
            </w:r>
            <w:r w:rsidRPr="00253A39">
              <w:rPr>
                <w:sz w:val="18"/>
                <w:szCs w:val="18"/>
                <w:lang w:val="es-ES_tradnl"/>
              </w:rPr>
              <w:br/>
              <w:t>4,3 Mbit/s</w:t>
            </w:r>
            <w:r w:rsidRPr="00253A39">
              <w:rPr>
                <w:sz w:val="18"/>
                <w:szCs w:val="18"/>
                <w:lang w:val="es-ES_tradnl"/>
              </w:rPr>
              <w:br/>
              <w:t xml:space="preserve">por canal de 1,25 MHz </w:t>
            </w:r>
          </w:p>
          <w:p w:rsidR="004C7EA7" w:rsidRPr="00253A39" w:rsidRDefault="004C7EA7" w:rsidP="004C7EA7">
            <w:pPr>
              <w:pStyle w:val="Tabletext"/>
              <w:jc w:val="left"/>
              <w:rPr>
                <w:rFonts w:eastAsia="MS Mincho"/>
                <w:sz w:val="18"/>
                <w:szCs w:val="18"/>
                <w:lang w:val="es-ES_tradnl" w:eastAsia="ja-JP"/>
              </w:rPr>
            </w:pPr>
            <w:r w:rsidRPr="00253A39">
              <w:rPr>
                <w:sz w:val="18"/>
                <w:szCs w:val="18"/>
                <w:lang w:val="es-ES_tradnl"/>
              </w:rPr>
              <w:t xml:space="preserve">Descendente: </w:t>
            </w:r>
            <w:r>
              <w:rPr>
                <w:sz w:val="18"/>
                <w:szCs w:val="18"/>
                <w:lang w:val="es-ES_tradnl"/>
              </w:rPr>
              <w:br/>
            </w:r>
            <w:r w:rsidRPr="00253A39">
              <w:rPr>
                <w:sz w:val="18"/>
                <w:szCs w:val="18"/>
                <w:lang w:val="es-ES_tradnl"/>
              </w:rPr>
              <w:t>18,7 Mbit/s por canal de 1,25 MHz</w:t>
            </w:r>
            <w:r w:rsidRPr="00253A39">
              <w:rPr>
                <w:sz w:val="18"/>
                <w:szCs w:val="18"/>
                <w:lang w:val="es-ES_tradnl"/>
              </w:rPr>
              <w:br/>
            </w:r>
            <w:r w:rsidRPr="00253A39">
              <w:rPr>
                <w:rFonts w:eastAsia="MS Mincho"/>
                <w:sz w:val="18"/>
                <w:szCs w:val="18"/>
                <w:lang w:val="es-ES_tradnl" w:eastAsia="ja-JP"/>
              </w:rPr>
              <w:t xml:space="preserve">(cdma2000 HRPD) </w:t>
            </w:r>
          </w:p>
          <w:p w:rsidR="004C7EA7" w:rsidRPr="00253A39" w:rsidRDefault="004C7EA7" w:rsidP="004C7EA7">
            <w:pPr>
              <w:pStyle w:val="Tabletext"/>
              <w:jc w:val="left"/>
              <w:rPr>
                <w:sz w:val="18"/>
                <w:szCs w:val="18"/>
                <w:lang w:val="es-ES_tradnl"/>
              </w:rPr>
            </w:pPr>
            <w:r w:rsidRPr="00253A39">
              <w:rPr>
                <w:rFonts w:eastAsia="MS Mincho"/>
                <w:sz w:val="18"/>
                <w:szCs w:val="18"/>
                <w:lang w:val="es-ES_tradnl" w:eastAsia="ja-JP"/>
              </w:rPr>
              <w:t>Ascendente</w:t>
            </w:r>
            <w:r w:rsidRPr="00253A39">
              <w:rPr>
                <w:sz w:val="18"/>
                <w:szCs w:val="18"/>
                <w:lang w:val="es-ES_tradnl"/>
              </w:rPr>
              <w:t>:</w:t>
            </w:r>
            <w:r w:rsidRPr="00253A39">
              <w:rPr>
                <w:sz w:val="18"/>
                <w:szCs w:val="18"/>
                <w:lang w:val="es-ES_tradnl"/>
              </w:rPr>
              <w:br/>
              <w:t>75 Mbit/s por 20 MHz</w:t>
            </w:r>
          </w:p>
          <w:p w:rsidR="004C7EA7" w:rsidRPr="00253A39" w:rsidRDefault="004C7EA7" w:rsidP="004C7EA7">
            <w:pPr>
              <w:pStyle w:val="Tabletext"/>
              <w:jc w:val="left"/>
              <w:rPr>
                <w:lang w:val="es-ES_tradnl"/>
              </w:rPr>
            </w:pPr>
            <w:r w:rsidRPr="00253A39">
              <w:rPr>
                <w:sz w:val="18"/>
                <w:szCs w:val="18"/>
                <w:lang w:val="es-ES_tradnl"/>
              </w:rPr>
              <w:t xml:space="preserve">Descendente: </w:t>
            </w:r>
            <w:r w:rsidRPr="00253A39">
              <w:rPr>
                <w:sz w:val="18"/>
                <w:szCs w:val="18"/>
                <w:lang w:val="es-ES_tradnl"/>
              </w:rPr>
              <w:br/>
              <w:t>228 Mbit/s por 20 MHz</w:t>
            </w:r>
            <w:r>
              <w:rPr>
                <w:sz w:val="18"/>
                <w:szCs w:val="18"/>
                <w:lang w:val="es-ES_tradnl"/>
              </w:rPr>
              <w:t xml:space="preserve"> </w:t>
            </w:r>
            <w:r w:rsidRPr="00253A39">
              <w:rPr>
                <w:sz w:val="18"/>
                <w:szCs w:val="18"/>
                <w:lang w:val="es-ES_tradnl"/>
              </w:rPr>
              <w:t>(UMB)</w:t>
            </w:r>
          </w:p>
        </w:tc>
        <w:tc>
          <w:tcPr>
            <w:tcW w:w="942" w:type="dxa"/>
            <w:tcMar>
              <w:left w:w="57" w:type="dxa"/>
              <w:right w:w="57" w:type="dxa"/>
            </w:tcMar>
          </w:tcPr>
          <w:p w:rsidR="004C7EA7" w:rsidRPr="00253A39" w:rsidRDefault="004C7EA7" w:rsidP="004C7EA7">
            <w:pPr>
              <w:pStyle w:val="Tabletext"/>
              <w:tabs>
                <w:tab w:val="clear" w:pos="851"/>
              </w:tabs>
              <w:ind w:left="-28" w:right="-57"/>
              <w:jc w:val="left"/>
              <w:rPr>
                <w:sz w:val="18"/>
                <w:szCs w:val="18"/>
                <w:lang w:val="es-ES_tradnl"/>
              </w:rPr>
            </w:pPr>
            <w:r w:rsidRPr="00253A39">
              <w:rPr>
                <w:sz w:val="18"/>
                <w:szCs w:val="18"/>
                <w:lang w:val="es-ES_tradnl"/>
              </w:rPr>
              <w:t>No</w:t>
            </w:r>
          </w:p>
          <w:p w:rsidR="004C7EA7" w:rsidRPr="00253A39" w:rsidRDefault="004C7EA7" w:rsidP="004C7EA7">
            <w:pPr>
              <w:pStyle w:val="Tabletext"/>
              <w:ind w:left="-28" w:right="-57"/>
              <w:jc w:val="left"/>
              <w:rPr>
                <w:lang w:val="es-ES_tradnl"/>
              </w:rPr>
            </w:pPr>
            <w:r w:rsidRPr="00253A39">
              <w:rPr>
                <w:rFonts w:eastAsia="MS Mincho"/>
                <w:sz w:val="18"/>
                <w:szCs w:val="18"/>
                <w:lang w:val="es-ES_tradnl" w:eastAsia="ja-JP"/>
              </w:rPr>
              <w:t>(cdma2000) Sí (cdma2000 HRPD-</w:t>
            </w:r>
            <w:r w:rsidRPr="00253A39">
              <w:rPr>
                <w:sz w:val="18"/>
                <w:szCs w:val="18"/>
                <w:lang w:val="es-ES_tradnl"/>
              </w:rPr>
              <w:t>UMB)</w:t>
            </w:r>
          </w:p>
        </w:tc>
        <w:tc>
          <w:tcPr>
            <w:tcW w:w="981" w:type="dxa"/>
            <w:tcMar>
              <w:left w:w="57" w:type="dxa"/>
              <w:right w:w="57" w:type="dxa"/>
            </w:tcMar>
          </w:tcPr>
          <w:p w:rsidR="004C7EA7" w:rsidRPr="00253A39" w:rsidRDefault="004C7EA7" w:rsidP="004C7EA7">
            <w:pPr>
              <w:pStyle w:val="Tabletext"/>
              <w:tabs>
                <w:tab w:val="clear" w:pos="851"/>
              </w:tabs>
              <w:ind w:left="-28" w:right="-57"/>
              <w:jc w:val="left"/>
              <w:rPr>
                <w:sz w:val="18"/>
                <w:szCs w:val="18"/>
                <w:lang w:val="es-ES_tradnl"/>
              </w:rPr>
            </w:pPr>
            <w:r w:rsidRPr="00253A39">
              <w:rPr>
                <w:sz w:val="18"/>
                <w:szCs w:val="18"/>
                <w:lang w:val="es-ES_tradnl"/>
              </w:rPr>
              <w:t>No</w:t>
            </w:r>
          </w:p>
          <w:p w:rsidR="004C7EA7" w:rsidRPr="004C7EA7" w:rsidRDefault="004C7EA7" w:rsidP="004C7EA7">
            <w:pPr>
              <w:pStyle w:val="Tabletext"/>
              <w:ind w:left="-28" w:right="-57"/>
              <w:jc w:val="left"/>
              <w:rPr>
                <w:lang w:val="es-ES_tradnl"/>
              </w:rPr>
            </w:pPr>
            <w:r w:rsidRPr="00253A39">
              <w:rPr>
                <w:sz w:val="18"/>
                <w:szCs w:val="18"/>
                <w:lang w:val="es-ES_tradnl"/>
              </w:rPr>
              <w:t>(cdma2000)</w:t>
            </w:r>
            <w:r w:rsidRPr="00253A39">
              <w:rPr>
                <w:sz w:val="18"/>
                <w:szCs w:val="18"/>
                <w:lang w:val="es-ES_tradnl"/>
              </w:rPr>
              <w:br/>
              <w:t>Sí</w:t>
            </w:r>
            <w:r w:rsidRPr="00253A39">
              <w:rPr>
                <w:sz w:val="18"/>
                <w:szCs w:val="18"/>
                <w:lang w:val="es-ES_tradnl"/>
              </w:rPr>
              <w:br/>
              <w:t>(cdma2000 HRPD-UMB)</w:t>
            </w:r>
          </w:p>
        </w:tc>
        <w:tc>
          <w:tcPr>
            <w:tcW w:w="1033" w:type="dxa"/>
            <w:tcMar>
              <w:left w:w="57" w:type="dxa"/>
              <w:right w:w="57" w:type="dxa"/>
            </w:tcMar>
          </w:tcPr>
          <w:p w:rsidR="004C7EA7" w:rsidRPr="00253A39" w:rsidRDefault="004C7EA7" w:rsidP="004C7EA7">
            <w:pPr>
              <w:pStyle w:val="Tabletext"/>
              <w:tabs>
                <w:tab w:val="clear" w:pos="851"/>
              </w:tabs>
              <w:jc w:val="left"/>
              <w:rPr>
                <w:sz w:val="18"/>
                <w:szCs w:val="18"/>
                <w:lang w:val="es-ES_tradnl"/>
              </w:rPr>
            </w:pPr>
            <w:r w:rsidRPr="00253A39">
              <w:rPr>
                <w:sz w:val="18"/>
                <w:szCs w:val="18"/>
                <w:lang w:val="es-ES_tradnl"/>
              </w:rPr>
              <w:t>DDF</w:t>
            </w:r>
          </w:p>
          <w:p w:rsidR="004C7EA7" w:rsidRPr="00253A39" w:rsidRDefault="004C7EA7" w:rsidP="004C7EA7">
            <w:pPr>
              <w:pStyle w:val="Tabletext"/>
              <w:tabs>
                <w:tab w:val="clear" w:pos="851"/>
              </w:tabs>
              <w:jc w:val="left"/>
              <w:rPr>
                <w:sz w:val="18"/>
                <w:szCs w:val="18"/>
                <w:lang w:val="es-ES_tradnl"/>
              </w:rPr>
            </w:pPr>
            <w:r w:rsidRPr="00253A39">
              <w:rPr>
                <w:sz w:val="18"/>
                <w:szCs w:val="18"/>
                <w:lang w:val="es-ES_tradnl"/>
              </w:rPr>
              <w:t>(cdma2000 y cdma2000 HRPD)</w:t>
            </w:r>
          </w:p>
          <w:p w:rsidR="004C7EA7" w:rsidRPr="00BE3323" w:rsidRDefault="004C7EA7" w:rsidP="004C7EA7">
            <w:pPr>
              <w:pStyle w:val="Tabletext"/>
              <w:tabs>
                <w:tab w:val="clear" w:pos="851"/>
              </w:tabs>
              <w:jc w:val="left"/>
              <w:rPr>
                <w:sz w:val="18"/>
                <w:szCs w:val="18"/>
              </w:rPr>
            </w:pPr>
            <w:r w:rsidRPr="00253A39">
              <w:rPr>
                <w:sz w:val="18"/>
                <w:szCs w:val="18"/>
                <w:lang w:val="es-ES_tradnl"/>
              </w:rPr>
              <w:br/>
            </w:r>
            <w:r w:rsidRPr="00BE3323">
              <w:rPr>
                <w:sz w:val="18"/>
                <w:szCs w:val="18"/>
              </w:rPr>
              <w:t>DDF/DDT</w:t>
            </w:r>
            <w:r w:rsidRPr="00BE3323">
              <w:rPr>
                <w:sz w:val="18"/>
                <w:szCs w:val="18"/>
              </w:rPr>
              <w:br/>
              <w:t>(UMB)</w:t>
            </w:r>
          </w:p>
        </w:tc>
        <w:tc>
          <w:tcPr>
            <w:tcW w:w="981" w:type="dxa"/>
            <w:tcMar>
              <w:left w:w="57" w:type="dxa"/>
              <w:right w:w="57" w:type="dxa"/>
            </w:tcMar>
          </w:tcPr>
          <w:p w:rsidR="004C7EA7" w:rsidRPr="00BE3323" w:rsidRDefault="004C7EA7" w:rsidP="004C7EA7">
            <w:pPr>
              <w:pStyle w:val="Tabletext"/>
              <w:tabs>
                <w:tab w:val="clear" w:pos="851"/>
              </w:tabs>
              <w:jc w:val="left"/>
              <w:rPr>
                <w:sz w:val="18"/>
                <w:szCs w:val="18"/>
              </w:rPr>
            </w:pPr>
            <w:r w:rsidRPr="00BE3323">
              <w:rPr>
                <w:sz w:val="18"/>
                <w:szCs w:val="18"/>
              </w:rPr>
              <w:t>AMDC</w:t>
            </w:r>
          </w:p>
          <w:p w:rsidR="004C7EA7" w:rsidRPr="00BE3323" w:rsidRDefault="004C7EA7" w:rsidP="004C7EA7">
            <w:pPr>
              <w:pStyle w:val="Tabletext"/>
              <w:tabs>
                <w:tab w:val="clear" w:pos="851"/>
              </w:tabs>
              <w:ind w:right="-108"/>
              <w:jc w:val="left"/>
              <w:rPr>
                <w:sz w:val="18"/>
                <w:szCs w:val="18"/>
              </w:rPr>
            </w:pPr>
            <w:r w:rsidRPr="00BE3323">
              <w:rPr>
                <w:sz w:val="18"/>
                <w:szCs w:val="18"/>
              </w:rPr>
              <w:t xml:space="preserve">(cdma2000) y </w:t>
            </w:r>
            <w:r>
              <w:rPr>
                <w:sz w:val="18"/>
                <w:szCs w:val="18"/>
              </w:rPr>
              <w:t>AMDC MDFO Y MDFOA (cdma</w:t>
            </w:r>
            <w:r w:rsidRPr="00BE3323">
              <w:rPr>
                <w:sz w:val="18"/>
                <w:szCs w:val="18"/>
              </w:rPr>
              <w:t xml:space="preserve">2000 HRPD) </w:t>
            </w:r>
          </w:p>
          <w:p w:rsidR="004C7EA7" w:rsidRPr="00BE3323" w:rsidRDefault="004C7EA7" w:rsidP="004C7EA7">
            <w:pPr>
              <w:pStyle w:val="Tabletext"/>
              <w:tabs>
                <w:tab w:val="clear" w:pos="851"/>
              </w:tabs>
              <w:jc w:val="left"/>
              <w:rPr>
                <w:sz w:val="18"/>
                <w:szCs w:val="18"/>
              </w:rPr>
            </w:pPr>
            <w:r w:rsidRPr="00BE3323">
              <w:rPr>
                <w:sz w:val="18"/>
                <w:szCs w:val="18"/>
              </w:rPr>
              <w:br/>
              <w:t xml:space="preserve">AMDC y </w:t>
            </w:r>
          </w:p>
          <w:p w:rsidR="004C7EA7" w:rsidRPr="00BE3323" w:rsidRDefault="004C7EA7" w:rsidP="004C7EA7">
            <w:pPr>
              <w:pStyle w:val="Tabletext"/>
              <w:tabs>
                <w:tab w:val="clear" w:pos="851"/>
              </w:tabs>
              <w:jc w:val="left"/>
              <w:rPr>
                <w:sz w:val="18"/>
                <w:szCs w:val="18"/>
              </w:rPr>
            </w:pPr>
            <w:r w:rsidRPr="00BE3323">
              <w:rPr>
                <w:sz w:val="18"/>
                <w:szCs w:val="18"/>
              </w:rPr>
              <w:t>AMDFO</w:t>
            </w:r>
          </w:p>
          <w:p w:rsidR="004C7EA7" w:rsidRPr="00BE3323" w:rsidRDefault="004C7EA7" w:rsidP="004C7EA7">
            <w:pPr>
              <w:pStyle w:val="Tabletext"/>
              <w:tabs>
                <w:tab w:val="clear" w:pos="851"/>
              </w:tabs>
              <w:jc w:val="left"/>
              <w:rPr>
                <w:sz w:val="18"/>
                <w:szCs w:val="18"/>
              </w:rPr>
            </w:pPr>
            <w:r w:rsidRPr="00BE3323">
              <w:rPr>
                <w:sz w:val="18"/>
                <w:szCs w:val="18"/>
              </w:rPr>
              <w:t>(UMB)</w:t>
            </w:r>
          </w:p>
        </w:tc>
        <w:tc>
          <w:tcPr>
            <w:tcW w:w="1378" w:type="dxa"/>
            <w:tcMar>
              <w:left w:w="57" w:type="dxa"/>
              <w:right w:w="57" w:type="dxa"/>
            </w:tcMar>
          </w:tcPr>
          <w:p w:rsidR="004C7EA7" w:rsidRPr="00253A39" w:rsidRDefault="004C7EA7" w:rsidP="004C7EA7">
            <w:pPr>
              <w:pStyle w:val="Tabletext"/>
              <w:tabs>
                <w:tab w:val="clear" w:pos="851"/>
              </w:tabs>
              <w:ind w:right="-108"/>
              <w:jc w:val="left"/>
              <w:rPr>
                <w:rFonts w:eastAsia="MS Mincho"/>
                <w:sz w:val="18"/>
                <w:szCs w:val="18"/>
                <w:lang w:val="es-ES_tradnl" w:eastAsia="ja-JP"/>
              </w:rPr>
            </w:pPr>
            <w:r w:rsidRPr="00253A39">
              <w:rPr>
                <w:rFonts w:eastAsia="MS Mincho"/>
                <w:sz w:val="18"/>
                <w:szCs w:val="18"/>
                <w:lang w:val="es-ES_tradnl" w:eastAsia="ja-JP"/>
              </w:rPr>
              <w:t>Descendente:</w:t>
            </w:r>
            <w:r w:rsidRPr="00253A39">
              <w:rPr>
                <w:rFonts w:eastAsia="MS Mincho"/>
                <w:sz w:val="18"/>
                <w:szCs w:val="18"/>
                <w:lang w:val="es-ES_tradnl" w:eastAsia="ja-JP"/>
              </w:rPr>
              <w:br/>
              <w:t>1,25; 1,67; 2,5; 5; 10; 20; 40; 80 ms</w:t>
            </w:r>
          </w:p>
          <w:p w:rsidR="004C7EA7" w:rsidRPr="00253A39" w:rsidRDefault="004C7EA7" w:rsidP="004C7EA7">
            <w:pPr>
              <w:pStyle w:val="Tabletext"/>
              <w:jc w:val="left"/>
              <w:rPr>
                <w:sz w:val="18"/>
                <w:szCs w:val="18"/>
                <w:lang w:val="es-ES_tradnl"/>
              </w:rPr>
            </w:pPr>
            <w:r w:rsidRPr="00253A39">
              <w:rPr>
                <w:rFonts w:eastAsia="MS Mincho"/>
                <w:sz w:val="18"/>
                <w:szCs w:val="18"/>
                <w:lang w:val="es-ES_tradnl" w:eastAsia="ja-JP"/>
              </w:rPr>
              <w:t>Ascendente:</w:t>
            </w:r>
            <w:r w:rsidRPr="00253A39">
              <w:rPr>
                <w:rFonts w:eastAsia="MS Mincho"/>
                <w:sz w:val="18"/>
                <w:szCs w:val="18"/>
                <w:lang w:val="es-ES_tradnl" w:eastAsia="ja-JP"/>
              </w:rPr>
              <w:br/>
              <w:t xml:space="preserve">6,66; 10; 20; 26,67; 40; 80 ms </w:t>
            </w:r>
            <w:r w:rsidRPr="00253A39">
              <w:rPr>
                <w:sz w:val="18"/>
                <w:szCs w:val="18"/>
                <w:lang w:val="es-ES_tradnl"/>
              </w:rPr>
              <w:t>(cdma2000)</w:t>
            </w:r>
          </w:p>
          <w:p w:rsidR="004C7EA7" w:rsidRPr="00253A39" w:rsidRDefault="004C7EA7" w:rsidP="004C7EA7">
            <w:pPr>
              <w:pStyle w:val="Tabletext"/>
              <w:tabs>
                <w:tab w:val="clear" w:pos="851"/>
              </w:tabs>
              <w:ind w:right="-108"/>
              <w:jc w:val="left"/>
              <w:rPr>
                <w:sz w:val="18"/>
                <w:szCs w:val="18"/>
                <w:lang w:val="es-ES_tradnl"/>
              </w:rPr>
            </w:pPr>
            <w:r w:rsidRPr="00253A39">
              <w:rPr>
                <w:sz w:val="18"/>
                <w:szCs w:val="18"/>
                <w:lang w:val="es-ES_tradnl"/>
              </w:rPr>
              <w:br/>
              <w:t>Descendente:</w:t>
            </w:r>
          </w:p>
          <w:p w:rsidR="004C7EA7" w:rsidRPr="00253A39" w:rsidRDefault="004C7EA7" w:rsidP="004C7EA7">
            <w:pPr>
              <w:pStyle w:val="Tabletext"/>
              <w:jc w:val="left"/>
              <w:rPr>
                <w:sz w:val="18"/>
                <w:szCs w:val="18"/>
                <w:lang w:val="es-ES_tradnl"/>
              </w:rPr>
            </w:pPr>
            <w:r w:rsidRPr="00253A39">
              <w:rPr>
                <w:sz w:val="18"/>
                <w:szCs w:val="18"/>
                <w:lang w:val="es-ES_tradnl"/>
              </w:rPr>
              <w:t xml:space="preserve">1,67; 3,33; 6,66; 13,33; 26,67 </w:t>
            </w:r>
            <w:r w:rsidRPr="00253A39">
              <w:rPr>
                <w:sz w:val="18"/>
                <w:szCs w:val="18"/>
                <w:lang w:val="es-ES_tradnl"/>
              </w:rPr>
              <w:br/>
              <w:t>Ascendente:</w:t>
            </w:r>
            <w:r w:rsidRPr="00253A39">
              <w:rPr>
                <w:sz w:val="18"/>
                <w:szCs w:val="18"/>
                <w:lang w:val="es-ES_tradnl"/>
              </w:rPr>
              <w:br/>
              <w:t>1,67; 6,66; 13,33; 20; 26,67</w:t>
            </w:r>
            <w:r w:rsidRPr="00253A39">
              <w:rPr>
                <w:sz w:val="18"/>
                <w:szCs w:val="18"/>
                <w:lang w:val="es-ES_tradnl"/>
              </w:rPr>
              <w:br/>
              <w:t>(cdma2000 HRPD)</w:t>
            </w:r>
          </w:p>
          <w:p w:rsidR="004C7EA7" w:rsidRPr="00253A39" w:rsidRDefault="004C7EA7" w:rsidP="004C7EA7">
            <w:pPr>
              <w:pStyle w:val="Tabletext"/>
              <w:tabs>
                <w:tab w:val="clear" w:pos="851"/>
              </w:tabs>
              <w:ind w:right="-108"/>
              <w:jc w:val="left"/>
              <w:rPr>
                <w:rFonts w:eastAsia="MS Mincho"/>
                <w:sz w:val="18"/>
                <w:szCs w:val="18"/>
                <w:lang w:val="es-ES_tradnl" w:eastAsia="ja-JP"/>
              </w:rPr>
            </w:pPr>
            <w:r w:rsidRPr="00253A39">
              <w:rPr>
                <w:sz w:val="18"/>
                <w:szCs w:val="18"/>
                <w:lang w:val="es-ES_tradnl"/>
              </w:rPr>
              <w:t>Descendente</w:t>
            </w:r>
            <w:r w:rsidRPr="00253A39">
              <w:rPr>
                <w:rFonts w:eastAsia="MS Mincho"/>
                <w:sz w:val="18"/>
                <w:szCs w:val="18"/>
                <w:lang w:val="es-ES_tradnl" w:eastAsia="ja-JP"/>
              </w:rPr>
              <w:t>:</w:t>
            </w:r>
            <w:r w:rsidRPr="00253A39">
              <w:rPr>
                <w:rFonts w:eastAsia="MS Mincho"/>
                <w:sz w:val="18"/>
                <w:szCs w:val="18"/>
                <w:lang w:val="es-ES_tradnl" w:eastAsia="ja-JP"/>
              </w:rPr>
              <w:br/>
              <w:t>0,911 ms</w:t>
            </w:r>
          </w:p>
          <w:p w:rsidR="004C7EA7" w:rsidRPr="00BE3323" w:rsidRDefault="004C7EA7" w:rsidP="004C7EA7">
            <w:pPr>
              <w:pStyle w:val="Tabletext"/>
              <w:jc w:val="left"/>
              <w:rPr>
                <w:rFonts w:eastAsia="MS Mincho"/>
                <w:sz w:val="18"/>
                <w:szCs w:val="18"/>
                <w:lang w:eastAsia="ja-JP"/>
              </w:rPr>
            </w:pPr>
            <w:r w:rsidRPr="00BE3323">
              <w:rPr>
                <w:sz w:val="18"/>
                <w:szCs w:val="18"/>
              </w:rPr>
              <w:t>Ascendente</w:t>
            </w:r>
            <w:r w:rsidRPr="00BE3323">
              <w:rPr>
                <w:rFonts w:eastAsia="MS Mincho"/>
                <w:sz w:val="18"/>
                <w:szCs w:val="18"/>
                <w:lang w:eastAsia="ja-JP"/>
              </w:rPr>
              <w:t>:</w:t>
            </w:r>
            <w:r w:rsidRPr="00BE3323">
              <w:rPr>
                <w:rFonts w:eastAsia="MS Mincho"/>
                <w:sz w:val="18"/>
                <w:szCs w:val="18"/>
                <w:lang w:eastAsia="ja-JP"/>
              </w:rPr>
              <w:br/>
              <w:t>0,911 ms</w:t>
            </w:r>
          </w:p>
          <w:p w:rsidR="004C7EA7" w:rsidRPr="00BE3323" w:rsidRDefault="004C7EA7" w:rsidP="004C7EA7">
            <w:pPr>
              <w:pStyle w:val="Tabletext"/>
              <w:jc w:val="left"/>
              <w:rPr>
                <w:sz w:val="18"/>
                <w:szCs w:val="18"/>
              </w:rPr>
            </w:pPr>
            <w:r w:rsidRPr="00BE3323">
              <w:rPr>
                <w:rFonts w:eastAsia="MS Mincho"/>
                <w:sz w:val="18"/>
                <w:szCs w:val="18"/>
                <w:lang w:eastAsia="ja-JP"/>
              </w:rPr>
              <w:t>(UMB)</w:t>
            </w:r>
          </w:p>
        </w:tc>
        <w:tc>
          <w:tcPr>
            <w:tcW w:w="1064" w:type="dxa"/>
            <w:tcMar>
              <w:left w:w="57" w:type="dxa"/>
              <w:right w:w="57" w:type="dxa"/>
            </w:tcMar>
          </w:tcPr>
          <w:p w:rsidR="004C7EA7" w:rsidRPr="00BE3323" w:rsidRDefault="004C7EA7" w:rsidP="004C7EA7">
            <w:pPr>
              <w:pStyle w:val="Tabletext"/>
              <w:jc w:val="left"/>
              <w:rPr>
                <w:sz w:val="18"/>
                <w:szCs w:val="18"/>
              </w:rPr>
            </w:pPr>
            <w:r w:rsidRPr="00BE3323">
              <w:rPr>
                <w:sz w:val="18"/>
                <w:szCs w:val="18"/>
              </w:rPr>
              <w:t>Móvil</w:t>
            </w:r>
          </w:p>
        </w:tc>
      </w:tr>
    </w:tbl>
    <w:p w:rsidR="00253A39" w:rsidRPr="00BE3323" w:rsidRDefault="00253A39" w:rsidP="003F7355">
      <w:pPr>
        <w:pStyle w:val="TableNo"/>
        <w:spacing w:after="100"/>
      </w:pPr>
      <w:r w:rsidRPr="00BE3323">
        <w:lastRenderedPageBreak/>
        <w:t>CUADRO 5 (</w:t>
      </w:r>
      <w:r w:rsidRPr="00BE3323">
        <w:rPr>
          <w:i/>
          <w:iCs/>
        </w:rPr>
        <w:t>continuación</w:t>
      </w:r>
      <w:r w:rsidRPr="00BE3323">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800"/>
        <w:gridCol w:w="2160"/>
        <w:gridCol w:w="1126"/>
        <w:gridCol w:w="1465"/>
        <w:gridCol w:w="942"/>
        <w:gridCol w:w="1038"/>
        <w:gridCol w:w="829"/>
        <w:gridCol w:w="1128"/>
        <w:gridCol w:w="1378"/>
        <w:gridCol w:w="1064"/>
      </w:tblGrid>
      <w:tr w:rsidR="00253A39" w:rsidRPr="00DA2419" w:rsidTr="00253A39">
        <w:trPr>
          <w:cantSplit/>
          <w:tblHeader/>
          <w:jc w:val="center"/>
        </w:trPr>
        <w:tc>
          <w:tcPr>
            <w:tcW w:w="1529"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Norma</w:t>
            </w:r>
          </w:p>
        </w:tc>
        <w:tc>
          <w:tcPr>
            <w:tcW w:w="1800"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0" w:type="dxa"/>
            <w:tcMar>
              <w:left w:w="57" w:type="dxa"/>
              <w:right w:w="57" w:type="dxa"/>
            </w:tcMar>
            <w:vAlign w:val="center"/>
          </w:tcPr>
          <w:p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Soporte de codificación</w:t>
            </w:r>
          </w:p>
        </w:tc>
        <w:tc>
          <w:tcPr>
            <w:tcW w:w="1465" w:type="dxa"/>
            <w:tcMar>
              <w:left w:w="57" w:type="dxa"/>
              <w:right w:w="57" w:type="dxa"/>
            </w:tcMar>
            <w:vAlign w:val="center"/>
          </w:tcPr>
          <w:p w:rsidR="00253A39" w:rsidRPr="00253A39" w:rsidRDefault="00253A39" w:rsidP="003F7355">
            <w:pPr>
              <w:pStyle w:val="Tablehead"/>
              <w:spacing w:before="60" w:after="60"/>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1038"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Soporta MIMO (sí/no)</w:t>
            </w:r>
          </w:p>
        </w:tc>
        <w:tc>
          <w:tcPr>
            <w:tcW w:w="829"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 dúplex</w:t>
            </w:r>
          </w:p>
        </w:tc>
        <w:tc>
          <w:tcPr>
            <w:tcW w:w="1128"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378"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064"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rsidTr="00253A39">
        <w:trPr>
          <w:cantSplit/>
          <w:jc w:val="center"/>
        </w:trPr>
        <w:tc>
          <w:tcPr>
            <w:tcW w:w="1529" w:type="dxa"/>
          </w:tcPr>
          <w:p w:rsidR="00253A39" w:rsidRPr="00BE3323" w:rsidRDefault="00253A39" w:rsidP="00253A39">
            <w:pPr>
              <w:pStyle w:val="Tabletext"/>
              <w:jc w:val="left"/>
              <w:rPr>
                <w:sz w:val="18"/>
                <w:szCs w:val="18"/>
              </w:rPr>
            </w:pPr>
            <w:r w:rsidRPr="00BE3323">
              <w:rPr>
                <w:sz w:val="18"/>
                <w:szCs w:val="18"/>
              </w:rPr>
              <w:t xml:space="preserve">IMT-2000 DDT AMDC </w:t>
            </w:r>
            <w:r w:rsidRPr="00BE3323">
              <w:rPr>
                <w:sz w:val="18"/>
                <w:szCs w:val="18"/>
              </w:rPr>
              <w:br/>
              <w:t>(Anexo 2)</w:t>
            </w:r>
          </w:p>
        </w:tc>
        <w:tc>
          <w:tcPr>
            <w:tcW w:w="1800" w:type="dxa"/>
          </w:tcPr>
          <w:p w:rsidR="00253A39" w:rsidRPr="00253A39" w:rsidRDefault="00253A39" w:rsidP="00253A39">
            <w:pPr>
              <w:pStyle w:val="Tabletext"/>
              <w:jc w:val="left"/>
              <w:rPr>
                <w:sz w:val="18"/>
                <w:szCs w:val="18"/>
                <w:lang w:val="es-ES_tradnl"/>
              </w:rPr>
            </w:pPr>
            <w:r w:rsidRPr="00253A39">
              <w:rPr>
                <w:sz w:val="18"/>
                <w:szCs w:val="18"/>
                <w:lang w:val="es-ES_tradnl"/>
              </w:rPr>
              <w:t xml:space="preserve">1,28 Mchip/s DDT opción: Menor que </w:t>
            </w:r>
            <w:r w:rsidRPr="00253A39">
              <w:rPr>
                <w:sz w:val="18"/>
                <w:szCs w:val="18"/>
                <w:lang w:val="es-ES_tradnl"/>
              </w:rPr>
              <w:br/>
              <w:t>1,6 MHz</w:t>
            </w:r>
          </w:p>
          <w:p w:rsidR="00253A39" w:rsidRPr="00253A39" w:rsidRDefault="00253A39" w:rsidP="00253A39">
            <w:pPr>
              <w:pStyle w:val="Tabletext"/>
              <w:jc w:val="left"/>
              <w:rPr>
                <w:sz w:val="18"/>
                <w:szCs w:val="18"/>
                <w:lang w:val="es-ES_tradnl"/>
              </w:rPr>
            </w:pPr>
            <w:r w:rsidRPr="00253A39">
              <w:rPr>
                <w:sz w:val="18"/>
                <w:szCs w:val="18"/>
                <w:lang w:val="es-ES_tradnl"/>
              </w:rPr>
              <w:t>3,84 Mchip/s DDT opción: Menor que</w:t>
            </w:r>
            <w:r w:rsidRPr="00253A39">
              <w:rPr>
                <w:sz w:val="18"/>
                <w:szCs w:val="18"/>
                <w:lang w:val="es-ES_tradnl"/>
              </w:rPr>
              <w:br/>
              <w:t>5 MHz</w:t>
            </w:r>
          </w:p>
          <w:p w:rsidR="00253A39" w:rsidRPr="00253A39" w:rsidRDefault="00253A39" w:rsidP="00253A39">
            <w:pPr>
              <w:pStyle w:val="Tabletext"/>
              <w:spacing w:before="0"/>
              <w:jc w:val="left"/>
              <w:rPr>
                <w:sz w:val="18"/>
                <w:szCs w:val="18"/>
                <w:lang w:val="es-ES_tradnl"/>
              </w:rPr>
            </w:pPr>
            <w:r w:rsidRPr="00253A39">
              <w:rPr>
                <w:sz w:val="18"/>
                <w:szCs w:val="18"/>
                <w:lang w:val="es-ES_tradnl"/>
              </w:rPr>
              <w:t>7,68 Mchip/s DDT opción: Menor que 10 MHz</w:t>
            </w:r>
          </w:p>
          <w:p w:rsidR="00253A39" w:rsidRPr="00253A39" w:rsidRDefault="00253A39" w:rsidP="00415A21">
            <w:pPr>
              <w:pStyle w:val="Tabletext"/>
              <w:jc w:val="left"/>
              <w:rPr>
                <w:sz w:val="18"/>
                <w:szCs w:val="18"/>
                <w:lang w:val="es-ES_tradnl"/>
              </w:rPr>
            </w:pPr>
            <w:r w:rsidRPr="00253A39">
              <w:rPr>
                <w:sz w:val="18"/>
                <w:szCs w:val="18"/>
                <w:lang w:val="es-ES_tradnl"/>
              </w:rPr>
              <w:t>(E-UTRAN)</w:t>
            </w:r>
            <w:r w:rsidR="00415A21">
              <w:rPr>
                <w:sz w:val="18"/>
                <w:szCs w:val="18"/>
                <w:lang w:val="es-ES_tradnl"/>
              </w:rPr>
              <w:br/>
            </w:r>
            <w:r w:rsidRPr="00253A39">
              <w:rPr>
                <w:sz w:val="18"/>
                <w:szCs w:val="18"/>
                <w:lang w:val="es-ES_tradnl"/>
              </w:rPr>
              <w:t>flexible 1,4 MHz, 3 MHz, 5 MHz, 10</w:t>
            </w:r>
            <w:r w:rsidR="00415A21">
              <w:rPr>
                <w:sz w:val="18"/>
                <w:szCs w:val="18"/>
                <w:lang w:val="es-ES_tradnl"/>
              </w:rPr>
              <w:t> </w:t>
            </w:r>
            <w:r w:rsidRPr="00253A39">
              <w:rPr>
                <w:sz w:val="18"/>
                <w:szCs w:val="18"/>
                <w:lang w:val="es-ES_tradnl"/>
              </w:rPr>
              <w:t>MHz, 15 MHz y</w:t>
            </w:r>
            <w:r w:rsidR="00415A21">
              <w:rPr>
                <w:sz w:val="18"/>
                <w:szCs w:val="18"/>
                <w:lang w:val="es-ES_tradnl"/>
              </w:rPr>
              <w:t> </w:t>
            </w:r>
            <w:r w:rsidRPr="00253A39">
              <w:rPr>
                <w:sz w:val="18"/>
                <w:szCs w:val="18"/>
                <w:lang w:val="es-ES_tradnl"/>
              </w:rPr>
              <w:t>20 MHz;</w:t>
            </w:r>
            <w:r w:rsidR="00415A21">
              <w:rPr>
                <w:sz w:val="18"/>
                <w:szCs w:val="18"/>
                <w:lang w:val="es-ES_tradnl"/>
              </w:rPr>
              <w:br/>
            </w:r>
            <w:r w:rsidRPr="00253A39">
              <w:rPr>
                <w:sz w:val="18"/>
                <w:szCs w:val="18"/>
                <w:lang w:val="es-ES_tradnl"/>
              </w:rPr>
              <w:t>agregación de portadora hasta 100 MHz</w:t>
            </w:r>
          </w:p>
        </w:tc>
        <w:tc>
          <w:tcPr>
            <w:tcW w:w="2160" w:type="dxa"/>
          </w:tcPr>
          <w:p w:rsidR="00253A39" w:rsidRPr="00253A39" w:rsidRDefault="00253A39" w:rsidP="00253A39">
            <w:pPr>
              <w:pStyle w:val="Tabletext"/>
              <w:jc w:val="left"/>
              <w:rPr>
                <w:sz w:val="18"/>
                <w:szCs w:val="18"/>
                <w:lang w:val="es-ES_tradnl"/>
              </w:rPr>
            </w:pPr>
            <w:r w:rsidRPr="00253A39">
              <w:rPr>
                <w:sz w:val="18"/>
                <w:szCs w:val="18"/>
                <w:lang w:val="es-ES_tradnl"/>
              </w:rPr>
              <w:t>1,28 Mchip/s DDT opción:</w:t>
            </w:r>
          </w:p>
          <w:p w:rsidR="00253A39" w:rsidRPr="00253A39" w:rsidRDefault="00253A39" w:rsidP="00253A39">
            <w:pPr>
              <w:pStyle w:val="Tabletext"/>
              <w:jc w:val="left"/>
              <w:rPr>
                <w:sz w:val="18"/>
                <w:szCs w:val="18"/>
                <w:lang w:val="es-ES_tradnl"/>
              </w:rPr>
            </w:pPr>
            <w:r w:rsidRPr="00253A39">
              <w:rPr>
                <w:sz w:val="18"/>
                <w:szCs w:val="18"/>
                <w:lang w:val="es-ES_tradnl"/>
              </w:rPr>
              <w:t>Ascendente: MDP-8, MDP-4, MAQ-16,</w:t>
            </w:r>
            <w:r w:rsidRPr="00253A39">
              <w:rPr>
                <w:sz w:val="18"/>
                <w:szCs w:val="18"/>
                <w:lang w:val="es-ES_tradnl"/>
              </w:rPr>
              <w:br/>
              <w:t xml:space="preserve">Descendente: MDP-8, </w:t>
            </w:r>
            <w:r w:rsidRPr="00253A39">
              <w:rPr>
                <w:sz w:val="18"/>
                <w:szCs w:val="18"/>
                <w:lang w:val="es-ES_tradnl"/>
              </w:rPr>
              <w:br/>
              <w:t xml:space="preserve">MAQ-16, MDP-4 </w:t>
            </w:r>
          </w:p>
          <w:p w:rsidR="00253A39" w:rsidRPr="00253A39" w:rsidRDefault="00253A39" w:rsidP="00253A39">
            <w:pPr>
              <w:pStyle w:val="Tabletext"/>
              <w:jc w:val="left"/>
              <w:rPr>
                <w:sz w:val="18"/>
                <w:szCs w:val="18"/>
                <w:lang w:val="es-ES_tradnl"/>
              </w:rPr>
            </w:pPr>
            <w:r w:rsidRPr="00253A39">
              <w:rPr>
                <w:sz w:val="18"/>
                <w:szCs w:val="18"/>
                <w:lang w:val="es-ES_tradnl"/>
              </w:rPr>
              <w:t>3,84 Mchip/s DDT opción:</w:t>
            </w:r>
          </w:p>
          <w:p w:rsidR="00253A39" w:rsidRPr="00253A39" w:rsidRDefault="00253A39" w:rsidP="00253A39">
            <w:pPr>
              <w:pStyle w:val="Tabletext"/>
              <w:spacing w:after="0"/>
              <w:jc w:val="left"/>
              <w:rPr>
                <w:sz w:val="18"/>
                <w:szCs w:val="18"/>
                <w:lang w:val="es-ES_tradnl"/>
              </w:rPr>
            </w:pPr>
            <w:r w:rsidRPr="00253A39">
              <w:rPr>
                <w:sz w:val="18"/>
                <w:szCs w:val="18"/>
                <w:lang w:val="es-ES_tradnl"/>
              </w:rPr>
              <w:t xml:space="preserve">Ascendente: MAQ-16, MDP-4 </w:t>
            </w:r>
          </w:p>
          <w:p w:rsidR="00253A39" w:rsidRPr="00253A39" w:rsidRDefault="00253A39" w:rsidP="00253A39">
            <w:pPr>
              <w:pStyle w:val="Tabletext"/>
              <w:spacing w:after="0"/>
              <w:jc w:val="left"/>
              <w:rPr>
                <w:sz w:val="18"/>
                <w:szCs w:val="18"/>
                <w:lang w:val="es-ES_tradnl"/>
              </w:rPr>
            </w:pPr>
            <w:r w:rsidRPr="00253A39">
              <w:rPr>
                <w:sz w:val="18"/>
                <w:szCs w:val="18"/>
                <w:lang w:val="es-ES_tradnl"/>
              </w:rPr>
              <w:t xml:space="preserve">Descendente: MAQ-16, MDP-4 </w:t>
            </w:r>
          </w:p>
          <w:p w:rsidR="00253A39" w:rsidRPr="00253A39" w:rsidRDefault="00253A39" w:rsidP="00253A39">
            <w:pPr>
              <w:pStyle w:val="Tabletext"/>
              <w:spacing w:after="0"/>
              <w:jc w:val="left"/>
              <w:rPr>
                <w:sz w:val="18"/>
                <w:szCs w:val="18"/>
                <w:lang w:val="es-ES_tradnl"/>
              </w:rPr>
            </w:pPr>
            <w:r>
              <w:rPr>
                <w:sz w:val="18"/>
                <w:szCs w:val="18"/>
                <w:lang w:val="es-ES_tradnl"/>
              </w:rPr>
              <w:t>7,</w:t>
            </w:r>
            <w:r w:rsidRPr="00253A39">
              <w:rPr>
                <w:sz w:val="18"/>
                <w:szCs w:val="18"/>
                <w:lang w:val="es-ES_tradnl"/>
              </w:rPr>
              <w:t>68 Mchip/s DDT opción:</w:t>
            </w:r>
          </w:p>
          <w:p w:rsidR="00253A39" w:rsidRPr="00253A39" w:rsidRDefault="00253A39" w:rsidP="00253A39">
            <w:pPr>
              <w:pStyle w:val="Tabletext"/>
              <w:spacing w:after="0"/>
              <w:jc w:val="left"/>
              <w:rPr>
                <w:sz w:val="18"/>
                <w:szCs w:val="18"/>
                <w:lang w:val="es-ES_tradnl"/>
              </w:rPr>
            </w:pPr>
            <w:r w:rsidRPr="00253A39">
              <w:rPr>
                <w:sz w:val="18"/>
                <w:szCs w:val="18"/>
                <w:lang w:val="es-ES_tradnl"/>
              </w:rPr>
              <w:t xml:space="preserve">Ascendente: MAQ-16, MDP-4 </w:t>
            </w:r>
          </w:p>
          <w:p w:rsidR="00253A39" w:rsidRPr="00253A39" w:rsidRDefault="00253A39" w:rsidP="00253A39">
            <w:pPr>
              <w:pStyle w:val="Tabletext"/>
              <w:spacing w:after="0"/>
              <w:jc w:val="left"/>
              <w:rPr>
                <w:sz w:val="18"/>
                <w:szCs w:val="18"/>
                <w:lang w:val="es-ES_tradnl"/>
              </w:rPr>
            </w:pPr>
            <w:r w:rsidRPr="00253A39">
              <w:rPr>
                <w:sz w:val="18"/>
                <w:szCs w:val="18"/>
                <w:lang w:val="es-ES_tradnl"/>
              </w:rPr>
              <w:t xml:space="preserve">Descendente: MAQ-16, MDP-4 </w:t>
            </w:r>
          </w:p>
          <w:p w:rsidR="00253A39" w:rsidRPr="00253A39" w:rsidRDefault="00253A39" w:rsidP="00253A39">
            <w:pPr>
              <w:pStyle w:val="Tabletext"/>
              <w:spacing w:after="0"/>
              <w:jc w:val="left"/>
              <w:rPr>
                <w:sz w:val="18"/>
                <w:szCs w:val="18"/>
                <w:lang w:val="es-ES_tradnl"/>
              </w:rPr>
            </w:pPr>
          </w:p>
          <w:p w:rsidR="00253A39" w:rsidRPr="00253A39" w:rsidRDefault="00253A39" w:rsidP="00253A39">
            <w:pPr>
              <w:pStyle w:val="Tabletext"/>
              <w:jc w:val="left"/>
              <w:rPr>
                <w:sz w:val="18"/>
                <w:szCs w:val="18"/>
                <w:lang w:val="es-ES_tradnl"/>
              </w:rPr>
            </w:pPr>
            <w:r w:rsidRPr="00253A39">
              <w:rPr>
                <w:sz w:val="18"/>
                <w:szCs w:val="18"/>
                <w:lang w:val="es-ES_tradnl"/>
              </w:rPr>
              <w:t>(E-UTRAN)</w:t>
            </w:r>
            <w:r w:rsidRPr="00253A39">
              <w:rPr>
                <w:sz w:val="18"/>
                <w:szCs w:val="18"/>
                <w:lang w:val="es-ES_tradnl"/>
              </w:rPr>
              <w:br/>
              <w:t xml:space="preserve">MDP-4, MAQ-16, </w:t>
            </w:r>
            <w:r w:rsidRPr="00253A39">
              <w:rPr>
                <w:sz w:val="18"/>
                <w:szCs w:val="18"/>
                <w:lang w:val="es-ES_tradnl"/>
              </w:rPr>
              <w:br/>
              <w:t>MAQ-64</w:t>
            </w:r>
          </w:p>
          <w:p w:rsidR="00253A39" w:rsidRPr="00253A39" w:rsidRDefault="00253A39" w:rsidP="00253A39">
            <w:pPr>
              <w:pStyle w:val="Tabletext"/>
              <w:jc w:val="left"/>
              <w:rPr>
                <w:sz w:val="18"/>
                <w:szCs w:val="18"/>
                <w:lang w:val="es-ES_tradnl"/>
              </w:rPr>
            </w:pPr>
          </w:p>
          <w:p w:rsidR="00253A39" w:rsidRPr="00253A39" w:rsidRDefault="00253A39" w:rsidP="003F7355">
            <w:pPr>
              <w:pStyle w:val="Tabletext"/>
              <w:jc w:val="left"/>
              <w:rPr>
                <w:sz w:val="18"/>
                <w:szCs w:val="18"/>
                <w:lang w:val="es-ES_tradnl"/>
              </w:rPr>
            </w:pPr>
            <w:r w:rsidRPr="00253A39">
              <w:rPr>
                <w:sz w:val="18"/>
                <w:szCs w:val="18"/>
                <w:lang w:val="es-ES_tradnl"/>
              </w:rPr>
              <w:t>Velocidad de codificación plenamente variable en</w:t>
            </w:r>
            <w:r w:rsidR="003F7355">
              <w:rPr>
                <w:sz w:val="18"/>
                <w:szCs w:val="18"/>
                <w:lang w:val="es-ES_tradnl"/>
              </w:rPr>
              <w:t> </w:t>
            </w:r>
            <w:r w:rsidRPr="00253A39">
              <w:rPr>
                <w:sz w:val="18"/>
                <w:szCs w:val="18"/>
                <w:lang w:val="es-ES_tradnl"/>
              </w:rPr>
              <w:t>ARQ híbrida y redundancia incremental</w:t>
            </w:r>
          </w:p>
        </w:tc>
        <w:tc>
          <w:tcPr>
            <w:tcW w:w="1126" w:type="dxa"/>
          </w:tcPr>
          <w:p w:rsidR="00253A39" w:rsidRPr="00253A39" w:rsidRDefault="00253A39" w:rsidP="00253A39">
            <w:pPr>
              <w:pStyle w:val="Tabletext"/>
              <w:jc w:val="left"/>
              <w:rPr>
                <w:sz w:val="18"/>
                <w:szCs w:val="18"/>
                <w:lang w:val="es-ES_tradnl"/>
              </w:rPr>
            </w:pPr>
            <w:r w:rsidRPr="00253A39">
              <w:rPr>
                <w:sz w:val="18"/>
                <w:szCs w:val="18"/>
                <w:lang w:val="es-ES_tradnl"/>
              </w:rPr>
              <w:t>Convolu-cional turbo</w:t>
            </w:r>
          </w:p>
          <w:p w:rsidR="00253A39" w:rsidRPr="00253A39" w:rsidRDefault="00253A39" w:rsidP="00253A39">
            <w:pPr>
              <w:pStyle w:val="Tabletext"/>
              <w:jc w:val="left"/>
              <w:rPr>
                <w:sz w:val="18"/>
                <w:szCs w:val="18"/>
                <w:lang w:val="es-ES_tradnl"/>
              </w:rPr>
            </w:pPr>
            <w:r w:rsidRPr="00253A39">
              <w:rPr>
                <w:sz w:val="18"/>
                <w:szCs w:val="18"/>
                <w:lang w:val="es-ES_tradnl"/>
              </w:rPr>
              <w:t>(E-UTRAN)</w:t>
            </w:r>
          </w:p>
          <w:p w:rsidR="00253A39" w:rsidRPr="00253A39" w:rsidRDefault="00253A39" w:rsidP="00253A39">
            <w:pPr>
              <w:pStyle w:val="Tabletext"/>
              <w:jc w:val="left"/>
              <w:rPr>
                <w:sz w:val="18"/>
                <w:szCs w:val="18"/>
                <w:highlight w:val="yellow"/>
                <w:lang w:val="es-ES_tradnl"/>
              </w:rPr>
            </w:pPr>
            <w:r w:rsidRPr="00253A39">
              <w:rPr>
                <w:sz w:val="18"/>
                <w:szCs w:val="18"/>
                <w:lang w:val="es-ES_tradnl"/>
              </w:rPr>
              <w:t xml:space="preserve">Código </w:t>
            </w:r>
            <w:r w:rsidR="00415A21" w:rsidRPr="00253A39">
              <w:rPr>
                <w:sz w:val="18"/>
                <w:szCs w:val="18"/>
                <w:lang w:val="es-ES_tradnl"/>
              </w:rPr>
              <w:t xml:space="preserve">turbo </w:t>
            </w:r>
            <w:r w:rsidRPr="00253A39">
              <w:rPr>
                <w:sz w:val="18"/>
                <w:szCs w:val="18"/>
                <w:lang w:val="es-ES_tradnl"/>
              </w:rPr>
              <w:t>para datos: códigos convolu-</w:t>
            </w:r>
            <w:r w:rsidRPr="00253A39">
              <w:rPr>
                <w:sz w:val="18"/>
                <w:szCs w:val="18"/>
                <w:lang w:val="es-ES_tradnl"/>
              </w:rPr>
              <w:br/>
              <w:t>cional y de bloques para algunos canales de control</w:t>
            </w:r>
          </w:p>
        </w:tc>
        <w:tc>
          <w:tcPr>
            <w:tcW w:w="1465" w:type="dxa"/>
          </w:tcPr>
          <w:p w:rsidR="00253A39" w:rsidRPr="00253A39" w:rsidRDefault="00253A39" w:rsidP="00253A39">
            <w:pPr>
              <w:pStyle w:val="Tabletext"/>
              <w:jc w:val="left"/>
              <w:rPr>
                <w:sz w:val="18"/>
                <w:szCs w:val="18"/>
                <w:lang w:val="es-ES_tradnl"/>
              </w:rPr>
            </w:pPr>
            <w:r w:rsidRPr="00253A39">
              <w:rPr>
                <w:sz w:val="18"/>
                <w:szCs w:val="18"/>
                <w:lang w:val="es-ES_tradnl"/>
              </w:rPr>
              <w:t>1,28 Mchip/s TDD opción:</w:t>
            </w:r>
            <w:r w:rsidRPr="00253A39">
              <w:rPr>
                <w:sz w:val="18"/>
                <w:szCs w:val="18"/>
                <w:lang w:val="es-ES_tradnl"/>
              </w:rPr>
              <w:br/>
              <w:t>Ascendente: 2,2 Mbit/s/</w:t>
            </w:r>
            <w:r w:rsidRPr="00253A39">
              <w:rPr>
                <w:sz w:val="18"/>
                <w:szCs w:val="18"/>
                <w:lang w:val="es-ES_tradnl"/>
              </w:rPr>
              <w:br/>
              <w:t>1,6 MHz</w:t>
            </w:r>
            <w:r w:rsidRPr="00253A39">
              <w:rPr>
                <w:sz w:val="18"/>
                <w:szCs w:val="18"/>
                <w:vertAlign w:val="superscript"/>
                <w:lang w:val="es-ES_tradnl" w:eastAsia="zh-CN"/>
              </w:rPr>
              <w:t>(2)</w:t>
            </w:r>
            <w:r w:rsidRPr="00253A39">
              <w:rPr>
                <w:sz w:val="18"/>
                <w:szCs w:val="18"/>
                <w:vertAlign w:val="superscript"/>
                <w:lang w:val="es-ES_tradnl" w:eastAsia="zh-CN"/>
              </w:rPr>
              <w:br/>
            </w:r>
            <w:r w:rsidRPr="00253A39">
              <w:rPr>
                <w:sz w:val="18"/>
                <w:szCs w:val="18"/>
                <w:lang w:val="es-ES_tradnl"/>
              </w:rPr>
              <w:t xml:space="preserve">Descendente: </w:t>
            </w:r>
            <w:r w:rsidRPr="00253A39">
              <w:rPr>
                <w:sz w:val="18"/>
                <w:szCs w:val="18"/>
                <w:lang w:val="es-ES_tradnl"/>
              </w:rPr>
              <w:br/>
              <w:t xml:space="preserve">2,8 Mbit/s/ </w:t>
            </w:r>
            <w:r w:rsidRPr="00253A39">
              <w:rPr>
                <w:sz w:val="18"/>
                <w:szCs w:val="18"/>
                <w:lang w:val="es-ES_tradnl"/>
              </w:rPr>
              <w:br/>
              <w:t>1,6 MHz</w:t>
            </w:r>
            <w:r w:rsidRPr="00253A39">
              <w:rPr>
                <w:sz w:val="18"/>
                <w:szCs w:val="18"/>
                <w:vertAlign w:val="superscript"/>
                <w:lang w:val="es-ES_tradnl" w:eastAsia="zh-CN"/>
              </w:rPr>
              <w:t>(2)</w:t>
            </w:r>
            <w:r w:rsidRPr="00253A39">
              <w:rPr>
                <w:sz w:val="18"/>
                <w:szCs w:val="18"/>
                <w:vertAlign w:val="superscript"/>
                <w:lang w:val="es-ES_tradnl" w:eastAsia="zh-CN"/>
              </w:rPr>
              <w:br/>
            </w:r>
            <w:r w:rsidRPr="00253A39">
              <w:rPr>
                <w:sz w:val="18"/>
                <w:szCs w:val="18"/>
                <w:lang w:val="es-ES_tradnl"/>
              </w:rPr>
              <w:t>3,84 Mchip/s DDT opción:</w:t>
            </w:r>
            <w:r w:rsidRPr="00253A39">
              <w:rPr>
                <w:sz w:val="18"/>
                <w:szCs w:val="18"/>
                <w:lang w:val="es-ES_tradnl"/>
              </w:rPr>
              <w:br/>
              <w:t>Ascendente: 9,2 Mbit/s Descendente: 10,2 Mbit/s</w:t>
            </w:r>
            <w:r w:rsidRPr="00253A39">
              <w:rPr>
                <w:sz w:val="18"/>
                <w:szCs w:val="18"/>
                <w:lang w:val="es-ES_tradnl"/>
              </w:rPr>
              <w:br/>
              <w:t>7,68 Mchip/s opción TDD:</w:t>
            </w:r>
            <w:r w:rsidRPr="00253A39">
              <w:rPr>
                <w:sz w:val="18"/>
                <w:szCs w:val="18"/>
                <w:lang w:val="es-ES_tradnl"/>
              </w:rPr>
              <w:br/>
              <w:t>Ascendente: 17,7 Mbit/s/</w:t>
            </w:r>
            <w:r w:rsidRPr="00253A39">
              <w:rPr>
                <w:sz w:val="18"/>
                <w:szCs w:val="18"/>
                <w:lang w:val="es-ES_tradnl"/>
              </w:rPr>
              <w:br/>
              <w:t>10 MHz</w:t>
            </w:r>
            <w:r w:rsidRPr="00253A39">
              <w:rPr>
                <w:sz w:val="18"/>
                <w:szCs w:val="18"/>
                <w:lang w:val="es-ES_tradnl"/>
              </w:rPr>
              <w:br/>
              <w:t xml:space="preserve">Descendente: </w:t>
            </w:r>
            <w:r w:rsidRPr="00253A39">
              <w:rPr>
                <w:sz w:val="18"/>
                <w:szCs w:val="18"/>
                <w:lang w:val="es-ES_tradnl"/>
              </w:rPr>
              <w:br/>
              <w:t>20,4 Mbit/s/</w:t>
            </w:r>
            <w:r w:rsidRPr="00253A39">
              <w:rPr>
                <w:sz w:val="18"/>
                <w:szCs w:val="18"/>
                <w:lang w:val="es-ES_tradnl"/>
              </w:rPr>
              <w:br/>
              <w:t>10 MHz</w:t>
            </w:r>
            <w:r w:rsidRPr="00253A39">
              <w:rPr>
                <w:sz w:val="18"/>
                <w:szCs w:val="18"/>
                <w:lang w:val="es-ES_tradnl"/>
              </w:rPr>
              <w:br/>
              <w:t>(E-UTRAN)</w:t>
            </w:r>
            <w:r w:rsidRPr="00253A39">
              <w:rPr>
                <w:sz w:val="18"/>
                <w:szCs w:val="18"/>
                <w:lang w:val="es-ES_tradnl"/>
              </w:rPr>
              <w:br/>
              <w:t>Ascendente: 300 Mbit/s/</w:t>
            </w:r>
            <w:r w:rsidRPr="00253A39">
              <w:rPr>
                <w:sz w:val="18"/>
                <w:szCs w:val="18"/>
                <w:lang w:val="es-ES_tradnl"/>
              </w:rPr>
              <w:br/>
              <w:t>20 MHz</w:t>
            </w:r>
            <w:r w:rsidRPr="00253A39">
              <w:rPr>
                <w:sz w:val="18"/>
                <w:szCs w:val="18"/>
                <w:vertAlign w:val="superscript"/>
                <w:lang w:val="es-ES_tradnl" w:eastAsia="zh-CN"/>
              </w:rPr>
              <w:t>(3)</w:t>
            </w:r>
            <w:r w:rsidRPr="00253A39">
              <w:rPr>
                <w:sz w:val="18"/>
                <w:szCs w:val="18"/>
                <w:vertAlign w:val="superscript"/>
                <w:lang w:val="es-ES_tradnl" w:eastAsia="zh-CN"/>
              </w:rPr>
              <w:br/>
            </w:r>
            <w:r w:rsidRPr="00253A39">
              <w:rPr>
                <w:sz w:val="18"/>
                <w:szCs w:val="18"/>
                <w:lang w:val="es-ES_tradnl"/>
              </w:rPr>
              <w:t>Descendente:</w:t>
            </w:r>
            <w:r w:rsidRPr="00253A39">
              <w:rPr>
                <w:sz w:val="18"/>
                <w:szCs w:val="18"/>
                <w:lang w:val="es-ES_tradnl"/>
              </w:rPr>
              <w:br/>
              <w:t>600 Mbit/s/</w:t>
            </w:r>
            <w:r w:rsidRPr="00253A39">
              <w:rPr>
                <w:sz w:val="18"/>
                <w:szCs w:val="18"/>
                <w:lang w:val="es-ES_tradnl"/>
              </w:rPr>
              <w:br/>
              <w:t>20 MHz</w:t>
            </w:r>
            <w:r w:rsidRPr="00253A39">
              <w:rPr>
                <w:sz w:val="18"/>
                <w:szCs w:val="18"/>
                <w:vertAlign w:val="superscript"/>
                <w:lang w:val="es-ES_tradnl" w:eastAsia="zh-CN"/>
              </w:rPr>
              <w:t>(3)</w:t>
            </w:r>
            <w:r w:rsidRPr="00253A39">
              <w:rPr>
                <w:sz w:val="18"/>
                <w:szCs w:val="18"/>
                <w:vertAlign w:val="superscript"/>
                <w:lang w:val="es-ES_tradnl" w:eastAsia="zh-CN"/>
              </w:rPr>
              <w:br/>
            </w:r>
            <w:r w:rsidRPr="00253A39">
              <w:rPr>
                <w:sz w:val="18"/>
                <w:szCs w:val="18"/>
                <w:lang w:val="es-ES_tradnl"/>
              </w:rPr>
              <w:t>Ascendente: 1,5 Gbit/s en 100 MHz</w:t>
            </w:r>
            <w:r w:rsidRPr="00253A39">
              <w:rPr>
                <w:sz w:val="18"/>
                <w:szCs w:val="18"/>
                <w:vertAlign w:val="superscript"/>
                <w:lang w:val="es-ES_tradnl" w:eastAsia="zh-CN"/>
              </w:rPr>
              <w:t>(4)</w:t>
            </w:r>
            <w:r w:rsidRPr="00253A39">
              <w:rPr>
                <w:sz w:val="18"/>
                <w:szCs w:val="18"/>
                <w:vertAlign w:val="superscript"/>
                <w:lang w:val="es-ES_tradnl" w:eastAsia="zh-CN"/>
              </w:rPr>
              <w:br/>
            </w:r>
            <w:r w:rsidRPr="00253A39">
              <w:rPr>
                <w:sz w:val="18"/>
                <w:szCs w:val="18"/>
                <w:lang w:val="es-ES_tradnl" w:eastAsia="zh-CN"/>
              </w:rPr>
              <w:t>agregados</w:t>
            </w:r>
            <w:r w:rsidRPr="00253A39">
              <w:rPr>
                <w:sz w:val="18"/>
                <w:szCs w:val="18"/>
                <w:lang w:val="es-ES_tradnl" w:eastAsia="zh-CN"/>
              </w:rPr>
              <w:br/>
            </w:r>
            <w:r w:rsidRPr="00253A39">
              <w:rPr>
                <w:sz w:val="18"/>
                <w:szCs w:val="18"/>
                <w:lang w:val="es-ES_tradnl"/>
              </w:rPr>
              <w:t>Descendente:</w:t>
            </w:r>
            <w:r w:rsidRPr="00253A39">
              <w:rPr>
                <w:sz w:val="18"/>
                <w:szCs w:val="18"/>
                <w:lang w:val="es-ES_tradnl"/>
              </w:rPr>
              <w:br/>
              <w:t>3 Gbit/s en 100 MHz</w:t>
            </w:r>
            <w:r w:rsidRPr="00253A39">
              <w:rPr>
                <w:sz w:val="18"/>
                <w:szCs w:val="18"/>
                <w:vertAlign w:val="superscript"/>
                <w:lang w:val="es-ES_tradnl" w:eastAsia="zh-CN"/>
              </w:rPr>
              <w:t xml:space="preserve">(4) </w:t>
            </w:r>
            <w:r w:rsidRPr="00253A39">
              <w:rPr>
                <w:sz w:val="18"/>
                <w:szCs w:val="18"/>
                <w:vertAlign w:val="superscript"/>
                <w:lang w:val="es-ES_tradnl" w:eastAsia="zh-CN"/>
              </w:rPr>
              <w:br/>
            </w:r>
            <w:r w:rsidRPr="00253A39">
              <w:rPr>
                <w:sz w:val="18"/>
                <w:szCs w:val="18"/>
                <w:lang w:val="es-ES_tradnl" w:eastAsia="zh-CN"/>
              </w:rPr>
              <w:t>agregados</w:t>
            </w:r>
          </w:p>
        </w:tc>
        <w:tc>
          <w:tcPr>
            <w:tcW w:w="942" w:type="dxa"/>
          </w:tcPr>
          <w:p w:rsidR="00253A39" w:rsidRPr="00BE3323" w:rsidRDefault="00253A39" w:rsidP="00253A39">
            <w:pPr>
              <w:pStyle w:val="Tabletext"/>
              <w:jc w:val="left"/>
              <w:rPr>
                <w:sz w:val="18"/>
                <w:szCs w:val="18"/>
              </w:rPr>
            </w:pPr>
            <w:r w:rsidRPr="00BE3323">
              <w:rPr>
                <w:sz w:val="18"/>
                <w:szCs w:val="18"/>
              </w:rPr>
              <w:t>Sí</w:t>
            </w:r>
          </w:p>
        </w:tc>
        <w:tc>
          <w:tcPr>
            <w:tcW w:w="1038" w:type="dxa"/>
          </w:tcPr>
          <w:p w:rsidR="00253A39" w:rsidRPr="00BE3323" w:rsidRDefault="00253A39" w:rsidP="00253A39">
            <w:pPr>
              <w:pStyle w:val="Tabletext"/>
              <w:jc w:val="left"/>
              <w:rPr>
                <w:sz w:val="18"/>
                <w:szCs w:val="18"/>
              </w:rPr>
            </w:pPr>
            <w:r w:rsidRPr="00BE3323">
              <w:rPr>
                <w:sz w:val="18"/>
                <w:szCs w:val="18"/>
              </w:rPr>
              <w:t>No</w:t>
            </w:r>
          </w:p>
          <w:p w:rsidR="00253A39" w:rsidRPr="00BE3323" w:rsidRDefault="00253A39" w:rsidP="00253A39">
            <w:pPr>
              <w:pStyle w:val="Tabletext"/>
              <w:tabs>
                <w:tab w:val="clear" w:pos="851"/>
              </w:tabs>
              <w:ind w:right="-108"/>
              <w:jc w:val="left"/>
              <w:rPr>
                <w:sz w:val="18"/>
                <w:szCs w:val="18"/>
              </w:rPr>
            </w:pPr>
            <w:r w:rsidRPr="00BE3323">
              <w:rPr>
                <w:sz w:val="18"/>
                <w:szCs w:val="18"/>
              </w:rPr>
              <w:t>(E-UTRAN)</w:t>
            </w:r>
          </w:p>
          <w:p w:rsidR="00253A39" w:rsidRPr="00BE3323" w:rsidRDefault="00253A39" w:rsidP="00253A39">
            <w:pPr>
              <w:pStyle w:val="Tabletext"/>
              <w:jc w:val="left"/>
              <w:rPr>
                <w:sz w:val="18"/>
                <w:szCs w:val="18"/>
              </w:rPr>
            </w:pPr>
            <w:r w:rsidRPr="00BE3323">
              <w:rPr>
                <w:sz w:val="18"/>
                <w:szCs w:val="18"/>
              </w:rPr>
              <w:t>Sí</w:t>
            </w:r>
          </w:p>
        </w:tc>
        <w:tc>
          <w:tcPr>
            <w:tcW w:w="829" w:type="dxa"/>
          </w:tcPr>
          <w:p w:rsidR="00253A39" w:rsidRPr="00BE3323" w:rsidRDefault="00253A39" w:rsidP="00253A39">
            <w:pPr>
              <w:pStyle w:val="Tabletext"/>
              <w:jc w:val="left"/>
              <w:rPr>
                <w:sz w:val="18"/>
                <w:szCs w:val="18"/>
              </w:rPr>
            </w:pPr>
            <w:r w:rsidRPr="00BE3323">
              <w:rPr>
                <w:sz w:val="18"/>
                <w:szCs w:val="18"/>
              </w:rPr>
              <w:t>TDD</w:t>
            </w:r>
          </w:p>
        </w:tc>
        <w:tc>
          <w:tcPr>
            <w:tcW w:w="1128" w:type="dxa"/>
          </w:tcPr>
          <w:p w:rsidR="00253A39" w:rsidRPr="00253A39" w:rsidRDefault="00253A39" w:rsidP="00253A39">
            <w:pPr>
              <w:pStyle w:val="Tabletext"/>
              <w:jc w:val="left"/>
              <w:rPr>
                <w:sz w:val="18"/>
                <w:szCs w:val="18"/>
                <w:lang w:val="es-ES_tradnl"/>
              </w:rPr>
            </w:pPr>
            <w:r w:rsidRPr="00253A39">
              <w:rPr>
                <w:sz w:val="18"/>
                <w:szCs w:val="18"/>
                <w:lang w:val="es-ES_tradnl"/>
              </w:rPr>
              <w:t>AMDT/</w:t>
            </w:r>
            <w:r w:rsidRPr="00253A39">
              <w:rPr>
                <w:sz w:val="18"/>
                <w:szCs w:val="18"/>
                <w:lang w:val="es-ES_tradnl"/>
              </w:rPr>
              <w:br/>
              <w:t>AMDC</w:t>
            </w:r>
          </w:p>
          <w:p w:rsidR="00253A39" w:rsidRPr="00253A39" w:rsidRDefault="00253A39" w:rsidP="00253A39">
            <w:pPr>
              <w:pStyle w:val="Tabletext"/>
              <w:jc w:val="left"/>
              <w:rPr>
                <w:sz w:val="18"/>
                <w:szCs w:val="18"/>
                <w:lang w:val="es-ES_tradnl"/>
              </w:rPr>
            </w:pPr>
            <w:r w:rsidRPr="00253A39">
              <w:rPr>
                <w:sz w:val="18"/>
                <w:szCs w:val="18"/>
                <w:lang w:val="es-ES_tradnl"/>
              </w:rPr>
              <w:t>(E-UTRAN) MDFO e</w:t>
            </w:r>
            <w:r w:rsidR="00415A21">
              <w:rPr>
                <w:sz w:val="18"/>
                <w:szCs w:val="18"/>
                <w:lang w:val="es-ES_tradnl"/>
              </w:rPr>
              <w:t xml:space="preserve">n el enlace descendente AMDF-SC </w:t>
            </w:r>
            <w:r w:rsidRPr="00253A39">
              <w:rPr>
                <w:sz w:val="18"/>
                <w:szCs w:val="18"/>
                <w:lang w:val="es-ES_tradnl"/>
              </w:rPr>
              <w:t xml:space="preserve">en el enlace ascendente </w:t>
            </w:r>
          </w:p>
        </w:tc>
        <w:tc>
          <w:tcPr>
            <w:tcW w:w="1378" w:type="dxa"/>
          </w:tcPr>
          <w:p w:rsidR="00253A39" w:rsidRPr="00253A39" w:rsidRDefault="00253A39" w:rsidP="00253A39">
            <w:pPr>
              <w:pStyle w:val="Tabletext"/>
              <w:jc w:val="left"/>
              <w:rPr>
                <w:sz w:val="18"/>
                <w:szCs w:val="18"/>
                <w:lang w:val="es-ES_tradnl"/>
              </w:rPr>
            </w:pPr>
            <w:r w:rsidRPr="00253A39">
              <w:rPr>
                <w:sz w:val="18"/>
                <w:szCs w:val="18"/>
                <w:lang w:val="es-ES_tradnl"/>
              </w:rPr>
              <w:t xml:space="preserve">1,28 Mchip/s DDT opción: </w:t>
            </w:r>
            <w:r w:rsidRPr="00253A39">
              <w:rPr>
                <w:sz w:val="18"/>
                <w:szCs w:val="18"/>
                <w:lang w:val="es-ES_tradnl"/>
              </w:rPr>
              <w:br/>
              <w:t>10 ms</w:t>
            </w:r>
          </w:p>
          <w:p w:rsidR="00253A39" w:rsidRPr="00253A39" w:rsidRDefault="00253A39" w:rsidP="00253A39">
            <w:pPr>
              <w:pStyle w:val="Tabletext"/>
              <w:jc w:val="left"/>
              <w:rPr>
                <w:sz w:val="18"/>
                <w:szCs w:val="18"/>
                <w:lang w:val="es-ES_tradnl"/>
              </w:rPr>
            </w:pPr>
            <w:r w:rsidRPr="00253A39">
              <w:rPr>
                <w:sz w:val="18"/>
                <w:szCs w:val="18"/>
                <w:lang w:val="es-ES_tradnl"/>
              </w:rPr>
              <w:t>Duración de la subtrama: 5 ms</w:t>
            </w:r>
          </w:p>
          <w:p w:rsidR="00253A39" w:rsidRPr="009967E4" w:rsidRDefault="00253A39" w:rsidP="00253A39">
            <w:pPr>
              <w:pStyle w:val="Tabletext"/>
              <w:jc w:val="left"/>
              <w:rPr>
                <w:sz w:val="18"/>
                <w:szCs w:val="18"/>
                <w:lang w:val="en-US"/>
              </w:rPr>
            </w:pPr>
            <w:r w:rsidRPr="009967E4">
              <w:rPr>
                <w:sz w:val="18"/>
                <w:szCs w:val="18"/>
                <w:lang w:val="en-US"/>
              </w:rPr>
              <w:t xml:space="preserve">3,84 Mchip/s DDT opción: </w:t>
            </w:r>
            <w:r w:rsidRPr="009967E4">
              <w:rPr>
                <w:sz w:val="18"/>
                <w:szCs w:val="18"/>
                <w:lang w:val="en-US"/>
              </w:rPr>
              <w:br/>
              <w:t>10 ms</w:t>
            </w:r>
          </w:p>
          <w:p w:rsidR="00253A39" w:rsidRPr="009967E4" w:rsidRDefault="00253A39" w:rsidP="00253A39">
            <w:pPr>
              <w:pStyle w:val="Tabletext"/>
              <w:jc w:val="left"/>
              <w:rPr>
                <w:sz w:val="18"/>
                <w:szCs w:val="18"/>
                <w:lang w:val="en-US"/>
              </w:rPr>
            </w:pPr>
            <w:r w:rsidRPr="009967E4">
              <w:rPr>
                <w:sz w:val="18"/>
                <w:szCs w:val="18"/>
                <w:lang w:val="en-US"/>
              </w:rPr>
              <w:t xml:space="preserve">7,68 Mchip/s DDT opción: </w:t>
            </w:r>
            <w:r w:rsidRPr="009967E4">
              <w:rPr>
                <w:sz w:val="18"/>
                <w:szCs w:val="18"/>
                <w:lang w:val="en-US"/>
              </w:rPr>
              <w:br/>
              <w:t>10 ms</w:t>
            </w:r>
          </w:p>
          <w:p w:rsidR="00253A39" w:rsidRPr="00253A39" w:rsidRDefault="00253A39" w:rsidP="00253A39">
            <w:pPr>
              <w:pStyle w:val="Tabletext"/>
              <w:jc w:val="left"/>
              <w:rPr>
                <w:sz w:val="18"/>
                <w:szCs w:val="18"/>
                <w:lang w:val="es-ES_tradnl"/>
              </w:rPr>
            </w:pPr>
            <w:r w:rsidRPr="00253A39">
              <w:rPr>
                <w:sz w:val="18"/>
                <w:szCs w:val="18"/>
                <w:lang w:val="es-ES_tradnl"/>
              </w:rPr>
              <w:t xml:space="preserve">(E-UTRAN) </w:t>
            </w:r>
            <w:r w:rsidRPr="00253A39">
              <w:rPr>
                <w:sz w:val="18"/>
                <w:szCs w:val="18"/>
                <w:lang w:val="es-ES_tradnl"/>
              </w:rPr>
              <w:br/>
              <w:t>10 ms</w:t>
            </w:r>
          </w:p>
          <w:p w:rsidR="00253A39" w:rsidRPr="00253A39" w:rsidRDefault="00253A39" w:rsidP="00253A39">
            <w:pPr>
              <w:pStyle w:val="Tabletext"/>
              <w:jc w:val="left"/>
              <w:rPr>
                <w:sz w:val="18"/>
                <w:szCs w:val="18"/>
                <w:lang w:val="es-ES_tradnl"/>
              </w:rPr>
            </w:pPr>
            <w:r w:rsidRPr="00253A39">
              <w:rPr>
                <w:sz w:val="18"/>
                <w:szCs w:val="18"/>
                <w:lang w:val="es-ES_tradnl"/>
              </w:rPr>
              <w:t>Duración de la subtrama: 1 ms</w:t>
            </w:r>
          </w:p>
        </w:tc>
        <w:tc>
          <w:tcPr>
            <w:tcW w:w="1064" w:type="dxa"/>
          </w:tcPr>
          <w:p w:rsidR="00253A39" w:rsidRPr="00BE3323" w:rsidRDefault="00253A39" w:rsidP="00253A39">
            <w:pPr>
              <w:pStyle w:val="Tabletext"/>
              <w:jc w:val="left"/>
              <w:rPr>
                <w:sz w:val="18"/>
                <w:szCs w:val="18"/>
              </w:rPr>
            </w:pPr>
            <w:r w:rsidRPr="00BE3323">
              <w:rPr>
                <w:sz w:val="18"/>
                <w:szCs w:val="18"/>
              </w:rPr>
              <w:t xml:space="preserve">Móvil </w:t>
            </w:r>
          </w:p>
        </w:tc>
      </w:tr>
    </w:tbl>
    <w:p w:rsidR="00253A39" w:rsidRDefault="00253A39" w:rsidP="00253A39">
      <w:pPr>
        <w:pStyle w:val="TableNo"/>
      </w:pPr>
      <w:r w:rsidRPr="00BE3323">
        <w:lastRenderedPageBreak/>
        <w:t>CUADRO 5 (</w:t>
      </w:r>
      <w:r w:rsidRPr="00BE3323">
        <w:rPr>
          <w:i/>
          <w:iCs/>
        </w:rPr>
        <w:t>continuación</w:t>
      </w:r>
      <w:r w:rsidRPr="00BE3323">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801"/>
        <w:gridCol w:w="2161"/>
        <w:gridCol w:w="1126"/>
        <w:gridCol w:w="1466"/>
        <w:gridCol w:w="942"/>
        <w:gridCol w:w="981"/>
        <w:gridCol w:w="1033"/>
        <w:gridCol w:w="1145"/>
        <w:gridCol w:w="1160"/>
        <w:gridCol w:w="1118"/>
      </w:tblGrid>
      <w:tr w:rsidR="00253A39" w:rsidRPr="00DA2419" w:rsidTr="00253A39">
        <w:trPr>
          <w:cantSplit/>
          <w:tblHeader/>
          <w:jc w:val="center"/>
        </w:trPr>
        <w:tc>
          <w:tcPr>
            <w:tcW w:w="1531"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Norma</w:t>
            </w:r>
          </w:p>
        </w:tc>
        <w:tc>
          <w:tcPr>
            <w:tcW w:w="1801"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1" w:type="dxa"/>
            <w:tcMar>
              <w:left w:w="57" w:type="dxa"/>
              <w:right w:w="57" w:type="dxa"/>
            </w:tcMar>
            <w:vAlign w:val="center"/>
          </w:tcPr>
          <w:p w:rsidR="00253A39" w:rsidRPr="00253A39" w:rsidRDefault="00253A39" w:rsidP="00253A39">
            <w:pPr>
              <w:pStyle w:val="Tablehead"/>
              <w:ind w:right="-57"/>
              <w:rPr>
                <w:sz w:val="18"/>
                <w:szCs w:val="18"/>
                <w:lang w:val="es-ES_tradnl"/>
              </w:rPr>
            </w:pPr>
            <w:r w:rsidRPr="00253A39">
              <w:rPr>
                <w:sz w:val="18"/>
                <w:szCs w:val="18"/>
                <w:lang w:val="es-ES_tradnl"/>
              </w:rPr>
              <w:t>Modulación/velocidad de codificación</w:t>
            </w:r>
            <w:r w:rsidRPr="00253A39">
              <w:rPr>
                <w:sz w:val="18"/>
                <w:szCs w:val="18"/>
                <w:vertAlign w:val="superscript"/>
                <w:lang w:val="es-ES_tradnl"/>
              </w:rPr>
              <w:t>(1)</w:t>
            </w:r>
          </w:p>
          <w:p w:rsidR="00253A39" w:rsidRPr="00253A39" w:rsidRDefault="00253A39" w:rsidP="00253A39">
            <w:pPr>
              <w:pStyle w:val="Tablehead"/>
              <w:spacing w:before="0" w:after="0"/>
              <w:ind w:left="284" w:right="-57" w:hanging="284"/>
              <w:jc w:val="left"/>
              <w:rPr>
                <w:sz w:val="18"/>
                <w:szCs w:val="18"/>
                <w:lang w:val="es-ES_tradnl"/>
              </w:rPr>
            </w:pPr>
            <w:r w:rsidRPr="00253A39">
              <w:rPr>
                <w:sz w:val="18"/>
                <w:szCs w:val="18"/>
                <w:lang w:val="es-ES_tradnl"/>
              </w:rPr>
              <w:t>–</w:t>
            </w:r>
            <w:r w:rsidRPr="00253A39">
              <w:rPr>
                <w:sz w:val="18"/>
                <w:szCs w:val="18"/>
                <w:lang w:val="es-ES_tradnl"/>
              </w:rPr>
              <w:tab/>
              <w:t>en sentido ascendente</w:t>
            </w:r>
          </w:p>
          <w:p w:rsidR="00253A39" w:rsidRPr="00BE3323" w:rsidRDefault="00253A39" w:rsidP="00253A39">
            <w:pPr>
              <w:pStyle w:val="Tablehead"/>
              <w:spacing w:before="0" w:after="0"/>
              <w:ind w:left="284" w:right="-57" w:hanging="284"/>
              <w:jc w:val="left"/>
              <w:rPr>
                <w:sz w:val="18"/>
                <w:szCs w:val="18"/>
              </w:rPr>
            </w:pPr>
            <w:r w:rsidRPr="00BE3323">
              <w:rPr>
                <w:sz w:val="18"/>
                <w:szCs w:val="18"/>
              </w:rPr>
              <w:t>–</w:t>
            </w:r>
            <w:r w:rsidRPr="00BE3323">
              <w:rPr>
                <w:sz w:val="18"/>
                <w:szCs w:val="18"/>
              </w:rPr>
              <w:tab/>
              <w:t>en sentido descendente</w:t>
            </w:r>
          </w:p>
        </w:tc>
        <w:tc>
          <w:tcPr>
            <w:tcW w:w="1126"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Soporte de codificación</w:t>
            </w:r>
          </w:p>
        </w:tc>
        <w:tc>
          <w:tcPr>
            <w:tcW w:w="1466"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Velocidad de transmisión de canal de pico por canal de 5 MHz (salvo cuando</w:t>
            </w:r>
            <w:r w:rsidRPr="00253A39">
              <w:rPr>
                <w:sz w:val="18"/>
                <w:szCs w:val="18"/>
                <w:lang w:val="es-ES_tradnl"/>
              </w:rPr>
              <w:br/>
              <w:t>se indica)</w:t>
            </w:r>
          </w:p>
        </w:tc>
        <w:tc>
          <w:tcPr>
            <w:tcW w:w="942"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Soporta formación de haz (sí/no)</w:t>
            </w:r>
          </w:p>
        </w:tc>
        <w:tc>
          <w:tcPr>
            <w:tcW w:w="981"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Soporta MIMO (sí/no)</w:t>
            </w:r>
          </w:p>
        </w:tc>
        <w:tc>
          <w:tcPr>
            <w:tcW w:w="1033"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 dúplex</w:t>
            </w:r>
          </w:p>
        </w:tc>
        <w:tc>
          <w:tcPr>
            <w:tcW w:w="1145"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Método</w:t>
            </w:r>
            <w:r w:rsidRPr="00BE3323">
              <w:rPr>
                <w:sz w:val="18"/>
                <w:szCs w:val="18"/>
              </w:rPr>
              <w:br/>
              <w:t>de acceso múltiple</w:t>
            </w:r>
          </w:p>
        </w:tc>
        <w:tc>
          <w:tcPr>
            <w:tcW w:w="1160" w:type="dxa"/>
            <w:tcMar>
              <w:left w:w="57" w:type="dxa"/>
              <w:right w:w="57" w:type="dxa"/>
            </w:tcMar>
            <w:vAlign w:val="center"/>
          </w:tcPr>
          <w:p w:rsidR="00253A39" w:rsidRPr="00BE3323" w:rsidRDefault="00253A39" w:rsidP="00253A39">
            <w:pPr>
              <w:pStyle w:val="Tablehead"/>
              <w:rPr>
                <w:sz w:val="18"/>
                <w:szCs w:val="18"/>
              </w:rPr>
            </w:pPr>
            <w:r w:rsidRPr="00BE3323">
              <w:rPr>
                <w:sz w:val="18"/>
                <w:szCs w:val="18"/>
              </w:rPr>
              <w:t>Duración</w:t>
            </w:r>
            <w:r w:rsidRPr="00BE3323">
              <w:rPr>
                <w:sz w:val="18"/>
                <w:szCs w:val="18"/>
              </w:rPr>
              <w:br/>
              <w:t>de trama</w:t>
            </w:r>
          </w:p>
        </w:tc>
        <w:tc>
          <w:tcPr>
            <w:tcW w:w="1118" w:type="dxa"/>
            <w:tcMar>
              <w:left w:w="57" w:type="dxa"/>
              <w:right w:w="57" w:type="dxa"/>
            </w:tcMar>
            <w:vAlign w:val="center"/>
          </w:tcPr>
          <w:p w:rsidR="00253A39" w:rsidRPr="00253A39" w:rsidRDefault="00253A39" w:rsidP="00253A39">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rsidTr="00253A39">
        <w:trPr>
          <w:cantSplit/>
          <w:jc w:val="center"/>
        </w:trPr>
        <w:tc>
          <w:tcPr>
            <w:tcW w:w="1531" w:type="dxa"/>
          </w:tcPr>
          <w:p w:rsidR="00253A39" w:rsidRPr="00253A39" w:rsidRDefault="00253A39" w:rsidP="00253A39">
            <w:pPr>
              <w:pStyle w:val="Tabletext"/>
              <w:jc w:val="left"/>
              <w:rPr>
                <w:sz w:val="18"/>
                <w:szCs w:val="18"/>
                <w:lang w:val="es-ES_tradnl"/>
              </w:rPr>
            </w:pPr>
            <w:r w:rsidRPr="00253A39">
              <w:rPr>
                <w:sz w:val="18"/>
                <w:szCs w:val="18"/>
                <w:lang w:val="es-ES_tradnl"/>
              </w:rPr>
              <w:t xml:space="preserve">IMT-2000 AMDT – Portadora única </w:t>
            </w:r>
            <w:r w:rsidRPr="00253A39">
              <w:rPr>
                <w:sz w:val="18"/>
                <w:szCs w:val="18"/>
                <w:lang w:val="es-ES_tradnl"/>
              </w:rPr>
              <w:br/>
              <w:t>(Anexo 2)</w:t>
            </w:r>
          </w:p>
        </w:tc>
        <w:tc>
          <w:tcPr>
            <w:tcW w:w="1801" w:type="dxa"/>
          </w:tcPr>
          <w:p w:rsidR="00253A39" w:rsidRPr="00BE3323" w:rsidRDefault="00253A39" w:rsidP="00253A39">
            <w:pPr>
              <w:pStyle w:val="Tabletext"/>
              <w:jc w:val="left"/>
              <w:rPr>
                <w:sz w:val="18"/>
                <w:szCs w:val="18"/>
              </w:rPr>
            </w:pPr>
            <w:r w:rsidRPr="00BE3323">
              <w:rPr>
                <w:sz w:val="18"/>
                <w:szCs w:val="18"/>
              </w:rPr>
              <w:t>2 × 200 kHz</w:t>
            </w:r>
            <w:r w:rsidRPr="00BE3323">
              <w:rPr>
                <w:sz w:val="18"/>
                <w:szCs w:val="18"/>
              </w:rPr>
              <w:br/>
              <w:t>2 × Dual 200 kHz</w:t>
            </w:r>
            <w:r w:rsidRPr="00BE3323">
              <w:rPr>
                <w:sz w:val="18"/>
                <w:szCs w:val="18"/>
              </w:rPr>
              <w:br/>
              <w:t>2 × 1</w:t>
            </w:r>
            <w:r>
              <w:rPr>
                <w:sz w:val="18"/>
                <w:szCs w:val="18"/>
              </w:rPr>
              <w:t>,</w:t>
            </w:r>
            <w:r w:rsidRPr="00BE3323">
              <w:rPr>
                <w:sz w:val="18"/>
                <w:szCs w:val="18"/>
              </w:rPr>
              <w:t>6 MHz</w:t>
            </w:r>
          </w:p>
        </w:tc>
        <w:tc>
          <w:tcPr>
            <w:tcW w:w="2161" w:type="dxa"/>
          </w:tcPr>
          <w:p w:rsidR="00253A39" w:rsidRPr="00BE3323" w:rsidRDefault="00253A39" w:rsidP="009F17B9">
            <w:pPr>
              <w:pStyle w:val="Tabletext"/>
              <w:jc w:val="left"/>
              <w:rPr>
                <w:sz w:val="18"/>
                <w:szCs w:val="18"/>
              </w:rPr>
            </w:pPr>
            <w:r w:rsidRPr="00BE3323">
              <w:rPr>
                <w:sz w:val="18"/>
                <w:szCs w:val="18"/>
              </w:rPr>
              <w:t>Ascendente:</w:t>
            </w:r>
            <w:r w:rsidRPr="00BE3323">
              <w:rPr>
                <w:sz w:val="18"/>
                <w:szCs w:val="18"/>
              </w:rPr>
              <w:br/>
              <w:t>–</w:t>
            </w:r>
            <w:r w:rsidRPr="00BE3323">
              <w:rPr>
                <w:sz w:val="18"/>
                <w:szCs w:val="18"/>
              </w:rPr>
              <w:tab/>
              <w:t>GMSK</w:t>
            </w:r>
            <w:r w:rsidRPr="00BE3323">
              <w:rPr>
                <w:sz w:val="18"/>
                <w:szCs w:val="18"/>
              </w:rPr>
              <w:br/>
              <w:t>–</w:t>
            </w:r>
            <w:r w:rsidRPr="00BE3323">
              <w:rPr>
                <w:sz w:val="18"/>
                <w:szCs w:val="18"/>
              </w:rPr>
              <w:tab/>
              <w:t>MDP-8</w:t>
            </w:r>
            <w:r w:rsidRPr="00BE3323">
              <w:rPr>
                <w:sz w:val="18"/>
                <w:szCs w:val="18"/>
              </w:rPr>
              <w:br/>
              <w:t>–</w:t>
            </w:r>
            <w:r w:rsidRPr="00BE3323">
              <w:rPr>
                <w:sz w:val="18"/>
                <w:szCs w:val="18"/>
              </w:rPr>
              <w:tab/>
              <w:t>MDP-4,</w:t>
            </w:r>
            <w:r w:rsidRPr="00BE3323">
              <w:rPr>
                <w:sz w:val="18"/>
                <w:szCs w:val="18"/>
              </w:rPr>
              <w:br/>
              <w:t>–</w:t>
            </w:r>
            <w:r w:rsidRPr="00BE3323">
              <w:rPr>
                <w:sz w:val="18"/>
                <w:szCs w:val="18"/>
              </w:rPr>
              <w:tab/>
              <w:t xml:space="preserve">MAQ-16 </w:t>
            </w:r>
            <w:r w:rsidRPr="00BE3323">
              <w:rPr>
                <w:sz w:val="18"/>
                <w:szCs w:val="18"/>
              </w:rPr>
              <w:br/>
              <w:t>–</w:t>
            </w:r>
            <w:r w:rsidRPr="00BE3323">
              <w:rPr>
                <w:sz w:val="18"/>
                <w:szCs w:val="18"/>
              </w:rPr>
              <w:tab/>
              <w:t xml:space="preserve">MAQ-32 </w:t>
            </w:r>
            <w:r w:rsidRPr="00BE3323">
              <w:rPr>
                <w:sz w:val="18"/>
                <w:szCs w:val="18"/>
              </w:rPr>
              <w:br/>
              <w:t>–</w:t>
            </w:r>
            <w:r w:rsidRPr="00BE3323">
              <w:rPr>
                <w:sz w:val="18"/>
                <w:szCs w:val="18"/>
              </w:rPr>
              <w:tab/>
              <w:t>B-</w:t>
            </w:r>
            <w:r>
              <w:rPr>
                <w:sz w:val="18"/>
                <w:szCs w:val="18"/>
              </w:rPr>
              <w:t>MAQO</w:t>
            </w:r>
            <w:r w:rsidRPr="00BE3323">
              <w:rPr>
                <w:sz w:val="18"/>
                <w:szCs w:val="18"/>
              </w:rPr>
              <w:br/>
              <w:t>–</w:t>
            </w:r>
            <w:r w:rsidRPr="00BE3323">
              <w:rPr>
                <w:sz w:val="18"/>
                <w:szCs w:val="18"/>
              </w:rPr>
              <w:tab/>
              <w:t>Q-</w:t>
            </w:r>
            <w:r>
              <w:rPr>
                <w:sz w:val="18"/>
                <w:szCs w:val="18"/>
              </w:rPr>
              <w:t>MAQO</w:t>
            </w:r>
            <w:r w:rsidR="009F17B9">
              <w:rPr>
                <w:sz w:val="18"/>
                <w:szCs w:val="18"/>
              </w:rPr>
              <w:br/>
            </w:r>
            <w:r w:rsidR="009F17B9">
              <w:rPr>
                <w:sz w:val="18"/>
                <w:szCs w:val="18"/>
              </w:rPr>
              <w:tab/>
            </w:r>
            <w:r w:rsidRPr="00BE3323">
              <w:rPr>
                <w:sz w:val="18"/>
                <w:szCs w:val="18"/>
              </w:rPr>
              <w:t>0,329 – 1/1</w:t>
            </w:r>
          </w:p>
          <w:p w:rsidR="00253A39" w:rsidRPr="00BE3323" w:rsidRDefault="00253A39" w:rsidP="00253A39">
            <w:pPr>
              <w:pStyle w:val="Tabletext"/>
              <w:jc w:val="left"/>
              <w:rPr>
                <w:sz w:val="18"/>
                <w:szCs w:val="18"/>
              </w:rPr>
            </w:pPr>
            <w:r w:rsidRPr="00BE3323">
              <w:rPr>
                <w:sz w:val="18"/>
                <w:szCs w:val="18"/>
              </w:rPr>
              <w:t>Descendente:</w:t>
            </w:r>
            <w:r w:rsidRPr="00BE3323">
              <w:rPr>
                <w:sz w:val="18"/>
                <w:szCs w:val="18"/>
              </w:rPr>
              <w:br/>
              <w:t>–</w:t>
            </w:r>
            <w:r w:rsidRPr="00BE3323">
              <w:rPr>
                <w:sz w:val="18"/>
                <w:szCs w:val="18"/>
              </w:rPr>
              <w:tab/>
              <w:t>GMSK</w:t>
            </w:r>
            <w:r w:rsidRPr="00BE3323">
              <w:rPr>
                <w:sz w:val="18"/>
                <w:szCs w:val="18"/>
              </w:rPr>
              <w:br/>
              <w:t>–</w:t>
            </w:r>
            <w:r w:rsidRPr="00BE3323">
              <w:rPr>
                <w:sz w:val="18"/>
                <w:szCs w:val="18"/>
              </w:rPr>
              <w:tab/>
              <w:t>MDP-8</w:t>
            </w:r>
            <w:r w:rsidRPr="00BE3323">
              <w:rPr>
                <w:sz w:val="18"/>
                <w:szCs w:val="18"/>
              </w:rPr>
              <w:br/>
              <w:t>–</w:t>
            </w:r>
            <w:r w:rsidRPr="00BE3323">
              <w:rPr>
                <w:sz w:val="18"/>
                <w:szCs w:val="18"/>
              </w:rPr>
              <w:tab/>
              <w:t>MDP-4,</w:t>
            </w:r>
            <w:r w:rsidRPr="00BE3323">
              <w:rPr>
                <w:sz w:val="18"/>
                <w:szCs w:val="18"/>
              </w:rPr>
              <w:br/>
              <w:t>–</w:t>
            </w:r>
            <w:r w:rsidRPr="00BE3323">
              <w:rPr>
                <w:sz w:val="18"/>
                <w:szCs w:val="18"/>
              </w:rPr>
              <w:tab/>
              <w:t xml:space="preserve">MAQ-16, </w:t>
            </w:r>
            <w:r w:rsidRPr="00BE3323">
              <w:rPr>
                <w:sz w:val="18"/>
                <w:szCs w:val="18"/>
              </w:rPr>
              <w:br/>
              <w:t>–</w:t>
            </w:r>
            <w:r w:rsidRPr="00BE3323">
              <w:rPr>
                <w:sz w:val="18"/>
                <w:szCs w:val="18"/>
              </w:rPr>
              <w:tab/>
              <w:t>MAQ-32</w:t>
            </w:r>
          </w:p>
          <w:p w:rsidR="00253A39" w:rsidRPr="00BE3323" w:rsidRDefault="00253A39" w:rsidP="009F17B9">
            <w:pPr>
              <w:pStyle w:val="Tabletext"/>
              <w:jc w:val="left"/>
              <w:rPr>
                <w:sz w:val="18"/>
                <w:szCs w:val="18"/>
              </w:rPr>
            </w:pPr>
            <w:r w:rsidRPr="00BE3323">
              <w:rPr>
                <w:sz w:val="18"/>
                <w:szCs w:val="18"/>
              </w:rPr>
              <w:t>–</w:t>
            </w:r>
            <w:r w:rsidRPr="00BE3323">
              <w:rPr>
                <w:sz w:val="18"/>
                <w:szCs w:val="18"/>
              </w:rPr>
              <w:tab/>
              <w:t>B-MAQO</w:t>
            </w:r>
            <w:r w:rsidRPr="00BE3323">
              <w:rPr>
                <w:sz w:val="18"/>
                <w:szCs w:val="18"/>
              </w:rPr>
              <w:br/>
              <w:t>–</w:t>
            </w:r>
            <w:r w:rsidRPr="00BE3323">
              <w:rPr>
                <w:sz w:val="18"/>
                <w:szCs w:val="18"/>
              </w:rPr>
              <w:tab/>
              <w:t>Q-MAQO</w:t>
            </w:r>
            <w:r w:rsidR="009F17B9">
              <w:rPr>
                <w:sz w:val="18"/>
                <w:szCs w:val="18"/>
              </w:rPr>
              <w:br/>
            </w:r>
            <w:r w:rsidR="009F17B9">
              <w:rPr>
                <w:sz w:val="18"/>
                <w:szCs w:val="18"/>
              </w:rPr>
              <w:tab/>
            </w:r>
            <w:r w:rsidRPr="00BE3323">
              <w:rPr>
                <w:sz w:val="18"/>
                <w:szCs w:val="18"/>
              </w:rPr>
              <w:t>0,329 – 1/1</w:t>
            </w:r>
          </w:p>
        </w:tc>
        <w:tc>
          <w:tcPr>
            <w:tcW w:w="1126" w:type="dxa"/>
          </w:tcPr>
          <w:p w:rsidR="00253A39" w:rsidRPr="004F7A87" w:rsidRDefault="00253A39" w:rsidP="00D131F9">
            <w:pPr>
              <w:pStyle w:val="Tabletext"/>
              <w:jc w:val="left"/>
              <w:rPr>
                <w:sz w:val="18"/>
                <w:szCs w:val="18"/>
                <w:lang w:val="es-ES_tradnl"/>
              </w:rPr>
            </w:pPr>
            <w:r w:rsidRPr="004F7A87">
              <w:rPr>
                <w:sz w:val="18"/>
                <w:szCs w:val="18"/>
                <w:lang w:val="es-ES_tradnl"/>
              </w:rPr>
              <w:t>Código convolu</w:t>
            </w:r>
            <w:r w:rsidR="00D131F9" w:rsidRPr="004F7A87">
              <w:rPr>
                <w:sz w:val="18"/>
                <w:szCs w:val="18"/>
                <w:lang w:val="es-ES_tradnl"/>
              </w:rPr>
              <w:t>-</w:t>
            </w:r>
            <w:r w:rsidR="00D131F9" w:rsidRPr="004F7A87">
              <w:rPr>
                <w:sz w:val="18"/>
                <w:szCs w:val="18"/>
                <w:lang w:val="es-ES_tradnl"/>
              </w:rPr>
              <w:br/>
            </w:r>
            <w:r w:rsidRPr="004F7A87">
              <w:rPr>
                <w:sz w:val="18"/>
                <w:szCs w:val="18"/>
                <w:lang w:val="es-ES_tradnl"/>
              </w:rPr>
              <w:t>cio</w:t>
            </w:r>
            <w:r w:rsidR="00D131F9" w:rsidRPr="004F7A87">
              <w:rPr>
                <w:sz w:val="18"/>
                <w:szCs w:val="18"/>
                <w:lang w:val="es-ES_tradnl"/>
              </w:rPr>
              <w:t>nal perforado</w:t>
            </w:r>
          </w:p>
          <w:p w:rsidR="00253A39" w:rsidRPr="004F7A87" w:rsidRDefault="00253A39" w:rsidP="00253A39">
            <w:pPr>
              <w:pStyle w:val="Tabletext"/>
              <w:jc w:val="left"/>
              <w:rPr>
                <w:sz w:val="18"/>
                <w:szCs w:val="18"/>
                <w:lang w:val="es-ES_tradnl"/>
              </w:rPr>
            </w:pPr>
            <w:r w:rsidRPr="004F7A87">
              <w:rPr>
                <w:sz w:val="18"/>
                <w:szCs w:val="18"/>
                <w:lang w:val="es-ES_tradnl"/>
              </w:rPr>
              <w:t xml:space="preserve">Código </w:t>
            </w:r>
            <w:r w:rsidR="00726D6B" w:rsidRPr="004F7A87">
              <w:rPr>
                <w:sz w:val="18"/>
                <w:szCs w:val="18"/>
                <w:lang w:val="es-ES_tradnl"/>
              </w:rPr>
              <w:t>turbo</w:t>
            </w:r>
            <w:r w:rsidRPr="004F7A87">
              <w:rPr>
                <w:sz w:val="18"/>
                <w:szCs w:val="18"/>
                <w:lang w:val="es-ES_tradnl"/>
              </w:rPr>
              <w:t xml:space="preserve"> </w:t>
            </w:r>
          </w:p>
        </w:tc>
        <w:tc>
          <w:tcPr>
            <w:tcW w:w="1466" w:type="dxa"/>
          </w:tcPr>
          <w:p w:rsidR="00253A39" w:rsidRPr="004F7A87" w:rsidRDefault="00253A39" w:rsidP="00253A39">
            <w:pPr>
              <w:pStyle w:val="Tabletext"/>
              <w:jc w:val="left"/>
              <w:rPr>
                <w:sz w:val="18"/>
                <w:szCs w:val="18"/>
                <w:lang w:val="en-US"/>
              </w:rPr>
            </w:pPr>
            <w:r w:rsidRPr="004F7A87">
              <w:rPr>
                <w:sz w:val="18"/>
                <w:szCs w:val="18"/>
                <w:lang w:val="en-US"/>
              </w:rPr>
              <w:t>Ascendente:</w:t>
            </w:r>
            <w:r w:rsidRPr="004F7A87">
              <w:rPr>
                <w:sz w:val="18"/>
                <w:szCs w:val="18"/>
                <w:lang w:val="en-US"/>
              </w:rPr>
              <w:br/>
              <w:t>16,25 Mbit/s</w:t>
            </w:r>
            <w:r w:rsidRPr="004F7A87">
              <w:rPr>
                <w:sz w:val="18"/>
                <w:szCs w:val="18"/>
                <w:lang w:val="en-US"/>
              </w:rPr>
              <w:br/>
              <w:t>20,312 Mbit/s</w:t>
            </w:r>
            <w:r w:rsidRPr="004F7A87">
              <w:rPr>
                <w:sz w:val="18"/>
                <w:szCs w:val="18"/>
                <w:lang w:val="en-US"/>
              </w:rPr>
              <w:br/>
              <w:t>40,625 Mbit/s</w:t>
            </w:r>
          </w:p>
          <w:p w:rsidR="00253A39" w:rsidRPr="009967E4" w:rsidRDefault="00253A39" w:rsidP="004C7EA7">
            <w:pPr>
              <w:pStyle w:val="Tabletext"/>
              <w:jc w:val="left"/>
              <w:rPr>
                <w:sz w:val="18"/>
                <w:szCs w:val="18"/>
                <w:lang w:val="en-US"/>
              </w:rPr>
            </w:pPr>
            <w:r w:rsidRPr="004F7A87">
              <w:rPr>
                <w:sz w:val="18"/>
                <w:szCs w:val="18"/>
                <w:lang w:val="en-US"/>
              </w:rPr>
              <w:t>Descendente:</w:t>
            </w:r>
            <w:r w:rsidRPr="004F7A87">
              <w:rPr>
                <w:sz w:val="18"/>
                <w:szCs w:val="18"/>
                <w:lang w:val="en-US"/>
              </w:rPr>
              <w:br/>
              <w:t>16,25 Mbit/s</w:t>
            </w:r>
            <w:r w:rsidRPr="004F7A87">
              <w:rPr>
                <w:sz w:val="18"/>
                <w:szCs w:val="18"/>
                <w:lang w:val="en-US"/>
              </w:rPr>
              <w:br/>
              <w:t>2</w:t>
            </w:r>
            <w:r w:rsidRPr="009967E4">
              <w:rPr>
                <w:sz w:val="18"/>
                <w:szCs w:val="18"/>
                <w:lang w:val="en-US"/>
              </w:rPr>
              <w:t>0,312 Mbit/s</w:t>
            </w:r>
            <w:r w:rsidRPr="009967E4">
              <w:rPr>
                <w:sz w:val="18"/>
                <w:szCs w:val="18"/>
                <w:lang w:val="en-US"/>
              </w:rPr>
              <w:br/>
              <w:t>40,625 Mbit/s</w:t>
            </w:r>
          </w:p>
        </w:tc>
        <w:tc>
          <w:tcPr>
            <w:tcW w:w="942" w:type="dxa"/>
          </w:tcPr>
          <w:p w:rsidR="00253A39" w:rsidRPr="00253A39" w:rsidRDefault="00253A39" w:rsidP="00253A39">
            <w:pPr>
              <w:pStyle w:val="Tabletext"/>
              <w:jc w:val="left"/>
              <w:rPr>
                <w:sz w:val="18"/>
                <w:szCs w:val="18"/>
                <w:lang w:val="es-ES_tradnl"/>
              </w:rPr>
            </w:pPr>
            <w:r w:rsidRPr="00253A39">
              <w:rPr>
                <w:sz w:val="18"/>
                <w:szCs w:val="18"/>
                <w:lang w:val="es-ES_tradnl"/>
              </w:rPr>
              <w:t>No explícita aunque no excluida</w:t>
            </w:r>
          </w:p>
        </w:tc>
        <w:tc>
          <w:tcPr>
            <w:tcW w:w="981" w:type="dxa"/>
          </w:tcPr>
          <w:p w:rsidR="00253A39" w:rsidRPr="00253A39" w:rsidRDefault="00253A39" w:rsidP="00253A39">
            <w:pPr>
              <w:pStyle w:val="Tabletext"/>
              <w:jc w:val="left"/>
              <w:rPr>
                <w:sz w:val="18"/>
                <w:szCs w:val="18"/>
                <w:lang w:val="es-ES_tradnl"/>
              </w:rPr>
            </w:pPr>
            <w:r w:rsidRPr="00253A39">
              <w:rPr>
                <w:sz w:val="18"/>
                <w:szCs w:val="18"/>
                <w:lang w:val="es-ES_tradnl"/>
              </w:rPr>
              <w:t>No explícita aunque no excluida</w:t>
            </w:r>
          </w:p>
        </w:tc>
        <w:tc>
          <w:tcPr>
            <w:tcW w:w="1033" w:type="dxa"/>
          </w:tcPr>
          <w:p w:rsidR="00253A39" w:rsidRPr="00BE3323" w:rsidRDefault="00253A39" w:rsidP="00253A39">
            <w:pPr>
              <w:pStyle w:val="Tabletext"/>
              <w:jc w:val="left"/>
              <w:rPr>
                <w:sz w:val="18"/>
                <w:szCs w:val="18"/>
              </w:rPr>
            </w:pPr>
            <w:r w:rsidRPr="00BE3323">
              <w:rPr>
                <w:sz w:val="18"/>
                <w:szCs w:val="18"/>
              </w:rPr>
              <w:t>DDF</w:t>
            </w:r>
          </w:p>
        </w:tc>
        <w:tc>
          <w:tcPr>
            <w:tcW w:w="1145" w:type="dxa"/>
          </w:tcPr>
          <w:p w:rsidR="00253A39" w:rsidRPr="00BE3323" w:rsidRDefault="00253A39" w:rsidP="00253A39">
            <w:pPr>
              <w:pStyle w:val="Tabletext"/>
              <w:jc w:val="left"/>
              <w:rPr>
                <w:sz w:val="18"/>
                <w:szCs w:val="18"/>
              </w:rPr>
            </w:pPr>
            <w:r w:rsidRPr="00BE3323">
              <w:rPr>
                <w:sz w:val="18"/>
                <w:szCs w:val="18"/>
              </w:rPr>
              <w:t>AMDT</w:t>
            </w:r>
          </w:p>
        </w:tc>
        <w:tc>
          <w:tcPr>
            <w:tcW w:w="1160" w:type="dxa"/>
          </w:tcPr>
          <w:p w:rsidR="00253A39" w:rsidRPr="00BE3323" w:rsidRDefault="00253A39" w:rsidP="00253A39">
            <w:pPr>
              <w:pStyle w:val="Tabletext"/>
              <w:jc w:val="left"/>
              <w:rPr>
                <w:sz w:val="18"/>
                <w:szCs w:val="18"/>
              </w:rPr>
            </w:pPr>
            <w:r w:rsidRPr="00BE3323">
              <w:rPr>
                <w:sz w:val="18"/>
                <w:szCs w:val="18"/>
              </w:rPr>
              <w:t>4,6 ms</w:t>
            </w:r>
            <w:r w:rsidRPr="00BE3323">
              <w:rPr>
                <w:sz w:val="18"/>
                <w:szCs w:val="18"/>
              </w:rPr>
              <w:br/>
              <w:t>4,615 ms</w:t>
            </w:r>
          </w:p>
        </w:tc>
        <w:tc>
          <w:tcPr>
            <w:tcW w:w="1118" w:type="dxa"/>
          </w:tcPr>
          <w:p w:rsidR="00253A39" w:rsidRPr="00BE3323" w:rsidRDefault="00253A39" w:rsidP="00253A39">
            <w:pPr>
              <w:pStyle w:val="Tabletext"/>
              <w:jc w:val="left"/>
              <w:rPr>
                <w:sz w:val="18"/>
                <w:szCs w:val="18"/>
              </w:rPr>
            </w:pPr>
            <w:r w:rsidRPr="00BE3323">
              <w:rPr>
                <w:sz w:val="18"/>
                <w:szCs w:val="18"/>
              </w:rPr>
              <w:t>Móvil</w:t>
            </w:r>
          </w:p>
        </w:tc>
      </w:tr>
      <w:tr w:rsidR="00253A39" w:rsidRPr="00BE3323" w:rsidTr="00253A39">
        <w:trPr>
          <w:cantSplit/>
          <w:jc w:val="center"/>
        </w:trPr>
        <w:tc>
          <w:tcPr>
            <w:tcW w:w="1531" w:type="dxa"/>
          </w:tcPr>
          <w:p w:rsidR="00253A39" w:rsidRPr="00BE3323" w:rsidRDefault="00253A39" w:rsidP="00253A39">
            <w:pPr>
              <w:pStyle w:val="Tabletext"/>
              <w:jc w:val="left"/>
              <w:rPr>
                <w:sz w:val="18"/>
                <w:szCs w:val="18"/>
              </w:rPr>
            </w:pPr>
            <w:r w:rsidRPr="00BE3323">
              <w:rPr>
                <w:sz w:val="18"/>
                <w:szCs w:val="18"/>
              </w:rPr>
              <w:t xml:space="preserve">IMT-2000 AMDF/AMDT </w:t>
            </w:r>
            <w:r w:rsidRPr="00BE3323">
              <w:rPr>
                <w:sz w:val="18"/>
                <w:szCs w:val="18"/>
              </w:rPr>
              <w:br/>
              <w:t>(Anexo 2)</w:t>
            </w:r>
          </w:p>
        </w:tc>
        <w:tc>
          <w:tcPr>
            <w:tcW w:w="1801" w:type="dxa"/>
          </w:tcPr>
          <w:p w:rsidR="00253A39" w:rsidRPr="00BE3323" w:rsidRDefault="00253A39" w:rsidP="00253A39">
            <w:pPr>
              <w:pStyle w:val="Tabletext"/>
              <w:jc w:val="left"/>
              <w:rPr>
                <w:sz w:val="18"/>
                <w:szCs w:val="18"/>
              </w:rPr>
            </w:pPr>
            <w:r w:rsidRPr="00BE3323">
              <w:rPr>
                <w:sz w:val="18"/>
                <w:szCs w:val="18"/>
              </w:rPr>
              <w:t>1</w:t>
            </w:r>
            <w:r>
              <w:rPr>
                <w:sz w:val="18"/>
                <w:szCs w:val="18"/>
              </w:rPr>
              <w:t>,</w:t>
            </w:r>
            <w:r w:rsidRPr="00BE3323">
              <w:rPr>
                <w:sz w:val="18"/>
                <w:szCs w:val="18"/>
              </w:rPr>
              <w:t>728 MHz</w:t>
            </w:r>
          </w:p>
        </w:tc>
        <w:tc>
          <w:tcPr>
            <w:tcW w:w="2161" w:type="dxa"/>
          </w:tcPr>
          <w:p w:rsidR="00253A39" w:rsidRPr="00253A39" w:rsidRDefault="00253A39" w:rsidP="00253A39">
            <w:pPr>
              <w:pStyle w:val="Tabletext"/>
              <w:ind w:right="-57"/>
              <w:jc w:val="left"/>
              <w:rPr>
                <w:sz w:val="18"/>
                <w:szCs w:val="18"/>
                <w:lang w:val="es-ES_tradnl"/>
              </w:rPr>
            </w:pPr>
            <w:r w:rsidRPr="00253A39">
              <w:rPr>
                <w:sz w:val="18"/>
                <w:szCs w:val="18"/>
                <w:lang w:val="es-ES_tradnl"/>
              </w:rPr>
              <w:t>Ascendente y descendente:</w:t>
            </w:r>
            <w:r w:rsidRPr="00253A39">
              <w:rPr>
                <w:sz w:val="18"/>
                <w:szCs w:val="18"/>
                <w:lang w:val="es-ES_tradnl"/>
              </w:rPr>
              <w:br/>
              <w:t>GFSK</w:t>
            </w:r>
            <w:r w:rsidRPr="00253A39">
              <w:rPr>
                <w:sz w:val="18"/>
                <w:szCs w:val="18"/>
                <w:lang w:val="es-ES_tradnl"/>
              </w:rPr>
              <w:br/>
            </w:r>
            <w:r w:rsidRPr="00BE3323">
              <w:rPr>
                <w:sz w:val="18"/>
                <w:szCs w:val="18"/>
              </w:rPr>
              <w:t>π</w:t>
            </w:r>
            <w:r w:rsidRPr="00253A39">
              <w:rPr>
                <w:sz w:val="18"/>
                <w:szCs w:val="18"/>
                <w:lang w:val="es-ES_tradnl"/>
              </w:rPr>
              <w:t>/2-MDPD-2</w:t>
            </w:r>
            <w:r w:rsidRPr="00253A39">
              <w:rPr>
                <w:sz w:val="18"/>
                <w:szCs w:val="18"/>
                <w:lang w:val="es-ES_tradnl"/>
              </w:rPr>
              <w:br/>
            </w:r>
            <w:r w:rsidRPr="00BE3323">
              <w:rPr>
                <w:sz w:val="18"/>
                <w:szCs w:val="18"/>
              </w:rPr>
              <w:t>π</w:t>
            </w:r>
            <w:r w:rsidRPr="00253A39">
              <w:rPr>
                <w:sz w:val="18"/>
                <w:szCs w:val="18"/>
                <w:lang w:val="es-ES_tradnl"/>
              </w:rPr>
              <w:t>/4-MDPD-4</w:t>
            </w:r>
            <w:r w:rsidRPr="00253A39">
              <w:rPr>
                <w:sz w:val="18"/>
                <w:szCs w:val="18"/>
                <w:lang w:val="es-ES_tradnl"/>
              </w:rPr>
              <w:br/>
            </w:r>
            <w:r w:rsidRPr="00BE3323">
              <w:rPr>
                <w:sz w:val="18"/>
                <w:szCs w:val="18"/>
              </w:rPr>
              <w:t>π</w:t>
            </w:r>
            <w:r w:rsidRPr="00253A39">
              <w:rPr>
                <w:sz w:val="18"/>
                <w:szCs w:val="18"/>
                <w:lang w:val="es-ES_tradnl"/>
              </w:rPr>
              <w:t xml:space="preserve">/8-MDPD-8 </w:t>
            </w:r>
            <w:r w:rsidRPr="00253A39">
              <w:rPr>
                <w:sz w:val="18"/>
                <w:szCs w:val="18"/>
                <w:lang w:val="es-ES_tradnl"/>
              </w:rPr>
              <w:br/>
              <w:t>MAQ-16, MAQ- 64</w:t>
            </w:r>
          </w:p>
        </w:tc>
        <w:tc>
          <w:tcPr>
            <w:tcW w:w="1126" w:type="dxa"/>
          </w:tcPr>
          <w:p w:rsidR="00253A39" w:rsidRPr="00253A39" w:rsidRDefault="00253A39" w:rsidP="00253A39">
            <w:pPr>
              <w:pStyle w:val="Tabletext"/>
              <w:jc w:val="left"/>
              <w:rPr>
                <w:sz w:val="18"/>
                <w:szCs w:val="18"/>
                <w:lang w:val="es-ES_tradnl"/>
              </w:rPr>
            </w:pPr>
            <w:r w:rsidRPr="00253A39">
              <w:rPr>
                <w:sz w:val="18"/>
                <w:szCs w:val="18"/>
                <w:lang w:val="es-ES_tradnl"/>
              </w:rPr>
              <w:t>En función del servicio:</w:t>
            </w:r>
            <w:r w:rsidRPr="00253A39">
              <w:rPr>
                <w:sz w:val="18"/>
                <w:szCs w:val="18"/>
                <w:lang w:val="es-ES_tradnl"/>
              </w:rPr>
              <w:br/>
              <w:t xml:space="preserve">CRC, BCH, Reed-Solomon, </w:t>
            </w:r>
            <w:r w:rsidR="00726D6B" w:rsidRPr="00253A39">
              <w:rPr>
                <w:sz w:val="18"/>
                <w:szCs w:val="18"/>
                <w:lang w:val="es-ES_tradnl"/>
              </w:rPr>
              <w:t>turbo</w:t>
            </w:r>
          </w:p>
        </w:tc>
        <w:tc>
          <w:tcPr>
            <w:tcW w:w="1466" w:type="dxa"/>
          </w:tcPr>
          <w:p w:rsidR="00253A39" w:rsidRPr="00BE3323" w:rsidRDefault="00253A39" w:rsidP="00253A39">
            <w:pPr>
              <w:pStyle w:val="Tabletext"/>
              <w:jc w:val="left"/>
              <w:rPr>
                <w:sz w:val="18"/>
                <w:szCs w:val="18"/>
              </w:rPr>
            </w:pPr>
            <w:r w:rsidRPr="00BE3323">
              <w:rPr>
                <w:sz w:val="18"/>
                <w:szCs w:val="18"/>
              </w:rPr>
              <w:t>20 Mbit/s</w:t>
            </w:r>
          </w:p>
        </w:tc>
        <w:tc>
          <w:tcPr>
            <w:tcW w:w="942" w:type="dxa"/>
          </w:tcPr>
          <w:p w:rsidR="00253A39" w:rsidRPr="00BE3323" w:rsidRDefault="00253A39" w:rsidP="00253A39">
            <w:pPr>
              <w:pStyle w:val="Tabletext"/>
              <w:jc w:val="left"/>
              <w:rPr>
                <w:sz w:val="18"/>
                <w:szCs w:val="18"/>
              </w:rPr>
            </w:pPr>
            <w:r w:rsidRPr="00BE3323">
              <w:rPr>
                <w:sz w:val="18"/>
                <w:szCs w:val="18"/>
              </w:rPr>
              <w:t>Parcial</w:t>
            </w:r>
          </w:p>
        </w:tc>
        <w:tc>
          <w:tcPr>
            <w:tcW w:w="981" w:type="dxa"/>
          </w:tcPr>
          <w:p w:rsidR="00253A39" w:rsidRPr="00BE3323" w:rsidRDefault="00253A39" w:rsidP="00253A39">
            <w:pPr>
              <w:pStyle w:val="Tabletext"/>
              <w:jc w:val="left"/>
              <w:rPr>
                <w:sz w:val="18"/>
                <w:szCs w:val="18"/>
              </w:rPr>
            </w:pPr>
            <w:r w:rsidRPr="00BE3323">
              <w:rPr>
                <w:sz w:val="18"/>
                <w:szCs w:val="18"/>
              </w:rPr>
              <w:t>Parcial</w:t>
            </w:r>
          </w:p>
        </w:tc>
        <w:tc>
          <w:tcPr>
            <w:tcW w:w="1033" w:type="dxa"/>
          </w:tcPr>
          <w:p w:rsidR="00253A39" w:rsidRPr="00BE3323" w:rsidRDefault="00253A39" w:rsidP="00253A39">
            <w:pPr>
              <w:pStyle w:val="Tabletext"/>
              <w:jc w:val="left"/>
              <w:rPr>
                <w:sz w:val="18"/>
                <w:szCs w:val="18"/>
              </w:rPr>
            </w:pPr>
            <w:r w:rsidRPr="00BE3323">
              <w:rPr>
                <w:sz w:val="18"/>
                <w:szCs w:val="18"/>
              </w:rPr>
              <w:t>DDT</w:t>
            </w:r>
          </w:p>
        </w:tc>
        <w:tc>
          <w:tcPr>
            <w:tcW w:w="1145" w:type="dxa"/>
          </w:tcPr>
          <w:p w:rsidR="00253A39" w:rsidRPr="00BE3323" w:rsidRDefault="00253A39" w:rsidP="00253A39">
            <w:pPr>
              <w:pStyle w:val="Tabletext"/>
              <w:jc w:val="left"/>
              <w:rPr>
                <w:sz w:val="18"/>
                <w:szCs w:val="18"/>
              </w:rPr>
            </w:pPr>
            <w:r w:rsidRPr="00BE3323">
              <w:rPr>
                <w:sz w:val="18"/>
                <w:szCs w:val="18"/>
              </w:rPr>
              <w:t>AMDT</w:t>
            </w:r>
          </w:p>
        </w:tc>
        <w:tc>
          <w:tcPr>
            <w:tcW w:w="1160" w:type="dxa"/>
          </w:tcPr>
          <w:p w:rsidR="00253A39" w:rsidRPr="00BE3323" w:rsidRDefault="00253A39" w:rsidP="00253A39">
            <w:pPr>
              <w:pStyle w:val="Tabletext"/>
              <w:jc w:val="left"/>
              <w:rPr>
                <w:sz w:val="18"/>
                <w:szCs w:val="18"/>
              </w:rPr>
            </w:pPr>
            <w:r w:rsidRPr="00BE3323">
              <w:rPr>
                <w:sz w:val="18"/>
                <w:szCs w:val="18"/>
              </w:rPr>
              <w:t>10 ms</w:t>
            </w:r>
          </w:p>
        </w:tc>
        <w:tc>
          <w:tcPr>
            <w:tcW w:w="1118" w:type="dxa"/>
          </w:tcPr>
          <w:p w:rsidR="00253A39" w:rsidRPr="00BE3323" w:rsidRDefault="00253A39" w:rsidP="00253A39">
            <w:pPr>
              <w:pStyle w:val="Tabletext"/>
              <w:jc w:val="left"/>
              <w:rPr>
                <w:sz w:val="18"/>
                <w:szCs w:val="18"/>
              </w:rPr>
            </w:pPr>
            <w:r w:rsidRPr="00BE3323">
              <w:rPr>
                <w:sz w:val="18"/>
                <w:szCs w:val="18"/>
              </w:rPr>
              <w:t>Móvil</w:t>
            </w:r>
          </w:p>
        </w:tc>
      </w:tr>
      <w:tr w:rsidR="00253A39" w:rsidRPr="00BE3323" w:rsidTr="00253A39">
        <w:trPr>
          <w:cantSplit/>
          <w:jc w:val="center"/>
        </w:trPr>
        <w:tc>
          <w:tcPr>
            <w:tcW w:w="1531" w:type="dxa"/>
          </w:tcPr>
          <w:p w:rsidR="00253A39" w:rsidRPr="009967E4" w:rsidRDefault="00253A39" w:rsidP="00253A39">
            <w:pPr>
              <w:pStyle w:val="Tabletext"/>
              <w:jc w:val="left"/>
              <w:rPr>
                <w:sz w:val="18"/>
                <w:szCs w:val="18"/>
                <w:lang w:val="en-US"/>
              </w:rPr>
            </w:pPr>
            <w:r w:rsidRPr="009967E4">
              <w:rPr>
                <w:sz w:val="18"/>
                <w:szCs w:val="18"/>
                <w:lang w:val="en-US"/>
              </w:rPr>
              <w:t xml:space="preserve">IMT-2000 WMAN DDT AMDFO </w:t>
            </w:r>
            <w:r w:rsidRPr="009967E4">
              <w:rPr>
                <w:sz w:val="18"/>
                <w:szCs w:val="18"/>
                <w:lang w:val="en-US"/>
              </w:rPr>
              <w:br/>
              <w:t>(Anexo 2)</w:t>
            </w:r>
          </w:p>
        </w:tc>
        <w:tc>
          <w:tcPr>
            <w:tcW w:w="1801" w:type="dxa"/>
          </w:tcPr>
          <w:p w:rsidR="00253A39" w:rsidRPr="00BE3323" w:rsidRDefault="00253A39" w:rsidP="008F00DA">
            <w:pPr>
              <w:pStyle w:val="Tabletext"/>
              <w:jc w:val="left"/>
              <w:rPr>
                <w:sz w:val="18"/>
                <w:szCs w:val="18"/>
                <w:lang w:eastAsia="ko-KR"/>
              </w:rPr>
            </w:pPr>
            <w:r w:rsidRPr="00BE3323">
              <w:rPr>
                <w:sz w:val="18"/>
                <w:szCs w:val="18"/>
              </w:rPr>
              <w:t>5 MHz,</w:t>
            </w:r>
            <w:r w:rsidR="008F00DA">
              <w:rPr>
                <w:sz w:val="18"/>
                <w:szCs w:val="18"/>
              </w:rPr>
              <w:br/>
            </w:r>
            <w:r w:rsidRPr="00BE3323">
              <w:rPr>
                <w:sz w:val="18"/>
                <w:szCs w:val="18"/>
                <w:lang w:eastAsia="ko-KR"/>
              </w:rPr>
              <w:t>7</w:t>
            </w:r>
            <w:r w:rsidRPr="00BE3323">
              <w:rPr>
                <w:sz w:val="18"/>
                <w:szCs w:val="18"/>
              </w:rPr>
              <w:t xml:space="preserve"> MHz</w:t>
            </w:r>
            <w:r w:rsidR="003D2CCD">
              <w:rPr>
                <w:sz w:val="18"/>
                <w:szCs w:val="18"/>
                <w:lang w:eastAsia="ko-KR"/>
              </w:rPr>
              <w:t>,</w:t>
            </w:r>
            <w:r w:rsidR="008F00DA">
              <w:rPr>
                <w:sz w:val="18"/>
                <w:szCs w:val="18"/>
                <w:lang w:eastAsia="ko-KR"/>
              </w:rPr>
              <w:br/>
            </w:r>
            <w:r w:rsidRPr="00BE3323">
              <w:rPr>
                <w:sz w:val="18"/>
                <w:szCs w:val="18"/>
                <w:lang w:eastAsia="ko-KR"/>
              </w:rPr>
              <w:t>8,75</w:t>
            </w:r>
            <w:r w:rsidRPr="00BE3323">
              <w:rPr>
                <w:sz w:val="18"/>
                <w:szCs w:val="18"/>
              </w:rPr>
              <w:t xml:space="preserve"> MHz</w:t>
            </w:r>
            <w:r w:rsidR="003D2CCD">
              <w:rPr>
                <w:sz w:val="18"/>
                <w:szCs w:val="18"/>
                <w:lang w:eastAsia="ko-KR"/>
              </w:rPr>
              <w:t>,</w:t>
            </w:r>
            <w:r w:rsidR="008F00DA">
              <w:rPr>
                <w:sz w:val="18"/>
                <w:szCs w:val="18"/>
                <w:lang w:eastAsia="ko-KR"/>
              </w:rPr>
              <w:br/>
            </w:r>
            <w:r w:rsidRPr="00BE3323">
              <w:rPr>
                <w:sz w:val="18"/>
                <w:szCs w:val="18"/>
              </w:rPr>
              <w:t>10 MHz</w:t>
            </w:r>
          </w:p>
        </w:tc>
        <w:tc>
          <w:tcPr>
            <w:tcW w:w="2161" w:type="dxa"/>
          </w:tcPr>
          <w:p w:rsidR="00253A39" w:rsidRPr="00BE3323" w:rsidRDefault="00253A39" w:rsidP="00253A39">
            <w:pPr>
              <w:pStyle w:val="Tabletext"/>
              <w:jc w:val="left"/>
              <w:rPr>
                <w:sz w:val="18"/>
                <w:szCs w:val="18"/>
              </w:rPr>
            </w:pPr>
            <w:r w:rsidRPr="00BE3323">
              <w:rPr>
                <w:sz w:val="18"/>
                <w:szCs w:val="18"/>
              </w:rPr>
              <w:t>Ascendente:</w:t>
            </w:r>
            <w:r w:rsidRPr="00BE3323">
              <w:rPr>
                <w:sz w:val="18"/>
                <w:szCs w:val="18"/>
              </w:rPr>
              <w:br/>
              <w:t>–</w:t>
            </w:r>
            <w:r w:rsidRPr="00BE3323">
              <w:rPr>
                <w:sz w:val="18"/>
                <w:szCs w:val="18"/>
              </w:rPr>
              <w:tab/>
              <w:t>MDP-4-1/2, 3/4</w:t>
            </w:r>
            <w:r w:rsidRPr="00BE3323">
              <w:rPr>
                <w:sz w:val="18"/>
                <w:szCs w:val="18"/>
              </w:rPr>
              <w:br/>
              <w:t>–</w:t>
            </w:r>
            <w:r w:rsidRPr="00BE3323">
              <w:rPr>
                <w:sz w:val="18"/>
                <w:szCs w:val="18"/>
              </w:rPr>
              <w:tab/>
              <w:t>MAQ-16-1/2, 3/4</w:t>
            </w:r>
            <w:r w:rsidRPr="00BE3323">
              <w:rPr>
                <w:sz w:val="18"/>
                <w:szCs w:val="18"/>
              </w:rPr>
              <w:br/>
              <w:t>–</w:t>
            </w:r>
            <w:r w:rsidRPr="00BE3323">
              <w:rPr>
                <w:sz w:val="18"/>
                <w:szCs w:val="18"/>
              </w:rPr>
              <w:tab/>
              <w:t xml:space="preserve">MAQ-64-1/2, 2/3, </w:t>
            </w:r>
            <w:r w:rsidRPr="00BE3323">
              <w:rPr>
                <w:sz w:val="18"/>
                <w:szCs w:val="18"/>
              </w:rPr>
              <w:br/>
            </w:r>
            <w:r w:rsidRPr="00BE3323">
              <w:rPr>
                <w:sz w:val="18"/>
                <w:szCs w:val="18"/>
              </w:rPr>
              <w:tab/>
              <w:t>3/4, 5/6</w:t>
            </w:r>
          </w:p>
          <w:p w:rsidR="00253A39" w:rsidRPr="00BE3323" w:rsidRDefault="00253A39" w:rsidP="00253A39">
            <w:pPr>
              <w:pStyle w:val="Tabletext"/>
              <w:jc w:val="left"/>
              <w:rPr>
                <w:sz w:val="18"/>
                <w:szCs w:val="18"/>
              </w:rPr>
            </w:pPr>
            <w:r w:rsidRPr="00BE3323">
              <w:rPr>
                <w:sz w:val="18"/>
                <w:szCs w:val="18"/>
              </w:rPr>
              <w:t>Descendente:</w:t>
            </w:r>
            <w:r w:rsidRPr="00BE3323">
              <w:rPr>
                <w:sz w:val="18"/>
                <w:szCs w:val="18"/>
              </w:rPr>
              <w:br/>
              <w:t>–</w:t>
            </w:r>
            <w:r w:rsidRPr="00BE3323">
              <w:rPr>
                <w:sz w:val="18"/>
                <w:szCs w:val="18"/>
              </w:rPr>
              <w:tab/>
              <w:t>MDP-4 -1/2, 3/4</w:t>
            </w:r>
            <w:r w:rsidRPr="00BE3323">
              <w:rPr>
                <w:sz w:val="18"/>
                <w:szCs w:val="18"/>
              </w:rPr>
              <w:br/>
              <w:t>–</w:t>
            </w:r>
            <w:r w:rsidRPr="00BE3323">
              <w:rPr>
                <w:sz w:val="18"/>
                <w:szCs w:val="18"/>
              </w:rPr>
              <w:tab/>
              <w:t xml:space="preserve">MAQ-16 -1/2, 3/4 </w:t>
            </w:r>
            <w:r w:rsidRPr="00BE3323">
              <w:rPr>
                <w:sz w:val="18"/>
                <w:szCs w:val="18"/>
              </w:rPr>
              <w:br/>
              <w:t>–</w:t>
            </w:r>
            <w:r w:rsidRPr="00BE3323">
              <w:rPr>
                <w:sz w:val="18"/>
                <w:szCs w:val="18"/>
              </w:rPr>
              <w:tab/>
              <w:t xml:space="preserve">MAQ-64 -1/2, 2/3, </w:t>
            </w:r>
            <w:r w:rsidRPr="00BE3323">
              <w:rPr>
                <w:sz w:val="18"/>
                <w:szCs w:val="18"/>
              </w:rPr>
              <w:br/>
            </w:r>
            <w:r w:rsidRPr="00BE3323">
              <w:rPr>
                <w:sz w:val="18"/>
                <w:szCs w:val="18"/>
              </w:rPr>
              <w:tab/>
              <w:t>3/4, 5/6</w:t>
            </w:r>
          </w:p>
        </w:tc>
        <w:tc>
          <w:tcPr>
            <w:tcW w:w="1126" w:type="dxa"/>
          </w:tcPr>
          <w:p w:rsidR="00253A39" w:rsidRPr="00253A39" w:rsidRDefault="00253A39" w:rsidP="00253A39">
            <w:pPr>
              <w:pStyle w:val="Tabletext"/>
              <w:jc w:val="left"/>
              <w:rPr>
                <w:sz w:val="18"/>
                <w:szCs w:val="18"/>
                <w:lang w:val="es-ES_tradnl"/>
              </w:rPr>
            </w:pPr>
            <w:r w:rsidRPr="00253A39">
              <w:rPr>
                <w:sz w:val="18"/>
                <w:szCs w:val="18"/>
                <w:lang w:val="es-ES_tradnl"/>
              </w:rPr>
              <w:t>CC/CTC</w:t>
            </w:r>
            <w:r w:rsidRPr="00253A39">
              <w:rPr>
                <w:sz w:val="18"/>
                <w:szCs w:val="18"/>
                <w:lang w:val="es-ES_tradnl"/>
              </w:rPr>
              <w:br/>
              <w:t>Otras opciones:</w:t>
            </w:r>
            <w:r w:rsidRPr="00253A39">
              <w:rPr>
                <w:sz w:val="18"/>
                <w:szCs w:val="18"/>
                <w:lang w:val="es-ES_tradnl"/>
              </w:rPr>
              <w:br/>
              <w:t>BTC/</w:t>
            </w:r>
            <w:r w:rsidRPr="00253A39">
              <w:rPr>
                <w:sz w:val="18"/>
                <w:szCs w:val="18"/>
                <w:lang w:val="es-ES_tradnl"/>
              </w:rPr>
              <w:br/>
              <w:t>LDPC</w:t>
            </w:r>
          </w:p>
        </w:tc>
        <w:tc>
          <w:tcPr>
            <w:tcW w:w="1466" w:type="dxa"/>
          </w:tcPr>
          <w:p w:rsidR="00253A39" w:rsidRPr="00253A39" w:rsidRDefault="00253A39" w:rsidP="00253A39">
            <w:pPr>
              <w:pStyle w:val="Tabletext"/>
              <w:jc w:val="left"/>
              <w:rPr>
                <w:sz w:val="18"/>
                <w:szCs w:val="18"/>
                <w:lang w:val="es-ES_tradnl"/>
              </w:rPr>
            </w:pPr>
            <w:r w:rsidRPr="00253A39">
              <w:rPr>
                <w:sz w:val="18"/>
                <w:szCs w:val="18"/>
                <w:lang w:val="es-ES_tradnl"/>
              </w:rPr>
              <w:t>Hasta 17,5 Mbit/s con SISO</w:t>
            </w:r>
          </w:p>
          <w:p w:rsidR="00253A39" w:rsidRPr="00253A39" w:rsidRDefault="00253A39" w:rsidP="00253A39">
            <w:pPr>
              <w:pStyle w:val="Tabletext"/>
              <w:jc w:val="left"/>
              <w:rPr>
                <w:sz w:val="18"/>
                <w:szCs w:val="18"/>
                <w:lang w:val="es-ES_tradnl"/>
              </w:rPr>
            </w:pPr>
            <w:r w:rsidRPr="00253A39">
              <w:rPr>
                <w:sz w:val="18"/>
                <w:szCs w:val="18"/>
                <w:lang w:val="es-ES_tradnl"/>
              </w:rPr>
              <w:t>Hasta 35 Mbit/s con (2 × 2) MIMO</w:t>
            </w:r>
          </w:p>
          <w:p w:rsidR="00253A39" w:rsidRPr="00253A39" w:rsidRDefault="00253A39" w:rsidP="00253A39">
            <w:pPr>
              <w:pStyle w:val="Tabletext"/>
              <w:jc w:val="left"/>
              <w:rPr>
                <w:sz w:val="18"/>
                <w:szCs w:val="18"/>
                <w:lang w:val="es-ES_tradnl"/>
              </w:rPr>
            </w:pPr>
            <w:r w:rsidRPr="00253A39">
              <w:rPr>
                <w:sz w:val="18"/>
                <w:szCs w:val="18"/>
                <w:lang w:val="es-ES_tradnl"/>
              </w:rPr>
              <w:t>Hasta 70 Mbit/s con (4 × 4) MIMO</w:t>
            </w:r>
          </w:p>
        </w:tc>
        <w:tc>
          <w:tcPr>
            <w:tcW w:w="942" w:type="dxa"/>
          </w:tcPr>
          <w:p w:rsidR="00253A39" w:rsidRPr="00BE3323" w:rsidRDefault="00253A39" w:rsidP="00253A39">
            <w:pPr>
              <w:pStyle w:val="Tabletext"/>
              <w:jc w:val="left"/>
              <w:rPr>
                <w:sz w:val="18"/>
                <w:szCs w:val="18"/>
              </w:rPr>
            </w:pPr>
            <w:r w:rsidRPr="00BE3323">
              <w:rPr>
                <w:sz w:val="18"/>
                <w:szCs w:val="18"/>
              </w:rPr>
              <w:t>Sí</w:t>
            </w:r>
          </w:p>
        </w:tc>
        <w:tc>
          <w:tcPr>
            <w:tcW w:w="981" w:type="dxa"/>
          </w:tcPr>
          <w:p w:rsidR="00253A39" w:rsidRPr="00BE3323" w:rsidRDefault="00253A39" w:rsidP="00253A39">
            <w:pPr>
              <w:pStyle w:val="Tabletext"/>
              <w:jc w:val="left"/>
              <w:rPr>
                <w:sz w:val="18"/>
                <w:szCs w:val="18"/>
              </w:rPr>
            </w:pPr>
            <w:r w:rsidRPr="00BE3323">
              <w:rPr>
                <w:sz w:val="18"/>
                <w:szCs w:val="18"/>
              </w:rPr>
              <w:t>Sí</w:t>
            </w:r>
          </w:p>
        </w:tc>
        <w:tc>
          <w:tcPr>
            <w:tcW w:w="1033" w:type="dxa"/>
          </w:tcPr>
          <w:p w:rsidR="00253A39" w:rsidRPr="00BE3323" w:rsidRDefault="00253A39" w:rsidP="00253A39">
            <w:pPr>
              <w:pStyle w:val="Tabletext"/>
              <w:jc w:val="left"/>
              <w:rPr>
                <w:sz w:val="18"/>
                <w:szCs w:val="18"/>
              </w:rPr>
            </w:pPr>
            <w:r w:rsidRPr="00BE3323">
              <w:rPr>
                <w:sz w:val="18"/>
                <w:szCs w:val="18"/>
              </w:rPr>
              <w:t>DDT</w:t>
            </w:r>
          </w:p>
          <w:p w:rsidR="00253A39" w:rsidRPr="00BE3323" w:rsidRDefault="00253A39" w:rsidP="00253A39">
            <w:pPr>
              <w:pStyle w:val="Tabletext"/>
              <w:jc w:val="left"/>
              <w:rPr>
                <w:sz w:val="18"/>
                <w:szCs w:val="18"/>
              </w:rPr>
            </w:pPr>
            <w:r w:rsidRPr="00BE3323">
              <w:rPr>
                <w:sz w:val="18"/>
                <w:szCs w:val="18"/>
              </w:rPr>
              <w:t>DDF</w:t>
            </w:r>
          </w:p>
        </w:tc>
        <w:tc>
          <w:tcPr>
            <w:tcW w:w="1145" w:type="dxa"/>
          </w:tcPr>
          <w:p w:rsidR="00253A39" w:rsidRPr="00BE3323" w:rsidRDefault="00253A39" w:rsidP="00253A39">
            <w:pPr>
              <w:pStyle w:val="Tabletext"/>
              <w:jc w:val="left"/>
              <w:rPr>
                <w:sz w:val="18"/>
                <w:szCs w:val="18"/>
              </w:rPr>
            </w:pPr>
            <w:r w:rsidRPr="00BE3323">
              <w:rPr>
                <w:sz w:val="18"/>
                <w:szCs w:val="18"/>
              </w:rPr>
              <w:t>AMDFO</w:t>
            </w:r>
          </w:p>
        </w:tc>
        <w:tc>
          <w:tcPr>
            <w:tcW w:w="1160" w:type="dxa"/>
          </w:tcPr>
          <w:p w:rsidR="00253A39" w:rsidRPr="00BE3323" w:rsidRDefault="00253A39" w:rsidP="00253A39">
            <w:pPr>
              <w:pStyle w:val="Tabletext"/>
              <w:jc w:val="left"/>
              <w:rPr>
                <w:sz w:val="18"/>
                <w:szCs w:val="18"/>
              </w:rPr>
            </w:pPr>
            <w:r w:rsidRPr="00BE3323">
              <w:rPr>
                <w:sz w:val="18"/>
                <w:szCs w:val="18"/>
              </w:rPr>
              <w:t>5 ms</w:t>
            </w:r>
          </w:p>
        </w:tc>
        <w:tc>
          <w:tcPr>
            <w:tcW w:w="1118" w:type="dxa"/>
          </w:tcPr>
          <w:p w:rsidR="00253A39" w:rsidRPr="00BE3323" w:rsidRDefault="00253A39" w:rsidP="00253A39">
            <w:pPr>
              <w:pStyle w:val="Tabletext"/>
              <w:jc w:val="left"/>
              <w:rPr>
                <w:sz w:val="18"/>
                <w:szCs w:val="18"/>
              </w:rPr>
            </w:pPr>
            <w:r w:rsidRPr="00BE3323">
              <w:rPr>
                <w:sz w:val="18"/>
                <w:szCs w:val="18"/>
              </w:rPr>
              <w:t>Móvil</w:t>
            </w:r>
          </w:p>
        </w:tc>
      </w:tr>
    </w:tbl>
    <w:p w:rsidR="00253A39" w:rsidRDefault="00253A39" w:rsidP="00C3372A">
      <w:pPr>
        <w:pStyle w:val="TableNo"/>
        <w:rPr>
          <w:caps/>
        </w:rPr>
      </w:pPr>
      <w:r w:rsidRPr="00BE3323">
        <w:lastRenderedPageBreak/>
        <w:t>CUADRO 5 (</w:t>
      </w:r>
      <w:r w:rsidR="00C3372A">
        <w:rPr>
          <w:i/>
          <w:iCs/>
        </w:rPr>
        <w:t>continuación</w:t>
      </w:r>
      <w:r w:rsidRPr="00BE3323">
        <w:t>)</w:t>
      </w:r>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1"/>
        <w:gridCol w:w="1801"/>
        <w:gridCol w:w="2161"/>
        <w:gridCol w:w="1126"/>
        <w:gridCol w:w="1466"/>
        <w:gridCol w:w="942"/>
        <w:gridCol w:w="981"/>
        <w:gridCol w:w="1033"/>
        <w:gridCol w:w="1145"/>
        <w:gridCol w:w="1160"/>
        <w:gridCol w:w="1118"/>
      </w:tblGrid>
      <w:tr w:rsidR="00253A39" w:rsidRPr="00DA2419" w:rsidTr="003D2CCD">
        <w:trPr>
          <w:cantSplit/>
          <w:jc w:val="center"/>
        </w:trPr>
        <w:tc>
          <w:tcPr>
            <w:tcW w:w="1531" w:type="dxa"/>
            <w:tcBorders>
              <w:top w:val="single" w:sz="4" w:space="0" w:color="auto"/>
              <w:left w:val="single" w:sz="4" w:space="0" w:color="auto"/>
              <w:bottom w:val="single" w:sz="4" w:space="0" w:color="auto"/>
              <w:right w:val="single" w:sz="4" w:space="0" w:color="auto"/>
            </w:tcBorders>
            <w:vAlign w:val="center"/>
          </w:tcPr>
          <w:p w:rsidR="00253A39" w:rsidRPr="00640AE2" w:rsidRDefault="00253A39" w:rsidP="003D2CCD">
            <w:pPr>
              <w:pStyle w:val="Tablehead"/>
              <w:rPr>
                <w:sz w:val="18"/>
                <w:szCs w:val="18"/>
              </w:rPr>
            </w:pPr>
            <w:r w:rsidRPr="00640AE2">
              <w:rPr>
                <w:sz w:val="18"/>
                <w:szCs w:val="18"/>
              </w:rPr>
              <w:t>Norma</w:t>
            </w:r>
          </w:p>
        </w:tc>
        <w:tc>
          <w:tcPr>
            <w:tcW w:w="1801" w:type="dxa"/>
            <w:tcBorders>
              <w:top w:val="single" w:sz="4" w:space="0" w:color="auto"/>
              <w:left w:val="single" w:sz="4" w:space="0" w:color="auto"/>
              <w:bottom w:val="single" w:sz="4" w:space="0" w:color="auto"/>
              <w:right w:val="single" w:sz="4" w:space="0" w:color="auto"/>
            </w:tcBorders>
            <w:vAlign w:val="center"/>
          </w:tcPr>
          <w:p w:rsidR="00253A39" w:rsidRPr="00253A39" w:rsidRDefault="00253A39" w:rsidP="003D2CCD">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1" w:type="dxa"/>
            <w:tcBorders>
              <w:top w:val="single" w:sz="4" w:space="0" w:color="auto"/>
              <w:left w:val="single" w:sz="4" w:space="0" w:color="auto"/>
              <w:bottom w:val="single" w:sz="4" w:space="0" w:color="auto"/>
              <w:right w:val="single" w:sz="4" w:space="0" w:color="auto"/>
            </w:tcBorders>
            <w:vAlign w:val="center"/>
          </w:tcPr>
          <w:p w:rsidR="00253A39" w:rsidRPr="00253A39" w:rsidRDefault="00253A39" w:rsidP="003D2CCD">
            <w:pPr>
              <w:pStyle w:val="Tablehead"/>
              <w:rPr>
                <w:sz w:val="18"/>
                <w:szCs w:val="18"/>
                <w:lang w:val="es-ES_tradnl"/>
              </w:rPr>
            </w:pPr>
            <w:r w:rsidRPr="00253A39">
              <w:rPr>
                <w:sz w:val="18"/>
                <w:szCs w:val="18"/>
                <w:lang w:val="es-ES_tradnl"/>
              </w:rPr>
              <w:t>Modulación/velocidad de codificación(1)</w:t>
            </w:r>
          </w:p>
          <w:p w:rsidR="00253A39" w:rsidRPr="00253A39" w:rsidRDefault="00253A39" w:rsidP="003D2CCD">
            <w:pPr>
              <w:pStyle w:val="Tablehead"/>
              <w:tabs>
                <w:tab w:val="clear" w:pos="284"/>
                <w:tab w:val="clear" w:pos="567"/>
              </w:tabs>
              <w:ind w:left="99" w:hanging="142"/>
              <w:rPr>
                <w:sz w:val="18"/>
                <w:szCs w:val="18"/>
                <w:lang w:val="es-ES_tradnl"/>
              </w:rPr>
            </w:pPr>
            <w:r w:rsidRPr="00253A39">
              <w:rPr>
                <w:sz w:val="18"/>
                <w:szCs w:val="18"/>
                <w:lang w:val="es-ES_tradnl"/>
              </w:rPr>
              <w:t>–</w:t>
            </w:r>
            <w:r w:rsidRPr="00253A39">
              <w:rPr>
                <w:sz w:val="18"/>
                <w:szCs w:val="18"/>
                <w:lang w:val="es-ES_tradnl"/>
              </w:rPr>
              <w:tab/>
              <w:t>en sentido ascendente</w:t>
            </w:r>
          </w:p>
          <w:p w:rsidR="00253A39" w:rsidRPr="00640AE2" w:rsidRDefault="00253A39" w:rsidP="003D2CCD">
            <w:pPr>
              <w:pStyle w:val="Tablehead"/>
              <w:tabs>
                <w:tab w:val="clear" w:pos="284"/>
                <w:tab w:val="clear" w:pos="567"/>
              </w:tabs>
              <w:ind w:left="99" w:hanging="142"/>
              <w:rPr>
                <w:sz w:val="18"/>
                <w:szCs w:val="18"/>
              </w:rPr>
            </w:pPr>
            <w:r w:rsidRPr="00640AE2">
              <w:rPr>
                <w:sz w:val="18"/>
                <w:szCs w:val="18"/>
              </w:rPr>
              <w:t>–</w:t>
            </w:r>
            <w:r>
              <w:rPr>
                <w:sz w:val="18"/>
                <w:szCs w:val="18"/>
              </w:rPr>
              <w:tab/>
            </w:r>
            <w:r w:rsidRPr="00640AE2">
              <w:rPr>
                <w:sz w:val="18"/>
                <w:szCs w:val="18"/>
              </w:rPr>
              <w:t>en sentido descendente</w:t>
            </w:r>
          </w:p>
        </w:tc>
        <w:tc>
          <w:tcPr>
            <w:tcW w:w="1126" w:type="dxa"/>
            <w:tcBorders>
              <w:top w:val="single" w:sz="4" w:space="0" w:color="auto"/>
              <w:left w:val="single" w:sz="4" w:space="0" w:color="auto"/>
              <w:bottom w:val="single" w:sz="4" w:space="0" w:color="auto"/>
              <w:right w:val="single" w:sz="4" w:space="0" w:color="auto"/>
            </w:tcBorders>
            <w:vAlign w:val="center"/>
          </w:tcPr>
          <w:p w:rsidR="00253A39" w:rsidRPr="00640AE2" w:rsidRDefault="00253A39" w:rsidP="003D2CCD">
            <w:pPr>
              <w:pStyle w:val="Tablehead"/>
              <w:ind w:left="-57"/>
              <w:rPr>
                <w:sz w:val="18"/>
                <w:szCs w:val="18"/>
              </w:rPr>
            </w:pPr>
            <w:r w:rsidRPr="00640AE2">
              <w:rPr>
                <w:sz w:val="18"/>
                <w:szCs w:val="18"/>
              </w:rPr>
              <w:t>Soporte de codificación</w:t>
            </w:r>
          </w:p>
        </w:tc>
        <w:tc>
          <w:tcPr>
            <w:tcW w:w="1466" w:type="dxa"/>
            <w:tcBorders>
              <w:top w:val="single" w:sz="4" w:space="0" w:color="auto"/>
              <w:left w:val="single" w:sz="4" w:space="0" w:color="auto"/>
              <w:bottom w:val="single" w:sz="4" w:space="0" w:color="auto"/>
              <w:right w:val="single" w:sz="4" w:space="0" w:color="auto"/>
            </w:tcBorders>
            <w:vAlign w:val="center"/>
          </w:tcPr>
          <w:p w:rsidR="00253A39" w:rsidRPr="00253A39" w:rsidRDefault="00253A39" w:rsidP="003D2CCD">
            <w:pPr>
              <w:pStyle w:val="Tablehead"/>
              <w:rPr>
                <w:sz w:val="18"/>
                <w:szCs w:val="18"/>
                <w:lang w:val="es-ES_tradnl"/>
              </w:rPr>
            </w:pPr>
            <w:r w:rsidRPr="00253A39">
              <w:rPr>
                <w:sz w:val="18"/>
                <w:szCs w:val="18"/>
                <w:lang w:val="es-ES_tradnl"/>
              </w:rPr>
              <w:t>Velocidad de transmisión de canal de pico por canal de 5 MHz (salvo</w:t>
            </w:r>
            <w:r w:rsidR="003D2CCD">
              <w:rPr>
                <w:sz w:val="18"/>
                <w:szCs w:val="18"/>
                <w:lang w:val="es-ES_tradnl"/>
              </w:rPr>
              <w:t> </w:t>
            </w:r>
            <w:r w:rsidRPr="00253A39">
              <w:rPr>
                <w:sz w:val="18"/>
                <w:szCs w:val="18"/>
                <w:lang w:val="es-ES_tradnl"/>
              </w:rPr>
              <w:t>cuando</w:t>
            </w:r>
            <w:r w:rsidRPr="00253A39">
              <w:rPr>
                <w:sz w:val="18"/>
                <w:szCs w:val="18"/>
                <w:lang w:val="es-ES_tradnl"/>
              </w:rPr>
              <w:br/>
              <w:t>se indica)</w:t>
            </w:r>
          </w:p>
        </w:tc>
        <w:tc>
          <w:tcPr>
            <w:tcW w:w="942" w:type="dxa"/>
            <w:tcBorders>
              <w:top w:val="single" w:sz="4" w:space="0" w:color="auto"/>
              <w:left w:val="single" w:sz="4" w:space="0" w:color="auto"/>
              <w:bottom w:val="single" w:sz="4" w:space="0" w:color="auto"/>
              <w:right w:val="single" w:sz="4" w:space="0" w:color="auto"/>
            </w:tcBorders>
            <w:vAlign w:val="center"/>
          </w:tcPr>
          <w:p w:rsidR="00253A39" w:rsidRPr="00253A39" w:rsidRDefault="00253A39" w:rsidP="003D2CCD">
            <w:pPr>
              <w:pStyle w:val="Tablehead"/>
              <w:ind w:left="-57" w:right="-57"/>
              <w:rPr>
                <w:sz w:val="18"/>
                <w:szCs w:val="18"/>
                <w:lang w:val="es-ES_tradnl"/>
              </w:rPr>
            </w:pPr>
            <w:r w:rsidRPr="00253A39">
              <w:rPr>
                <w:sz w:val="18"/>
                <w:szCs w:val="18"/>
                <w:lang w:val="es-ES_tradnl"/>
              </w:rPr>
              <w:t>Soporta formación de haz (sí/no)</w:t>
            </w:r>
          </w:p>
        </w:tc>
        <w:tc>
          <w:tcPr>
            <w:tcW w:w="981" w:type="dxa"/>
            <w:tcBorders>
              <w:top w:val="single" w:sz="4" w:space="0" w:color="auto"/>
              <w:left w:val="single" w:sz="4" w:space="0" w:color="auto"/>
              <w:bottom w:val="single" w:sz="4" w:space="0" w:color="auto"/>
              <w:right w:val="single" w:sz="4" w:space="0" w:color="auto"/>
            </w:tcBorders>
            <w:vAlign w:val="center"/>
          </w:tcPr>
          <w:p w:rsidR="00253A39" w:rsidRPr="00640AE2" w:rsidRDefault="00253A39" w:rsidP="003D2CCD">
            <w:pPr>
              <w:pStyle w:val="Tablehead"/>
              <w:rPr>
                <w:sz w:val="18"/>
                <w:szCs w:val="18"/>
              </w:rPr>
            </w:pPr>
            <w:r w:rsidRPr="00640AE2">
              <w:rPr>
                <w:sz w:val="18"/>
                <w:szCs w:val="18"/>
              </w:rPr>
              <w:t>Soporta MIMO (sí/no)</w:t>
            </w:r>
          </w:p>
        </w:tc>
        <w:tc>
          <w:tcPr>
            <w:tcW w:w="1033" w:type="dxa"/>
            <w:tcBorders>
              <w:top w:val="single" w:sz="4" w:space="0" w:color="auto"/>
              <w:left w:val="single" w:sz="4" w:space="0" w:color="auto"/>
              <w:bottom w:val="single" w:sz="4" w:space="0" w:color="auto"/>
              <w:right w:val="single" w:sz="4" w:space="0" w:color="auto"/>
            </w:tcBorders>
            <w:vAlign w:val="center"/>
          </w:tcPr>
          <w:p w:rsidR="00253A39" w:rsidRPr="00640AE2" w:rsidRDefault="00253A39" w:rsidP="003D2CCD">
            <w:pPr>
              <w:pStyle w:val="Tablehead"/>
              <w:rPr>
                <w:sz w:val="18"/>
                <w:szCs w:val="18"/>
              </w:rPr>
            </w:pPr>
            <w:r w:rsidRPr="00640AE2">
              <w:rPr>
                <w:sz w:val="18"/>
                <w:szCs w:val="18"/>
              </w:rPr>
              <w:t>Método dúplex</w:t>
            </w:r>
          </w:p>
        </w:tc>
        <w:tc>
          <w:tcPr>
            <w:tcW w:w="1145" w:type="dxa"/>
            <w:tcBorders>
              <w:top w:val="single" w:sz="4" w:space="0" w:color="auto"/>
              <w:left w:val="single" w:sz="4" w:space="0" w:color="auto"/>
              <w:bottom w:val="single" w:sz="4" w:space="0" w:color="auto"/>
              <w:right w:val="single" w:sz="4" w:space="0" w:color="auto"/>
            </w:tcBorders>
            <w:vAlign w:val="center"/>
          </w:tcPr>
          <w:p w:rsidR="00253A39" w:rsidRPr="00640AE2" w:rsidRDefault="00253A39" w:rsidP="003D2CCD">
            <w:pPr>
              <w:pStyle w:val="Tablehead"/>
              <w:rPr>
                <w:sz w:val="18"/>
                <w:szCs w:val="18"/>
              </w:rPr>
            </w:pPr>
            <w:r w:rsidRPr="00640AE2">
              <w:rPr>
                <w:sz w:val="18"/>
                <w:szCs w:val="18"/>
              </w:rPr>
              <w:t>Método</w:t>
            </w:r>
            <w:r w:rsidRPr="00640AE2">
              <w:rPr>
                <w:sz w:val="18"/>
                <w:szCs w:val="18"/>
              </w:rPr>
              <w:br/>
              <w:t>de acceso múltiple</w:t>
            </w:r>
          </w:p>
        </w:tc>
        <w:tc>
          <w:tcPr>
            <w:tcW w:w="1160" w:type="dxa"/>
            <w:tcBorders>
              <w:top w:val="single" w:sz="4" w:space="0" w:color="auto"/>
              <w:left w:val="single" w:sz="4" w:space="0" w:color="auto"/>
              <w:bottom w:val="single" w:sz="4" w:space="0" w:color="auto"/>
              <w:right w:val="single" w:sz="4" w:space="0" w:color="auto"/>
            </w:tcBorders>
            <w:vAlign w:val="center"/>
          </w:tcPr>
          <w:p w:rsidR="00253A39" w:rsidRPr="00640AE2" w:rsidRDefault="00253A39" w:rsidP="003D2CCD">
            <w:pPr>
              <w:pStyle w:val="Tablehead"/>
              <w:rPr>
                <w:sz w:val="18"/>
                <w:szCs w:val="18"/>
              </w:rPr>
            </w:pPr>
            <w:r w:rsidRPr="00640AE2">
              <w:rPr>
                <w:sz w:val="18"/>
                <w:szCs w:val="18"/>
              </w:rPr>
              <w:t>Duración</w:t>
            </w:r>
            <w:r w:rsidRPr="00640AE2">
              <w:rPr>
                <w:sz w:val="18"/>
                <w:szCs w:val="18"/>
              </w:rPr>
              <w:br/>
              <w:t>de trama</w:t>
            </w:r>
          </w:p>
        </w:tc>
        <w:tc>
          <w:tcPr>
            <w:tcW w:w="1118" w:type="dxa"/>
            <w:tcBorders>
              <w:top w:val="single" w:sz="4" w:space="0" w:color="auto"/>
              <w:left w:val="single" w:sz="4" w:space="0" w:color="auto"/>
              <w:bottom w:val="single" w:sz="4" w:space="0" w:color="auto"/>
              <w:right w:val="single" w:sz="4" w:space="0" w:color="auto"/>
            </w:tcBorders>
            <w:vAlign w:val="center"/>
          </w:tcPr>
          <w:p w:rsidR="00253A39" w:rsidRPr="00253A39" w:rsidRDefault="00253A39" w:rsidP="003D2CCD">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253A39" w:rsidRPr="00BE3323" w:rsidTr="00253A39">
        <w:trPr>
          <w:cantSplit/>
          <w:jc w:val="center"/>
        </w:trPr>
        <w:tc>
          <w:tcPr>
            <w:tcW w:w="1531" w:type="dxa"/>
          </w:tcPr>
          <w:p w:rsidR="00253A39" w:rsidRPr="00BE3323" w:rsidRDefault="00253A39" w:rsidP="00253A39">
            <w:pPr>
              <w:pStyle w:val="Tabletext"/>
              <w:jc w:val="left"/>
              <w:rPr>
                <w:sz w:val="18"/>
                <w:szCs w:val="18"/>
              </w:rPr>
            </w:pPr>
            <w:r>
              <w:rPr>
                <w:sz w:val="18"/>
                <w:szCs w:val="18"/>
              </w:rPr>
              <w:t>LTE</w:t>
            </w:r>
            <w:r w:rsidRPr="00BE3323">
              <w:rPr>
                <w:sz w:val="18"/>
                <w:szCs w:val="18"/>
              </w:rPr>
              <w:t>-Avanzado (Anexo 3)</w:t>
            </w:r>
          </w:p>
        </w:tc>
        <w:tc>
          <w:tcPr>
            <w:tcW w:w="1801" w:type="dxa"/>
          </w:tcPr>
          <w:p w:rsidR="00253A39" w:rsidRPr="00253A39" w:rsidRDefault="00253A39" w:rsidP="00253A39">
            <w:pPr>
              <w:pStyle w:val="Tabletext"/>
              <w:jc w:val="left"/>
              <w:rPr>
                <w:sz w:val="18"/>
                <w:szCs w:val="18"/>
                <w:lang w:val="es-ES_tradnl"/>
              </w:rPr>
            </w:pPr>
            <w:r w:rsidRPr="00253A39">
              <w:rPr>
                <w:sz w:val="18"/>
                <w:szCs w:val="18"/>
                <w:lang w:val="es-ES_tradnl"/>
              </w:rPr>
              <w:t xml:space="preserve">Flexible 1,4 MHz, 3 MHz, 5 MHz, 10 MHz, 15 MHz, 20 MHz; agregación de portadora hasta 100 MHz </w:t>
            </w:r>
          </w:p>
        </w:tc>
        <w:tc>
          <w:tcPr>
            <w:tcW w:w="2161" w:type="dxa"/>
          </w:tcPr>
          <w:p w:rsidR="00253A39" w:rsidRPr="00253A39" w:rsidRDefault="00253A39" w:rsidP="00253A39">
            <w:pPr>
              <w:pStyle w:val="Tabletext"/>
              <w:jc w:val="left"/>
              <w:rPr>
                <w:sz w:val="18"/>
                <w:szCs w:val="18"/>
                <w:lang w:val="es-ES_tradnl"/>
              </w:rPr>
            </w:pPr>
            <w:r w:rsidRPr="00253A39">
              <w:rPr>
                <w:sz w:val="18"/>
                <w:szCs w:val="18"/>
                <w:lang w:val="es-ES_tradnl"/>
              </w:rPr>
              <w:t>MDP-4, MAQ-16, MAQ</w:t>
            </w:r>
            <w:r w:rsidRPr="00253A39">
              <w:rPr>
                <w:sz w:val="18"/>
                <w:szCs w:val="18"/>
                <w:lang w:val="es-ES_tradnl"/>
              </w:rPr>
              <w:noBreakHyphen/>
              <w:t>64. Velocidad de codificación plenamente variable con ARQ híbrida y redundancia incremental</w:t>
            </w:r>
          </w:p>
        </w:tc>
        <w:tc>
          <w:tcPr>
            <w:tcW w:w="1126" w:type="dxa"/>
          </w:tcPr>
          <w:p w:rsidR="00253A39" w:rsidRPr="00253A39" w:rsidRDefault="00253A39" w:rsidP="00253A39">
            <w:pPr>
              <w:pStyle w:val="Tabletext"/>
              <w:jc w:val="left"/>
              <w:rPr>
                <w:sz w:val="18"/>
                <w:szCs w:val="18"/>
                <w:lang w:val="es-ES_tradnl"/>
              </w:rPr>
            </w:pPr>
            <w:r w:rsidRPr="00253A39">
              <w:rPr>
                <w:sz w:val="18"/>
                <w:szCs w:val="18"/>
                <w:lang w:val="es-ES_tradnl"/>
              </w:rPr>
              <w:t xml:space="preserve">Código </w:t>
            </w:r>
            <w:r w:rsidR="00726D6B" w:rsidRPr="00253A39">
              <w:rPr>
                <w:sz w:val="18"/>
                <w:szCs w:val="18"/>
                <w:lang w:val="es-ES_tradnl"/>
              </w:rPr>
              <w:t>turbo</w:t>
            </w:r>
            <w:r w:rsidRPr="00253A39">
              <w:rPr>
                <w:sz w:val="18"/>
                <w:szCs w:val="18"/>
                <w:lang w:val="es-ES_tradnl"/>
              </w:rPr>
              <w:t xml:space="preserve"> para datos: códigos convolu-</w:t>
            </w:r>
            <w:r w:rsidR="002E254C">
              <w:rPr>
                <w:sz w:val="18"/>
                <w:szCs w:val="18"/>
                <w:lang w:val="es-ES_tradnl"/>
              </w:rPr>
              <w:br/>
            </w:r>
            <w:r w:rsidRPr="00253A39">
              <w:rPr>
                <w:sz w:val="18"/>
                <w:szCs w:val="18"/>
                <w:lang w:val="es-ES_tradnl"/>
              </w:rPr>
              <w:t>cional y de bloques para algunos canales de control</w:t>
            </w:r>
          </w:p>
        </w:tc>
        <w:tc>
          <w:tcPr>
            <w:tcW w:w="1466" w:type="dxa"/>
          </w:tcPr>
          <w:p w:rsidR="00253A39" w:rsidRPr="00253A39" w:rsidRDefault="00253A39" w:rsidP="00253A39">
            <w:pPr>
              <w:pStyle w:val="Tabletext"/>
              <w:jc w:val="left"/>
              <w:rPr>
                <w:sz w:val="18"/>
                <w:szCs w:val="18"/>
                <w:vertAlign w:val="superscript"/>
                <w:lang w:val="es-ES_tradnl"/>
              </w:rPr>
            </w:pPr>
            <w:r w:rsidRPr="00253A39">
              <w:rPr>
                <w:sz w:val="18"/>
                <w:szCs w:val="18"/>
                <w:lang w:val="es-ES_tradnl"/>
              </w:rPr>
              <w:t>Ascendente:</w:t>
            </w:r>
            <w:r w:rsidRPr="00253A39">
              <w:rPr>
                <w:sz w:val="18"/>
                <w:szCs w:val="18"/>
                <w:lang w:val="es-ES_tradnl"/>
              </w:rPr>
              <w:br/>
              <w:t>300 Mbit/s en 20 MHz</w:t>
            </w:r>
            <w:r w:rsidRPr="00253A39">
              <w:rPr>
                <w:sz w:val="18"/>
                <w:szCs w:val="18"/>
                <w:vertAlign w:val="superscript"/>
                <w:lang w:val="es-ES_tradnl"/>
              </w:rPr>
              <w:t>(3)</w:t>
            </w:r>
          </w:p>
          <w:p w:rsidR="00253A39" w:rsidRPr="00253A39" w:rsidRDefault="00253A39" w:rsidP="00253A39">
            <w:pPr>
              <w:pStyle w:val="Tabletext"/>
              <w:jc w:val="left"/>
              <w:rPr>
                <w:sz w:val="18"/>
                <w:szCs w:val="18"/>
                <w:vertAlign w:val="superscript"/>
                <w:lang w:val="es-ES_tradnl"/>
              </w:rPr>
            </w:pPr>
            <w:r w:rsidRPr="00253A39">
              <w:rPr>
                <w:sz w:val="18"/>
                <w:szCs w:val="18"/>
                <w:lang w:val="es-ES_tradnl"/>
              </w:rPr>
              <w:t>Descendente:</w:t>
            </w:r>
            <w:r w:rsidRPr="00253A39">
              <w:rPr>
                <w:sz w:val="18"/>
                <w:szCs w:val="18"/>
                <w:lang w:val="es-ES_tradnl"/>
              </w:rPr>
              <w:br/>
              <w:t>600 Mbit/s en 20 MHz</w:t>
            </w:r>
            <w:r w:rsidRPr="00253A39">
              <w:rPr>
                <w:sz w:val="18"/>
                <w:szCs w:val="18"/>
                <w:vertAlign w:val="superscript"/>
                <w:lang w:val="es-ES_tradnl"/>
              </w:rPr>
              <w:t>(3)</w:t>
            </w:r>
          </w:p>
          <w:p w:rsidR="00253A39" w:rsidRPr="00253A39" w:rsidRDefault="00253A39" w:rsidP="00253A39">
            <w:pPr>
              <w:pStyle w:val="Tabletext"/>
              <w:jc w:val="left"/>
              <w:rPr>
                <w:sz w:val="18"/>
                <w:szCs w:val="18"/>
                <w:vertAlign w:val="superscript"/>
                <w:lang w:val="es-ES_tradnl"/>
              </w:rPr>
            </w:pPr>
            <w:r w:rsidRPr="00253A39">
              <w:rPr>
                <w:sz w:val="18"/>
                <w:szCs w:val="18"/>
                <w:lang w:val="es-ES_tradnl"/>
              </w:rPr>
              <w:t>Ascendente:</w:t>
            </w:r>
            <w:r w:rsidRPr="00253A39">
              <w:rPr>
                <w:sz w:val="18"/>
                <w:szCs w:val="18"/>
                <w:lang w:val="es-ES_tradnl"/>
              </w:rPr>
              <w:br/>
              <w:t>1,5 Gbit/s en 100 MHz</w:t>
            </w:r>
            <w:r w:rsidRPr="00253A39">
              <w:rPr>
                <w:sz w:val="18"/>
                <w:szCs w:val="18"/>
                <w:vertAlign w:val="superscript"/>
                <w:lang w:val="es-ES_tradnl"/>
              </w:rPr>
              <w:t xml:space="preserve">(4) </w:t>
            </w:r>
            <w:r w:rsidRPr="00253A39">
              <w:rPr>
                <w:sz w:val="18"/>
                <w:szCs w:val="18"/>
                <w:lang w:val="es-ES_tradnl"/>
              </w:rPr>
              <w:t>agregados</w:t>
            </w:r>
          </w:p>
          <w:p w:rsidR="00253A39" w:rsidRPr="00253A39" w:rsidRDefault="00253A39" w:rsidP="00253A39">
            <w:pPr>
              <w:pStyle w:val="Tabletext"/>
              <w:jc w:val="left"/>
              <w:rPr>
                <w:sz w:val="18"/>
                <w:szCs w:val="18"/>
                <w:lang w:val="es-ES_tradnl"/>
              </w:rPr>
            </w:pPr>
            <w:r w:rsidRPr="00253A39">
              <w:rPr>
                <w:sz w:val="18"/>
                <w:szCs w:val="18"/>
                <w:lang w:val="es-ES_tradnl"/>
              </w:rPr>
              <w:t>Descendente:</w:t>
            </w:r>
            <w:r w:rsidRPr="00253A39">
              <w:rPr>
                <w:sz w:val="18"/>
                <w:szCs w:val="18"/>
                <w:lang w:val="es-ES_tradnl"/>
              </w:rPr>
              <w:br/>
              <w:t>3 Gbit/s en 100 MHz</w:t>
            </w:r>
            <w:r w:rsidRPr="00253A39">
              <w:rPr>
                <w:sz w:val="18"/>
                <w:szCs w:val="18"/>
                <w:vertAlign w:val="superscript"/>
                <w:lang w:val="es-ES_tradnl"/>
              </w:rPr>
              <w:t xml:space="preserve">(4) </w:t>
            </w:r>
            <w:r w:rsidRPr="00253A39">
              <w:rPr>
                <w:sz w:val="18"/>
                <w:szCs w:val="18"/>
                <w:lang w:val="es-ES_tradnl"/>
              </w:rPr>
              <w:t>agregados</w:t>
            </w:r>
          </w:p>
        </w:tc>
        <w:tc>
          <w:tcPr>
            <w:tcW w:w="942" w:type="dxa"/>
          </w:tcPr>
          <w:p w:rsidR="00253A39" w:rsidRPr="00BE3323" w:rsidRDefault="00253A39" w:rsidP="00253A39">
            <w:pPr>
              <w:pStyle w:val="Tabletext"/>
              <w:jc w:val="left"/>
              <w:rPr>
                <w:sz w:val="18"/>
                <w:szCs w:val="18"/>
              </w:rPr>
            </w:pPr>
            <w:r>
              <w:rPr>
                <w:sz w:val="18"/>
                <w:szCs w:val="18"/>
              </w:rPr>
              <w:t>Sí</w:t>
            </w:r>
          </w:p>
        </w:tc>
        <w:tc>
          <w:tcPr>
            <w:tcW w:w="981" w:type="dxa"/>
          </w:tcPr>
          <w:p w:rsidR="00253A39" w:rsidRPr="00BE3323" w:rsidRDefault="00253A39" w:rsidP="00253A39">
            <w:pPr>
              <w:pStyle w:val="Tabletext"/>
              <w:jc w:val="left"/>
              <w:rPr>
                <w:sz w:val="18"/>
                <w:szCs w:val="18"/>
              </w:rPr>
            </w:pPr>
            <w:r>
              <w:rPr>
                <w:sz w:val="18"/>
                <w:szCs w:val="18"/>
              </w:rPr>
              <w:t>Sí</w:t>
            </w:r>
          </w:p>
        </w:tc>
        <w:tc>
          <w:tcPr>
            <w:tcW w:w="1033" w:type="dxa"/>
          </w:tcPr>
          <w:p w:rsidR="00253A39" w:rsidRPr="00BE3323" w:rsidRDefault="00253A39" w:rsidP="00253A39">
            <w:pPr>
              <w:pStyle w:val="Tabletext"/>
              <w:jc w:val="left"/>
              <w:rPr>
                <w:sz w:val="18"/>
                <w:szCs w:val="18"/>
              </w:rPr>
            </w:pPr>
            <w:r>
              <w:rPr>
                <w:sz w:val="18"/>
                <w:szCs w:val="18"/>
              </w:rPr>
              <w:t>DDF DDT H-DDF</w:t>
            </w:r>
          </w:p>
        </w:tc>
        <w:tc>
          <w:tcPr>
            <w:tcW w:w="1145" w:type="dxa"/>
          </w:tcPr>
          <w:p w:rsidR="00253A39" w:rsidRPr="00253A39" w:rsidRDefault="00253A39" w:rsidP="00726D6B">
            <w:pPr>
              <w:pStyle w:val="Tabletext"/>
              <w:jc w:val="left"/>
              <w:rPr>
                <w:sz w:val="18"/>
                <w:szCs w:val="18"/>
                <w:lang w:val="es-ES_tradnl"/>
              </w:rPr>
            </w:pPr>
            <w:r w:rsidRPr="00253A39">
              <w:rPr>
                <w:sz w:val="18"/>
                <w:szCs w:val="18"/>
                <w:lang w:val="es-ES_tradnl"/>
              </w:rPr>
              <w:t>MDFO en el</w:t>
            </w:r>
            <w:r w:rsidR="00726D6B">
              <w:rPr>
                <w:sz w:val="18"/>
                <w:szCs w:val="18"/>
                <w:lang w:val="es-ES_tradnl"/>
              </w:rPr>
              <w:t> </w:t>
            </w:r>
            <w:r w:rsidRPr="00253A39">
              <w:rPr>
                <w:sz w:val="18"/>
                <w:szCs w:val="18"/>
                <w:lang w:val="es-ES_tradnl"/>
              </w:rPr>
              <w:t>enlace descendente SC-AMDF en el enlace ascendente</w:t>
            </w:r>
          </w:p>
        </w:tc>
        <w:tc>
          <w:tcPr>
            <w:tcW w:w="1160" w:type="dxa"/>
          </w:tcPr>
          <w:p w:rsidR="00253A39" w:rsidRPr="00253A39" w:rsidRDefault="00253A39" w:rsidP="00253A39">
            <w:pPr>
              <w:pStyle w:val="Tabletext"/>
              <w:jc w:val="left"/>
              <w:rPr>
                <w:sz w:val="18"/>
                <w:szCs w:val="18"/>
                <w:lang w:val="es-ES_tradnl"/>
              </w:rPr>
            </w:pPr>
            <w:r w:rsidRPr="00253A39">
              <w:rPr>
                <w:sz w:val="18"/>
                <w:szCs w:val="18"/>
                <w:lang w:val="es-ES_tradnl"/>
              </w:rPr>
              <w:t>10 ms duración de subtrama 1 ms</w:t>
            </w:r>
          </w:p>
        </w:tc>
        <w:tc>
          <w:tcPr>
            <w:tcW w:w="1118" w:type="dxa"/>
          </w:tcPr>
          <w:p w:rsidR="00253A39" w:rsidRPr="00BE3323" w:rsidRDefault="00253A39" w:rsidP="00253A39">
            <w:pPr>
              <w:pStyle w:val="Tabletext"/>
              <w:jc w:val="left"/>
              <w:rPr>
                <w:sz w:val="18"/>
                <w:szCs w:val="18"/>
              </w:rPr>
            </w:pPr>
            <w:r>
              <w:rPr>
                <w:sz w:val="18"/>
                <w:szCs w:val="18"/>
              </w:rPr>
              <w:t>Móvil</w:t>
            </w:r>
          </w:p>
        </w:tc>
      </w:tr>
      <w:tr w:rsidR="00253A39" w:rsidRPr="00BE3323" w:rsidTr="00253A39">
        <w:trPr>
          <w:cantSplit/>
          <w:jc w:val="center"/>
        </w:trPr>
        <w:tc>
          <w:tcPr>
            <w:tcW w:w="1531" w:type="dxa"/>
          </w:tcPr>
          <w:p w:rsidR="00253A39" w:rsidRPr="00BE3323" w:rsidRDefault="00253A39" w:rsidP="00726D6B">
            <w:pPr>
              <w:pStyle w:val="Tabletext"/>
              <w:jc w:val="left"/>
              <w:rPr>
                <w:sz w:val="18"/>
                <w:szCs w:val="18"/>
              </w:rPr>
            </w:pPr>
            <w:r w:rsidRPr="00BE3323">
              <w:rPr>
                <w:sz w:val="18"/>
                <w:szCs w:val="18"/>
              </w:rPr>
              <w:t>IEEE 802.20</w:t>
            </w:r>
            <w:r w:rsidR="00726D6B">
              <w:rPr>
                <w:sz w:val="18"/>
                <w:szCs w:val="18"/>
              </w:rPr>
              <w:br/>
            </w:r>
            <w:r w:rsidRPr="00BE3323">
              <w:rPr>
                <w:sz w:val="18"/>
                <w:szCs w:val="18"/>
              </w:rPr>
              <w:t>(Anexo 7)</w:t>
            </w:r>
          </w:p>
        </w:tc>
        <w:tc>
          <w:tcPr>
            <w:tcW w:w="1801" w:type="dxa"/>
          </w:tcPr>
          <w:p w:rsidR="00253A39" w:rsidRPr="00253A39" w:rsidRDefault="00253A39" w:rsidP="00253A39">
            <w:pPr>
              <w:pStyle w:val="Tabletext"/>
              <w:jc w:val="left"/>
              <w:rPr>
                <w:sz w:val="18"/>
                <w:szCs w:val="18"/>
                <w:lang w:val="es-ES_tradnl"/>
              </w:rPr>
            </w:pPr>
            <w:r w:rsidRPr="00253A39">
              <w:rPr>
                <w:sz w:val="18"/>
                <w:szCs w:val="18"/>
                <w:lang w:val="es-ES_tradnl"/>
              </w:rPr>
              <w:t>Flexible desde 625 kHz, hasta 20 MHz</w:t>
            </w:r>
          </w:p>
        </w:tc>
        <w:tc>
          <w:tcPr>
            <w:tcW w:w="2161" w:type="dxa"/>
          </w:tcPr>
          <w:p w:rsidR="00253A39" w:rsidRPr="00253A39" w:rsidRDefault="00253A39" w:rsidP="00253A39">
            <w:pPr>
              <w:pStyle w:val="Tabletext"/>
              <w:jc w:val="left"/>
              <w:rPr>
                <w:sz w:val="18"/>
                <w:szCs w:val="18"/>
                <w:lang w:val="es-ES_tradnl"/>
              </w:rPr>
            </w:pPr>
            <w:r w:rsidRPr="00253A39">
              <w:rPr>
                <w:sz w:val="18"/>
                <w:szCs w:val="18"/>
                <w:lang w:val="es-ES_tradnl"/>
              </w:rPr>
              <w:t>Modo banda ampliada:</w:t>
            </w:r>
          </w:p>
          <w:p w:rsidR="00253A39" w:rsidRPr="00253A39" w:rsidRDefault="00253A39" w:rsidP="00253A39">
            <w:pPr>
              <w:pStyle w:val="Tabletext"/>
              <w:jc w:val="left"/>
              <w:rPr>
                <w:sz w:val="18"/>
                <w:szCs w:val="18"/>
                <w:lang w:val="es-ES_tradnl"/>
              </w:rPr>
            </w:pPr>
            <w:r w:rsidRPr="00253A39">
              <w:rPr>
                <w:sz w:val="18"/>
                <w:szCs w:val="18"/>
                <w:lang w:val="es-ES_tradnl"/>
              </w:rPr>
              <w:t>Ascendente: MDP-4, 8-PSK, MAQ-16, MAQ-64</w:t>
            </w:r>
          </w:p>
          <w:p w:rsidR="00253A39" w:rsidRPr="00253A39" w:rsidRDefault="00253A39" w:rsidP="00253A39">
            <w:pPr>
              <w:pStyle w:val="Tabletext"/>
              <w:jc w:val="left"/>
              <w:rPr>
                <w:sz w:val="18"/>
                <w:szCs w:val="18"/>
                <w:lang w:val="es-ES_tradnl"/>
              </w:rPr>
            </w:pPr>
            <w:r w:rsidRPr="00253A39">
              <w:rPr>
                <w:sz w:val="18"/>
                <w:szCs w:val="18"/>
                <w:lang w:val="es-ES_tradnl"/>
              </w:rPr>
              <w:t>Descendente: MDP-4, MDP-8, MAQ-16 MAQ</w:t>
            </w:r>
            <w:r w:rsidRPr="00253A39">
              <w:rPr>
                <w:sz w:val="18"/>
                <w:szCs w:val="18"/>
                <w:lang w:val="es-ES_tradnl"/>
              </w:rPr>
              <w:noBreakHyphen/>
              <w:t>64</w:t>
            </w:r>
          </w:p>
          <w:p w:rsidR="00253A39" w:rsidRPr="00253A39" w:rsidRDefault="00253A39" w:rsidP="00253A39">
            <w:pPr>
              <w:pStyle w:val="Tabletext"/>
              <w:jc w:val="left"/>
              <w:rPr>
                <w:sz w:val="18"/>
                <w:szCs w:val="18"/>
                <w:lang w:val="es-ES_tradnl"/>
              </w:rPr>
            </w:pPr>
            <w:r w:rsidRPr="00253A39">
              <w:rPr>
                <w:sz w:val="18"/>
                <w:szCs w:val="18"/>
                <w:lang w:val="es-ES_tradnl"/>
              </w:rPr>
              <w:t>Modo 625 kHz:</w:t>
            </w:r>
          </w:p>
          <w:p w:rsidR="00253A39" w:rsidRPr="00253A39" w:rsidRDefault="00253A39" w:rsidP="00253A39">
            <w:pPr>
              <w:pStyle w:val="Tabletext"/>
              <w:jc w:val="left"/>
              <w:rPr>
                <w:sz w:val="18"/>
                <w:szCs w:val="18"/>
                <w:lang w:val="es-ES_tradnl"/>
              </w:rPr>
            </w:pPr>
            <w:r w:rsidRPr="00BE3323">
              <w:rPr>
                <w:sz w:val="18"/>
                <w:szCs w:val="18"/>
              </w:rPr>
              <w:t>π</w:t>
            </w:r>
            <w:r w:rsidRPr="00253A39">
              <w:rPr>
                <w:sz w:val="18"/>
                <w:szCs w:val="18"/>
                <w:lang w:val="es-ES_tradnl"/>
              </w:rPr>
              <w:t xml:space="preserve"> /2 MDP-4, MDP-4, MDP-8, MAQ-12, MAQ</w:t>
            </w:r>
            <w:r>
              <w:rPr>
                <w:sz w:val="18"/>
                <w:szCs w:val="18"/>
                <w:lang w:val="es-ES_tradnl"/>
              </w:rPr>
              <w:noBreakHyphen/>
            </w:r>
            <w:r w:rsidRPr="00253A39">
              <w:rPr>
                <w:sz w:val="18"/>
                <w:szCs w:val="18"/>
                <w:lang w:val="es-ES_tradnl"/>
              </w:rPr>
              <w:t>16, MAQ-24, MAQ-32, MAQ-64</w:t>
            </w:r>
            <w:r w:rsidRPr="00253A39">
              <w:rPr>
                <w:sz w:val="18"/>
                <w:szCs w:val="18"/>
                <w:lang w:val="es-ES_tradnl"/>
              </w:rPr>
              <w:noBreakHyphen/>
            </w:r>
          </w:p>
        </w:tc>
        <w:tc>
          <w:tcPr>
            <w:tcW w:w="1126" w:type="dxa"/>
          </w:tcPr>
          <w:p w:rsidR="00253A39" w:rsidRPr="00253A39" w:rsidRDefault="00253A39" w:rsidP="00253A39">
            <w:pPr>
              <w:pStyle w:val="Tabletext"/>
              <w:jc w:val="left"/>
              <w:rPr>
                <w:sz w:val="18"/>
                <w:szCs w:val="18"/>
                <w:lang w:val="es-ES_tradnl"/>
              </w:rPr>
            </w:pPr>
            <w:r w:rsidRPr="00253A39">
              <w:rPr>
                <w:sz w:val="18"/>
                <w:szCs w:val="18"/>
                <w:lang w:val="es-ES_tradnl"/>
              </w:rPr>
              <w:t>Convolu-</w:t>
            </w:r>
            <w:r w:rsidR="002E254C">
              <w:rPr>
                <w:sz w:val="18"/>
                <w:szCs w:val="18"/>
                <w:lang w:val="es-ES_tradnl"/>
              </w:rPr>
              <w:br/>
            </w:r>
            <w:r w:rsidRPr="00253A39">
              <w:rPr>
                <w:sz w:val="18"/>
                <w:szCs w:val="18"/>
                <w:lang w:val="es-ES_tradnl"/>
              </w:rPr>
              <w:t xml:space="preserve">cional, </w:t>
            </w:r>
            <w:r w:rsidR="00726D6B" w:rsidRPr="00253A39">
              <w:rPr>
                <w:sz w:val="18"/>
                <w:szCs w:val="18"/>
                <w:lang w:val="es-ES_tradnl"/>
              </w:rPr>
              <w:t>turbo</w:t>
            </w:r>
            <w:r w:rsidRPr="00253A39">
              <w:rPr>
                <w:sz w:val="18"/>
                <w:szCs w:val="18"/>
                <w:lang w:val="es-ES_tradnl"/>
              </w:rPr>
              <w:t xml:space="preserve">, código LDPC, código de verificación de paridad, código de Hamming ampliado </w:t>
            </w:r>
          </w:p>
        </w:tc>
        <w:tc>
          <w:tcPr>
            <w:tcW w:w="1466" w:type="dxa"/>
          </w:tcPr>
          <w:p w:rsidR="00253A39" w:rsidRPr="00253A39" w:rsidRDefault="00253A39" w:rsidP="00253A39">
            <w:pPr>
              <w:pStyle w:val="Tabletext"/>
              <w:jc w:val="left"/>
              <w:rPr>
                <w:sz w:val="18"/>
                <w:szCs w:val="18"/>
                <w:lang w:val="es-ES_tradnl"/>
              </w:rPr>
            </w:pPr>
            <w:r w:rsidRPr="00253A39">
              <w:rPr>
                <w:sz w:val="18"/>
                <w:szCs w:val="18"/>
                <w:lang w:val="es-ES_tradnl"/>
              </w:rPr>
              <w:t>Velocidades máximas de 288 Mbit/s en enlace descendente y 75 Mbit/s en enlace ascendente en 20 MHz</w:t>
            </w:r>
          </w:p>
        </w:tc>
        <w:tc>
          <w:tcPr>
            <w:tcW w:w="942" w:type="dxa"/>
          </w:tcPr>
          <w:p w:rsidR="00253A39" w:rsidRPr="00253A39" w:rsidRDefault="00253A39" w:rsidP="004C7EA7">
            <w:pPr>
              <w:pStyle w:val="Tabletext"/>
              <w:ind w:right="-57"/>
              <w:jc w:val="left"/>
              <w:rPr>
                <w:sz w:val="18"/>
                <w:szCs w:val="18"/>
                <w:lang w:val="es-ES_tradnl"/>
              </w:rPr>
            </w:pPr>
            <w:r w:rsidRPr="00253A39">
              <w:rPr>
                <w:sz w:val="18"/>
                <w:szCs w:val="18"/>
                <w:lang w:val="es-ES_tradnl"/>
              </w:rPr>
              <w:t>Sí: AMDE, y soporte de confor</w:t>
            </w:r>
            <w:r w:rsidR="004C7EA7">
              <w:rPr>
                <w:sz w:val="18"/>
                <w:szCs w:val="18"/>
                <w:lang w:val="es-ES_tradnl"/>
              </w:rPr>
              <w:t>ma-</w:t>
            </w:r>
            <w:r w:rsidR="004C7EA7">
              <w:rPr>
                <w:sz w:val="18"/>
                <w:szCs w:val="18"/>
                <w:lang w:val="es-ES_tradnl"/>
              </w:rPr>
              <w:br/>
            </w:r>
            <w:r w:rsidRPr="00253A39">
              <w:rPr>
                <w:sz w:val="18"/>
                <w:szCs w:val="18"/>
                <w:lang w:val="es-ES_tradnl"/>
              </w:rPr>
              <w:t xml:space="preserve">ción de haz en enlaces directo e inverso </w:t>
            </w:r>
          </w:p>
        </w:tc>
        <w:tc>
          <w:tcPr>
            <w:tcW w:w="981" w:type="dxa"/>
          </w:tcPr>
          <w:p w:rsidR="00253A39" w:rsidRPr="00253A39" w:rsidRDefault="00253A39" w:rsidP="00253A39">
            <w:pPr>
              <w:pStyle w:val="Tabletext"/>
              <w:jc w:val="left"/>
              <w:rPr>
                <w:sz w:val="18"/>
                <w:szCs w:val="18"/>
                <w:lang w:val="es-ES_tradnl"/>
              </w:rPr>
            </w:pPr>
            <w:r w:rsidRPr="00253A39">
              <w:rPr>
                <w:sz w:val="18"/>
                <w:szCs w:val="18"/>
                <w:lang w:val="es-ES_tradnl"/>
              </w:rPr>
              <w:t xml:space="preserve">Sí: Soporta MIMO con palabra código única y múltiples palabras código </w:t>
            </w:r>
          </w:p>
        </w:tc>
        <w:tc>
          <w:tcPr>
            <w:tcW w:w="1033" w:type="dxa"/>
          </w:tcPr>
          <w:p w:rsidR="00253A39" w:rsidRPr="00BE3323" w:rsidRDefault="00253A39" w:rsidP="00253A39">
            <w:pPr>
              <w:pStyle w:val="Tabletext"/>
              <w:jc w:val="left"/>
              <w:rPr>
                <w:sz w:val="18"/>
                <w:szCs w:val="18"/>
              </w:rPr>
            </w:pPr>
            <w:r w:rsidRPr="00BE3323">
              <w:rPr>
                <w:sz w:val="18"/>
                <w:szCs w:val="18"/>
              </w:rPr>
              <w:t>DDT</w:t>
            </w:r>
            <w:r w:rsidRPr="00BE3323">
              <w:rPr>
                <w:sz w:val="18"/>
                <w:szCs w:val="18"/>
              </w:rPr>
              <w:br/>
              <w:t>DDF</w:t>
            </w:r>
          </w:p>
          <w:p w:rsidR="00253A39" w:rsidRPr="00BE3323" w:rsidRDefault="00253A39" w:rsidP="00253A39">
            <w:pPr>
              <w:pStyle w:val="Tabletext"/>
              <w:jc w:val="left"/>
              <w:rPr>
                <w:sz w:val="18"/>
                <w:szCs w:val="18"/>
              </w:rPr>
            </w:pPr>
            <w:r w:rsidRPr="00BE3323">
              <w:rPr>
                <w:sz w:val="18"/>
                <w:szCs w:val="18"/>
              </w:rPr>
              <w:t>DDFH</w:t>
            </w:r>
          </w:p>
        </w:tc>
        <w:tc>
          <w:tcPr>
            <w:tcW w:w="1145" w:type="dxa"/>
          </w:tcPr>
          <w:p w:rsidR="00253A39" w:rsidRPr="00BE3323" w:rsidRDefault="00253A39" w:rsidP="00253A39">
            <w:pPr>
              <w:pStyle w:val="Tabletext"/>
              <w:jc w:val="left"/>
              <w:rPr>
                <w:sz w:val="18"/>
                <w:szCs w:val="18"/>
              </w:rPr>
            </w:pPr>
            <w:r w:rsidRPr="00BE3323">
              <w:rPr>
                <w:sz w:val="18"/>
                <w:szCs w:val="18"/>
              </w:rPr>
              <w:t>A</w:t>
            </w:r>
            <w:r>
              <w:rPr>
                <w:sz w:val="18"/>
                <w:szCs w:val="18"/>
              </w:rPr>
              <w:t>MDFO</w:t>
            </w:r>
            <w:r w:rsidRPr="00BE3323">
              <w:rPr>
                <w:sz w:val="18"/>
                <w:szCs w:val="18"/>
              </w:rPr>
              <w:br/>
              <w:t>AMDT/ AMDF/ AMDE</w:t>
            </w:r>
          </w:p>
        </w:tc>
        <w:tc>
          <w:tcPr>
            <w:tcW w:w="1160" w:type="dxa"/>
          </w:tcPr>
          <w:p w:rsidR="00253A39" w:rsidRPr="00253A39" w:rsidRDefault="00253A39" w:rsidP="00253A39">
            <w:pPr>
              <w:pStyle w:val="Tabletext"/>
              <w:jc w:val="left"/>
              <w:rPr>
                <w:sz w:val="18"/>
                <w:szCs w:val="18"/>
                <w:lang w:val="es-ES_tradnl"/>
              </w:rPr>
            </w:pPr>
            <w:r w:rsidRPr="00253A39">
              <w:rPr>
                <w:sz w:val="18"/>
                <w:szCs w:val="18"/>
                <w:lang w:val="es-ES_tradnl"/>
              </w:rPr>
              <w:t xml:space="preserve">Modo banda amplia: 0,911 ms </w:t>
            </w:r>
          </w:p>
          <w:p w:rsidR="00253A39" w:rsidRPr="00253A39" w:rsidRDefault="00253A39" w:rsidP="00253A39">
            <w:pPr>
              <w:pStyle w:val="Tabletext"/>
              <w:jc w:val="left"/>
              <w:rPr>
                <w:sz w:val="18"/>
                <w:szCs w:val="18"/>
                <w:lang w:val="es-ES_tradnl"/>
              </w:rPr>
            </w:pPr>
            <w:r w:rsidRPr="00253A39">
              <w:rPr>
                <w:sz w:val="18"/>
                <w:szCs w:val="18"/>
                <w:lang w:val="es-ES_tradnl"/>
              </w:rPr>
              <w:t>Modo 625 kHz: 5 ms</w:t>
            </w:r>
          </w:p>
        </w:tc>
        <w:tc>
          <w:tcPr>
            <w:tcW w:w="1118" w:type="dxa"/>
          </w:tcPr>
          <w:p w:rsidR="00253A39" w:rsidRPr="00BE3323" w:rsidRDefault="00253A39" w:rsidP="00253A39">
            <w:pPr>
              <w:pStyle w:val="Tabletext"/>
              <w:jc w:val="left"/>
              <w:rPr>
                <w:sz w:val="18"/>
                <w:szCs w:val="18"/>
              </w:rPr>
            </w:pPr>
            <w:r w:rsidRPr="00BE3323">
              <w:rPr>
                <w:sz w:val="18"/>
                <w:szCs w:val="18"/>
              </w:rPr>
              <w:t>Móvil</w:t>
            </w:r>
          </w:p>
        </w:tc>
      </w:tr>
    </w:tbl>
    <w:p w:rsidR="00C3372A" w:rsidRDefault="00C3372A"/>
    <w:p w:rsidR="00C3372A" w:rsidRDefault="00C3372A" w:rsidP="00A34F7B">
      <w:pPr>
        <w:pStyle w:val="TableNo"/>
        <w:rPr>
          <w:caps/>
        </w:rPr>
      </w:pPr>
      <w:r w:rsidRPr="00BE3323">
        <w:lastRenderedPageBreak/>
        <w:t>CUADRO 5 (</w:t>
      </w:r>
      <w:r w:rsidR="00A34F7B">
        <w:rPr>
          <w:i/>
          <w:iCs/>
        </w:rPr>
        <w:t>fin</w:t>
      </w:r>
      <w:r w:rsidRPr="00BE3323">
        <w:t>)</w:t>
      </w:r>
    </w:p>
    <w:tbl>
      <w:tblPr>
        <w:tblW w:w="14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1802"/>
        <w:gridCol w:w="2162"/>
        <w:gridCol w:w="1126"/>
        <w:gridCol w:w="1467"/>
        <w:gridCol w:w="942"/>
        <w:gridCol w:w="981"/>
        <w:gridCol w:w="1033"/>
        <w:gridCol w:w="1145"/>
        <w:gridCol w:w="1160"/>
        <w:gridCol w:w="1118"/>
      </w:tblGrid>
      <w:tr w:rsidR="00C3372A" w:rsidRPr="00DA2419" w:rsidTr="00C3372A">
        <w:trPr>
          <w:cantSplit/>
          <w:jc w:val="center"/>
        </w:trPr>
        <w:tc>
          <w:tcPr>
            <w:tcW w:w="1531" w:type="dxa"/>
            <w:tcBorders>
              <w:top w:val="single" w:sz="4" w:space="0" w:color="auto"/>
              <w:left w:val="single" w:sz="4" w:space="0" w:color="auto"/>
              <w:bottom w:val="single" w:sz="4" w:space="0" w:color="auto"/>
              <w:right w:val="single" w:sz="4" w:space="0" w:color="auto"/>
            </w:tcBorders>
            <w:vAlign w:val="center"/>
          </w:tcPr>
          <w:p w:rsidR="00C3372A" w:rsidRPr="00640AE2" w:rsidRDefault="00C3372A" w:rsidP="00513EDD">
            <w:pPr>
              <w:pStyle w:val="Tablehead"/>
              <w:rPr>
                <w:sz w:val="18"/>
                <w:szCs w:val="18"/>
              </w:rPr>
            </w:pPr>
            <w:r w:rsidRPr="00640AE2">
              <w:rPr>
                <w:sz w:val="18"/>
                <w:szCs w:val="18"/>
              </w:rPr>
              <w:t>Norma</w:t>
            </w:r>
          </w:p>
        </w:tc>
        <w:tc>
          <w:tcPr>
            <w:tcW w:w="1801" w:type="dxa"/>
            <w:tcBorders>
              <w:top w:val="single" w:sz="4" w:space="0" w:color="auto"/>
              <w:left w:val="single" w:sz="4" w:space="0" w:color="auto"/>
              <w:bottom w:val="single" w:sz="4" w:space="0" w:color="auto"/>
              <w:right w:val="single" w:sz="4" w:space="0" w:color="auto"/>
            </w:tcBorders>
            <w:vAlign w:val="center"/>
          </w:tcPr>
          <w:p w:rsidR="00C3372A" w:rsidRPr="00253A39" w:rsidRDefault="00C3372A" w:rsidP="00513EDD">
            <w:pPr>
              <w:pStyle w:val="Tablehead"/>
              <w:rPr>
                <w:sz w:val="18"/>
                <w:szCs w:val="18"/>
                <w:lang w:val="es-ES_tradnl"/>
              </w:rPr>
            </w:pPr>
            <w:r w:rsidRPr="00253A39">
              <w:rPr>
                <w:sz w:val="18"/>
                <w:szCs w:val="18"/>
                <w:lang w:val="es-ES_tradnl"/>
              </w:rPr>
              <w:t>Anchura de banda del canal RF</w:t>
            </w:r>
            <w:r w:rsidRPr="00253A39">
              <w:rPr>
                <w:sz w:val="18"/>
                <w:szCs w:val="18"/>
                <w:lang w:val="es-ES_tradnl"/>
              </w:rPr>
              <w:br/>
              <w:t>nominal</w:t>
            </w:r>
          </w:p>
        </w:tc>
        <w:tc>
          <w:tcPr>
            <w:tcW w:w="2161" w:type="dxa"/>
            <w:tcBorders>
              <w:top w:val="single" w:sz="4" w:space="0" w:color="auto"/>
              <w:left w:val="single" w:sz="4" w:space="0" w:color="auto"/>
              <w:bottom w:val="single" w:sz="4" w:space="0" w:color="auto"/>
              <w:right w:val="single" w:sz="4" w:space="0" w:color="auto"/>
            </w:tcBorders>
            <w:vAlign w:val="center"/>
          </w:tcPr>
          <w:p w:rsidR="00C3372A" w:rsidRPr="00253A39" w:rsidRDefault="00C3372A" w:rsidP="00513EDD">
            <w:pPr>
              <w:pStyle w:val="Tablehead"/>
              <w:rPr>
                <w:sz w:val="18"/>
                <w:szCs w:val="18"/>
                <w:lang w:val="es-ES_tradnl"/>
              </w:rPr>
            </w:pPr>
            <w:r w:rsidRPr="00253A39">
              <w:rPr>
                <w:sz w:val="18"/>
                <w:szCs w:val="18"/>
                <w:lang w:val="es-ES_tradnl"/>
              </w:rPr>
              <w:t>Modulación/velocidad de codificación(1)</w:t>
            </w:r>
          </w:p>
          <w:p w:rsidR="00C3372A" w:rsidRPr="00253A39" w:rsidRDefault="00C3372A" w:rsidP="00513EDD">
            <w:pPr>
              <w:pStyle w:val="Tablehead"/>
              <w:tabs>
                <w:tab w:val="clear" w:pos="284"/>
                <w:tab w:val="clear" w:pos="567"/>
              </w:tabs>
              <w:ind w:left="99" w:hanging="142"/>
              <w:rPr>
                <w:sz w:val="18"/>
                <w:szCs w:val="18"/>
                <w:lang w:val="es-ES_tradnl"/>
              </w:rPr>
            </w:pPr>
            <w:r w:rsidRPr="00253A39">
              <w:rPr>
                <w:sz w:val="18"/>
                <w:szCs w:val="18"/>
                <w:lang w:val="es-ES_tradnl"/>
              </w:rPr>
              <w:t>–</w:t>
            </w:r>
            <w:r w:rsidRPr="00253A39">
              <w:rPr>
                <w:sz w:val="18"/>
                <w:szCs w:val="18"/>
                <w:lang w:val="es-ES_tradnl"/>
              </w:rPr>
              <w:tab/>
              <w:t>en sentido ascendente</w:t>
            </w:r>
          </w:p>
          <w:p w:rsidR="00C3372A" w:rsidRPr="00640AE2" w:rsidRDefault="00C3372A" w:rsidP="00513EDD">
            <w:pPr>
              <w:pStyle w:val="Tablehead"/>
              <w:tabs>
                <w:tab w:val="clear" w:pos="284"/>
                <w:tab w:val="clear" w:pos="567"/>
              </w:tabs>
              <w:ind w:left="99" w:hanging="142"/>
              <w:rPr>
                <w:sz w:val="18"/>
                <w:szCs w:val="18"/>
              </w:rPr>
            </w:pPr>
            <w:r w:rsidRPr="00640AE2">
              <w:rPr>
                <w:sz w:val="18"/>
                <w:szCs w:val="18"/>
              </w:rPr>
              <w:t>–</w:t>
            </w:r>
            <w:r>
              <w:rPr>
                <w:sz w:val="18"/>
                <w:szCs w:val="18"/>
              </w:rPr>
              <w:tab/>
            </w:r>
            <w:r w:rsidRPr="00640AE2">
              <w:rPr>
                <w:sz w:val="18"/>
                <w:szCs w:val="18"/>
              </w:rPr>
              <w:t>en sentido descendente</w:t>
            </w:r>
          </w:p>
        </w:tc>
        <w:tc>
          <w:tcPr>
            <w:tcW w:w="1126" w:type="dxa"/>
            <w:tcBorders>
              <w:top w:val="single" w:sz="4" w:space="0" w:color="auto"/>
              <w:left w:val="single" w:sz="4" w:space="0" w:color="auto"/>
              <w:bottom w:val="single" w:sz="4" w:space="0" w:color="auto"/>
              <w:right w:val="single" w:sz="4" w:space="0" w:color="auto"/>
            </w:tcBorders>
            <w:vAlign w:val="center"/>
          </w:tcPr>
          <w:p w:rsidR="00C3372A" w:rsidRPr="00640AE2" w:rsidRDefault="00C3372A" w:rsidP="00513EDD">
            <w:pPr>
              <w:pStyle w:val="Tablehead"/>
              <w:ind w:left="-57"/>
              <w:rPr>
                <w:sz w:val="18"/>
                <w:szCs w:val="18"/>
              </w:rPr>
            </w:pPr>
            <w:r w:rsidRPr="00640AE2">
              <w:rPr>
                <w:sz w:val="18"/>
                <w:szCs w:val="18"/>
              </w:rPr>
              <w:t>Soporte de codificación</w:t>
            </w:r>
          </w:p>
        </w:tc>
        <w:tc>
          <w:tcPr>
            <w:tcW w:w="1466" w:type="dxa"/>
            <w:tcBorders>
              <w:top w:val="single" w:sz="4" w:space="0" w:color="auto"/>
              <w:left w:val="single" w:sz="4" w:space="0" w:color="auto"/>
              <w:bottom w:val="single" w:sz="4" w:space="0" w:color="auto"/>
              <w:right w:val="single" w:sz="4" w:space="0" w:color="auto"/>
            </w:tcBorders>
            <w:vAlign w:val="center"/>
          </w:tcPr>
          <w:p w:rsidR="00C3372A" w:rsidRPr="00253A39" w:rsidRDefault="00C3372A" w:rsidP="00513EDD">
            <w:pPr>
              <w:pStyle w:val="Tablehead"/>
              <w:rPr>
                <w:sz w:val="18"/>
                <w:szCs w:val="18"/>
                <w:lang w:val="es-ES_tradnl"/>
              </w:rPr>
            </w:pPr>
            <w:r w:rsidRPr="00253A39">
              <w:rPr>
                <w:sz w:val="18"/>
                <w:szCs w:val="18"/>
                <w:lang w:val="es-ES_tradnl"/>
              </w:rPr>
              <w:t>Velocidad de transmisión de canal de pico por canal de 5 MHz (salvo</w:t>
            </w:r>
            <w:r>
              <w:rPr>
                <w:sz w:val="18"/>
                <w:szCs w:val="18"/>
                <w:lang w:val="es-ES_tradnl"/>
              </w:rPr>
              <w:t> </w:t>
            </w:r>
            <w:r w:rsidRPr="00253A39">
              <w:rPr>
                <w:sz w:val="18"/>
                <w:szCs w:val="18"/>
                <w:lang w:val="es-ES_tradnl"/>
              </w:rPr>
              <w:t>cuando</w:t>
            </w:r>
            <w:r w:rsidRPr="00253A39">
              <w:rPr>
                <w:sz w:val="18"/>
                <w:szCs w:val="18"/>
                <w:lang w:val="es-ES_tradnl"/>
              </w:rPr>
              <w:br/>
              <w:t>se indica)</w:t>
            </w:r>
          </w:p>
        </w:tc>
        <w:tc>
          <w:tcPr>
            <w:tcW w:w="942" w:type="dxa"/>
            <w:tcBorders>
              <w:top w:val="single" w:sz="4" w:space="0" w:color="auto"/>
              <w:left w:val="single" w:sz="4" w:space="0" w:color="auto"/>
              <w:bottom w:val="single" w:sz="4" w:space="0" w:color="auto"/>
              <w:right w:val="single" w:sz="4" w:space="0" w:color="auto"/>
            </w:tcBorders>
            <w:vAlign w:val="center"/>
          </w:tcPr>
          <w:p w:rsidR="00C3372A" w:rsidRPr="00253A39" w:rsidRDefault="00C3372A" w:rsidP="00513EDD">
            <w:pPr>
              <w:pStyle w:val="Tablehead"/>
              <w:ind w:left="-57" w:right="-57"/>
              <w:rPr>
                <w:sz w:val="18"/>
                <w:szCs w:val="18"/>
                <w:lang w:val="es-ES_tradnl"/>
              </w:rPr>
            </w:pPr>
            <w:r w:rsidRPr="00253A39">
              <w:rPr>
                <w:sz w:val="18"/>
                <w:szCs w:val="18"/>
                <w:lang w:val="es-ES_tradnl"/>
              </w:rPr>
              <w:t>Soporta formación de haz (sí/no)</w:t>
            </w:r>
          </w:p>
        </w:tc>
        <w:tc>
          <w:tcPr>
            <w:tcW w:w="981" w:type="dxa"/>
            <w:tcBorders>
              <w:top w:val="single" w:sz="4" w:space="0" w:color="auto"/>
              <w:left w:val="single" w:sz="4" w:space="0" w:color="auto"/>
              <w:bottom w:val="single" w:sz="4" w:space="0" w:color="auto"/>
              <w:right w:val="single" w:sz="4" w:space="0" w:color="auto"/>
            </w:tcBorders>
            <w:vAlign w:val="center"/>
          </w:tcPr>
          <w:p w:rsidR="00C3372A" w:rsidRPr="00640AE2" w:rsidRDefault="00C3372A" w:rsidP="00513EDD">
            <w:pPr>
              <w:pStyle w:val="Tablehead"/>
              <w:rPr>
                <w:sz w:val="18"/>
                <w:szCs w:val="18"/>
              </w:rPr>
            </w:pPr>
            <w:r w:rsidRPr="00640AE2">
              <w:rPr>
                <w:sz w:val="18"/>
                <w:szCs w:val="18"/>
              </w:rPr>
              <w:t>Soporta MIMO (sí/no)</w:t>
            </w:r>
          </w:p>
        </w:tc>
        <w:tc>
          <w:tcPr>
            <w:tcW w:w="1033" w:type="dxa"/>
            <w:tcBorders>
              <w:top w:val="single" w:sz="4" w:space="0" w:color="auto"/>
              <w:left w:val="single" w:sz="4" w:space="0" w:color="auto"/>
              <w:bottom w:val="single" w:sz="4" w:space="0" w:color="auto"/>
              <w:right w:val="single" w:sz="4" w:space="0" w:color="auto"/>
            </w:tcBorders>
            <w:vAlign w:val="center"/>
          </w:tcPr>
          <w:p w:rsidR="00C3372A" w:rsidRPr="00640AE2" w:rsidRDefault="00C3372A" w:rsidP="00513EDD">
            <w:pPr>
              <w:pStyle w:val="Tablehead"/>
              <w:rPr>
                <w:sz w:val="18"/>
                <w:szCs w:val="18"/>
              </w:rPr>
            </w:pPr>
            <w:r w:rsidRPr="00640AE2">
              <w:rPr>
                <w:sz w:val="18"/>
                <w:szCs w:val="18"/>
              </w:rPr>
              <w:t>Método dúplex</w:t>
            </w:r>
          </w:p>
        </w:tc>
        <w:tc>
          <w:tcPr>
            <w:tcW w:w="1145" w:type="dxa"/>
            <w:tcBorders>
              <w:top w:val="single" w:sz="4" w:space="0" w:color="auto"/>
              <w:left w:val="single" w:sz="4" w:space="0" w:color="auto"/>
              <w:bottom w:val="single" w:sz="4" w:space="0" w:color="auto"/>
              <w:right w:val="single" w:sz="4" w:space="0" w:color="auto"/>
            </w:tcBorders>
            <w:vAlign w:val="center"/>
          </w:tcPr>
          <w:p w:rsidR="00C3372A" w:rsidRPr="00640AE2" w:rsidRDefault="00C3372A" w:rsidP="00513EDD">
            <w:pPr>
              <w:pStyle w:val="Tablehead"/>
              <w:rPr>
                <w:sz w:val="18"/>
                <w:szCs w:val="18"/>
              </w:rPr>
            </w:pPr>
            <w:r w:rsidRPr="00640AE2">
              <w:rPr>
                <w:sz w:val="18"/>
                <w:szCs w:val="18"/>
              </w:rPr>
              <w:t>Método</w:t>
            </w:r>
            <w:r w:rsidRPr="00640AE2">
              <w:rPr>
                <w:sz w:val="18"/>
                <w:szCs w:val="18"/>
              </w:rPr>
              <w:br/>
              <w:t>de acceso múltiple</w:t>
            </w:r>
          </w:p>
        </w:tc>
        <w:tc>
          <w:tcPr>
            <w:tcW w:w="1160" w:type="dxa"/>
            <w:tcBorders>
              <w:top w:val="single" w:sz="4" w:space="0" w:color="auto"/>
              <w:left w:val="single" w:sz="4" w:space="0" w:color="auto"/>
              <w:bottom w:val="single" w:sz="4" w:space="0" w:color="auto"/>
              <w:right w:val="single" w:sz="4" w:space="0" w:color="auto"/>
            </w:tcBorders>
            <w:vAlign w:val="center"/>
          </w:tcPr>
          <w:p w:rsidR="00C3372A" w:rsidRPr="00640AE2" w:rsidRDefault="00C3372A" w:rsidP="00513EDD">
            <w:pPr>
              <w:pStyle w:val="Tablehead"/>
              <w:rPr>
                <w:sz w:val="18"/>
                <w:szCs w:val="18"/>
              </w:rPr>
            </w:pPr>
            <w:r w:rsidRPr="00640AE2">
              <w:rPr>
                <w:sz w:val="18"/>
                <w:szCs w:val="18"/>
              </w:rPr>
              <w:t>Duración</w:t>
            </w:r>
            <w:r w:rsidRPr="00640AE2">
              <w:rPr>
                <w:sz w:val="18"/>
                <w:szCs w:val="18"/>
              </w:rPr>
              <w:br/>
              <w:t>de trama</w:t>
            </w:r>
          </w:p>
        </w:tc>
        <w:tc>
          <w:tcPr>
            <w:tcW w:w="1118" w:type="dxa"/>
            <w:tcBorders>
              <w:top w:val="single" w:sz="4" w:space="0" w:color="auto"/>
              <w:left w:val="single" w:sz="4" w:space="0" w:color="auto"/>
              <w:bottom w:val="single" w:sz="4" w:space="0" w:color="auto"/>
              <w:right w:val="single" w:sz="4" w:space="0" w:color="auto"/>
            </w:tcBorders>
            <w:vAlign w:val="center"/>
          </w:tcPr>
          <w:p w:rsidR="00C3372A" w:rsidRPr="00253A39" w:rsidRDefault="00C3372A" w:rsidP="00513EDD">
            <w:pPr>
              <w:pStyle w:val="Tablehead"/>
              <w:rPr>
                <w:sz w:val="18"/>
                <w:szCs w:val="18"/>
                <w:lang w:val="es-ES_tradnl"/>
              </w:rPr>
            </w:pPr>
            <w:r w:rsidRPr="00253A39">
              <w:rPr>
                <w:sz w:val="18"/>
                <w:szCs w:val="18"/>
                <w:lang w:val="es-ES_tradnl"/>
              </w:rPr>
              <w:t>Capacidad de movilidad (nómada/</w:t>
            </w:r>
            <w:r w:rsidRPr="00253A39">
              <w:rPr>
                <w:sz w:val="18"/>
                <w:szCs w:val="18"/>
                <w:lang w:val="es-ES_tradnl"/>
              </w:rPr>
              <w:br/>
              <w:t>móvil)</w:t>
            </w:r>
          </w:p>
        </w:tc>
      </w:tr>
      <w:tr w:rsidR="00C3372A" w:rsidRPr="00C3372A" w:rsidTr="00C3372A">
        <w:trPr>
          <w:cantSplit/>
          <w:jc w:val="center"/>
        </w:trPr>
        <w:tc>
          <w:tcPr>
            <w:tcW w:w="1531" w:type="dxa"/>
          </w:tcPr>
          <w:p w:rsidR="00C3372A" w:rsidRPr="00C3372A" w:rsidRDefault="00C3372A" w:rsidP="00513EDD">
            <w:pPr>
              <w:pStyle w:val="Tabletext"/>
              <w:jc w:val="left"/>
              <w:rPr>
                <w:sz w:val="18"/>
                <w:szCs w:val="18"/>
                <w:lang w:val="es-ES_tradnl"/>
              </w:rPr>
            </w:pPr>
            <w:r w:rsidRPr="0084003C">
              <w:rPr>
                <w:sz w:val="18"/>
                <w:szCs w:val="18"/>
                <w:lang w:val="es-ES"/>
              </w:rPr>
              <w:t>YD/T 1956-2009</w:t>
            </w:r>
            <w:r>
              <w:rPr>
                <w:sz w:val="18"/>
                <w:szCs w:val="18"/>
                <w:lang w:val="es-ES"/>
              </w:rPr>
              <w:br/>
            </w:r>
            <w:r w:rsidRPr="0084003C">
              <w:rPr>
                <w:sz w:val="18"/>
                <w:szCs w:val="18"/>
                <w:lang w:val="es-ES"/>
              </w:rPr>
              <w:t xml:space="preserve">Interfaz aérea de la norma del sistema de acceso inalámbrico de banda ancha AMDC sincronizada </w:t>
            </w:r>
            <w:r w:rsidRPr="0084003C">
              <w:rPr>
                <w:sz w:val="18"/>
                <w:szCs w:val="18"/>
                <w:lang w:val="es-ES"/>
              </w:rPr>
              <w:br/>
              <w:t>(Anexo 7)</w:t>
            </w:r>
          </w:p>
        </w:tc>
        <w:tc>
          <w:tcPr>
            <w:tcW w:w="1801" w:type="dxa"/>
          </w:tcPr>
          <w:p w:rsidR="00C3372A" w:rsidRPr="00253A39" w:rsidRDefault="00C3372A" w:rsidP="00513EDD">
            <w:pPr>
              <w:pStyle w:val="Tabletext"/>
              <w:jc w:val="left"/>
              <w:rPr>
                <w:sz w:val="18"/>
                <w:szCs w:val="18"/>
                <w:lang w:val="es-ES_tradnl"/>
              </w:rPr>
            </w:pPr>
            <w:r w:rsidRPr="0084003C">
              <w:rPr>
                <w:sz w:val="18"/>
                <w:szCs w:val="18"/>
                <w:lang w:val="es-ES"/>
              </w:rPr>
              <w:t>Múltiplos de 1 MHz hasta 5 MHz</w:t>
            </w:r>
          </w:p>
        </w:tc>
        <w:tc>
          <w:tcPr>
            <w:tcW w:w="2161" w:type="dxa"/>
          </w:tcPr>
          <w:p w:rsidR="00C3372A" w:rsidRPr="00C3372A" w:rsidRDefault="00C3372A" w:rsidP="00C3372A">
            <w:pPr>
              <w:pStyle w:val="Tabletext"/>
              <w:jc w:val="left"/>
              <w:rPr>
                <w:sz w:val="18"/>
                <w:szCs w:val="18"/>
                <w:lang w:val="es-ES"/>
              </w:rPr>
            </w:pPr>
            <w:r w:rsidRPr="0084003C">
              <w:rPr>
                <w:sz w:val="18"/>
                <w:szCs w:val="18"/>
                <w:lang w:val="es-ES"/>
              </w:rPr>
              <w:t>QPSK, MDP-8, MAQ-16, MAQ-64</w:t>
            </w:r>
          </w:p>
        </w:tc>
        <w:tc>
          <w:tcPr>
            <w:tcW w:w="1126" w:type="dxa"/>
          </w:tcPr>
          <w:p w:rsidR="00C3372A" w:rsidRPr="00253A39" w:rsidRDefault="00C3372A" w:rsidP="00513EDD">
            <w:pPr>
              <w:pStyle w:val="Tabletext"/>
              <w:jc w:val="left"/>
              <w:rPr>
                <w:sz w:val="18"/>
                <w:szCs w:val="18"/>
                <w:lang w:val="es-ES_tradnl"/>
              </w:rPr>
            </w:pPr>
            <w:r w:rsidRPr="0084003C">
              <w:rPr>
                <w:sz w:val="18"/>
                <w:szCs w:val="18"/>
                <w:lang w:val="es-ES"/>
              </w:rPr>
              <w:t>Reed-Solomon</w:t>
            </w:r>
          </w:p>
        </w:tc>
        <w:tc>
          <w:tcPr>
            <w:tcW w:w="1466" w:type="dxa"/>
          </w:tcPr>
          <w:p w:rsidR="00C3372A" w:rsidRPr="00253A39" w:rsidRDefault="00C3372A" w:rsidP="00513EDD">
            <w:pPr>
              <w:pStyle w:val="Tabletext"/>
              <w:jc w:val="left"/>
              <w:rPr>
                <w:sz w:val="18"/>
                <w:szCs w:val="18"/>
                <w:lang w:val="es-ES_tradnl"/>
              </w:rPr>
            </w:pPr>
            <w:r w:rsidRPr="0084003C">
              <w:rPr>
                <w:sz w:val="18"/>
                <w:szCs w:val="18"/>
                <w:lang w:val="es-ES"/>
              </w:rPr>
              <w:t>15 Mbit/s en 5 MHz</w:t>
            </w:r>
          </w:p>
        </w:tc>
        <w:tc>
          <w:tcPr>
            <w:tcW w:w="942" w:type="dxa"/>
          </w:tcPr>
          <w:p w:rsidR="00C3372A" w:rsidRPr="00C3372A" w:rsidRDefault="00C3372A" w:rsidP="00513EDD">
            <w:pPr>
              <w:pStyle w:val="Tabletext"/>
              <w:jc w:val="left"/>
              <w:rPr>
                <w:sz w:val="18"/>
                <w:szCs w:val="18"/>
                <w:lang w:val="es-ES_tradnl"/>
              </w:rPr>
            </w:pPr>
            <w:r w:rsidRPr="0084003C">
              <w:rPr>
                <w:sz w:val="18"/>
                <w:szCs w:val="18"/>
                <w:lang w:val="es-ES"/>
              </w:rPr>
              <w:t>Sí</w:t>
            </w:r>
          </w:p>
        </w:tc>
        <w:tc>
          <w:tcPr>
            <w:tcW w:w="981" w:type="dxa"/>
          </w:tcPr>
          <w:p w:rsidR="00C3372A" w:rsidRPr="00C3372A" w:rsidRDefault="00C3372A" w:rsidP="00513EDD">
            <w:pPr>
              <w:pStyle w:val="Tabletext"/>
              <w:jc w:val="left"/>
              <w:rPr>
                <w:sz w:val="18"/>
                <w:szCs w:val="18"/>
                <w:lang w:val="es-ES_tradnl"/>
              </w:rPr>
            </w:pPr>
            <w:r w:rsidRPr="0084003C">
              <w:rPr>
                <w:sz w:val="18"/>
                <w:szCs w:val="18"/>
                <w:lang w:val="es-ES"/>
              </w:rPr>
              <w:t>Sí</w:t>
            </w:r>
          </w:p>
        </w:tc>
        <w:tc>
          <w:tcPr>
            <w:tcW w:w="1033" w:type="dxa"/>
          </w:tcPr>
          <w:p w:rsidR="00C3372A" w:rsidRPr="00C3372A" w:rsidRDefault="00C3372A" w:rsidP="00513EDD">
            <w:pPr>
              <w:pStyle w:val="Tabletext"/>
              <w:jc w:val="left"/>
              <w:rPr>
                <w:sz w:val="18"/>
                <w:szCs w:val="18"/>
                <w:lang w:val="es-ES_tradnl"/>
              </w:rPr>
            </w:pPr>
            <w:r w:rsidRPr="0084003C">
              <w:rPr>
                <w:sz w:val="18"/>
                <w:szCs w:val="18"/>
                <w:lang w:val="es-ES"/>
              </w:rPr>
              <w:t>DDT</w:t>
            </w:r>
          </w:p>
        </w:tc>
        <w:tc>
          <w:tcPr>
            <w:tcW w:w="1145" w:type="dxa"/>
          </w:tcPr>
          <w:p w:rsidR="00C3372A" w:rsidRPr="00253A39" w:rsidRDefault="00C3372A" w:rsidP="00513EDD">
            <w:pPr>
              <w:pStyle w:val="Tabletext"/>
              <w:jc w:val="left"/>
              <w:rPr>
                <w:sz w:val="18"/>
                <w:szCs w:val="18"/>
                <w:lang w:val="es-ES_tradnl"/>
              </w:rPr>
            </w:pPr>
            <w:r w:rsidRPr="0084003C">
              <w:rPr>
                <w:sz w:val="18"/>
                <w:szCs w:val="18"/>
                <w:lang w:val="es-ES"/>
              </w:rPr>
              <w:t>AMDFO-CS</w:t>
            </w:r>
          </w:p>
        </w:tc>
        <w:tc>
          <w:tcPr>
            <w:tcW w:w="1160" w:type="dxa"/>
          </w:tcPr>
          <w:p w:rsidR="00C3372A" w:rsidRPr="00253A39" w:rsidRDefault="00C3372A" w:rsidP="00513EDD">
            <w:pPr>
              <w:pStyle w:val="Tabletext"/>
              <w:jc w:val="left"/>
              <w:rPr>
                <w:sz w:val="18"/>
                <w:szCs w:val="18"/>
                <w:lang w:val="es-ES_tradnl"/>
              </w:rPr>
            </w:pPr>
            <w:r w:rsidRPr="0084003C">
              <w:rPr>
                <w:sz w:val="18"/>
                <w:szCs w:val="18"/>
                <w:lang w:val="es-ES"/>
              </w:rPr>
              <w:t>10 ms</w:t>
            </w:r>
          </w:p>
        </w:tc>
        <w:tc>
          <w:tcPr>
            <w:tcW w:w="1118" w:type="dxa"/>
          </w:tcPr>
          <w:p w:rsidR="00C3372A" w:rsidRPr="00C3372A" w:rsidRDefault="00C3372A" w:rsidP="00513EDD">
            <w:pPr>
              <w:pStyle w:val="Tabletext"/>
              <w:jc w:val="left"/>
              <w:rPr>
                <w:sz w:val="18"/>
                <w:szCs w:val="18"/>
                <w:lang w:val="es-ES_tradnl"/>
              </w:rPr>
            </w:pPr>
            <w:r w:rsidRPr="0084003C">
              <w:rPr>
                <w:sz w:val="18"/>
                <w:szCs w:val="18"/>
                <w:lang w:val="es-ES"/>
              </w:rPr>
              <w:t>Móvil</w:t>
            </w:r>
          </w:p>
        </w:tc>
      </w:tr>
      <w:tr w:rsidR="00253A39" w:rsidRPr="00DA2419" w:rsidTr="00C3372A">
        <w:trPr>
          <w:cantSplit/>
          <w:jc w:val="center"/>
        </w:trPr>
        <w:tc>
          <w:tcPr>
            <w:tcW w:w="14464" w:type="dxa"/>
            <w:gridSpan w:val="11"/>
            <w:tcBorders>
              <w:top w:val="single" w:sz="4" w:space="0" w:color="auto"/>
              <w:left w:val="nil"/>
              <w:bottom w:val="nil"/>
              <w:right w:val="nil"/>
            </w:tcBorders>
          </w:tcPr>
          <w:p w:rsidR="00253A39" w:rsidRPr="00253A39" w:rsidRDefault="00253A39" w:rsidP="00253A39">
            <w:pPr>
              <w:pStyle w:val="Tablelegend"/>
              <w:rPr>
                <w:sz w:val="18"/>
                <w:szCs w:val="18"/>
                <w:lang w:val="es-ES_tradnl"/>
              </w:rPr>
            </w:pPr>
            <w:r w:rsidRPr="00253A39">
              <w:rPr>
                <w:sz w:val="18"/>
                <w:szCs w:val="18"/>
                <w:vertAlign w:val="superscript"/>
                <w:lang w:val="es-ES_tradnl"/>
              </w:rPr>
              <w:t>(1)</w:t>
            </w:r>
            <w:r w:rsidRPr="00253A39">
              <w:rPr>
                <w:sz w:val="18"/>
                <w:szCs w:val="18"/>
                <w:lang w:val="es-ES_tradnl"/>
              </w:rPr>
              <w:tab/>
              <w:t xml:space="preserve">Incluyendo todos los modos aplicables, o </w:t>
            </w:r>
            <w:r w:rsidR="003D2CCD">
              <w:rPr>
                <w:sz w:val="18"/>
                <w:szCs w:val="18"/>
                <w:lang w:val="es-ES_tradnl"/>
              </w:rPr>
              <w:t>al menos el máximo y el mínimo.</w:t>
            </w:r>
          </w:p>
          <w:p w:rsidR="00253A39" w:rsidRPr="00253A39" w:rsidRDefault="00253A39" w:rsidP="00253A39">
            <w:pPr>
              <w:pStyle w:val="Tablelegend"/>
              <w:rPr>
                <w:sz w:val="18"/>
                <w:szCs w:val="18"/>
                <w:lang w:val="es-ES_tradnl"/>
              </w:rPr>
            </w:pPr>
            <w:r w:rsidRPr="00253A39">
              <w:rPr>
                <w:sz w:val="18"/>
                <w:szCs w:val="18"/>
                <w:vertAlign w:val="superscript"/>
                <w:lang w:val="es-ES_tradnl"/>
              </w:rPr>
              <w:t>(2)</w:t>
            </w:r>
            <w:r w:rsidRPr="00253A39">
              <w:rPr>
                <w:sz w:val="18"/>
                <w:szCs w:val="18"/>
                <w:lang w:val="es-ES_tradnl"/>
              </w:rPr>
              <w:tab/>
              <w:t xml:space="preserve">En 5 MHz pueden desplegarse tres </w:t>
            </w:r>
            <w:r w:rsidR="003D2CCD">
              <w:rPr>
                <w:sz w:val="18"/>
                <w:szCs w:val="18"/>
                <w:lang w:val="es-ES_tradnl"/>
              </w:rPr>
              <w:t>portadoras DDT de 1,28 Mchip/s.</w:t>
            </w:r>
          </w:p>
          <w:p w:rsidR="00253A39" w:rsidRPr="00253A39" w:rsidRDefault="00253A39" w:rsidP="00253A39">
            <w:pPr>
              <w:pStyle w:val="Tablelegend"/>
              <w:rPr>
                <w:sz w:val="18"/>
                <w:szCs w:val="18"/>
                <w:lang w:val="es-ES_tradnl"/>
              </w:rPr>
            </w:pPr>
            <w:r w:rsidRPr="00253A39">
              <w:rPr>
                <w:sz w:val="18"/>
                <w:szCs w:val="18"/>
                <w:vertAlign w:val="superscript"/>
                <w:lang w:val="es-ES_tradnl"/>
              </w:rPr>
              <w:t>(3)</w:t>
            </w:r>
            <w:r w:rsidRPr="00253A39">
              <w:rPr>
                <w:sz w:val="18"/>
                <w:szCs w:val="18"/>
                <w:lang w:val="es-ES_tradnl"/>
              </w:rPr>
              <w:tab/>
              <w:t>E-UTRAN soporta el funcionamiento con anchura de banda escalable hasta 20 MHz en el enlace ascendente y descendente.</w:t>
            </w:r>
          </w:p>
          <w:p w:rsidR="00253A39" w:rsidRPr="00253A39" w:rsidRDefault="00253A39" w:rsidP="00253A39">
            <w:pPr>
              <w:pStyle w:val="Tablelegend"/>
              <w:rPr>
                <w:sz w:val="18"/>
                <w:szCs w:val="18"/>
                <w:lang w:val="es-ES_tradnl"/>
              </w:rPr>
            </w:pPr>
            <w:r w:rsidRPr="00253A39">
              <w:rPr>
                <w:sz w:val="18"/>
                <w:szCs w:val="18"/>
                <w:vertAlign w:val="superscript"/>
                <w:lang w:val="es-ES_tradnl"/>
              </w:rPr>
              <w:t>(4)</w:t>
            </w:r>
            <w:r w:rsidRPr="00253A39">
              <w:rPr>
                <w:sz w:val="18"/>
                <w:szCs w:val="18"/>
                <w:lang w:val="es-ES_tradnl"/>
              </w:rPr>
              <w:tab/>
              <w:t>E-UTRAN soporta agregación de portadora con anchura de banda hasta 100 MHz.</w:t>
            </w:r>
          </w:p>
        </w:tc>
      </w:tr>
    </w:tbl>
    <w:p w:rsidR="00183D65" w:rsidRDefault="00183D65" w:rsidP="001246B8">
      <w:pPr>
        <w:rPr>
          <w:lang w:val="es-ES_tradnl"/>
        </w:rPr>
      </w:pPr>
    </w:p>
    <w:p w:rsidR="00A34F7B" w:rsidRDefault="00A34F7B" w:rsidP="001246B8">
      <w:pPr>
        <w:rPr>
          <w:lang w:val="es-ES_tradnl"/>
        </w:rPr>
      </w:pPr>
    </w:p>
    <w:p w:rsidR="00574749" w:rsidRPr="008A2563" w:rsidRDefault="00574749">
      <w:pPr>
        <w:jc w:val="center"/>
        <w:rPr>
          <w:lang w:val="es-ES_tradnl"/>
        </w:rPr>
      </w:pPr>
      <w:r w:rsidRPr="008A2563">
        <w:rPr>
          <w:lang w:val="es-ES_tradnl"/>
        </w:rPr>
        <w:t>______________</w:t>
      </w:r>
    </w:p>
    <w:sectPr w:rsidR="00574749" w:rsidRPr="008A2563" w:rsidSect="003F7355">
      <w:headerReference w:type="even" r:id="rId38"/>
      <w:headerReference w:type="default" r:id="rId39"/>
      <w:pgSz w:w="16834" w:h="11907" w:orient="landscape" w:code="9"/>
      <w:pgMar w:top="1247"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B67" w:rsidRDefault="007E1B67">
      <w:r>
        <w:separator/>
      </w:r>
    </w:p>
  </w:endnote>
  <w:endnote w:type="continuationSeparator" w:id="0">
    <w:p w:rsidR="007E1B67" w:rsidRDefault="007E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Pr="00253A39" w:rsidRDefault="007E1B67" w:rsidP="00253A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B67" w:rsidRDefault="007E1B67">
      <w:r>
        <w:separator/>
      </w:r>
    </w:p>
  </w:footnote>
  <w:footnote w:type="continuationSeparator" w:id="0">
    <w:p w:rsidR="007E1B67" w:rsidRDefault="007E1B67">
      <w:r>
        <w:continuationSeparator/>
      </w:r>
    </w:p>
  </w:footnote>
  <w:footnote w:id="1">
    <w:p w:rsidR="007E1B67" w:rsidRPr="004A70D3" w:rsidRDefault="007E1B67" w:rsidP="0032700A">
      <w:pPr>
        <w:pStyle w:val="FootnoteText"/>
        <w:rPr>
          <w:lang w:val="es-ES_tradnl"/>
        </w:rPr>
      </w:pPr>
      <w:r w:rsidRPr="004A70D3">
        <w:rPr>
          <w:rStyle w:val="FootnoteReference"/>
          <w:lang w:val="es-ES_tradnl"/>
        </w:rPr>
        <w:t>*</w:t>
      </w:r>
      <w:r w:rsidRPr="004A70D3">
        <w:rPr>
          <w:lang w:val="es-ES_tradnl"/>
        </w:rPr>
        <w:t xml:space="preserve"> </w:t>
      </w:r>
      <w:r>
        <w:rPr>
          <w:lang w:val="es-ES_tradnl"/>
        </w:rPr>
        <w:tab/>
      </w:r>
      <w:r>
        <w:rPr>
          <w:lang w:val="es-ES"/>
        </w:rPr>
        <w:t>Esta Recomendación debe señalarse a la atención de las Comisiones de Estudio 2 y 15 del UIT</w:t>
      </w:r>
      <w:r>
        <w:rPr>
          <w:lang w:val="es-ES"/>
        </w:rPr>
        <w:noBreakHyphen/>
        <w:t>T.</w:t>
      </w:r>
    </w:p>
  </w:footnote>
  <w:footnote w:id="2">
    <w:p w:rsidR="007E1B67" w:rsidRPr="0032700A" w:rsidRDefault="007E1B67" w:rsidP="0032700A">
      <w:pPr>
        <w:pStyle w:val="FootnoteText"/>
        <w:rPr>
          <w:lang w:val="es-ES_tradnl"/>
        </w:rPr>
      </w:pPr>
      <w:r>
        <w:rPr>
          <w:rStyle w:val="FootnoteReference"/>
        </w:rPr>
        <w:footnoteRef/>
      </w:r>
      <w:r w:rsidRPr="0032700A">
        <w:rPr>
          <w:lang w:val="es-ES_tradnl"/>
        </w:rPr>
        <w:t xml:space="preserve"> </w:t>
      </w:r>
      <w:r>
        <w:rPr>
          <w:lang w:val="es-ES_tradnl"/>
        </w:rPr>
        <w:tab/>
      </w:r>
      <w:r w:rsidRPr="007201D6">
        <w:rPr>
          <w:lang w:val="es-ES"/>
        </w:rPr>
        <w:t xml:space="preserve">«Acceso inalámbrico» y «BWA» se definen en </w:t>
      </w:r>
      <w:smartTag w:uri="urn:schemas-microsoft-com:office:smarttags" w:element="PersonName">
        <w:smartTagPr>
          <w:attr w:name="ProductID" w:val="la Recomendaci￳n"/>
        </w:smartTagPr>
        <w:r w:rsidRPr="007201D6">
          <w:rPr>
            <w:lang w:val="es-ES"/>
          </w:rPr>
          <w:t>la Recomendación</w:t>
        </w:r>
      </w:smartTag>
      <w:r w:rsidRPr="007201D6">
        <w:rPr>
          <w:lang w:val="es-ES"/>
        </w:rPr>
        <w:t> UIT</w:t>
      </w:r>
      <w:r w:rsidRPr="007201D6">
        <w:rPr>
          <w:lang w:val="es-ES"/>
        </w:rPr>
        <w:noBreakHyphen/>
        <w:t>R F.1399, que proporciona también las definiciones de los términos acceso inalámbrico «fijo», «móvil» y «nómada».</w:t>
      </w:r>
    </w:p>
  </w:footnote>
  <w:footnote w:id="3">
    <w:p w:rsidR="007E1B67" w:rsidRPr="0032700A" w:rsidRDefault="007E1B67" w:rsidP="0032700A">
      <w:pPr>
        <w:ind w:left="255" w:hanging="255"/>
        <w:rPr>
          <w:lang w:val="es-ES_tradnl"/>
        </w:rPr>
      </w:pPr>
      <w:r w:rsidRPr="00485EE5">
        <w:rPr>
          <w:rStyle w:val="FootnoteReference"/>
          <w:i/>
          <w:iCs/>
        </w:rPr>
        <w:footnoteRef/>
      </w:r>
      <w:r w:rsidRPr="00485EE5">
        <w:rPr>
          <w:i/>
          <w:iCs/>
          <w:lang w:val="es-ES_tradnl"/>
        </w:rPr>
        <w:t xml:space="preserve"> </w:t>
      </w:r>
      <w:r w:rsidRPr="00485EE5">
        <w:rPr>
          <w:i/>
          <w:iCs/>
          <w:lang w:val="es-ES_tradnl"/>
        </w:rPr>
        <w:tab/>
      </w:r>
      <w:r w:rsidRPr="00F13399">
        <w:rPr>
          <w:rStyle w:val="FootnoteTextChar"/>
          <w:lang w:val="es-ES_tradnl"/>
        </w:rPr>
        <w:t>Acceso inalámbrico de banda ancha se define como el acceso inalámbrico en el que las capacidades de conexión son mayores que las de la velocidad primaria que se define como la velocidad binaria de transmisión de 1,544 Mbit/s (T1) o 2,048 Mbit/s (E1). Acceso inalámbrico se define como la conexión o conexiones radioeléctricas del usuario final con redes centrales</w:t>
      </w:r>
      <w:r w:rsidRPr="00F13399">
        <w:rPr>
          <w:lang w:val="es-ES_tradnl"/>
        </w:rPr>
        <w:t>.</w:t>
      </w:r>
    </w:p>
  </w:footnote>
  <w:footnote w:id="4">
    <w:p w:rsidR="007E1B67" w:rsidRPr="0032700A" w:rsidRDefault="007E1B67">
      <w:pPr>
        <w:pStyle w:val="FootnoteText"/>
        <w:rPr>
          <w:lang w:val="es-ES_tradnl"/>
        </w:rPr>
      </w:pPr>
      <w:r>
        <w:rPr>
          <w:rStyle w:val="FootnoteReference"/>
        </w:rPr>
        <w:footnoteRef/>
      </w:r>
      <w:r w:rsidRPr="0032700A">
        <w:rPr>
          <w:lang w:val="es-ES_tradnl"/>
        </w:rPr>
        <w:t xml:space="preserve"> </w:t>
      </w:r>
      <w:r>
        <w:rPr>
          <w:lang w:val="es-ES_tradnl"/>
        </w:rPr>
        <w:tab/>
      </w:r>
      <w:r w:rsidRPr="00DE533F">
        <w:rPr>
          <w:lang w:val="es-ES"/>
        </w:rPr>
        <w:t>Consejo de promoción de sistemas de comunicaciones de acceso móvil multimedios (también denominado «foro de sistemas de comunicaciones de acceso móvil multimedios» o «foro MMAC»).</w:t>
      </w:r>
    </w:p>
  </w:footnote>
  <w:footnote w:id="5">
    <w:p w:rsidR="007E1B67" w:rsidRPr="0032700A" w:rsidRDefault="007E1B67">
      <w:pPr>
        <w:pStyle w:val="FootnoteText"/>
        <w:rPr>
          <w:lang w:val="es-ES_tradnl"/>
        </w:rPr>
      </w:pPr>
      <w:r>
        <w:rPr>
          <w:rStyle w:val="FootnoteReference"/>
        </w:rPr>
        <w:footnoteRef/>
      </w:r>
      <w:r w:rsidRPr="0032700A">
        <w:rPr>
          <w:lang w:val="es-ES_tradnl"/>
        </w:rPr>
        <w:t xml:space="preserve"> </w:t>
      </w:r>
      <w:r>
        <w:rPr>
          <w:lang w:val="es-ES_tradnl"/>
        </w:rPr>
        <w:tab/>
      </w:r>
      <w:r w:rsidRPr="00DE533F">
        <w:rPr>
          <w:lang w:val="es-ES"/>
        </w:rPr>
        <w:t>Comité sobre el acceso inalámbrico de alta velocidad.</w:t>
      </w:r>
    </w:p>
  </w:footnote>
  <w:footnote w:id="6">
    <w:p w:rsidR="007E1B67" w:rsidRPr="0032700A" w:rsidRDefault="007E1B67">
      <w:pPr>
        <w:pStyle w:val="FootnoteText"/>
        <w:rPr>
          <w:lang w:val="es-ES_tradnl"/>
        </w:rPr>
      </w:pPr>
      <w:r>
        <w:rPr>
          <w:rStyle w:val="FootnoteReference"/>
        </w:rPr>
        <w:footnoteRef/>
      </w:r>
      <w:r w:rsidRPr="0032700A">
        <w:rPr>
          <w:lang w:val="es-ES_tradnl"/>
        </w:rPr>
        <w:t xml:space="preserve"> </w:t>
      </w:r>
      <w:r>
        <w:rPr>
          <w:lang w:val="es-ES_tradnl"/>
        </w:rPr>
        <w:tab/>
      </w:r>
      <w:r w:rsidRPr="00DE533F">
        <w:rPr>
          <w:lang w:val="es-ES"/>
        </w:rPr>
        <w:t>Asociación de industrias y empresas radioeléctricas.</w:t>
      </w:r>
    </w:p>
  </w:footnote>
  <w:footnote w:id="7">
    <w:p w:rsidR="007E1B67" w:rsidRPr="0032700A" w:rsidRDefault="007E1B67">
      <w:pPr>
        <w:pStyle w:val="FootnoteText"/>
        <w:rPr>
          <w:lang w:val="es-ES_tradnl"/>
        </w:rPr>
      </w:pPr>
      <w:r>
        <w:rPr>
          <w:rStyle w:val="FootnoteReference"/>
        </w:rPr>
        <w:footnoteRef/>
      </w:r>
      <w:r w:rsidRPr="0032700A">
        <w:rPr>
          <w:lang w:val="es-ES_tradnl"/>
        </w:rPr>
        <w:t xml:space="preserve"> </w:t>
      </w:r>
      <w:r>
        <w:rPr>
          <w:lang w:val="es-ES_tradnl"/>
        </w:rPr>
        <w:tab/>
      </w:r>
      <w:r>
        <w:rPr>
          <w:lang w:val="es-ES"/>
        </w:rPr>
        <w:t xml:space="preserve">Véase el § 5.1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8">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Pr>
          <w:lang w:val="es-ES"/>
        </w:rPr>
        <w:t xml:space="preserve">Véase el § 5.2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9">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Pr>
          <w:lang w:val="es-ES"/>
        </w:rPr>
        <w:t xml:space="preserve">Véase el § 5.3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0">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Pr>
          <w:lang w:val="es-ES"/>
        </w:rPr>
        <w:t xml:space="preserve">Véase el § 5.4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1">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Pr>
          <w:lang w:val="es-ES"/>
        </w:rPr>
        <w:t xml:space="preserve">Véase el § 5.5 de </w:t>
      </w:r>
      <w:smartTag w:uri="urn:schemas-microsoft-com:office:smarttags" w:element="PersonName">
        <w:smartTagPr>
          <w:attr w:name="ProductID" w:val="la Recomendaci￳n UIT-R"/>
        </w:smartTagPr>
        <w:smartTag w:uri="urn:schemas-microsoft-com:office:smarttags" w:element="PersonName">
          <w:smartTagPr>
            <w:attr w:name="ProductID" w:val="la Recomendaci￳n"/>
          </w:smartTagPr>
          <w:r>
            <w:rPr>
              <w:lang w:val="es-ES"/>
            </w:rPr>
            <w:t>la Recomendación</w:t>
          </w:r>
        </w:smartTag>
        <w:r>
          <w:rPr>
            <w:lang w:val="es-ES"/>
          </w:rPr>
          <w:t xml:space="preserve"> UIT-R</w:t>
        </w:r>
      </w:smartTag>
      <w:r>
        <w:rPr>
          <w:lang w:val="es-ES"/>
        </w:rPr>
        <w:t xml:space="preserve"> M.1457.</w:t>
      </w:r>
    </w:p>
  </w:footnote>
  <w:footnote w:id="12">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17791F">
        <w:rPr>
          <w:lang w:val="es-ES"/>
        </w:rPr>
        <w:t xml:space="preserve">Véase </w:t>
      </w:r>
      <w:r>
        <w:rPr>
          <w:lang w:val="es-ES"/>
        </w:rPr>
        <w:t xml:space="preserve">el </w:t>
      </w:r>
      <w:r w:rsidRPr="0017791F">
        <w:rPr>
          <w:lang w:val="es-ES"/>
        </w:rPr>
        <w:t xml:space="preserve">§ 5.6 de la </w:t>
      </w:r>
      <w:r>
        <w:rPr>
          <w:lang w:val="es-ES" w:eastAsia="ja-JP"/>
        </w:rPr>
        <w:t>Recomendación UIT</w:t>
      </w:r>
      <w:r w:rsidRPr="0017791F">
        <w:rPr>
          <w:lang w:val="es-ES"/>
        </w:rPr>
        <w:noBreakHyphen/>
        <w:t>R M.1457.</w:t>
      </w:r>
    </w:p>
  </w:footnote>
  <w:footnote w:id="13">
    <w:p w:rsidR="007E1B67" w:rsidRPr="00C47BCE" w:rsidRDefault="007E1B67" w:rsidP="00A31CD3">
      <w:pPr>
        <w:pStyle w:val="FootnoteText"/>
        <w:rPr>
          <w:lang w:val="es-ES_tradnl"/>
        </w:rPr>
      </w:pPr>
      <w:r>
        <w:rPr>
          <w:rStyle w:val="FootnoteReference"/>
        </w:rPr>
        <w:footnoteRef/>
      </w:r>
      <w:r w:rsidRPr="00C47BCE">
        <w:rPr>
          <w:lang w:val="es-ES_tradnl"/>
        </w:rPr>
        <w:t xml:space="preserve"> </w:t>
      </w:r>
      <w:r>
        <w:rPr>
          <w:lang w:val="es-ES_tradnl"/>
        </w:rPr>
        <w:tab/>
      </w:r>
      <w:hyperlink r:id="rId1" w:history="1">
        <w:r w:rsidRPr="00A31CD3">
          <w:rPr>
            <w:rStyle w:val="Hyperlink"/>
            <w:lang w:val="es-ES_tradnl"/>
          </w:rPr>
          <w:t>http://www.wimaxforum.org/resources/technical-specifications</w:t>
        </w:r>
      </w:hyperlink>
      <w:r w:rsidRPr="00CC44ED">
        <w:rPr>
          <w:szCs w:val="22"/>
          <w:lang w:val="es-ES"/>
        </w:rPr>
        <w:t>.</w:t>
      </w:r>
    </w:p>
  </w:footnote>
  <w:footnote w:id="14">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E028C5">
        <w:rPr>
          <w:lang w:val="es-ES_tradnl"/>
        </w:rPr>
        <w:t>Véase el Anexo 1 a la Recomendación UIT-R M.2012.</w:t>
      </w:r>
    </w:p>
  </w:footnote>
  <w:footnote w:id="15">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E028C5">
        <w:rPr>
          <w:lang w:val="es-ES_tradnl"/>
        </w:rPr>
        <w:t>Véase el Anexo 2 a la Recomendación UIT-R M.2012</w:t>
      </w:r>
      <w:r>
        <w:rPr>
          <w:lang w:val="es-ES_tradnl"/>
        </w:rPr>
        <w:t>.</w:t>
      </w:r>
    </w:p>
  </w:footnote>
  <w:footnote w:id="16">
    <w:p w:rsidR="007E1B67" w:rsidRPr="00C47BCE" w:rsidRDefault="007E1B67" w:rsidP="00172A71">
      <w:pPr>
        <w:pStyle w:val="FootnoteText"/>
        <w:rPr>
          <w:lang w:val="es-ES_tradnl"/>
        </w:rPr>
      </w:pPr>
      <w:r>
        <w:rPr>
          <w:rStyle w:val="FootnoteReference"/>
        </w:rPr>
        <w:footnoteRef/>
      </w:r>
      <w:r w:rsidRPr="00C47BCE">
        <w:rPr>
          <w:lang w:val="es-ES_tradnl"/>
        </w:rPr>
        <w:t xml:space="preserve"> </w:t>
      </w:r>
      <w:r>
        <w:rPr>
          <w:lang w:val="es-ES_tradnl"/>
        </w:rPr>
        <w:tab/>
      </w:r>
      <w:hyperlink r:id="rId2" w:history="1">
        <w:r w:rsidRPr="00172A71">
          <w:rPr>
            <w:rStyle w:val="Hyperlink"/>
            <w:lang w:val="es-ES_tradnl"/>
          </w:rPr>
          <w:t>http://www.wimaxforum.org/resources/technical-specifications</w:t>
        </w:r>
      </w:hyperlink>
      <w:r w:rsidRPr="00CC44ED">
        <w:rPr>
          <w:lang w:val="es-ES"/>
        </w:rPr>
        <w:t>.</w:t>
      </w:r>
    </w:p>
  </w:footnote>
  <w:footnote w:id="17">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D91A2C">
        <w:rPr>
          <w:lang w:val="es-ES"/>
        </w:rPr>
        <w:t>Usuarios que están ubicados cerca del centro de un sector, lejos de los sectores adyacentes.</w:t>
      </w:r>
    </w:p>
  </w:footnote>
  <w:footnote w:id="18">
    <w:p w:rsidR="007E1B67" w:rsidRPr="00C47BCE" w:rsidRDefault="007E1B67">
      <w:pPr>
        <w:pStyle w:val="FootnoteText"/>
        <w:rPr>
          <w:lang w:val="es-ES_tradnl"/>
        </w:rPr>
      </w:pPr>
      <w:r>
        <w:rPr>
          <w:rStyle w:val="FootnoteReference"/>
        </w:rPr>
        <w:footnoteRef/>
      </w:r>
      <w:r w:rsidRPr="00C47BCE">
        <w:rPr>
          <w:lang w:val="es-ES_tradnl"/>
        </w:rPr>
        <w:t xml:space="preserve"> </w:t>
      </w:r>
      <w:r>
        <w:rPr>
          <w:lang w:val="es-ES_tradnl"/>
        </w:rPr>
        <w:tab/>
      </w:r>
      <w:r w:rsidRPr="00D91A2C">
        <w:rPr>
          <w:lang w:val="es-ES"/>
        </w:rPr>
        <w:t>Usuarios que están ubicados cerca del borde de un sector, cerca de los sectores adyacentes.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Default="007E1B6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Default="007E1B67"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Default="007E1B67" w:rsidP="007513BA">
    <w:pPr>
      <w:pStyle w:val="Header"/>
      <w:tabs>
        <w:tab w:val="clear" w:pos="9026"/>
        <w:tab w:val="right" w:pos="9639"/>
      </w:tabs>
    </w:pPr>
    <w:r w:rsidRPr="000530E2">
      <w:rPr>
        <w:b/>
        <w:bCs/>
      </w:rPr>
      <w:fldChar w:fldCharType="begin"/>
    </w:r>
    <w:r w:rsidRPr="000530E2">
      <w:rPr>
        <w:b/>
        <w:bCs/>
      </w:rPr>
      <w:instrText>PAGE   \* MERGEFORMAT</w:instrText>
    </w:r>
    <w:r w:rsidRPr="000530E2">
      <w:rPr>
        <w:b/>
        <w:bCs/>
      </w:rPr>
      <w:fldChar w:fldCharType="separate"/>
    </w:r>
    <w:r w:rsidR="00DA2419">
      <w:rPr>
        <w:b/>
        <w:bCs/>
        <w:noProof/>
      </w:rPr>
      <w:t>ii</w:t>
    </w:r>
    <w:r w:rsidRPr="000530E2">
      <w:rPr>
        <w:b/>
        <w:bCs/>
      </w:rPr>
      <w:fldChar w:fldCharType="end"/>
    </w:r>
    <w:r>
      <w:tab/>
    </w:r>
    <w:fldSimple w:instr=" DOCPROPERTY &quot;Header&quot; \* MERGEFORMAT ">
      <w:r w:rsidR="007932A5" w:rsidRPr="007932A5">
        <w:rPr>
          <w:b/>
          <w:bCs/>
        </w:rPr>
        <w:t xml:space="preserve">Rec. </w:t>
      </w:r>
    </w:fldSimple>
    <w:r>
      <w:rPr>
        <w:b/>
        <w:bCs/>
      </w:rPr>
      <w:t xml:space="preserve"> ITU-R  M.1801-2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Default="007E1B67">
    <w:r>
      <w:tab/>
    </w:r>
    <w:fldSimple w:instr=" DOCPROPERTY &quot;Header&quot; \* MERGEFORMAT ">
      <w:r w:rsidR="007932A5" w:rsidRPr="007932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932A5">
      <w:rPr>
        <w:b/>
        <w:bCs/>
        <w:noProof/>
      </w:rPr>
      <w:t>UIT-R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Default="007E1B67" w:rsidP="007513BA">
    <w:pPr>
      <w:pStyle w:val="Header"/>
      <w:tabs>
        <w:tab w:val="clear" w:pos="9026"/>
        <w:tab w:val="right" w:pos="9639"/>
      </w:tabs>
    </w:pPr>
    <w:r w:rsidRPr="000530E2">
      <w:rPr>
        <w:b/>
        <w:bCs/>
      </w:rPr>
      <w:fldChar w:fldCharType="begin"/>
    </w:r>
    <w:r w:rsidRPr="000530E2">
      <w:rPr>
        <w:b/>
        <w:bCs/>
      </w:rPr>
      <w:instrText>PAGE   \* MERGEFORMAT</w:instrText>
    </w:r>
    <w:r w:rsidRPr="000530E2">
      <w:rPr>
        <w:b/>
        <w:bCs/>
      </w:rPr>
      <w:fldChar w:fldCharType="separate"/>
    </w:r>
    <w:r w:rsidR="00DA2419">
      <w:rPr>
        <w:b/>
        <w:bCs/>
        <w:noProof/>
      </w:rPr>
      <w:t>18</w:t>
    </w:r>
    <w:r w:rsidRPr="000530E2">
      <w:rPr>
        <w:b/>
        <w:bCs/>
      </w:rPr>
      <w:fldChar w:fldCharType="end"/>
    </w:r>
    <w:r>
      <w:tab/>
    </w:r>
    <w:fldSimple w:instr=" DOCPROPERTY &quot;Header&quot; \* MERGEFORMAT ">
      <w:r w:rsidR="007932A5" w:rsidRPr="007932A5">
        <w:rPr>
          <w:b/>
          <w:bCs/>
        </w:rPr>
        <w:t xml:space="preserve">Rec. </w:t>
      </w:r>
    </w:fldSimple>
    <w:r>
      <w:rPr>
        <w:b/>
        <w:bCs/>
      </w:rPr>
      <w:t xml:space="preserve"> ITU-R  M.1801-2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Default="007E1B67" w:rsidP="007513BA">
    <w:pPr>
      <w:pStyle w:val="Header"/>
      <w:tabs>
        <w:tab w:val="clear" w:pos="9026"/>
        <w:tab w:val="right" w:pos="9639"/>
      </w:tabs>
    </w:pPr>
    <w:r>
      <w:tab/>
    </w:r>
    <w:fldSimple w:instr=" DOCPROPERTY &quot;Header&quot; \* MERGEFORMAT ">
      <w:r w:rsidR="007932A5" w:rsidRPr="007932A5">
        <w:rPr>
          <w:b/>
          <w:bCs/>
        </w:rPr>
        <w:t xml:space="preserve">Rec. </w:t>
      </w:r>
    </w:fldSimple>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sidR="00DA2419">
      <w:rPr>
        <w:b/>
        <w:bCs/>
        <w:noProof/>
      </w:rPr>
      <w:t>17</w:t>
    </w:r>
    <w:r w:rsidRPr="000530E2">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Default="007E1B67" w:rsidP="00D9002B">
    <w:pPr>
      <w:pStyle w:val="Header"/>
      <w:tabs>
        <w:tab w:val="clear" w:pos="4513"/>
        <w:tab w:val="clear" w:pos="9026"/>
        <w:tab w:val="center" w:pos="7258"/>
        <w:tab w:val="right" w:pos="14459"/>
      </w:tabs>
    </w:pPr>
    <w:r w:rsidRPr="000530E2">
      <w:rPr>
        <w:b/>
        <w:bCs/>
      </w:rPr>
      <w:fldChar w:fldCharType="begin"/>
    </w:r>
    <w:r w:rsidRPr="000530E2">
      <w:rPr>
        <w:b/>
        <w:bCs/>
      </w:rPr>
      <w:instrText>PAGE   \* MERGEFORMAT</w:instrText>
    </w:r>
    <w:r w:rsidRPr="000530E2">
      <w:rPr>
        <w:b/>
        <w:bCs/>
      </w:rPr>
      <w:fldChar w:fldCharType="separate"/>
    </w:r>
    <w:r w:rsidR="00DA2419">
      <w:rPr>
        <w:b/>
        <w:bCs/>
        <w:noProof/>
      </w:rPr>
      <w:t>42</w:t>
    </w:r>
    <w:r w:rsidRPr="000530E2">
      <w:rPr>
        <w:b/>
        <w:bCs/>
      </w:rPr>
      <w:fldChar w:fldCharType="end"/>
    </w:r>
    <w:r>
      <w:tab/>
    </w:r>
    <w:fldSimple w:instr=" DOCPROPERTY &quot;Header&quot; \* MERGEFORMAT ">
      <w:r w:rsidR="007932A5" w:rsidRPr="007932A5">
        <w:rPr>
          <w:b/>
          <w:bCs/>
        </w:rPr>
        <w:t xml:space="preserve">Rec. </w:t>
      </w:r>
    </w:fldSimple>
    <w:r>
      <w:rPr>
        <w:b/>
        <w:bCs/>
      </w:rPr>
      <w:t xml:space="preserve"> ITU-R  M.1801-2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B67" w:rsidRDefault="007E1B67" w:rsidP="00D9002B">
    <w:pPr>
      <w:pStyle w:val="Header"/>
      <w:tabs>
        <w:tab w:val="clear" w:pos="4513"/>
        <w:tab w:val="clear" w:pos="9026"/>
        <w:tab w:val="center" w:pos="7258"/>
        <w:tab w:val="right" w:pos="14459"/>
      </w:tabs>
    </w:pPr>
    <w:r>
      <w:tab/>
    </w:r>
    <w:fldSimple w:instr=" DOCPROPERTY &quot;Header&quot; \* MERGEFORMAT ">
      <w:r w:rsidR="007932A5" w:rsidRPr="007932A5">
        <w:rPr>
          <w:b/>
          <w:bCs/>
        </w:rPr>
        <w:t xml:space="preserve">Rec. </w:t>
      </w:r>
    </w:fldSimple>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sidR="00DA2419">
      <w:rPr>
        <w:b/>
        <w:bCs/>
        <w:noProof/>
      </w:rPr>
      <w:t>43</w:t>
    </w:r>
    <w:r w:rsidRPr="000530E2">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406391A"/>
    <w:lvl w:ilvl="0">
      <w:start w:val="1"/>
      <w:numFmt w:val="decimal"/>
      <w:lvlText w:val="%1."/>
      <w:lvlJc w:val="left"/>
      <w:pPr>
        <w:tabs>
          <w:tab w:val="num" w:pos="1492"/>
        </w:tabs>
        <w:ind w:left="1492" w:hanging="360"/>
      </w:pPr>
    </w:lvl>
  </w:abstractNum>
  <w:abstractNum w:abstractNumId="1">
    <w:nsid w:val="FFFFFF7D"/>
    <w:multiLevelType w:val="singleLevel"/>
    <w:tmpl w:val="DF02010C"/>
    <w:lvl w:ilvl="0">
      <w:start w:val="1"/>
      <w:numFmt w:val="decimal"/>
      <w:lvlText w:val="%1."/>
      <w:lvlJc w:val="left"/>
      <w:pPr>
        <w:tabs>
          <w:tab w:val="num" w:pos="1209"/>
        </w:tabs>
        <w:ind w:left="1209" w:hanging="360"/>
      </w:pPr>
    </w:lvl>
  </w:abstractNum>
  <w:abstractNum w:abstractNumId="2">
    <w:nsid w:val="FFFFFF7E"/>
    <w:multiLevelType w:val="singleLevel"/>
    <w:tmpl w:val="F6326EAA"/>
    <w:lvl w:ilvl="0">
      <w:start w:val="1"/>
      <w:numFmt w:val="decimal"/>
      <w:lvlText w:val="%1."/>
      <w:lvlJc w:val="left"/>
      <w:pPr>
        <w:tabs>
          <w:tab w:val="num" w:pos="926"/>
        </w:tabs>
        <w:ind w:left="926" w:hanging="360"/>
      </w:pPr>
    </w:lvl>
  </w:abstractNum>
  <w:abstractNum w:abstractNumId="3">
    <w:nsid w:val="FFFFFF7F"/>
    <w:multiLevelType w:val="singleLevel"/>
    <w:tmpl w:val="0B865AE2"/>
    <w:lvl w:ilvl="0">
      <w:start w:val="1"/>
      <w:numFmt w:val="decimal"/>
      <w:lvlText w:val="%1."/>
      <w:lvlJc w:val="left"/>
      <w:pPr>
        <w:tabs>
          <w:tab w:val="num" w:pos="643"/>
        </w:tabs>
        <w:ind w:left="643" w:hanging="360"/>
      </w:pPr>
    </w:lvl>
  </w:abstractNum>
  <w:abstractNum w:abstractNumId="4">
    <w:nsid w:val="FFFFFF80"/>
    <w:multiLevelType w:val="singleLevel"/>
    <w:tmpl w:val="60BA5A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02A4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6F43F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F7202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3AA3F68"/>
    <w:lvl w:ilvl="0">
      <w:start w:val="1"/>
      <w:numFmt w:val="decimal"/>
      <w:lvlText w:val="%1."/>
      <w:lvlJc w:val="left"/>
      <w:pPr>
        <w:tabs>
          <w:tab w:val="num" w:pos="360"/>
        </w:tabs>
        <w:ind w:left="360" w:hanging="360"/>
      </w:pPr>
    </w:lvl>
  </w:abstractNum>
  <w:abstractNum w:abstractNumId="9">
    <w:nsid w:val="FFFFFF89"/>
    <w:multiLevelType w:val="singleLevel"/>
    <w:tmpl w:val="C9A2D9EC"/>
    <w:lvl w:ilvl="0">
      <w:start w:val="1"/>
      <w:numFmt w:val="bullet"/>
      <w:lvlText w:val=""/>
      <w:lvlJc w:val="left"/>
      <w:pPr>
        <w:tabs>
          <w:tab w:val="num" w:pos="360"/>
        </w:tabs>
        <w:ind w:left="360" w:hanging="360"/>
      </w:pPr>
      <w:rPr>
        <w:rFonts w:ascii="Symbol" w:hAnsi="Symbol" w:hint="default"/>
      </w:rPr>
    </w:lvl>
  </w:abstractNum>
  <w:abstractNum w:abstractNumId="1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PS_TSS_1" w:val="&lt;?xml version=&quot;1.0&quot;?&gt;_x000d__x000a_&lt;tps:definitions xmlns:tps=&quot;http://www.typefi.com/TypefiStyleSheetXML&quot; xmlns:xsi=&quot;http://www.typefi.com/TypefiStyleSheetXML http://www.typefi.com/TPS/tss/3_0/TypefiStyleSheetXML.xsd&quot; schemaVersion=&quot;3.0&quot; xsi:schemaLocation=&quot;http://www.typefi.com/TypefiStyleSheetXML http://www.typefi.com/TPS/tss/3_0/TypefiStyleSheetXML.xsd&quot;&gt;_x000d__x000a_&lt;tps:tssInfo&gt;_x000d__x000a_&lt;tps:serverUrl&gt;http://typefi.itu.ch:8080&lt;/tps:serverUrl&gt;_x000d__x000a_&lt;tps:project id=&quot;1313&quot;&gt;ITU BDT Report&lt;/tps:project&gt;_x000d__x000a_&lt;tps:date&gt;2014-12-05T10:07:55Z&lt;/tps:date&gt;_x000d__x000a_&lt;/tps:tssInfo&gt;_x000d__x000a_&lt;tps:projectFields&gt;_x000d__x000a_&lt;tps:field name=&quot;Copyright year&quot; type=&quot;text&quot; value=&quot;&quot; xrefAnchor=&quot;true&quot;/&gt;_x000d__x000a_&lt;tps:field name=&quot;Title report&quot; type=&quot;text&quot; value=&quot;&quot; xrefAnchor=&quot;true&quot;/&gt;_x000d__x000a_&lt;tps:field name=&quot;Title report date&quot; type=&quot;text&quot; value=&quot;&quot; xrefAnchor=&quot;true&quot;/&gt;_x000d__x000a_&lt;/tps:projectFields&gt;_x000d__x000a_&lt;tps:sections&gt;_x000d__x000a_&lt;tps:section name=&quot;Back_matter&quot;&gt;_x000d__x000a_&lt;tps:fields/&gt;_x000d__x000a_&lt;tps:sectionElements/&gt;_x000d__x000a_&lt;/tps:section&gt;_x000d__x000a_&lt;tps:section name=&quot;EPUB_presets&quot;&gt;_x000d__x000a_&lt;tps:fields/&gt;_x000d__x000a_&lt;tps:sectionElements/&gt;_x000d__x000a_&lt;/tps:section&gt;_x000d__x000a_&lt;tps:section name=&quot;Front_matter&quot;&gt;_x000d__x000a_&lt;tps:fields/&gt;_x000d__x000a_&lt;tps:sectionElements&gt;_x000d__x000a_&lt;tps:sectionElement name=&quot;Acknowledgements&quot;&gt;_x000d__x000a_&lt;tps:frames&gt;_x000d__x000a_&lt;tps:frame type=&quot;contentFrame&quot;/&gt;_x000d__x000a_&lt;/tps:frames&gt;_x000d__x000a_&lt;/tps:sectionElement&gt;_x000d__x000a_&lt;/tps:sectionElements&gt;_x000d__x000a_&lt;/tps:section&gt;_x000d__x000a_&lt;tps:section name=&quot;Main_chapter&quot;&gt;_x000d__x000a_&lt;tps:fields/&gt;_x000d__x000a_&lt;tps:sectionElements/&gt;_x000d__x000a_&lt;/tps:section&gt;_x000d__x000a_&lt;tps:section name=&quot;Table_of_Contents&quot;&gt;_x000d__x000a_&lt;tps:fields/&gt;_x000d__x000a_&lt;tps:sectionElements/&gt;_x000d__x000a_&lt;/tps:section&gt;_x000d__x000a_&lt;/tps:sections&gt;_x000d__x000a_&lt;tps:parStyles&gt;_x000d__x000a_&lt;tps:parStyle name=&quot;Acknowledgements&quot; nextStyle=&quot;Acknowledgements&quot; xrefAnchor=&quot;false&quot;/&gt;_x000d__x000a_&lt;tps:parStyle name=&quot;Acknowledgements title&quot; nextStyle=&quot;Acknowledgements title&quot; xrefAnchor=&quot;false&quot;/&gt;_x000d__x000a_&lt;tps:parStyle name=&quot;Alpha list 1&quot; nextStyle=&quot;Alpha list 1&quot; xrefAnchor=&quot;false&quot;/&gt;_x000d__x000a_&lt;tps:parStyle name=&quot;Alpha list 1 contd&quot; nextStyle=&quot;Alpha list 1 contd&quot; xrefAnchor=&quot;false&quot;/&gt;_x000d__x000a_&lt;tps:parStyle name=&quot;Alpha list 2&quot; nextStyle=&quot;Alpha list 2&quot; xrefAnchor=&quot;false&quot;/&gt;_x000d__x000a_&lt;tps:parStyle name=&quot;APX_chapter_title&quot; nextStyle=&quot;APX_chapter_title&quot; xrefAnchor=&quot;false&quot;/&gt;_x000d__x000a_&lt;tps:parStyle name=&quot;APX_chapter_title next page&quot; nextStyle=&quot;APX_chapter_title next page&quot; xrefAnchor=&quot;false&quot;/&gt;_x000d__x000a_&lt;tps:parStyle name=&quot;APX_definitions&quot; nextStyle=&quot;APX_definitions&quot; xrefAnchor=&quot;false&quot;/&gt;_x000d__x000a_&lt;tps:parStyle name=&quot;APX_heading&quot; nextStyle=&quot;Normal&quot; xrefAnchor=&quot;false&quot;/&gt;_x000d__x000a_&lt;tps:parStyle name=&quot;APX_heading 2&quot; nextStyle=&quot;Normal&quot; xrefAnchor=&quot;false&quot;/&gt;_x000d__x000a_&lt;tps:parStyle name=&quot;APX_list alpha 1&quot; nextStyle=&quot;APX_list alpha 1&quot; xrefAnchor=&quot;false&quot;/&gt;_x000d__x000a_&lt;tps:parStyle name=&quot;APX_list alpha caps 1&quot; nextStyle=&quot;APX_list alpha caps 1&quot; xrefAnchor=&quot;false&quot;/&gt;_x000d__x000a_&lt;tps:parStyle name=&quot;APX_list number 1&quot; nextStyle=&quot;APX_list number 1&quot; xrefAnchor=&quot;false&quot;/&gt;_x000d__x000a_&lt;tps:parStyle name=&quot;APX_list roman 1&quot; nextStyle=&quot;APX_list roman 1&quot; xrefAnchor=&quot;false&quot;/&gt;_x000d__x000a_&lt;tps:parStyle name=&quot;APX_normal&quot; nextStyle=&quot;APX_normal&quot; xrefAnchor=&quot;false&quot;/&gt;_x000d__x000a_&lt;tps:parStyle name=&quot;APX_normal_bold&quot; nextStyle=&quot;APX_normal_bold&quot; xrefAnchor=&quot;false&quot;/&gt;_x000d__x000a_&lt;tps:parStyle name=&quot;APX_normal_italic&quot; nextStyle=&quot;APX_normal_italic&quot; xrefAnchor=&quot;false&quot;/&gt;_x000d__x000a_&lt;tps:parStyle name=&quot;APX_regulation&quot; nextStyle=&quot;APX_regulation&quot; xrefAnchor=&quot;false&quot;/&gt;_x000d__x000a_&lt;tps:parStyle name=&quot;Bullet list 1&quot; nextStyle=&quot;Bullet list 1&quot; xrefAnchor=&quot;false&quot;/&gt;_x000d__x000a_&lt;tps:parStyle name=&quot;Bullet list 2&quot; nextStyle=&quot;Bullet list 2&quot; xrefAnchor=&quot;false&quot;/&gt;_x000d__x000a_&lt;tps:parStyle name=&quot;Case Study Title&quot; nextStyle=&quot;Case Study Title&quot; xrefAnchor=&quot;false&quot;/&gt;_x000d__x000a_&lt;tps:parStyle name=&quot;Chapt title&quot; nextStyle=&quot;Chapt title&quot; xrefAnchor=&quot;false&quot;/&gt;_x000d__x000a_&lt;tps:parStyle name=&quot;Dash list 2&quot; nextStyle=&quot;Dash list 2&quot; xrefAnchor=&quot;false&quot;/&gt;_x000d__x000a_&lt;tps:parStyle name=&quot;Dash list 3&quot; nextStyle=&quot;Dash list 3&quot; xrefAnchor=&quot;false&quot;/&gt;_x000d__x000a_&lt;tps:parStyle name=&quot;Exhibit title&quot; nextStyle=&quot;Normal&quot; xrefAnchor=&quot;false&quot;/&gt;_x000d__x000a_&lt;tps:parStyle name=&quot;Figure title&quot; nextStyle=&quot;Normal&quot; xrefAnchor=&quot;false&quot;/&gt;_x000d__x000a_&lt;tps:parStyle name=&quot;Heading 1&quot; nextStyle=&quot;Normal&quot; xrefAnchor=&quot;false&quot;/&gt;_x000d__x000a_&lt;tps:parStyle name=&quot;Heading 1 back matter&quot; nextStyle=&quot;Normal&quot; xrefAnchor=&quot;false&quot;/&gt;_x000d__x000a_&lt;tps:parStyle name=&quot;Heading 2&quot; nextStyle=&quot;Normal&quot; xrefAnchor=&quot;false&quot;/&gt;_x000d__x000a_&lt;tps:parStyle name=&quot;Heading 2 back matter&quot; nextStyle=&quot;Normal&quot; xrefAnchor=&quot;false&quot;/&gt;_x000d__x000a_&lt;tps:parStyle name=&quot;Heading 3&quot; nextStyle=&quot;Normal&quot; xrefAnchor=&quot;false&quot;/&gt;_x000d__x000a_&lt;tps:parStyle name=&quot;Heading 4&quot; nextStyle=&quot;Heading 4&quot; xrefAnchor=&quot;false&quot;/&gt;_x000d__x000a_&lt;tps:parStyle name=&quot;Heading 5&quot; nextStyle=&quot;Heading 5&quot; xrefAnchor=&quot;false&quot;/&gt;_x000d__x000a_&lt;tps:parStyle name=&quot;Heading 5 centred&quot; nextStyle=&quot;Heading 5 centred&quot; xrefAnchor=&quot;false&quot;/&gt;_x000d__x000a_&lt;tps:parStyle name=&quot;Heading 5 contact info&quot; nextStyle=&quot;Heading 5 contact info&quot; xrefAnchor=&quot;false&quot;/&gt;_x000d__x000a_&lt;tps:parStyle name=&quot;Heading 5 next page&quot; nextStyle=&quot;Heading 5 next page&quot; xrefAnchor=&quot;false&quot;/&gt;_x000d__x000a_&lt;tps:parStyle name=&quot;Normal&quot; nextStyle=&quot;Normal&quot; xrefAnchor=&quot;false&quot;/&gt;_x000d__x000a_&lt;tps:parStyle name=&quot;Normal centred&quot; nextStyle=&quot;Normal centred&quot; xrefAnchor=&quot;false&quot;/&gt;_x000d__x000a_&lt;tps:parStyle name=&quot;Normal contact info&quot; nextStyle=&quot;Normal contact info&quot; xrefAnchor=&quot;false&quot;/&gt;_x000d__x000a_&lt;tps:parStyle name=&quot;Normal right aligned&quot; nextStyle=&quot;Normal right aligned&quot; xrefAnchor=&quot;false&quot;/&gt;_x000d__x000a_&lt;tps:parStyle name=&quot;Number list 1&quot; nextStyle=&quot;Number list 1&quot; xrefAnchor=&quot;false&quot;/&gt;_x000d__x000a_&lt;tps:parStyle name=&quot;Number list 2&quot; nextStyle=&quot;Number list 2&quot; xrefAnchor=&quot;false&quot;/&gt;_x000d__x000a_&lt;tps:parStyle name=&quot;Source text&quot; nextStyle=&quot;Source text&quot; xrefAnchor=&quot;false&quot;/&gt;_x000d__x000a_&lt;tps:parStyle name=&quot;Subtitle report&quot; nextStyle=&quot;Subtitle report&quot; xrefAnchor=&quot;false&quot;/&gt;_x000d__x000a_&lt;tps:parStyle name=&quot;Table bullet&quot; nextStyle=&quot;Table bullet&quot; xrefAnchor=&quot;false&quot;/&gt;_x000d__x000a_&lt;tps:parStyle name=&quot;Table head&quot; nextStyle=&quot;Table head&quot; xrefAnchor=&quot;false&quot;/&gt;_x000d__x000a_&lt;tps:parStyle name=&quot;Table text&quot; nextStyle=&quot;Table text&quot; xrefAnchor=&quot;false&quot;/&gt;_x000d__x000a_&lt;tps:parStyle name=&quot;Table text blue&quot; nextStyle=&quot;Table text blue&quot; xrefAnchor=&quot;false&quot;/&gt;_x000d__x000a_&lt;tps:parStyle name=&quot;Table text bold&quot; nextStyle=&quot;Table text bold&quot; xrefAnchor=&quot;false&quot;/&gt;_x000d__x000a_&lt;tps:parStyle name=&quot;Table title&quot; nextStyle=&quot;Normal&quot; xrefAnchor=&quot;false&quot;/&gt;_x000d__x000a_&lt;tps:parStyle name=&quot;Title report&quot; nextStyle=&quot;Title report&quot; xrefAnchor=&quot;false&quot;/&gt;_x000d__x000a_&lt;tps:parStyle name=&quot;Title report date&quot; nextStyle=&quot;Title report date&quot; xrefAnchor=&quot;false&quot;/&gt;_x000d__x000a_&lt;/tps:parStyles&gt;_x000d__x000a_&lt;tps:charStyles&gt;_x000d__x000a_&lt;tps:charStyle name=&quot;Blue - Normal&quot;/&gt;_x000d__x000a_&lt;tps:charStyle name=&quot;Blue bold&quot;/&gt;_x000d__x000a_&lt;tps:charStyle name=&quot;Blue bullet&quot;/&gt;_x000d__x000a_&lt;tps:charStyle name=&quot;Bold&quot;/&gt;_x000d__x000a_&lt;tps:charStyle name=&quot;Bold italic&quot;/&gt;_x000d__x000a_&lt;tps:charStyle name=&quot;Footnote Reference&quot;/&gt;_x000d__x000a_&lt;tps:charStyle name=&quot;Hyperlink&quot;/&gt;_x000d__x000a_&lt;tps:charStyle name=&quot;Italic&quot;/&gt;_x000d__x000a_&lt;tps:charStyle name=&quot;New in CC 2014&quot;/&gt;_x000d__x000a_&lt;/tps:charStyles&gt;_x000d__x000a_&lt;tps:tables&gt;_x000d__x000a_&lt;tps:table name=&quot;Border only&quot;/&gt;_x000d__x000a_&lt;tps:table name=&quot;Grey with white strokes&quot;/&gt;_x000d__x000a_&lt;tps:table name=&quot;Horizontal lines&quot;/&gt;_x000d__x000a_&lt;tps:table name=&quot;Simple table&quot;/&gt;_x000d__x000a_&lt;tps:table name=&quot;Table&quot;/&gt;_x000d__x000a_&lt;/tps:tables&gt;_x000d__x000a_&lt;tps:placedElements&gt;_x000d__x000a_&lt;tps:placedElement name=&quot;Acknowledgements&quot; parStyle=&quot;Acknowledgements&quot;/&gt;_x000d__x000a_&lt;/tps:placedElements&gt;_x000d__x000a_&lt;tps:inlineElements&gt;_x000d__x000a_&lt;tps:inlineElement name=&quot;Box&quot;&gt;_x000d__x000a_&lt;tps:frames&gt;_x000d__x000a_&lt;tps:frame type=&quot;contentFrame&quot;/&gt;_x000d__x000a_&lt;/tps:frames&gt;_x000d__x000a_&lt;/tps:inlineElement&gt;_x000d__x000a_&lt;tps:inlineElement name=&quot;Figure&quot;&gt;_x000d__x000a_&lt;tps:frames&gt;_x000d__x000a_&lt;tps:frame type=&quot;imageFrame&quot;/&gt;_x000d__x000a_&lt;/tps:frames&gt;_x000d__x000a_&lt;/tps:inlineElement&gt;_x000d__x000a_&lt;/tps:inlineElements&gt;_x000d__x000a_&lt;tps:floatingElements/&gt;_x000d__x000a_&lt;tps:conditions&gt;_x000d__x000a_&lt;tps:condition name=&quot;EPUB only&quot; descr=&quot;Tag content to only be used in EPUB&quot; color=&quot;6A3DFF&quot;/&gt;_x000d__x000a_&lt;tps:condition name=&quot;PDF only&quot; descr=&quot;Tag content to only be used in PDF&quot; color=&quot;00FF11&quot;/&gt;_x000d__x000a_&lt;/tps:conditions&gt;_x000d__x000a_&lt;tps:xrefFormats&gt;_x000d__x000a_&lt;tps:xrefFormat name=&quot;Full Paragraph&quot;/&gt;_x000d__x000a_&lt;tps:xrefFormat name=&quot;Full Paragraph &amp;amp; Page Number&quot;/&gt;_x000d__x000a_&lt;tps:xrefFormat name=&quot;Page Number&quot;/&gt;_x000d__x000a_&lt;tps:xrefFormat name=&quot;Paragraph Number&quot;/&gt;_x000d__x000a_&lt;tps:xrefFormat name=&quot;Paragraph Number &amp;amp; Page Number&quot;/&gt;_x000d__x000a_&lt;tps:xrefFormat name=&quot;Paragraph Text&quot;/&gt;_x000d__x000a_&lt;tps:xrefFormat name=&quot;Paragraph Text &amp;amp; Page Number&quot;/&gt;_x000d__x000a_&lt;tps:xrefFormat name=&quot;Text Anchor Name&quot;/&gt;_x000d__x000a_&lt;tps:xrefFormat name=&quot;Text Anchor Name &amp;amp; Page Number&quot;/&gt;_x000d__x000a_&lt;/tps:xrefFormats&gt;_x000d__x000a_&lt;/tps:definitions&gt;_x000d__x000a_"/>
  </w:docVars>
  <w:rsids>
    <w:rsidRoot w:val="00042292"/>
    <w:rsid w:val="000014FC"/>
    <w:rsid w:val="00016E45"/>
    <w:rsid w:val="00042292"/>
    <w:rsid w:val="00044D65"/>
    <w:rsid w:val="00046DA0"/>
    <w:rsid w:val="000B0DB9"/>
    <w:rsid w:val="001246B8"/>
    <w:rsid w:val="00172A71"/>
    <w:rsid w:val="00183D65"/>
    <w:rsid w:val="00190BB8"/>
    <w:rsid w:val="001B0264"/>
    <w:rsid w:val="001B26B3"/>
    <w:rsid w:val="001B2F46"/>
    <w:rsid w:val="001B395D"/>
    <w:rsid w:val="001D2295"/>
    <w:rsid w:val="001F6989"/>
    <w:rsid w:val="00220155"/>
    <w:rsid w:val="002272C8"/>
    <w:rsid w:val="00253A39"/>
    <w:rsid w:val="002960D8"/>
    <w:rsid w:val="002D76C4"/>
    <w:rsid w:val="002E254C"/>
    <w:rsid w:val="0032700A"/>
    <w:rsid w:val="00352CC3"/>
    <w:rsid w:val="00383195"/>
    <w:rsid w:val="003A5F4E"/>
    <w:rsid w:val="003D1359"/>
    <w:rsid w:val="003D2CCD"/>
    <w:rsid w:val="003F7355"/>
    <w:rsid w:val="00401291"/>
    <w:rsid w:val="00410F5B"/>
    <w:rsid w:val="00415A21"/>
    <w:rsid w:val="00424DE9"/>
    <w:rsid w:val="00427EAC"/>
    <w:rsid w:val="00437600"/>
    <w:rsid w:val="00456C44"/>
    <w:rsid w:val="00457464"/>
    <w:rsid w:val="00466CFD"/>
    <w:rsid w:val="00485EE5"/>
    <w:rsid w:val="004A70D3"/>
    <w:rsid w:val="004C7EA7"/>
    <w:rsid w:val="004E4FBE"/>
    <w:rsid w:val="004F6283"/>
    <w:rsid w:val="004F7A87"/>
    <w:rsid w:val="0050445F"/>
    <w:rsid w:val="00517E0F"/>
    <w:rsid w:val="00555F43"/>
    <w:rsid w:val="00560BB9"/>
    <w:rsid w:val="00567624"/>
    <w:rsid w:val="00574749"/>
    <w:rsid w:val="005902FF"/>
    <w:rsid w:val="00591E78"/>
    <w:rsid w:val="005C5FD1"/>
    <w:rsid w:val="005C6515"/>
    <w:rsid w:val="00607D68"/>
    <w:rsid w:val="00614DE9"/>
    <w:rsid w:val="00620181"/>
    <w:rsid w:val="006870AA"/>
    <w:rsid w:val="006A312C"/>
    <w:rsid w:val="006A731F"/>
    <w:rsid w:val="006D60F0"/>
    <w:rsid w:val="006E465B"/>
    <w:rsid w:val="006F3D6E"/>
    <w:rsid w:val="006F7442"/>
    <w:rsid w:val="00726D6B"/>
    <w:rsid w:val="007513BA"/>
    <w:rsid w:val="0076082A"/>
    <w:rsid w:val="00760C0E"/>
    <w:rsid w:val="00764AE7"/>
    <w:rsid w:val="00777D3A"/>
    <w:rsid w:val="007932A5"/>
    <w:rsid w:val="007E1B67"/>
    <w:rsid w:val="00821055"/>
    <w:rsid w:val="0083008F"/>
    <w:rsid w:val="00831A3A"/>
    <w:rsid w:val="00853AE4"/>
    <w:rsid w:val="00872FC2"/>
    <w:rsid w:val="008A2563"/>
    <w:rsid w:val="008A42D4"/>
    <w:rsid w:val="008F00DA"/>
    <w:rsid w:val="00906075"/>
    <w:rsid w:val="0092249C"/>
    <w:rsid w:val="009652B2"/>
    <w:rsid w:val="00982F3A"/>
    <w:rsid w:val="00997365"/>
    <w:rsid w:val="009D265A"/>
    <w:rsid w:val="009F17B9"/>
    <w:rsid w:val="00A0514D"/>
    <w:rsid w:val="00A07AEB"/>
    <w:rsid w:val="00A15710"/>
    <w:rsid w:val="00A31CD3"/>
    <w:rsid w:val="00A34F7B"/>
    <w:rsid w:val="00A45FE4"/>
    <w:rsid w:val="00A6617B"/>
    <w:rsid w:val="00A756E4"/>
    <w:rsid w:val="00A90236"/>
    <w:rsid w:val="00AA2C0C"/>
    <w:rsid w:val="00AA63C2"/>
    <w:rsid w:val="00AA6D52"/>
    <w:rsid w:val="00AB0DC8"/>
    <w:rsid w:val="00B36224"/>
    <w:rsid w:val="00B42F17"/>
    <w:rsid w:val="00B44E24"/>
    <w:rsid w:val="00B53935"/>
    <w:rsid w:val="00BB0E97"/>
    <w:rsid w:val="00BC5A15"/>
    <w:rsid w:val="00BE2F8A"/>
    <w:rsid w:val="00BF6B14"/>
    <w:rsid w:val="00C322DB"/>
    <w:rsid w:val="00C3372A"/>
    <w:rsid w:val="00C36A75"/>
    <w:rsid w:val="00C411AF"/>
    <w:rsid w:val="00C4221B"/>
    <w:rsid w:val="00C47BCE"/>
    <w:rsid w:val="00C57DFF"/>
    <w:rsid w:val="00CB1354"/>
    <w:rsid w:val="00CB327C"/>
    <w:rsid w:val="00CE2A82"/>
    <w:rsid w:val="00D04B86"/>
    <w:rsid w:val="00D131B8"/>
    <w:rsid w:val="00D131F9"/>
    <w:rsid w:val="00D33FA3"/>
    <w:rsid w:val="00D42AF6"/>
    <w:rsid w:val="00D56A3F"/>
    <w:rsid w:val="00D9002B"/>
    <w:rsid w:val="00DA2419"/>
    <w:rsid w:val="00DF3161"/>
    <w:rsid w:val="00DF4176"/>
    <w:rsid w:val="00DF4734"/>
    <w:rsid w:val="00E028C5"/>
    <w:rsid w:val="00E30377"/>
    <w:rsid w:val="00E40871"/>
    <w:rsid w:val="00E42B84"/>
    <w:rsid w:val="00E620B2"/>
    <w:rsid w:val="00E704B6"/>
    <w:rsid w:val="00E83748"/>
    <w:rsid w:val="00EC6A17"/>
    <w:rsid w:val="00ED6A57"/>
    <w:rsid w:val="00EE743D"/>
    <w:rsid w:val="00F13399"/>
    <w:rsid w:val="00F32218"/>
    <w:rsid w:val="00F33FDF"/>
    <w:rsid w:val="00F5475F"/>
    <w:rsid w:val="00F90A3D"/>
    <w:rsid w:val="00F91385"/>
    <w:rsid w:val="00FA412E"/>
    <w:rsid w:val="00FD6C70"/>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3"/>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1" w:unhideWhenUsed="1"/>
    <w:lsdException w:name="toc 9" w:semiHidden="1" w:unhideWhenUsed="1"/>
    <w:lsdException w:name="Normal Indent" w:semiHidden="1" w:uiPriority="1" w:unhideWhenUsed="1"/>
    <w:lsdException w:name="footnote text" w:semiHidden="1" w:uiPriority="1" w:unhideWhenUsed="1"/>
    <w:lsdException w:name="annotation text" w:semiHidden="1" w:unhideWhenUsed="1"/>
    <w:lsdException w:name="header" w:semiHidden="1" w:uiPriority="1" w:unhideWhenUsed="1"/>
    <w:lsdException w:name="footer" w:semiHidden="1" w:uiPriority="1" w:unhideWhenUsed="1"/>
    <w:lsdException w:name="index heading" w:semiHidden="1" w:uiPriority="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0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A70D3"/>
    <w:pPr>
      <w:keepNext/>
      <w:keepLines/>
      <w:spacing w:before="480"/>
      <w:ind w:left="794" w:hanging="794"/>
      <w:outlineLvl w:val="0"/>
    </w:pPr>
    <w:rPr>
      <w:b/>
    </w:rPr>
  </w:style>
  <w:style w:type="paragraph" w:styleId="Heading2">
    <w:name w:val="heading 2"/>
    <w:basedOn w:val="Heading1"/>
    <w:next w:val="Normal"/>
    <w:link w:val="Heading2Char"/>
    <w:qFormat/>
    <w:rsid w:val="004A70D3"/>
    <w:pPr>
      <w:spacing w:before="320"/>
      <w:outlineLvl w:val="1"/>
    </w:pPr>
  </w:style>
  <w:style w:type="paragraph" w:styleId="Heading3">
    <w:name w:val="heading 3"/>
    <w:basedOn w:val="Heading1"/>
    <w:next w:val="Normal"/>
    <w:qFormat/>
    <w:rsid w:val="004A70D3"/>
    <w:pPr>
      <w:spacing w:before="200"/>
      <w:outlineLvl w:val="2"/>
    </w:pPr>
  </w:style>
  <w:style w:type="paragraph" w:styleId="Heading4">
    <w:name w:val="heading 4"/>
    <w:basedOn w:val="Heading3"/>
    <w:next w:val="Normal"/>
    <w:qFormat/>
    <w:rsid w:val="004A70D3"/>
    <w:pPr>
      <w:tabs>
        <w:tab w:val="clear" w:pos="794"/>
        <w:tab w:val="left" w:pos="992"/>
      </w:tabs>
      <w:ind w:left="992" w:hanging="992"/>
      <w:outlineLvl w:val="3"/>
    </w:pPr>
  </w:style>
  <w:style w:type="paragraph" w:styleId="Heading5">
    <w:name w:val="heading 5"/>
    <w:basedOn w:val="Heading4"/>
    <w:next w:val="Normal"/>
    <w:qFormat/>
    <w:rsid w:val="004A70D3"/>
    <w:pPr>
      <w:outlineLvl w:val="4"/>
    </w:pPr>
  </w:style>
  <w:style w:type="paragraph" w:styleId="Heading6">
    <w:name w:val="heading 6"/>
    <w:basedOn w:val="Heading4"/>
    <w:next w:val="Normal"/>
    <w:uiPriority w:val="1"/>
    <w:qFormat/>
    <w:rsid w:val="004A70D3"/>
    <w:pPr>
      <w:tabs>
        <w:tab w:val="clear" w:pos="992"/>
        <w:tab w:val="clear" w:pos="1191"/>
      </w:tabs>
      <w:ind w:left="1588" w:hanging="1588"/>
      <w:outlineLvl w:val="5"/>
    </w:pPr>
  </w:style>
  <w:style w:type="paragraph" w:styleId="Heading7">
    <w:name w:val="heading 7"/>
    <w:basedOn w:val="Heading6"/>
    <w:next w:val="Normal"/>
    <w:uiPriority w:val="1"/>
    <w:qFormat/>
    <w:rsid w:val="004A70D3"/>
    <w:pPr>
      <w:outlineLvl w:val="6"/>
    </w:pPr>
  </w:style>
  <w:style w:type="paragraph" w:styleId="Heading8">
    <w:name w:val="heading 8"/>
    <w:basedOn w:val="Heading6"/>
    <w:next w:val="Normal"/>
    <w:uiPriority w:val="1"/>
    <w:qFormat/>
    <w:rsid w:val="004A70D3"/>
    <w:pPr>
      <w:outlineLvl w:val="7"/>
    </w:pPr>
  </w:style>
  <w:style w:type="paragraph" w:styleId="Heading9">
    <w:name w:val="heading 9"/>
    <w:basedOn w:val="Heading6"/>
    <w:next w:val="Normal"/>
    <w:uiPriority w:val="1"/>
    <w:qFormat/>
    <w:rsid w:val="004A70D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1"/>
    <w:semiHidden/>
    <w:rsid w:val="0032700A"/>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4A70D3"/>
    <w:rPr>
      <w:sz w:val="22"/>
      <w:lang w:val="fr-FR" w:eastAsia="en-US"/>
    </w:rPr>
  </w:style>
  <w:style w:type="character" w:styleId="PageNumber">
    <w:name w:val="page number"/>
    <w:basedOn w:val="DefaultParagraphFont"/>
    <w:uiPriority w:val="1"/>
    <w:rsid w:val="004A70D3"/>
  </w:style>
  <w:style w:type="paragraph" w:customStyle="1" w:styleId="Headingb">
    <w:name w:val="Heading_b"/>
    <w:basedOn w:val="Heading3"/>
    <w:next w:val="Normal"/>
    <w:uiPriority w:val="1"/>
    <w:rsid w:val="004A70D3"/>
    <w:pPr>
      <w:spacing w:before="160"/>
      <w:ind w:left="0" w:firstLine="0"/>
      <w:outlineLvl w:val="9"/>
    </w:pPr>
  </w:style>
  <w:style w:type="paragraph" w:customStyle="1" w:styleId="Headingi">
    <w:name w:val="Heading_i"/>
    <w:basedOn w:val="Heading3"/>
    <w:next w:val="Normal"/>
    <w:uiPriority w:val="1"/>
    <w:rsid w:val="004A70D3"/>
    <w:pPr>
      <w:spacing w:before="160"/>
      <w:ind w:left="0" w:firstLine="0"/>
    </w:pPr>
    <w:rPr>
      <w:b w:val="0"/>
      <w:i/>
    </w:rPr>
  </w:style>
  <w:style w:type="character" w:customStyle="1" w:styleId="href">
    <w:name w:val="href"/>
    <w:basedOn w:val="DefaultParagraphFont"/>
    <w:uiPriority w:val="1"/>
    <w:rsid w:val="004A70D3"/>
  </w:style>
  <w:style w:type="paragraph" w:customStyle="1" w:styleId="enumlev1">
    <w:name w:val="enumlev1"/>
    <w:basedOn w:val="Normal"/>
    <w:link w:val="enumlev1Char"/>
    <w:uiPriority w:val="1"/>
    <w:rsid w:val="004A70D3"/>
    <w:pPr>
      <w:spacing w:before="80"/>
      <w:ind w:left="794" w:hanging="794"/>
    </w:pPr>
  </w:style>
  <w:style w:type="paragraph" w:customStyle="1" w:styleId="enumlev2">
    <w:name w:val="enumlev2"/>
    <w:basedOn w:val="enumlev1"/>
    <w:uiPriority w:val="1"/>
    <w:rsid w:val="004A70D3"/>
    <w:pPr>
      <w:ind w:left="1191" w:hanging="397"/>
    </w:pPr>
  </w:style>
  <w:style w:type="paragraph" w:customStyle="1" w:styleId="enumlev3">
    <w:name w:val="enumlev3"/>
    <w:basedOn w:val="enumlev2"/>
    <w:uiPriority w:val="1"/>
    <w:rsid w:val="004A70D3"/>
    <w:pPr>
      <w:ind w:left="1588"/>
    </w:pPr>
  </w:style>
  <w:style w:type="paragraph" w:customStyle="1" w:styleId="Normalaftertitle">
    <w:name w:val="Normal_after_title"/>
    <w:basedOn w:val="Normal"/>
    <w:next w:val="Normal"/>
    <w:uiPriority w:val="1"/>
    <w:rsid w:val="004A70D3"/>
    <w:pPr>
      <w:spacing w:before="320"/>
    </w:pPr>
  </w:style>
  <w:style w:type="paragraph" w:customStyle="1" w:styleId="Note">
    <w:name w:val="Note"/>
    <w:basedOn w:val="Normal"/>
    <w:uiPriority w:val="1"/>
    <w:rsid w:val="004A70D3"/>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1"/>
    <w:rsid w:val="004A70D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1"/>
    <w:rsid w:val="004A70D3"/>
    <w:pPr>
      <w:spacing w:before="240"/>
    </w:pPr>
    <w:rPr>
      <w:sz w:val="22"/>
      <w:lang w:val="es-ES_tradnl"/>
    </w:rPr>
  </w:style>
  <w:style w:type="paragraph" w:customStyle="1" w:styleId="Recref">
    <w:name w:val="Rec_ref"/>
    <w:basedOn w:val="Normal"/>
    <w:next w:val="Recdate"/>
    <w:uiPriority w:val="1"/>
    <w:rsid w:val="004A70D3"/>
    <w:pPr>
      <w:jc w:val="center"/>
    </w:pPr>
  </w:style>
  <w:style w:type="paragraph" w:customStyle="1" w:styleId="Recdate">
    <w:name w:val="Rec_date"/>
    <w:basedOn w:val="Recref"/>
    <w:next w:val="Normalaftertitle"/>
    <w:uiPriority w:val="1"/>
    <w:rsid w:val="004A70D3"/>
    <w:pPr>
      <w:jc w:val="right"/>
    </w:pPr>
  </w:style>
  <w:style w:type="paragraph" w:customStyle="1" w:styleId="AnnexNoTitle">
    <w:name w:val="Annex_NoTitle"/>
    <w:basedOn w:val="Normal"/>
    <w:next w:val="Normalaftertitle"/>
    <w:link w:val="AnnexNoTitleChar"/>
    <w:uiPriority w:val="1"/>
    <w:rsid w:val="004A70D3"/>
    <w:pPr>
      <w:keepNext/>
      <w:keepLines/>
      <w:spacing w:before="480" w:after="80"/>
      <w:jc w:val="center"/>
    </w:pPr>
    <w:rPr>
      <w:b/>
      <w:sz w:val="28"/>
    </w:rPr>
  </w:style>
  <w:style w:type="paragraph" w:customStyle="1" w:styleId="AppendixNoTitle">
    <w:name w:val="Appendix_NoTitle"/>
    <w:basedOn w:val="AnnexNoTitle"/>
    <w:next w:val="Normal"/>
    <w:uiPriority w:val="1"/>
    <w:rsid w:val="004A70D3"/>
  </w:style>
  <w:style w:type="paragraph" w:customStyle="1" w:styleId="Tablefin">
    <w:name w:val="Table_fin"/>
    <w:basedOn w:val="Normal"/>
    <w:next w:val="Normal"/>
    <w:uiPriority w:val="1"/>
    <w:rsid w:val="004A70D3"/>
    <w:pPr>
      <w:spacing w:before="0"/>
    </w:pPr>
    <w:rPr>
      <w:sz w:val="20"/>
      <w:lang w:val="en-GB"/>
    </w:rPr>
  </w:style>
  <w:style w:type="paragraph" w:customStyle="1" w:styleId="Tablehead">
    <w:name w:val="Table_head"/>
    <w:basedOn w:val="Normal"/>
    <w:next w:val="Normal"/>
    <w:link w:val="TableheadChar"/>
    <w:uiPriority w:val="1"/>
    <w:rsid w:val="004A70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1"/>
    <w:rsid w:val="004A70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1"/>
    <w:rsid w:val="004A70D3"/>
    <w:pPr>
      <w:keepNext/>
      <w:spacing w:before="360" w:after="120"/>
      <w:jc w:val="center"/>
    </w:pPr>
  </w:style>
  <w:style w:type="paragraph" w:customStyle="1" w:styleId="Tabletext">
    <w:name w:val="Table_text"/>
    <w:basedOn w:val="Normal"/>
    <w:link w:val="TabletextChar"/>
    <w:uiPriority w:val="1"/>
    <w:rsid w:val="004A70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1"/>
    <w:rsid w:val="004A70D3"/>
    <w:pPr>
      <w:tabs>
        <w:tab w:val="clear" w:pos="1191"/>
        <w:tab w:val="clear" w:pos="1588"/>
        <w:tab w:val="clear" w:pos="1985"/>
        <w:tab w:val="center" w:pos="4820"/>
        <w:tab w:val="right" w:pos="9639"/>
      </w:tabs>
    </w:pPr>
  </w:style>
  <w:style w:type="paragraph" w:customStyle="1" w:styleId="Equationlegend">
    <w:name w:val="Equation_legend"/>
    <w:basedOn w:val="NormalIndent"/>
    <w:uiPriority w:val="1"/>
    <w:rsid w:val="004A70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1"/>
    <w:rsid w:val="004A70D3"/>
    <w:pPr>
      <w:ind w:left="794"/>
    </w:pPr>
  </w:style>
  <w:style w:type="paragraph" w:customStyle="1" w:styleId="Figurelegend">
    <w:name w:val="Figure_legend"/>
    <w:basedOn w:val="Normal"/>
    <w:uiPriority w:val="1"/>
    <w:rsid w:val="004A70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1"/>
    <w:rsid w:val="004A70D3"/>
    <w:pPr>
      <w:keepNext/>
      <w:keepLines/>
      <w:spacing w:before="480" w:after="80"/>
      <w:jc w:val="center"/>
    </w:pPr>
    <w:rPr>
      <w:caps/>
      <w:sz w:val="18"/>
    </w:rPr>
  </w:style>
  <w:style w:type="paragraph" w:customStyle="1" w:styleId="tocpart">
    <w:name w:val="tocpart"/>
    <w:basedOn w:val="Normal"/>
    <w:uiPriority w:val="1"/>
    <w:rsid w:val="004A70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1"/>
    <w:rsid w:val="004A70D3"/>
    <w:pPr>
      <w:keepNext/>
      <w:keepLines/>
      <w:spacing w:before="480"/>
      <w:jc w:val="center"/>
    </w:pPr>
    <w:rPr>
      <w:sz w:val="28"/>
    </w:rPr>
  </w:style>
  <w:style w:type="paragraph" w:customStyle="1" w:styleId="Arttitle">
    <w:name w:val="Art_title"/>
    <w:basedOn w:val="Normal"/>
    <w:next w:val="Normalaftertitle"/>
    <w:uiPriority w:val="1"/>
    <w:rsid w:val="004A70D3"/>
    <w:pPr>
      <w:keepNext/>
      <w:keepLines/>
      <w:spacing w:before="240"/>
      <w:jc w:val="center"/>
    </w:pPr>
    <w:rPr>
      <w:b/>
      <w:sz w:val="28"/>
    </w:rPr>
  </w:style>
  <w:style w:type="paragraph" w:customStyle="1" w:styleId="Blanc">
    <w:name w:val="Blanc"/>
    <w:basedOn w:val="Normal"/>
    <w:next w:val="Tabletext"/>
    <w:uiPriority w:val="1"/>
    <w:rsid w:val="004A70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1"/>
    <w:rsid w:val="004A70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1"/>
    <w:rsid w:val="004A70D3"/>
    <w:pPr>
      <w:keepNext/>
      <w:keepLines/>
      <w:spacing w:before="160"/>
      <w:ind w:left="794"/>
    </w:pPr>
    <w:rPr>
      <w:i/>
    </w:rPr>
  </w:style>
  <w:style w:type="paragraph" w:customStyle="1" w:styleId="ChapNo">
    <w:name w:val="Chap_No"/>
    <w:basedOn w:val="ArtNo"/>
    <w:next w:val="Chaptitle"/>
    <w:uiPriority w:val="1"/>
    <w:rsid w:val="004A70D3"/>
    <w:rPr>
      <w:b/>
    </w:rPr>
  </w:style>
  <w:style w:type="paragraph" w:customStyle="1" w:styleId="Chaptitle">
    <w:name w:val="Chap_title"/>
    <w:basedOn w:val="Arttitle"/>
    <w:next w:val="Normalaftertitle"/>
    <w:uiPriority w:val="1"/>
    <w:rsid w:val="004A70D3"/>
  </w:style>
  <w:style w:type="character" w:styleId="FootnoteReference">
    <w:name w:val="footnote reference"/>
    <w:basedOn w:val="DefaultParagraphFont"/>
    <w:semiHidden/>
    <w:unhideWhenUsed/>
    <w:rsid w:val="004A70D3"/>
    <w:rPr>
      <w:vertAlign w:val="superscript"/>
    </w:rPr>
  </w:style>
  <w:style w:type="paragraph" w:styleId="Index1">
    <w:name w:val="index 1"/>
    <w:basedOn w:val="Normal"/>
    <w:next w:val="Normal"/>
    <w:uiPriority w:val="1"/>
    <w:rsid w:val="004A70D3"/>
  </w:style>
  <w:style w:type="paragraph" w:styleId="Index2">
    <w:name w:val="index 2"/>
    <w:basedOn w:val="Normal"/>
    <w:next w:val="Normal"/>
    <w:uiPriority w:val="1"/>
    <w:rsid w:val="004A70D3"/>
    <w:pPr>
      <w:ind w:left="283"/>
    </w:pPr>
  </w:style>
  <w:style w:type="paragraph" w:styleId="Index3">
    <w:name w:val="index 3"/>
    <w:basedOn w:val="Normal"/>
    <w:next w:val="Normal"/>
    <w:uiPriority w:val="1"/>
    <w:rsid w:val="004A70D3"/>
    <w:pPr>
      <w:ind w:left="566"/>
    </w:pPr>
  </w:style>
  <w:style w:type="paragraph" w:styleId="IndexHeading">
    <w:name w:val="index heading"/>
    <w:basedOn w:val="Normal"/>
    <w:next w:val="Index1"/>
    <w:uiPriority w:val="1"/>
    <w:semiHidden/>
    <w:rsid w:val="004A70D3"/>
  </w:style>
  <w:style w:type="paragraph" w:customStyle="1" w:styleId="Line">
    <w:name w:val="Line"/>
    <w:basedOn w:val="Normal"/>
    <w:next w:val="Normal"/>
    <w:uiPriority w:val="1"/>
    <w:rsid w:val="004A70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1"/>
    <w:rsid w:val="004A70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1"/>
    <w:rsid w:val="004A70D3"/>
  </w:style>
  <w:style w:type="paragraph" w:customStyle="1" w:styleId="Partref">
    <w:name w:val="Part_ref"/>
    <w:basedOn w:val="Normal"/>
    <w:next w:val="Normal"/>
    <w:uiPriority w:val="1"/>
    <w:rsid w:val="004A70D3"/>
    <w:pPr>
      <w:keepNext/>
      <w:keepLines/>
      <w:spacing w:after="280"/>
      <w:jc w:val="center"/>
    </w:pPr>
  </w:style>
  <w:style w:type="paragraph" w:customStyle="1" w:styleId="Parttitle">
    <w:name w:val="Part_title"/>
    <w:basedOn w:val="Normal"/>
    <w:next w:val="Normalaftertitle"/>
    <w:uiPriority w:val="1"/>
    <w:rsid w:val="004A70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1"/>
    <w:rsid w:val="004A70D3"/>
  </w:style>
  <w:style w:type="paragraph" w:customStyle="1" w:styleId="QuestionNo">
    <w:name w:val="Question_No"/>
    <w:basedOn w:val="RecNo"/>
    <w:next w:val="Normal"/>
    <w:uiPriority w:val="1"/>
    <w:rsid w:val="004A70D3"/>
  </w:style>
  <w:style w:type="paragraph" w:customStyle="1" w:styleId="Questionref">
    <w:name w:val="Question_ref"/>
    <w:basedOn w:val="Recref"/>
    <w:next w:val="Questiondate"/>
    <w:uiPriority w:val="1"/>
    <w:rsid w:val="004A70D3"/>
  </w:style>
  <w:style w:type="paragraph" w:customStyle="1" w:styleId="Questiontitle">
    <w:name w:val="Question_title"/>
    <w:basedOn w:val="Normal"/>
    <w:next w:val="Questionref"/>
    <w:uiPriority w:val="1"/>
    <w:rsid w:val="004A70D3"/>
  </w:style>
  <w:style w:type="paragraph" w:customStyle="1" w:styleId="Reftext">
    <w:name w:val="Ref_text"/>
    <w:basedOn w:val="Normal"/>
    <w:uiPriority w:val="1"/>
    <w:rsid w:val="004A70D3"/>
    <w:pPr>
      <w:ind w:left="794" w:hanging="794"/>
    </w:pPr>
    <w:rPr>
      <w:sz w:val="22"/>
    </w:rPr>
  </w:style>
  <w:style w:type="paragraph" w:customStyle="1" w:styleId="Reftitle">
    <w:name w:val="Ref_title"/>
    <w:basedOn w:val="Normal"/>
    <w:next w:val="Reftext"/>
    <w:uiPriority w:val="1"/>
    <w:rsid w:val="004A70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1"/>
    <w:rsid w:val="004A70D3"/>
  </w:style>
  <w:style w:type="paragraph" w:customStyle="1" w:styleId="RepNo">
    <w:name w:val="Rep_No"/>
    <w:basedOn w:val="RecNo"/>
    <w:next w:val="Reptitle"/>
    <w:uiPriority w:val="1"/>
    <w:rsid w:val="004A70D3"/>
  </w:style>
  <w:style w:type="paragraph" w:customStyle="1" w:styleId="Repref">
    <w:name w:val="Rep_ref"/>
    <w:basedOn w:val="Recref"/>
    <w:next w:val="Repdate"/>
    <w:uiPriority w:val="1"/>
    <w:rsid w:val="004A70D3"/>
  </w:style>
  <w:style w:type="paragraph" w:customStyle="1" w:styleId="Reptitle">
    <w:name w:val="Rep_title"/>
    <w:basedOn w:val="Rectitle"/>
    <w:next w:val="Repref"/>
    <w:uiPriority w:val="1"/>
    <w:rsid w:val="004A70D3"/>
  </w:style>
  <w:style w:type="paragraph" w:customStyle="1" w:styleId="Resdate">
    <w:name w:val="Res_date"/>
    <w:basedOn w:val="Recdate"/>
    <w:next w:val="Normalaftertitle"/>
    <w:uiPriority w:val="1"/>
    <w:rsid w:val="004A70D3"/>
  </w:style>
  <w:style w:type="paragraph" w:customStyle="1" w:styleId="ResNo">
    <w:name w:val="Res_No"/>
    <w:basedOn w:val="RecNo"/>
    <w:next w:val="Restitle"/>
    <w:uiPriority w:val="1"/>
    <w:rsid w:val="004A70D3"/>
  </w:style>
  <w:style w:type="paragraph" w:customStyle="1" w:styleId="Resref">
    <w:name w:val="Res_ref"/>
    <w:basedOn w:val="Recref"/>
    <w:next w:val="Resdate"/>
    <w:uiPriority w:val="1"/>
    <w:rsid w:val="004A70D3"/>
  </w:style>
  <w:style w:type="paragraph" w:customStyle="1" w:styleId="Restitle">
    <w:name w:val="Res_title"/>
    <w:basedOn w:val="Normal"/>
    <w:next w:val="Resref"/>
    <w:uiPriority w:val="1"/>
    <w:rsid w:val="004A70D3"/>
    <w:pPr>
      <w:spacing w:before="240"/>
      <w:jc w:val="center"/>
    </w:pPr>
    <w:rPr>
      <w:b/>
      <w:sz w:val="28"/>
    </w:rPr>
  </w:style>
  <w:style w:type="paragraph" w:customStyle="1" w:styleId="SectionNo">
    <w:name w:val="Section_No"/>
    <w:basedOn w:val="Normal"/>
    <w:next w:val="Normal"/>
    <w:uiPriority w:val="1"/>
    <w:rsid w:val="004A70D3"/>
  </w:style>
  <w:style w:type="paragraph" w:customStyle="1" w:styleId="Sectiontitle">
    <w:name w:val="Section_title"/>
    <w:basedOn w:val="Normal"/>
    <w:next w:val="Normalaftertitle"/>
    <w:uiPriority w:val="1"/>
    <w:rsid w:val="004A70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1"/>
    <w:rsid w:val="004A70D3"/>
    <w:pPr>
      <w:tabs>
        <w:tab w:val="clear" w:pos="794"/>
        <w:tab w:val="clear" w:pos="1191"/>
        <w:tab w:val="clear" w:pos="1588"/>
        <w:tab w:val="clear" w:pos="1985"/>
        <w:tab w:val="right" w:pos="9611"/>
      </w:tabs>
    </w:pPr>
    <w:rPr>
      <w:i/>
    </w:rPr>
  </w:style>
  <w:style w:type="paragraph" w:styleId="TOC1">
    <w:name w:val="toc 1"/>
    <w:basedOn w:val="Normal"/>
    <w:uiPriority w:val="1"/>
    <w:rsid w:val="004A70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1"/>
    <w:rsid w:val="004A70D3"/>
    <w:pPr>
      <w:tabs>
        <w:tab w:val="clear" w:pos="567"/>
        <w:tab w:val="left" w:pos="1276"/>
      </w:tabs>
      <w:spacing w:before="160"/>
      <w:ind w:left="1276" w:hanging="709"/>
    </w:pPr>
  </w:style>
  <w:style w:type="paragraph" w:styleId="TOC3">
    <w:name w:val="toc 3"/>
    <w:basedOn w:val="TOC2"/>
    <w:uiPriority w:val="1"/>
    <w:rsid w:val="004A70D3"/>
    <w:pPr>
      <w:tabs>
        <w:tab w:val="clear" w:pos="1276"/>
        <w:tab w:val="left" w:pos="2155"/>
      </w:tabs>
      <w:ind w:left="2155" w:hanging="879"/>
    </w:pPr>
  </w:style>
  <w:style w:type="paragraph" w:styleId="TOC4">
    <w:name w:val="toc 4"/>
    <w:basedOn w:val="TOC3"/>
    <w:uiPriority w:val="1"/>
    <w:rsid w:val="004A70D3"/>
    <w:pPr>
      <w:tabs>
        <w:tab w:val="left" w:pos="3261"/>
      </w:tabs>
      <w:spacing w:before="80"/>
      <w:ind w:left="3261" w:hanging="993"/>
    </w:pPr>
  </w:style>
  <w:style w:type="paragraph" w:styleId="TOC5">
    <w:name w:val="toc 5"/>
    <w:basedOn w:val="TOC4"/>
    <w:uiPriority w:val="1"/>
    <w:rsid w:val="004A70D3"/>
  </w:style>
  <w:style w:type="paragraph" w:styleId="TOC6">
    <w:name w:val="toc 6"/>
    <w:basedOn w:val="TOC4"/>
    <w:uiPriority w:val="1"/>
    <w:rsid w:val="004A70D3"/>
  </w:style>
  <w:style w:type="paragraph" w:styleId="TOC7">
    <w:name w:val="toc 7"/>
    <w:basedOn w:val="TOC4"/>
    <w:uiPriority w:val="1"/>
    <w:rsid w:val="004A70D3"/>
  </w:style>
  <w:style w:type="paragraph" w:styleId="TOC8">
    <w:name w:val="toc 8"/>
    <w:basedOn w:val="TOC4"/>
    <w:uiPriority w:val="1"/>
    <w:rsid w:val="004A70D3"/>
  </w:style>
  <w:style w:type="paragraph" w:customStyle="1" w:styleId="Rectitle">
    <w:name w:val="Rec_title"/>
    <w:basedOn w:val="Normal"/>
    <w:next w:val="Recref"/>
    <w:uiPriority w:val="1"/>
    <w:rsid w:val="004A70D3"/>
    <w:pPr>
      <w:keepNext/>
      <w:keepLines/>
      <w:spacing w:before="240"/>
      <w:jc w:val="center"/>
    </w:pPr>
    <w:rPr>
      <w:b/>
      <w:sz w:val="28"/>
    </w:rPr>
  </w:style>
  <w:style w:type="paragraph" w:customStyle="1" w:styleId="Annexref">
    <w:name w:val="Annex_ref"/>
    <w:basedOn w:val="Normal"/>
    <w:next w:val="Normalaftertitle"/>
    <w:uiPriority w:val="1"/>
    <w:rsid w:val="004A70D3"/>
    <w:pPr>
      <w:keepNext/>
      <w:keepLines/>
      <w:spacing w:after="280"/>
      <w:jc w:val="center"/>
    </w:pPr>
  </w:style>
  <w:style w:type="paragraph" w:customStyle="1" w:styleId="Appendixref">
    <w:name w:val="Appendix_ref"/>
    <w:basedOn w:val="Annexref"/>
    <w:next w:val="Normalaftertitle"/>
    <w:uiPriority w:val="1"/>
    <w:rsid w:val="004A70D3"/>
  </w:style>
  <w:style w:type="paragraph" w:customStyle="1" w:styleId="Figuretitle">
    <w:name w:val="Figure_title"/>
    <w:basedOn w:val="Normal"/>
    <w:next w:val="Figure"/>
    <w:uiPriority w:val="1"/>
    <w:rsid w:val="004A70D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1"/>
    <w:rsid w:val="004A70D3"/>
    <w:pPr>
      <w:keepNext/>
      <w:spacing w:before="0" w:after="120"/>
      <w:jc w:val="center"/>
    </w:pPr>
    <w:rPr>
      <w:b/>
    </w:rPr>
  </w:style>
  <w:style w:type="paragraph" w:customStyle="1" w:styleId="Summary">
    <w:name w:val="Summary"/>
    <w:basedOn w:val="Normal"/>
    <w:next w:val="Normalaftertitle"/>
    <w:autoRedefine/>
    <w:uiPriority w:val="1"/>
    <w:rsid w:val="004A70D3"/>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uiPriority w:val="1"/>
    <w:rsid w:val="004A70D3"/>
    <w:pPr>
      <w:keepNext w:val="0"/>
      <w:spacing w:before="0" w:after="240"/>
    </w:pPr>
  </w:style>
  <w:style w:type="paragraph" w:styleId="Footer">
    <w:name w:val="footer"/>
    <w:basedOn w:val="Normal"/>
    <w:link w:val="FooterChar"/>
    <w:uiPriority w:val="1"/>
    <w:unhideWhenUsed/>
    <w:rsid w:val="007513BA"/>
    <w:pPr>
      <w:tabs>
        <w:tab w:val="clear" w:pos="794"/>
        <w:tab w:val="clear" w:pos="1191"/>
        <w:tab w:val="clear" w:pos="1588"/>
        <w:tab w:val="clear" w:pos="1985"/>
        <w:tab w:val="center" w:pos="4513"/>
        <w:tab w:val="right" w:pos="9026"/>
      </w:tabs>
      <w:spacing w:before="0"/>
    </w:pPr>
  </w:style>
  <w:style w:type="paragraph" w:customStyle="1" w:styleId="TableLegendNote">
    <w:name w:val="Table_Legend_Note"/>
    <w:basedOn w:val="Tablelegend"/>
    <w:next w:val="Tablelegend"/>
    <w:uiPriority w:val="1"/>
    <w:rsid w:val="004A70D3"/>
    <w:pPr>
      <w:ind w:left="-85" w:firstLine="0"/>
    </w:pPr>
    <w:rPr>
      <w:lang w:val="en-US"/>
    </w:rPr>
  </w:style>
  <w:style w:type="character" w:customStyle="1" w:styleId="FooterChar">
    <w:name w:val="Footer Char"/>
    <w:basedOn w:val="DefaultParagraphFont"/>
    <w:link w:val="Footer"/>
    <w:rsid w:val="007513BA"/>
    <w:rPr>
      <w:sz w:val="24"/>
      <w:lang w:val="fr-FR" w:eastAsia="en-US"/>
    </w:rPr>
  </w:style>
  <w:style w:type="paragraph" w:styleId="Header">
    <w:name w:val="header"/>
    <w:basedOn w:val="Normal"/>
    <w:link w:val="HeaderChar"/>
    <w:uiPriority w:val="1"/>
    <w:unhideWhenUsed/>
    <w:rsid w:val="007513BA"/>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7513BA"/>
    <w:rPr>
      <w:sz w:val="24"/>
      <w:lang w:val="fr-FR" w:eastAsia="en-US"/>
    </w:rPr>
  </w:style>
  <w:style w:type="paragraph" w:customStyle="1" w:styleId="Normalaftertitle0">
    <w:name w:val="Normal after title"/>
    <w:basedOn w:val="Normal"/>
    <w:next w:val="Normal"/>
    <w:link w:val="NormalaftertitleCar"/>
    <w:uiPriority w:val="1"/>
    <w:rsid w:val="00C411AF"/>
    <w:pPr>
      <w:spacing w:before="480"/>
    </w:pPr>
    <w:rPr>
      <w:sz w:val="20"/>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customStyle="1" w:styleId="TablelegendChar">
    <w:name w:val="Table_legend Char"/>
    <w:basedOn w:val="DefaultParagraphFont"/>
    <w:link w:val="Tablelegend"/>
    <w:rsid w:val="00E028C5"/>
    <w:rPr>
      <w:sz w:val="22"/>
      <w:lang w:val="fr-FR" w:eastAsia="en-US"/>
    </w:rPr>
  </w:style>
  <w:style w:type="character" w:customStyle="1" w:styleId="enumlev1Char">
    <w:name w:val="enumlev1 Char"/>
    <w:basedOn w:val="DefaultParagraphFont"/>
    <w:link w:val="enumlev1"/>
    <w:rsid w:val="00E028C5"/>
    <w:rPr>
      <w:sz w:val="24"/>
      <w:lang w:val="fr-FR" w:eastAsia="en-US"/>
    </w:rPr>
  </w:style>
  <w:style w:type="character" w:customStyle="1" w:styleId="NormalaftertitleCar">
    <w:name w:val="Normal after title Car"/>
    <w:basedOn w:val="DefaultParagraphFont"/>
    <w:link w:val="Normalaftertitle0"/>
    <w:rsid w:val="00E028C5"/>
    <w:rPr>
      <w:lang w:val="en-GB"/>
    </w:rPr>
  </w:style>
  <w:style w:type="character" w:customStyle="1" w:styleId="AnnexNoTitleChar">
    <w:name w:val="Annex_NoTitle Char"/>
    <w:basedOn w:val="DefaultParagraphFont"/>
    <w:link w:val="AnnexNoTitle"/>
    <w:rsid w:val="00E028C5"/>
    <w:rPr>
      <w:b/>
      <w:sz w:val="28"/>
      <w:lang w:val="fr-FR" w:eastAsia="en-US"/>
    </w:rPr>
  </w:style>
  <w:style w:type="character" w:customStyle="1" w:styleId="TabletitleChar">
    <w:name w:val="Table_title Char"/>
    <w:basedOn w:val="DefaultParagraphFont"/>
    <w:link w:val="Tabletitle"/>
    <w:rsid w:val="00E028C5"/>
    <w:rPr>
      <w:b/>
      <w:sz w:val="24"/>
      <w:lang w:val="fr-FR" w:eastAsia="en-US"/>
    </w:rPr>
  </w:style>
  <w:style w:type="character" w:customStyle="1" w:styleId="TableNoChar">
    <w:name w:val="Table_No Char"/>
    <w:basedOn w:val="DefaultParagraphFont"/>
    <w:link w:val="TableNo"/>
    <w:rsid w:val="00E028C5"/>
    <w:rPr>
      <w:sz w:val="24"/>
      <w:lang w:val="fr-FR" w:eastAsia="en-US"/>
    </w:rPr>
  </w:style>
  <w:style w:type="paragraph" w:customStyle="1" w:styleId="Acknowledgements">
    <w:name w:val="Acknowledgements"/>
    <w:basedOn w:val="Normal"/>
    <w:rsid w:val="00DA2419"/>
    <w:rPr>
      <w:lang w:val="es-ES_tradnl"/>
    </w:rPr>
  </w:style>
  <w:style w:type="paragraph" w:customStyle="1" w:styleId="Acknowledgementstitle">
    <w:name w:val="Acknowledgements title"/>
    <w:basedOn w:val="Normal"/>
    <w:rsid w:val="00DA2419"/>
    <w:rPr>
      <w:lang w:val="es-ES_tradnl"/>
    </w:rPr>
  </w:style>
  <w:style w:type="paragraph" w:customStyle="1" w:styleId="Alphalist1">
    <w:name w:val="Alpha list 1"/>
    <w:basedOn w:val="Normal"/>
    <w:rsid w:val="00DA2419"/>
    <w:rPr>
      <w:lang w:val="es-ES_tradnl"/>
    </w:rPr>
  </w:style>
  <w:style w:type="paragraph" w:customStyle="1" w:styleId="Alphalist1contd">
    <w:name w:val="Alpha list 1 contd"/>
    <w:basedOn w:val="Normal"/>
    <w:rsid w:val="00DA2419"/>
    <w:rPr>
      <w:lang w:val="es-ES_tradnl"/>
    </w:rPr>
  </w:style>
  <w:style w:type="paragraph" w:customStyle="1" w:styleId="Alphalist2">
    <w:name w:val="Alpha list 2"/>
    <w:basedOn w:val="Normal"/>
    <w:rsid w:val="00DA2419"/>
    <w:rPr>
      <w:lang w:val="es-ES_tradnl"/>
    </w:rPr>
  </w:style>
  <w:style w:type="paragraph" w:customStyle="1" w:styleId="APXchaptertitle">
    <w:name w:val="APX_chapter_title"/>
    <w:basedOn w:val="Normal"/>
    <w:rsid w:val="00DA2419"/>
    <w:rPr>
      <w:lang w:val="es-ES_tradnl"/>
    </w:rPr>
  </w:style>
  <w:style w:type="paragraph" w:customStyle="1" w:styleId="APXchaptertitlenextpage">
    <w:name w:val="APX_chapter_title next page"/>
    <w:basedOn w:val="Normal"/>
    <w:rsid w:val="00DA2419"/>
    <w:rPr>
      <w:lang w:val="es-ES_tradnl"/>
    </w:rPr>
  </w:style>
  <w:style w:type="paragraph" w:customStyle="1" w:styleId="APXdefinitions">
    <w:name w:val="APX_definitions"/>
    <w:basedOn w:val="Normal"/>
    <w:rsid w:val="00DA2419"/>
    <w:rPr>
      <w:lang w:val="es-ES_tradnl"/>
    </w:rPr>
  </w:style>
  <w:style w:type="paragraph" w:customStyle="1" w:styleId="APXheading">
    <w:name w:val="APX_heading"/>
    <w:basedOn w:val="Normal"/>
    <w:next w:val="Normal"/>
    <w:rsid w:val="00DA2419"/>
    <w:rPr>
      <w:lang w:val="es-ES_tradnl"/>
    </w:rPr>
  </w:style>
  <w:style w:type="paragraph" w:customStyle="1" w:styleId="APXheading2">
    <w:name w:val="APX_heading 2"/>
    <w:basedOn w:val="Normal"/>
    <w:next w:val="Normal"/>
    <w:rsid w:val="00DA2419"/>
    <w:rPr>
      <w:lang w:val="es-ES_tradnl"/>
    </w:rPr>
  </w:style>
  <w:style w:type="paragraph" w:customStyle="1" w:styleId="APXlistalpha1">
    <w:name w:val="APX_list alpha 1"/>
    <w:basedOn w:val="Normal"/>
    <w:rsid w:val="00DA2419"/>
    <w:rPr>
      <w:lang w:val="es-ES_tradnl"/>
    </w:rPr>
  </w:style>
  <w:style w:type="paragraph" w:customStyle="1" w:styleId="APXlistalphacaps1">
    <w:name w:val="APX_list alpha caps 1"/>
    <w:basedOn w:val="Normal"/>
    <w:rsid w:val="00DA2419"/>
    <w:rPr>
      <w:lang w:val="es-ES_tradnl"/>
    </w:rPr>
  </w:style>
  <w:style w:type="paragraph" w:customStyle="1" w:styleId="APXlistnumber1">
    <w:name w:val="APX_list number 1"/>
    <w:basedOn w:val="Normal"/>
    <w:rsid w:val="00DA2419"/>
    <w:rPr>
      <w:lang w:val="es-ES_tradnl"/>
    </w:rPr>
  </w:style>
  <w:style w:type="paragraph" w:customStyle="1" w:styleId="APXlistroman1">
    <w:name w:val="APX_list roman 1"/>
    <w:basedOn w:val="Normal"/>
    <w:rsid w:val="00DA2419"/>
    <w:rPr>
      <w:lang w:val="es-ES_tradnl"/>
    </w:rPr>
  </w:style>
  <w:style w:type="paragraph" w:customStyle="1" w:styleId="APXnormal">
    <w:name w:val="APX_normal"/>
    <w:basedOn w:val="Normal"/>
    <w:rsid w:val="00DA2419"/>
    <w:rPr>
      <w:lang w:val="es-ES_tradnl"/>
    </w:rPr>
  </w:style>
  <w:style w:type="paragraph" w:customStyle="1" w:styleId="APXnormalbold">
    <w:name w:val="APX_normal_bold"/>
    <w:basedOn w:val="Normal"/>
    <w:rsid w:val="00DA2419"/>
    <w:rPr>
      <w:lang w:val="es-ES_tradnl"/>
    </w:rPr>
  </w:style>
  <w:style w:type="paragraph" w:customStyle="1" w:styleId="APXnormalitalic">
    <w:name w:val="APX_normal_italic"/>
    <w:basedOn w:val="Normal"/>
    <w:rsid w:val="00DA2419"/>
    <w:rPr>
      <w:lang w:val="es-ES_tradnl"/>
    </w:rPr>
  </w:style>
  <w:style w:type="paragraph" w:customStyle="1" w:styleId="APXregulation">
    <w:name w:val="APX_regulation"/>
    <w:basedOn w:val="Normal"/>
    <w:rsid w:val="00DA2419"/>
    <w:rPr>
      <w:lang w:val="es-ES_tradnl"/>
    </w:rPr>
  </w:style>
  <w:style w:type="paragraph" w:customStyle="1" w:styleId="Bulletlist1">
    <w:name w:val="Bullet list 1"/>
    <w:basedOn w:val="Normal"/>
    <w:rsid w:val="00DA2419"/>
    <w:rPr>
      <w:lang w:val="es-ES_tradnl"/>
    </w:rPr>
  </w:style>
  <w:style w:type="paragraph" w:customStyle="1" w:styleId="Bulletlist2">
    <w:name w:val="Bullet list 2"/>
    <w:basedOn w:val="Normal"/>
    <w:rsid w:val="00DA2419"/>
    <w:rPr>
      <w:lang w:val="es-ES_tradnl"/>
    </w:rPr>
  </w:style>
  <w:style w:type="paragraph" w:customStyle="1" w:styleId="CaseStudyTitle">
    <w:name w:val="Case Study Title"/>
    <w:basedOn w:val="Normal"/>
    <w:rsid w:val="00DA2419"/>
    <w:rPr>
      <w:lang w:val="es-ES_tradnl"/>
    </w:rPr>
  </w:style>
  <w:style w:type="paragraph" w:customStyle="1" w:styleId="Chapttitle">
    <w:name w:val="Chapt title"/>
    <w:basedOn w:val="Normal"/>
    <w:rsid w:val="00DA2419"/>
    <w:rPr>
      <w:lang w:val="es-ES_tradnl"/>
    </w:rPr>
  </w:style>
  <w:style w:type="paragraph" w:customStyle="1" w:styleId="Dashlist2">
    <w:name w:val="Dash list 2"/>
    <w:basedOn w:val="Normal"/>
    <w:rsid w:val="00DA2419"/>
    <w:rPr>
      <w:lang w:val="es-ES_tradnl"/>
    </w:rPr>
  </w:style>
  <w:style w:type="paragraph" w:customStyle="1" w:styleId="Dashlist3">
    <w:name w:val="Dash list 3"/>
    <w:basedOn w:val="Normal"/>
    <w:rsid w:val="00DA2419"/>
    <w:rPr>
      <w:lang w:val="es-ES_tradnl"/>
    </w:rPr>
  </w:style>
  <w:style w:type="paragraph" w:customStyle="1" w:styleId="Exhibittitle">
    <w:name w:val="Exhibit title"/>
    <w:basedOn w:val="Normal"/>
    <w:next w:val="Normal"/>
    <w:rsid w:val="00DA2419"/>
    <w:rPr>
      <w:lang w:val="es-ES_tradnl"/>
    </w:rPr>
  </w:style>
  <w:style w:type="paragraph" w:customStyle="1" w:styleId="Figuretitle0">
    <w:name w:val="Figure title"/>
    <w:basedOn w:val="Normal"/>
    <w:next w:val="Normal"/>
    <w:rsid w:val="00DA2419"/>
    <w:rPr>
      <w:lang w:val="es-ES_tradnl"/>
    </w:rPr>
  </w:style>
  <w:style w:type="paragraph" w:customStyle="1" w:styleId="Heading1backmatter">
    <w:name w:val="Heading 1 back matter"/>
    <w:basedOn w:val="Normal"/>
    <w:next w:val="Normal"/>
    <w:rsid w:val="00DA2419"/>
    <w:rPr>
      <w:lang w:val="es-ES_tradnl"/>
    </w:rPr>
  </w:style>
  <w:style w:type="paragraph" w:customStyle="1" w:styleId="Heading2backmatter">
    <w:name w:val="Heading 2 back matter"/>
    <w:basedOn w:val="Normal"/>
    <w:next w:val="Normal"/>
    <w:rsid w:val="00DA2419"/>
    <w:rPr>
      <w:lang w:val="es-ES_tradnl"/>
    </w:rPr>
  </w:style>
  <w:style w:type="paragraph" w:customStyle="1" w:styleId="Heading5centred">
    <w:name w:val="Heading 5 centred"/>
    <w:basedOn w:val="Normal"/>
    <w:rsid w:val="00DA2419"/>
    <w:rPr>
      <w:lang w:val="es-ES_tradnl"/>
    </w:rPr>
  </w:style>
  <w:style w:type="paragraph" w:customStyle="1" w:styleId="Heading5contactinfo">
    <w:name w:val="Heading 5 contact info"/>
    <w:basedOn w:val="Normal"/>
    <w:rsid w:val="00DA2419"/>
    <w:rPr>
      <w:lang w:val="es-ES_tradnl"/>
    </w:rPr>
  </w:style>
  <w:style w:type="paragraph" w:customStyle="1" w:styleId="Heading5nextpage">
    <w:name w:val="Heading 5 next page"/>
    <w:basedOn w:val="Normal"/>
    <w:rsid w:val="00DA2419"/>
    <w:rPr>
      <w:lang w:val="es-ES_tradnl"/>
    </w:rPr>
  </w:style>
  <w:style w:type="paragraph" w:customStyle="1" w:styleId="Normalcentred">
    <w:name w:val="Normal centred"/>
    <w:basedOn w:val="Normal"/>
    <w:rsid w:val="00DA2419"/>
    <w:rPr>
      <w:lang w:val="es-ES_tradnl"/>
    </w:rPr>
  </w:style>
  <w:style w:type="paragraph" w:customStyle="1" w:styleId="Normalcontactinfo">
    <w:name w:val="Normal contact info"/>
    <w:basedOn w:val="Normal"/>
    <w:rsid w:val="00DA2419"/>
    <w:rPr>
      <w:lang w:val="es-ES_tradnl"/>
    </w:rPr>
  </w:style>
  <w:style w:type="paragraph" w:customStyle="1" w:styleId="Normalrightaligned">
    <w:name w:val="Normal right aligned"/>
    <w:basedOn w:val="Normal"/>
    <w:rsid w:val="00DA2419"/>
    <w:rPr>
      <w:lang w:val="es-ES_tradnl"/>
    </w:rPr>
  </w:style>
  <w:style w:type="paragraph" w:customStyle="1" w:styleId="Numberlist1">
    <w:name w:val="Number list 1"/>
    <w:basedOn w:val="Normal"/>
    <w:rsid w:val="00DA2419"/>
    <w:rPr>
      <w:lang w:val="es-ES_tradnl"/>
    </w:rPr>
  </w:style>
  <w:style w:type="paragraph" w:customStyle="1" w:styleId="Numberlist2">
    <w:name w:val="Number list 2"/>
    <w:basedOn w:val="Normal"/>
    <w:rsid w:val="00DA2419"/>
    <w:rPr>
      <w:lang w:val="es-ES_tradnl"/>
    </w:rPr>
  </w:style>
  <w:style w:type="paragraph" w:customStyle="1" w:styleId="Sourcetext">
    <w:name w:val="Source text"/>
    <w:basedOn w:val="Normal"/>
    <w:rsid w:val="00DA2419"/>
    <w:rPr>
      <w:lang w:val="es-ES_tradnl"/>
    </w:rPr>
  </w:style>
  <w:style w:type="paragraph" w:customStyle="1" w:styleId="Subtitlereport">
    <w:name w:val="Subtitle report"/>
    <w:basedOn w:val="Normal"/>
    <w:rsid w:val="00DA2419"/>
    <w:rPr>
      <w:lang w:val="es-ES_tradnl"/>
    </w:rPr>
  </w:style>
  <w:style w:type="paragraph" w:customStyle="1" w:styleId="Tablebullet">
    <w:name w:val="Table bullet"/>
    <w:basedOn w:val="Normal"/>
    <w:rsid w:val="00DA2419"/>
    <w:rPr>
      <w:lang w:val="es-ES_tradnl"/>
    </w:rPr>
  </w:style>
  <w:style w:type="paragraph" w:customStyle="1" w:styleId="Tablehead0">
    <w:name w:val="Table head"/>
    <w:basedOn w:val="Normal"/>
    <w:rsid w:val="00DA2419"/>
    <w:rPr>
      <w:lang w:val="es-ES_tradnl"/>
    </w:rPr>
  </w:style>
  <w:style w:type="paragraph" w:customStyle="1" w:styleId="Tabletext0">
    <w:name w:val="Table text"/>
    <w:basedOn w:val="Normal"/>
    <w:rsid w:val="00DA2419"/>
    <w:rPr>
      <w:lang w:val="es-ES_tradnl"/>
    </w:rPr>
  </w:style>
  <w:style w:type="paragraph" w:customStyle="1" w:styleId="Tabletextblue">
    <w:name w:val="Table text blue"/>
    <w:basedOn w:val="Normal"/>
    <w:rsid w:val="00DA2419"/>
    <w:rPr>
      <w:lang w:val="es-ES_tradnl"/>
    </w:rPr>
  </w:style>
  <w:style w:type="paragraph" w:customStyle="1" w:styleId="Tabletextbold">
    <w:name w:val="Table text bold"/>
    <w:basedOn w:val="Normal"/>
    <w:rsid w:val="00DA2419"/>
    <w:rPr>
      <w:lang w:val="es-ES_tradnl"/>
    </w:rPr>
  </w:style>
  <w:style w:type="paragraph" w:customStyle="1" w:styleId="Tabletitle0">
    <w:name w:val="Table title"/>
    <w:basedOn w:val="Normal"/>
    <w:next w:val="Normal"/>
    <w:rsid w:val="00DA2419"/>
    <w:rPr>
      <w:lang w:val="es-ES_tradnl"/>
    </w:rPr>
  </w:style>
  <w:style w:type="paragraph" w:customStyle="1" w:styleId="Titlereport">
    <w:name w:val="Title report"/>
    <w:basedOn w:val="Normal"/>
    <w:rsid w:val="00DA2419"/>
    <w:rPr>
      <w:lang w:val="es-ES_tradnl"/>
    </w:rPr>
  </w:style>
  <w:style w:type="paragraph" w:customStyle="1" w:styleId="Titlereportdate">
    <w:name w:val="Title report date"/>
    <w:basedOn w:val="Normal"/>
    <w:rsid w:val="00DA2419"/>
    <w:rPr>
      <w:lang w:val="es-ES_tradnl"/>
    </w:rPr>
  </w:style>
  <w:style w:type="character" w:customStyle="1" w:styleId="Blue-Normal">
    <w:name w:val="Blue - Normal"/>
    <w:rsid w:val="00DA2419"/>
    <w:rPr>
      <w:lang w:val="fr-FR"/>
    </w:rPr>
  </w:style>
  <w:style w:type="character" w:customStyle="1" w:styleId="Bluebold">
    <w:name w:val="Blue bold"/>
    <w:rsid w:val="00DA2419"/>
    <w:rPr>
      <w:lang w:val="fr-FR"/>
    </w:rPr>
  </w:style>
  <w:style w:type="character" w:customStyle="1" w:styleId="Bluebullet">
    <w:name w:val="Blue bullet"/>
    <w:rsid w:val="00DA2419"/>
    <w:rPr>
      <w:lang w:val="fr-FR"/>
    </w:rPr>
  </w:style>
  <w:style w:type="character" w:customStyle="1" w:styleId="Bold">
    <w:name w:val="Bold"/>
    <w:rsid w:val="00DA2419"/>
    <w:rPr>
      <w:lang w:val="fr-FR"/>
    </w:rPr>
  </w:style>
  <w:style w:type="character" w:customStyle="1" w:styleId="Bolditalic">
    <w:name w:val="Bold italic"/>
    <w:rsid w:val="00DA2419"/>
    <w:rPr>
      <w:lang w:val="fr-FR"/>
    </w:rPr>
  </w:style>
  <w:style w:type="character" w:customStyle="1" w:styleId="Italic">
    <w:name w:val="Italic"/>
    <w:rsid w:val="00DA2419"/>
    <w:rPr>
      <w:lang w:val="fr-FR"/>
    </w:rPr>
  </w:style>
  <w:style w:type="character" w:customStyle="1" w:styleId="NewinCC2014">
    <w:name w:val="New in CC 2014"/>
    <w:rsid w:val="00DA2419"/>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tandards.ieee.org/about/get" TargetMode="External"/><Relationship Id="rId26" Type="http://schemas.openxmlformats.org/officeDocument/2006/relationships/image" Target="media/image3.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hyperlink" Target="http://www.ccsa.org.cn/worknews/content.php3?id=239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eee802.org/11" TargetMode="External"/><Relationship Id="rId25" Type="http://schemas.openxmlformats.org/officeDocument/2006/relationships/hyperlink" Target="https://www.atis.org/docstore/default.aspx" TargetMode="External"/><Relationship Id="rId33" Type="http://schemas.openxmlformats.org/officeDocument/2006/relationships/oleObject" Target="embeddings/oleObject3.bin"/><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itu.int/rec/recommendation.asp?type=folders&amp;lang=e&amp;parent=R-REC-M.1450" TargetMode="External"/><Relationship Id="rId20" Type="http://schemas.openxmlformats.org/officeDocument/2006/relationships/hyperlink" Target="http://pda.etsi.org/pda/queryform.asp" TargetMode="External"/><Relationship Id="rId29" Type="http://schemas.openxmlformats.org/officeDocument/2006/relationships/hyperlink" Target="https://sbwsweb.ieee.org/ecustomercme_enu/start.swe?SWECmd=GotoView&amp;SWEView=Catalog+View+(eSales)_Standards_IEEE&amp;mem_type=Customer&amp;SWEHo=sbwsweb.ieee.org&amp;SWETS=119271365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yperlink" Target="http://pda.etsi.org/pda/queryform.asp" TargetMode="External"/><Relationship Id="rId32" Type="http://schemas.openxmlformats.org/officeDocument/2006/relationships/image" Target="media/image5.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ecommendation.asp?type=folders&amp;lang=e&amp;parent=R-REC-F.1401" TargetMode="External"/><Relationship Id="rId23" Type="http://schemas.openxmlformats.org/officeDocument/2006/relationships/hyperlink" Target="http://standards.ieee.org/getieee802/download/802.16-2009.pdf" TargetMode="External"/><Relationship Id="rId28" Type="http://schemas.openxmlformats.org/officeDocument/2006/relationships/hyperlink" Target="http://www.arib.or.jp/english/index.html" TargetMode="External"/><Relationship Id="rId36"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hyperlink" Target="http://www.techstreet.com/ieeegate"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ecommendation.asp?type=folders&amp;lang=e&amp;parent=R-REC-F.1399" TargetMode="External"/><Relationship Id="rId22" Type="http://schemas.openxmlformats.org/officeDocument/2006/relationships/oleObject" Target="embeddings/oleObject1.bin"/><Relationship Id="rId27" Type="http://schemas.openxmlformats.org/officeDocument/2006/relationships/hyperlink" Target="http://www.xgpforum.com" TargetMode="External"/><Relationship Id="rId30" Type="http://schemas.openxmlformats.org/officeDocument/2006/relationships/image" Target="media/image4.emf"/><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B5432-50EC-4FC8-B33E-A74F7B920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577</TotalTime>
  <Pages>45</Pages>
  <Words>17970</Words>
  <Characters>100900</Characters>
  <Application>Microsoft Office Word</Application>
  <DocSecurity>0</DocSecurity>
  <Lines>2882</Lines>
  <Paragraphs>99</Paragraphs>
  <ScaleCrop>false</ScaleCrop>
  <HeadingPairs>
    <vt:vector size="2" baseType="variant">
      <vt:variant>
        <vt:lpstr>Title</vt:lpstr>
      </vt:variant>
      <vt:variant>
        <vt:i4>1</vt:i4>
      </vt:variant>
    </vt:vector>
  </HeadingPairs>
  <TitlesOfParts>
    <vt:vector size="1" baseType="lpstr">
      <vt:lpstr>RECOMENDACIÓN  UIT-R  M.1841-1* - Compatibilidad entre los sistemas de radiodifusión sonora con modulación de frecuencia en la banda aproximada 87-108 MHz  y aeronáutico de aumento basado en tierra en la banda 108-117,975 MHz</vt:lpstr>
    </vt:vector>
  </TitlesOfParts>
  <Manager/>
  <Company>ITU</Company>
  <LinksUpToDate>false</LinksUpToDate>
  <CharactersWithSpaces>118771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M.1841-1* - Compatibilidad entre los sistemas de radiodifusión sonora con modulación de frecuencia en la banda aproximada 87-108 MHz  y aeronáutico de aumento basado en tierra en la banda 108-117,975 MHz</dc:title>
  <dc:subject>Serie M = Servicios móviles, de radiodeterminación y de aficionados, incluidos los correspondientes servicios por satélite</dc:subject>
  <dc:creator>Oficina de Radiocomunicaciones del UIT (BR)</dc:creator>
  <cp:keywords>M,1841-1*</cp:keywords>
  <dc:description>Martiner, 27.11.2014, ITU51007786</dc:description>
  <cp:lastModifiedBy>Martinez Romera, Angel</cp:lastModifiedBy>
  <cp:revision>60</cp:revision>
  <cp:lastPrinted>2014-12-09T12:55:00Z</cp:lastPrinted>
  <dcterms:created xsi:type="dcterms:W3CDTF">2014-12-02T14:33:00Z</dcterms:created>
  <dcterms:modified xsi:type="dcterms:W3CDTF">2014-12-09T13:32:00Z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27 novembre 2014</vt:lpwstr>
  </property>
</Properties>
</file>