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906" w:rsidRPr="00FD3C61" w:rsidRDefault="009B1906" w:rsidP="009B1906">
      <w:pPr>
        <w:rPr>
          <w:lang w:val="ru-RU"/>
        </w:rPr>
      </w:pPr>
      <w:bookmarkStart w:id="0" w:name="_GoBack"/>
      <w:bookmarkEnd w:id="0"/>
    </w:p>
    <w:p w:rsidR="009B1906" w:rsidRPr="00FD3C61" w:rsidRDefault="009B1906" w:rsidP="009B1906">
      <w:pPr>
        <w:rPr>
          <w:lang w:val="ru-RU"/>
        </w:rPr>
      </w:pPr>
    </w:p>
    <w:p w:rsidR="009B1906" w:rsidRPr="00FD3C61" w:rsidRDefault="009B1906" w:rsidP="009B1906">
      <w:pPr>
        <w:rPr>
          <w:lang w:val="ru-RU"/>
        </w:rPr>
      </w:pPr>
    </w:p>
    <w:p w:rsidR="009B1906" w:rsidRPr="00FD3C61" w:rsidRDefault="009B1906" w:rsidP="009B1906">
      <w:pPr>
        <w:rPr>
          <w:lang w:val="ru-RU"/>
        </w:rPr>
      </w:pPr>
    </w:p>
    <w:p w:rsidR="009B1906" w:rsidRPr="00FD3C61" w:rsidRDefault="009B1906" w:rsidP="009B1906">
      <w:pPr>
        <w:rPr>
          <w:lang w:val="ru-RU"/>
        </w:rPr>
      </w:pPr>
    </w:p>
    <w:p w:rsidR="009B1906" w:rsidRPr="00FD3C61" w:rsidRDefault="009B1906" w:rsidP="009B1906">
      <w:pPr>
        <w:rPr>
          <w:lang w:val="ru-RU"/>
        </w:rPr>
      </w:pPr>
    </w:p>
    <w:p w:rsidR="009B1906" w:rsidRPr="00FD3C61" w:rsidRDefault="009B1906" w:rsidP="009B1906">
      <w:pPr>
        <w:rPr>
          <w:lang w:val="ru-RU"/>
        </w:rPr>
      </w:pPr>
    </w:p>
    <w:p w:rsidR="009B1906" w:rsidRPr="00FD3C61" w:rsidRDefault="009B1906" w:rsidP="009B1906">
      <w:pPr>
        <w:rPr>
          <w:lang w:val="ru-RU"/>
        </w:rPr>
      </w:pPr>
    </w:p>
    <w:p w:rsidR="009B1906" w:rsidRPr="00FD3C61" w:rsidRDefault="009B1906" w:rsidP="009B1906">
      <w:pPr>
        <w:rPr>
          <w:lang w:val="ru-RU"/>
        </w:rPr>
      </w:pPr>
    </w:p>
    <w:p w:rsidR="009B1906" w:rsidRPr="00FD3C61" w:rsidRDefault="009B1906" w:rsidP="009B1906">
      <w:pPr>
        <w:rPr>
          <w:lang w:val="ru-RU"/>
        </w:rPr>
      </w:pPr>
    </w:p>
    <w:p w:rsidR="009B1906" w:rsidRPr="00FD3C61" w:rsidRDefault="009B1906" w:rsidP="009B1906">
      <w:pPr>
        <w:rPr>
          <w:lang w:val="ru-RU"/>
        </w:rPr>
      </w:pPr>
    </w:p>
    <w:p w:rsidR="009B1906" w:rsidRPr="00FD3C61" w:rsidRDefault="009B1906" w:rsidP="009B1906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B1906" w:rsidRPr="00FD3C61" w:rsidTr="00470826">
        <w:tc>
          <w:tcPr>
            <w:tcW w:w="10089" w:type="dxa"/>
          </w:tcPr>
          <w:p w:rsidR="009B1906" w:rsidRPr="00FD3C61" w:rsidRDefault="009B1906" w:rsidP="0047082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B1906" w:rsidRPr="00BA6AA0" w:rsidRDefault="009B1906" w:rsidP="0047082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731-1</w:t>
            </w:r>
          </w:p>
          <w:p w:rsidR="009B1906" w:rsidRPr="00BA6AA0" w:rsidRDefault="009B1906" w:rsidP="0047082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A6AA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Pr="00BA6AA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</w:t>
            </w:r>
            <w:r w:rsidRPr="00BA6AA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BA6AA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BA6AA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9B1906" w:rsidRPr="00B95C2A" w:rsidTr="00470826">
        <w:tc>
          <w:tcPr>
            <w:tcW w:w="10089" w:type="dxa"/>
          </w:tcPr>
          <w:p w:rsidR="009B1906" w:rsidRPr="00FD3C61" w:rsidRDefault="009B1906" w:rsidP="0047082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9B1906" w:rsidRPr="009B1906" w:rsidRDefault="009B1906" w:rsidP="0047082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514C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Критерии защиты для т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ерминалов</w:t>
            </w:r>
            <w:r w:rsidRPr="00451B0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2514C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местных пользователей </w:t>
            </w:r>
            <w:r w:rsidRPr="002514C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системы Коспас-Сарсат </w:t>
            </w:r>
            <w:r w:rsidRPr="002514C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полосе 1544–1545 МГц</w:t>
            </w:r>
          </w:p>
        </w:tc>
      </w:tr>
      <w:tr w:rsidR="009B1906" w:rsidRPr="00B95C2A" w:rsidTr="00470826">
        <w:tc>
          <w:tcPr>
            <w:tcW w:w="10089" w:type="dxa"/>
          </w:tcPr>
          <w:p w:rsidR="009B1906" w:rsidRPr="00FD3C61" w:rsidRDefault="009B1906" w:rsidP="0047082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B1906" w:rsidRPr="00FD2C57" w:rsidRDefault="009B1906" w:rsidP="0047082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B1906" w:rsidRPr="00FD3C61" w:rsidRDefault="009B1906" w:rsidP="0047082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B1906" w:rsidRPr="00030F61" w:rsidRDefault="009B1906" w:rsidP="0047082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9B1906" w:rsidRPr="00FD3C61" w:rsidRDefault="009B1906" w:rsidP="0047082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30F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9B1906" w:rsidRPr="00FD3C61" w:rsidRDefault="009B1906" w:rsidP="0047082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9B1906" w:rsidRPr="00FD3C61" w:rsidRDefault="009B1906" w:rsidP="009B1906">
      <w:pPr>
        <w:spacing w:before="80"/>
        <w:rPr>
          <w:i/>
          <w:lang w:val="ru-RU"/>
        </w:rPr>
      </w:pPr>
    </w:p>
    <w:p w:rsidR="009B1906" w:rsidRPr="00451B00" w:rsidRDefault="009B1906" w:rsidP="009B1906">
      <w:pPr>
        <w:spacing w:before="80"/>
        <w:rPr>
          <w:i/>
          <w:lang w:val="ru-RU"/>
        </w:rPr>
      </w:pPr>
    </w:p>
    <w:p w:rsidR="009B1906" w:rsidRPr="00FD3C61" w:rsidRDefault="009B1906" w:rsidP="009B1906">
      <w:pPr>
        <w:spacing w:before="80"/>
        <w:rPr>
          <w:i/>
          <w:lang w:val="ru-RU"/>
        </w:rPr>
      </w:pPr>
    </w:p>
    <w:p w:rsidR="009B1906" w:rsidRPr="00FD3C61" w:rsidRDefault="009B1906" w:rsidP="009B190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9B1906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B1906" w:rsidRPr="00854998" w:rsidRDefault="009B1906" w:rsidP="009B1906">
      <w:pPr>
        <w:spacing w:before="0"/>
        <w:jc w:val="center"/>
        <w:rPr>
          <w:b/>
          <w:bCs/>
          <w:lang w:val="ru-RU"/>
        </w:rPr>
      </w:pPr>
      <w:bookmarkStart w:id="1" w:name="c2tope"/>
      <w:bookmarkEnd w:id="1"/>
      <w:r w:rsidRPr="00854998">
        <w:rPr>
          <w:b/>
          <w:bCs/>
          <w:lang w:val="ru-RU"/>
        </w:rPr>
        <w:lastRenderedPageBreak/>
        <w:t>Предисловие</w:t>
      </w:r>
    </w:p>
    <w:p w:rsidR="009B1906" w:rsidRPr="00854998" w:rsidRDefault="009B1906" w:rsidP="009B1906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B1906" w:rsidRPr="00854998" w:rsidRDefault="009B1906" w:rsidP="009B1906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B1906" w:rsidRPr="00854998" w:rsidRDefault="009B1906" w:rsidP="009B1906">
      <w:pPr>
        <w:spacing w:before="360"/>
        <w:jc w:val="center"/>
        <w:rPr>
          <w:b/>
          <w:bCs/>
          <w:lang w:val="ru-RU"/>
        </w:rPr>
      </w:pPr>
      <w:r w:rsidRPr="00854998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9B1906" w:rsidRPr="00854998" w:rsidRDefault="009B1906" w:rsidP="009B1906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>/ИСО/МЭК и база данных патентной информации МСЭ-R.</w:t>
      </w:r>
    </w:p>
    <w:p w:rsidR="009B1906" w:rsidRPr="00FD3C61" w:rsidRDefault="009B1906" w:rsidP="009B190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B1906" w:rsidRPr="00B95C2A" w:rsidTr="00470826">
        <w:trPr>
          <w:jc w:val="center"/>
        </w:trPr>
        <w:tc>
          <w:tcPr>
            <w:tcW w:w="8856" w:type="dxa"/>
            <w:gridSpan w:val="2"/>
          </w:tcPr>
          <w:p w:rsidR="009B1906" w:rsidRPr="00854998" w:rsidRDefault="009B1906" w:rsidP="00470826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54998">
              <w:rPr>
                <w:b/>
                <w:bCs/>
                <w:lang w:val="ru-RU"/>
              </w:rPr>
              <w:t>Серии Рекомендаций МСЭ-R</w:t>
            </w:r>
          </w:p>
          <w:p w:rsidR="009B1906" w:rsidRPr="00854998" w:rsidRDefault="009B1906" w:rsidP="00470826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854998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854998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9B1906" w:rsidRPr="00FD3C61" w:rsidTr="00470826">
        <w:trPr>
          <w:jc w:val="center"/>
        </w:trPr>
        <w:tc>
          <w:tcPr>
            <w:tcW w:w="1188" w:type="dxa"/>
          </w:tcPr>
          <w:p w:rsidR="009B1906" w:rsidRPr="00D163D5" w:rsidRDefault="009B1906" w:rsidP="0047082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9B1906" w:rsidRPr="00D163D5" w:rsidRDefault="009B1906" w:rsidP="00470826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B1906" w:rsidRPr="00FD3C61" w:rsidTr="00470826">
        <w:trPr>
          <w:jc w:val="center"/>
        </w:trPr>
        <w:tc>
          <w:tcPr>
            <w:tcW w:w="1188" w:type="dxa"/>
          </w:tcPr>
          <w:p w:rsidR="009B1906" w:rsidRPr="00D163D5" w:rsidRDefault="009B1906" w:rsidP="0047082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9B1906" w:rsidRPr="00D163D5" w:rsidRDefault="009B1906" w:rsidP="00470826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B1906" w:rsidRPr="00B95C2A" w:rsidTr="00470826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B1906" w:rsidRPr="00D163D5" w:rsidRDefault="009B1906" w:rsidP="0047082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9B1906" w:rsidRPr="00D163D5" w:rsidRDefault="009B1906" w:rsidP="00470826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B1906" w:rsidRPr="00FD3C61" w:rsidTr="00470826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B1906" w:rsidRPr="00D163D5" w:rsidRDefault="009B1906" w:rsidP="00470826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030F61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B1906" w:rsidRPr="00D163D5" w:rsidRDefault="009B1906" w:rsidP="00470826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030F61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B1906" w:rsidRPr="00FD3C61" w:rsidTr="00470826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B1906" w:rsidRPr="00D163D5" w:rsidRDefault="009B1906" w:rsidP="0047082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9B1906" w:rsidRPr="00D163D5" w:rsidRDefault="009B1906" w:rsidP="00470826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B1906" w:rsidRPr="00FD3C61" w:rsidTr="00470826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B1906" w:rsidRPr="00D163D5" w:rsidRDefault="009B1906" w:rsidP="0047082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9B1906" w:rsidRPr="00D163D5" w:rsidRDefault="009B1906" w:rsidP="00470826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9B1906" w:rsidRPr="00B95C2A" w:rsidTr="00470826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B1906" w:rsidRPr="00030F61" w:rsidRDefault="009B1906" w:rsidP="00470826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030F61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B1906" w:rsidRPr="00030F61" w:rsidRDefault="009B1906" w:rsidP="00470826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030F61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9B1906" w:rsidRPr="00FD3C61" w:rsidTr="00470826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9B1906" w:rsidRPr="00D163D5" w:rsidRDefault="009B1906" w:rsidP="0047082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9B1906" w:rsidRPr="00D163D5" w:rsidRDefault="009B1906" w:rsidP="00470826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B1906" w:rsidRPr="00FD3C61" w:rsidTr="00470826">
        <w:trPr>
          <w:jc w:val="center"/>
        </w:trPr>
        <w:tc>
          <w:tcPr>
            <w:tcW w:w="1188" w:type="dxa"/>
          </w:tcPr>
          <w:p w:rsidR="009B1906" w:rsidRPr="00D163D5" w:rsidRDefault="009B1906" w:rsidP="0047082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9B1906" w:rsidRPr="00D163D5" w:rsidRDefault="009B1906" w:rsidP="00470826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9B1906" w:rsidRPr="00FD3C61" w:rsidTr="00470826">
        <w:trPr>
          <w:jc w:val="center"/>
        </w:trPr>
        <w:tc>
          <w:tcPr>
            <w:tcW w:w="1188" w:type="dxa"/>
          </w:tcPr>
          <w:p w:rsidR="009B1906" w:rsidRPr="00D163D5" w:rsidRDefault="009B1906" w:rsidP="0047082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9B1906" w:rsidRPr="00D163D5" w:rsidRDefault="009B1906" w:rsidP="00470826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B1906" w:rsidRPr="00FD3C61" w:rsidTr="00470826">
        <w:trPr>
          <w:jc w:val="center"/>
        </w:trPr>
        <w:tc>
          <w:tcPr>
            <w:tcW w:w="1188" w:type="dxa"/>
          </w:tcPr>
          <w:p w:rsidR="009B1906" w:rsidRPr="00D163D5" w:rsidRDefault="009B1906" w:rsidP="0047082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9B1906" w:rsidRPr="00D163D5" w:rsidRDefault="009B1906" w:rsidP="00470826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B1906" w:rsidRPr="00FD3C61" w:rsidTr="00470826">
        <w:trPr>
          <w:jc w:val="center"/>
        </w:trPr>
        <w:tc>
          <w:tcPr>
            <w:tcW w:w="1188" w:type="dxa"/>
            <w:shd w:val="clear" w:color="auto" w:fill="auto"/>
          </w:tcPr>
          <w:p w:rsidR="009B1906" w:rsidRPr="00D163D5" w:rsidRDefault="009B1906" w:rsidP="0047082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9B1906" w:rsidRPr="00D163D5" w:rsidRDefault="009B1906" w:rsidP="00470826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B1906" w:rsidRPr="00B95C2A" w:rsidTr="00470826">
        <w:trPr>
          <w:jc w:val="center"/>
        </w:trPr>
        <w:tc>
          <w:tcPr>
            <w:tcW w:w="1188" w:type="dxa"/>
          </w:tcPr>
          <w:p w:rsidR="009B1906" w:rsidRPr="00D163D5" w:rsidRDefault="009B1906" w:rsidP="0047082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9B1906" w:rsidRPr="00D163D5" w:rsidRDefault="009B1906" w:rsidP="00470826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B1906" w:rsidRPr="00FD3C61" w:rsidTr="00470826">
        <w:trPr>
          <w:jc w:val="center"/>
        </w:trPr>
        <w:tc>
          <w:tcPr>
            <w:tcW w:w="1188" w:type="dxa"/>
            <w:shd w:val="clear" w:color="auto" w:fill="auto"/>
          </w:tcPr>
          <w:p w:rsidR="009B1906" w:rsidRPr="00D163D5" w:rsidRDefault="009B1906" w:rsidP="0047082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9B1906" w:rsidRPr="00D163D5" w:rsidRDefault="009B1906" w:rsidP="00470826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B1906" w:rsidRPr="00FD3C61" w:rsidTr="00470826">
        <w:trPr>
          <w:jc w:val="center"/>
        </w:trPr>
        <w:tc>
          <w:tcPr>
            <w:tcW w:w="1188" w:type="dxa"/>
          </w:tcPr>
          <w:p w:rsidR="009B1906" w:rsidRPr="00D163D5" w:rsidRDefault="009B1906" w:rsidP="0047082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9B1906" w:rsidRPr="00D163D5" w:rsidRDefault="009B1906" w:rsidP="00470826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B1906" w:rsidRPr="00B95C2A" w:rsidTr="00470826">
        <w:trPr>
          <w:jc w:val="center"/>
        </w:trPr>
        <w:tc>
          <w:tcPr>
            <w:tcW w:w="1188" w:type="dxa"/>
          </w:tcPr>
          <w:p w:rsidR="009B1906" w:rsidRPr="00D163D5" w:rsidRDefault="009B1906" w:rsidP="0047082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9B1906" w:rsidRPr="00D163D5" w:rsidRDefault="009B1906" w:rsidP="00470826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B1906" w:rsidRPr="00B95C2A" w:rsidTr="00470826">
        <w:trPr>
          <w:jc w:val="center"/>
        </w:trPr>
        <w:tc>
          <w:tcPr>
            <w:tcW w:w="1188" w:type="dxa"/>
          </w:tcPr>
          <w:p w:rsidR="009B1906" w:rsidRPr="00D163D5" w:rsidRDefault="009B1906" w:rsidP="00470826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9B1906" w:rsidRPr="00D163D5" w:rsidRDefault="009B1906" w:rsidP="00470826">
            <w:pPr>
              <w:spacing w:before="40" w:after="18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9B1906" w:rsidRPr="00FD3C61" w:rsidRDefault="009B1906" w:rsidP="009B190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B1906" w:rsidRPr="00B95C2A" w:rsidTr="00470826">
        <w:trPr>
          <w:jc w:val="center"/>
        </w:trPr>
        <w:tc>
          <w:tcPr>
            <w:tcW w:w="8856" w:type="dxa"/>
          </w:tcPr>
          <w:p w:rsidR="009B1906" w:rsidRPr="00D163D5" w:rsidRDefault="009B1906" w:rsidP="00470826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9B1906" w:rsidRPr="007E6717" w:rsidRDefault="009B1906" w:rsidP="009B1906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9B1906" w:rsidRPr="00D163D5" w:rsidRDefault="009B1906" w:rsidP="009B190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9B1906" w:rsidRPr="00947004" w:rsidRDefault="009B1906" w:rsidP="009B1906">
      <w:pPr>
        <w:rPr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9B1906" w:rsidRDefault="009B1906" w:rsidP="009B1906">
      <w:pPr>
        <w:pStyle w:val="RecNo"/>
        <w:spacing w:before="0"/>
        <w:rPr>
          <w:szCs w:val="26"/>
          <w:lang w:val="ru-RU"/>
        </w:rPr>
        <w:sectPr w:rsidR="009B1906" w:rsidSect="00833F98">
          <w:headerReference w:type="even" r:id="rId13"/>
          <w:headerReference w:type="default" r:id="rId14"/>
          <w:pgSz w:w="11907" w:h="16840" w:code="9"/>
          <w:pgMar w:top="1418" w:right="1134" w:bottom="1134" w:left="1134" w:header="720" w:footer="482" w:gutter="0"/>
          <w:pgNumType w:fmt="lowerRoman"/>
          <w:cols w:space="708"/>
          <w:docGrid w:linePitch="360"/>
        </w:sectPr>
      </w:pPr>
    </w:p>
    <w:p w:rsidR="009B1906" w:rsidRPr="008D0B05" w:rsidRDefault="009B1906" w:rsidP="00470826">
      <w:pPr>
        <w:pStyle w:val="RecNo"/>
        <w:spacing w:before="0"/>
        <w:rPr>
          <w:szCs w:val="26"/>
          <w:lang w:val="ru-RU"/>
        </w:rPr>
      </w:pPr>
      <w:r w:rsidRPr="008D0B05">
        <w:rPr>
          <w:szCs w:val="26"/>
          <w:lang w:val="ru-RU"/>
        </w:rPr>
        <w:lastRenderedPageBreak/>
        <w:t xml:space="preserve">РЕКОМЕНДАЦИЯ </w:t>
      </w:r>
      <w:r w:rsidRPr="009B1906">
        <w:rPr>
          <w:szCs w:val="26"/>
          <w:lang w:val="ru-RU"/>
        </w:rPr>
        <w:t xml:space="preserve"> </w:t>
      </w:r>
      <w:r w:rsidRPr="009B1906">
        <w:rPr>
          <w:rStyle w:val="href"/>
          <w:lang w:val="ru-RU"/>
        </w:rPr>
        <w:t>МСЭ-</w:t>
      </w:r>
      <w:proofErr w:type="gramStart"/>
      <w:r w:rsidRPr="00451B00">
        <w:rPr>
          <w:rStyle w:val="href"/>
        </w:rPr>
        <w:t>R</w:t>
      </w:r>
      <w:proofErr w:type="gramEnd"/>
      <w:r w:rsidRPr="009B1906">
        <w:rPr>
          <w:rStyle w:val="href"/>
          <w:lang w:val="ru-RU"/>
        </w:rPr>
        <w:t xml:space="preserve">  </w:t>
      </w:r>
      <w:r w:rsidRPr="00451B00">
        <w:rPr>
          <w:rStyle w:val="href"/>
        </w:rPr>
        <w:t>M</w:t>
      </w:r>
      <w:r w:rsidRPr="009B1906">
        <w:rPr>
          <w:rStyle w:val="href"/>
          <w:lang w:val="ru-RU"/>
        </w:rPr>
        <w:t>.</w:t>
      </w:r>
      <w:r w:rsidRPr="00FD2C57">
        <w:rPr>
          <w:rStyle w:val="href"/>
          <w:lang w:val="ru-RU"/>
        </w:rPr>
        <w:t>1731</w:t>
      </w:r>
      <w:r w:rsidRPr="009B1906">
        <w:rPr>
          <w:rStyle w:val="href"/>
          <w:lang w:val="ru-RU"/>
        </w:rPr>
        <w:t>-1</w:t>
      </w:r>
      <w:r w:rsidRPr="00FD2C57">
        <w:rPr>
          <w:rStyle w:val="FootnoteReference"/>
          <w:lang w:val="ru-RU"/>
        </w:rPr>
        <w:footnoteReference w:customMarkFollows="1" w:id="1"/>
        <w:t>*</w:t>
      </w:r>
    </w:p>
    <w:p w:rsidR="009B1906" w:rsidRPr="008D0B05" w:rsidRDefault="009B1906" w:rsidP="00470826">
      <w:pPr>
        <w:pStyle w:val="Rectitle"/>
        <w:rPr>
          <w:lang w:val="ru-RU"/>
        </w:rPr>
      </w:pPr>
      <w:r w:rsidRPr="008D0B05">
        <w:rPr>
          <w:lang w:val="ru-RU"/>
        </w:rPr>
        <w:t>Критерии защиты для т</w:t>
      </w:r>
      <w:r>
        <w:rPr>
          <w:lang w:val="ru-RU"/>
        </w:rPr>
        <w:t>ерминалов местных пользователей</w:t>
      </w:r>
      <w:r w:rsidRPr="008D0B05">
        <w:rPr>
          <w:lang w:val="ru-RU"/>
        </w:rPr>
        <w:br/>
        <w:t xml:space="preserve">системы </w:t>
      </w:r>
      <w:proofErr w:type="spellStart"/>
      <w:r w:rsidRPr="008D0B05">
        <w:rPr>
          <w:lang w:val="ru-RU"/>
        </w:rPr>
        <w:t>Коспас-Сарсат</w:t>
      </w:r>
      <w:proofErr w:type="spellEnd"/>
      <w:r w:rsidRPr="008D0B05">
        <w:rPr>
          <w:lang w:val="ru-RU"/>
        </w:rPr>
        <w:t xml:space="preserve"> в полосе </w:t>
      </w:r>
      <w:r w:rsidRPr="00FD2C57">
        <w:rPr>
          <w:lang w:val="ru-RU"/>
        </w:rPr>
        <w:t>1544</w:t>
      </w:r>
      <w:r w:rsidRPr="008D0B05">
        <w:rPr>
          <w:lang w:val="ru-RU"/>
        </w:rPr>
        <w:t>–1545 МГц</w:t>
      </w:r>
      <w:bookmarkStart w:id="2" w:name="Revision_history"/>
    </w:p>
    <w:p w:rsidR="009B1906" w:rsidRPr="008D0B05" w:rsidRDefault="009B1906" w:rsidP="009B1906">
      <w:pPr>
        <w:pStyle w:val="Recdate"/>
        <w:rPr>
          <w:lang w:val="ru-RU"/>
        </w:rPr>
      </w:pPr>
    </w:p>
    <w:p w:rsidR="009B1906" w:rsidRPr="008D0B05" w:rsidRDefault="009B1906" w:rsidP="009B1906">
      <w:pPr>
        <w:pStyle w:val="Recdate"/>
        <w:rPr>
          <w:lang w:val="ru-RU"/>
        </w:rPr>
      </w:pPr>
      <w:r w:rsidRPr="008D0B05">
        <w:rPr>
          <w:lang w:val="ru-RU"/>
        </w:rPr>
        <w:t>(2005-2010)</w:t>
      </w:r>
    </w:p>
    <w:bookmarkEnd w:id="2"/>
    <w:p w:rsidR="009B1906" w:rsidRPr="00FD2C57" w:rsidRDefault="009B1906" w:rsidP="00470826">
      <w:pPr>
        <w:pStyle w:val="HeadingSum"/>
        <w:rPr>
          <w:lang w:val="ru-RU"/>
        </w:rPr>
      </w:pPr>
      <w:r w:rsidRPr="00FD2C57">
        <w:rPr>
          <w:lang w:val="ru-RU"/>
        </w:rPr>
        <w:t>Сфера применения</w:t>
      </w:r>
    </w:p>
    <w:p w:rsidR="009B1906" w:rsidRPr="00FD2C57" w:rsidRDefault="009B1906" w:rsidP="00BF77FD">
      <w:pPr>
        <w:pStyle w:val="Summary"/>
        <w:rPr>
          <w:lang w:val="ru-RU"/>
        </w:rPr>
      </w:pPr>
      <w:r w:rsidRPr="00FD2C57">
        <w:rPr>
          <w:lang w:val="ru-RU"/>
        </w:rPr>
        <w:t xml:space="preserve">В настоящей Рекомендации рассмотрены критерии защиты для терминалов местных пользователей системы </w:t>
      </w:r>
      <w:proofErr w:type="spellStart"/>
      <w:r w:rsidRPr="00FD2C57">
        <w:rPr>
          <w:lang w:val="ru-RU"/>
        </w:rPr>
        <w:t>Коспас-Сарсат</w:t>
      </w:r>
      <w:proofErr w:type="spellEnd"/>
      <w:r w:rsidRPr="00FD2C57">
        <w:rPr>
          <w:lang w:val="ru-RU"/>
        </w:rPr>
        <w:t>, которые осуществляют прием на линиях вниз в полосе 1544–1545</w:t>
      </w:r>
      <w:r w:rsidRPr="008D0B05">
        <w:t> </w:t>
      </w:r>
      <w:r w:rsidRPr="00FD2C57">
        <w:rPr>
          <w:lang w:val="ru-RU"/>
        </w:rPr>
        <w:t xml:space="preserve">МГц со спутников </w:t>
      </w:r>
      <w:proofErr w:type="gramStart"/>
      <w:r w:rsidRPr="00FD2C57">
        <w:rPr>
          <w:lang w:val="ru-RU"/>
        </w:rPr>
        <w:t>на</w:t>
      </w:r>
      <w:proofErr w:type="gramEnd"/>
      <w:r w:rsidRPr="00FD2C57">
        <w:rPr>
          <w:lang w:val="ru-RU"/>
        </w:rPr>
        <w:t xml:space="preserve"> </w:t>
      </w:r>
      <w:proofErr w:type="gramStart"/>
      <w:r w:rsidRPr="00FD2C57">
        <w:rPr>
          <w:lang w:val="ru-RU"/>
        </w:rPr>
        <w:t>геостационарной</w:t>
      </w:r>
      <w:proofErr w:type="gramEnd"/>
      <w:r w:rsidRPr="00FD2C57">
        <w:rPr>
          <w:lang w:val="ru-RU"/>
        </w:rPr>
        <w:t xml:space="preserve"> и низкой околоземной орбитах. </w:t>
      </w:r>
      <w:r w:rsidRPr="00BF77FD">
        <w:rPr>
          <w:lang w:val="ru-RU"/>
        </w:rPr>
        <w:t xml:space="preserve">Программа </w:t>
      </w:r>
      <w:proofErr w:type="spellStart"/>
      <w:r w:rsidRPr="00BF77FD">
        <w:rPr>
          <w:lang w:val="ru-RU"/>
        </w:rPr>
        <w:t>Коспас-Сарсат</w:t>
      </w:r>
      <w:proofErr w:type="spellEnd"/>
      <w:r w:rsidRPr="00BF77FD">
        <w:rPr>
          <w:lang w:val="ru-RU"/>
        </w:rPr>
        <w:t xml:space="preserve"> принимает и обрабатывает сигналы от радиомаяков</w:t>
      </w:r>
      <w:r w:rsidR="00BF77FD" w:rsidRPr="00BF77FD">
        <w:rPr>
          <w:lang w:val="ru-RU"/>
        </w:rPr>
        <w:t xml:space="preserve"> – </w:t>
      </w:r>
      <w:r w:rsidRPr="00BF77FD">
        <w:rPr>
          <w:lang w:val="ru-RU"/>
        </w:rPr>
        <w:t>указателей места бедствия (</w:t>
      </w:r>
      <w:r w:rsidRPr="008D0B05">
        <w:t>EPIRB</w:t>
      </w:r>
      <w:r w:rsidRPr="00BF77FD">
        <w:rPr>
          <w:lang w:val="ru-RU"/>
        </w:rPr>
        <w:t>) и других маяков, передающих сигналы бедствия и работающих в диапазоне 406</w:t>
      </w:r>
      <w:r w:rsidRPr="008D0B05">
        <w:t> </w:t>
      </w:r>
      <w:r w:rsidRPr="00BF77FD">
        <w:rPr>
          <w:lang w:val="ru-RU"/>
        </w:rPr>
        <w:t xml:space="preserve">МГц. </w:t>
      </w:r>
      <w:r w:rsidRPr="00FD2C57">
        <w:rPr>
          <w:lang w:val="ru-RU"/>
        </w:rPr>
        <w:t>В некоторых случаях сигналы поступают на наземные станции по линии вниз, работающей в полосе 1544–1545</w:t>
      </w:r>
      <w:r w:rsidRPr="008D0B05">
        <w:t> </w:t>
      </w:r>
      <w:r w:rsidRPr="00FD2C57">
        <w:rPr>
          <w:lang w:val="ru-RU"/>
        </w:rPr>
        <w:t>МГц.</w:t>
      </w:r>
    </w:p>
    <w:p w:rsidR="009B1906" w:rsidRPr="008D0B05" w:rsidRDefault="009B1906" w:rsidP="00470826">
      <w:pPr>
        <w:pStyle w:val="Normalaftertitle"/>
        <w:rPr>
          <w:lang w:val="ru-RU"/>
        </w:rPr>
      </w:pPr>
      <w:r w:rsidRPr="008D0B05">
        <w:rPr>
          <w:lang w:val="ru-RU"/>
        </w:rPr>
        <w:t xml:space="preserve">Ассамблея радиосвязи </w:t>
      </w:r>
      <w:r w:rsidRPr="00470826">
        <w:t>МСЭ</w:t>
      </w:r>
      <w:r w:rsidRPr="008D0B05">
        <w:rPr>
          <w:lang w:val="ru-RU"/>
        </w:rPr>
        <w:t>,</w:t>
      </w:r>
    </w:p>
    <w:p w:rsidR="009B1906" w:rsidRPr="008D0B05" w:rsidRDefault="009B1906" w:rsidP="009B1906">
      <w:pPr>
        <w:pStyle w:val="Call"/>
        <w:rPr>
          <w:lang w:val="ru-RU"/>
        </w:rPr>
      </w:pPr>
      <w:r w:rsidRPr="008D0B05">
        <w:rPr>
          <w:lang w:val="ru-RU"/>
        </w:rPr>
        <w:t>учитывая</w:t>
      </w:r>
      <w:r w:rsidRPr="00C32E9A">
        <w:rPr>
          <w:i w:val="0"/>
          <w:iCs/>
          <w:lang w:val="ru-RU"/>
        </w:rPr>
        <w:t>,</w:t>
      </w:r>
    </w:p>
    <w:p w:rsidR="009B1906" w:rsidRPr="008D0B05" w:rsidRDefault="009B1906" w:rsidP="00BF77FD">
      <w:pPr>
        <w:rPr>
          <w:lang w:val="ru-RU"/>
        </w:rPr>
      </w:pPr>
      <w:r w:rsidRPr="008D0B05">
        <w:rPr>
          <w:lang w:val="ru-RU"/>
        </w:rPr>
        <w:t>a)</w:t>
      </w:r>
      <w:r w:rsidRPr="008D0B05">
        <w:rPr>
          <w:lang w:val="ru-RU"/>
        </w:rPr>
        <w:tab/>
        <w:t>что Рекомендация</w:t>
      </w:r>
      <w:r w:rsidR="00BF77FD">
        <w:rPr>
          <w:lang w:val="en-US"/>
        </w:rPr>
        <w:t> </w:t>
      </w:r>
      <w:r w:rsidRPr="008D0B05">
        <w:rPr>
          <w:lang w:val="ru-RU"/>
        </w:rPr>
        <w:t>МСЭ</w:t>
      </w:r>
      <w:r w:rsidRPr="008D0B05">
        <w:rPr>
          <w:lang w:val="ru-RU"/>
        </w:rPr>
        <w:noBreakHyphen/>
      </w:r>
      <w:proofErr w:type="gramStart"/>
      <w:r w:rsidRPr="008D0B05">
        <w:rPr>
          <w:lang w:val="ru-RU"/>
        </w:rPr>
        <w:t>R</w:t>
      </w:r>
      <w:proofErr w:type="gramEnd"/>
      <w:r w:rsidRPr="008D0B05">
        <w:rPr>
          <w:lang w:val="ru-RU"/>
        </w:rPr>
        <w:t> SM.1535 предусматривает защиту служб безопасности от нежелательных излучений;</w:t>
      </w:r>
    </w:p>
    <w:p w:rsidR="009B1906" w:rsidRPr="008D0B05" w:rsidRDefault="009B1906" w:rsidP="009B1906">
      <w:pPr>
        <w:rPr>
          <w:spacing w:val="-2"/>
          <w:szCs w:val="22"/>
          <w:lang w:val="ru-RU"/>
        </w:rPr>
      </w:pPr>
      <w:r w:rsidRPr="008D0B05">
        <w:rPr>
          <w:lang w:val="ru-RU"/>
        </w:rPr>
        <w:t>b)</w:t>
      </w:r>
      <w:r w:rsidRPr="008D0B05">
        <w:rPr>
          <w:lang w:val="ru-RU"/>
        </w:rPr>
        <w:tab/>
        <w:t xml:space="preserve">что глобальная спутниковая система поиска и спасания Коспас-Сарсат работает в полосе </w:t>
      </w:r>
      <w:r w:rsidRPr="008D0B05">
        <w:rPr>
          <w:spacing w:val="-2"/>
          <w:szCs w:val="22"/>
          <w:lang w:val="ru-RU"/>
        </w:rPr>
        <w:t>1544–1545 МГц, использование которой согласно п. 5.356 Регламента радиосвязи (РР) ограничивается радиосвязью космос-Земля при бедствии и для обеспечения безопасности;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c)</w:t>
      </w:r>
      <w:r w:rsidRPr="008D0B05">
        <w:rPr>
          <w:lang w:val="ru-RU"/>
        </w:rPr>
        <w:tab/>
        <w:t>что вредные помехи службам безопасности могут привести к гибели людей и потере имущества;</w:t>
      </w:r>
    </w:p>
    <w:p w:rsidR="009B1906" w:rsidRPr="008D0B05" w:rsidRDefault="009B1906" w:rsidP="00BF77FD">
      <w:pPr>
        <w:rPr>
          <w:lang w:val="ru-RU"/>
        </w:rPr>
      </w:pPr>
      <w:r w:rsidRPr="008D0B05">
        <w:rPr>
          <w:lang w:val="ru-RU"/>
        </w:rPr>
        <w:t>d)</w:t>
      </w:r>
      <w:r w:rsidRPr="008D0B05">
        <w:rPr>
          <w:lang w:val="ru-RU"/>
        </w:rPr>
        <w:tab/>
        <w:t>что терминалы местных пользователей системы Коспас-Сарсат на геостационарной орбите Земли (GEOLUT) осуществляют прием в полосе 1544–1545 МГц сигналов от радиомаяков</w:t>
      </w:r>
      <w:r w:rsidR="00BF77FD" w:rsidRPr="00BF77FD">
        <w:rPr>
          <w:lang w:val="ru-RU"/>
        </w:rPr>
        <w:t xml:space="preserve"> – </w:t>
      </w:r>
      <w:r w:rsidRPr="008D0B05">
        <w:rPr>
          <w:lang w:val="ru-RU"/>
        </w:rPr>
        <w:t xml:space="preserve">указателей места бедствия (EPIRB), транслируемых со спутников на геостационарной орбите и спутников исследования окружающей среды (GOES), а также спутников </w:t>
      </w:r>
      <w:proofErr w:type="spellStart"/>
      <w:r w:rsidRPr="008D0B05">
        <w:rPr>
          <w:lang w:val="ru-RU"/>
        </w:rPr>
        <w:t>Meteo-Sat</w:t>
      </w:r>
      <w:proofErr w:type="spellEnd"/>
      <w:r w:rsidRPr="008D0B05">
        <w:rPr>
          <w:lang w:val="ru-RU"/>
        </w:rPr>
        <w:t xml:space="preserve"> второго поколения (MSG);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e)</w:t>
      </w:r>
      <w:r w:rsidRPr="008D0B05">
        <w:rPr>
          <w:lang w:val="ru-RU"/>
        </w:rPr>
        <w:tab/>
        <w:t>что терминалы местных пользователей системы Коспас-Сарсат на низкой околоземной орбите (LEOLUT) осуществляют прием в полосе 1544–1545 МГц сигналов EPIRB, передаваемых с ретрансляторов поиска и спасания (SARR) на спутниках Коспас и Сарсат;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f)</w:t>
      </w:r>
      <w:r w:rsidRPr="008D0B05">
        <w:rPr>
          <w:lang w:val="ru-RU"/>
        </w:rPr>
        <w:tab/>
        <w:t>что</w:t>
      </w:r>
      <w:r w:rsidRPr="008D0B05">
        <w:rPr>
          <w:spacing w:val="-4"/>
          <w:szCs w:val="22"/>
          <w:lang w:val="ru-RU"/>
        </w:rPr>
        <w:t xml:space="preserve"> терминалы LEOLUT системы Коспас-Сарсат осуществляют прием в полосе 1544–1545 МГц</w:t>
      </w:r>
      <w:r w:rsidRPr="008D0B05">
        <w:rPr>
          <w:lang w:val="ru-RU"/>
        </w:rPr>
        <w:t xml:space="preserve"> глобального потока обработанных данных (PDS) от радиомаяков EPIRB, которые обрабатываются процессорами поиска и спасания (SARP) на спутниках Коспас и Сарсат;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g)</w:t>
      </w:r>
      <w:r w:rsidRPr="008D0B05">
        <w:rPr>
          <w:lang w:val="ru-RU"/>
        </w:rPr>
        <w:tab/>
        <w:t>что терминалы местных пользователей системы Коспас-Сарсат на средневысотной околоземной орбите (MEOLUT) осуществляют прием в полосе 1544–1545 МГц сигналов EPIRB, передаваемых с навигационных спутников на средневысотной околоземной орбите (GALILEO);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h)</w:t>
      </w:r>
      <w:r w:rsidRPr="008D0B05">
        <w:rPr>
          <w:lang w:val="ru-RU"/>
        </w:rPr>
        <w:tab/>
        <w:t>что в Приложении 6 представлены бюджеты линии Коспас-Сарсат для операций на низкой околоземной орбите (LEO), средневысотной околоземной орбите (MEO) и геостационарной орбите (GEO) при использовании значений, близких к значениям худшего случая, который в этом Приложении обозначен как "случай низкого уровня",</w:t>
      </w:r>
    </w:p>
    <w:p w:rsidR="00CA0372" w:rsidRDefault="00CA037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i/>
          <w:lang w:val="ru-RU"/>
        </w:rPr>
      </w:pPr>
      <w:r>
        <w:rPr>
          <w:lang w:val="ru-RU"/>
        </w:rPr>
        <w:br w:type="page"/>
      </w:r>
    </w:p>
    <w:p w:rsidR="009B1906" w:rsidRPr="008D0B05" w:rsidRDefault="009B1906" w:rsidP="009B1906">
      <w:pPr>
        <w:pStyle w:val="Call"/>
        <w:rPr>
          <w:lang w:val="ru-RU"/>
        </w:rPr>
      </w:pPr>
      <w:r w:rsidRPr="008D0B05">
        <w:rPr>
          <w:lang w:val="ru-RU"/>
        </w:rPr>
        <w:lastRenderedPageBreak/>
        <w:t>рекомендует</w:t>
      </w:r>
      <w:r w:rsidRPr="00C32E9A">
        <w:rPr>
          <w:i w:val="0"/>
          <w:iCs/>
          <w:lang w:val="ru-RU"/>
        </w:rPr>
        <w:t>,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b/>
          <w:lang w:val="ru-RU"/>
        </w:rPr>
        <w:t>1</w:t>
      </w:r>
      <w:r w:rsidRPr="008D0B05">
        <w:rPr>
          <w:lang w:val="ru-RU"/>
        </w:rPr>
        <w:tab/>
        <w:t>чтобы анализ помех терминалам GEOLUT системы Коспас-Сарсат, которые работают со спутниками GOES, основывался на Приложении 1;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b/>
          <w:lang w:val="ru-RU"/>
        </w:rPr>
        <w:t>2</w:t>
      </w:r>
      <w:r w:rsidRPr="008D0B05">
        <w:rPr>
          <w:lang w:val="ru-RU"/>
        </w:rPr>
        <w:tab/>
        <w:t>чтобы анализ помех терминалам LEOLUT системы Коспас-Сарсат, которые осуществляют прием глобальных данных PDS от радиомаяков EPIRB, основывался на Приложении 2;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b/>
          <w:lang w:val="ru-RU"/>
        </w:rPr>
        <w:t>3</w:t>
      </w:r>
      <w:r w:rsidRPr="008D0B05">
        <w:rPr>
          <w:lang w:val="ru-RU"/>
        </w:rPr>
        <w:tab/>
        <w:t>чтобы анализ помех терминалам LEOLUT системы Коспас-Сарсат, которые осуществляют прием сигналов EPIRB в диапазоне 406 МГц, транслируемых спутниками Коспас и Сарсат на низкой околоземной орбите, основывался на Приложении 3;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b/>
          <w:bCs/>
          <w:lang w:val="ru-RU"/>
        </w:rPr>
        <w:t>4</w:t>
      </w:r>
      <w:r w:rsidRPr="008D0B05">
        <w:rPr>
          <w:lang w:val="ru-RU"/>
        </w:rPr>
        <w:tab/>
        <w:t>чтобы анализ помех терминалам GEOLUT системы Коспас-Сарсат, которые работают со спутниками MSG, основывался на Приложении 4;</w:t>
      </w:r>
    </w:p>
    <w:p w:rsidR="009B1906" w:rsidRPr="00545FCA" w:rsidRDefault="009B1906" w:rsidP="009B1906">
      <w:pPr>
        <w:rPr>
          <w:lang w:val="ru-RU"/>
        </w:rPr>
      </w:pPr>
      <w:r w:rsidRPr="008D0B05">
        <w:rPr>
          <w:b/>
          <w:bCs/>
          <w:lang w:val="ru-RU"/>
        </w:rPr>
        <w:t>5</w:t>
      </w:r>
      <w:r w:rsidRPr="008D0B05">
        <w:rPr>
          <w:lang w:val="ru-RU"/>
        </w:rPr>
        <w:tab/>
        <w:t>чтобы анализ помех терминалам МEOLUT системы Коспас-Сарсат, которые работают со спутниками GALILEO, основывался на Приложении 5.</w:t>
      </w:r>
    </w:p>
    <w:p w:rsidR="00470826" w:rsidRPr="00FD2C57" w:rsidRDefault="00470826" w:rsidP="00470826">
      <w:pPr>
        <w:pStyle w:val="AnnexNoTitle"/>
        <w:rPr>
          <w:lang w:val="ru-RU"/>
        </w:rPr>
      </w:pPr>
      <w:bookmarkStart w:id="3" w:name="_Toc115521325"/>
    </w:p>
    <w:p w:rsidR="00CA0372" w:rsidRPr="00FD2C57" w:rsidRDefault="00CA0372" w:rsidP="00CA0372">
      <w:pPr>
        <w:pStyle w:val="AnnexNoTitle"/>
        <w:rPr>
          <w:lang w:val="ru-RU"/>
        </w:rPr>
      </w:pPr>
    </w:p>
    <w:p w:rsidR="00CA0372" w:rsidRPr="00FD2C57" w:rsidRDefault="00CA0372" w:rsidP="00CA0372">
      <w:pPr>
        <w:pStyle w:val="Normalaftertitle"/>
        <w:rPr>
          <w:lang w:val="ru-RU"/>
        </w:rPr>
      </w:pPr>
    </w:p>
    <w:p w:rsidR="009B1906" w:rsidRPr="008D0B05" w:rsidRDefault="009B1906" w:rsidP="00470826">
      <w:pPr>
        <w:pStyle w:val="AnnexNoTitle"/>
        <w:rPr>
          <w:lang w:val="ru-RU"/>
        </w:rPr>
      </w:pPr>
      <w:r w:rsidRPr="008D0B05">
        <w:rPr>
          <w:lang w:val="ru-RU"/>
        </w:rPr>
        <w:t>Приложение 1</w:t>
      </w:r>
      <w:r w:rsidRPr="008D0B05">
        <w:rPr>
          <w:lang w:val="ru-RU"/>
        </w:rPr>
        <w:br/>
      </w:r>
      <w:r w:rsidRPr="008D0B05">
        <w:rPr>
          <w:lang w:val="ru-RU"/>
        </w:rPr>
        <w:br/>
        <w:t xml:space="preserve">Критерии защиты в полосе 1544–1545 МГц </w:t>
      </w:r>
      <w:r w:rsidRPr="00470826">
        <w:rPr>
          <w:lang w:val="ru-RU"/>
        </w:rPr>
        <w:t>для</w:t>
      </w:r>
      <w:r w:rsidRPr="008D0B05">
        <w:rPr>
          <w:lang w:val="ru-RU"/>
        </w:rPr>
        <w:t xml:space="preserve"> терминалов GEOLUT</w:t>
      </w:r>
      <w:r w:rsidRPr="008D0B05">
        <w:rPr>
          <w:lang w:val="ru-RU"/>
        </w:rPr>
        <w:br/>
        <w:t>системы Коспас-Сарсат, которые осуществляют прием сигналов</w:t>
      </w:r>
      <w:r w:rsidRPr="008D0B05">
        <w:rPr>
          <w:bCs/>
          <w:caps/>
          <w:spacing w:val="-3"/>
          <w:lang w:val="ru-RU"/>
        </w:rPr>
        <w:t xml:space="preserve"> EPIRB,</w:t>
      </w:r>
      <w:r w:rsidRPr="008D0B05">
        <w:rPr>
          <w:bCs/>
          <w:caps/>
          <w:spacing w:val="-3"/>
          <w:lang w:val="ru-RU"/>
        </w:rPr>
        <w:br/>
      </w:r>
      <w:r w:rsidRPr="008D0B05">
        <w:rPr>
          <w:bCs/>
          <w:spacing w:val="-3"/>
          <w:lang w:val="ru-RU"/>
        </w:rPr>
        <w:t>транслируемых через спутники</w:t>
      </w:r>
      <w:r w:rsidRPr="008D0B05">
        <w:rPr>
          <w:bCs/>
          <w:caps/>
          <w:spacing w:val="-3"/>
          <w:lang w:val="ru-RU"/>
        </w:rPr>
        <w:t xml:space="preserve"> GOES</w:t>
      </w:r>
      <w:bookmarkEnd w:id="3"/>
    </w:p>
    <w:p w:rsidR="009B1906" w:rsidRPr="008D0B05" w:rsidRDefault="009B1906" w:rsidP="009B1906">
      <w:pPr>
        <w:pStyle w:val="Heading2"/>
        <w:rPr>
          <w:lang w:val="ru-RU"/>
        </w:rPr>
      </w:pPr>
      <w:bookmarkStart w:id="4" w:name="_Toc115521326"/>
      <w:r w:rsidRPr="008D0B05">
        <w:rPr>
          <w:caps/>
          <w:lang w:val="ru-RU"/>
        </w:rPr>
        <w:t>1.1</w:t>
      </w:r>
      <w:r w:rsidRPr="008D0B05">
        <w:rPr>
          <w:caps/>
          <w:lang w:val="ru-RU"/>
        </w:rPr>
        <w:tab/>
      </w:r>
      <w:r w:rsidRPr="008D0B05">
        <w:rPr>
          <w:lang w:val="ru-RU"/>
        </w:rPr>
        <w:t>Введение</w:t>
      </w:r>
      <w:bookmarkEnd w:id="4"/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Ретрансляторы поиска и спасания системы Коспас-Сарсат расположены на борту спутников GOES. Эти ретрансляторы принимают сигналы от EPIRB в диапазоне 406 МГц и транслируют сигналы на терминалы GEOLUT Коспас-Сарсат на частотах линии вниз в полосе 1544–1545 МГц. В соответствии с РР полоса 1544–1545 МГц распределена подвижной спутниковой службе (ПСС) в направлении космос-Земля и согласно п. 5.356 РР реально ограничивается связью при бедствии и для обеспечения безопасности. Приведенный в данном Приложении анализ устанавливает критерии защиты от помех </w:t>
      </w:r>
      <w:r w:rsidRPr="008D0B05">
        <w:rPr>
          <w:spacing w:val="-2"/>
          <w:szCs w:val="22"/>
          <w:lang w:val="ru-RU"/>
        </w:rPr>
        <w:t>для терминалов GEOLUT, которые принимают сигналы со спутников GOES в полосе 1544–1545 МГц.</w:t>
      </w:r>
    </w:p>
    <w:p w:rsidR="009B1906" w:rsidRPr="008D0B05" w:rsidRDefault="009B1906" w:rsidP="009B1906">
      <w:pPr>
        <w:pStyle w:val="Heading2"/>
        <w:rPr>
          <w:lang w:val="ru-RU"/>
        </w:rPr>
      </w:pPr>
      <w:bookmarkStart w:id="5" w:name="_Toc115521327"/>
      <w:r w:rsidRPr="008D0B05">
        <w:rPr>
          <w:lang w:val="ru-RU"/>
        </w:rPr>
        <w:t>1.2</w:t>
      </w:r>
      <w:r w:rsidRPr="008D0B05">
        <w:rPr>
          <w:lang w:val="ru-RU"/>
        </w:rPr>
        <w:tab/>
        <w:t>Минимальные допустимые характеристики для обнаружения сигналов EPIRB, транслируемых через спутник GOES</w:t>
      </w:r>
      <w:bookmarkEnd w:id="5"/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Для надежного обнаружения сигналов от маяков, передающих сигналы бедствия в диапазоне 406 МГц, с использованием ретрансляторов 406 МГц на спутниках GOES, коэффициент ошибок по битам (BER) в канале не должен превышать 5 </w:t>
      </w:r>
      <w:r w:rsidRPr="008D0B05">
        <w:rPr>
          <w:lang w:val="ru-RU"/>
        </w:rPr>
        <w:sym w:font="Symbol" w:char="F0B4"/>
      </w:r>
      <w:r w:rsidRPr="008D0B05">
        <w:rPr>
          <w:lang w:val="ru-RU"/>
        </w:rPr>
        <w:t> 10</w:t>
      </w:r>
      <w:r w:rsidRPr="008D0B05">
        <w:rPr>
          <w:vertAlign w:val="superscript"/>
          <w:lang w:val="ru-RU"/>
        </w:rPr>
        <w:t>−5</w:t>
      </w:r>
      <w:r w:rsidRPr="008D0B05">
        <w:rPr>
          <w:lang w:val="ru-RU"/>
        </w:rPr>
        <w:t>.</w:t>
      </w:r>
    </w:p>
    <w:p w:rsidR="009B1906" w:rsidRPr="008D0B05" w:rsidRDefault="009B1906" w:rsidP="009B1906">
      <w:pPr>
        <w:pStyle w:val="Heading2"/>
        <w:rPr>
          <w:lang w:val="ru-RU"/>
        </w:rPr>
      </w:pPr>
      <w:bookmarkStart w:id="6" w:name="_Toc115521328"/>
      <w:r w:rsidRPr="008D0B05">
        <w:rPr>
          <w:caps/>
          <w:lang w:val="ru-RU"/>
        </w:rPr>
        <w:t>1.3</w:t>
      </w:r>
      <w:r w:rsidRPr="008D0B05">
        <w:rPr>
          <w:caps/>
          <w:lang w:val="ru-RU"/>
        </w:rPr>
        <w:tab/>
      </w:r>
      <w:r w:rsidRPr="008D0B05">
        <w:rPr>
          <w:lang w:val="ru-RU"/>
        </w:rPr>
        <w:t>Анализ спектральной плотности потока мощности (с.п.п.м.)</w:t>
      </w:r>
      <w:bookmarkEnd w:id="6"/>
      <w:r w:rsidRPr="008D0B05">
        <w:rPr>
          <w:lang w:val="ru-RU"/>
        </w:rPr>
        <w:t xml:space="preserve"> помех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Величина BER в канале связи выводится из отношения энергии, содержащейся в каждом бите данных,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 xml:space="preserve">, к плотности шума. Общая плотность шума состоит из шума, создаваемого оборудованием Коспас-Сарсат, 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, и шума, определяемого помехами от других систем,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. Н</w:t>
      </w:r>
      <w:r>
        <w:rPr>
          <w:lang w:val="ru-RU"/>
        </w:rPr>
        <w:t>а </w:t>
      </w:r>
      <w:r w:rsidRPr="008D0B05">
        <w:rPr>
          <w:lang w:val="ru-RU"/>
        </w:rPr>
        <w:t>рисунке 1 показан канал SARR 406 МГц спутника GOES с помехами на линии вниз.</w:t>
      </w:r>
    </w:p>
    <w:p w:rsidR="009B1906" w:rsidRPr="008D0B05" w:rsidRDefault="009B1906" w:rsidP="009B1906">
      <w:pPr>
        <w:pStyle w:val="FigureNo"/>
        <w:rPr>
          <w:lang w:val="ru-RU"/>
        </w:rPr>
      </w:pPr>
      <w:r w:rsidRPr="008D0B05">
        <w:rPr>
          <w:lang w:val="ru-RU"/>
        </w:rPr>
        <w:lastRenderedPageBreak/>
        <w:t>РИСУНОК 1</w:t>
      </w:r>
    </w:p>
    <w:p w:rsidR="009B1906" w:rsidRPr="009B1906" w:rsidRDefault="009B1906" w:rsidP="009B1906">
      <w:pPr>
        <w:pStyle w:val="Figuretitle"/>
        <w:keepLines/>
        <w:rPr>
          <w:lang w:val="ru-RU"/>
        </w:rPr>
      </w:pPr>
      <w:r w:rsidRPr="009B1906">
        <w:rPr>
          <w:lang w:val="ru-RU"/>
        </w:rPr>
        <w:t xml:space="preserve">Ретранслятор </w:t>
      </w:r>
      <w:r w:rsidRPr="008D0B05">
        <w:t>SARR</w:t>
      </w:r>
      <w:r w:rsidRPr="009B1906">
        <w:rPr>
          <w:lang w:val="ru-RU"/>
        </w:rPr>
        <w:t xml:space="preserve"> спутника </w:t>
      </w:r>
      <w:r w:rsidRPr="008D0B05">
        <w:t>GOES</w:t>
      </w:r>
      <w:r w:rsidRPr="009B1906">
        <w:rPr>
          <w:lang w:val="ru-RU"/>
        </w:rPr>
        <w:t xml:space="preserve"> с помехами на линии вниз</w:t>
      </w:r>
    </w:p>
    <w:p w:rsidR="00833F98" w:rsidRDefault="00492CF6" w:rsidP="00833F98">
      <w:pPr>
        <w:pStyle w:val="Figure"/>
        <w:spacing w:after="0"/>
      </w:pPr>
      <w:r>
        <w:object w:dxaOrig="12083" w:dyaOrig="64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49pt" o:ole="">
            <v:imagedata r:id="rId15" o:title="" cropbottom="-173f"/>
          </v:shape>
          <o:OLEObject Type="Embed" ProgID="CorelDRAW.Graphic.14" ShapeID="_x0000_i1025" DrawAspect="Content" ObjectID="_1361690669" r:id="rId16"/>
        </w:object>
      </w:r>
    </w:p>
    <w:p w:rsidR="009B1906" w:rsidRDefault="009B1906" w:rsidP="00833F98">
      <w:pPr>
        <w:pStyle w:val="Figurelegend"/>
        <w:spacing w:before="0" w:after="0"/>
        <w:jc w:val="left"/>
        <w:rPr>
          <w:lang w:val="ru-RU"/>
        </w:rPr>
      </w:pPr>
      <w:r>
        <w:rPr>
          <w:lang w:val="ru-RU"/>
        </w:rPr>
        <w:tab/>
      </w:r>
      <w:r w:rsidRPr="008D0B05">
        <w:rPr>
          <w:lang w:val="ru-RU"/>
        </w:rPr>
        <w:t>МШУ: малошумящий усилитель</w:t>
      </w:r>
    </w:p>
    <w:p w:rsidR="009B1906" w:rsidRPr="008D0B05" w:rsidRDefault="009B1906" w:rsidP="00470826">
      <w:pPr>
        <w:spacing w:before="240"/>
        <w:rPr>
          <w:lang w:val="ru-RU"/>
        </w:rPr>
      </w:pPr>
      <w:r w:rsidRPr="008D0B05">
        <w:rPr>
          <w:lang w:val="ru-RU"/>
        </w:rPr>
        <w:t>Чтобы достичь величины BER на уровне 5 </w:t>
      </w:r>
      <w:r w:rsidRPr="008D0B05">
        <w:rPr>
          <w:lang w:val="ru-RU"/>
        </w:rPr>
        <w:sym w:font="Symbol" w:char="F0B4"/>
      </w:r>
      <w:r w:rsidRPr="008D0B05">
        <w:rPr>
          <w:lang w:val="ru-RU"/>
        </w:rPr>
        <w:t> 10</w:t>
      </w:r>
      <w:r w:rsidRPr="008D0B05">
        <w:rPr>
          <w:vertAlign w:val="superscript"/>
          <w:lang w:val="ru-RU"/>
        </w:rPr>
        <w:t>−5</w:t>
      </w:r>
      <w:r w:rsidRPr="008D0B05">
        <w:rPr>
          <w:lang w:val="ru-RU"/>
        </w:rPr>
        <w:t>, отношение энергии на бит к плотности шума и помех (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)) в демодуляторе GEOLUT должно равняться или превышать 8,8 дБ. Данный анализ определяет максимальный уровень широкополосной шумоподобной помехи, указываемой в качестве с.п.п.м., отнесенной ко входу антенны GEOLUT, которая может быть согласована без снижения общей величины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 на линии ниже 8,8 дБ.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Как видно из рисунка 1, сигналы от маяков, передающих сигналы бедствия в диапазоне 406 МГц, принимаются ретранслятором SARR спутника GOES и модулируются по фазе на несущей 1544,5 МГц линии вниз с целью обнаружения и обработки терминалами GEOLUT. Усиление антенны и шумовая температура системы для терминала GEOLUT спутника GOES составляют 33,3</w:t>
      </w:r>
      <w:r>
        <w:rPr>
          <w:lang w:val="ru-RU"/>
        </w:rPr>
        <w:t> дБ и 165,96 K, соответственно.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Сигнал от EPIRB приходит на космический аппарат под углом места 5°. Если внешние источники помех отсутствуют, общее отношение 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составляет 31,1</w:t>
      </w:r>
      <w:r w:rsidRPr="008D0B05">
        <w:rPr>
          <w:i/>
          <w:lang w:val="ru-RU"/>
        </w:rPr>
        <w:t> </w:t>
      </w:r>
      <w:r w:rsidRPr="008D0B05">
        <w:rPr>
          <w:lang w:val="ru-RU"/>
        </w:rPr>
        <w:t>дБ</w:t>
      </w:r>
      <w:r w:rsidRPr="008D0B05">
        <w:rPr>
          <w:lang w:val="ru-RU"/>
        </w:rPr>
        <w:noBreakHyphen/>
        <w:t>Гц, которое соответствует отношению 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на уровне 5,1 дБ. Учет потерь на аппаратную реализацию и на демодуляцию данных от маяка, а также выигрыша от обработки на терминале GEOLUT приводит к эффективному отношению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, равному 10,1 дБ. Поскольку в канале для обеспечения надежного соответствия минимальным характеристикам требуется общее отношение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 не менее 8,8 дБ, не может быть допущен уровень накопленных широкополосных помех на линии вниз, который снижает общее отношение несущей к плотности шума и помех более чем на 1,3 дБ.</w:t>
      </w:r>
    </w:p>
    <w:p w:rsidR="009B1906" w:rsidRPr="00545FCA" w:rsidRDefault="009B1906" w:rsidP="009B1906">
      <w:pPr>
        <w:rPr>
          <w:lang w:val="ru-RU"/>
        </w:rPr>
      </w:pPr>
      <w:r w:rsidRPr="008D0B05">
        <w:rPr>
          <w:lang w:val="ru-RU"/>
        </w:rPr>
        <w:t xml:space="preserve">Если общее отношение 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при отсутствии помех составляет 31,1 дБ</w:t>
      </w:r>
      <w:r w:rsidRPr="008D0B05">
        <w:rPr>
          <w:lang w:val="ru-RU"/>
        </w:rPr>
        <w:noBreakHyphen/>
        <w:t>Гц, широкополосная шумоподобная помеха на линии вниз, снижающая его на 1,3 дБ, приведет к общему отношению несущей к плотности шума и помех,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lang w:val="ru-RU"/>
        </w:rPr>
        <w:t>, равному:</w:t>
      </w:r>
    </w:p>
    <w:p w:rsidR="009B1906" w:rsidRPr="008D0B05" w:rsidRDefault="009B1906" w:rsidP="009B1906">
      <w:pPr>
        <w:pStyle w:val="Equation"/>
        <w:tabs>
          <w:tab w:val="clear" w:pos="794"/>
        </w:tabs>
        <w:spacing w:before="240"/>
        <w:jc w:val="left"/>
        <w:rPr>
          <w:lang w:val="ru-RU"/>
        </w:rPr>
      </w:pPr>
      <w:r w:rsidRPr="008D0B05">
        <w:rPr>
          <w:lang w:val="ru-RU"/>
        </w:rPr>
        <w:tab/>
        <w:t>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>
        <w:rPr>
          <w:lang w:val="ru-RU"/>
        </w:rPr>
        <w:t xml:space="preserve">  </w:t>
      </w:r>
      <w:r w:rsidRPr="008D0B05">
        <w:rPr>
          <w:lang w:val="ru-RU"/>
        </w:rPr>
        <w:t>=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lang w:val="ru-RU"/>
        </w:rPr>
        <w:t xml:space="preserve"> – 1,3 дБ</w:t>
      </w:r>
    </w:p>
    <w:p w:rsidR="009B1906" w:rsidRPr="008D0B05" w:rsidRDefault="009B1906" w:rsidP="009B1906">
      <w:pPr>
        <w:pStyle w:val="Equation"/>
        <w:tabs>
          <w:tab w:val="clear" w:pos="794"/>
          <w:tab w:val="clear" w:pos="4820"/>
          <w:tab w:val="left" w:pos="4678"/>
        </w:tabs>
        <w:jc w:val="left"/>
        <w:rPr>
          <w:lang w:val="ru-RU"/>
        </w:rPr>
      </w:pPr>
      <w:r>
        <w:rPr>
          <w:lang w:val="ru-RU"/>
        </w:rPr>
        <w:tab/>
      </w:r>
      <w:r w:rsidRPr="008D0B05">
        <w:rPr>
          <w:lang w:val="ru-RU"/>
        </w:rPr>
        <w:t>= 31,1 дБ</w:t>
      </w:r>
      <w:r w:rsidRPr="008D0B05">
        <w:rPr>
          <w:lang w:val="ru-RU"/>
        </w:rPr>
        <w:noBreakHyphen/>
        <w:t>Гц – 1,3 дБ</w:t>
      </w:r>
    </w:p>
    <w:p w:rsidR="009B1906" w:rsidRPr="008D0B05" w:rsidRDefault="009B1906" w:rsidP="009B1906">
      <w:pPr>
        <w:pStyle w:val="Equation"/>
        <w:tabs>
          <w:tab w:val="clear" w:pos="794"/>
          <w:tab w:val="clear" w:pos="4820"/>
          <w:tab w:val="left" w:pos="4678"/>
        </w:tabs>
        <w:jc w:val="left"/>
        <w:rPr>
          <w:lang w:val="ru-RU"/>
        </w:rPr>
      </w:pPr>
      <w:r w:rsidRPr="008D0B05">
        <w:rPr>
          <w:lang w:val="ru-RU"/>
        </w:rPr>
        <w:tab/>
        <w:t>= 29,8 дБ</w:t>
      </w:r>
      <w:r w:rsidRPr="008D0B05">
        <w:rPr>
          <w:lang w:val="ru-RU"/>
        </w:rPr>
        <w:noBreakHyphen/>
        <w:t>Гц.</w:t>
      </w:r>
    </w:p>
    <w:p w:rsidR="009B1906" w:rsidRPr="008D0B05" w:rsidRDefault="009B1906" w:rsidP="00833F98">
      <w:pPr>
        <w:keepNext/>
        <w:keepLines/>
        <w:rPr>
          <w:lang w:val="ru-RU"/>
        </w:rPr>
      </w:pPr>
      <w:r w:rsidRPr="008D0B05">
        <w:rPr>
          <w:lang w:val="ru-RU"/>
        </w:rPr>
        <w:lastRenderedPageBreak/>
        <w:t>Отношение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lang w:val="ru-RU"/>
        </w:rPr>
        <w:t xml:space="preserve"> вычисляется из отношений несущей к плотности шума и помех на линии вверх и линии вниз, как указано ниже:</w:t>
      </w:r>
    </w:p>
    <w:p w:rsidR="009B1906" w:rsidRPr="00545FCA" w:rsidRDefault="009B1906" w:rsidP="00470826">
      <w:pPr>
        <w:pStyle w:val="Equation"/>
        <w:keepNext/>
        <w:keepLines/>
        <w:rPr>
          <w:szCs w:val="22"/>
          <w:lang w:val="en-US"/>
        </w:rPr>
      </w:pPr>
      <w:r w:rsidRPr="008D0B05">
        <w:rPr>
          <w:lang w:val="ru-RU"/>
        </w:rPr>
        <w:tab/>
      </w:r>
      <w:r w:rsidRPr="008D0B05">
        <w:rPr>
          <w:lang w:val="ru-RU"/>
        </w:rPr>
        <w:tab/>
      </w:r>
      <w:r w:rsidRPr="00545FCA">
        <w:rPr>
          <w:lang w:val="en-US"/>
        </w:rPr>
        <w:t>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 + 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545FCA">
        <w:rPr>
          <w:lang w:val="en-US"/>
        </w:rPr>
        <w:t xml:space="preserve"> = ((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 + 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545FCA">
        <w:rPr>
          <w:vertAlign w:val="superscript"/>
          <w:lang w:val="en-US"/>
        </w:rPr>
        <w:t>−1</w:t>
      </w:r>
      <w:r w:rsidRPr="008D0B05">
        <w:rPr>
          <w:iCs/>
          <w:vertAlign w:val="subscript"/>
          <w:lang w:val="ru-RU"/>
        </w:rPr>
        <w:sym w:font="Symbol" w:char="F0AD"/>
      </w:r>
      <w:r w:rsidRPr="00545FCA">
        <w:rPr>
          <w:lang w:val="en-US"/>
        </w:rPr>
        <w:t xml:space="preserve"> + 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 + 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545FCA">
        <w:rPr>
          <w:vertAlign w:val="superscript"/>
          <w:lang w:val="en-US"/>
        </w:rPr>
        <w:t>−1</w:t>
      </w:r>
      <w:r w:rsidRPr="008D0B05">
        <w:rPr>
          <w:iCs/>
          <w:vertAlign w:val="subscript"/>
          <w:lang w:val="ru-RU"/>
        </w:rPr>
        <w:sym w:font="Symbol" w:char="F0AF"/>
      </w:r>
      <w:r w:rsidRPr="00545FCA">
        <w:rPr>
          <w:lang w:val="en-US"/>
        </w:rPr>
        <w:t>)</w:t>
      </w:r>
      <w:r w:rsidRPr="00545FCA">
        <w:rPr>
          <w:vertAlign w:val="superscript"/>
          <w:lang w:val="en-US"/>
        </w:rPr>
        <w:t>−1</w:t>
      </w:r>
      <w:r w:rsidRPr="00545FCA">
        <w:rPr>
          <w:szCs w:val="22"/>
          <w:lang w:val="en-US"/>
        </w:rPr>
        <w:t>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Поскольку данный анализ касается только помех на линии вниз, указанное выше уравнение упрощается до:</w:t>
      </w:r>
    </w:p>
    <w:p w:rsidR="009B1906" w:rsidRPr="00545FCA" w:rsidRDefault="009B1906" w:rsidP="009B1906">
      <w:pPr>
        <w:pStyle w:val="Equation"/>
        <w:rPr>
          <w:lang w:val="en-US"/>
        </w:rPr>
      </w:pPr>
      <w:r w:rsidRPr="008D0B05">
        <w:rPr>
          <w:lang w:val="ru-RU"/>
        </w:rPr>
        <w:tab/>
      </w:r>
      <w:r w:rsidRPr="008D0B05">
        <w:rPr>
          <w:lang w:val="ru-RU"/>
        </w:rPr>
        <w:tab/>
      </w:r>
      <w:r w:rsidRPr="00545FCA">
        <w:rPr>
          <w:lang w:val="en-US"/>
        </w:rPr>
        <w:t>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 + 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545FCA">
        <w:rPr>
          <w:lang w:val="en-US"/>
        </w:rPr>
        <w:t xml:space="preserve"> = ((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</w:t>
      </w:r>
      <w:r w:rsidRPr="00545FCA">
        <w:rPr>
          <w:vertAlign w:val="superscript"/>
          <w:lang w:val="en-US"/>
        </w:rPr>
        <w:t>−1</w:t>
      </w:r>
      <w:r w:rsidRPr="008D0B05">
        <w:rPr>
          <w:iCs/>
          <w:vertAlign w:val="subscript"/>
          <w:lang w:val="ru-RU"/>
        </w:rPr>
        <w:sym w:font="Symbol" w:char="F0AD"/>
      </w:r>
      <w:r w:rsidRPr="00545FCA">
        <w:rPr>
          <w:lang w:val="en-US"/>
        </w:rPr>
        <w:t xml:space="preserve"> + 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 + 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545FCA">
        <w:rPr>
          <w:vertAlign w:val="superscript"/>
          <w:lang w:val="en-US"/>
        </w:rPr>
        <w:t>−1</w:t>
      </w:r>
      <w:r w:rsidRPr="008D0B05">
        <w:rPr>
          <w:iCs/>
          <w:vertAlign w:val="subscript"/>
          <w:lang w:val="ru-RU"/>
        </w:rPr>
        <w:sym w:font="Symbol" w:char="F0AF"/>
      </w:r>
      <w:r w:rsidRPr="00545FCA">
        <w:rPr>
          <w:lang w:val="en-US"/>
        </w:rPr>
        <w:t>)</w:t>
      </w:r>
      <w:r w:rsidRPr="00545FCA">
        <w:rPr>
          <w:vertAlign w:val="superscript"/>
          <w:lang w:val="en-US"/>
        </w:rPr>
        <w:t>−1</w:t>
      </w:r>
      <w:r w:rsidRPr="00545FCA">
        <w:rPr>
          <w:szCs w:val="22"/>
          <w:lang w:val="en-US"/>
        </w:rPr>
        <w:t>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Подстановка 29,8 дБ</w:t>
      </w:r>
      <w:r w:rsidRPr="008D0B05">
        <w:rPr>
          <w:lang w:val="ru-RU"/>
        </w:rPr>
        <w:noBreakHyphen/>
        <w:t>Гц вместо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lang w:val="ru-RU"/>
        </w:rPr>
        <w:t xml:space="preserve"> и 31,3 дБ</w:t>
      </w:r>
      <w:r w:rsidRPr="008D0B05">
        <w:rPr>
          <w:lang w:val="ru-RU"/>
        </w:rPr>
        <w:noBreakHyphen/>
        <w:t>Гц вместо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D"/>
      </w:r>
      <w:r w:rsidRPr="008D0B05">
        <w:rPr>
          <w:lang w:val="ru-RU"/>
        </w:rPr>
        <w:t xml:space="preserve"> дает величину отношения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lang w:val="ru-RU"/>
        </w:rPr>
        <w:t>, равную 35,1 дБ</w:t>
      </w:r>
      <w:r w:rsidRPr="008D0B05">
        <w:rPr>
          <w:lang w:val="ru-RU"/>
        </w:rPr>
        <w:noBreakHyphen/>
        <w:t>Гц (см. ниже):</w:t>
      </w:r>
    </w:p>
    <w:p w:rsidR="009B1906" w:rsidRPr="008D0B05" w:rsidRDefault="009B1906" w:rsidP="009B1906">
      <w:pPr>
        <w:pStyle w:val="Equation"/>
        <w:rPr>
          <w:vertAlign w:val="superscript"/>
          <w:lang w:val="ru-RU"/>
        </w:rPr>
      </w:pPr>
      <w:r w:rsidRPr="008D0B05">
        <w:rPr>
          <w:lang w:val="ru-RU"/>
        </w:rPr>
        <w:tab/>
      </w:r>
      <w:r w:rsidRPr="008D0B05">
        <w:rPr>
          <w:lang w:val="ru-RU"/>
        </w:rPr>
        <w:tab/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lang w:val="ru-RU"/>
        </w:rPr>
        <w:t xml:space="preserve"> = ((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vertAlign w:val="superscript"/>
          <w:lang w:val="ru-RU"/>
        </w:rPr>
        <w:t>−1</w:t>
      </w:r>
      <w:r w:rsidRPr="008D0B05">
        <w:rPr>
          <w:lang w:val="ru-RU"/>
        </w:rPr>
        <w:t> –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D"/>
      </w:r>
      <w:r w:rsidRPr="008D0B05">
        <w:rPr>
          <w:vertAlign w:val="superscript"/>
          <w:lang w:val="ru-RU"/>
        </w:rPr>
        <w:t>−1</w:t>
      </w:r>
      <w:r w:rsidRPr="008D0B05">
        <w:rPr>
          <w:lang w:val="ru-RU"/>
        </w:rPr>
        <w:t>)</w:t>
      </w:r>
      <w:r w:rsidRPr="008D0B05">
        <w:rPr>
          <w:vertAlign w:val="superscript"/>
          <w:lang w:val="ru-RU"/>
        </w:rPr>
        <w:t>−1</w:t>
      </w:r>
    </w:p>
    <w:p w:rsidR="009B1906" w:rsidRPr="00545FCA" w:rsidRDefault="009B1906" w:rsidP="009B1906">
      <w:pPr>
        <w:rPr>
          <w:lang w:val="ru-RU"/>
        </w:rPr>
      </w:pPr>
      <w:r>
        <w:rPr>
          <w:lang w:val="ru-RU"/>
        </w:rPr>
        <w:t>и</w:t>
      </w:r>
      <w:r w:rsidRPr="008D0B05">
        <w:rPr>
          <w:lang w:val="ru-RU"/>
        </w:rPr>
        <w:t>ли</w:t>
      </w:r>
    </w:p>
    <w:p w:rsidR="009B1906" w:rsidRPr="008D0B05" w:rsidRDefault="009B1906" w:rsidP="009B1906">
      <w:pPr>
        <w:pStyle w:val="Equation"/>
        <w:rPr>
          <w:lang w:val="ru-RU"/>
        </w:rPr>
      </w:pPr>
      <w:r w:rsidRPr="008D0B05">
        <w:rPr>
          <w:lang w:val="ru-RU"/>
        </w:rPr>
        <w:tab/>
      </w:r>
      <w:r w:rsidRPr="008D0B05">
        <w:rPr>
          <w:lang w:val="ru-RU"/>
        </w:rPr>
        <w:tab/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lang w:val="ru-RU"/>
        </w:rPr>
        <w:t xml:space="preserve"> = 10 log ((10</w:t>
      </w:r>
      <w:r w:rsidRPr="008D0B05">
        <w:rPr>
          <w:vertAlign w:val="superscript"/>
          <w:lang w:val="ru-RU"/>
        </w:rPr>
        <w:t xml:space="preserve">–29,8/10 </w:t>
      </w:r>
      <w:r w:rsidRPr="008D0B05">
        <w:rPr>
          <w:lang w:val="ru-RU"/>
        </w:rPr>
        <w:t>– 10</w:t>
      </w:r>
      <w:r w:rsidRPr="008D0B05">
        <w:rPr>
          <w:vertAlign w:val="superscript"/>
          <w:lang w:val="ru-RU"/>
        </w:rPr>
        <w:t>–31,3/10</w:t>
      </w:r>
      <w:r w:rsidRPr="008D0B05">
        <w:rPr>
          <w:lang w:val="ru-RU"/>
        </w:rPr>
        <w:t>)</w:t>
      </w:r>
      <w:r w:rsidRPr="008D0B05">
        <w:rPr>
          <w:vertAlign w:val="superscript"/>
          <w:lang w:val="ru-RU"/>
        </w:rPr>
        <w:t>–1</w:t>
      </w:r>
      <w:r w:rsidRPr="008D0B05">
        <w:rPr>
          <w:lang w:val="ru-RU"/>
        </w:rPr>
        <w:t>),</w:t>
      </w:r>
    </w:p>
    <w:p w:rsidR="009B1906" w:rsidRPr="00545FCA" w:rsidRDefault="009B1906" w:rsidP="009B1906">
      <w:pPr>
        <w:rPr>
          <w:lang w:val="ru-RU"/>
        </w:rPr>
      </w:pPr>
      <w:r w:rsidRPr="008D0B05">
        <w:rPr>
          <w:lang w:val="ru-RU"/>
        </w:rPr>
        <w:t>в таком случае</w:t>
      </w:r>
    </w:p>
    <w:p w:rsidR="009B1906" w:rsidRPr="008D0B05" w:rsidRDefault="009B1906" w:rsidP="009B1906">
      <w:pPr>
        <w:pStyle w:val="Equation"/>
        <w:rPr>
          <w:lang w:val="ru-RU"/>
        </w:rPr>
      </w:pPr>
      <w:r w:rsidRPr="008D0B05">
        <w:rPr>
          <w:lang w:val="ru-RU"/>
        </w:rPr>
        <w:tab/>
      </w:r>
      <w:r w:rsidRPr="008D0B05">
        <w:rPr>
          <w:lang w:val="ru-RU"/>
        </w:rPr>
        <w:tab/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lang w:val="ru-RU"/>
        </w:rPr>
        <w:t xml:space="preserve"> = 35,1 дБ</w:t>
      </w:r>
      <w:r w:rsidRPr="008D0B05">
        <w:rPr>
          <w:lang w:val="ru-RU"/>
        </w:rPr>
        <w:noBreakHyphen/>
        <w:t>Гц</w:t>
      </w:r>
      <w:r w:rsidRPr="008D0B05">
        <w:rPr>
          <w:szCs w:val="22"/>
          <w:lang w:val="ru-RU"/>
        </w:rPr>
        <w:t>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Спектральная плотность мощности шума на линии вниз без помех на входе МШУ составляет </w:t>
      </w:r>
      <w:r w:rsidRPr="008D0B05">
        <w:rPr>
          <w:lang w:val="ru-RU"/>
        </w:rPr>
        <w:br/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 = </w:t>
      </w:r>
      <w:r w:rsidRPr="008D0B05">
        <w:rPr>
          <w:i/>
          <w:iCs/>
          <w:lang w:val="ru-RU"/>
        </w:rPr>
        <w:t>k T</w:t>
      </w:r>
      <w:r w:rsidRPr="008D0B05">
        <w:rPr>
          <w:lang w:val="ru-RU"/>
        </w:rPr>
        <w:t xml:space="preserve">, где </w:t>
      </w:r>
      <w:r w:rsidRPr="008D0B05">
        <w:rPr>
          <w:i/>
          <w:iCs/>
          <w:lang w:val="ru-RU"/>
        </w:rPr>
        <w:t>k</w:t>
      </w:r>
      <w:r w:rsidRPr="008D0B05">
        <w:rPr>
          <w:lang w:val="ru-RU"/>
        </w:rPr>
        <w:t xml:space="preserve"> – постоянная Больцмана. Следовательно, 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0 </w:t>
      </w:r>
      <w:r w:rsidRPr="008D0B05">
        <w:rPr>
          <w:lang w:val="ru-RU"/>
        </w:rPr>
        <w:t>= –228,6 + 22,2 = –206,4 дБ(Вт/Гц).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Отношение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>равно 43,8 дБ и 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>равно –206,4 дБ(Вт/Гц), поэтому величина C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vertAlign w:val="subscript"/>
          <w:lang w:val="ru-RU"/>
        </w:rPr>
        <w:t xml:space="preserve"> </w:t>
      </w:r>
      <w:r w:rsidRPr="008D0B05">
        <w:rPr>
          <w:lang w:val="ru-RU"/>
        </w:rPr>
        <w:t>равна −162,6</w:t>
      </w:r>
      <w:r w:rsidRPr="008D0B05">
        <w:rPr>
          <w:i/>
          <w:lang w:val="ru-RU"/>
        </w:rPr>
        <w:t> </w:t>
      </w:r>
      <w:r w:rsidRPr="008D0B05">
        <w:rPr>
          <w:iCs/>
          <w:lang w:val="ru-RU"/>
        </w:rPr>
        <w:t>дБВт</w:t>
      </w:r>
      <w:r w:rsidRPr="008D0B05">
        <w:rPr>
          <w:lang w:val="ru-RU"/>
        </w:rPr>
        <w:t>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Максимальная допустимая спектральная плотность мощности помех на линии вниз от совокупности всех источников помех,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(max), измеренная на входе МШУ приемника GEOLUT в полосе 1544,5 МГц </w:t>
      </w:r>
      <w:r w:rsidRPr="008D0B05">
        <w:rPr>
          <w:lang w:val="ru-RU"/>
        </w:rPr>
        <w:sym w:font="Symbol" w:char="F0B1"/>
      </w:r>
      <w:r w:rsidRPr="008D0B05">
        <w:rPr>
          <w:lang w:val="ru-RU"/>
        </w:rPr>
        <w:t> 100 кГц, составляет:</w:t>
      </w:r>
    </w:p>
    <w:p w:rsidR="009B1906" w:rsidRPr="00545FCA" w:rsidRDefault="009B1906" w:rsidP="009B1906">
      <w:pPr>
        <w:pStyle w:val="Equation"/>
        <w:rPr>
          <w:lang w:val="en-US"/>
        </w:rPr>
      </w:pPr>
      <w:r w:rsidRPr="008D0B05">
        <w:rPr>
          <w:lang w:val="ru-RU"/>
        </w:rPr>
        <w:tab/>
      </w:r>
      <w:r w:rsidRPr="008D0B05">
        <w:rPr>
          <w:lang w:val="ru-RU"/>
        </w:rPr>
        <w:tab/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(max) = 10 log (10</w:t>
      </w:r>
      <w:r w:rsidRPr="00545FCA">
        <w:rPr>
          <w:vertAlign w:val="superscript"/>
          <w:lang w:val="en-US"/>
        </w:rPr>
        <w:t>(</w:t>
      </w:r>
      <w:r w:rsidRPr="00545FCA">
        <w:rPr>
          <w:i/>
          <w:iCs/>
          <w:vertAlign w:val="superscript"/>
          <w:lang w:val="en-US"/>
        </w:rPr>
        <w:t>C</w:t>
      </w:r>
      <w:r w:rsidRPr="008D0B05">
        <w:rPr>
          <w:iCs/>
          <w:position w:val="-4"/>
          <w:szCs w:val="24"/>
          <w:vertAlign w:val="superscript"/>
          <w:lang w:val="ru-RU"/>
        </w:rPr>
        <w:sym w:font="Symbol" w:char="F0AF"/>
      </w:r>
      <w:r w:rsidRPr="00545FCA">
        <w:rPr>
          <w:i/>
          <w:iCs/>
          <w:vertAlign w:val="superscript"/>
          <w:lang w:val="en-US"/>
        </w:rPr>
        <w:t> </w:t>
      </w:r>
      <w:r w:rsidRPr="00545FCA">
        <w:rPr>
          <w:vertAlign w:val="superscript"/>
          <w:lang w:val="en-US"/>
        </w:rPr>
        <w:t>– (</w:t>
      </w:r>
      <w:r w:rsidRPr="00545FCA">
        <w:rPr>
          <w:i/>
          <w:iCs/>
          <w:vertAlign w:val="superscript"/>
          <w:lang w:val="en-US"/>
        </w:rPr>
        <w:t>C</w:t>
      </w:r>
      <w:r w:rsidRPr="00545FCA">
        <w:rPr>
          <w:vertAlign w:val="superscript"/>
          <w:lang w:val="en-US"/>
        </w:rPr>
        <w:t>/(</w:t>
      </w:r>
      <w:r w:rsidRPr="00545FCA">
        <w:rPr>
          <w:i/>
          <w:iCs/>
          <w:vertAlign w:val="superscript"/>
          <w:lang w:val="en-US"/>
        </w:rPr>
        <w:t>N</w:t>
      </w:r>
      <w:r w:rsidRPr="00545FCA">
        <w:rPr>
          <w:sz w:val="16"/>
          <w:szCs w:val="16"/>
          <w:vertAlign w:val="superscript"/>
          <w:lang w:val="en-US"/>
        </w:rPr>
        <w:t>0</w:t>
      </w:r>
      <w:r w:rsidRPr="00545FCA">
        <w:rPr>
          <w:vertAlign w:val="superscript"/>
          <w:lang w:val="en-US"/>
        </w:rPr>
        <w:t xml:space="preserve"> +</w:t>
      </w:r>
      <w:r w:rsidRPr="00545FCA">
        <w:rPr>
          <w:i/>
          <w:iCs/>
          <w:vertAlign w:val="superscript"/>
          <w:lang w:val="en-US"/>
        </w:rPr>
        <w:t xml:space="preserve"> I</w:t>
      </w:r>
      <w:r w:rsidRPr="00545FCA">
        <w:rPr>
          <w:sz w:val="16"/>
          <w:szCs w:val="16"/>
          <w:vertAlign w:val="superscript"/>
          <w:lang w:val="en-US"/>
        </w:rPr>
        <w:t>0</w:t>
      </w:r>
      <w:r w:rsidRPr="00545FCA">
        <w:rPr>
          <w:vertAlign w:val="superscript"/>
          <w:lang w:val="en-US"/>
        </w:rPr>
        <w:t>)</w:t>
      </w:r>
      <w:r w:rsidRPr="008D0B05">
        <w:rPr>
          <w:iCs/>
          <w:position w:val="-4"/>
          <w:szCs w:val="24"/>
          <w:vertAlign w:val="superscript"/>
          <w:lang w:val="ru-RU"/>
        </w:rPr>
        <w:sym w:font="Symbol" w:char="F0AF"/>
      </w:r>
      <w:r w:rsidRPr="00545FCA">
        <w:rPr>
          <w:vertAlign w:val="superscript"/>
          <w:lang w:val="en-US"/>
        </w:rPr>
        <w:t>))/10</w:t>
      </w:r>
      <w:r w:rsidRPr="00545FCA">
        <w:rPr>
          <w:lang w:val="en-US"/>
        </w:rPr>
        <w:t> – 10</w:t>
      </w:r>
      <w:r w:rsidRPr="00545FCA">
        <w:rPr>
          <w:vertAlign w:val="superscript"/>
          <w:lang w:val="en-US"/>
        </w:rPr>
        <w:t>(</w:t>
      </w:r>
      <w:r w:rsidRPr="00545FCA">
        <w:rPr>
          <w:i/>
          <w:iCs/>
          <w:vertAlign w:val="superscript"/>
          <w:lang w:val="en-US"/>
        </w:rPr>
        <w:t>N</w:t>
      </w:r>
      <w:r w:rsidRPr="00545FCA">
        <w:rPr>
          <w:sz w:val="16"/>
          <w:szCs w:val="16"/>
          <w:vertAlign w:val="superscript"/>
          <w:lang w:val="en-US"/>
        </w:rPr>
        <w:t>0</w:t>
      </w:r>
      <w:r w:rsidRPr="00545FCA">
        <w:rPr>
          <w:vertAlign w:val="superscript"/>
          <w:lang w:val="en-US"/>
        </w:rPr>
        <w:t>)</w:t>
      </w:r>
      <w:r w:rsidRPr="008D0B05">
        <w:rPr>
          <w:iCs/>
          <w:position w:val="-4"/>
          <w:szCs w:val="24"/>
          <w:vertAlign w:val="superscript"/>
          <w:lang w:val="ru-RU"/>
        </w:rPr>
        <w:sym w:font="Symbol" w:char="F0AF"/>
      </w:r>
      <w:r w:rsidRPr="00545FCA">
        <w:rPr>
          <w:vertAlign w:val="superscript"/>
          <w:lang w:val="en-US"/>
        </w:rPr>
        <w:t>/10</w:t>
      </w:r>
      <w:r w:rsidRPr="00545FCA">
        <w:rPr>
          <w:lang w:val="en-US"/>
        </w:rPr>
        <w:t>)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или</w:t>
      </w:r>
    </w:p>
    <w:p w:rsidR="009B1906" w:rsidRPr="008D0B05" w:rsidRDefault="009B1906" w:rsidP="009B1906">
      <w:pPr>
        <w:pStyle w:val="Equation"/>
        <w:rPr>
          <w:lang w:val="ru-RU"/>
        </w:rPr>
      </w:pPr>
      <w:r w:rsidRPr="008D0B05">
        <w:rPr>
          <w:lang w:val="ru-RU"/>
        </w:rPr>
        <w:tab/>
      </w:r>
      <w:r w:rsidRPr="008D0B05">
        <w:rPr>
          <w:lang w:val="ru-RU"/>
        </w:rPr>
        <w:tab/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(max) = 10 log (10</w:t>
      </w:r>
      <w:r w:rsidRPr="008D0B05">
        <w:rPr>
          <w:vertAlign w:val="superscript"/>
          <w:lang w:val="ru-RU"/>
        </w:rPr>
        <w:t>(–162,6 – 35,1)/10</w:t>
      </w:r>
      <w:r w:rsidRPr="008D0B05">
        <w:rPr>
          <w:lang w:val="ru-RU"/>
        </w:rPr>
        <w:t> – 10</w:t>
      </w:r>
      <w:r w:rsidRPr="008D0B05">
        <w:rPr>
          <w:vertAlign w:val="superscript"/>
          <w:lang w:val="ru-RU"/>
        </w:rPr>
        <w:t>–206,4/10</w:t>
      </w:r>
      <w:r w:rsidRPr="008D0B05">
        <w:rPr>
          <w:lang w:val="ru-RU"/>
        </w:rPr>
        <w:t>),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>в таком случае</w:t>
      </w:r>
    </w:p>
    <w:p w:rsidR="009B1906" w:rsidRPr="00545FCA" w:rsidRDefault="009B1906" w:rsidP="009B1906">
      <w:pPr>
        <w:pStyle w:val="Equation"/>
        <w:rPr>
          <w:lang w:val="en-US"/>
        </w:rPr>
      </w:pPr>
      <w:r w:rsidRPr="008D0B05">
        <w:rPr>
          <w:lang w:val="ru-RU"/>
        </w:rPr>
        <w:tab/>
      </w:r>
      <w:r w:rsidRPr="008D0B05">
        <w:rPr>
          <w:lang w:val="ru-RU"/>
        </w:rPr>
        <w:tab/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(max) = –198,3 </w:t>
      </w:r>
      <w:r w:rsidRPr="008D0B05">
        <w:rPr>
          <w:lang w:val="ru-RU"/>
        </w:rPr>
        <w:t>дБ</w:t>
      </w:r>
      <w:r w:rsidRPr="00545FCA">
        <w:rPr>
          <w:lang w:val="en-US"/>
        </w:rPr>
        <w:t>(</w:t>
      </w:r>
      <w:r w:rsidRPr="008D0B05">
        <w:rPr>
          <w:lang w:val="ru-RU"/>
        </w:rPr>
        <w:t>Вт</w:t>
      </w:r>
      <w:r w:rsidRPr="00545FCA">
        <w:rPr>
          <w:lang w:val="en-US"/>
        </w:rPr>
        <w:t>/</w:t>
      </w:r>
      <w:r w:rsidRPr="008D0B05">
        <w:rPr>
          <w:lang w:val="ru-RU"/>
        </w:rPr>
        <w:t>Гц</w:t>
      </w:r>
      <w:r w:rsidRPr="00545FCA">
        <w:rPr>
          <w:lang w:val="en-US"/>
        </w:rPr>
        <w:t>)</w:t>
      </w:r>
      <w:r w:rsidRPr="00545FCA">
        <w:rPr>
          <w:szCs w:val="22"/>
          <w:lang w:val="en-US"/>
        </w:rPr>
        <w:t>.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>Рассматриваемые критерии защиты желательно характеризовать в виде порогового уровня с.п.п.м. помех, указываемого в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 xml:space="preserve"> ∙ Гц)) на входе антенны GEOLUT. Эффективная апертура антенны, </w:t>
      </w:r>
      <w:r w:rsidRPr="008D0B05">
        <w:rPr>
          <w:i/>
          <w:iCs/>
          <w:lang w:val="ru-RU"/>
        </w:rPr>
        <w:t>A</w:t>
      </w:r>
      <w:r w:rsidRPr="008D0B05">
        <w:rPr>
          <w:i/>
          <w:iCs/>
          <w:vertAlign w:val="subscript"/>
          <w:lang w:val="ru-RU"/>
        </w:rPr>
        <w:t>e</w:t>
      </w:r>
      <w:r w:rsidRPr="008D0B05">
        <w:rPr>
          <w:lang w:val="ru-RU"/>
        </w:rPr>
        <w:t>, с усилением</w:t>
      </w:r>
      <w:r w:rsidRPr="008D0B05">
        <w:rPr>
          <w:i/>
          <w:iCs/>
          <w:lang w:val="ru-RU"/>
        </w:rPr>
        <w:t xml:space="preserve"> G</w:t>
      </w:r>
      <w:r w:rsidRPr="008D0B05">
        <w:rPr>
          <w:lang w:val="ru-RU"/>
        </w:rPr>
        <w:t xml:space="preserve"> определяется как </w:t>
      </w:r>
      <w:r w:rsidRPr="008D0B05">
        <w:rPr>
          <w:i/>
          <w:iCs/>
          <w:lang w:val="ru-RU"/>
        </w:rPr>
        <w:t>A</w:t>
      </w:r>
      <w:r w:rsidRPr="008D0B05">
        <w:rPr>
          <w:i/>
          <w:iCs/>
          <w:vertAlign w:val="subscript"/>
          <w:lang w:val="ru-RU"/>
        </w:rPr>
        <w:t>e</w:t>
      </w:r>
      <w:r w:rsidRPr="008D0B05">
        <w:rPr>
          <w:lang w:val="ru-RU"/>
        </w:rPr>
        <w:t> = </w:t>
      </w:r>
      <w:r w:rsidRPr="008D0B05">
        <w:rPr>
          <w:i/>
          <w:iCs/>
          <w:lang w:val="ru-RU"/>
        </w:rPr>
        <w:t>G</w:t>
      </w:r>
      <w:r w:rsidRPr="008D0B05">
        <w:rPr>
          <w:rFonts w:ascii="Symbol" w:hAnsi="Symbol"/>
          <w:lang w:val="ru-RU"/>
        </w:rPr>
        <w:t>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/4</w:t>
      </w:r>
      <w:r w:rsidRPr="008D0B05">
        <w:rPr>
          <w:rFonts w:ascii="Symbol" w:hAnsi="Symbol"/>
          <w:lang w:val="ru-RU"/>
        </w:rPr>
        <w:t></w:t>
      </w:r>
      <w:r w:rsidRPr="008D0B05">
        <w:rPr>
          <w:rFonts w:ascii="Symbol" w:hAnsi="Symbol"/>
          <w:lang w:val="ru-RU"/>
        </w:rPr>
        <w:t></w:t>
      </w:r>
      <w:r w:rsidRPr="008D0B05">
        <w:rPr>
          <w:lang w:val="ru-RU"/>
        </w:rPr>
        <w:t xml:space="preserve"> Антенна GEOLUT имеет усиление 33,3 дБ, следовательно, эффективная апертура равна 6,42 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. Максимальная допустимая суммарная помеха, указываемая в виде с.п.п.м., составляет:</w:t>
      </w:r>
    </w:p>
    <w:p w:rsidR="009B1906" w:rsidRPr="00545FCA" w:rsidRDefault="009B1906" w:rsidP="009B1906">
      <w:pPr>
        <w:pStyle w:val="Equation"/>
        <w:rPr>
          <w:vertAlign w:val="subscript"/>
          <w:lang w:val="en-US"/>
        </w:rPr>
      </w:pPr>
      <w:r w:rsidRPr="008D0B05">
        <w:rPr>
          <w:lang w:val="ru-RU"/>
        </w:rPr>
        <w:tab/>
      </w:r>
      <w:r w:rsidRPr="008D0B05">
        <w:rPr>
          <w:lang w:val="ru-RU"/>
        </w:rPr>
        <w:tab/>
        <w:t>с</w:t>
      </w:r>
      <w:r w:rsidRPr="00545FCA">
        <w:rPr>
          <w:lang w:val="en-US"/>
        </w:rPr>
        <w:t>.</w:t>
      </w:r>
      <w:r w:rsidRPr="008D0B05">
        <w:rPr>
          <w:lang w:val="ru-RU"/>
        </w:rPr>
        <w:t>п</w:t>
      </w:r>
      <w:r w:rsidRPr="00545FCA">
        <w:rPr>
          <w:lang w:val="en-US"/>
        </w:rPr>
        <w:t>.</w:t>
      </w:r>
      <w:r w:rsidRPr="008D0B05">
        <w:rPr>
          <w:lang w:val="ru-RU"/>
        </w:rPr>
        <w:t>п</w:t>
      </w:r>
      <w:r w:rsidRPr="00545FCA">
        <w:rPr>
          <w:lang w:val="en-US"/>
        </w:rPr>
        <w:t>.</w:t>
      </w:r>
      <w:r w:rsidRPr="008D0B05">
        <w:rPr>
          <w:lang w:val="ru-RU"/>
        </w:rPr>
        <w:t>м</w:t>
      </w:r>
      <w:r w:rsidRPr="00545FCA">
        <w:rPr>
          <w:lang w:val="en-US"/>
        </w:rPr>
        <w:t xml:space="preserve">. = 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 xml:space="preserve">(max) – </w:t>
      </w:r>
      <w:r w:rsidRPr="00545FCA">
        <w:rPr>
          <w:i/>
          <w:iCs/>
          <w:lang w:val="en-US"/>
        </w:rPr>
        <w:t>L</w:t>
      </w:r>
      <w:r w:rsidRPr="00545FCA">
        <w:rPr>
          <w:i/>
          <w:iCs/>
          <w:vertAlign w:val="subscript"/>
          <w:lang w:val="en-US"/>
        </w:rPr>
        <w:t>Line</w:t>
      </w:r>
      <w:r w:rsidRPr="00545FCA">
        <w:rPr>
          <w:lang w:val="en-US"/>
        </w:rPr>
        <w:t xml:space="preserve"> – </w:t>
      </w:r>
      <w:r w:rsidRPr="00545FCA">
        <w:rPr>
          <w:i/>
          <w:iCs/>
          <w:lang w:val="en-US"/>
        </w:rPr>
        <w:t>A</w:t>
      </w:r>
      <w:r w:rsidRPr="00545FCA">
        <w:rPr>
          <w:i/>
          <w:iCs/>
          <w:vertAlign w:val="subscript"/>
          <w:lang w:val="en-US"/>
        </w:rPr>
        <w:t>e</w:t>
      </w:r>
      <w:r w:rsidRPr="00545FCA">
        <w:rPr>
          <w:szCs w:val="22"/>
          <w:lang w:val="en-US"/>
        </w:rPr>
        <w:t>.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 xml:space="preserve">Предполагая </w:t>
      </w:r>
      <w:r w:rsidRPr="008D0B05">
        <w:rPr>
          <w:i/>
          <w:iCs/>
          <w:lang w:val="ru-RU"/>
        </w:rPr>
        <w:t>L</w:t>
      </w:r>
      <w:r w:rsidRPr="008D0B05">
        <w:rPr>
          <w:i/>
          <w:iCs/>
          <w:vertAlign w:val="subscript"/>
          <w:lang w:val="ru-RU"/>
        </w:rPr>
        <w:t>Line</w:t>
      </w:r>
      <w:r w:rsidRPr="008D0B05">
        <w:rPr>
          <w:lang w:val="ru-RU"/>
        </w:rPr>
        <w:t xml:space="preserve"> = 0,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lang w:val="ru-RU"/>
        </w:rPr>
      </w:pPr>
      <w:r w:rsidRPr="008D0B05">
        <w:rPr>
          <w:lang w:val="ru-RU"/>
        </w:rPr>
        <w:tab/>
        <w:t>с.п.п.м. = –198,3</w:t>
      </w:r>
      <w:r w:rsidRPr="008D0B05">
        <w:rPr>
          <w:i/>
          <w:lang w:val="ru-RU"/>
        </w:rPr>
        <w:t xml:space="preserve"> </w:t>
      </w:r>
      <w:r w:rsidRPr="008D0B05">
        <w:rPr>
          <w:lang w:val="ru-RU"/>
        </w:rPr>
        <w:t xml:space="preserve">– 0 – 10 log (6,42) </w:t>
      </w:r>
    </w:p>
    <w:p w:rsidR="009B1906" w:rsidRPr="008D0B05" w:rsidRDefault="009B1906" w:rsidP="009B1906">
      <w:pPr>
        <w:pStyle w:val="Equation"/>
        <w:tabs>
          <w:tab w:val="clear" w:pos="794"/>
          <w:tab w:val="clear" w:pos="4820"/>
          <w:tab w:val="left" w:pos="3969"/>
        </w:tabs>
        <w:rPr>
          <w:lang w:val="ru-RU"/>
        </w:rPr>
      </w:pPr>
      <w:r w:rsidRPr="008D0B05">
        <w:rPr>
          <w:lang w:val="ru-RU"/>
        </w:rPr>
        <w:tab/>
        <w:t>= –206,4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 ∙ Гц))</w:t>
      </w:r>
      <w:r w:rsidRPr="008D0B05">
        <w:rPr>
          <w:szCs w:val="22"/>
          <w:lang w:val="ru-RU"/>
        </w:rPr>
        <w:t>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Максимальный уровень широкополосной шумоподобной помехи в канале GEOLUT в полосе 1544,5 МГц </w:t>
      </w:r>
      <w:r w:rsidRPr="008D0B05">
        <w:rPr>
          <w:lang w:val="ru-RU"/>
        </w:rPr>
        <w:sym w:font="Symbol" w:char="F0B1"/>
      </w:r>
      <w:r w:rsidRPr="008D0B05">
        <w:rPr>
          <w:lang w:val="ru-RU"/>
        </w:rPr>
        <w:t> 100 кГц не должен превышать –206,4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 ∙ Гц)).</w:t>
      </w:r>
    </w:p>
    <w:p w:rsidR="009B1906" w:rsidRPr="008D0B05" w:rsidRDefault="009B1906" w:rsidP="00833F98">
      <w:pPr>
        <w:pStyle w:val="Heading2"/>
        <w:spacing w:line="250" w:lineRule="exact"/>
        <w:rPr>
          <w:lang w:val="ru-RU"/>
        </w:rPr>
      </w:pPr>
      <w:bookmarkStart w:id="7" w:name="_Toc115521329"/>
      <w:r w:rsidRPr="008D0B05">
        <w:rPr>
          <w:lang w:val="ru-RU"/>
        </w:rPr>
        <w:lastRenderedPageBreak/>
        <w:t>1.4</w:t>
      </w:r>
      <w:r w:rsidRPr="008D0B05">
        <w:rPr>
          <w:lang w:val="ru-RU"/>
        </w:rPr>
        <w:tab/>
        <w:t>Процедура вычисления уровня помех, причиняемых линии вниз канала SARR 406 МГц спутника GOES</w:t>
      </w:r>
      <w:bookmarkEnd w:id="7"/>
    </w:p>
    <w:p w:rsidR="009B1906" w:rsidRPr="008D0B05" w:rsidRDefault="009B1906" w:rsidP="00833F98">
      <w:pPr>
        <w:keepNext/>
        <w:keepLines/>
        <w:spacing w:line="250" w:lineRule="exact"/>
        <w:rPr>
          <w:lang w:val="ru-RU"/>
        </w:rPr>
      </w:pPr>
      <w:r w:rsidRPr="008D0B05">
        <w:rPr>
          <w:lang w:val="ru-RU"/>
        </w:rPr>
        <w:t>Помехи, создаваемые системе Коспас-Сарсат, чаще всего являются результатом внеполосных излучений от служб в соседних или близких к ним полосах, таких как распределения службе ПСС в направлении космос-Земля.</w:t>
      </w:r>
    </w:p>
    <w:p w:rsidR="009B1906" w:rsidRPr="008D0B05" w:rsidRDefault="009B1906" w:rsidP="00833F98">
      <w:pPr>
        <w:spacing w:line="250" w:lineRule="exact"/>
        <w:rPr>
          <w:lang w:val="ru-RU"/>
        </w:rPr>
      </w:pPr>
      <w:r w:rsidRPr="008D0B05">
        <w:rPr>
          <w:lang w:val="ru-RU"/>
        </w:rPr>
        <w:t>Чтобы определить, передается ли энергия в полосе частот 1544,5 МГц </w:t>
      </w:r>
      <w:r w:rsidRPr="008D0B05">
        <w:rPr>
          <w:lang w:val="ru-RU"/>
        </w:rPr>
        <w:sym w:font="Symbol" w:char="F0B1"/>
      </w:r>
      <w:r w:rsidRPr="008D0B05">
        <w:rPr>
          <w:lang w:val="ru-RU"/>
        </w:rPr>
        <w:t> 100 кГц, следует изучить ширину полосы излучения. Необходимо проявлять особое внимание при анализе влияния подвижных систем (например, негеостационарных спутников и передатчиков на борту воздушных судов) для учета эффектов доп</w:t>
      </w:r>
      <w:r>
        <w:rPr>
          <w:lang w:val="ru-RU"/>
        </w:rPr>
        <w:t>п</w:t>
      </w:r>
      <w:r w:rsidRPr="008D0B05">
        <w:rPr>
          <w:lang w:val="ru-RU"/>
        </w:rPr>
        <w:t>леровского сдвига частоты, возникающих при их движении.</w:t>
      </w:r>
    </w:p>
    <w:p w:rsidR="009B1906" w:rsidRPr="008D0B05" w:rsidRDefault="009B1906" w:rsidP="00833F98">
      <w:pPr>
        <w:spacing w:line="250" w:lineRule="exact"/>
        <w:rPr>
          <w:lang w:val="ru-RU"/>
        </w:rPr>
      </w:pPr>
      <w:r w:rsidRPr="008D0B05">
        <w:rPr>
          <w:lang w:val="ru-RU"/>
        </w:rPr>
        <w:t>Вычислите уровень помех от всех источников, которые передают энергию в рассматриваемой полосе, выраженный как уровень с.п.п.м. на входе антенны GEOLUT. Суммарный уровень от всех источников помех не должен превышать −206,4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 ∙ Гц)) в любой части этой полосы.</w:t>
      </w:r>
    </w:p>
    <w:p w:rsidR="009B1906" w:rsidRPr="008D0B05" w:rsidRDefault="009B1906" w:rsidP="00833F98">
      <w:pPr>
        <w:spacing w:line="250" w:lineRule="exact"/>
        <w:rPr>
          <w:lang w:val="ru-RU"/>
        </w:rPr>
      </w:pPr>
      <w:r w:rsidRPr="008D0B05">
        <w:rPr>
          <w:lang w:val="ru-RU"/>
        </w:rPr>
        <w:t>Вышеуказанный уровень основан на осевом усилении 33,3 дБи антенны GEOLUT. При определении степени воздействия помех следует, в зависимости от систем, использовать связанные с данной антенной параметры, такие как избирательность антенн, поляризация и другие технические возможности.</w:t>
      </w:r>
    </w:p>
    <w:p w:rsidR="009B1906" w:rsidRPr="008D0B05" w:rsidRDefault="009B1906" w:rsidP="00833F98">
      <w:pPr>
        <w:pStyle w:val="AnnexNoTitle"/>
        <w:spacing w:line="250" w:lineRule="exact"/>
        <w:rPr>
          <w:szCs w:val="26"/>
          <w:lang w:val="ru-RU"/>
        </w:rPr>
      </w:pPr>
      <w:bookmarkStart w:id="8" w:name="_Toc115521330"/>
      <w:r w:rsidRPr="00FD2C57">
        <w:rPr>
          <w:lang w:val="ru-RU"/>
        </w:rPr>
        <w:t>Приложение 2</w:t>
      </w:r>
      <w:r w:rsidRPr="008D0B05">
        <w:rPr>
          <w:szCs w:val="26"/>
          <w:lang w:val="ru-RU"/>
        </w:rPr>
        <w:br/>
      </w:r>
      <w:r w:rsidRPr="008D0B05">
        <w:rPr>
          <w:szCs w:val="26"/>
          <w:lang w:val="ru-RU"/>
        </w:rPr>
        <w:br/>
        <w:t>Критерии защиты от помех в полосе 1544–1545 МГц для терминалов LEOLUT, которые осуществляют прием данных со спутников Коспас и Сарсат, обрабатываемых процессорами SARP со скоростью 2,4 кбит/</w:t>
      </w:r>
      <w:proofErr w:type="gramStart"/>
      <w:r w:rsidRPr="008D0B05">
        <w:rPr>
          <w:szCs w:val="26"/>
          <w:lang w:val="ru-RU"/>
        </w:rPr>
        <w:t>с</w:t>
      </w:r>
      <w:bookmarkEnd w:id="8"/>
      <w:proofErr w:type="gramEnd"/>
    </w:p>
    <w:p w:rsidR="009B1906" w:rsidRPr="008D0B05" w:rsidRDefault="009B1906" w:rsidP="00833F98">
      <w:pPr>
        <w:pStyle w:val="Heading1"/>
        <w:spacing w:line="250" w:lineRule="exact"/>
        <w:rPr>
          <w:lang w:val="ru-RU"/>
        </w:rPr>
      </w:pPr>
      <w:bookmarkStart w:id="9" w:name="_Toc115521331"/>
      <w:r w:rsidRPr="008D0B05">
        <w:rPr>
          <w:lang w:val="ru-RU"/>
        </w:rPr>
        <w:t>1</w:t>
      </w:r>
      <w:r w:rsidRPr="008D0B05">
        <w:rPr>
          <w:lang w:val="ru-RU"/>
        </w:rPr>
        <w:tab/>
        <w:t>Общие положения</w:t>
      </w:r>
      <w:bookmarkEnd w:id="9"/>
    </w:p>
    <w:p w:rsidR="009B1906" w:rsidRPr="008D0B05" w:rsidRDefault="009B1906" w:rsidP="00833F98">
      <w:pPr>
        <w:spacing w:line="250" w:lineRule="exact"/>
        <w:rPr>
          <w:lang w:val="ru-RU"/>
        </w:rPr>
      </w:pPr>
      <w:r w:rsidRPr="008D0B05">
        <w:rPr>
          <w:lang w:val="ru-RU"/>
        </w:rPr>
        <w:t>Канал 2,4 кбит/с процессора SARP системы Коспас и Сарсат размещен в полосе 1544,5 МГц </w:t>
      </w:r>
      <w:r w:rsidRPr="008D0B05">
        <w:rPr>
          <w:lang w:val="ru-RU"/>
        </w:rPr>
        <w:sym w:font="Symbol" w:char="F0B1"/>
      </w:r>
      <w:r w:rsidRPr="008D0B05">
        <w:rPr>
          <w:lang w:val="ru-RU"/>
        </w:rPr>
        <w:t> 5 кГц на линиях вниз полезной нагрузки LEOSAR. Вследствие расширения полосы частот, обусловленного процессом модуляции и доп</w:t>
      </w:r>
      <w:r>
        <w:rPr>
          <w:lang w:val="ru-RU"/>
        </w:rPr>
        <w:t>п</w:t>
      </w:r>
      <w:r w:rsidRPr="008D0B05">
        <w:rPr>
          <w:lang w:val="ru-RU"/>
        </w:rPr>
        <w:t xml:space="preserve">леровским сдвигом в результате движения спутника, канал 2,4 кбит/с SARP принимается на терминалах LEOLUT в полосе частот 1544,5 МГц </w:t>
      </w:r>
      <w:r w:rsidRPr="008D0B05">
        <w:rPr>
          <w:lang w:val="ru-RU"/>
        </w:rPr>
        <w:sym w:font="Symbol" w:char="F0B1"/>
      </w:r>
      <w:r w:rsidRPr="008D0B05">
        <w:rPr>
          <w:lang w:val="ru-RU"/>
        </w:rPr>
        <w:t xml:space="preserve"> 50 кГц.</w:t>
      </w:r>
    </w:p>
    <w:p w:rsidR="009B1906" w:rsidRPr="008D0B05" w:rsidRDefault="009B1906" w:rsidP="00833F98">
      <w:pPr>
        <w:spacing w:line="250" w:lineRule="exact"/>
        <w:rPr>
          <w:lang w:val="ru-RU"/>
        </w:rPr>
      </w:pPr>
      <w:r w:rsidRPr="008D0B05">
        <w:rPr>
          <w:lang w:val="ru-RU"/>
        </w:rPr>
        <w:t>В таблице 1 представлены рекомендуемые бюджеты мощности на линии вниз для каналов SARP системы Коспас и Сарсат, которые были рассчитаны в помощь администрациям при проектировании терминалов LEOLUT для использования в системе Коспас-Сарсат. Бюджет линии показывает, что канал SARP спутника Коспас работает в более надежной линии связи по сравнению с обслуживанием с помощью SARP спутника Сарсат; следовательно, требования по защите, подходящие для канала SARP спутника Сарсат, обеспечат адекватную защиту и для обслуживания через канал SARP спутника Коспас.</w:t>
      </w:r>
    </w:p>
    <w:p w:rsidR="009B1906" w:rsidRPr="008D0B05" w:rsidRDefault="009B1906" w:rsidP="00833F98">
      <w:pPr>
        <w:pStyle w:val="Heading1"/>
        <w:spacing w:line="250" w:lineRule="exact"/>
        <w:rPr>
          <w:lang w:val="ru-RU"/>
        </w:rPr>
      </w:pPr>
      <w:bookmarkStart w:id="10" w:name="_Toc115521332"/>
      <w:r w:rsidRPr="008D0B05">
        <w:rPr>
          <w:lang w:val="ru-RU"/>
        </w:rPr>
        <w:t>2</w:t>
      </w:r>
      <w:r w:rsidRPr="008D0B05">
        <w:rPr>
          <w:lang w:val="ru-RU"/>
        </w:rPr>
        <w:tab/>
        <w:t xml:space="preserve">Минимальные допустимые характеристики для передачи данных PDS со скоростью 2,4 кбит/с в канале SARP </w:t>
      </w:r>
      <w:bookmarkEnd w:id="10"/>
    </w:p>
    <w:p w:rsidR="009B1906" w:rsidRPr="008D0B05" w:rsidRDefault="009B1906" w:rsidP="00833F98">
      <w:pPr>
        <w:spacing w:line="250" w:lineRule="exact"/>
        <w:rPr>
          <w:lang w:val="ru-RU"/>
        </w:rPr>
      </w:pPr>
      <w:r w:rsidRPr="008D0B05">
        <w:rPr>
          <w:lang w:val="ru-RU"/>
        </w:rPr>
        <w:t>Для надежного обнаружения и определения местонахождения маяков, передающих сигналы бедствия в диапазоне 406 МГц, показатель BER канала SARP на линии вниз не должен превышать 1 × 10</w:t>
      </w:r>
      <w:r w:rsidRPr="008D0B05">
        <w:rPr>
          <w:vertAlign w:val="superscript"/>
          <w:lang w:val="ru-RU"/>
        </w:rPr>
        <w:t>–6</w:t>
      </w:r>
      <w:r w:rsidRPr="008D0B05">
        <w:rPr>
          <w:lang w:val="ru-RU"/>
        </w:rPr>
        <w:t xml:space="preserve"> (см. таблицу 1).</w:t>
      </w:r>
    </w:p>
    <w:p w:rsidR="009B1906" w:rsidRPr="008D0B05" w:rsidRDefault="009B1906" w:rsidP="00833F98">
      <w:pPr>
        <w:pStyle w:val="Heading1"/>
        <w:spacing w:line="250" w:lineRule="exact"/>
        <w:rPr>
          <w:lang w:val="ru-RU"/>
        </w:rPr>
      </w:pPr>
      <w:bookmarkStart w:id="11" w:name="_Toc115521333"/>
      <w:r w:rsidRPr="008D0B05">
        <w:rPr>
          <w:lang w:val="ru-RU"/>
        </w:rPr>
        <w:t>3</w:t>
      </w:r>
      <w:r w:rsidRPr="008D0B05">
        <w:rPr>
          <w:lang w:val="ru-RU"/>
        </w:rPr>
        <w:tab/>
        <w:t>Анализ уровня с.п.п.м., являющегося причиной помехи</w:t>
      </w:r>
      <w:bookmarkEnd w:id="11"/>
    </w:p>
    <w:p w:rsidR="009B1906" w:rsidRPr="008D0B05" w:rsidRDefault="009B1906" w:rsidP="00833F98">
      <w:pPr>
        <w:spacing w:line="250" w:lineRule="exact"/>
        <w:rPr>
          <w:lang w:val="ru-RU"/>
        </w:rPr>
      </w:pPr>
      <w:r w:rsidRPr="008D0B05">
        <w:rPr>
          <w:lang w:val="ru-RU"/>
        </w:rPr>
        <w:t xml:space="preserve">Показатель BER канала связи выводится из отношения энергии, содержащейся в каждом бите данных,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 xml:space="preserve">, к плотности шума. Суммарная плотность шума состоит из шума, создаваемого оборудованием Коспас-Сарсат, 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, и шума, вызванного помехами от других систем,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.</w:t>
      </w:r>
    </w:p>
    <w:p w:rsidR="009B1906" w:rsidRPr="008D0B05" w:rsidRDefault="009B1906" w:rsidP="00833F98">
      <w:pPr>
        <w:spacing w:line="250" w:lineRule="exact"/>
        <w:rPr>
          <w:lang w:val="ru-RU"/>
        </w:rPr>
      </w:pPr>
      <w:r w:rsidRPr="008D0B05">
        <w:rPr>
          <w:lang w:val="ru-RU"/>
        </w:rPr>
        <w:t>С помощью этого анализа устанавливается уровень помех, выражаемый в виде величины с.п.п.м. на входе антенны LEOLUT, который ухудшает показатель BER на линии вниз канала SARP до одного ошибочного бита на каждый миллион (1 </w:t>
      </w:r>
      <w:r w:rsidRPr="008D0B05">
        <w:rPr>
          <w:lang w:val="ru-RU"/>
        </w:rPr>
        <w:sym w:font="Symbol" w:char="F0B4"/>
      </w:r>
      <w:r w:rsidRPr="008D0B05">
        <w:rPr>
          <w:lang w:val="ru-RU"/>
        </w:rPr>
        <w:t> 10</w:t>
      </w:r>
      <w:r w:rsidRPr="008D0B05">
        <w:rPr>
          <w:vertAlign w:val="superscript"/>
          <w:lang w:val="ru-RU"/>
        </w:rPr>
        <w:t>−6</w:t>
      </w:r>
      <w:r w:rsidRPr="008D0B05">
        <w:rPr>
          <w:lang w:val="ru-RU"/>
        </w:rPr>
        <w:t>).</w:t>
      </w:r>
    </w:p>
    <w:p w:rsidR="009B1906" w:rsidRPr="008D0B05" w:rsidRDefault="009B1906" w:rsidP="009B1906">
      <w:pPr>
        <w:pStyle w:val="TableNo"/>
        <w:rPr>
          <w:lang w:val="ru-RU"/>
        </w:rPr>
      </w:pPr>
      <w:r w:rsidRPr="008D0B05">
        <w:rPr>
          <w:lang w:val="ru-RU"/>
        </w:rPr>
        <w:lastRenderedPageBreak/>
        <w:t>ТАБЛИЦА 1</w:t>
      </w:r>
    </w:p>
    <w:p w:rsidR="009B1906" w:rsidRPr="00FD2C57" w:rsidRDefault="009B1906" w:rsidP="00833F98">
      <w:pPr>
        <w:pStyle w:val="Tabletitle"/>
        <w:rPr>
          <w:lang w:val="ru-RU"/>
        </w:rPr>
      </w:pPr>
      <w:r w:rsidRPr="008D0B05">
        <w:rPr>
          <w:lang w:val="ru-RU"/>
        </w:rPr>
        <w:t xml:space="preserve">Параметры бюджета мощности на линии вниз для PDS </w:t>
      </w:r>
      <w:r w:rsidR="00833F98" w:rsidRPr="00833F98">
        <w:rPr>
          <w:lang w:val="ru-RU"/>
        </w:rPr>
        <w:br/>
      </w:r>
      <w:r w:rsidRPr="008D0B05">
        <w:rPr>
          <w:lang w:val="ru-RU"/>
        </w:rPr>
        <w:t xml:space="preserve">в канале SARP системы Коспас и Сарсат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1"/>
        <w:gridCol w:w="1413"/>
        <w:gridCol w:w="1455"/>
        <w:gridCol w:w="2170"/>
        <w:gridCol w:w="6"/>
      </w:tblGrid>
      <w:tr w:rsidR="00BF77FD" w:rsidTr="007476A7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Default="00BF77FD" w:rsidP="00BF77FD">
            <w:pPr>
              <w:pStyle w:val="Tablehead"/>
            </w:pPr>
            <w:proofErr w:type="spellStart"/>
            <w:r w:rsidRPr="00833F98">
              <w:t>Параметр</w:t>
            </w:r>
            <w:proofErr w:type="spellEnd"/>
          </w:p>
        </w:tc>
        <w:tc>
          <w:tcPr>
            <w:tcW w:w="717" w:type="pct"/>
            <w:vAlign w:val="center"/>
          </w:tcPr>
          <w:p w:rsidR="00BF77FD" w:rsidRPr="00833F98" w:rsidRDefault="00BF77FD" w:rsidP="00BF77FD">
            <w:pPr>
              <w:pStyle w:val="Tablehead"/>
            </w:pPr>
            <w:proofErr w:type="spellStart"/>
            <w:r w:rsidRPr="00833F98">
              <w:t>Номинал</w:t>
            </w:r>
            <w:proofErr w:type="spellEnd"/>
            <w:r w:rsidRPr="00833F98">
              <w:br/>
            </w:r>
            <w:proofErr w:type="spellStart"/>
            <w:r w:rsidRPr="00833F98">
              <w:t>Коспас</w:t>
            </w:r>
            <w:proofErr w:type="spellEnd"/>
          </w:p>
        </w:tc>
        <w:tc>
          <w:tcPr>
            <w:tcW w:w="738" w:type="pct"/>
            <w:vAlign w:val="center"/>
          </w:tcPr>
          <w:p w:rsidR="00BF77FD" w:rsidRPr="00833F98" w:rsidRDefault="00BF77FD" w:rsidP="00BF77FD">
            <w:pPr>
              <w:pStyle w:val="Tablehead"/>
            </w:pPr>
            <w:proofErr w:type="spellStart"/>
            <w:r w:rsidRPr="00833F98">
              <w:t>Номинал</w:t>
            </w:r>
            <w:proofErr w:type="spellEnd"/>
            <w:r w:rsidRPr="00833F98">
              <w:br/>
            </w:r>
            <w:proofErr w:type="spellStart"/>
            <w:r w:rsidRPr="00833F98">
              <w:t>Сарсат</w:t>
            </w:r>
            <w:proofErr w:type="spellEnd"/>
          </w:p>
        </w:tc>
        <w:tc>
          <w:tcPr>
            <w:tcW w:w="1101" w:type="pct"/>
            <w:tcBorders>
              <w:bottom w:val="single" w:sz="4" w:space="0" w:color="auto"/>
            </w:tcBorders>
            <w:vAlign w:val="center"/>
          </w:tcPr>
          <w:p w:rsidR="00BF77FD" w:rsidRPr="00833F98" w:rsidRDefault="00BF77FD" w:rsidP="00BF77FD">
            <w:pPr>
              <w:pStyle w:val="Tablehead"/>
            </w:pPr>
            <w:proofErr w:type="spellStart"/>
            <w:r w:rsidRPr="00833F98">
              <w:t>Источник</w:t>
            </w:r>
            <w:proofErr w:type="spellEnd"/>
          </w:p>
        </w:tc>
      </w:tr>
      <w:tr w:rsidR="00BF77FD" w:rsidTr="007476A7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Pr="00BF77FD" w:rsidRDefault="00BF77FD" w:rsidP="007476A7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 xml:space="preserve">Несущая </w:t>
            </w:r>
            <w:proofErr w:type="spellStart"/>
            <w:r w:rsidRPr="00833F98">
              <w:t>частота</w:t>
            </w:r>
            <w:proofErr w:type="spellEnd"/>
            <w:r>
              <w:rPr>
                <w:lang w:val="ru-RU"/>
              </w:rPr>
              <w:t xml:space="preserve"> </w:t>
            </w:r>
            <w:r w:rsidRPr="008D0B05">
              <w:rPr>
                <w:lang w:val="ru-RU"/>
              </w:rPr>
              <w:t>(МГц)</w:t>
            </w:r>
          </w:p>
        </w:tc>
        <w:tc>
          <w:tcPr>
            <w:tcW w:w="1455" w:type="pct"/>
            <w:gridSpan w:val="2"/>
            <w:vAlign w:val="center"/>
          </w:tcPr>
          <w:p w:rsidR="00BF77FD" w:rsidRDefault="00BF77FD" w:rsidP="007476A7">
            <w:pPr>
              <w:pStyle w:val="Tabletext"/>
              <w:jc w:val="center"/>
            </w:pPr>
            <w:r>
              <w:t>1 544</w:t>
            </w:r>
            <w:r>
              <w:rPr>
                <w:lang w:val="ru-RU"/>
              </w:rPr>
              <w:t>,</w:t>
            </w:r>
            <w:r>
              <w:t>5</w:t>
            </w:r>
          </w:p>
        </w:tc>
        <w:tc>
          <w:tcPr>
            <w:tcW w:w="1101" w:type="pct"/>
            <w:tcBorders>
              <w:bottom w:val="nil"/>
            </w:tcBorders>
          </w:tcPr>
          <w:p w:rsidR="00BF77FD" w:rsidRDefault="00BF77FD" w:rsidP="00BF77FD">
            <w:pPr>
              <w:pStyle w:val="Tabletext"/>
            </w:pPr>
          </w:p>
        </w:tc>
      </w:tr>
      <w:tr w:rsidR="00BF77FD" w:rsidTr="007476A7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Pr="008D0B05" w:rsidRDefault="00BF77FD" w:rsidP="007476A7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 xml:space="preserve">Поляризация (левосторонняя круговая) </w:t>
            </w:r>
          </w:p>
        </w:tc>
        <w:tc>
          <w:tcPr>
            <w:tcW w:w="1455" w:type="pct"/>
            <w:gridSpan w:val="2"/>
            <w:vAlign w:val="center"/>
          </w:tcPr>
          <w:p w:rsidR="00BF77FD" w:rsidRDefault="00BF77FD" w:rsidP="007476A7">
            <w:pPr>
              <w:pStyle w:val="Tabletext"/>
              <w:jc w:val="center"/>
            </w:pPr>
            <w:r>
              <w:t>LHCP</w:t>
            </w:r>
          </w:p>
        </w:tc>
        <w:tc>
          <w:tcPr>
            <w:tcW w:w="1101" w:type="pct"/>
            <w:tcBorders>
              <w:top w:val="nil"/>
              <w:bottom w:val="nil"/>
            </w:tcBorders>
          </w:tcPr>
          <w:p w:rsidR="00BF77FD" w:rsidRDefault="00BF77FD" w:rsidP="00BF77FD">
            <w:pPr>
              <w:pStyle w:val="Tabletext"/>
            </w:pPr>
          </w:p>
        </w:tc>
      </w:tr>
      <w:tr w:rsidR="00BF77FD" w:rsidTr="007476A7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Pr="008D0B05" w:rsidRDefault="00BF77FD" w:rsidP="007476A7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>Угол места</w:t>
            </w:r>
            <w:r>
              <w:rPr>
                <w:lang w:val="ru-RU"/>
              </w:rPr>
              <w:t xml:space="preserve"> </w:t>
            </w:r>
            <w:r w:rsidRPr="008D0B05">
              <w:rPr>
                <w:lang w:val="ru-RU"/>
              </w:rPr>
              <w:t>(градусы)</w:t>
            </w:r>
          </w:p>
        </w:tc>
        <w:tc>
          <w:tcPr>
            <w:tcW w:w="1455" w:type="pct"/>
            <w:gridSpan w:val="2"/>
            <w:vAlign w:val="center"/>
          </w:tcPr>
          <w:p w:rsidR="00BF77FD" w:rsidRDefault="00BF77FD" w:rsidP="007476A7">
            <w:pPr>
              <w:pStyle w:val="Tabletext"/>
              <w:jc w:val="center"/>
            </w:pPr>
            <w:r>
              <w:t>5</w:t>
            </w:r>
          </w:p>
        </w:tc>
        <w:tc>
          <w:tcPr>
            <w:tcW w:w="1101" w:type="pct"/>
            <w:tcBorders>
              <w:top w:val="nil"/>
              <w:bottom w:val="nil"/>
            </w:tcBorders>
          </w:tcPr>
          <w:p w:rsidR="00BF77FD" w:rsidRDefault="00BF77FD" w:rsidP="00BF77FD">
            <w:pPr>
              <w:pStyle w:val="Tabletext"/>
            </w:pPr>
          </w:p>
        </w:tc>
      </w:tr>
      <w:tr w:rsidR="00BF77FD" w:rsidTr="007476A7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Pr="008D0B05" w:rsidRDefault="00BF77FD" w:rsidP="007476A7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>Высота спутника</w:t>
            </w:r>
            <w:r>
              <w:rPr>
                <w:lang w:val="ru-RU"/>
              </w:rPr>
              <w:t xml:space="preserve"> </w:t>
            </w:r>
            <w:r w:rsidRPr="008D0B05">
              <w:rPr>
                <w:lang w:val="ru-RU"/>
              </w:rPr>
              <w:t>(км)</w:t>
            </w:r>
          </w:p>
        </w:tc>
        <w:tc>
          <w:tcPr>
            <w:tcW w:w="717" w:type="pct"/>
            <w:vAlign w:val="center"/>
          </w:tcPr>
          <w:p w:rsidR="00BF77FD" w:rsidRDefault="00BF77FD" w:rsidP="007476A7">
            <w:pPr>
              <w:pStyle w:val="Tabletext"/>
              <w:jc w:val="center"/>
            </w:pPr>
            <w:r>
              <w:t>1 000</w:t>
            </w:r>
          </w:p>
        </w:tc>
        <w:tc>
          <w:tcPr>
            <w:tcW w:w="738" w:type="pct"/>
            <w:vAlign w:val="center"/>
          </w:tcPr>
          <w:p w:rsidR="00BF77FD" w:rsidRDefault="00BF77FD" w:rsidP="007476A7">
            <w:pPr>
              <w:pStyle w:val="Tabletext"/>
              <w:jc w:val="center"/>
            </w:pPr>
            <w:r>
              <w:t>850</w:t>
            </w:r>
          </w:p>
        </w:tc>
        <w:tc>
          <w:tcPr>
            <w:tcW w:w="1101" w:type="pct"/>
            <w:tcBorders>
              <w:top w:val="nil"/>
              <w:bottom w:val="nil"/>
            </w:tcBorders>
          </w:tcPr>
          <w:p w:rsidR="00BF77FD" w:rsidRDefault="00BF77FD" w:rsidP="00BF77FD">
            <w:pPr>
              <w:pStyle w:val="Tabletext"/>
            </w:pPr>
          </w:p>
        </w:tc>
      </w:tr>
      <w:tr w:rsidR="00BF77FD" w:rsidTr="007476A7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Pr="008D0B05" w:rsidRDefault="00BF77FD" w:rsidP="007476A7">
            <w:pPr>
              <w:pStyle w:val="Tabletext"/>
              <w:jc w:val="left"/>
              <w:rPr>
                <w:vertAlign w:val="superscript"/>
                <w:lang w:val="ru-RU"/>
              </w:rPr>
            </w:pPr>
            <w:r w:rsidRPr="008D0B05">
              <w:rPr>
                <w:lang w:val="ru-RU"/>
              </w:rPr>
              <w:t>э.и.и.м. спутника</w:t>
            </w:r>
            <w:r w:rsidRPr="008D0B05">
              <w:rPr>
                <w:vertAlign w:val="superscript"/>
                <w:lang w:val="ru-RU"/>
              </w:rPr>
              <w:t>(1)</w:t>
            </w:r>
            <w:r>
              <w:rPr>
                <w:vertAlign w:val="superscript"/>
                <w:lang w:val="ru-RU"/>
              </w:rPr>
              <w:t xml:space="preserve"> </w:t>
            </w:r>
            <w:r w:rsidRPr="008D0B05">
              <w:rPr>
                <w:lang w:val="ru-RU"/>
              </w:rPr>
              <w:t>(дБВт)</w:t>
            </w:r>
          </w:p>
        </w:tc>
        <w:tc>
          <w:tcPr>
            <w:tcW w:w="717" w:type="pct"/>
            <w:vAlign w:val="center"/>
          </w:tcPr>
          <w:p w:rsidR="00BF77FD" w:rsidRDefault="00BF77FD" w:rsidP="007476A7">
            <w:pPr>
              <w:pStyle w:val="Tabletext"/>
              <w:jc w:val="center"/>
            </w:pPr>
            <w:r>
              <w:t>6</w:t>
            </w:r>
            <w:r>
              <w:rPr>
                <w:lang w:val="ru-RU"/>
              </w:rPr>
              <w:t>,</w:t>
            </w:r>
            <w:r>
              <w:t>2</w:t>
            </w:r>
          </w:p>
        </w:tc>
        <w:tc>
          <w:tcPr>
            <w:tcW w:w="738" w:type="pct"/>
            <w:vAlign w:val="center"/>
          </w:tcPr>
          <w:p w:rsidR="00BF77FD" w:rsidRDefault="00BF77FD" w:rsidP="007476A7">
            <w:pPr>
              <w:pStyle w:val="Tabletext"/>
              <w:jc w:val="center"/>
            </w:pPr>
            <w:r>
              <w:t>7</w:t>
            </w:r>
            <w:r>
              <w:rPr>
                <w:lang w:val="ru-RU"/>
              </w:rPr>
              <w:t>,</w:t>
            </w:r>
            <w:r>
              <w:t>1</w:t>
            </w:r>
          </w:p>
        </w:tc>
        <w:tc>
          <w:tcPr>
            <w:tcW w:w="1101" w:type="pct"/>
            <w:tcBorders>
              <w:top w:val="nil"/>
            </w:tcBorders>
          </w:tcPr>
          <w:p w:rsidR="00BF77FD" w:rsidRDefault="00BF77FD" w:rsidP="00BF77FD">
            <w:pPr>
              <w:pStyle w:val="Tabletext"/>
            </w:pPr>
          </w:p>
        </w:tc>
      </w:tr>
      <w:tr w:rsidR="00BF77FD" w:rsidTr="007476A7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Pr="008D0B05" w:rsidRDefault="00BF77FD" w:rsidP="007476A7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>Наклонная дальность @ 5°</w:t>
            </w:r>
            <w:r>
              <w:rPr>
                <w:lang w:val="ru-RU"/>
              </w:rPr>
              <w:t xml:space="preserve"> </w:t>
            </w:r>
            <w:r w:rsidRPr="008D0B05">
              <w:rPr>
                <w:lang w:val="ru-RU"/>
              </w:rPr>
              <w:t>(км)</w:t>
            </w:r>
          </w:p>
        </w:tc>
        <w:tc>
          <w:tcPr>
            <w:tcW w:w="717" w:type="pct"/>
            <w:vAlign w:val="center"/>
          </w:tcPr>
          <w:p w:rsidR="00BF77FD" w:rsidRDefault="00BF77FD" w:rsidP="007476A7">
            <w:pPr>
              <w:pStyle w:val="Tabletext"/>
              <w:jc w:val="center"/>
            </w:pPr>
            <w:r>
              <w:t>3 200</w:t>
            </w:r>
          </w:p>
        </w:tc>
        <w:tc>
          <w:tcPr>
            <w:tcW w:w="738" w:type="pct"/>
            <w:vAlign w:val="center"/>
          </w:tcPr>
          <w:p w:rsidR="00BF77FD" w:rsidRDefault="00BF77FD" w:rsidP="007476A7">
            <w:pPr>
              <w:pStyle w:val="Tabletext"/>
              <w:jc w:val="center"/>
            </w:pPr>
            <w:r>
              <w:t>2 900</w:t>
            </w:r>
          </w:p>
        </w:tc>
        <w:tc>
          <w:tcPr>
            <w:tcW w:w="1101" w:type="pct"/>
          </w:tcPr>
          <w:p w:rsidR="00BF77FD" w:rsidRPr="008D0B05" w:rsidRDefault="00BF77FD" w:rsidP="00BF77FD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>Рассчитана из</w:t>
            </w:r>
            <w:r>
              <w:rPr>
                <w:lang w:val="en-US"/>
              </w:rPr>
              <w:t> </w:t>
            </w:r>
            <w:r w:rsidRPr="008D0B05">
              <w:rPr>
                <w:lang w:val="ru-RU"/>
              </w:rPr>
              <w:t>геометрии</w:t>
            </w:r>
          </w:p>
        </w:tc>
      </w:tr>
      <w:tr w:rsidR="00BF77FD" w:rsidTr="007476A7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Pr="008D0B05" w:rsidRDefault="00BF77FD" w:rsidP="007476A7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>Потери на трассе в свободном пространстве (</w:t>
            </w:r>
            <w:proofErr w:type="spellStart"/>
            <w:r w:rsidRPr="008D0B05">
              <w:rPr>
                <w:i/>
                <w:iCs/>
                <w:lang w:val="ru-RU"/>
              </w:rPr>
              <w:t>L</w:t>
            </w:r>
            <w:r w:rsidRPr="008D0B05">
              <w:rPr>
                <w:i/>
                <w:iCs/>
                <w:szCs w:val="22"/>
                <w:vertAlign w:val="subscript"/>
                <w:lang w:val="ru-RU"/>
              </w:rPr>
              <w:t>p</w:t>
            </w:r>
            <w:proofErr w:type="spellEnd"/>
            <w:r w:rsidRPr="008D0B05">
              <w:rPr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8D0B05">
              <w:rPr>
                <w:lang w:val="ru-RU"/>
              </w:rPr>
              <w:t>(дБ)</w:t>
            </w:r>
          </w:p>
        </w:tc>
        <w:tc>
          <w:tcPr>
            <w:tcW w:w="717" w:type="pct"/>
            <w:vAlign w:val="center"/>
          </w:tcPr>
          <w:p w:rsidR="00BF77FD" w:rsidRDefault="00BF77FD" w:rsidP="007476A7">
            <w:pPr>
              <w:pStyle w:val="Tabletext"/>
              <w:jc w:val="center"/>
            </w:pPr>
            <w:r>
              <w:t>166</w:t>
            </w:r>
            <w:r>
              <w:rPr>
                <w:lang w:val="ru-RU"/>
              </w:rPr>
              <w:t>,</w:t>
            </w:r>
            <w:r>
              <w:t>3</w:t>
            </w:r>
          </w:p>
        </w:tc>
        <w:tc>
          <w:tcPr>
            <w:tcW w:w="738" w:type="pct"/>
            <w:vAlign w:val="center"/>
          </w:tcPr>
          <w:p w:rsidR="00BF77FD" w:rsidRDefault="00BF77FD" w:rsidP="007476A7">
            <w:pPr>
              <w:pStyle w:val="Tabletext"/>
              <w:jc w:val="center"/>
            </w:pPr>
            <w:r>
              <w:t>165</w:t>
            </w:r>
            <w:r>
              <w:rPr>
                <w:lang w:val="ru-RU"/>
              </w:rPr>
              <w:t>,</w:t>
            </w:r>
            <w:r>
              <w:t>5</w:t>
            </w:r>
          </w:p>
        </w:tc>
        <w:tc>
          <w:tcPr>
            <w:tcW w:w="1101" w:type="pct"/>
          </w:tcPr>
          <w:p w:rsidR="00BF77FD" w:rsidRPr="008D0B05" w:rsidRDefault="00BF77FD" w:rsidP="00BF77FD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>Расчетная стандартная формула</w:t>
            </w:r>
          </w:p>
        </w:tc>
      </w:tr>
      <w:tr w:rsidR="00BF77FD" w:rsidTr="007476A7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Pr="008D0B05" w:rsidRDefault="00BF77FD" w:rsidP="007476A7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>Потери на кратковременные замирания (</w:t>
            </w:r>
            <w:proofErr w:type="spellStart"/>
            <w:r w:rsidRPr="008D0B05">
              <w:rPr>
                <w:i/>
                <w:iCs/>
                <w:lang w:val="ru-RU"/>
              </w:rPr>
              <w:t>L</w:t>
            </w:r>
            <w:r w:rsidRPr="008D0B05">
              <w:rPr>
                <w:i/>
                <w:iCs/>
                <w:szCs w:val="22"/>
                <w:vertAlign w:val="subscript"/>
                <w:lang w:val="ru-RU"/>
              </w:rPr>
              <w:t>f</w:t>
            </w:r>
            <w:proofErr w:type="spellEnd"/>
            <w:r w:rsidRPr="008D0B05">
              <w:rPr>
                <w:lang w:val="ru-RU"/>
              </w:rPr>
              <w:t>) (дБ)</w:t>
            </w:r>
          </w:p>
        </w:tc>
        <w:tc>
          <w:tcPr>
            <w:tcW w:w="1455" w:type="pct"/>
            <w:gridSpan w:val="2"/>
            <w:vAlign w:val="center"/>
          </w:tcPr>
          <w:p w:rsidR="00BF77FD" w:rsidRDefault="00BF77FD" w:rsidP="007476A7">
            <w:pPr>
              <w:pStyle w:val="Tabletext"/>
              <w:jc w:val="center"/>
            </w:pPr>
            <w:r>
              <w:t>10</w:t>
            </w:r>
          </w:p>
        </w:tc>
        <w:tc>
          <w:tcPr>
            <w:tcW w:w="1101" w:type="pct"/>
          </w:tcPr>
          <w:p w:rsidR="00BF77FD" w:rsidRDefault="00BF77FD" w:rsidP="00BF77FD">
            <w:pPr>
              <w:pStyle w:val="Tabletext"/>
              <w:jc w:val="left"/>
            </w:pPr>
          </w:p>
        </w:tc>
      </w:tr>
      <w:tr w:rsidR="00BF77FD" w:rsidRPr="00B95C2A" w:rsidTr="007476A7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Pr="008D0B05" w:rsidRDefault="00BF77FD" w:rsidP="007476A7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>Другие потери (</w:t>
            </w:r>
            <w:proofErr w:type="spellStart"/>
            <w:r w:rsidRPr="008D0B05">
              <w:rPr>
                <w:i/>
                <w:iCs/>
                <w:lang w:val="ru-RU"/>
              </w:rPr>
              <w:t>L</w:t>
            </w:r>
            <w:r w:rsidRPr="008D0B05">
              <w:rPr>
                <w:i/>
                <w:iCs/>
                <w:szCs w:val="22"/>
                <w:vertAlign w:val="subscript"/>
                <w:lang w:val="ru-RU"/>
              </w:rPr>
              <w:t>o</w:t>
            </w:r>
            <w:proofErr w:type="spellEnd"/>
            <w:r w:rsidRPr="008D0B05">
              <w:rPr>
                <w:lang w:val="ru-RU"/>
              </w:rPr>
              <w:t>) (дБ)</w:t>
            </w:r>
          </w:p>
        </w:tc>
        <w:tc>
          <w:tcPr>
            <w:tcW w:w="1455" w:type="pct"/>
            <w:gridSpan w:val="2"/>
            <w:vAlign w:val="center"/>
          </w:tcPr>
          <w:p w:rsidR="00BF77FD" w:rsidRDefault="00BF77FD" w:rsidP="007476A7">
            <w:pPr>
              <w:pStyle w:val="Tabletext"/>
              <w:jc w:val="center"/>
            </w:pPr>
            <w:r>
              <w:t>3</w:t>
            </w:r>
            <w:r>
              <w:rPr>
                <w:lang w:val="ru-RU"/>
              </w:rPr>
              <w:t>,</w:t>
            </w:r>
            <w:r>
              <w:t>6</w:t>
            </w:r>
            <w:r>
              <w:rPr>
                <w:vertAlign w:val="superscript"/>
              </w:rPr>
              <w:t>(2)</w:t>
            </w:r>
          </w:p>
        </w:tc>
        <w:tc>
          <w:tcPr>
            <w:tcW w:w="1101" w:type="pct"/>
          </w:tcPr>
          <w:p w:rsidR="00BF77FD" w:rsidRPr="008D0B05" w:rsidRDefault="00BF77FD" w:rsidP="00BF77FD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 xml:space="preserve">Потери при проектировании LUT и зависящие </w:t>
            </w:r>
            <w:r w:rsidR="007476A7">
              <w:rPr>
                <w:lang w:val="ru-RU"/>
              </w:rPr>
              <w:br/>
            </w:r>
            <w:r w:rsidRPr="008D0B05">
              <w:rPr>
                <w:lang w:val="ru-RU"/>
              </w:rPr>
              <w:t>от площадки</w:t>
            </w:r>
          </w:p>
        </w:tc>
      </w:tr>
      <w:tr w:rsidR="00BF77FD" w:rsidRPr="007476A7" w:rsidTr="007476A7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Pr="008D0B05" w:rsidRDefault="00BF77FD" w:rsidP="007476A7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>Антенна (</w:t>
            </w:r>
            <w:r w:rsidRPr="008D0B05">
              <w:rPr>
                <w:i/>
                <w:iCs/>
                <w:lang w:val="ru-RU"/>
              </w:rPr>
              <w:t>G</w:t>
            </w:r>
            <w:r w:rsidRPr="008D0B05">
              <w:rPr>
                <w:lang w:val="ru-RU"/>
              </w:rPr>
              <w:t>/</w:t>
            </w:r>
            <w:r w:rsidRPr="008D0B05">
              <w:rPr>
                <w:i/>
                <w:iCs/>
                <w:lang w:val="ru-RU"/>
              </w:rPr>
              <w:t>T</w:t>
            </w:r>
            <w:r w:rsidRPr="008D0B05">
              <w:rPr>
                <w:lang w:val="ru-RU"/>
              </w:rPr>
              <w:t>)</w:t>
            </w:r>
            <w:r w:rsidRPr="008D0B05">
              <w:rPr>
                <w:vertAlign w:val="superscript"/>
                <w:lang w:val="ru-RU"/>
              </w:rPr>
              <w:t>(3)</w:t>
            </w:r>
            <w:r>
              <w:rPr>
                <w:vertAlign w:val="superscript"/>
                <w:lang w:val="ru-RU"/>
              </w:rPr>
              <w:t xml:space="preserve"> </w:t>
            </w:r>
            <w:r w:rsidRPr="008D0B05">
              <w:rPr>
                <w:lang w:val="ru-RU"/>
              </w:rPr>
              <w:t>(дБ(K</w:t>
            </w:r>
            <w:r w:rsidRPr="008D0B05">
              <w:rPr>
                <w:vertAlign w:val="superscript"/>
                <w:lang w:val="ru-RU"/>
              </w:rPr>
              <w:t>–1</w:t>
            </w:r>
            <w:r w:rsidRPr="008D0B05">
              <w:rPr>
                <w:lang w:val="ru-RU"/>
              </w:rPr>
              <w:t>))</w:t>
            </w:r>
          </w:p>
        </w:tc>
        <w:tc>
          <w:tcPr>
            <w:tcW w:w="1455" w:type="pct"/>
            <w:gridSpan w:val="2"/>
            <w:vAlign w:val="center"/>
          </w:tcPr>
          <w:p w:rsidR="00BF77FD" w:rsidRPr="007476A7" w:rsidRDefault="00BF77FD" w:rsidP="007476A7">
            <w:pPr>
              <w:pStyle w:val="Tabletext"/>
              <w:jc w:val="center"/>
              <w:rPr>
                <w:lang w:val="ru-RU"/>
              </w:rPr>
            </w:pPr>
            <w:r w:rsidRPr="007476A7">
              <w:rPr>
                <w:lang w:val="ru-RU"/>
              </w:rPr>
              <w:t>4</w:t>
            </w:r>
            <w:r>
              <w:rPr>
                <w:lang w:val="ru-RU"/>
              </w:rPr>
              <w:t>,</w:t>
            </w:r>
            <w:r w:rsidRPr="007476A7">
              <w:rPr>
                <w:lang w:val="ru-RU"/>
              </w:rPr>
              <w:t>3</w:t>
            </w:r>
          </w:p>
        </w:tc>
        <w:tc>
          <w:tcPr>
            <w:tcW w:w="1101" w:type="pct"/>
          </w:tcPr>
          <w:p w:rsidR="00BF77FD" w:rsidRPr="008D0B05" w:rsidRDefault="00BF77FD" w:rsidP="00BF77FD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i/>
                <w:iCs/>
                <w:lang w:val="ru-RU"/>
              </w:rPr>
              <w:t>G</w:t>
            </w:r>
            <w:r w:rsidRPr="008D0B05">
              <w:rPr>
                <w:lang w:val="ru-RU"/>
              </w:rPr>
              <w:t xml:space="preserve"> = 26,7 дБ, </w:t>
            </w:r>
            <w:r w:rsidRPr="008D0B05">
              <w:rPr>
                <w:lang w:val="ru-RU"/>
              </w:rPr>
              <w:br/>
            </w:r>
            <w:r w:rsidRPr="008D0B05">
              <w:rPr>
                <w:i/>
                <w:iCs/>
                <w:lang w:val="ru-RU"/>
              </w:rPr>
              <w:t>T</w:t>
            </w:r>
            <w:r w:rsidRPr="008D0B05">
              <w:rPr>
                <w:lang w:val="ru-RU"/>
              </w:rPr>
              <w:t xml:space="preserve"> = 22,4 дБ(K)</w:t>
            </w:r>
          </w:p>
        </w:tc>
      </w:tr>
      <w:tr w:rsidR="00BF77FD" w:rsidRPr="00BF77FD" w:rsidTr="00492CF6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Pr="008D0B05" w:rsidRDefault="00BF77FD" w:rsidP="00492CF6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 xml:space="preserve">Постоянная Больцмана, </w:t>
            </w:r>
            <w:r w:rsidRPr="008D0B05">
              <w:rPr>
                <w:i/>
                <w:iCs/>
                <w:lang w:val="ru-RU"/>
              </w:rPr>
              <w:t>k</w:t>
            </w:r>
            <w:r>
              <w:rPr>
                <w:i/>
                <w:iCs/>
                <w:lang w:val="ru-RU"/>
              </w:rPr>
              <w:t xml:space="preserve"> </w:t>
            </w:r>
            <w:r w:rsidRPr="008D0B05">
              <w:rPr>
                <w:lang w:val="ru-RU"/>
              </w:rPr>
              <w:t>(д</w:t>
            </w:r>
            <w:proofErr w:type="gramStart"/>
            <w:r w:rsidRPr="008D0B05">
              <w:rPr>
                <w:lang w:val="ru-RU"/>
              </w:rPr>
              <w:t>Б(</w:t>
            </w:r>
            <w:proofErr w:type="gramEnd"/>
            <w:r w:rsidRPr="008D0B05">
              <w:rPr>
                <w:lang w:val="ru-RU"/>
              </w:rPr>
              <w:t xml:space="preserve">Вт </w:t>
            </w:r>
            <w:r w:rsidRPr="008D0B05">
              <w:rPr>
                <w:lang w:val="ru-RU"/>
              </w:rPr>
              <w:sym w:font="Symbol" w:char="F0D7"/>
            </w:r>
            <w:r w:rsidRPr="008D0B05">
              <w:rPr>
                <w:lang w:val="ru-RU"/>
              </w:rPr>
              <w:t xml:space="preserve"> K</w:t>
            </w:r>
            <w:r w:rsidRPr="008D0B05">
              <w:rPr>
                <w:vertAlign w:val="superscript"/>
                <w:lang w:val="ru-RU"/>
              </w:rPr>
              <w:t>–1</w:t>
            </w:r>
            <w:r w:rsidRPr="008D0B05">
              <w:rPr>
                <w:lang w:val="ru-RU"/>
              </w:rPr>
              <w:t xml:space="preserve"> </w:t>
            </w:r>
            <w:r w:rsidRPr="008D0B05">
              <w:rPr>
                <w:lang w:val="ru-RU"/>
              </w:rPr>
              <w:sym w:font="Symbol" w:char="F0D7"/>
            </w:r>
            <w:r w:rsidRPr="008D0B05">
              <w:rPr>
                <w:lang w:val="ru-RU"/>
              </w:rPr>
              <w:t xml:space="preserve"> Гц</w:t>
            </w:r>
            <w:r w:rsidRPr="008D0B05">
              <w:rPr>
                <w:vertAlign w:val="superscript"/>
                <w:lang w:val="ru-RU"/>
              </w:rPr>
              <w:t>–1</w:t>
            </w:r>
            <w:r w:rsidRPr="008D0B05">
              <w:rPr>
                <w:lang w:val="ru-RU"/>
              </w:rPr>
              <w:t>))</w:t>
            </w:r>
          </w:p>
        </w:tc>
        <w:tc>
          <w:tcPr>
            <w:tcW w:w="1455" w:type="pct"/>
            <w:gridSpan w:val="2"/>
            <w:vAlign w:val="center"/>
          </w:tcPr>
          <w:p w:rsidR="00BF77FD" w:rsidRPr="00BF77FD" w:rsidRDefault="00BF77FD" w:rsidP="007476A7">
            <w:pPr>
              <w:pStyle w:val="Tabletext"/>
              <w:jc w:val="center"/>
              <w:rPr>
                <w:lang w:val="ru-RU"/>
              </w:rPr>
            </w:pPr>
            <w:r w:rsidRPr="00BF77FD">
              <w:rPr>
                <w:lang w:val="ru-RU"/>
              </w:rPr>
              <w:t>–228</w:t>
            </w:r>
            <w:r>
              <w:rPr>
                <w:lang w:val="ru-RU"/>
              </w:rPr>
              <w:t>,</w:t>
            </w:r>
            <w:r w:rsidRPr="00BF77FD">
              <w:rPr>
                <w:lang w:val="ru-RU"/>
              </w:rPr>
              <w:t>6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vAlign w:val="center"/>
          </w:tcPr>
          <w:p w:rsidR="00BF77FD" w:rsidRPr="008D0B05" w:rsidRDefault="00BF77FD" w:rsidP="00492CF6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>Физическая константа</w:t>
            </w:r>
          </w:p>
        </w:tc>
      </w:tr>
      <w:tr w:rsidR="00BF77FD" w:rsidRPr="00BF77FD" w:rsidTr="007476A7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Pr="00BF77FD" w:rsidRDefault="00BF77FD" w:rsidP="007476A7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 xml:space="preserve">Коэффициент скорости передачи данных @ 2,4 кбит/с, </w:t>
            </w:r>
            <w:r w:rsidRPr="008D0B05">
              <w:rPr>
                <w:i/>
                <w:iCs/>
                <w:lang w:val="ru-RU"/>
              </w:rPr>
              <w:t>r</w:t>
            </w:r>
            <w:r w:rsidR="00492CF6" w:rsidRPr="00B95C2A">
              <w:rPr>
                <w:i/>
                <w:iCs/>
                <w:lang w:val="ru-RU"/>
              </w:rPr>
              <w:t xml:space="preserve"> </w:t>
            </w:r>
            <w:r w:rsidRPr="008D0B05">
              <w:rPr>
                <w:lang w:val="ru-RU"/>
              </w:rPr>
              <w:t>(дБ</w:t>
            </w:r>
            <w:r w:rsidRPr="008D0B05">
              <w:rPr>
                <w:lang w:val="ru-RU"/>
              </w:rPr>
              <w:noBreakHyphen/>
              <w:t>Гц)</w:t>
            </w:r>
          </w:p>
        </w:tc>
        <w:tc>
          <w:tcPr>
            <w:tcW w:w="1455" w:type="pct"/>
            <w:gridSpan w:val="2"/>
            <w:vAlign w:val="center"/>
          </w:tcPr>
          <w:p w:rsidR="00BF77FD" w:rsidRPr="00BF77FD" w:rsidRDefault="00BF77FD" w:rsidP="007476A7">
            <w:pPr>
              <w:pStyle w:val="Tabletext"/>
              <w:jc w:val="center"/>
              <w:rPr>
                <w:lang w:val="ru-RU"/>
              </w:rPr>
            </w:pPr>
            <w:r w:rsidRPr="00BF77FD">
              <w:rPr>
                <w:lang w:val="ru-RU"/>
              </w:rPr>
              <w:t>33</w:t>
            </w:r>
            <w:r>
              <w:rPr>
                <w:lang w:val="ru-RU"/>
              </w:rPr>
              <w:t>,</w:t>
            </w:r>
            <w:r w:rsidRPr="00BF77FD">
              <w:rPr>
                <w:lang w:val="ru-RU"/>
              </w:rPr>
              <w:t>8</w:t>
            </w:r>
          </w:p>
        </w:tc>
        <w:tc>
          <w:tcPr>
            <w:tcW w:w="1101" w:type="pct"/>
            <w:tcBorders>
              <w:bottom w:val="nil"/>
            </w:tcBorders>
          </w:tcPr>
          <w:p w:rsidR="00BF77FD" w:rsidRPr="00BF77FD" w:rsidRDefault="00BF77FD" w:rsidP="00BF77FD">
            <w:pPr>
              <w:pStyle w:val="Tabletext"/>
              <w:jc w:val="left"/>
              <w:rPr>
                <w:lang w:val="ru-RU"/>
              </w:rPr>
            </w:pPr>
          </w:p>
        </w:tc>
      </w:tr>
      <w:tr w:rsidR="00BF77FD" w:rsidRPr="00BF77FD" w:rsidTr="007476A7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Pr="008D0B05" w:rsidRDefault="00BF77FD" w:rsidP="007476A7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>Потери вследствие модуляции</w:t>
            </w:r>
            <w:r>
              <w:rPr>
                <w:lang w:val="ru-RU"/>
              </w:rPr>
              <w:t xml:space="preserve"> </w:t>
            </w:r>
            <w:r w:rsidRPr="008D0B05">
              <w:rPr>
                <w:lang w:val="ru-RU"/>
              </w:rPr>
              <w:t>(дБ)</w:t>
            </w:r>
          </w:p>
        </w:tc>
        <w:tc>
          <w:tcPr>
            <w:tcW w:w="717" w:type="pct"/>
            <w:vAlign w:val="center"/>
          </w:tcPr>
          <w:p w:rsidR="00BF77FD" w:rsidRPr="00BF77FD" w:rsidRDefault="00BF77FD" w:rsidP="007476A7">
            <w:pPr>
              <w:pStyle w:val="Tabletext"/>
              <w:jc w:val="center"/>
              <w:rPr>
                <w:lang w:val="ru-RU"/>
              </w:rPr>
            </w:pPr>
            <w:r w:rsidRPr="00BF77FD">
              <w:rPr>
                <w:lang w:val="ru-RU"/>
              </w:rPr>
              <w:t>–12</w:t>
            </w:r>
            <w:r>
              <w:rPr>
                <w:lang w:val="ru-RU"/>
              </w:rPr>
              <w:t>,</w:t>
            </w:r>
            <w:r w:rsidRPr="00BF77FD">
              <w:rPr>
                <w:lang w:val="ru-RU"/>
              </w:rPr>
              <w:t>1</w:t>
            </w:r>
          </w:p>
        </w:tc>
        <w:tc>
          <w:tcPr>
            <w:tcW w:w="738" w:type="pct"/>
            <w:vAlign w:val="center"/>
          </w:tcPr>
          <w:p w:rsidR="00BF77FD" w:rsidRPr="00BF77FD" w:rsidRDefault="00BF77FD" w:rsidP="007476A7">
            <w:pPr>
              <w:pStyle w:val="Tabletext"/>
              <w:jc w:val="center"/>
              <w:rPr>
                <w:lang w:val="ru-RU"/>
              </w:rPr>
            </w:pPr>
            <w:r w:rsidRPr="00BF77FD">
              <w:rPr>
                <w:lang w:val="ru-RU"/>
              </w:rPr>
              <w:t>–14</w:t>
            </w:r>
            <w:r>
              <w:rPr>
                <w:lang w:val="ru-RU"/>
              </w:rPr>
              <w:t>,</w:t>
            </w:r>
            <w:r w:rsidRPr="00BF77FD">
              <w:rPr>
                <w:lang w:val="ru-RU"/>
              </w:rPr>
              <w:t>1</w:t>
            </w:r>
          </w:p>
        </w:tc>
        <w:tc>
          <w:tcPr>
            <w:tcW w:w="1101" w:type="pct"/>
            <w:tcBorders>
              <w:top w:val="nil"/>
              <w:bottom w:val="nil"/>
            </w:tcBorders>
          </w:tcPr>
          <w:p w:rsidR="00BF77FD" w:rsidRPr="00BF77FD" w:rsidRDefault="00BF77FD" w:rsidP="00BF77FD">
            <w:pPr>
              <w:pStyle w:val="Tabletext"/>
              <w:jc w:val="left"/>
              <w:rPr>
                <w:lang w:val="ru-RU"/>
              </w:rPr>
            </w:pPr>
          </w:p>
        </w:tc>
      </w:tr>
      <w:tr w:rsidR="00BF77FD" w:rsidTr="007476A7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Pr="008D0B05" w:rsidRDefault="00BF77FD" w:rsidP="007476A7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>Желаемый максимальный</w:t>
            </w:r>
            <w:r>
              <w:rPr>
                <w:lang w:val="ru-RU"/>
              </w:rPr>
              <w:t xml:space="preserve"> </w:t>
            </w:r>
            <w:r w:rsidRPr="008D0B05">
              <w:rPr>
                <w:lang w:val="ru-RU"/>
              </w:rPr>
              <w:t>уровень BER</w:t>
            </w:r>
          </w:p>
        </w:tc>
        <w:tc>
          <w:tcPr>
            <w:tcW w:w="1455" w:type="pct"/>
            <w:gridSpan w:val="2"/>
            <w:vAlign w:val="center"/>
          </w:tcPr>
          <w:p w:rsidR="00BF77FD" w:rsidRDefault="00BF77FD" w:rsidP="007476A7">
            <w:pPr>
              <w:pStyle w:val="Tabletext"/>
              <w:jc w:val="center"/>
            </w:pPr>
            <w:r>
              <w:t>10</w:t>
            </w:r>
            <w:r>
              <w:rPr>
                <w:vertAlign w:val="superscript"/>
              </w:rPr>
              <w:t>–6</w:t>
            </w:r>
          </w:p>
        </w:tc>
        <w:tc>
          <w:tcPr>
            <w:tcW w:w="1101" w:type="pct"/>
            <w:tcBorders>
              <w:top w:val="nil"/>
            </w:tcBorders>
          </w:tcPr>
          <w:p w:rsidR="00BF77FD" w:rsidRDefault="00BF77FD" w:rsidP="00BF77FD">
            <w:pPr>
              <w:pStyle w:val="Tabletext"/>
              <w:jc w:val="left"/>
            </w:pPr>
          </w:p>
        </w:tc>
      </w:tr>
      <w:tr w:rsidR="00BF77FD" w:rsidTr="007476A7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Pr="008D0B05" w:rsidRDefault="00BF77FD" w:rsidP="007476A7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>Расчетное отношение (</w:t>
            </w:r>
            <w:r w:rsidRPr="008D0B05">
              <w:rPr>
                <w:i/>
                <w:iCs/>
                <w:lang w:val="ru-RU"/>
              </w:rPr>
              <w:t>E</w:t>
            </w:r>
            <w:r w:rsidRPr="008D0B05">
              <w:rPr>
                <w:i/>
                <w:iCs/>
                <w:vertAlign w:val="subscript"/>
                <w:lang w:val="ru-RU"/>
              </w:rPr>
              <w:t>b</w:t>
            </w:r>
            <w:r w:rsidRPr="008D0B05">
              <w:rPr>
                <w:lang w:val="ru-RU"/>
              </w:rPr>
              <w:t>/</w:t>
            </w:r>
            <w:r w:rsidRPr="008D0B05">
              <w:rPr>
                <w:i/>
                <w:iCs/>
                <w:lang w:val="ru-RU"/>
              </w:rPr>
              <w:t>N</w:t>
            </w:r>
            <w:r w:rsidRPr="008D0B05">
              <w:rPr>
                <w:vertAlign w:val="subscript"/>
                <w:lang w:val="ru-RU"/>
              </w:rPr>
              <w:t>0</w:t>
            </w:r>
            <w:r w:rsidRPr="008D0B05">
              <w:rPr>
                <w:lang w:val="ru-RU"/>
              </w:rPr>
              <w:t>)</w:t>
            </w:r>
            <w:r>
              <w:rPr>
                <w:lang w:val="ru-RU"/>
              </w:rPr>
              <w:t xml:space="preserve"> (дБ)</w:t>
            </w:r>
          </w:p>
        </w:tc>
        <w:tc>
          <w:tcPr>
            <w:tcW w:w="717" w:type="pct"/>
            <w:vAlign w:val="center"/>
          </w:tcPr>
          <w:p w:rsidR="00BF77FD" w:rsidRDefault="00BF77FD" w:rsidP="007476A7">
            <w:pPr>
              <w:pStyle w:val="Tabletext"/>
              <w:jc w:val="center"/>
            </w:pPr>
            <w:r>
              <w:t>13</w:t>
            </w:r>
            <w:r>
              <w:rPr>
                <w:lang w:val="ru-RU"/>
              </w:rPr>
              <w:t>,</w:t>
            </w:r>
            <w:r>
              <w:t>3</w:t>
            </w:r>
          </w:p>
        </w:tc>
        <w:tc>
          <w:tcPr>
            <w:tcW w:w="738" w:type="pct"/>
            <w:vAlign w:val="center"/>
          </w:tcPr>
          <w:p w:rsidR="00BF77FD" w:rsidRDefault="00BF77FD" w:rsidP="007476A7">
            <w:pPr>
              <w:pStyle w:val="Tabletext"/>
              <w:jc w:val="center"/>
            </w:pPr>
            <w:r>
              <w:t>13</w:t>
            </w:r>
            <w:r>
              <w:rPr>
                <w:lang w:val="ru-RU"/>
              </w:rPr>
              <w:t>,</w:t>
            </w:r>
            <w:r>
              <w:t>0</w:t>
            </w:r>
          </w:p>
        </w:tc>
        <w:tc>
          <w:tcPr>
            <w:tcW w:w="1101" w:type="pct"/>
          </w:tcPr>
          <w:p w:rsidR="00BF77FD" w:rsidRDefault="00BF77FD" w:rsidP="00BF77FD">
            <w:pPr>
              <w:pStyle w:val="Tabletext"/>
              <w:jc w:val="left"/>
            </w:pPr>
            <w:r w:rsidRPr="008D0B05">
              <w:rPr>
                <w:lang w:val="ru-RU"/>
              </w:rPr>
              <w:t>С использованием параметров, выше</w:t>
            </w:r>
          </w:p>
        </w:tc>
      </w:tr>
      <w:tr w:rsidR="00BF77FD" w:rsidRPr="00B95C2A" w:rsidTr="007476A7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BF77FD" w:rsidRPr="008D0B05" w:rsidRDefault="00BF77FD" w:rsidP="007476A7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>Теоретическое отношение (</w:t>
            </w:r>
            <w:r w:rsidRPr="008D0B05">
              <w:rPr>
                <w:i/>
                <w:iCs/>
                <w:lang w:val="ru-RU"/>
              </w:rPr>
              <w:t>E</w:t>
            </w:r>
            <w:r w:rsidRPr="008D0B05">
              <w:rPr>
                <w:i/>
                <w:iCs/>
                <w:vertAlign w:val="subscript"/>
                <w:lang w:val="ru-RU"/>
              </w:rPr>
              <w:t>b</w:t>
            </w:r>
            <w:r w:rsidRPr="008D0B05">
              <w:rPr>
                <w:lang w:val="ru-RU"/>
              </w:rPr>
              <w:t>/</w:t>
            </w:r>
            <w:r w:rsidRPr="008D0B05">
              <w:rPr>
                <w:i/>
                <w:iCs/>
                <w:lang w:val="ru-RU"/>
              </w:rPr>
              <w:t>N</w:t>
            </w:r>
            <w:r w:rsidRPr="008D0B05">
              <w:rPr>
                <w:vertAlign w:val="subscript"/>
                <w:lang w:val="ru-RU"/>
              </w:rPr>
              <w:t>0</w:t>
            </w:r>
            <w:r w:rsidRPr="008D0B05">
              <w:rPr>
                <w:lang w:val="ru-RU"/>
              </w:rPr>
              <w:t xml:space="preserve">) для BER, </w:t>
            </w:r>
            <w:r w:rsidR="007476A7">
              <w:rPr>
                <w:lang w:val="ru-RU"/>
              </w:rPr>
              <w:br/>
            </w:r>
            <w:r w:rsidRPr="008D0B05">
              <w:rPr>
                <w:lang w:val="ru-RU"/>
              </w:rPr>
              <w:t>равного 10</w:t>
            </w:r>
            <w:r w:rsidRPr="008D0B05">
              <w:rPr>
                <w:vertAlign w:val="superscript"/>
                <w:lang w:val="ru-RU"/>
              </w:rPr>
              <w:t>−6</w:t>
            </w:r>
            <w:r w:rsidRPr="00BF77FD">
              <w:rPr>
                <w:lang w:val="ru-RU"/>
              </w:rPr>
              <w:t xml:space="preserve"> (дБ)</w:t>
            </w:r>
          </w:p>
        </w:tc>
        <w:tc>
          <w:tcPr>
            <w:tcW w:w="1455" w:type="pct"/>
            <w:gridSpan w:val="2"/>
            <w:vAlign w:val="center"/>
          </w:tcPr>
          <w:p w:rsidR="00BF77FD" w:rsidRPr="007476A7" w:rsidRDefault="00BF77FD" w:rsidP="007476A7">
            <w:pPr>
              <w:pStyle w:val="Tabletext"/>
              <w:jc w:val="center"/>
              <w:rPr>
                <w:lang w:val="ru-RU"/>
              </w:rPr>
            </w:pPr>
            <w:r w:rsidRPr="007476A7">
              <w:rPr>
                <w:lang w:val="ru-RU"/>
              </w:rPr>
              <w:t>10</w:t>
            </w:r>
            <w:r>
              <w:rPr>
                <w:lang w:val="ru-RU"/>
              </w:rPr>
              <w:t>,</w:t>
            </w:r>
            <w:r w:rsidRPr="007476A7">
              <w:rPr>
                <w:lang w:val="ru-RU"/>
              </w:rPr>
              <w:t>6</w:t>
            </w:r>
          </w:p>
        </w:tc>
        <w:tc>
          <w:tcPr>
            <w:tcW w:w="1101" w:type="pct"/>
            <w:vAlign w:val="center"/>
          </w:tcPr>
          <w:p w:rsidR="00BF77FD" w:rsidRPr="00BF77FD" w:rsidRDefault="00BF77FD" w:rsidP="00BF77FD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i/>
                <w:iCs/>
                <w:lang w:val="ru-RU"/>
              </w:rPr>
              <w:t>E</w:t>
            </w:r>
            <w:r w:rsidRPr="008D0B05">
              <w:rPr>
                <w:i/>
                <w:iCs/>
                <w:vertAlign w:val="subscript"/>
                <w:lang w:val="ru-RU"/>
              </w:rPr>
              <w:t>b</w:t>
            </w:r>
            <w:r w:rsidRPr="008D0B05">
              <w:rPr>
                <w:lang w:val="ru-RU"/>
              </w:rPr>
              <w:t>/</w:t>
            </w:r>
            <w:r w:rsidRPr="008D0B05">
              <w:rPr>
                <w:i/>
                <w:iCs/>
                <w:lang w:val="ru-RU"/>
              </w:rPr>
              <w:t>N</w:t>
            </w:r>
            <w:r w:rsidRPr="008D0B05">
              <w:rPr>
                <w:vertAlign w:val="subscript"/>
                <w:lang w:val="ru-RU"/>
              </w:rPr>
              <w:t xml:space="preserve">0 </w:t>
            </w:r>
            <w:r w:rsidRPr="008D0B05">
              <w:rPr>
                <w:lang w:val="ru-RU"/>
              </w:rPr>
              <w:t xml:space="preserve">для </w:t>
            </w:r>
            <w:r w:rsidR="007476A7">
              <w:rPr>
                <w:lang w:val="ru-RU"/>
              </w:rPr>
              <w:br/>
            </w:r>
            <w:r w:rsidRPr="008D0B05">
              <w:rPr>
                <w:lang w:val="ru-RU"/>
              </w:rPr>
              <w:t>требуемого BER</w:t>
            </w:r>
          </w:p>
        </w:tc>
      </w:tr>
      <w:tr w:rsidR="00BF77FD" w:rsidRPr="007476A7" w:rsidTr="007476A7">
        <w:trPr>
          <w:gridAfter w:val="1"/>
          <w:wAfter w:w="3" w:type="pct"/>
          <w:jc w:val="center"/>
        </w:trPr>
        <w:tc>
          <w:tcPr>
            <w:tcW w:w="2441" w:type="pct"/>
            <w:tcBorders>
              <w:bottom w:val="single" w:sz="4" w:space="0" w:color="auto"/>
            </w:tcBorders>
            <w:vAlign w:val="center"/>
          </w:tcPr>
          <w:p w:rsidR="00BF77FD" w:rsidRPr="008D0B05" w:rsidRDefault="00BF77FD" w:rsidP="007476A7">
            <w:pPr>
              <w:pStyle w:val="Tabletext"/>
              <w:jc w:val="left"/>
              <w:rPr>
                <w:lang w:val="ru-RU"/>
              </w:rPr>
            </w:pPr>
            <w:r w:rsidRPr="008D0B05">
              <w:rPr>
                <w:lang w:val="ru-RU"/>
              </w:rPr>
              <w:t>Запас для линии PDS</w:t>
            </w:r>
            <w:r>
              <w:rPr>
                <w:lang w:val="ru-RU"/>
              </w:rPr>
              <w:t xml:space="preserve"> (дБ)</w:t>
            </w:r>
          </w:p>
        </w:tc>
        <w:tc>
          <w:tcPr>
            <w:tcW w:w="717" w:type="pct"/>
            <w:tcBorders>
              <w:bottom w:val="single" w:sz="4" w:space="0" w:color="auto"/>
            </w:tcBorders>
            <w:vAlign w:val="center"/>
          </w:tcPr>
          <w:p w:rsidR="00BF77FD" w:rsidRPr="007476A7" w:rsidRDefault="00BF77FD" w:rsidP="007476A7">
            <w:pPr>
              <w:pStyle w:val="Tabletext"/>
              <w:jc w:val="center"/>
              <w:rPr>
                <w:lang w:val="ru-RU"/>
              </w:rPr>
            </w:pPr>
            <w:r w:rsidRPr="007476A7">
              <w:rPr>
                <w:lang w:val="ru-RU"/>
              </w:rPr>
              <w:t>2</w:t>
            </w:r>
            <w:r>
              <w:rPr>
                <w:lang w:val="ru-RU"/>
              </w:rPr>
              <w:t>,</w:t>
            </w:r>
            <w:r w:rsidRPr="007476A7">
              <w:rPr>
                <w:lang w:val="ru-RU"/>
              </w:rPr>
              <w:t>7</w:t>
            </w:r>
          </w:p>
        </w:tc>
        <w:tc>
          <w:tcPr>
            <w:tcW w:w="738" w:type="pct"/>
            <w:tcBorders>
              <w:bottom w:val="single" w:sz="4" w:space="0" w:color="auto"/>
            </w:tcBorders>
            <w:vAlign w:val="center"/>
          </w:tcPr>
          <w:p w:rsidR="00BF77FD" w:rsidRPr="007476A7" w:rsidRDefault="00BF77FD" w:rsidP="007476A7">
            <w:pPr>
              <w:pStyle w:val="Tabletext"/>
              <w:jc w:val="center"/>
              <w:rPr>
                <w:lang w:val="ru-RU"/>
              </w:rPr>
            </w:pPr>
            <w:r w:rsidRPr="007476A7">
              <w:rPr>
                <w:lang w:val="ru-RU"/>
              </w:rPr>
              <w:t>2</w:t>
            </w:r>
            <w:r>
              <w:rPr>
                <w:lang w:val="ru-RU"/>
              </w:rPr>
              <w:t>,</w:t>
            </w:r>
            <w:r w:rsidRPr="007476A7">
              <w:rPr>
                <w:lang w:val="ru-RU"/>
              </w:rPr>
              <w:t>4</w:t>
            </w:r>
          </w:p>
        </w:tc>
        <w:tc>
          <w:tcPr>
            <w:tcW w:w="1101" w:type="pct"/>
            <w:tcBorders>
              <w:bottom w:val="single" w:sz="4" w:space="0" w:color="auto"/>
            </w:tcBorders>
          </w:tcPr>
          <w:p w:rsidR="00BF77FD" w:rsidRPr="007476A7" w:rsidRDefault="00BF77FD" w:rsidP="00BF77FD">
            <w:pPr>
              <w:pStyle w:val="Tabletext"/>
              <w:jc w:val="left"/>
              <w:rPr>
                <w:lang w:val="ru-RU"/>
              </w:rPr>
            </w:pPr>
          </w:p>
        </w:tc>
      </w:tr>
      <w:tr w:rsidR="009B1906" w:rsidRPr="00B95C2A" w:rsidTr="007476A7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B1906" w:rsidRPr="008D0B05" w:rsidRDefault="009B1906" w:rsidP="00E1449E">
            <w:pPr>
              <w:pStyle w:val="Tablelegend"/>
              <w:keepNext/>
              <w:keepLines/>
              <w:tabs>
                <w:tab w:val="clear" w:pos="284"/>
                <w:tab w:val="clear" w:pos="567"/>
                <w:tab w:val="left" w:pos="426"/>
              </w:tabs>
              <w:spacing w:before="120" w:after="40"/>
              <w:rPr>
                <w:lang w:val="ru-RU"/>
              </w:rPr>
            </w:pPr>
            <w:r w:rsidRPr="008D0B05">
              <w:rPr>
                <w:lang w:val="ru-RU"/>
              </w:rPr>
              <w:t>LUT: терминал местного пользователя</w:t>
            </w:r>
          </w:p>
          <w:p w:rsidR="009B1906" w:rsidRPr="008D0B05" w:rsidRDefault="009B1906" w:rsidP="00833F98">
            <w:pPr>
              <w:pStyle w:val="Tablelegend"/>
              <w:keepNext/>
              <w:keepLines/>
              <w:tabs>
                <w:tab w:val="clear" w:pos="284"/>
                <w:tab w:val="clear" w:pos="567"/>
                <w:tab w:val="left" w:pos="426"/>
              </w:tabs>
              <w:spacing w:before="40" w:after="40"/>
              <w:rPr>
                <w:lang w:val="ru-RU"/>
              </w:rPr>
            </w:pPr>
            <w:r w:rsidRPr="008D0B05">
              <w:rPr>
                <w:vertAlign w:val="superscript"/>
                <w:lang w:val="ru-RU"/>
              </w:rPr>
              <w:t>(1)</w:t>
            </w:r>
            <w:r w:rsidRPr="008D0B05">
              <w:rPr>
                <w:lang w:val="ru-RU"/>
              </w:rPr>
              <w:tab/>
              <w:t>Эквивалентная изотропно излучаемая мощность.</w:t>
            </w:r>
          </w:p>
          <w:p w:rsidR="009B1906" w:rsidRPr="008D0B05" w:rsidRDefault="009B1906" w:rsidP="00833F98">
            <w:pPr>
              <w:pStyle w:val="Tablelegend"/>
              <w:keepNext/>
              <w:keepLines/>
              <w:tabs>
                <w:tab w:val="clear" w:pos="284"/>
                <w:tab w:val="clear" w:pos="567"/>
                <w:tab w:val="left" w:pos="426"/>
              </w:tabs>
              <w:spacing w:before="40" w:after="40"/>
              <w:rPr>
                <w:lang w:val="ru-RU"/>
              </w:rPr>
            </w:pPr>
            <w:r w:rsidRPr="008D0B05">
              <w:rPr>
                <w:vertAlign w:val="superscript"/>
                <w:lang w:val="ru-RU"/>
              </w:rPr>
              <w:t>(2)</w:t>
            </w:r>
            <w:r w:rsidRPr="008D0B05">
              <w:rPr>
                <w:lang w:val="ru-RU"/>
              </w:rPr>
              <w:tab/>
              <w:t>Потери на рассогласование по поляризации, на ориентацию антенны и на реализацию демодулятора.</w:t>
            </w:r>
          </w:p>
          <w:p w:rsidR="009B1906" w:rsidRPr="008D0B05" w:rsidRDefault="009B1906" w:rsidP="00833F98">
            <w:pPr>
              <w:pStyle w:val="Tablelegend"/>
              <w:keepNext/>
              <w:keepLines/>
              <w:tabs>
                <w:tab w:val="clear" w:pos="284"/>
                <w:tab w:val="clear" w:pos="567"/>
                <w:tab w:val="left" w:pos="426"/>
              </w:tabs>
              <w:spacing w:before="40" w:after="40"/>
              <w:rPr>
                <w:lang w:val="ru-RU"/>
              </w:rPr>
            </w:pPr>
            <w:r w:rsidRPr="008D0B05">
              <w:rPr>
                <w:vertAlign w:val="superscript"/>
                <w:lang w:val="ru-RU"/>
              </w:rPr>
              <w:t>(3)</w:t>
            </w:r>
            <w:r w:rsidRPr="008D0B05">
              <w:rPr>
                <w:lang w:val="ru-RU"/>
              </w:rPr>
              <w:tab/>
              <w:t xml:space="preserve">Отношение усиления к шумовой температуре антенны с учетом потерь в обтекателе, если он применяется, и в кабеле. Для терминалов LUT в Соединенных Штатах Америки </w:t>
            </w:r>
            <w:r w:rsidRPr="008D0B05">
              <w:rPr>
                <w:i/>
                <w:iCs/>
                <w:lang w:val="ru-RU"/>
              </w:rPr>
              <w:t>G</w:t>
            </w:r>
            <w:r w:rsidRPr="008D0B05">
              <w:rPr>
                <w:lang w:val="ru-RU"/>
              </w:rPr>
              <w:t>/</w:t>
            </w:r>
            <w:r w:rsidRPr="008D0B05">
              <w:rPr>
                <w:i/>
                <w:iCs/>
                <w:lang w:val="ru-RU"/>
              </w:rPr>
              <w:t>T</w:t>
            </w:r>
            <w:r w:rsidRPr="008D0B05">
              <w:rPr>
                <w:lang w:val="ru-RU"/>
              </w:rPr>
              <w:t xml:space="preserve"> = 4,3 дБ.</w:t>
            </w:r>
          </w:p>
        </w:tc>
      </w:tr>
    </w:tbl>
    <w:p w:rsidR="009B1906" w:rsidRPr="008D0B05" w:rsidRDefault="009B1906" w:rsidP="007476A7">
      <w:pPr>
        <w:rPr>
          <w:lang w:val="ru-RU"/>
        </w:rPr>
      </w:pPr>
      <w:r w:rsidRPr="008D0B05">
        <w:rPr>
          <w:lang w:val="ru-RU"/>
        </w:rPr>
        <w:t>В таблице 1 показан рекомендуемый бюджет мощности на линии вниз для канала SARP. Бюджет линии был рассчитан с использованием типичных параметров терминала LEOLUT. Бюджет линии показывает, что требуемый уровень BER, равный 1 </w:t>
      </w:r>
      <w:r w:rsidRPr="008D0B05">
        <w:rPr>
          <w:lang w:val="ru-RU"/>
        </w:rPr>
        <w:sym w:font="Symbol" w:char="F0B4"/>
      </w:r>
      <w:r w:rsidRPr="008D0B05">
        <w:rPr>
          <w:lang w:val="ru-RU"/>
        </w:rPr>
        <w:t> 10</w:t>
      </w:r>
      <w:r w:rsidRPr="008D0B05">
        <w:rPr>
          <w:vertAlign w:val="superscript"/>
          <w:lang w:val="ru-RU"/>
        </w:rPr>
        <w:t>−6</w:t>
      </w:r>
      <w:r w:rsidRPr="008D0B05">
        <w:rPr>
          <w:lang w:val="ru-RU"/>
        </w:rPr>
        <w:t xml:space="preserve">, достигается с запасом 2,4 дБ на слежение за спутниками Сарсат. Для обеспечения требуемого уровня BER в линии должен поддерживаться положительный запас. Поэтому нельзя допускать, чтобы сумма всех помех снижала запас в линии более чем на 2,4 дБ. В этом случае кумулятивная спектральная плотность мощности помех,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, на входе приемника LEOLUT указывается следующим уравнением (численные величины):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vertAlign w:val="subscript"/>
          <w:lang w:val="ru-RU"/>
        </w:rPr>
      </w:pPr>
      <w:r w:rsidRPr="008D0B05">
        <w:rPr>
          <w:lang w:val="ru-RU"/>
        </w:rPr>
        <w:tab/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 xml:space="preserve">0 </w:t>
      </w:r>
      <w:r w:rsidRPr="008D0B05">
        <w:rPr>
          <w:lang w:val="ru-RU"/>
        </w:rPr>
        <w:t xml:space="preserve">+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 xml:space="preserve">0 </w:t>
      </w:r>
      <w:r w:rsidRPr="008D0B05">
        <w:rPr>
          <w:lang w:val="ru-RU"/>
        </w:rPr>
        <w:sym w:font="Symbol" w:char="F0A3"/>
      </w:r>
      <w:r w:rsidRPr="008D0B05">
        <w:rPr>
          <w:lang w:val="ru-RU"/>
        </w:rPr>
        <w:t xml:space="preserve"> 10</w:t>
      </w:r>
      <w:r w:rsidRPr="008D0B05">
        <w:rPr>
          <w:vertAlign w:val="superscript"/>
          <w:lang w:val="ru-RU"/>
        </w:rPr>
        <w:t>(2,4/10)</w:t>
      </w:r>
      <w:r w:rsidRPr="008D0B05">
        <w:rPr>
          <w:lang w:val="ru-RU"/>
        </w:rPr>
        <w:t> × 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</w:p>
    <w:p w:rsidR="009B1906" w:rsidRPr="008D0B05" w:rsidRDefault="009B1906" w:rsidP="007476A7">
      <w:pPr>
        <w:keepNext/>
        <w:keepLines/>
        <w:spacing w:before="0"/>
        <w:rPr>
          <w:lang w:val="ru-RU"/>
        </w:rPr>
      </w:pPr>
      <w:r w:rsidRPr="008D0B05">
        <w:rPr>
          <w:lang w:val="ru-RU"/>
        </w:rPr>
        <w:t>или</w:t>
      </w:r>
    </w:p>
    <w:p w:rsidR="009B1906" w:rsidRPr="008D0B05" w:rsidRDefault="009B1906" w:rsidP="007476A7">
      <w:pPr>
        <w:pStyle w:val="Equation"/>
        <w:keepNext/>
        <w:keepLines/>
        <w:tabs>
          <w:tab w:val="clear" w:pos="794"/>
        </w:tabs>
        <w:rPr>
          <w:lang w:val="ru-RU"/>
        </w:rPr>
      </w:pPr>
      <w:r w:rsidRPr="008D0B05">
        <w:rPr>
          <w:lang w:val="ru-RU"/>
        </w:rPr>
        <w:tab/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</w:t>
      </w:r>
      <w:r w:rsidRPr="008D0B05">
        <w:rPr>
          <w:lang w:val="ru-RU"/>
        </w:rPr>
        <w:sym w:font="Symbol" w:char="F0A3"/>
      </w:r>
      <w:r w:rsidRPr="008D0B05">
        <w:rPr>
          <w:lang w:val="ru-RU"/>
        </w:rPr>
        <w:t xml:space="preserve"> (10</w:t>
      </w:r>
      <w:r w:rsidRPr="008D0B05">
        <w:rPr>
          <w:vertAlign w:val="superscript"/>
          <w:lang w:val="ru-RU"/>
        </w:rPr>
        <w:t>(2,4/10)</w:t>
      </w:r>
      <w:r w:rsidRPr="008D0B05">
        <w:rPr>
          <w:lang w:val="ru-RU"/>
        </w:rPr>
        <w:t xml:space="preserve"> – 1) = 0,738 (численная величина),</w:t>
      </w:r>
    </w:p>
    <w:p w:rsidR="009B1906" w:rsidRPr="008D0B05" w:rsidRDefault="009B1906" w:rsidP="007476A7">
      <w:pPr>
        <w:keepNext/>
        <w:keepLines/>
        <w:rPr>
          <w:lang w:val="ru-RU"/>
        </w:rPr>
      </w:pPr>
      <w:r w:rsidRPr="008D0B05">
        <w:rPr>
          <w:lang w:val="ru-RU"/>
        </w:rPr>
        <w:t>в этом случае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lang w:val="ru-RU"/>
        </w:rPr>
      </w:pPr>
      <w:r w:rsidRPr="008D0B05">
        <w:rPr>
          <w:lang w:val="ru-RU"/>
        </w:rPr>
        <w:tab/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 xml:space="preserve">0 </w:t>
      </w:r>
      <w:r w:rsidRPr="008D0B05">
        <w:rPr>
          <w:lang w:val="ru-RU"/>
        </w:rPr>
        <w:t>= –1,3 дБ.</w:t>
      </w:r>
    </w:p>
    <w:p w:rsidR="009B1906" w:rsidRPr="008D0B05" w:rsidRDefault="009B1906" w:rsidP="009B1906">
      <w:pPr>
        <w:rPr>
          <w:i/>
          <w:lang w:val="ru-RU"/>
        </w:rPr>
      </w:pPr>
      <w:r w:rsidRPr="008D0B05">
        <w:rPr>
          <w:lang w:val="ru-RU"/>
        </w:rPr>
        <w:lastRenderedPageBreak/>
        <w:t xml:space="preserve">Совокупное влияние всех источников помех, следовательно, не должно превышать величины </w:t>
      </w:r>
      <w:r w:rsidRPr="008D0B05">
        <w:rPr>
          <w:lang w:val="ru-RU"/>
        </w:rPr>
        <w:br/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 xml:space="preserve">0 </w:t>
      </w:r>
      <w:r w:rsidRPr="008D0B05">
        <w:rPr>
          <w:lang w:val="ru-RU"/>
        </w:rPr>
        <w:t>= –1,3 дБ.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Для терминалов LEOLUT с усилением антенн, </w:t>
      </w:r>
      <w:r w:rsidRPr="008D0B05">
        <w:rPr>
          <w:i/>
          <w:iCs/>
          <w:lang w:val="ru-RU"/>
        </w:rPr>
        <w:t>G</w:t>
      </w:r>
      <w:r w:rsidRPr="008D0B05">
        <w:rPr>
          <w:lang w:val="ru-RU"/>
        </w:rPr>
        <w:t xml:space="preserve">, на уровне 26,7 дБ и шумовой температурой системы, </w:t>
      </w:r>
      <w:r w:rsidRPr="008D0B05">
        <w:rPr>
          <w:i/>
          <w:iCs/>
          <w:lang w:val="ru-RU"/>
        </w:rPr>
        <w:t>T</w:t>
      </w:r>
      <w:r w:rsidRPr="008D0B05">
        <w:rPr>
          <w:lang w:val="ru-RU"/>
        </w:rPr>
        <w:t xml:space="preserve">, равной 22,4 дБK на входе МШУ LEOLUT, спектральная плотность мощности шума без помех, 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, представляет собой произведение постоянной Больцмана, </w:t>
      </w:r>
      <w:r w:rsidRPr="008D0B05">
        <w:rPr>
          <w:i/>
          <w:iCs/>
          <w:lang w:val="ru-RU"/>
        </w:rPr>
        <w:t>k</w:t>
      </w:r>
      <w:r w:rsidRPr="008D0B05">
        <w:rPr>
          <w:lang w:val="ru-RU"/>
        </w:rPr>
        <w:t xml:space="preserve">, и шумовой температуры </w:t>
      </w:r>
      <w:r w:rsidRPr="008D0B05">
        <w:rPr>
          <w:i/>
          <w:iCs/>
          <w:lang w:val="ru-RU"/>
        </w:rPr>
        <w:t>T</w:t>
      </w:r>
      <w:r w:rsidRPr="008D0B05">
        <w:rPr>
          <w:lang w:val="ru-RU"/>
        </w:rPr>
        <w:t xml:space="preserve">, или 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= </w:t>
      </w:r>
      <w:r w:rsidRPr="008D0B05">
        <w:rPr>
          <w:i/>
          <w:iCs/>
          <w:lang w:val="ru-RU"/>
        </w:rPr>
        <w:t>k T</w:t>
      </w:r>
      <w:r w:rsidRPr="008D0B05">
        <w:rPr>
          <w:lang w:val="ru-RU"/>
        </w:rPr>
        <w:t>, и задается в виде дБ, как указано ниже: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lang w:val="ru-RU"/>
        </w:rPr>
      </w:pPr>
      <w:r w:rsidRPr="008D0B05">
        <w:rPr>
          <w:lang w:val="ru-RU"/>
        </w:rPr>
        <w:tab/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 xml:space="preserve">0 </w:t>
      </w:r>
      <w:r w:rsidRPr="008D0B05">
        <w:rPr>
          <w:lang w:val="ru-RU"/>
        </w:rPr>
        <w:t>= –228,6 + 22,4 = –206,2 дБ(Вт/Гц).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Следовательно, максимальная спектральная плотность мощности помех от всех источников помех,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(max), на входе МШУ LEOLUT в пределах полосы 1544,5 МГц </w:t>
      </w:r>
      <w:r w:rsidRPr="008D0B05">
        <w:rPr>
          <w:lang w:val="ru-RU"/>
        </w:rPr>
        <w:sym w:font="Symbol" w:char="F0B1"/>
      </w:r>
      <w:r w:rsidRPr="008D0B05">
        <w:rPr>
          <w:lang w:val="ru-RU"/>
        </w:rPr>
        <w:t> 50 кГц не должна превышать следующего уровня:</w:t>
      </w:r>
    </w:p>
    <w:p w:rsidR="009B1906" w:rsidRPr="00545FCA" w:rsidRDefault="009B1906" w:rsidP="009B1906">
      <w:pPr>
        <w:pStyle w:val="Equation"/>
        <w:tabs>
          <w:tab w:val="clear" w:pos="794"/>
        </w:tabs>
        <w:rPr>
          <w:lang w:val="en-US"/>
        </w:rPr>
      </w:pPr>
      <w:r w:rsidRPr="008D0B05">
        <w:rPr>
          <w:lang w:val="ru-RU"/>
        </w:rPr>
        <w:tab/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(max) = 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 – 1,3 = –207,5 </w:t>
      </w:r>
      <w:r w:rsidRPr="008D0B05">
        <w:rPr>
          <w:lang w:val="ru-RU"/>
        </w:rPr>
        <w:t>дБ</w:t>
      </w:r>
      <w:r w:rsidRPr="00545FCA">
        <w:rPr>
          <w:lang w:val="en-US"/>
        </w:rPr>
        <w:t>(</w:t>
      </w:r>
      <w:r w:rsidRPr="008D0B05">
        <w:rPr>
          <w:lang w:val="ru-RU"/>
        </w:rPr>
        <w:t>Вт</w:t>
      </w:r>
      <w:r w:rsidRPr="00545FCA">
        <w:rPr>
          <w:lang w:val="en-US"/>
        </w:rPr>
        <w:t>/</w:t>
      </w:r>
      <w:r w:rsidRPr="008D0B05">
        <w:rPr>
          <w:lang w:val="ru-RU"/>
        </w:rPr>
        <w:t>Гц</w:t>
      </w:r>
      <w:r w:rsidRPr="00545FCA">
        <w:rPr>
          <w:lang w:val="en-US"/>
        </w:rPr>
        <w:t>).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Рассматриваемые критерии защиты желательно характеризовать в виде порогового мешающего уровня с.п.п.м., указываемого в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 ∙ Гц)) на входе антенны LEOLUT. Эффективная апертура антенны с усилением</w:t>
      </w:r>
      <w:r w:rsidRPr="008D0B05">
        <w:rPr>
          <w:i/>
          <w:iCs/>
          <w:lang w:val="ru-RU"/>
        </w:rPr>
        <w:t xml:space="preserve"> G</w:t>
      </w:r>
      <w:r w:rsidRPr="008D0B05">
        <w:rPr>
          <w:lang w:val="ru-RU"/>
        </w:rPr>
        <w:t xml:space="preserve"> определяется как </w:t>
      </w:r>
      <w:r w:rsidRPr="008D0B05">
        <w:rPr>
          <w:i/>
          <w:iCs/>
          <w:lang w:val="ru-RU"/>
        </w:rPr>
        <w:t>A</w:t>
      </w:r>
      <w:r w:rsidRPr="008D0B05">
        <w:rPr>
          <w:i/>
          <w:iCs/>
          <w:vertAlign w:val="subscript"/>
          <w:lang w:val="ru-RU"/>
        </w:rPr>
        <w:t>e</w:t>
      </w:r>
      <w:r w:rsidRPr="008D0B05">
        <w:rPr>
          <w:lang w:val="ru-RU"/>
        </w:rPr>
        <w:t> = </w:t>
      </w:r>
      <w:r w:rsidRPr="008D0B05">
        <w:rPr>
          <w:i/>
          <w:iCs/>
          <w:lang w:val="ru-RU"/>
        </w:rPr>
        <w:t>G</w:t>
      </w:r>
      <w:r w:rsidRPr="008D0B05">
        <w:rPr>
          <w:rFonts w:ascii="Symbol" w:hAnsi="Symbol"/>
          <w:lang w:val="ru-RU"/>
        </w:rPr>
        <w:t>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/4</w:t>
      </w:r>
      <w:r w:rsidRPr="008D0B05">
        <w:rPr>
          <w:rFonts w:ascii="Symbol" w:hAnsi="Symbol"/>
          <w:lang w:val="ru-RU"/>
        </w:rPr>
        <w:t></w:t>
      </w:r>
      <w:r w:rsidRPr="008D0B05">
        <w:rPr>
          <w:rFonts w:ascii="Symbol" w:hAnsi="Symbol"/>
          <w:lang w:val="ru-RU"/>
        </w:rPr>
        <w:t></w:t>
      </w:r>
      <w:r w:rsidRPr="008D0B05">
        <w:rPr>
          <w:lang w:val="ru-RU"/>
        </w:rPr>
        <w:t xml:space="preserve"> Усиление антенны LEOLUT на уровне 26,7 дБ приводит к величине </w:t>
      </w:r>
      <w:r w:rsidRPr="008D0B05">
        <w:rPr>
          <w:i/>
          <w:iCs/>
          <w:lang w:val="ru-RU"/>
        </w:rPr>
        <w:t>A</w:t>
      </w:r>
      <w:r w:rsidRPr="008D0B05">
        <w:rPr>
          <w:i/>
          <w:iCs/>
          <w:szCs w:val="24"/>
          <w:vertAlign w:val="subscript"/>
          <w:lang w:val="ru-RU"/>
        </w:rPr>
        <w:t>e</w:t>
      </w:r>
      <w:r w:rsidRPr="008D0B05">
        <w:rPr>
          <w:lang w:val="ru-RU"/>
        </w:rPr>
        <w:t> = 1,4 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. Следовательно, максимальный уровень всех помех на линии вниз составляет:</w:t>
      </w:r>
    </w:p>
    <w:p w:rsidR="009B1906" w:rsidRPr="008D0B05" w:rsidRDefault="009B1906" w:rsidP="009B1906">
      <w:pPr>
        <w:pStyle w:val="Equation"/>
        <w:keepNext/>
        <w:keepLines/>
        <w:tabs>
          <w:tab w:val="clear" w:pos="794"/>
        </w:tabs>
        <w:rPr>
          <w:lang w:val="ru-RU"/>
        </w:rPr>
      </w:pPr>
      <w:r w:rsidRPr="008D0B05">
        <w:rPr>
          <w:lang w:val="ru-RU"/>
        </w:rPr>
        <w:tab/>
      </w:r>
      <w:r>
        <w:rPr>
          <w:lang w:val="ru-RU"/>
        </w:rPr>
        <w:t xml:space="preserve">с.п.п.м. =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A</w:t>
      </w:r>
      <w:r w:rsidRPr="008D0B05">
        <w:rPr>
          <w:i/>
          <w:iCs/>
          <w:szCs w:val="24"/>
          <w:vertAlign w:val="subscript"/>
          <w:lang w:val="ru-RU"/>
        </w:rPr>
        <w:t>e</w:t>
      </w:r>
      <w:r>
        <w:rPr>
          <w:lang w:val="ru-RU"/>
        </w:rPr>
        <w:t xml:space="preserve"> = </w:t>
      </w:r>
      <w:r w:rsidRPr="008D0B05">
        <w:rPr>
          <w:lang w:val="ru-RU"/>
        </w:rPr>
        <w:t>–207,5 – 10 log (1,4)</w:t>
      </w:r>
    </w:p>
    <w:p w:rsidR="009B1906" w:rsidRPr="008D0B05" w:rsidRDefault="009B1906" w:rsidP="009B1906">
      <w:pPr>
        <w:pStyle w:val="Equation"/>
        <w:keepNext/>
        <w:keepLines/>
        <w:tabs>
          <w:tab w:val="clear" w:pos="794"/>
          <w:tab w:val="clear" w:pos="4820"/>
          <w:tab w:val="left" w:pos="4395"/>
        </w:tabs>
        <w:rPr>
          <w:lang w:val="ru-RU"/>
        </w:rPr>
      </w:pPr>
      <w:r w:rsidRPr="008D0B05">
        <w:rPr>
          <w:lang w:val="ru-RU"/>
        </w:rPr>
        <w:tab/>
      </w:r>
      <w:r>
        <w:rPr>
          <w:lang w:val="ru-RU"/>
        </w:rPr>
        <w:t xml:space="preserve"> </w:t>
      </w:r>
      <w:r w:rsidRPr="00545FCA">
        <w:rPr>
          <w:lang w:val="ru-RU"/>
        </w:rPr>
        <w:t xml:space="preserve"> </w:t>
      </w:r>
      <w:r>
        <w:rPr>
          <w:lang w:val="ru-RU"/>
        </w:rPr>
        <w:t xml:space="preserve">= </w:t>
      </w:r>
      <w:r w:rsidRPr="008D0B05">
        <w:rPr>
          <w:lang w:val="ru-RU"/>
        </w:rPr>
        <w:t>–209,0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 ∙ Гц)).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Максимальный уровень широкополосной шумоподобной помехи в канале в полосе 1544,5 МГц </w:t>
      </w:r>
      <w:r w:rsidRPr="008D0B05">
        <w:rPr>
          <w:lang w:val="ru-RU"/>
        </w:rPr>
        <w:sym w:font="Symbol" w:char="F0B1"/>
      </w:r>
      <w:r w:rsidRPr="008D0B05">
        <w:rPr>
          <w:lang w:val="ru-RU"/>
        </w:rPr>
        <w:t> 50 кГц не должен превышать –209,0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 ∙ Гц)).</w:t>
      </w:r>
    </w:p>
    <w:p w:rsidR="009B1906" w:rsidRPr="008D0B05" w:rsidRDefault="009B1906" w:rsidP="009B1906">
      <w:pPr>
        <w:pStyle w:val="Heading1"/>
        <w:rPr>
          <w:lang w:val="ru-RU"/>
        </w:rPr>
      </w:pPr>
      <w:r w:rsidRPr="008D0B05">
        <w:rPr>
          <w:lang w:val="ru-RU"/>
        </w:rPr>
        <w:t>4</w:t>
      </w:r>
      <w:r w:rsidRPr="008D0B05">
        <w:rPr>
          <w:lang w:val="ru-RU"/>
        </w:rPr>
        <w:tab/>
        <w:t>Процедура вычисления уровня помех, причиняе</w:t>
      </w:r>
      <w:r>
        <w:rPr>
          <w:lang w:val="ru-RU"/>
        </w:rPr>
        <w:t>мых каналу SARP спутника LEOSAR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Помехи, создаваемые системе Коспас-Сарсат, чаще всего являются результатом внеполосных излучений от служб в соседних или близких к ним полосах, таких как распределения службе ПСС в направлении космос-Земля.</w:t>
      </w:r>
    </w:p>
    <w:p w:rsidR="009B1906" w:rsidRPr="008D0B05" w:rsidRDefault="009B1906" w:rsidP="009B1906">
      <w:pPr>
        <w:keepLines/>
        <w:rPr>
          <w:lang w:val="ru-RU"/>
        </w:rPr>
      </w:pPr>
      <w:r w:rsidRPr="008D0B05">
        <w:rPr>
          <w:lang w:val="ru-RU"/>
        </w:rPr>
        <w:t>Чтобы определить, передается ли энергия в полосе частот 1544,5 МГц </w:t>
      </w:r>
      <w:r w:rsidRPr="008D0B05">
        <w:rPr>
          <w:lang w:val="ru-RU"/>
        </w:rPr>
        <w:sym w:font="Symbol" w:char="F0B1"/>
      </w:r>
      <w:r w:rsidRPr="008D0B05">
        <w:rPr>
          <w:lang w:val="ru-RU"/>
        </w:rPr>
        <w:t> 50 кГц, следует изучить ширину полосы излучения. Необходимо проявлять особое внимание при анализе влияния подвижных систем (например, негеостационарных спутников и передатчиков на борту воздушных судов) для учета эффектов доп</w:t>
      </w:r>
      <w:r>
        <w:rPr>
          <w:lang w:val="ru-RU"/>
        </w:rPr>
        <w:t>п</w:t>
      </w:r>
      <w:r w:rsidRPr="008D0B05">
        <w:rPr>
          <w:lang w:val="ru-RU"/>
        </w:rPr>
        <w:t>леровского сдвига частоты, возникающих при их движении.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Вычислите уровень с.п.п.м. на входе антенны LEOLUT. Суммарный уровень от всех источников помех не должен превышать −209,0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 ∙ Гц)) в любой части полосы 1544,5 МГц </w:t>
      </w:r>
      <w:r w:rsidRPr="008D0B05">
        <w:rPr>
          <w:lang w:val="ru-RU"/>
        </w:rPr>
        <w:sym w:font="Symbol" w:char="F0B1"/>
      </w:r>
      <w:r w:rsidRPr="008D0B05">
        <w:rPr>
          <w:lang w:val="ru-RU"/>
        </w:rPr>
        <w:t> 50 кГц.</w:t>
      </w:r>
    </w:p>
    <w:p w:rsidR="00833F98" w:rsidRDefault="00833F9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szCs w:val="26"/>
          <w:lang w:val="ru-RU"/>
        </w:rPr>
      </w:pPr>
      <w:bookmarkStart w:id="12" w:name="_Toc115521335"/>
      <w:r>
        <w:rPr>
          <w:szCs w:val="26"/>
          <w:lang w:val="ru-RU"/>
        </w:rPr>
        <w:br w:type="page"/>
      </w:r>
    </w:p>
    <w:p w:rsidR="009B1906" w:rsidRPr="008D0B05" w:rsidRDefault="009B1906" w:rsidP="009B1906">
      <w:pPr>
        <w:pStyle w:val="AnnexNoTitle"/>
        <w:rPr>
          <w:szCs w:val="26"/>
          <w:lang w:val="ru-RU"/>
        </w:rPr>
      </w:pPr>
      <w:r w:rsidRPr="008D0B05">
        <w:rPr>
          <w:szCs w:val="26"/>
          <w:lang w:val="ru-RU"/>
        </w:rPr>
        <w:lastRenderedPageBreak/>
        <w:t>Приложение 3</w:t>
      </w:r>
      <w:r w:rsidRPr="008D0B05">
        <w:rPr>
          <w:szCs w:val="26"/>
          <w:lang w:val="ru-RU"/>
        </w:rPr>
        <w:br/>
      </w:r>
      <w:r w:rsidRPr="008D0B05">
        <w:rPr>
          <w:szCs w:val="26"/>
          <w:lang w:val="ru-RU"/>
        </w:rPr>
        <w:br/>
      </w:r>
      <w:bookmarkStart w:id="13" w:name="_Toc115521336"/>
      <w:bookmarkEnd w:id="12"/>
      <w:r w:rsidRPr="008D0B05">
        <w:rPr>
          <w:szCs w:val="26"/>
          <w:lang w:val="ru-RU"/>
        </w:rPr>
        <w:t xml:space="preserve">Критерии защиты в полосе 1544–1545 МГц для услуг ретрансляторов </w:t>
      </w:r>
      <w:r w:rsidRPr="008D0B05">
        <w:rPr>
          <w:caps/>
          <w:szCs w:val="26"/>
          <w:lang w:val="ru-RU"/>
        </w:rPr>
        <w:t>(SARR) 406 МГ</w:t>
      </w:r>
      <w:r w:rsidRPr="008D0B05">
        <w:rPr>
          <w:szCs w:val="26"/>
          <w:lang w:val="ru-RU"/>
        </w:rPr>
        <w:t>ц спутника Сарсат от помех со стороны широкополосных излучателей</w:t>
      </w:r>
    </w:p>
    <w:p w:rsidR="009B1906" w:rsidRPr="008D0B05" w:rsidRDefault="009B1906" w:rsidP="009B1906">
      <w:pPr>
        <w:pStyle w:val="Heading1"/>
        <w:rPr>
          <w:lang w:val="ru-RU"/>
        </w:rPr>
      </w:pPr>
      <w:r w:rsidRPr="008D0B05">
        <w:rPr>
          <w:lang w:val="ru-RU"/>
        </w:rPr>
        <w:t>1</w:t>
      </w:r>
      <w:r w:rsidRPr="008D0B05">
        <w:rPr>
          <w:lang w:val="ru-RU"/>
        </w:rPr>
        <w:tab/>
        <w:t>Общие положения</w:t>
      </w:r>
    </w:p>
    <w:bookmarkEnd w:id="13"/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Канал SARR 406 МГц спутника Сарсат занимает приблизительно 100 кГц спектра, начиная с частоты на 120 кГц выше и ниже несущей 1544,5 МГц. Однако вследствие допустимого ухода частоты, вызванного старением спутникового передатчика, доп</w:t>
      </w:r>
      <w:r>
        <w:rPr>
          <w:lang w:val="ru-RU"/>
        </w:rPr>
        <w:t>п</w:t>
      </w:r>
      <w:r w:rsidRPr="008D0B05">
        <w:rPr>
          <w:lang w:val="ru-RU"/>
        </w:rPr>
        <w:t>леровского сдвига частоты, вызванного движением спутника Сарсат, минимальной защитной полосы и расширения сигнала, вызванного процессом модуляции, терминалам LEOLUT для обработки канала SARR 406 МГц требуется 220 кГц спектра, начиная с частоты на 80 кГц выше и ниже несущей 1544,5 МГц.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Частота, занимаемая каналом SARR, изображена на рисунке 2.</w:t>
      </w:r>
    </w:p>
    <w:p w:rsidR="009B1906" w:rsidRPr="008D0B05" w:rsidRDefault="009B1906" w:rsidP="009B1906">
      <w:pPr>
        <w:pStyle w:val="FigureNo"/>
        <w:rPr>
          <w:lang w:val="ru-RU"/>
        </w:rPr>
      </w:pPr>
      <w:r w:rsidRPr="008D0B05">
        <w:rPr>
          <w:lang w:val="ru-RU"/>
        </w:rPr>
        <w:t>РИСУНОК 2</w:t>
      </w:r>
    </w:p>
    <w:p w:rsidR="009B1906" w:rsidRPr="009B1906" w:rsidRDefault="009B1906" w:rsidP="009B1906">
      <w:pPr>
        <w:pStyle w:val="Figuretitle"/>
        <w:keepLines/>
        <w:rPr>
          <w:lang w:val="ru-RU"/>
        </w:rPr>
      </w:pPr>
      <w:r w:rsidRPr="009B1906">
        <w:rPr>
          <w:lang w:val="ru-RU"/>
        </w:rPr>
        <w:t>Спектр сигнала на линии вниз 1544,5 МГц спутника Сарсат</w:t>
      </w:r>
    </w:p>
    <w:bookmarkStart w:id="14" w:name="_Toc115521337"/>
    <w:p w:rsidR="009B1906" w:rsidRDefault="009B1906" w:rsidP="00833F98">
      <w:pPr>
        <w:pStyle w:val="Figure"/>
        <w:rPr>
          <w:lang w:val="ru-RU"/>
        </w:rPr>
      </w:pPr>
      <w:r>
        <w:object w:dxaOrig="7875" w:dyaOrig="4874">
          <v:shape id="_x0000_i1026" type="#_x0000_t75" style="width:394pt;height:244pt" o:ole="">
            <v:imagedata r:id="rId17" o:title=""/>
          </v:shape>
          <o:OLEObject Type="Embed" ProgID="CorelDRAW.Graphic.14" ShapeID="_x0000_i1026" DrawAspect="Content" ObjectID="_1361690670" r:id="rId18"/>
        </w:object>
      </w:r>
    </w:p>
    <w:p w:rsidR="009B1906" w:rsidRPr="008D0B05" w:rsidRDefault="009B1906" w:rsidP="00833F98">
      <w:pPr>
        <w:pStyle w:val="Heading1"/>
        <w:rPr>
          <w:lang w:val="ru-RU"/>
        </w:rPr>
      </w:pPr>
      <w:r w:rsidRPr="008D0B05">
        <w:rPr>
          <w:lang w:val="ru-RU"/>
        </w:rPr>
        <w:t>2</w:t>
      </w:r>
      <w:r w:rsidRPr="008D0B05">
        <w:rPr>
          <w:lang w:val="ru-RU"/>
        </w:rPr>
        <w:tab/>
        <w:t xml:space="preserve">Минимальные допустимые характеристики для обнаружения сигналов EPIRB, </w:t>
      </w:r>
      <w:r w:rsidRPr="00FD2C57">
        <w:rPr>
          <w:lang w:val="ru-RU"/>
        </w:rPr>
        <w:t>транслируемых</w:t>
      </w:r>
      <w:r w:rsidRPr="008D0B05">
        <w:rPr>
          <w:lang w:val="ru-RU"/>
        </w:rPr>
        <w:t xml:space="preserve"> через канал SARR 406 МГц спутника САРСАТ</w:t>
      </w:r>
      <w:bookmarkEnd w:id="14"/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Для надежного обнаружения и определения местонахождения маяков, передающих сигналы бедствия в диапазоне 406 МГц с использованием ретрансляторов 406 МГц спутника Сарсат, показатель BER канала SARR 406 МГц спутника Сарсат не должен превышать 5 </w:t>
      </w:r>
      <w:r w:rsidRPr="008D0B05">
        <w:rPr>
          <w:lang w:val="ru-RU"/>
        </w:rPr>
        <w:sym w:font="Symbol" w:char="F0B4"/>
      </w:r>
      <w:r w:rsidRPr="008D0B05">
        <w:rPr>
          <w:lang w:val="ru-RU"/>
        </w:rPr>
        <w:t> 10</w:t>
      </w:r>
      <w:r w:rsidRPr="008D0B05">
        <w:rPr>
          <w:vertAlign w:val="superscript"/>
          <w:lang w:val="ru-RU"/>
        </w:rPr>
        <w:t>−5</w:t>
      </w:r>
      <w:r w:rsidRPr="008D0B05">
        <w:rPr>
          <w:lang w:val="ru-RU"/>
        </w:rPr>
        <w:t>.</w:t>
      </w:r>
    </w:p>
    <w:p w:rsidR="009B1906" w:rsidRPr="008D0B05" w:rsidRDefault="009B1906" w:rsidP="009B1906">
      <w:pPr>
        <w:pStyle w:val="Heading1"/>
        <w:rPr>
          <w:lang w:val="ru-RU"/>
        </w:rPr>
      </w:pPr>
      <w:bookmarkStart w:id="15" w:name="_Toc115521338"/>
      <w:r w:rsidRPr="008D0B05">
        <w:rPr>
          <w:caps/>
          <w:lang w:val="ru-RU"/>
        </w:rPr>
        <w:t>3</w:t>
      </w:r>
      <w:r w:rsidRPr="008D0B05">
        <w:rPr>
          <w:caps/>
          <w:lang w:val="ru-RU"/>
        </w:rPr>
        <w:tab/>
      </w:r>
      <w:r w:rsidRPr="008D0B05">
        <w:rPr>
          <w:lang w:val="ru-RU"/>
        </w:rPr>
        <w:t>Анализ с.п.п.м. помех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Величина BER в канале связи выводится из отношения энергии, содержащейся в каждом бите данных,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 xml:space="preserve">, к плотности шума. Общая плотность шума состоит из шума, создаваемого оборудованием Коспас-Сарсат, 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, и шума, определяемого помехами от других систем,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>
        <w:rPr>
          <w:lang w:val="ru-RU"/>
        </w:rPr>
        <w:t>. На </w:t>
      </w:r>
      <w:r w:rsidRPr="008D0B05">
        <w:rPr>
          <w:lang w:val="ru-RU"/>
        </w:rPr>
        <w:t>рисунке 3 показан канал SARR 406 МГц с помехами на линии вниз.</w:t>
      </w:r>
    </w:p>
    <w:bookmarkEnd w:id="15"/>
    <w:p w:rsidR="009B1906" w:rsidRPr="008D0B05" w:rsidRDefault="009B1906" w:rsidP="009B1906">
      <w:pPr>
        <w:pStyle w:val="FigureNo"/>
        <w:rPr>
          <w:lang w:val="ru-RU"/>
        </w:rPr>
      </w:pPr>
      <w:r w:rsidRPr="008D0B05">
        <w:rPr>
          <w:lang w:val="ru-RU"/>
        </w:rPr>
        <w:lastRenderedPageBreak/>
        <w:t>РИСУНОК 3</w:t>
      </w:r>
    </w:p>
    <w:p w:rsidR="009B1906" w:rsidRPr="009B1906" w:rsidRDefault="009B1906" w:rsidP="009B1906">
      <w:pPr>
        <w:pStyle w:val="Figuretitle"/>
        <w:rPr>
          <w:lang w:val="ru-RU"/>
        </w:rPr>
      </w:pPr>
      <w:r w:rsidRPr="009B1906">
        <w:rPr>
          <w:lang w:val="ru-RU"/>
        </w:rPr>
        <w:t xml:space="preserve">Ретранслятор </w:t>
      </w:r>
      <w:r w:rsidRPr="008D0B05">
        <w:t>SARR</w:t>
      </w:r>
      <w:r w:rsidRPr="009B1906">
        <w:rPr>
          <w:lang w:val="ru-RU"/>
        </w:rPr>
        <w:t xml:space="preserve"> 406 МГц спутника Сарсат с помехами на линии вниз</w:t>
      </w:r>
    </w:p>
    <w:p w:rsidR="009B1906" w:rsidRPr="008D0B05" w:rsidRDefault="00FD2C57" w:rsidP="00833F98">
      <w:pPr>
        <w:pStyle w:val="Figure"/>
        <w:rPr>
          <w:b/>
          <w:lang w:val="ru-RU"/>
        </w:rPr>
      </w:pPr>
      <w:r>
        <w:object w:dxaOrig="12110" w:dyaOrig="6412">
          <v:shape id="_x0000_i1027" type="#_x0000_t75" style="width:465.5pt;height:247pt" o:ole="" o:allowoverlap="f">
            <v:imagedata r:id="rId19" o:title=""/>
          </v:shape>
          <o:OLEObject Type="Embed" ProgID="CorelDRAW.Graphic.14" ShapeID="_x0000_i1027" DrawAspect="Content" ObjectID="_1361690671" r:id="rId20"/>
        </w:object>
      </w:r>
    </w:p>
    <w:p w:rsidR="009B1906" w:rsidRPr="008D0B05" w:rsidRDefault="009B1906" w:rsidP="00FD2C57">
      <w:pPr>
        <w:rPr>
          <w:lang w:val="ru-RU"/>
        </w:rPr>
      </w:pPr>
      <w:r w:rsidRPr="008D0B05">
        <w:rPr>
          <w:lang w:val="ru-RU"/>
        </w:rPr>
        <w:t>Чтобы достичь величины BER на уровне 5 </w:t>
      </w:r>
      <w:r w:rsidRPr="008D0B05">
        <w:rPr>
          <w:lang w:val="ru-RU"/>
        </w:rPr>
        <w:sym w:font="Symbol" w:char="F0B4"/>
      </w:r>
      <w:r w:rsidRPr="008D0B05">
        <w:rPr>
          <w:lang w:val="ru-RU"/>
        </w:rPr>
        <w:t> 10</w:t>
      </w:r>
      <w:r w:rsidRPr="008D0B05">
        <w:rPr>
          <w:vertAlign w:val="superscript"/>
          <w:lang w:val="ru-RU"/>
        </w:rPr>
        <w:t>−5</w:t>
      </w:r>
      <w:r w:rsidRPr="008D0B05">
        <w:rPr>
          <w:lang w:val="ru-RU"/>
        </w:rPr>
        <w:t>, отношение энергии на бит к плотности шума и помех (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)) в демодуляторе LEOLUT должно равняться или превышать 8,8 дБ. Данный анализ определяет максимальный уровень широкополосной шумоподобной помехи, указываемой в качестве с.п.п.м., отнесенной </w:t>
      </w:r>
      <w:proofErr w:type="gramStart"/>
      <w:r w:rsidRPr="008D0B05">
        <w:rPr>
          <w:lang w:val="ru-RU"/>
        </w:rPr>
        <w:t>ко</w:t>
      </w:r>
      <w:proofErr w:type="gramEnd"/>
      <w:r w:rsidRPr="008D0B05">
        <w:rPr>
          <w:lang w:val="ru-RU"/>
        </w:rPr>
        <w:t xml:space="preserve"> входу антенны LEOLUT, которая может быть согласована без снижения общей величины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 на линии ниже 8,8 дБ.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Канал SARR 406 МГц на рисунке 1 модулируется по фазе на несущей 1544,5 МГц линии вниз с целью обнаружения и обработки терминалами LEOLUT. Усиление антенны и шумовая температура системы для терминала LEOLUT составляют 26,7 дБ и 173,8 K, соответственно. 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Сигнал от EPIRB приходит на космический аппарат под углом места 5°. Если внешние источники помех отсутствуют, общее отношение 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составляет 38,8 дБ</w:t>
      </w:r>
      <w:r w:rsidRPr="008D0B05">
        <w:rPr>
          <w:lang w:val="ru-RU"/>
        </w:rPr>
        <w:noBreakHyphen/>
        <w:t>Гц, которое соответствует отношению 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, равному 12,8 дБ. Учет потерь на аппаратную реализацию и на демодуляцию данных от маяка, а также выигрыша от обработки приводит к эффективному отношению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, равному 10,8 дБ. Поскольку в канале для обеспечения надежного соответствия минимальным характеристикам требуется общее отношение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 не менее 8,8 дБ, не может быть допущена любая широкополосная помеха на линии вниз, которая снижает общее отношение несущей к плотности шума и помех,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lang w:val="ru-RU"/>
        </w:rPr>
        <w:t>, более чем на 2,0 дБ.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Общее отношение 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при отсутствии помех составляет 38,8 дБ</w:t>
      </w:r>
      <w:r w:rsidRPr="008D0B05">
        <w:rPr>
          <w:lang w:val="ru-RU"/>
        </w:rPr>
        <w:noBreakHyphen/>
        <w:t>Гц, поэтому широкополосная шумоподобная помеха на линии вниз, снижающая его на 2,0 дБ, приведет к величине отношения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lang w:val="ru-RU"/>
        </w:rPr>
        <w:t xml:space="preserve">, равной: </w:t>
      </w:r>
    </w:p>
    <w:p w:rsidR="009B1906" w:rsidRPr="008D0B05" w:rsidRDefault="009B1906" w:rsidP="009B1906">
      <w:pPr>
        <w:pStyle w:val="Equation"/>
        <w:tabs>
          <w:tab w:val="clear" w:pos="794"/>
          <w:tab w:val="clear" w:pos="4820"/>
          <w:tab w:val="center" w:pos="4536"/>
        </w:tabs>
        <w:rPr>
          <w:lang w:val="ru-RU"/>
        </w:rPr>
      </w:pPr>
      <w:r>
        <w:rPr>
          <w:lang w:val="ru-RU"/>
        </w:rPr>
        <w:tab/>
      </w:r>
      <w:r w:rsidRPr="008D0B05">
        <w:rPr>
          <w:lang w:val="ru-RU"/>
        </w:rPr>
        <w:t>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>
        <w:rPr>
          <w:lang w:val="ru-RU"/>
        </w:rPr>
        <w:t xml:space="preserve">  </w:t>
      </w:r>
      <w:r w:rsidRPr="008D0B05">
        <w:rPr>
          <w:lang w:val="ru-RU"/>
        </w:rPr>
        <w:t>=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lang w:val="ru-RU"/>
        </w:rPr>
        <w:t xml:space="preserve"> – 2,0 дБ</w:t>
      </w:r>
    </w:p>
    <w:p w:rsidR="009B1906" w:rsidRPr="008D0B05" w:rsidRDefault="009B1906" w:rsidP="009B1906">
      <w:pPr>
        <w:pStyle w:val="Equation"/>
        <w:tabs>
          <w:tab w:val="clear" w:pos="794"/>
          <w:tab w:val="clear" w:pos="4820"/>
          <w:tab w:val="left" w:pos="4395"/>
        </w:tabs>
        <w:rPr>
          <w:lang w:val="ru-RU"/>
        </w:rPr>
      </w:pPr>
      <w:r>
        <w:rPr>
          <w:lang w:val="ru-RU"/>
        </w:rPr>
        <w:tab/>
      </w:r>
      <w:r w:rsidRPr="008D0B05">
        <w:rPr>
          <w:lang w:val="ru-RU"/>
        </w:rPr>
        <w:t>= 38,8 дБ</w:t>
      </w:r>
      <w:r w:rsidRPr="008D0B05">
        <w:rPr>
          <w:lang w:val="ru-RU"/>
        </w:rPr>
        <w:noBreakHyphen/>
        <w:t>Гц – 2,0 дБ</w:t>
      </w:r>
    </w:p>
    <w:p w:rsidR="009B1906" w:rsidRPr="008D0B05" w:rsidRDefault="009B1906" w:rsidP="009B1906">
      <w:pPr>
        <w:pStyle w:val="Equation"/>
        <w:tabs>
          <w:tab w:val="clear" w:pos="794"/>
          <w:tab w:val="clear" w:pos="4820"/>
          <w:tab w:val="left" w:pos="4395"/>
        </w:tabs>
        <w:rPr>
          <w:lang w:val="ru-RU"/>
        </w:rPr>
      </w:pPr>
      <w:r w:rsidRPr="008D0B05">
        <w:rPr>
          <w:lang w:val="ru-RU"/>
        </w:rPr>
        <w:tab/>
        <w:t>= 36,8 дБ</w:t>
      </w:r>
      <w:r w:rsidRPr="008D0B05">
        <w:rPr>
          <w:lang w:val="ru-RU"/>
        </w:rPr>
        <w:noBreakHyphen/>
        <w:t>Гц.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>Отношение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lang w:val="ru-RU"/>
        </w:rPr>
        <w:t xml:space="preserve"> может быть вычислено из отношений несущей к плотности шума и помех на линии вверх и линии вниз, как указано ниже:</w:t>
      </w:r>
    </w:p>
    <w:p w:rsidR="009B1906" w:rsidRPr="00545FCA" w:rsidRDefault="009B1906" w:rsidP="009B1906">
      <w:pPr>
        <w:pStyle w:val="Equation"/>
        <w:tabs>
          <w:tab w:val="clear" w:pos="794"/>
        </w:tabs>
        <w:rPr>
          <w:lang w:val="en-US"/>
        </w:rPr>
      </w:pPr>
      <w:r w:rsidRPr="008D0B05">
        <w:rPr>
          <w:lang w:val="ru-RU"/>
        </w:rPr>
        <w:tab/>
      </w:r>
      <w:r w:rsidRPr="00545FCA">
        <w:rPr>
          <w:lang w:val="en-US"/>
        </w:rPr>
        <w:t>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 + 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545FCA">
        <w:rPr>
          <w:lang w:val="en-US"/>
        </w:rPr>
        <w:t xml:space="preserve"> = ((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 + 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545FCA">
        <w:rPr>
          <w:vertAlign w:val="superscript"/>
          <w:lang w:val="en-US"/>
        </w:rPr>
        <w:t>–1</w:t>
      </w:r>
      <w:r w:rsidRPr="008D0B05">
        <w:rPr>
          <w:iCs/>
          <w:vertAlign w:val="subscript"/>
          <w:lang w:val="ru-RU"/>
        </w:rPr>
        <w:sym w:font="Symbol" w:char="F0AD"/>
      </w:r>
      <w:r w:rsidRPr="00545FCA">
        <w:rPr>
          <w:i/>
          <w:iCs/>
          <w:lang w:val="en-US"/>
        </w:rPr>
        <w:t xml:space="preserve"> </w:t>
      </w:r>
      <w:r w:rsidRPr="00545FCA">
        <w:rPr>
          <w:lang w:val="en-US"/>
        </w:rPr>
        <w:t>+ 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 + 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545FCA">
        <w:rPr>
          <w:vertAlign w:val="superscript"/>
          <w:lang w:val="en-US"/>
        </w:rPr>
        <w:t>–1</w:t>
      </w:r>
      <w:r w:rsidRPr="008D0B05">
        <w:rPr>
          <w:iCs/>
          <w:vertAlign w:val="subscript"/>
          <w:lang w:val="ru-RU"/>
        </w:rPr>
        <w:sym w:font="Symbol" w:char="F0AF"/>
      </w:r>
      <w:r w:rsidRPr="00545FCA">
        <w:rPr>
          <w:lang w:val="en-US"/>
        </w:rPr>
        <w:t>)</w:t>
      </w:r>
      <w:r w:rsidRPr="00545FCA">
        <w:rPr>
          <w:vertAlign w:val="superscript"/>
          <w:lang w:val="en-US"/>
        </w:rPr>
        <w:t>–1</w:t>
      </w:r>
      <w:r w:rsidRPr="00545FCA">
        <w:rPr>
          <w:lang w:val="en-US"/>
        </w:rPr>
        <w:t>.</w:t>
      </w:r>
    </w:p>
    <w:p w:rsidR="009B1906" w:rsidRDefault="009B1906" w:rsidP="00833F98">
      <w:pPr>
        <w:keepNext/>
        <w:keepLines/>
        <w:rPr>
          <w:lang w:val="ru-RU"/>
        </w:rPr>
      </w:pPr>
      <w:r w:rsidRPr="008D0B05">
        <w:rPr>
          <w:lang w:val="ru-RU"/>
        </w:rPr>
        <w:lastRenderedPageBreak/>
        <w:t>Поскольку данный анализ касается только помех на линии вниз, указанное выше уравнение упрощается до:</w:t>
      </w:r>
    </w:p>
    <w:p w:rsidR="009B1906" w:rsidRPr="00545FCA" w:rsidRDefault="009B1906" w:rsidP="00833F98">
      <w:pPr>
        <w:pStyle w:val="Equation"/>
        <w:keepNext/>
        <w:keepLines/>
        <w:tabs>
          <w:tab w:val="clear" w:pos="794"/>
        </w:tabs>
        <w:rPr>
          <w:lang w:val="en-US"/>
        </w:rPr>
      </w:pPr>
      <w:r w:rsidRPr="008D0B05">
        <w:rPr>
          <w:lang w:val="ru-RU"/>
        </w:rPr>
        <w:tab/>
      </w:r>
      <w:r w:rsidRPr="00545FCA">
        <w:rPr>
          <w:lang w:val="en-US"/>
        </w:rPr>
        <w:t>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 + 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545FCA">
        <w:rPr>
          <w:lang w:val="en-US"/>
        </w:rPr>
        <w:t xml:space="preserve"> = ((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</w:t>
      </w:r>
      <w:r w:rsidRPr="00545FCA">
        <w:rPr>
          <w:vertAlign w:val="superscript"/>
          <w:lang w:val="en-US"/>
        </w:rPr>
        <w:t>–1</w:t>
      </w:r>
      <w:r w:rsidRPr="008D0B05">
        <w:rPr>
          <w:iCs/>
          <w:vertAlign w:val="subscript"/>
          <w:lang w:val="ru-RU"/>
        </w:rPr>
        <w:sym w:font="Symbol" w:char="F0AD"/>
      </w:r>
      <w:r w:rsidRPr="00545FCA">
        <w:rPr>
          <w:i/>
          <w:iCs/>
          <w:lang w:val="en-US"/>
        </w:rPr>
        <w:t xml:space="preserve"> </w:t>
      </w:r>
      <w:r w:rsidRPr="00545FCA">
        <w:rPr>
          <w:lang w:val="en-US"/>
        </w:rPr>
        <w:t>+ 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 + 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545FCA">
        <w:rPr>
          <w:vertAlign w:val="superscript"/>
          <w:lang w:val="en-US"/>
        </w:rPr>
        <w:t>–1</w:t>
      </w:r>
      <w:r w:rsidRPr="008D0B05">
        <w:rPr>
          <w:iCs/>
          <w:vertAlign w:val="subscript"/>
          <w:lang w:val="ru-RU"/>
        </w:rPr>
        <w:sym w:font="Symbol" w:char="F0AF"/>
      </w:r>
      <w:r w:rsidRPr="00545FCA">
        <w:rPr>
          <w:lang w:val="en-US"/>
        </w:rPr>
        <w:t>)</w:t>
      </w:r>
      <w:r w:rsidRPr="00545FCA">
        <w:rPr>
          <w:vertAlign w:val="superscript"/>
          <w:lang w:val="en-US"/>
        </w:rPr>
        <w:t>–1</w:t>
      </w:r>
      <w:r w:rsidRPr="00545FCA">
        <w:rPr>
          <w:lang w:val="en-US"/>
        </w:rPr>
        <w:t>.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>Подстановка 36,8 дБ</w:t>
      </w:r>
      <w:r w:rsidRPr="008D0B05">
        <w:rPr>
          <w:lang w:val="ru-RU"/>
        </w:rPr>
        <w:noBreakHyphen/>
        <w:t>Гц вместо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lang w:val="ru-RU"/>
        </w:rPr>
        <w:t xml:space="preserve"> и 41,3 дБ</w:t>
      </w:r>
      <w:r w:rsidRPr="008D0B05">
        <w:rPr>
          <w:lang w:val="ru-RU"/>
        </w:rPr>
        <w:noBreakHyphen/>
        <w:t>Гц вместо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D"/>
      </w:r>
      <w:r w:rsidRPr="008D0B05">
        <w:rPr>
          <w:lang w:val="ru-RU"/>
        </w:rPr>
        <w:t xml:space="preserve"> дает величину отношения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lang w:val="ru-RU"/>
        </w:rPr>
        <w:t>, равную 38,7 дБ</w:t>
      </w:r>
      <w:r w:rsidRPr="008D0B05">
        <w:rPr>
          <w:lang w:val="ru-RU"/>
        </w:rPr>
        <w:noBreakHyphen/>
        <w:t>Гц (см. ниже):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vertAlign w:val="superscript"/>
          <w:lang w:val="ru-RU"/>
        </w:rPr>
      </w:pPr>
      <w:r w:rsidRPr="008D0B05">
        <w:rPr>
          <w:lang w:val="ru-RU"/>
        </w:rPr>
        <w:tab/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bookmarkStart w:id="16" w:name="OLE_LINK1"/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lang w:val="ru-RU"/>
        </w:rPr>
        <w:t xml:space="preserve"> </w:t>
      </w:r>
      <w:bookmarkEnd w:id="16"/>
      <w:r w:rsidRPr="008D0B05">
        <w:rPr>
          <w:lang w:val="ru-RU"/>
        </w:rPr>
        <w:t>= ((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vertAlign w:val="superscript"/>
          <w:lang w:val="ru-RU"/>
        </w:rPr>
        <w:t>–1</w:t>
      </w:r>
      <w:r w:rsidRPr="008D0B05">
        <w:rPr>
          <w:lang w:val="ru-RU"/>
        </w:rPr>
        <w:t> –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D"/>
      </w:r>
      <w:r w:rsidRPr="008D0B05">
        <w:rPr>
          <w:vertAlign w:val="superscript"/>
          <w:lang w:val="ru-RU"/>
        </w:rPr>
        <w:t>–1</w:t>
      </w:r>
      <w:r w:rsidRPr="008D0B05">
        <w:rPr>
          <w:lang w:val="ru-RU"/>
        </w:rPr>
        <w:t>)</w:t>
      </w:r>
      <w:r w:rsidRPr="008D0B05">
        <w:rPr>
          <w:vertAlign w:val="superscript"/>
          <w:lang w:val="ru-RU"/>
        </w:rPr>
        <w:t>–1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>или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lang w:val="ru-RU"/>
        </w:rPr>
      </w:pPr>
      <w:r w:rsidRPr="008D0B05">
        <w:rPr>
          <w:lang w:val="ru-RU"/>
        </w:rPr>
        <w:tab/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lang w:val="ru-RU"/>
        </w:rPr>
        <w:t xml:space="preserve"> = 10 log ((10</w:t>
      </w:r>
      <w:r w:rsidRPr="008D0B05">
        <w:rPr>
          <w:vertAlign w:val="superscript"/>
          <w:lang w:val="ru-RU"/>
        </w:rPr>
        <w:t xml:space="preserve">–36,8/10 </w:t>
      </w:r>
      <w:r w:rsidRPr="008D0B05">
        <w:rPr>
          <w:lang w:val="ru-RU"/>
        </w:rPr>
        <w:t>– 10</w:t>
      </w:r>
      <w:r w:rsidRPr="008D0B05">
        <w:rPr>
          <w:vertAlign w:val="superscript"/>
          <w:lang w:val="ru-RU"/>
        </w:rPr>
        <w:t>–41,3/10</w:t>
      </w:r>
      <w:r w:rsidRPr="008D0B05">
        <w:rPr>
          <w:lang w:val="ru-RU"/>
        </w:rPr>
        <w:t>)</w:t>
      </w:r>
      <w:r w:rsidRPr="008D0B05">
        <w:rPr>
          <w:vertAlign w:val="superscript"/>
          <w:lang w:val="ru-RU"/>
        </w:rPr>
        <w:t>–1</w:t>
      </w:r>
      <w:r w:rsidRPr="008D0B05">
        <w:rPr>
          <w:lang w:val="ru-RU"/>
        </w:rPr>
        <w:t>),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>в таком случае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lang w:val="ru-RU"/>
        </w:rPr>
      </w:pPr>
      <w:r w:rsidRPr="008D0B05">
        <w:rPr>
          <w:lang w:val="ru-RU"/>
        </w:rPr>
        <w:tab/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>= 38,7 дБ</w:t>
      </w:r>
      <w:r w:rsidRPr="008D0B05">
        <w:rPr>
          <w:lang w:val="ru-RU"/>
        </w:rPr>
        <w:noBreakHyphen/>
        <w:t>Гц.</w:t>
      </w:r>
    </w:p>
    <w:p w:rsidR="009B1906" w:rsidRPr="008D0B05" w:rsidRDefault="009B1906" w:rsidP="009B1906">
      <w:pPr>
        <w:rPr>
          <w:spacing w:val="-4"/>
          <w:szCs w:val="22"/>
          <w:lang w:val="ru-RU"/>
        </w:rPr>
      </w:pPr>
      <w:r w:rsidRPr="008D0B05">
        <w:rPr>
          <w:spacing w:val="-4"/>
          <w:szCs w:val="22"/>
          <w:lang w:val="ru-RU"/>
        </w:rPr>
        <w:t xml:space="preserve">Спектральная плотность мощности шума на линии вниз без помех, отнесенная ко входу МШУ, составляет </w:t>
      </w:r>
      <w:r w:rsidRPr="008D0B05">
        <w:rPr>
          <w:i/>
          <w:iCs/>
          <w:spacing w:val="-4"/>
          <w:szCs w:val="22"/>
          <w:lang w:val="ru-RU"/>
        </w:rPr>
        <w:t>N</w:t>
      </w:r>
      <w:r w:rsidRPr="008D0B05">
        <w:rPr>
          <w:spacing w:val="-4"/>
          <w:szCs w:val="22"/>
          <w:vertAlign w:val="subscript"/>
          <w:lang w:val="ru-RU"/>
        </w:rPr>
        <w:t>0</w:t>
      </w:r>
      <w:r w:rsidRPr="008D0B05">
        <w:rPr>
          <w:spacing w:val="-4"/>
          <w:szCs w:val="22"/>
          <w:lang w:val="ru-RU"/>
        </w:rPr>
        <w:t> = </w:t>
      </w:r>
      <w:r w:rsidRPr="008D0B05">
        <w:rPr>
          <w:i/>
          <w:iCs/>
          <w:spacing w:val="-4"/>
          <w:szCs w:val="22"/>
          <w:lang w:val="ru-RU"/>
        </w:rPr>
        <w:t>k T</w:t>
      </w:r>
      <w:r w:rsidRPr="008D0B05">
        <w:rPr>
          <w:spacing w:val="-4"/>
          <w:szCs w:val="22"/>
          <w:lang w:val="ru-RU"/>
        </w:rPr>
        <w:t xml:space="preserve">, где </w:t>
      </w:r>
      <w:r w:rsidRPr="008D0B05">
        <w:rPr>
          <w:i/>
          <w:iCs/>
          <w:spacing w:val="-4"/>
          <w:szCs w:val="22"/>
          <w:lang w:val="ru-RU"/>
        </w:rPr>
        <w:t>k</w:t>
      </w:r>
      <w:r w:rsidRPr="008D0B05">
        <w:rPr>
          <w:spacing w:val="-4"/>
          <w:szCs w:val="22"/>
          <w:lang w:val="ru-RU"/>
        </w:rPr>
        <w:t xml:space="preserve"> – постоянная Больцмана. Следовательно, </w:t>
      </w:r>
      <w:r w:rsidRPr="008D0B05">
        <w:rPr>
          <w:i/>
          <w:iCs/>
          <w:spacing w:val="-4"/>
          <w:szCs w:val="22"/>
          <w:lang w:val="ru-RU"/>
        </w:rPr>
        <w:t>N</w:t>
      </w:r>
      <w:r w:rsidRPr="008D0B05">
        <w:rPr>
          <w:spacing w:val="-4"/>
          <w:szCs w:val="22"/>
          <w:vertAlign w:val="subscript"/>
          <w:lang w:val="ru-RU"/>
        </w:rPr>
        <w:t>0 </w:t>
      </w:r>
      <w:r w:rsidRPr="008D0B05">
        <w:rPr>
          <w:spacing w:val="-4"/>
          <w:szCs w:val="22"/>
          <w:lang w:val="ru-RU"/>
        </w:rPr>
        <w:t>= –228,6 + 22,4 = –206,2 дБ(Вт/Гц).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Поскольку отношение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>равно 42,5 дБ и 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>равно –206,2 дБ(Вт/Гц), величина C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vertAlign w:val="subscript"/>
          <w:lang w:val="ru-RU"/>
        </w:rPr>
        <w:t xml:space="preserve"> </w:t>
      </w:r>
      <w:r w:rsidRPr="008D0B05">
        <w:rPr>
          <w:lang w:val="ru-RU"/>
        </w:rPr>
        <w:t>составляет −163,7</w:t>
      </w:r>
      <w:r w:rsidRPr="008D0B05">
        <w:rPr>
          <w:i/>
          <w:lang w:val="ru-RU"/>
        </w:rPr>
        <w:t> </w:t>
      </w:r>
      <w:r w:rsidRPr="008D0B05">
        <w:rPr>
          <w:iCs/>
          <w:lang w:val="ru-RU"/>
        </w:rPr>
        <w:t>дБВт</w:t>
      </w:r>
      <w:r w:rsidRPr="008D0B05">
        <w:rPr>
          <w:lang w:val="ru-RU"/>
        </w:rPr>
        <w:t>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Максимальная допустимая спектральная плотность мощности помех на линии вниз от совокупности всех источников помех,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(max), измеренная на входе МШУ приемника LEOLUT в полосе 1544−1545 МГц, используемой на линии вниз канала SARR 406 МГц, определяется следующим образом:</w:t>
      </w:r>
    </w:p>
    <w:p w:rsidR="009B1906" w:rsidRPr="00545FCA" w:rsidRDefault="009B1906" w:rsidP="009B1906">
      <w:pPr>
        <w:pStyle w:val="Equation"/>
        <w:tabs>
          <w:tab w:val="clear" w:pos="794"/>
        </w:tabs>
        <w:rPr>
          <w:lang w:val="en-US"/>
        </w:rPr>
      </w:pPr>
      <w:r>
        <w:rPr>
          <w:lang w:val="ru-RU"/>
        </w:rPr>
        <w:tab/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(max) = 10 log (10</w:t>
      </w:r>
      <w:r w:rsidRPr="00545FCA">
        <w:rPr>
          <w:vertAlign w:val="superscript"/>
          <w:lang w:val="en-US"/>
        </w:rPr>
        <w:t>(</w:t>
      </w:r>
      <w:r w:rsidRPr="00545FCA">
        <w:rPr>
          <w:i/>
          <w:iCs/>
          <w:vertAlign w:val="superscript"/>
          <w:lang w:val="en-US"/>
        </w:rPr>
        <w:t>C</w:t>
      </w:r>
      <w:r w:rsidRPr="008D0B05">
        <w:rPr>
          <w:iCs/>
          <w:position w:val="-4"/>
          <w:szCs w:val="24"/>
          <w:vertAlign w:val="superscript"/>
          <w:lang w:val="ru-RU"/>
        </w:rPr>
        <w:sym w:font="Symbol" w:char="F0AF"/>
      </w:r>
      <w:r w:rsidRPr="00545FCA">
        <w:rPr>
          <w:vertAlign w:val="superscript"/>
          <w:lang w:val="en-US"/>
        </w:rPr>
        <w:t>–(</w:t>
      </w:r>
      <w:r w:rsidRPr="00545FCA">
        <w:rPr>
          <w:i/>
          <w:iCs/>
          <w:vertAlign w:val="superscript"/>
          <w:lang w:val="en-US"/>
        </w:rPr>
        <w:t>C</w:t>
      </w:r>
      <w:r w:rsidRPr="00545FCA">
        <w:rPr>
          <w:vertAlign w:val="superscript"/>
          <w:lang w:val="en-US"/>
        </w:rPr>
        <w:t>/(</w:t>
      </w:r>
      <w:r w:rsidRPr="00545FCA">
        <w:rPr>
          <w:i/>
          <w:iCs/>
          <w:vertAlign w:val="superscript"/>
          <w:lang w:val="en-US"/>
        </w:rPr>
        <w:t>N</w:t>
      </w:r>
      <w:r w:rsidRPr="00545FCA">
        <w:rPr>
          <w:sz w:val="16"/>
          <w:szCs w:val="16"/>
          <w:vertAlign w:val="superscript"/>
          <w:lang w:val="en-US"/>
        </w:rPr>
        <w:t>0</w:t>
      </w:r>
      <w:r w:rsidRPr="00545FCA">
        <w:rPr>
          <w:vertAlign w:val="superscript"/>
          <w:lang w:val="en-US"/>
        </w:rPr>
        <w:t xml:space="preserve"> + </w:t>
      </w:r>
      <w:r w:rsidRPr="00545FCA">
        <w:rPr>
          <w:i/>
          <w:iCs/>
          <w:vertAlign w:val="superscript"/>
          <w:lang w:val="en-US"/>
        </w:rPr>
        <w:t>I</w:t>
      </w:r>
      <w:r w:rsidRPr="00545FCA">
        <w:rPr>
          <w:sz w:val="16"/>
          <w:szCs w:val="16"/>
          <w:vertAlign w:val="superscript"/>
          <w:lang w:val="en-US"/>
        </w:rPr>
        <w:t>0</w:t>
      </w:r>
      <w:r w:rsidRPr="00545FCA">
        <w:rPr>
          <w:vertAlign w:val="superscript"/>
          <w:lang w:val="en-US"/>
        </w:rPr>
        <w:t>)</w:t>
      </w:r>
      <w:r w:rsidRPr="008D0B05">
        <w:rPr>
          <w:iCs/>
          <w:position w:val="-4"/>
          <w:szCs w:val="24"/>
          <w:vertAlign w:val="superscript"/>
          <w:lang w:val="ru-RU"/>
        </w:rPr>
        <w:sym w:font="Symbol" w:char="F0AF"/>
      </w:r>
      <w:r w:rsidRPr="00545FCA">
        <w:rPr>
          <w:vertAlign w:val="superscript"/>
          <w:lang w:val="en-US"/>
        </w:rPr>
        <w:t>))/10</w:t>
      </w:r>
      <w:r w:rsidRPr="00545FCA">
        <w:rPr>
          <w:lang w:val="en-US"/>
        </w:rPr>
        <w:t> – 10</w:t>
      </w:r>
      <w:r w:rsidRPr="00545FCA">
        <w:rPr>
          <w:vertAlign w:val="superscript"/>
          <w:lang w:val="en-US"/>
        </w:rPr>
        <w:t>(</w:t>
      </w:r>
      <w:r w:rsidRPr="00545FCA">
        <w:rPr>
          <w:i/>
          <w:iCs/>
          <w:vertAlign w:val="superscript"/>
          <w:lang w:val="en-US"/>
        </w:rPr>
        <w:t>N</w:t>
      </w:r>
      <w:r w:rsidRPr="00545FCA">
        <w:rPr>
          <w:sz w:val="16"/>
          <w:szCs w:val="16"/>
          <w:vertAlign w:val="superscript"/>
          <w:lang w:val="en-US"/>
        </w:rPr>
        <w:t>0</w:t>
      </w:r>
      <w:r w:rsidRPr="00545FCA">
        <w:rPr>
          <w:vertAlign w:val="superscript"/>
          <w:lang w:val="en-US"/>
        </w:rPr>
        <w:t>)</w:t>
      </w:r>
      <w:r w:rsidRPr="008D0B05">
        <w:rPr>
          <w:iCs/>
          <w:position w:val="-4"/>
          <w:szCs w:val="24"/>
          <w:vertAlign w:val="superscript"/>
          <w:lang w:val="ru-RU"/>
        </w:rPr>
        <w:sym w:font="Symbol" w:char="F0AF"/>
      </w:r>
      <w:r w:rsidRPr="00545FCA">
        <w:rPr>
          <w:vertAlign w:val="superscript"/>
          <w:lang w:val="en-US"/>
        </w:rPr>
        <w:t>/10</w:t>
      </w:r>
      <w:r w:rsidRPr="00545FCA">
        <w:rPr>
          <w:lang w:val="en-US"/>
        </w:rPr>
        <w:t>)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>или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lang w:val="ru-RU"/>
        </w:rPr>
      </w:pPr>
      <w:r>
        <w:rPr>
          <w:lang w:val="ru-RU"/>
        </w:rPr>
        <w:tab/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(max) = 10 log (10</w:t>
      </w:r>
      <w:r w:rsidRPr="008D0B05">
        <w:rPr>
          <w:vertAlign w:val="superscript"/>
          <w:lang w:val="ru-RU"/>
        </w:rPr>
        <w:t>(–163,7–38,7)/10</w:t>
      </w:r>
      <w:r w:rsidRPr="008D0B05">
        <w:rPr>
          <w:lang w:val="ru-RU"/>
        </w:rPr>
        <w:t> – 10</w:t>
      </w:r>
      <w:r w:rsidRPr="008D0B05">
        <w:rPr>
          <w:vertAlign w:val="superscript"/>
          <w:lang w:val="ru-RU"/>
        </w:rPr>
        <w:t>–206,2/10</w:t>
      </w:r>
      <w:r w:rsidRPr="008D0B05">
        <w:rPr>
          <w:lang w:val="ru-RU"/>
        </w:rPr>
        <w:t>),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>в таком случае</w:t>
      </w:r>
    </w:p>
    <w:p w:rsidR="009B1906" w:rsidRPr="00545FCA" w:rsidRDefault="009B1906" w:rsidP="009B1906">
      <w:pPr>
        <w:pStyle w:val="Equation"/>
        <w:tabs>
          <w:tab w:val="clear" w:pos="794"/>
        </w:tabs>
        <w:rPr>
          <w:lang w:val="en-US"/>
        </w:rPr>
      </w:pPr>
      <w:r w:rsidRPr="008D0B05">
        <w:rPr>
          <w:lang w:val="ru-RU"/>
        </w:rPr>
        <w:tab/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(max) = –204,7 </w:t>
      </w:r>
      <w:r w:rsidRPr="008D0B05">
        <w:rPr>
          <w:lang w:val="ru-RU"/>
        </w:rPr>
        <w:t>дБ</w:t>
      </w:r>
      <w:r w:rsidRPr="00545FCA">
        <w:rPr>
          <w:lang w:val="en-US"/>
        </w:rPr>
        <w:t>(</w:t>
      </w:r>
      <w:r w:rsidRPr="008D0B05">
        <w:rPr>
          <w:lang w:val="ru-RU"/>
        </w:rPr>
        <w:t>Вт</w:t>
      </w:r>
      <w:r w:rsidRPr="00545FCA">
        <w:rPr>
          <w:lang w:val="en-US"/>
        </w:rPr>
        <w:t>/</w:t>
      </w:r>
      <w:r w:rsidRPr="008D0B05">
        <w:rPr>
          <w:lang w:val="ru-RU"/>
        </w:rPr>
        <w:t>Гц</w:t>
      </w:r>
      <w:r w:rsidRPr="00545FCA">
        <w:rPr>
          <w:lang w:val="en-US"/>
        </w:rPr>
        <w:t>).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>Рассматриваемые критерии защиты желательно характеризовать в виде порогового уровня с.п.п.м. помех, указываемого в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 xml:space="preserve"> ∙ Гц)) на входе антенны LEOLUT. Эффективная апертура антенны, </w:t>
      </w:r>
      <w:r w:rsidRPr="008D0B05">
        <w:rPr>
          <w:i/>
          <w:iCs/>
          <w:lang w:val="ru-RU"/>
        </w:rPr>
        <w:t>A</w:t>
      </w:r>
      <w:r w:rsidRPr="008D0B05">
        <w:rPr>
          <w:i/>
          <w:iCs/>
          <w:vertAlign w:val="subscript"/>
          <w:lang w:val="ru-RU"/>
        </w:rPr>
        <w:t>e</w:t>
      </w:r>
      <w:r w:rsidRPr="008D0B05">
        <w:rPr>
          <w:lang w:val="ru-RU"/>
        </w:rPr>
        <w:t>, с усилением</w:t>
      </w:r>
      <w:r w:rsidRPr="008D0B05">
        <w:rPr>
          <w:i/>
          <w:iCs/>
          <w:lang w:val="ru-RU"/>
        </w:rPr>
        <w:t xml:space="preserve"> G</w:t>
      </w:r>
      <w:r w:rsidRPr="008D0B05">
        <w:rPr>
          <w:lang w:val="ru-RU"/>
        </w:rPr>
        <w:t xml:space="preserve"> определяется как </w:t>
      </w:r>
      <w:r w:rsidRPr="008D0B05">
        <w:rPr>
          <w:i/>
          <w:iCs/>
          <w:lang w:val="ru-RU"/>
        </w:rPr>
        <w:t>A</w:t>
      </w:r>
      <w:r w:rsidRPr="008D0B05">
        <w:rPr>
          <w:i/>
          <w:iCs/>
          <w:vertAlign w:val="subscript"/>
          <w:lang w:val="ru-RU"/>
        </w:rPr>
        <w:t>e</w:t>
      </w:r>
      <w:r w:rsidRPr="008D0B05">
        <w:rPr>
          <w:lang w:val="ru-RU"/>
        </w:rPr>
        <w:t> = </w:t>
      </w:r>
      <w:r w:rsidRPr="008D0B05">
        <w:rPr>
          <w:i/>
          <w:iCs/>
          <w:lang w:val="ru-RU"/>
        </w:rPr>
        <w:t>G</w:t>
      </w:r>
      <w:r w:rsidRPr="008D0B05">
        <w:rPr>
          <w:rFonts w:ascii="Symbol" w:hAnsi="Symbol"/>
          <w:lang w:val="ru-RU"/>
        </w:rPr>
        <w:t>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/4</w:t>
      </w:r>
      <w:r w:rsidRPr="008D0B05">
        <w:rPr>
          <w:rFonts w:ascii="Symbol" w:hAnsi="Symbol"/>
          <w:lang w:val="ru-RU"/>
        </w:rPr>
        <w:t></w:t>
      </w:r>
      <w:r w:rsidRPr="008D0B05">
        <w:rPr>
          <w:rFonts w:ascii="Symbol" w:hAnsi="Symbol"/>
          <w:lang w:val="ru-RU"/>
        </w:rPr>
        <w:t></w:t>
      </w:r>
      <w:r w:rsidRPr="008D0B05">
        <w:rPr>
          <w:lang w:val="ru-RU"/>
        </w:rPr>
        <w:t xml:space="preserve"> Для антенн LEOLUT с усилением 26,7 дБ эффективная апертура равна 1,4 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. Следовательно, максимальная допустимая суммарная помеха, указываемая в виде с.п.п.м., составляет:</w:t>
      </w:r>
    </w:p>
    <w:p w:rsidR="009B1906" w:rsidRPr="00545FCA" w:rsidRDefault="009B1906" w:rsidP="009B1906">
      <w:pPr>
        <w:pStyle w:val="Equation"/>
        <w:tabs>
          <w:tab w:val="clear" w:pos="794"/>
        </w:tabs>
        <w:rPr>
          <w:i/>
          <w:iCs/>
          <w:vertAlign w:val="subscript"/>
          <w:lang w:val="en-US"/>
        </w:rPr>
      </w:pPr>
      <w:r>
        <w:rPr>
          <w:lang w:val="ru-RU"/>
        </w:rPr>
        <w:tab/>
      </w:r>
      <w:r w:rsidRPr="008D0B05">
        <w:rPr>
          <w:lang w:val="ru-RU"/>
        </w:rPr>
        <w:t>с</w:t>
      </w:r>
      <w:r w:rsidRPr="00545FCA">
        <w:rPr>
          <w:lang w:val="en-US"/>
        </w:rPr>
        <w:t>.</w:t>
      </w:r>
      <w:r w:rsidRPr="008D0B05">
        <w:rPr>
          <w:lang w:val="ru-RU"/>
        </w:rPr>
        <w:t>п</w:t>
      </w:r>
      <w:r w:rsidRPr="00545FCA">
        <w:rPr>
          <w:lang w:val="en-US"/>
        </w:rPr>
        <w:t>.</w:t>
      </w:r>
      <w:r w:rsidRPr="008D0B05">
        <w:rPr>
          <w:lang w:val="ru-RU"/>
        </w:rPr>
        <w:t>п</w:t>
      </w:r>
      <w:r w:rsidRPr="00545FCA">
        <w:rPr>
          <w:lang w:val="en-US"/>
        </w:rPr>
        <w:t>.</w:t>
      </w:r>
      <w:r w:rsidRPr="008D0B05">
        <w:rPr>
          <w:lang w:val="ru-RU"/>
        </w:rPr>
        <w:t>м</w:t>
      </w:r>
      <w:r w:rsidRPr="00545FCA">
        <w:rPr>
          <w:lang w:val="en-US"/>
        </w:rPr>
        <w:t xml:space="preserve">. = 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 xml:space="preserve">(max) – </w:t>
      </w:r>
      <w:r w:rsidRPr="00545FCA">
        <w:rPr>
          <w:i/>
          <w:iCs/>
          <w:lang w:val="en-US"/>
        </w:rPr>
        <w:t>L</w:t>
      </w:r>
      <w:r w:rsidRPr="00545FCA">
        <w:rPr>
          <w:i/>
          <w:iCs/>
          <w:vertAlign w:val="subscript"/>
          <w:lang w:val="en-US"/>
        </w:rPr>
        <w:t>Line</w:t>
      </w:r>
      <w:r w:rsidRPr="00545FCA">
        <w:rPr>
          <w:lang w:val="en-US"/>
        </w:rPr>
        <w:t xml:space="preserve"> – </w:t>
      </w:r>
      <w:r w:rsidRPr="00545FCA">
        <w:rPr>
          <w:i/>
          <w:iCs/>
          <w:lang w:val="en-US"/>
        </w:rPr>
        <w:t>A</w:t>
      </w:r>
      <w:r w:rsidRPr="00545FCA">
        <w:rPr>
          <w:i/>
          <w:iCs/>
          <w:vertAlign w:val="subscript"/>
          <w:lang w:val="en-US"/>
        </w:rPr>
        <w:t>e</w:t>
      </w:r>
      <w:r w:rsidRPr="00545FCA">
        <w:rPr>
          <w:lang w:val="en-US"/>
        </w:rPr>
        <w:t>.</w:t>
      </w:r>
    </w:p>
    <w:p w:rsidR="009B1906" w:rsidRPr="009B1906" w:rsidRDefault="009B1906" w:rsidP="009B1906">
      <w:pPr>
        <w:rPr>
          <w:lang w:val="en-US"/>
        </w:rPr>
      </w:pPr>
      <w:r w:rsidRPr="008D0B05">
        <w:rPr>
          <w:lang w:val="ru-RU"/>
        </w:rPr>
        <w:t>Предполагая</w:t>
      </w:r>
      <w:r w:rsidRPr="009B1906">
        <w:rPr>
          <w:lang w:val="en-US"/>
        </w:rPr>
        <w:t xml:space="preserve"> </w:t>
      </w:r>
      <w:r w:rsidRPr="009B1906">
        <w:rPr>
          <w:i/>
          <w:iCs/>
          <w:lang w:val="en-US"/>
        </w:rPr>
        <w:t>L</w:t>
      </w:r>
      <w:r w:rsidRPr="009B1906">
        <w:rPr>
          <w:i/>
          <w:iCs/>
          <w:vertAlign w:val="subscript"/>
          <w:lang w:val="en-US"/>
        </w:rPr>
        <w:t>Line</w:t>
      </w:r>
      <w:r w:rsidRPr="009B1906">
        <w:rPr>
          <w:lang w:val="en-US"/>
        </w:rPr>
        <w:t xml:space="preserve"> = 0,</w:t>
      </w:r>
    </w:p>
    <w:p w:rsidR="009B1906" w:rsidRPr="009B1906" w:rsidRDefault="009B1906" w:rsidP="009B1906">
      <w:pPr>
        <w:pStyle w:val="Equation"/>
        <w:tabs>
          <w:tab w:val="clear" w:pos="794"/>
        </w:tabs>
        <w:rPr>
          <w:lang w:val="en-US"/>
        </w:rPr>
      </w:pPr>
      <w:r w:rsidRPr="009B1906">
        <w:rPr>
          <w:lang w:val="en-US"/>
        </w:rPr>
        <w:tab/>
      </w:r>
      <w:r w:rsidRPr="008D0B05">
        <w:rPr>
          <w:lang w:val="ru-RU"/>
        </w:rPr>
        <w:t>с</w:t>
      </w:r>
      <w:r w:rsidRPr="009B1906">
        <w:rPr>
          <w:lang w:val="en-US"/>
        </w:rPr>
        <w:t>.</w:t>
      </w:r>
      <w:r w:rsidRPr="008D0B05">
        <w:rPr>
          <w:lang w:val="ru-RU"/>
        </w:rPr>
        <w:t>п</w:t>
      </w:r>
      <w:r w:rsidRPr="009B1906">
        <w:rPr>
          <w:lang w:val="en-US"/>
        </w:rPr>
        <w:t>.</w:t>
      </w:r>
      <w:r w:rsidRPr="008D0B05">
        <w:rPr>
          <w:lang w:val="ru-RU"/>
        </w:rPr>
        <w:t>п</w:t>
      </w:r>
      <w:r w:rsidRPr="009B1906">
        <w:rPr>
          <w:lang w:val="en-US"/>
        </w:rPr>
        <w:t>.</w:t>
      </w:r>
      <w:r w:rsidRPr="008D0B05">
        <w:rPr>
          <w:lang w:val="ru-RU"/>
        </w:rPr>
        <w:t>м</w:t>
      </w:r>
      <w:r w:rsidRPr="009B1906">
        <w:rPr>
          <w:lang w:val="en-US"/>
        </w:rPr>
        <w:t xml:space="preserve">. = </w:t>
      </w:r>
      <w:r w:rsidRPr="009B1906">
        <w:rPr>
          <w:i/>
          <w:lang w:val="en-US"/>
        </w:rPr>
        <w:t>–</w:t>
      </w:r>
      <w:r w:rsidRPr="009B1906">
        <w:rPr>
          <w:lang w:val="en-US"/>
        </w:rPr>
        <w:t>204,7 – 0 – 10 log (1,4) = –206,2 </w:t>
      </w:r>
      <w:r w:rsidRPr="008D0B05">
        <w:rPr>
          <w:lang w:val="ru-RU"/>
        </w:rPr>
        <w:t>дБ</w:t>
      </w:r>
      <w:r w:rsidRPr="009B1906">
        <w:rPr>
          <w:lang w:val="en-US"/>
        </w:rPr>
        <w:t>(</w:t>
      </w:r>
      <w:r w:rsidRPr="008D0B05">
        <w:rPr>
          <w:lang w:val="ru-RU"/>
        </w:rPr>
        <w:t>Вт</w:t>
      </w:r>
      <w:r w:rsidRPr="009B1906">
        <w:rPr>
          <w:lang w:val="en-US"/>
        </w:rPr>
        <w:t>/(</w:t>
      </w:r>
      <w:r w:rsidRPr="008D0B05">
        <w:rPr>
          <w:lang w:val="ru-RU"/>
        </w:rPr>
        <w:t>м</w:t>
      </w:r>
      <w:r w:rsidRPr="009B1906">
        <w:rPr>
          <w:vertAlign w:val="superscript"/>
          <w:lang w:val="en-US"/>
        </w:rPr>
        <w:t>2</w:t>
      </w:r>
      <w:r w:rsidRPr="009B1906">
        <w:rPr>
          <w:lang w:val="en-US"/>
        </w:rPr>
        <w:t> ∙ </w:t>
      </w:r>
      <w:r w:rsidRPr="008D0B05">
        <w:rPr>
          <w:lang w:val="ru-RU"/>
        </w:rPr>
        <w:t>Гц</w:t>
      </w:r>
      <w:r w:rsidRPr="009B1906">
        <w:rPr>
          <w:lang w:val="en-US"/>
        </w:rPr>
        <w:t>)).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Максимальный уровень широкополосной шумоподобной помехи в полосах, обрабатываемых терминалами LEOLUT для канала SARR 406 МГц, не должен превышать –206,2 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 ∙ Гц)).</w:t>
      </w:r>
    </w:p>
    <w:p w:rsidR="00833F98" w:rsidRDefault="00833F9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bookmarkStart w:id="17" w:name="_Toc115521339"/>
      <w:r>
        <w:rPr>
          <w:lang w:val="ru-RU"/>
        </w:rPr>
        <w:br w:type="page"/>
      </w:r>
    </w:p>
    <w:p w:rsidR="009B1906" w:rsidRPr="008D0B05" w:rsidRDefault="009B1906" w:rsidP="009B1906">
      <w:pPr>
        <w:pStyle w:val="Heading1"/>
        <w:rPr>
          <w:lang w:val="ru-RU"/>
        </w:rPr>
      </w:pPr>
      <w:r w:rsidRPr="008D0B05">
        <w:rPr>
          <w:lang w:val="ru-RU"/>
        </w:rPr>
        <w:lastRenderedPageBreak/>
        <w:t>4</w:t>
      </w:r>
      <w:r w:rsidRPr="008D0B05">
        <w:rPr>
          <w:lang w:val="ru-RU"/>
        </w:rPr>
        <w:tab/>
        <w:t xml:space="preserve">Процедура вычисления уровня помех в полосе 1544–1545 МГц терминалам LEOLUT, принимающим канал SARR 406 МГц </w:t>
      </w:r>
    </w:p>
    <w:p w:rsidR="009B1906" w:rsidRPr="008D0B05" w:rsidRDefault="009B1906" w:rsidP="009B1906">
      <w:pPr>
        <w:keepLines/>
        <w:rPr>
          <w:lang w:val="ru-RU"/>
        </w:rPr>
      </w:pPr>
      <w:r w:rsidRPr="008D0B05">
        <w:rPr>
          <w:lang w:val="ru-RU"/>
        </w:rPr>
        <w:t>Чтобы определить, передается ли энергия в полосах частот, обрабатываемых терминалами LEOLUT для канала SARR 406 МГц (то есть 1544,58</w:t>
      </w:r>
      <w:r w:rsidRPr="008D0B05">
        <w:rPr>
          <w:i/>
          <w:lang w:val="ru-RU"/>
        </w:rPr>
        <w:t>–</w:t>
      </w:r>
      <w:r w:rsidRPr="008D0B05">
        <w:rPr>
          <w:iCs/>
          <w:lang w:val="ru-RU"/>
        </w:rPr>
        <w:t xml:space="preserve">1544,80 МГц и </w:t>
      </w:r>
      <w:r w:rsidRPr="008D0B05">
        <w:rPr>
          <w:lang w:val="ru-RU"/>
        </w:rPr>
        <w:t>1544,42–1544,20 МГц), следует изучить ширину полосы излучения. Необходимо проявлять особое внимание при анализе влияния подвижных систем (например, негеостационарных спутников и передатчиков на борту воздушных судов) для учета эффектов до</w:t>
      </w:r>
      <w:r>
        <w:rPr>
          <w:lang w:val="ru-RU"/>
        </w:rPr>
        <w:t>п</w:t>
      </w:r>
      <w:r w:rsidRPr="008D0B05">
        <w:rPr>
          <w:lang w:val="ru-RU"/>
        </w:rPr>
        <w:t>плеровского сдвига частоты, возникающих при их движении.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Вычислите уровень помех от всех источников, которые передают энергию в рассматриваемой полосе, выраженный как уровень с.п.п.м. на входе антенны LEOLUT. Суммарный уровень от всех источников помех не должен превышать −206,2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 ∙ Гц)) в любой части этой полосы.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Вышеуказанный уровень определялся при использовании антенны LEOLUT с левосторонней круговой поляризацией (LHCP) с осевым усилением 26,7 дБи. При определении степени воздействия помех следует, в зависимости от систем, использовать связанные с данной антенной параметры, такие как избирательность по поляризации и другие технические возможности.</w:t>
      </w:r>
    </w:p>
    <w:p w:rsidR="00833F98" w:rsidRPr="00FD2C57" w:rsidRDefault="00833F98" w:rsidP="00833F98">
      <w:pPr>
        <w:pStyle w:val="AnnexNoTitle"/>
        <w:spacing w:before="240"/>
        <w:rPr>
          <w:lang w:val="ru-RU"/>
        </w:rPr>
      </w:pPr>
      <w:bookmarkStart w:id="18" w:name="_Toc115521340"/>
      <w:bookmarkEnd w:id="17"/>
    </w:p>
    <w:p w:rsidR="009B1906" w:rsidRPr="008D0B05" w:rsidRDefault="009B1906" w:rsidP="00833F98">
      <w:pPr>
        <w:pStyle w:val="AnnexNoTitle"/>
        <w:rPr>
          <w:lang w:val="ru-RU"/>
        </w:rPr>
      </w:pPr>
      <w:r w:rsidRPr="00833F98">
        <w:rPr>
          <w:lang w:val="ru-RU"/>
        </w:rPr>
        <w:t>Приложение</w:t>
      </w:r>
      <w:r w:rsidRPr="008D0B05">
        <w:rPr>
          <w:lang w:val="ru-RU"/>
        </w:rPr>
        <w:t xml:space="preserve"> 4</w:t>
      </w:r>
      <w:r w:rsidRPr="008D0B05">
        <w:rPr>
          <w:lang w:val="ru-RU"/>
        </w:rPr>
        <w:br/>
      </w:r>
      <w:r w:rsidRPr="008D0B05">
        <w:rPr>
          <w:lang w:val="ru-RU"/>
        </w:rPr>
        <w:br/>
        <w:t xml:space="preserve">Критерии защиты в полосе 1544–1545 МГц для терминалов GEOLUT </w:t>
      </w:r>
      <w:r w:rsidRPr="008D0B05">
        <w:rPr>
          <w:lang w:val="ru-RU"/>
        </w:rPr>
        <w:br/>
        <w:t>системы Коспас-Сарсат, которые осуществляют прием сигналов</w:t>
      </w:r>
      <w:r w:rsidRPr="008D0B05">
        <w:rPr>
          <w:bCs/>
          <w:caps/>
          <w:spacing w:val="-3"/>
          <w:lang w:val="ru-RU"/>
        </w:rPr>
        <w:t xml:space="preserve"> EPIRB,</w:t>
      </w:r>
      <w:r w:rsidRPr="008D0B05">
        <w:rPr>
          <w:bCs/>
          <w:caps/>
          <w:spacing w:val="-3"/>
          <w:lang w:val="ru-RU"/>
        </w:rPr>
        <w:br/>
      </w:r>
      <w:r w:rsidRPr="008D0B05">
        <w:rPr>
          <w:bCs/>
          <w:spacing w:val="-3"/>
          <w:lang w:val="ru-RU"/>
        </w:rPr>
        <w:t>транслируемых через спутники</w:t>
      </w:r>
      <w:r w:rsidRPr="008D0B05">
        <w:rPr>
          <w:bCs/>
          <w:caps/>
          <w:spacing w:val="-3"/>
          <w:lang w:val="ru-RU"/>
        </w:rPr>
        <w:t xml:space="preserve"> MSG </w:t>
      </w:r>
    </w:p>
    <w:p w:rsidR="009B1906" w:rsidRPr="008D0B05" w:rsidRDefault="009B1906" w:rsidP="009B1906">
      <w:pPr>
        <w:pStyle w:val="Heading1"/>
        <w:rPr>
          <w:lang w:val="ru-RU"/>
        </w:rPr>
      </w:pPr>
      <w:r w:rsidRPr="008D0B05">
        <w:rPr>
          <w:caps/>
          <w:lang w:val="ru-RU"/>
        </w:rPr>
        <w:t>1</w:t>
      </w:r>
      <w:r w:rsidRPr="008D0B05">
        <w:rPr>
          <w:caps/>
          <w:lang w:val="ru-RU"/>
        </w:rPr>
        <w:tab/>
      </w:r>
      <w:r w:rsidRPr="008D0B05">
        <w:rPr>
          <w:lang w:val="ru-RU"/>
        </w:rPr>
        <w:t>Введение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Ретрансляторы поиска и спасания системы Коспас-Сарсат расположены на борту спутников MSG. Эти ретрансляторы принимают сигналы от EPIRB в диапазоне 406 МГц и передают сигналы на терминалы GEOLUT Коспас-Сарсат на частотах линии вниз в полосе 1544–1545 МГц. В соответствии с РР полоса 1544–1545 МГц распределена ПСС в направлении космос-Земля и согласно п. 5.356 РР реально ограничивается связью при бедствии и для обеспечения безопасности. Приведенный в данном Приложении анализ устанавливает критерии защиты от помех для терминалов GEOLUT, которые принимают сигналы со спутников MSG в полосе 1544–1545 МГц на линии вниз. </w:t>
      </w:r>
    </w:p>
    <w:p w:rsidR="009B1906" w:rsidRPr="008D0B05" w:rsidRDefault="009B1906" w:rsidP="009B1906">
      <w:pPr>
        <w:pStyle w:val="Heading1"/>
        <w:rPr>
          <w:lang w:val="ru-RU"/>
        </w:rPr>
      </w:pPr>
      <w:r w:rsidRPr="008D0B05">
        <w:rPr>
          <w:lang w:val="ru-RU"/>
        </w:rPr>
        <w:t>2</w:t>
      </w:r>
      <w:r w:rsidRPr="008D0B05">
        <w:rPr>
          <w:lang w:val="ru-RU"/>
        </w:rPr>
        <w:tab/>
        <w:t>Минимальные допустимые характеристики для обнаружения сигналов EPIRB, транслируемых через спутник MSG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Для надежного обнаружения сигналов от маяков, передающих сигналы бедствия в диапазоне 406 МГц, с использованием ретрансляторов 406 МГц на спутниках MSG, показатель BER в канале не должен превышать 5 </w:t>
      </w:r>
      <w:r w:rsidRPr="008D0B05">
        <w:rPr>
          <w:lang w:val="ru-RU"/>
        </w:rPr>
        <w:sym w:font="Symbol" w:char="F0B4"/>
      </w:r>
      <w:r w:rsidRPr="008D0B05">
        <w:rPr>
          <w:lang w:val="ru-RU"/>
        </w:rPr>
        <w:t> 10</w:t>
      </w:r>
      <w:r w:rsidRPr="008D0B05">
        <w:rPr>
          <w:vertAlign w:val="superscript"/>
          <w:lang w:val="ru-RU"/>
        </w:rPr>
        <w:t>−5</w:t>
      </w:r>
      <w:r w:rsidRPr="008D0B05">
        <w:rPr>
          <w:lang w:val="ru-RU"/>
        </w:rPr>
        <w:t xml:space="preserve">. </w:t>
      </w:r>
    </w:p>
    <w:p w:rsidR="009B1906" w:rsidRPr="008D0B05" w:rsidRDefault="009B1906" w:rsidP="009B1906">
      <w:pPr>
        <w:pStyle w:val="Heading1"/>
        <w:rPr>
          <w:lang w:val="ru-RU"/>
        </w:rPr>
      </w:pPr>
      <w:r w:rsidRPr="008D0B05">
        <w:rPr>
          <w:caps/>
          <w:lang w:val="ru-RU"/>
        </w:rPr>
        <w:t>3</w:t>
      </w:r>
      <w:r w:rsidRPr="008D0B05">
        <w:rPr>
          <w:caps/>
          <w:lang w:val="ru-RU"/>
        </w:rPr>
        <w:tab/>
      </w:r>
      <w:r w:rsidRPr="008D0B05">
        <w:rPr>
          <w:lang w:val="ru-RU"/>
        </w:rPr>
        <w:t>Анализ с.п.п.м. помех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Величина BER в канале связи выводится из отношения энергии, содержащейся в каждом бите данных,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 xml:space="preserve">, к плотности шума. Общая плотность шума состоит из шума, создаваемого оборудованием Коспас-Сарсат, 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, и шума, определяемого помехами от других систем,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. </w:t>
      </w:r>
      <w:r>
        <w:rPr>
          <w:lang w:val="ru-RU"/>
        </w:rPr>
        <w:t>На </w:t>
      </w:r>
      <w:r w:rsidRPr="008D0B05">
        <w:rPr>
          <w:lang w:val="ru-RU"/>
        </w:rPr>
        <w:t>рисунке 4 показан канал SARR 406 МГц спутника MSG с помехами на линии вниз.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Чтобы достичь величины BER на уровне 5 </w:t>
      </w:r>
      <w:r w:rsidRPr="008D0B05">
        <w:rPr>
          <w:lang w:val="ru-RU"/>
        </w:rPr>
        <w:sym w:font="Symbol" w:char="F0B4"/>
      </w:r>
      <w:r w:rsidRPr="008D0B05">
        <w:rPr>
          <w:lang w:val="ru-RU"/>
        </w:rPr>
        <w:t> 10</w:t>
      </w:r>
      <w:r w:rsidRPr="008D0B05">
        <w:rPr>
          <w:vertAlign w:val="superscript"/>
          <w:lang w:val="ru-RU"/>
        </w:rPr>
        <w:t>−5</w:t>
      </w:r>
      <w:r w:rsidRPr="008D0B05">
        <w:rPr>
          <w:lang w:val="ru-RU"/>
        </w:rPr>
        <w:t>, отношение энергии на бит к плотности шума и помех (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)) в демодуляторе GEOLUT должно равняться или превышать 8,8 дБ. Данный анализ определяет максимальный уровень широкополосной шумоподобной помехи, указываемой в качестве с.п.п.м., отнесенной ко входу антенны GEOLUT, которая может быть согласована без снижения общей величины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 на линии ниже 8,8 дБ.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lastRenderedPageBreak/>
        <w:t>Как видно из рисунка 4, сигналы от маяков, передающих сигналы бедствия в диапазоне 406 МГц, принимаются ретранслятором SARR спутника MSG и передаются на линию вниз 1544,5 МГц </w:t>
      </w:r>
      <w:r w:rsidRPr="008D0B05">
        <w:rPr>
          <w:lang w:val="ru-RU"/>
        </w:rPr>
        <w:sym w:font="Symbol" w:char="F0B1"/>
      </w:r>
      <w:r w:rsidRPr="008D0B05">
        <w:rPr>
          <w:lang w:val="ru-RU"/>
        </w:rPr>
        <w:t> 100 кГц с целью обнаружения и обработки терминалами GEOLUT. Усиление антенны и шумовая температура системы для терминала GEOLUT спутника MSG составляют 35,7 дБ и</w:t>
      </w:r>
      <w:r>
        <w:rPr>
          <w:lang w:val="ru-RU"/>
        </w:rPr>
        <w:t xml:space="preserve"> 105,0 K, соответственно.</w:t>
      </w:r>
    </w:p>
    <w:p w:rsidR="009B1906" w:rsidRPr="008D0B05" w:rsidRDefault="009B1906" w:rsidP="009B1906">
      <w:pPr>
        <w:pStyle w:val="FigureNo"/>
        <w:rPr>
          <w:lang w:val="ru-RU"/>
        </w:rPr>
      </w:pPr>
      <w:r w:rsidRPr="008D0B05">
        <w:rPr>
          <w:lang w:val="ru-RU"/>
        </w:rPr>
        <w:t>РИСУНОК 4</w:t>
      </w:r>
    </w:p>
    <w:p w:rsidR="009B1906" w:rsidRPr="009B1906" w:rsidRDefault="009B1906" w:rsidP="009B1906">
      <w:pPr>
        <w:pStyle w:val="Figuretitle"/>
        <w:rPr>
          <w:lang w:val="ru-RU"/>
        </w:rPr>
      </w:pPr>
      <w:r w:rsidRPr="009B1906">
        <w:rPr>
          <w:lang w:val="ru-RU"/>
        </w:rPr>
        <w:t xml:space="preserve">Ретранслятор </w:t>
      </w:r>
      <w:r w:rsidRPr="008D0B05">
        <w:t>SARR</w:t>
      </w:r>
      <w:r w:rsidRPr="009B1906">
        <w:rPr>
          <w:lang w:val="ru-RU"/>
        </w:rPr>
        <w:t xml:space="preserve"> спутника </w:t>
      </w:r>
      <w:r w:rsidRPr="008D0B05">
        <w:t>MSG</w:t>
      </w:r>
      <w:r w:rsidRPr="009B1906">
        <w:rPr>
          <w:lang w:val="ru-RU"/>
        </w:rPr>
        <w:t xml:space="preserve"> с помехами на линии вниз</w:t>
      </w:r>
    </w:p>
    <w:p w:rsidR="009B1906" w:rsidRPr="008D0B05" w:rsidRDefault="00975F69" w:rsidP="00975F69">
      <w:pPr>
        <w:pStyle w:val="Figure"/>
        <w:rPr>
          <w:b/>
          <w:lang w:val="ru-RU"/>
        </w:rPr>
      </w:pPr>
      <w:r>
        <w:object w:dxaOrig="12110" w:dyaOrig="6412">
          <v:shape id="_x0000_i1028" type="#_x0000_t75" style="width:474.5pt;height:251.5pt" o:ole="" o:allowoverlap="f">
            <v:imagedata r:id="rId21" o:title=""/>
          </v:shape>
          <o:OLEObject Type="Embed" ProgID="CorelDRAW.Graphic.14" ShapeID="_x0000_i1028" DrawAspect="Content" ObjectID="_1361690672" r:id="rId22"/>
        </w:objec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Сигнал от EPIRB приходит на космический аппарат под углом места 5°. Если внешние источники помех отсутствуют, общее отношение 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составляет 27,4</w:t>
      </w:r>
      <w:r w:rsidRPr="008D0B05">
        <w:rPr>
          <w:i/>
          <w:lang w:val="ru-RU"/>
        </w:rPr>
        <w:t> </w:t>
      </w:r>
      <w:r w:rsidRPr="008D0B05">
        <w:rPr>
          <w:lang w:val="ru-RU"/>
        </w:rPr>
        <w:t>дБ</w:t>
      </w:r>
      <w:r w:rsidRPr="008D0B05">
        <w:rPr>
          <w:lang w:val="ru-RU"/>
        </w:rPr>
        <w:noBreakHyphen/>
        <w:t>Гц, которое соответствует отношению 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на уровне 1,4 дБ. Учет потерь на аппаратную реализацию и на демодуляцию данных от маяка, а также выигрыша от обработки на терминале GEOLUT приводит к эффективному отношению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, равному 8,9 дБ. Поскольку в канале для обеспечения надежного соответствия минимальным характеристикам требуется общее отношение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 не менее 8,8 дБ, не может быть допущен уровень накопленных широкополосных помех на линии вниз, который снижает общее отношение несущей к плотности шума и помех более чем на 0,1 дБ.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 xml:space="preserve">Если общее отношение 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при отсутствии помех составляет 27,4 дБ</w:t>
      </w:r>
      <w:r w:rsidRPr="008D0B05">
        <w:rPr>
          <w:lang w:val="ru-RU"/>
        </w:rPr>
        <w:noBreakHyphen/>
        <w:t>Гц, широкополосная шумоподобная помеха на линии вниз, снижающая его на 0,1 дБ, приведет к общему отношению несущей к плотности шума и помех,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lang w:val="ru-RU"/>
        </w:rPr>
        <w:t>, равному: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lang w:val="ru-RU"/>
        </w:rPr>
      </w:pPr>
      <w:r>
        <w:rPr>
          <w:lang w:val="ru-RU"/>
        </w:rPr>
        <w:tab/>
      </w:r>
      <w:r w:rsidRPr="008D0B05">
        <w:rPr>
          <w:lang w:val="ru-RU"/>
        </w:rPr>
        <w:t>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>
        <w:rPr>
          <w:lang w:val="ru-RU"/>
        </w:rPr>
        <w:t xml:space="preserve">  </w:t>
      </w:r>
      <w:r w:rsidRPr="008D0B05">
        <w:rPr>
          <w:lang w:val="ru-RU"/>
        </w:rPr>
        <w:t>=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/>
          <w:iCs/>
          <w:vertAlign w:val="subscript"/>
          <w:lang w:val="ru-RU"/>
        </w:rPr>
        <w:t xml:space="preserve">общее </w:t>
      </w:r>
      <w:r w:rsidRPr="008D0B05">
        <w:rPr>
          <w:lang w:val="ru-RU"/>
        </w:rPr>
        <w:t>– 0,1 дБ</w:t>
      </w:r>
    </w:p>
    <w:bookmarkEnd w:id="18"/>
    <w:p w:rsidR="009B1906" w:rsidRPr="008D0B05" w:rsidRDefault="009B1906" w:rsidP="009B1906">
      <w:pPr>
        <w:pStyle w:val="Equation"/>
        <w:tabs>
          <w:tab w:val="clear" w:pos="794"/>
          <w:tab w:val="clear" w:pos="4820"/>
          <w:tab w:val="left" w:pos="4678"/>
        </w:tabs>
        <w:rPr>
          <w:lang w:val="ru-RU"/>
        </w:rPr>
      </w:pPr>
      <w:r w:rsidRPr="008D0B05">
        <w:rPr>
          <w:lang w:val="ru-RU"/>
        </w:rPr>
        <w:tab/>
        <w:t>= 27,4 дБ</w:t>
      </w:r>
      <w:r w:rsidRPr="008D0B05">
        <w:rPr>
          <w:lang w:val="ru-RU"/>
        </w:rPr>
        <w:noBreakHyphen/>
        <w:t>Гц – 0,1 дБ</w:t>
      </w:r>
    </w:p>
    <w:p w:rsidR="009B1906" w:rsidRPr="008D0B05" w:rsidRDefault="009B1906" w:rsidP="009B1906">
      <w:pPr>
        <w:pStyle w:val="Equation"/>
        <w:tabs>
          <w:tab w:val="clear" w:pos="794"/>
          <w:tab w:val="clear" w:pos="4820"/>
          <w:tab w:val="left" w:pos="4678"/>
        </w:tabs>
        <w:rPr>
          <w:lang w:val="ru-RU"/>
        </w:rPr>
      </w:pPr>
      <w:r w:rsidRPr="008D0B05">
        <w:rPr>
          <w:lang w:val="ru-RU"/>
        </w:rPr>
        <w:tab/>
        <w:t>= 27,3 дБ</w:t>
      </w:r>
      <w:r w:rsidRPr="008D0B05">
        <w:rPr>
          <w:lang w:val="ru-RU"/>
        </w:rPr>
        <w:noBreakHyphen/>
        <w:t>Гц.</w:t>
      </w:r>
    </w:p>
    <w:p w:rsidR="009B1906" w:rsidRDefault="009B1906" w:rsidP="009B1906">
      <w:pPr>
        <w:spacing w:before="80"/>
        <w:rPr>
          <w:lang w:val="ru-RU"/>
        </w:rPr>
      </w:pPr>
      <w:r w:rsidRPr="008D0B05">
        <w:rPr>
          <w:lang w:val="ru-RU"/>
        </w:rPr>
        <w:t>Отношение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lang w:val="ru-RU"/>
        </w:rPr>
        <w:t xml:space="preserve"> вычисляется из отношений несущей к плотности шума и помех на линии вверх и линии вниз, как указано ниже:</w:t>
      </w:r>
    </w:p>
    <w:p w:rsidR="009B1906" w:rsidRPr="00545FCA" w:rsidRDefault="009B1906" w:rsidP="009B1906">
      <w:pPr>
        <w:pStyle w:val="Equation"/>
        <w:tabs>
          <w:tab w:val="clear" w:pos="794"/>
        </w:tabs>
        <w:rPr>
          <w:lang w:val="en-US"/>
        </w:rPr>
      </w:pPr>
      <w:r w:rsidRPr="008D0B05">
        <w:rPr>
          <w:lang w:val="ru-RU"/>
        </w:rPr>
        <w:tab/>
      </w:r>
      <w:r w:rsidRPr="00545FCA">
        <w:rPr>
          <w:lang w:val="en-US"/>
        </w:rPr>
        <w:t>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 + 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545FCA">
        <w:rPr>
          <w:lang w:val="en-US"/>
        </w:rPr>
        <w:t xml:space="preserve"> = ((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 + 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545FCA">
        <w:rPr>
          <w:vertAlign w:val="superscript"/>
          <w:lang w:val="en-US"/>
        </w:rPr>
        <w:t>–1</w:t>
      </w:r>
      <w:r w:rsidRPr="008D0B05">
        <w:rPr>
          <w:iCs/>
          <w:vertAlign w:val="subscript"/>
          <w:lang w:val="ru-RU"/>
        </w:rPr>
        <w:sym w:font="Symbol" w:char="F0AD"/>
      </w:r>
      <w:r w:rsidRPr="00545FCA">
        <w:rPr>
          <w:i/>
          <w:iCs/>
          <w:lang w:val="en-US"/>
        </w:rPr>
        <w:t xml:space="preserve"> </w:t>
      </w:r>
      <w:r w:rsidRPr="00545FCA">
        <w:rPr>
          <w:lang w:val="en-US"/>
        </w:rPr>
        <w:t>+ 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 + 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545FCA">
        <w:rPr>
          <w:vertAlign w:val="superscript"/>
          <w:lang w:val="en-US"/>
        </w:rPr>
        <w:t>–1</w:t>
      </w:r>
      <w:r w:rsidRPr="008D0B05">
        <w:rPr>
          <w:iCs/>
          <w:vertAlign w:val="subscript"/>
          <w:lang w:val="ru-RU"/>
        </w:rPr>
        <w:sym w:font="Symbol" w:char="F0AF"/>
      </w:r>
      <w:r w:rsidRPr="00545FCA">
        <w:rPr>
          <w:lang w:val="en-US"/>
        </w:rPr>
        <w:t>)</w:t>
      </w:r>
      <w:r w:rsidRPr="00545FCA">
        <w:rPr>
          <w:vertAlign w:val="superscript"/>
          <w:lang w:val="en-US"/>
        </w:rPr>
        <w:t>–1</w:t>
      </w:r>
      <w:r w:rsidRPr="00545FCA">
        <w:rPr>
          <w:lang w:val="en-US"/>
        </w:rPr>
        <w:t>.</w:t>
      </w:r>
    </w:p>
    <w:p w:rsidR="009B1906" w:rsidRDefault="009B1906" w:rsidP="009B1906">
      <w:pPr>
        <w:spacing w:before="80"/>
        <w:rPr>
          <w:lang w:val="ru-RU"/>
        </w:rPr>
      </w:pPr>
      <w:r w:rsidRPr="008D0B05">
        <w:rPr>
          <w:lang w:val="ru-RU"/>
        </w:rPr>
        <w:t>Поскольку данный анализ касается только помех на линии вниз, указанное выше уравнение упрощается до:</w:t>
      </w:r>
    </w:p>
    <w:p w:rsidR="009B1906" w:rsidRPr="00545FCA" w:rsidRDefault="009B1906" w:rsidP="009B1906">
      <w:pPr>
        <w:pStyle w:val="Equation"/>
        <w:tabs>
          <w:tab w:val="clear" w:pos="794"/>
        </w:tabs>
        <w:rPr>
          <w:lang w:val="en-US"/>
        </w:rPr>
      </w:pPr>
      <w:r>
        <w:rPr>
          <w:lang w:val="ru-RU"/>
        </w:rPr>
        <w:tab/>
      </w:r>
      <w:r w:rsidRPr="00545FCA">
        <w:rPr>
          <w:lang w:val="en-US"/>
        </w:rPr>
        <w:t>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 + 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545FCA">
        <w:rPr>
          <w:lang w:val="en-US"/>
        </w:rPr>
        <w:t xml:space="preserve"> = ((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</w:t>
      </w:r>
      <w:r w:rsidRPr="00545FCA">
        <w:rPr>
          <w:vertAlign w:val="superscript"/>
          <w:lang w:val="en-US"/>
        </w:rPr>
        <w:t>–1</w:t>
      </w:r>
      <w:r w:rsidRPr="008D0B05">
        <w:rPr>
          <w:iCs/>
          <w:vertAlign w:val="subscript"/>
          <w:lang w:val="ru-RU"/>
        </w:rPr>
        <w:sym w:font="Symbol" w:char="F0AD"/>
      </w:r>
      <w:r w:rsidRPr="00545FCA">
        <w:rPr>
          <w:lang w:val="en-US"/>
        </w:rPr>
        <w:t xml:space="preserve"> + 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 + 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545FCA">
        <w:rPr>
          <w:vertAlign w:val="superscript"/>
          <w:lang w:val="en-US"/>
        </w:rPr>
        <w:t>–1</w:t>
      </w:r>
      <w:r w:rsidRPr="008D0B05">
        <w:rPr>
          <w:iCs/>
          <w:vertAlign w:val="subscript"/>
          <w:lang w:val="ru-RU"/>
        </w:rPr>
        <w:sym w:font="Symbol" w:char="F0AF"/>
      </w:r>
      <w:r w:rsidRPr="00545FCA">
        <w:rPr>
          <w:lang w:val="en-US"/>
        </w:rPr>
        <w:t>)</w:t>
      </w:r>
      <w:r w:rsidRPr="00545FCA">
        <w:rPr>
          <w:vertAlign w:val="superscript"/>
          <w:lang w:val="en-US"/>
        </w:rPr>
        <w:t>–1</w:t>
      </w:r>
      <w:r w:rsidRPr="00545FCA">
        <w:rPr>
          <w:lang w:val="en-US"/>
        </w:rPr>
        <w:t>.</w:t>
      </w:r>
    </w:p>
    <w:p w:rsidR="009B1906" w:rsidRDefault="009B1906" w:rsidP="00833F98">
      <w:pPr>
        <w:keepNext/>
        <w:keepLines/>
        <w:spacing w:before="80"/>
        <w:rPr>
          <w:lang w:val="ru-RU"/>
        </w:rPr>
      </w:pPr>
      <w:r w:rsidRPr="008D0B05">
        <w:rPr>
          <w:lang w:val="ru-RU"/>
        </w:rPr>
        <w:lastRenderedPageBreak/>
        <w:t>Подстановка 27,3 дБ</w:t>
      </w:r>
      <w:r w:rsidRPr="008D0B05">
        <w:rPr>
          <w:lang w:val="ru-RU"/>
        </w:rPr>
        <w:noBreakHyphen/>
        <w:t>Гц вместо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>и 28,1 дБ</w:t>
      </w:r>
      <w:r w:rsidRPr="008D0B05">
        <w:rPr>
          <w:lang w:val="ru-RU"/>
        </w:rPr>
        <w:noBreakHyphen/>
        <w:t>Гц вместо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D"/>
      </w:r>
      <w:r w:rsidRPr="008D0B05">
        <w:rPr>
          <w:lang w:val="ru-RU"/>
        </w:rPr>
        <w:t xml:space="preserve"> дает величину отношения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lang w:val="ru-RU"/>
        </w:rPr>
        <w:t>, равную 35,0 дБ</w:t>
      </w:r>
      <w:r w:rsidRPr="008D0B05">
        <w:rPr>
          <w:lang w:val="ru-RU"/>
        </w:rPr>
        <w:noBreakHyphen/>
        <w:t>Гц (см. ниже):</w:t>
      </w:r>
    </w:p>
    <w:p w:rsidR="009B1906" w:rsidRPr="008D0B05" w:rsidRDefault="009B1906" w:rsidP="00833F98">
      <w:pPr>
        <w:pStyle w:val="Equation"/>
        <w:keepNext/>
        <w:keepLines/>
        <w:tabs>
          <w:tab w:val="clear" w:pos="794"/>
        </w:tabs>
        <w:rPr>
          <w:vertAlign w:val="superscript"/>
          <w:lang w:val="ru-RU"/>
        </w:rPr>
      </w:pPr>
      <w:r>
        <w:rPr>
          <w:lang w:val="ru-RU"/>
        </w:rPr>
        <w:tab/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>= ((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vertAlign w:val="superscript"/>
          <w:lang w:val="ru-RU"/>
        </w:rPr>
        <w:t>–1</w:t>
      </w:r>
      <w:r w:rsidRPr="008D0B05">
        <w:rPr>
          <w:lang w:val="ru-RU"/>
        </w:rPr>
        <w:t> –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D"/>
      </w:r>
      <w:r w:rsidRPr="008D0B05">
        <w:rPr>
          <w:vertAlign w:val="superscript"/>
          <w:lang w:val="ru-RU"/>
        </w:rPr>
        <w:t>–1</w:t>
      </w:r>
      <w:r w:rsidRPr="008D0B05">
        <w:rPr>
          <w:lang w:val="ru-RU"/>
        </w:rPr>
        <w:t>)</w:t>
      </w:r>
      <w:r w:rsidRPr="008D0B05">
        <w:rPr>
          <w:vertAlign w:val="superscript"/>
          <w:lang w:val="ru-RU"/>
        </w:rPr>
        <w:t>–1</w:t>
      </w:r>
    </w:p>
    <w:p w:rsidR="009B1906" w:rsidRDefault="009B1906" w:rsidP="00833F98">
      <w:pPr>
        <w:keepNext/>
        <w:keepLines/>
        <w:rPr>
          <w:lang w:val="ru-RU"/>
        </w:rPr>
      </w:pPr>
      <w:r w:rsidRPr="008D0B05">
        <w:rPr>
          <w:lang w:val="ru-RU"/>
        </w:rPr>
        <w:t>или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lang w:val="ru-RU"/>
        </w:rPr>
      </w:pPr>
      <w:r>
        <w:rPr>
          <w:lang w:val="ru-RU"/>
        </w:rPr>
        <w:tab/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>= 10 log ((10</w:t>
      </w:r>
      <w:r w:rsidRPr="008D0B05">
        <w:rPr>
          <w:vertAlign w:val="superscript"/>
          <w:lang w:val="ru-RU"/>
        </w:rPr>
        <w:t xml:space="preserve">–27,3/10 </w:t>
      </w:r>
      <w:r w:rsidRPr="008D0B05">
        <w:rPr>
          <w:lang w:val="ru-RU"/>
        </w:rPr>
        <w:t>– 10</w:t>
      </w:r>
      <w:r w:rsidRPr="008D0B05">
        <w:rPr>
          <w:vertAlign w:val="superscript"/>
          <w:lang w:val="ru-RU"/>
        </w:rPr>
        <w:t>–28,1/10</w:t>
      </w:r>
      <w:r w:rsidRPr="008D0B05">
        <w:rPr>
          <w:lang w:val="ru-RU"/>
        </w:rPr>
        <w:t>)</w:t>
      </w:r>
      <w:r w:rsidRPr="008D0B05">
        <w:rPr>
          <w:vertAlign w:val="superscript"/>
          <w:lang w:val="ru-RU"/>
        </w:rPr>
        <w:t>–1</w:t>
      </w:r>
      <w:r w:rsidRPr="008D0B05">
        <w:rPr>
          <w:lang w:val="ru-RU"/>
        </w:rPr>
        <w:t>),</w:t>
      </w:r>
    </w:p>
    <w:p w:rsidR="009B1906" w:rsidRDefault="009B1906" w:rsidP="009B1906">
      <w:pPr>
        <w:spacing w:before="80"/>
        <w:rPr>
          <w:lang w:val="ru-RU"/>
        </w:rPr>
      </w:pPr>
      <w:r w:rsidRPr="008D0B05">
        <w:rPr>
          <w:lang w:val="ru-RU"/>
        </w:rPr>
        <w:t>в таком случае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lang w:val="ru-RU"/>
        </w:rPr>
      </w:pPr>
      <w:r>
        <w:rPr>
          <w:lang w:val="ru-RU"/>
        </w:rPr>
        <w:tab/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>= 35,0 дБ</w:t>
      </w:r>
      <w:r w:rsidRPr="008D0B05">
        <w:rPr>
          <w:lang w:val="ru-RU"/>
        </w:rPr>
        <w:noBreakHyphen/>
        <w:t>Гц.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Спектральная плотность мощности шума на линии вниз без помех на входе МШУ, составляет </w:t>
      </w:r>
      <w:r w:rsidRPr="008D0B05">
        <w:rPr>
          <w:lang w:val="ru-RU"/>
        </w:rPr>
        <w:br/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 = </w:t>
      </w:r>
      <w:r w:rsidRPr="008D0B05">
        <w:rPr>
          <w:i/>
          <w:iCs/>
          <w:lang w:val="ru-RU"/>
        </w:rPr>
        <w:t>k T</w:t>
      </w:r>
      <w:r w:rsidRPr="008D0B05">
        <w:rPr>
          <w:lang w:val="ru-RU"/>
        </w:rPr>
        <w:t xml:space="preserve">, где </w:t>
      </w:r>
      <w:r w:rsidRPr="008D0B05">
        <w:rPr>
          <w:i/>
          <w:iCs/>
          <w:lang w:val="ru-RU"/>
        </w:rPr>
        <w:t>k</w:t>
      </w:r>
      <w:r w:rsidRPr="008D0B05">
        <w:rPr>
          <w:lang w:val="ru-RU"/>
        </w:rPr>
        <w:t xml:space="preserve"> – постоянная Больцмана. Следовательно, 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0 </w:t>
      </w:r>
      <w:r w:rsidRPr="008D0B05">
        <w:rPr>
          <w:lang w:val="ru-RU"/>
        </w:rPr>
        <w:t>= −228,6 + 20,2 = −208,4 дБ(Вт/Гц).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Отношение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>равно 35,5 дБ и 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>равно –208,4 дБ(Вт/Гц), поэтому величина C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vertAlign w:val="subscript"/>
          <w:lang w:val="ru-RU"/>
        </w:rPr>
        <w:t xml:space="preserve"> </w:t>
      </w:r>
      <w:r w:rsidRPr="008D0B05">
        <w:rPr>
          <w:lang w:val="ru-RU"/>
        </w:rPr>
        <w:t>составляет −171,0</w:t>
      </w:r>
      <w:r w:rsidRPr="008D0B05">
        <w:rPr>
          <w:i/>
          <w:lang w:val="ru-RU"/>
        </w:rPr>
        <w:t> </w:t>
      </w:r>
      <w:r w:rsidRPr="008D0B05">
        <w:rPr>
          <w:iCs/>
          <w:lang w:val="ru-RU"/>
        </w:rPr>
        <w:t>дБВт.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 xml:space="preserve">Максимальная допустимая спектральная плотность мощности помех на линии вниз от совокупности всех источников помех,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(max), измеренная на входе МШУ приемника GEOLUT в полосе 1544,5 МГц </w:t>
      </w:r>
      <w:r w:rsidRPr="008D0B05">
        <w:rPr>
          <w:lang w:val="ru-RU"/>
        </w:rPr>
        <w:sym w:font="Symbol" w:char="F0B1"/>
      </w:r>
      <w:r w:rsidRPr="008D0B05">
        <w:rPr>
          <w:lang w:val="ru-RU"/>
        </w:rPr>
        <w:t> 100 кГц, составляет:</w:t>
      </w:r>
    </w:p>
    <w:p w:rsidR="009B1906" w:rsidRPr="00545FCA" w:rsidRDefault="009B1906" w:rsidP="009B1906">
      <w:pPr>
        <w:pStyle w:val="Equation"/>
        <w:tabs>
          <w:tab w:val="clear" w:pos="794"/>
        </w:tabs>
        <w:rPr>
          <w:lang w:val="en-US"/>
        </w:rPr>
      </w:pPr>
      <w:r>
        <w:rPr>
          <w:lang w:val="ru-RU"/>
        </w:rPr>
        <w:tab/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(max) = 10 log (10</w:t>
      </w:r>
      <w:r w:rsidRPr="00545FCA">
        <w:rPr>
          <w:vertAlign w:val="superscript"/>
          <w:lang w:val="en-US"/>
        </w:rPr>
        <w:t>(</w:t>
      </w:r>
      <w:r w:rsidRPr="00545FCA">
        <w:rPr>
          <w:i/>
          <w:iCs/>
          <w:vertAlign w:val="superscript"/>
          <w:lang w:val="en-US"/>
        </w:rPr>
        <w:t>C</w:t>
      </w:r>
      <w:r w:rsidRPr="008D0B05">
        <w:rPr>
          <w:iCs/>
          <w:position w:val="-4"/>
          <w:szCs w:val="24"/>
          <w:vertAlign w:val="superscript"/>
          <w:lang w:val="ru-RU"/>
        </w:rPr>
        <w:sym w:font="Symbol" w:char="F0AF"/>
      </w:r>
      <w:r w:rsidRPr="00545FCA">
        <w:rPr>
          <w:i/>
          <w:iCs/>
          <w:vertAlign w:val="superscript"/>
          <w:lang w:val="en-US"/>
        </w:rPr>
        <w:t> </w:t>
      </w:r>
      <w:r w:rsidRPr="00545FCA">
        <w:rPr>
          <w:vertAlign w:val="superscript"/>
          <w:lang w:val="en-US"/>
        </w:rPr>
        <w:t>– (</w:t>
      </w:r>
      <w:r w:rsidRPr="00545FCA">
        <w:rPr>
          <w:i/>
          <w:iCs/>
          <w:vertAlign w:val="superscript"/>
          <w:lang w:val="en-US"/>
        </w:rPr>
        <w:t>C</w:t>
      </w:r>
      <w:r w:rsidRPr="00545FCA">
        <w:rPr>
          <w:vertAlign w:val="superscript"/>
          <w:lang w:val="en-US"/>
        </w:rPr>
        <w:t>/(</w:t>
      </w:r>
      <w:r w:rsidRPr="00545FCA">
        <w:rPr>
          <w:i/>
          <w:iCs/>
          <w:vertAlign w:val="superscript"/>
          <w:lang w:val="en-US"/>
        </w:rPr>
        <w:t>N</w:t>
      </w:r>
      <w:r w:rsidRPr="00545FCA">
        <w:rPr>
          <w:sz w:val="16"/>
          <w:szCs w:val="16"/>
          <w:vertAlign w:val="superscript"/>
          <w:lang w:val="en-US"/>
        </w:rPr>
        <w:t>0</w:t>
      </w:r>
      <w:r w:rsidRPr="00545FCA">
        <w:rPr>
          <w:vertAlign w:val="superscript"/>
          <w:lang w:val="en-US"/>
        </w:rPr>
        <w:t xml:space="preserve"> + </w:t>
      </w:r>
      <w:r w:rsidRPr="00545FCA">
        <w:rPr>
          <w:i/>
          <w:iCs/>
          <w:vertAlign w:val="superscript"/>
          <w:lang w:val="en-US"/>
        </w:rPr>
        <w:t>I</w:t>
      </w:r>
      <w:r w:rsidRPr="00545FCA">
        <w:rPr>
          <w:sz w:val="16"/>
          <w:szCs w:val="16"/>
          <w:vertAlign w:val="superscript"/>
          <w:lang w:val="en-US"/>
        </w:rPr>
        <w:t>0</w:t>
      </w:r>
      <w:r w:rsidRPr="00545FCA">
        <w:rPr>
          <w:vertAlign w:val="superscript"/>
          <w:lang w:val="en-US"/>
        </w:rPr>
        <w:t>)</w:t>
      </w:r>
      <w:r w:rsidRPr="008D0B05">
        <w:rPr>
          <w:iCs/>
          <w:position w:val="-4"/>
          <w:szCs w:val="24"/>
          <w:vertAlign w:val="superscript"/>
          <w:lang w:val="ru-RU"/>
        </w:rPr>
        <w:sym w:font="Symbol" w:char="F0AF"/>
      </w:r>
      <w:r w:rsidRPr="00545FCA">
        <w:rPr>
          <w:vertAlign w:val="superscript"/>
          <w:lang w:val="en-US"/>
        </w:rPr>
        <w:t>))/10</w:t>
      </w:r>
      <w:r w:rsidRPr="00545FCA">
        <w:rPr>
          <w:lang w:val="en-US"/>
        </w:rPr>
        <w:t> – 10</w:t>
      </w:r>
      <w:r w:rsidRPr="00545FCA">
        <w:rPr>
          <w:vertAlign w:val="superscript"/>
          <w:lang w:val="en-US"/>
        </w:rPr>
        <w:t>(</w:t>
      </w:r>
      <w:r w:rsidRPr="00545FCA">
        <w:rPr>
          <w:i/>
          <w:iCs/>
          <w:vertAlign w:val="superscript"/>
          <w:lang w:val="en-US"/>
        </w:rPr>
        <w:t>N</w:t>
      </w:r>
      <w:r w:rsidRPr="00545FCA">
        <w:rPr>
          <w:sz w:val="16"/>
          <w:szCs w:val="16"/>
          <w:vertAlign w:val="superscript"/>
          <w:lang w:val="en-US"/>
        </w:rPr>
        <w:t>0</w:t>
      </w:r>
      <w:r w:rsidRPr="00545FCA">
        <w:rPr>
          <w:vertAlign w:val="superscript"/>
          <w:lang w:val="en-US"/>
        </w:rPr>
        <w:t>)</w:t>
      </w:r>
      <w:r w:rsidRPr="008D0B05">
        <w:rPr>
          <w:iCs/>
          <w:position w:val="-4"/>
          <w:szCs w:val="24"/>
          <w:vertAlign w:val="superscript"/>
          <w:lang w:val="ru-RU"/>
        </w:rPr>
        <w:sym w:font="Symbol" w:char="F0AF"/>
      </w:r>
      <w:r w:rsidRPr="00545FCA">
        <w:rPr>
          <w:vertAlign w:val="superscript"/>
          <w:lang w:val="en-US"/>
        </w:rPr>
        <w:t>/10</w:t>
      </w:r>
      <w:r w:rsidRPr="00545FCA">
        <w:rPr>
          <w:lang w:val="en-US"/>
        </w:rPr>
        <w:t>)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>или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lang w:val="ru-RU"/>
        </w:rPr>
      </w:pPr>
      <w:r>
        <w:rPr>
          <w:lang w:val="ru-RU"/>
        </w:rPr>
        <w:tab/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(max) = 10 log (10</w:t>
      </w:r>
      <w:r w:rsidRPr="008D0B05">
        <w:rPr>
          <w:vertAlign w:val="superscript"/>
          <w:lang w:val="ru-RU"/>
        </w:rPr>
        <w:t>(–171,0 – 35,0)/10</w:t>
      </w:r>
      <w:r w:rsidRPr="008D0B05">
        <w:rPr>
          <w:lang w:val="ru-RU"/>
        </w:rPr>
        <w:t> – 10</w:t>
      </w:r>
      <w:r w:rsidRPr="008D0B05">
        <w:rPr>
          <w:vertAlign w:val="superscript"/>
          <w:lang w:val="ru-RU"/>
        </w:rPr>
        <w:t>–208,4/10</w:t>
      </w:r>
      <w:r w:rsidRPr="008D0B05">
        <w:rPr>
          <w:lang w:val="ru-RU"/>
        </w:rPr>
        <w:t>),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>в таком случае</w:t>
      </w:r>
    </w:p>
    <w:p w:rsidR="009B1906" w:rsidRPr="00545FCA" w:rsidRDefault="009B1906" w:rsidP="009B1906">
      <w:pPr>
        <w:pStyle w:val="Equation"/>
        <w:tabs>
          <w:tab w:val="clear" w:pos="794"/>
        </w:tabs>
        <w:rPr>
          <w:lang w:val="en-US"/>
        </w:rPr>
      </w:pPr>
      <w:r>
        <w:rPr>
          <w:lang w:val="ru-RU"/>
        </w:rPr>
        <w:tab/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(max) = –209,7 </w:t>
      </w:r>
      <w:r w:rsidRPr="008D0B05">
        <w:rPr>
          <w:lang w:val="ru-RU"/>
        </w:rPr>
        <w:t>дБ</w:t>
      </w:r>
      <w:r w:rsidRPr="00545FCA">
        <w:rPr>
          <w:lang w:val="en-US"/>
        </w:rPr>
        <w:t>(</w:t>
      </w:r>
      <w:r w:rsidRPr="008D0B05">
        <w:rPr>
          <w:lang w:val="ru-RU"/>
        </w:rPr>
        <w:t>Вт</w:t>
      </w:r>
      <w:r w:rsidRPr="00545FCA">
        <w:rPr>
          <w:lang w:val="en-US"/>
        </w:rPr>
        <w:t>/</w:t>
      </w:r>
      <w:r w:rsidRPr="008D0B05">
        <w:rPr>
          <w:lang w:val="ru-RU"/>
        </w:rPr>
        <w:t>Гц</w:t>
      </w:r>
      <w:r w:rsidRPr="00545FCA">
        <w:rPr>
          <w:lang w:val="en-US"/>
        </w:rPr>
        <w:t>).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>Рассматриваемые критерии защиты желательно характеризовать в виде порогового мешающего уровня с.п.п.м., указываемого в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 xml:space="preserve"> ∙ Гц)) на входе антенны GEOLUT. Эффективная апертура антенны, </w:t>
      </w:r>
      <w:r w:rsidRPr="008D0B05">
        <w:rPr>
          <w:i/>
          <w:iCs/>
          <w:lang w:val="ru-RU"/>
        </w:rPr>
        <w:t>A</w:t>
      </w:r>
      <w:r w:rsidRPr="008D0B05">
        <w:rPr>
          <w:i/>
          <w:iCs/>
          <w:vertAlign w:val="subscript"/>
          <w:lang w:val="ru-RU"/>
        </w:rPr>
        <w:t>e</w:t>
      </w:r>
      <w:r w:rsidRPr="008D0B05">
        <w:rPr>
          <w:lang w:val="ru-RU"/>
        </w:rPr>
        <w:t>, с усилением</w:t>
      </w:r>
      <w:r w:rsidRPr="008D0B05">
        <w:rPr>
          <w:i/>
          <w:iCs/>
          <w:lang w:val="ru-RU"/>
        </w:rPr>
        <w:t xml:space="preserve"> G</w:t>
      </w:r>
      <w:r w:rsidRPr="008D0B05">
        <w:rPr>
          <w:lang w:val="ru-RU"/>
        </w:rPr>
        <w:t xml:space="preserve"> определяется как </w:t>
      </w:r>
      <w:r w:rsidRPr="008D0B05">
        <w:rPr>
          <w:i/>
          <w:iCs/>
          <w:lang w:val="ru-RU"/>
        </w:rPr>
        <w:t>A</w:t>
      </w:r>
      <w:r w:rsidRPr="008D0B05">
        <w:rPr>
          <w:i/>
          <w:iCs/>
          <w:vertAlign w:val="subscript"/>
          <w:lang w:val="ru-RU"/>
        </w:rPr>
        <w:t>e</w:t>
      </w:r>
      <w:r w:rsidRPr="008D0B05">
        <w:rPr>
          <w:lang w:val="ru-RU"/>
        </w:rPr>
        <w:t> = </w:t>
      </w:r>
      <w:r w:rsidRPr="008D0B05">
        <w:rPr>
          <w:i/>
          <w:iCs/>
          <w:lang w:val="ru-RU"/>
        </w:rPr>
        <w:t>G</w:t>
      </w:r>
      <w:r w:rsidRPr="008D0B05">
        <w:rPr>
          <w:rFonts w:ascii="Symbol" w:hAnsi="Symbol"/>
          <w:lang w:val="ru-RU"/>
        </w:rPr>
        <w:t>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/4</w:t>
      </w:r>
      <w:r w:rsidRPr="008D0B05">
        <w:rPr>
          <w:rFonts w:ascii="Symbol" w:hAnsi="Symbol"/>
          <w:lang w:val="ru-RU"/>
        </w:rPr>
        <w:t></w:t>
      </w:r>
      <w:r w:rsidRPr="008D0B05">
        <w:rPr>
          <w:rFonts w:ascii="Symbol" w:hAnsi="Symbol"/>
          <w:lang w:val="ru-RU"/>
        </w:rPr>
        <w:t></w:t>
      </w:r>
      <w:r w:rsidRPr="008D0B05">
        <w:rPr>
          <w:lang w:val="ru-RU"/>
        </w:rPr>
        <w:t xml:space="preserve"> Антенна GEOLUT имеет усиление 35,7 дБ, поэтому эффективная апертура равна 12,0 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. Максимальная допустимая суммарная помеха, указываемая в виде с.п.п.м., составляет:</w:t>
      </w:r>
    </w:p>
    <w:p w:rsidR="009B1906" w:rsidRPr="00545FCA" w:rsidRDefault="009B1906" w:rsidP="009B1906">
      <w:pPr>
        <w:pStyle w:val="Equation"/>
        <w:tabs>
          <w:tab w:val="clear" w:pos="794"/>
        </w:tabs>
        <w:rPr>
          <w:i/>
          <w:iCs/>
          <w:vertAlign w:val="subscript"/>
          <w:lang w:val="en-US"/>
        </w:rPr>
      </w:pPr>
      <w:r>
        <w:rPr>
          <w:lang w:val="ru-RU"/>
        </w:rPr>
        <w:tab/>
      </w:r>
      <w:r w:rsidRPr="008D0B05">
        <w:rPr>
          <w:lang w:val="ru-RU"/>
        </w:rPr>
        <w:t>с</w:t>
      </w:r>
      <w:r w:rsidRPr="00545FCA">
        <w:rPr>
          <w:lang w:val="en-US"/>
        </w:rPr>
        <w:t>.</w:t>
      </w:r>
      <w:r w:rsidRPr="008D0B05">
        <w:rPr>
          <w:lang w:val="ru-RU"/>
        </w:rPr>
        <w:t>п</w:t>
      </w:r>
      <w:r w:rsidRPr="00545FCA">
        <w:rPr>
          <w:lang w:val="en-US"/>
        </w:rPr>
        <w:t>.</w:t>
      </w:r>
      <w:r w:rsidRPr="008D0B05">
        <w:rPr>
          <w:lang w:val="ru-RU"/>
        </w:rPr>
        <w:t>п</w:t>
      </w:r>
      <w:r w:rsidRPr="00545FCA">
        <w:rPr>
          <w:lang w:val="en-US"/>
        </w:rPr>
        <w:t>.</w:t>
      </w:r>
      <w:r w:rsidRPr="008D0B05">
        <w:rPr>
          <w:lang w:val="ru-RU"/>
        </w:rPr>
        <w:t>м</w:t>
      </w:r>
      <w:r w:rsidRPr="00545FCA">
        <w:rPr>
          <w:lang w:val="en-US"/>
        </w:rPr>
        <w:t xml:space="preserve">. = 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 xml:space="preserve">(max) – </w:t>
      </w:r>
      <w:r w:rsidRPr="00545FCA">
        <w:rPr>
          <w:i/>
          <w:iCs/>
          <w:lang w:val="en-US"/>
        </w:rPr>
        <w:t>L</w:t>
      </w:r>
      <w:r w:rsidRPr="00545FCA">
        <w:rPr>
          <w:i/>
          <w:iCs/>
          <w:vertAlign w:val="subscript"/>
          <w:lang w:val="en-US"/>
        </w:rPr>
        <w:t>Line</w:t>
      </w:r>
      <w:r w:rsidRPr="00545FCA">
        <w:rPr>
          <w:lang w:val="en-US"/>
        </w:rPr>
        <w:t xml:space="preserve"> – </w:t>
      </w:r>
      <w:r w:rsidRPr="00545FCA">
        <w:rPr>
          <w:i/>
          <w:iCs/>
          <w:lang w:val="en-US"/>
        </w:rPr>
        <w:t>A</w:t>
      </w:r>
      <w:r w:rsidRPr="00545FCA">
        <w:rPr>
          <w:i/>
          <w:iCs/>
          <w:vertAlign w:val="subscript"/>
          <w:lang w:val="en-US"/>
        </w:rPr>
        <w:t>e</w:t>
      </w:r>
      <w:r w:rsidRPr="00545FCA">
        <w:rPr>
          <w:lang w:val="en-US"/>
        </w:rPr>
        <w:t>.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 xml:space="preserve">Предполагая </w:t>
      </w:r>
      <w:r w:rsidRPr="008D0B05">
        <w:rPr>
          <w:i/>
          <w:iCs/>
          <w:lang w:val="ru-RU"/>
        </w:rPr>
        <w:t>L</w:t>
      </w:r>
      <w:r w:rsidRPr="008D0B05">
        <w:rPr>
          <w:i/>
          <w:iCs/>
          <w:vertAlign w:val="subscript"/>
          <w:lang w:val="ru-RU"/>
        </w:rPr>
        <w:t>Line</w:t>
      </w:r>
      <w:r w:rsidRPr="008D0B05">
        <w:rPr>
          <w:lang w:val="ru-RU"/>
        </w:rPr>
        <w:t xml:space="preserve"> = 0,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lang w:val="ru-RU"/>
        </w:rPr>
      </w:pPr>
      <w:r>
        <w:rPr>
          <w:lang w:val="ru-RU"/>
        </w:rPr>
        <w:tab/>
      </w:r>
      <w:r w:rsidRPr="008D0B05">
        <w:rPr>
          <w:lang w:val="ru-RU"/>
        </w:rPr>
        <w:t>с.п.п.м. = –209,7</w:t>
      </w:r>
      <w:r w:rsidRPr="008D0B05">
        <w:rPr>
          <w:i/>
          <w:lang w:val="ru-RU"/>
        </w:rPr>
        <w:t xml:space="preserve"> </w:t>
      </w:r>
      <w:r w:rsidRPr="008D0B05">
        <w:rPr>
          <w:lang w:val="ru-RU"/>
        </w:rPr>
        <w:t xml:space="preserve">– 0 – 10 log (12,0) </w:t>
      </w:r>
    </w:p>
    <w:p w:rsidR="009B1906" w:rsidRPr="008D0B05" w:rsidRDefault="009B1906" w:rsidP="009B1906">
      <w:pPr>
        <w:pStyle w:val="Equation"/>
        <w:tabs>
          <w:tab w:val="clear" w:pos="794"/>
          <w:tab w:val="clear" w:pos="4820"/>
          <w:tab w:val="left" w:pos="3969"/>
        </w:tabs>
        <w:rPr>
          <w:lang w:val="ru-RU"/>
        </w:rPr>
      </w:pPr>
      <w:r w:rsidRPr="008D0B05">
        <w:rPr>
          <w:lang w:val="ru-RU"/>
        </w:rPr>
        <w:tab/>
        <w:t>= –220,5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 ∙ Гц)).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Максимальный уровень широкополосной шумоподобной помехи в канале терминала GEOLUT в полосе 1544,5 МГц </w:t>
      </w:r>
      <w:r w:rsidRPr="008D0B05">
        <w:rPr>
          <w:lang w:val="ru-RU"/>
        </w:rPr>
        <w:sym w:font="Symbol" w:char="F0B1"/>
      </w:r>
      <w:r w:rsidRPr="008D0B05">
        <w:rPr>
          <w:lang w:val="ru-RU"/>
        </w:rPr>
        <w:t> 100 кГц не должен превышать –220,5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 ∙ Гц)).</w:t>
      </w:r>
    </w:p>
    <w:p w:rsidR="009B1906" w:rsidRPr="008D0B05" w:rsidRDefault="009B1906" w:rsidP="009B1906">
      <w:pPr>
        <w:pStyle w:val="Heading1"/>
        <w:rPr>
          <w:lang w:val="ru-RU"/>
        </w:rPr>
      </w:pPr>
      <w:r w:rsidRPr="008D0B05">
        <w:rPr>
          <w:lang w:val="ru-RU"/>
        </w:rPr>
        <w:t>4</w:t>
      </w:r>
      <w:r w:rsidRPr="008D0B05">
        <w:rPr>
          <w:lang w:val="ru-RU"/>
        </w:rPr>
        <w:tab/>
        <w:t>Процедура вычисления уровня помех каналу SARR 406 МГц спутника MSG на линии вниз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Помехи, создаваемые системе Коспас-Сарсат, чаще всего являются результатом внеполосных излучений от служб в соседних или близких к ним полосах, таких как распределения службе ПСС в направлении космос-Земля.</w:t>
      </w:r>
    </w:p>
    <w:p w:rsidR="009B1906" w:rsidRPr="008D0B05" w:rsidRDefault="009B1906" w:rsidP="00CF2CE6">
      <w:pPr>
        <w:rPr>
          <w:lang w:val="ru-RU"/>
        </w:rPr>
      </w:pPr>
      <w:r w:rsidRPr="008D0B05">
        <w:rPr>
          <w:lang w:val="ru-RU"/>
        </w:rPr>
        <w:t>Чтобы определить, передается ли энергия в полосе частот 1544,5 МГц </w:t>
      </w:r>
      <w:r w:rsidRPr="008D0B05">
        <w:rPr>
          <w:lang w:val="ru-RU"/>
        </w:rPr>
        <w:sym w:font="Symbol" w:char="F0B1"/>
      </w:r>
      <w:r w:rsidRPr="008D0B05">
        <w:rPr>
          <w:lang w:val="ru-RU"/>
        </w:rPr>
        <w:t> 100 кГц, следует изучить ширину полосы излучения. Необходимо проявлять особое внимание при анализе влияния подвижных систем (например, негеостационарных спутников и передатчиков на борту воздушных судов) для учета эффектов доп</w:t>
      </w:r>
      <w:r>
        <w:rPr>
          <w:lang w:val="ru-RU"/>
        </w:rPr>
        <w:t>п</w:t>
      </w:r>
      <w:r w:rsidRPr="008D0B05">
        <w:rPr>
          <w:lang w:val="ru-RU"/>
        </w:rPr>
        <w:t>леровского сдвига частоты, возникающих при их движении.</w:t>
      </w:r>
    </w:p>
    <w:p w:rsidR="009B1906" w:rsidRPr="008D0B05" w:rsidRDefault="009B1906" w:rsidP="00CF2CE6">
      <w:pPr>
        <w:keepNext/>
        <w:keepLines/>
        <w:rPr>
          <w:lang w:val="ru-RU"/>
        </w:rPr>
      </w:pPr>
      <w:r w:rsidRPr="008D0B05">
        <w:rPr>
          <w:lang w:val="ru-RU"/>
        </w:rPr>
        <w:lastRenderedPageBreak/>
        <w:t>Вычислите уровень помех от всех источников, которые передают энергию в этой полосе, выраженный как уровень с.п.п.м. на входе антенны GEOLUT. Суммарный уровень от всех источников помех не должен превышать −220,5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 ∙ Гц)) в любом месте этой полосы.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Вышеуказанный уровень основывается на осевом усилении антенны GEOLUT, равном 35,7 дБи. При определении степени воздействия помех следует, в зависимости от систем, использовать связанные с данной антенной параметры, такие как избирательность антенны, поляризация и другие технические возможности.</w:t>
      </w:r>
    </w:p>
    <w:p w:rsidR="009B1906" w:rsidRPr="008D0B05" w:rsidRDefault="009B1906" w:rsidP="00CF2CE6">
      <w:pPr>
        <w:pStyle w:val="AnnexNoTitle"/>
        <w:rPr>
          <w:lang w:val="ru-RU"/>
        </w:rPr>
      </w:pPr>
      <w:r w:rsidRPr="00CF2CE6">
        <w:rPr>
          <w:lang w:val="ru-RU"/>
        </w:rPr>
        <w:t>Приложение</w:t>
      </w:r>
      <w:r w:rsidRPr="008D0B05">
        <w:rPr>
          <w:lang w:val="ru-RU"/>
        </w:rPr>
        <w:t xml:space="preserve"> 5</w:t>
      </w:r>
      <w:r w:rsidRPr="008D0B05">
        <w:rPr>
          <w:lang w:val="ru-RU"/>
        </w:rPr>
        <w:br/>
      </w:r>
      <w:r w:rsidRPr="008D0B05">
        <w:rPr>
          <w:lang w:val="ru-RU"/>
        </w:rPr>
        <w:br/>
        <w:t xml:space="preserve">Критерии защиты в полосе 1544–1545 МГц для терминалов MEOLUT </w:t>
      </w:r>
      <w:r w:rsidRPr="008D0B05">
        <w:rPr>
          <w:lang w:val="ru-RU"/>
        </w:rPr>
        <w:br/>
        <w:t xml:space="preserve">системы Коспас-Сарсат, которые осуществляют прием транслируемых </w:t>
      </w:r>
      <w:r w:rsidR="00CF2CE6" w:rsidRPr="00CF2CE6">
        <w:rPr>
          <w:lang w:val="ru-RU"/>
        </w:rPr>
        <w:br/>
      </w:r>
      <w:r w:rsidRPr="008D0B05">
        <w:rPr>
          <w:lang w:val="ru-RU"/>
        </w:rPr>
        <w:t>через спутники GALILEO сигналов от радиомаяков,</w:t>
      </w:r>
      <w:r w:rsidR="00CF2CE6" w:rsidRPr="00CF2CE6">
        <w:rPr>
          <w:lang w:val="ru-RU"/>
        </w:rPr>
        <w:t xml:space="preserve"> </w:t>
      </w:r>
      <w:r w:rsidRPr="008D0B05">
        <w:rPr>
          <w:lang w:val="ru-RU"/>
        </w:rPr>
        <w:t xml:space="preserve">передающих </w:t>
      </w:r>
      <w:r w:rsidR="00CF2CE6" w:rsidRPr="00CF2CE6">
        <w:rPr>
          <w:lang w:val="ru-RU"/>
        </w:rPr>
        <w:br/>
      </w:r>
      <w:r w:rsidRPr="008D0B05">
        <w:rPr>
          <w:lang w:val="ru-RU"/>
        </w:rPr>
        <w:t>сигналы бедствия и работающих в диапазоне 406 МГц</w:t>
      </w:r>
    </w:p>
    <w:p w:rsidR="009B1906" w:rsidRPr="008D0B05" w:rsidRDefault="009B1906" w:rsidP="009B1906">
      <w:pPr>
        <w:pStyle w:val="Heading1"/>
        <w:rPr>
          <w:lang w:val="ru-RU"/>
        </w:rPr>
      </w:pPr>
      <w:r w:rsidRPr="008D0B05">
        <w:rPr>
          <w:caps/>
          <w:lang w:val="ru-RU"/>
        </w:rPr>
        <w:t>1</w:t>
      </w:r>
      <w:r w:rsidRPr="008D0B05">
        <w:rPr>
          <w:caps/>
          <w:lang w:val="ru-RU"/>
        </w:rPr>
        <w:tab/>
      </w:r>
      <w:r w:rsidRPr="008D0B05">
        <w:rPr>
          <w:lang w:val="ru-RU"/>
        </w:rPr>
        <w:t>Введение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Ретрансляторы поиска и спасания системы Коспас-Сарсат расположены на борту спутников GALILEO. Эти ретрансляторы принимают сигналы от маяков, передающих сигналы бедствия в диапазоне 406 МГц, и транслируют сигналы на терминалы MEOLUT Коспас-Сарсат на частотах линии вниз в полосе 1544–1545 МГц. По результатам приведенного в данном Приложении анализа устанавливаются критерии защиты от помех </w:t>
      </w:r>
      <w:r w:rsidRPr="008D0B05">
        <w:rPr>
          <w:spacing w:val="-2"/>
          <w:szCs w:val="22"/>
          <w:lang w:val="ru-RU"/>
        </w:rPr>
        <w:t xml:space="preserve">для терминалов </w:t>
      </w:r>
      <w:r w:rsidRPr="008D0B05">
        <w:rPr>
          <w:lang w:val="ru-RU"/>
        </w:rPr>
        <w:t>MEOLUT</w:t>
      </w:r>
      <w:r w:rsidRPr="008D0B05">
        <w:rPr>
          <w:spacing w:val="-2"/>
          <w:szCs w:val="22"/>
          <w:lang w:val="ru-RU"/>
        </w:rPr>
        <w:t xml:space="preserve">, которые принимают сигналы со спутников </w:t>
      </w:r>
      <w:r w:rsidRPr="008D0B05">
        <w:rPr>
          <w:lang w:val="ru-RU"/>
        </w:rPr>
        <w:t xml:space="preserve">GALILEO </w:t>
      </w:r>
      <w:r w:rsidRPr="008D0B05">
        <w:rPr>
          <w:spacing w:val="-2"/>
          <w:szCs w:val="22"/>
          <w:lang w:val="ru-RU"/>
        </w:rPr>
        <w:t>в полосе 1544–1545 МГц.</w:t>
      </w:r>
    </w:p>
    <w:p w:rsidR="009B1906" w:rsidRPr="008D0B05" w:rsidRDefault="009B1906" w:rsidP="009B1906">
      <w:pPr>
        <w:pStyle w:val="Heading1"/>
        <w:rPr>
          <w:lang w:val="ru-RU"/>
        </w:rPr>
      </w:pPr>
      <w:r w:rsidRPr="008D0B05">
        <w:rPr>
          <w:lang w:val="ru-RU"/>
        </w:rPr>
        <w:t>2</w:t>
      </w:r>
      <w:r w:rsidRPr="008D0B05">
        <w:rPr>
          <w:lang w:val="ru-RU"/>
        </w:rPr>
        <w:tab/>
        <w:t>Минимальные допустимые характеристики для обнаружения сигналов маяков, передающих сигналы бедствия в диапазоне 406 МГц, транслируемых через спутник GALILEO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Для надежного обнаружения сигналов от маяков, передающих сигналы бедствия в диапазоне 406 МГц, с использованием ретрансляторов 406 МГц на спутниках GALILEO, BER в канале не должен превышать 5 </w:t>
      </w:r>
      <w:r w:rsidRPr="008D0B05">
        <w:rPr>
          <w:lang w:val="ru-RU"/>
        </w:rPr>
        <w:sym w:font="Symbol" w:char="F0B4"/>
      </w:r>
      <w:r w:rsidRPr="008D0B05">
        <w:rPr>
          <w:lang w:val="ru-RU"/>
        </w:rPr>
        <w:t> 10</w:t>
      </w:r>
      <w:r w:rsidRPr="008D0B05">
        <w:rPr>
          <w:vertAlign w:val="superscript"/>
          <w:lang w:val="ru-RU"/>
        </w:rPr>
        <w:t>−5</w:t>
      </w:r>
      <w:r w:rsidRPr="008D0B05">
        <w:rPr>
          <w:lang w:val="ru-RU"/>
        </w:rPr>
        <w:t xml:space="preserve">. </w:t>
      </w:r>
    </w:p>
    <w:p w:rsidR="009B1906" w:rsidRPr="008D0B05" w:rsidRDefault="009B1906" w:rsidP="009B1906">
      <w:pPr>
        <w:pStyle w:val="Heading1"/>
        <w:rPr>
          <w:lang w:val="ru-RU"/>
        </w:rPr>
      </w:pPr>
      <w:r w:rsidRPr="008D0B05">
        <w:rPr>
          <w:caps/>
          <w:lang w:val="ru-RU"/>
        </w:rPr>
        <w:t>3</w:t>
      </w:r>
      <w:r w:rsidRPr="008D0B05">
        <w:rPr>
          <w:caps/>
          <w:lang w:val="ru-RU"/>
        </w:rPr>
        <w:tab/>
      </w:r>
      <w:r w:rsidRPr="008D0B05">
        <w:rPr>
          <w:lang w:val="ru-RU"/>
        </w:rPr>
        <w:t>Анализ с.п.п.м. помех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Величина BER в канале связи выводится из отношения энергии, содержащейся в каждом бите данных,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 xml:space="preserve">, к плотности шума. Общая плотность шума состоит из теплового шума, 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, и шума, определяемого помехами от других систем,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. На рисунке 5 показан канал полезной нагрузки SAR 406 МГц спутника GALILEO с помехами на линии вниз.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Чтобы достичь величины BER на уровне 5 </w:t>
      </w:r>
      <w:r w:rsidRPr="008D0B05">
        <w:rPr>
          <w:lang w:val="ru-RU"/>
        </w:rPr>
        <w:sym w:font="Symbol" w:char="F0B4"/>
      </w:r>
      <w:r w:rsidRPr="008D0B05">
        <w:rPr>
          <w:lang w:val="ru-RU"/>
        </w:rPr>
        <w:t> 10</w:t>
      </w:r>
      <w:r w:rsidRPr="008D0B05">
        <w:rPr>
          <w:vertAlign w:val="superscript"/>
          <w:lang w:val="ru-RU"/>
        </w:rPr>
        <w:t>−5</w:t>
      </w:r>
      <w:r w:rsidRPr="008D0B05">
        <w:rPr>
          <w:lang w:val="ru-RU"/>
        </w:rPr>
        <w:t>, отношение энергии на бит к плотности шума и помех (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)) в демодуляторе MEOLUT должно равняться или превышать 8,8 дБ. Данный анализ определяет максимальный уровень широкополосной шумоподобной помехи, указываемой в качестве с.п.п.м., отнесенной ко входу антенны MEOLUT, которая может быть согласована без снижения общей величины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) на линии ниже 8,8 дБ. 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Общая требуемая величина 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 при 400 бит/с (26 дБ/с) составляет: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lang w:val="ru-RU" w:eastAsia="zh-CN"/>
        </w:rPr>
      </w:pPr>
      <w:r w:rsidRPr="008D0B05">
        <w:rPr>
          <w:lang w:val="ru-RU" w:eastAsia="zh-CN"/>
        </w:rPr>
        <w:tab/>
        <w:t xml:space="preserve">Общее </w:t>
      </w:r>
      <w:r w:rsidRPr="008D0B05">
        <w:rPr>
          <w:i/>
          <w:iCs/>
          <w:lang w:val="ru-RU" w:eastAsia="zh-CN"/>
        </w:rPr>
        <w:t>C</w:t>
      </w:r>
      <w:r w:rsidRPr="008D0B05">
        <w:rPr>
          <w:lang w:val="ru-RU" w:eastAsia="zh-CN"/>
        </w:rPr>
        <w:t>/(</w:t>
      </w:r>
      <w:r w:rsidRPr="008D0B05">
        <w:rPr>
          <w:i/>
          <w:iCs/>
          <w:lang w:val="ru-RU" w:eastAsia="zh-CN"/>
        </w:rPr>
        <w:t>N</w:t>
      </w:r>
      <w:r w:rsidRPr="008D0B05">
        <w:rPr>
          <w:vertAlign w:val="subscript"/>
          <w:lang w:val="ru-RU" w:eastAsia="zh-CN"/>
        </w:rPr>
        <w:t>0</w:t>
      </w:r>
      <w:r w:rsidRPr="008D0B05">
        <w:rPr>
          <w:lang w:val="ru-RU" w:eastAsia="zh-CN"/>
        </w:rPr>
        <w:t> + </w:t>
      </w:r>
      <w:r w:rsidRPr="008D0B05">
        <w:rPr>
          <w:i/>
          <w:iCs/>
          <w:lang w:val="ru-RU" w:eastAsia="zh-CN"/>
        </w:rPr>
        <w:t>I</w:t>
      </w:r>
      <w:r w:rsidRPr="008D0B05">
        <w:rPr>
          <w:vertAlign w:val="subscript"/>
          <w:lang w:val="ru-RU" w:eastAsia="zh-CN"/>
        </w:rPr>
        <w:t>0</w:t>
      </w:r>
      <w:r w:rsidRPr="008D0B05">
        <w:rPr>
          <w:lang w:val="ru-RU" w:eastAsia="zh-CN"/>
        </w:rPr>
        <w:t>) = 8,8 + 10 log10(400) = 34,8 дБ-Гц</w:t>
      </w:r>
      <w:r w:rsidRPr="008D0B05">
        <w:rPr>
          <w:lang w:val="ru-RU"/>
        </w:rPr>
        <w:t>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Как видно из рисунка 5, сигналы от маяков, передающих сигналы бедствия в диапазоне 406 МГц, принимаются полезной нагрузкой SAR спутника GALILEO и транслируются в линию вниз на несущей 1544,1 МГц </w:t>
      </w:r>
      <w:r w:rsidRPr="008D0B05">
        <w:rPr>
          <w:szCs w:val="24"/>
          <w:lang w:val="ru-RU"/>
        </w:rPr>
        <w:sym w:font="Symbol" w:char="F0B1"/>
      </w:r>
      <w:r w:rsidRPr="008D0B05">
        <w:rPr>
          <w:lang w:val="ru-RU"/>
        </w:rPr>
        <w:t xml:space="preserve"> 100 кГц для обнаружения и обработки терминалами MEOLUT. Усиление антенны и шумовая температура системы для терминала MEOLUT SAR/Galileo составляют 27 дБи и 253 K (24 дБ(K)), соответственно. Соответствующее отношение </w:t>
      </w:r>
      <w:r w:rsidRPr="008D0B05">
        <w:rPr>
          <w:i/>
          <w:iCs/>
          <w:lang w:val="ru-RU"/>
        </w:rPr>
        <w:t>G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T</w:t>
      </w:r>
      <w:r w:rsidRPr="008D0B05">
        <w:rPr>
          <w:lang w:val="ru-RU"/>
        </w:rPr>
        <w:t xml:space="preserve"> составляет 3 дБ/K.</w:t>
      </w:r>
    </w:p>
    <w:p w:rsidR="009B1906" w:rsidRPr="008D0B05" w:rsidRDefault="009B1906" w:rsidP="009B1906">
      <w:pPr>
        <w:pStyle w:val="FigureNo"/>
        <w:rPr>
          <w:lang w:val="ru-RU"/>
        </w:rPr>
      </w:pPr>
      <w:bookmarkStart w:id="19" w:name="_Ref222480835"/>
      <w:r w:rsidRPr="008D0B05">
        <w:rPr>
          <w:lang w:val="ru-RU"/>
        </w:rPr>
        <w:lastRenderedPageBreak/>
        <w:t>РИСУНОК 5</w:t>
      </w:r>
      <w:bookmarkEnd w:id="19"/>
    </w:p>
    <w:p w:rsidR="009B1906" w:rsidRPr="009B1906" w:rsidRDefault="009B1906" w:rsidP="009B1906">
      <w:pPr>
        <w:pStyle w:val="Figuretitle"/>
        <w:keepLines/>
        <w:rPr>
          <w:lang w:val="ru-RU"/>
        </w:rPr>
      </w:pPr>
      <w:r w:rsidRPr="009B1906">
        <w:rPr>
          <w:lang w:val="ru-RU"/>
        </w:rPr>
        <w:t xml:space="preserve">Вариант линии ретранслятора </w:t>
      </w:r>
      <w:r w:rsidRPr="008D0B05">
        <w:t>SAR</w:t>
      </w:r>
      <w:r w:rsidRPr="009B1906">
        <w:rPr>
          <w:lang w:val="ru-RU"/>
        </w:rPr>
        <w:t xml:space="preserve"> </w:t>
      </w:r>
      <w:r>
        <w:t>GALILEO</w:t>
      </w:r>
    </w:p>
    <w:p w:rsidR="009B1906" w:rsidRDefault="00975F69" w:rsidP="00975F69">
      <w:pPr>
        <w:pStyle w:val="Figure"/>
        <w:rPr>
          <w:lang w:val="ru-RU"/>
        </w:rPr>
      </w:pPr>
      <w:r>
        <w:object w:dxaOrig="11571" w:dyaOrig="7507">
          <v:shape id="_x0000_i1029" type="#_x0000_t75" style="width:472.5pt;height:306.5pt" o:ole="">
            <v:imagedata r:id="rId23" o:title=""/>
          </v:shape>
          <o:OLEObject Type="Embed" ProgID="CorelDRAW.Graphic.14" ShapeID="_x0000_i1029" DrawAspect="Content" ObjectID="_1361690673" r:id="rId24"/>
        </w:objec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Угол места сигнала маяка составляет 5° относительно космического аппарата. При отсутствии внешних источников помех и согласно Приложению 6 (расчет бюджета линий Коспас-Сарсат) общее значение 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составляет 35,4</w:t>
      </w:r>
      <w:r w:rsidRPr="008D0B05">
        <w:rPr>
          <w:i/>
          <w:lang w:val="ru-RU"/>
        </w:rPr>
        <w:t> </w:t>
      </w:r>
      <w:r w:rsidRPr="008D0B05">
        <w:rPr>
          <w:lang w:val="ru-RU"/>
        </w:rPr>
        <w:t>дБ</w:t>
      </w:r>
      <w:r w:rsidRPr="008D0B05">
        <w:rPr>
          <w:lang w:val="ru-RU"/>
        </w:rPr>
        <w:noBreakHyphen/>
        <w:t xml:space="preserve">Гц, что при 400 бит/с соответствует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,</w:t>
      </w:r>
      <w:r w:rsidRPr="008D0B05">
        <w:rPr>
          <w:vertAlign w:val="subscript"/>
          <w:lang w:val="ru-RU"/>
        </w:rPr>
        <w:t xml:space="preserve"> </w:t>
      </w:r>
      <w:r w:rsidRPr="008D0B05">
        <w:rPr>
          <w:lang w:val="ru-RU"/>
        </w:rPr>
        <w:t>равному 9,4 дБ (35,4 дБ</w:t>
      </w:r>
      <w:r w:rsidRPr="008D0B05">
        <w:rPr>
          <w:lang w:val="ru-RU"/>
        </w:rPr>
        <w:noBreakHyphen/>
        <w:t xml:space="preserve">Гц – 26 дБ/с). Учет потерь на аппаратную реализацию (0,5 дБ), демодуляцию данных от маяка (1,0 дБ), а также выигрыша от обработки (2,0 дБ) на терминале MEOLUT приводит к эффективному отношению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, равному 9,9 дБ. Поскольку в канале для обеспечения надежного соответствия минимальным характеристикам требуется общее отношение </w:t>
      </w:r>
      <w:r w:rsidRPr="008D0B05">
        <w:rPr>
          <w:i/>
          <w:iCs/>
          <w:lang w:val="ru-RU"/>
        </w:rPr>
        <w:t>E</w:t>
      </w:r>
      <w:r w:rsidRPr="008D0B05">
        <w:rPr>
          <w:i/>
          <w:iCs/>
          <w:vertAlign w:val="subscript"/>
          <w:lang w:val="ru-RU"/>
        </w:rPr>
        <w:t>b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 + 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 не менее 8,8 дБ, не может быть допущен уровень накопленных широкополосных помех на линии вниз, который снижает общее отношение несущей к плотности шума и помех более чем на 1,1 дБ.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Если общее отношение 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 xml:space="preserve">0 </w:t>
      </w:r>
      <w:r w:rsidRPr="008D0B05">
        <w:rPr>
          <w:lang w:val="ru-RU"/>
        </w:rPr>
        <w:t>в отсутствие помех составляет 35,4 дБ</w:t>
      </w:r>
      <w:r w:rsidRPr="008D0B05">
        <w:rPr>
          <w:lang w:val="ru-RU"/>
        </w:rPr>
        <w:noBreakHyphen/>
        <w:t>Гц, широкополосная шумоподобная помеха на линии вниз, снижающая его на 1,1 дБ, приведет к общему отношению несущей к плотности шума и помех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+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lang w:val="ru-RU"/>
        </w:rPr>
        <w:t>, равному 34,3 дБ-Гц.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Отношение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+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lang w:val="ru-RU"/>
        </w:rPr>
        <w:t xml:space="preserve"> вычисляется из отношений несущей к плотности шума и помех на линии вверх и линии вниз, как указано ниже:</w:t>
      </w:r>
    </w:p>
    <w:p w:rsidR="009B1906" w:rsidRPr="00545FCA" w:rsidRDefault="009B1906" w:rsidP="009B1906">
      <w:pPr>
        <w:pStyle w:val="Equation"/>
        <w:tabs>
          <w:tab w:val="clear" w:pos="794"/>
        </w:tabs>
        <w:rPr>
          <w:lang w:val="en-US"/>
        </w:rPr>
      </w:pPr>
      <w:r w:rsidRPr="008D0B05">
        <w:rPr>
          <w:lang w:val="ru-RU"/>
        </w:rPr>
        <w:tab/>
      </w:r>
      <w:r w:rsidRPr="00545FCA">
        <w:rPr>
          <w:lang w:val="en-US"/>
        </w:rPr>
        <w:t>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 xml:space="preserve"> + 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545FCA">
        <w:rPr>
          <w:lang w:val="en-US"/>
        </w:rPr>
        <w:t xml:space="preserve"> = ((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 xml:space="preserve"> + 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545FCA">
        <w:rPr>
          <w:vertAlign w:val="superscript"/>
          <w:lang w:val="en-US"/>
        </w:rPr>
        <w:t>−1</w:t>
      </w:r>
      <w:r w:rsidRPr="008D0B05">
        <w:rPr>
          <w:iCs/>
          <w:szCs w:val="24"/>
          <w:vertAlign w:val="subscript"/>
          <w:lang w:val="ru-RU"/>
        </w:rPr>
        <w:sym w:font="Symbol" w:char="F0AD"/>
      </w:r>
      <w:r w:rsidRPr="00545FCA">
        <w:rPr>
          <w:i/>
          <w:iCs/>
          <w:lang w:val="en-US"/>
        </w:rPr>
        <w:t xml:space="preserve"> </w:t>
      </w:r>
      <w:r w:rsidRPr="00545FCA">
        <w:rPr>
          <w:lang w:val="en-US"/>
        </w:rPr>
        <w:t>+ 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 xml:space="preserve"> + 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545FCA">
        <w:rPr>
          <w:vertAlign w:val="superscript"/>
          <w:lang w:val="en-US"/>
        </w:rPr>
        <w:t>−1</w:t>
      </w:r>
      <w:r w:rsidRPr="008D0B05">
        <w:rPr>
          <w:iCs/>
          <w:szCs w:val="24"/>
          <w:vertAlign w:val="subscript"/>
          <w:lang w:val="ru-RU"/>
        </w:rPr>
        <w:sym w:font="Symbol" w:char="F0AF"/>
      </w:r>
      <w:r w:rsidRPr="00545FCA">
        <w:rPr>
          <w:lang w:val="en-US"/>
        </w:rPr>
        <w:t>)</w:t>
      </w:r>
      <w:r w:rsidRPr="00545FCA">
        <w:rPr>
          <w:vertAlign w:val="superscript"/>
          <w:lang w:val="en-US"/>
        </w:rPr>
        <w:t>−1</w:t>
      </w:r>
      <w:r w:rsidRPr="00545FCA">
        <w:rPr>
          <w:lang w:val="en-US"/>
        </w:rPr>
        <w:t>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Поскольку данный анализ касается только помех на линии вниз, указанное выше уравнение упрощается до:</w:t>
      </w:r>
    </w:p>
    <w:p w:rsidR="009B1906" w:rsidRPr="00545FCA" w:rsidRDefault="009B1906" w:rsidP="009B1906">
      <w:pPr>
        <w:pStyle w:val="Equation"/>
        <w:tabs>
          <w:tab w:val="clear" w:pos="794"/>
        </w:tabs>
        <w:rPr>
          <w:lang w:val="en-US"/>
        </w:rPr>
      </w:pPr>
      <w:r w:rsidRPr="008D0B05">
        <w:rPr>
          <w:lang w:val="ru-RU"/>
        </w:rPr>
        <w:tab/>
      </w:r>
      <w:r w:rsidRPr="00545FCA">
        <w:rPr>
          <w:lang w:val="en-US"/>
        </w:rPr>
        <w:t>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 xml:space="preserve"> + 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545FCA">
        <w:rPr>
          <w:lang w:val="en-US"/>
        </w:rPr>
        <w:t xml:space="preserve"> = ((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</w:t>
      </w:r>
      <w:r w:rsidRPr="00545FCA">
        <w:rPr>
          <w:vertAlign w:val="superscript"/>
          <w:lang w:val="en-US"/>
        </w:rPr>
        <w:t>−1</w:t>
      </w:r>
      <w:r w:rsidRPr="008D0B05">
        <w:rPr>
          <w:iCs/>
          <w:szCs w:val="24"/>
          <w:vertAlign w:val="subscript"/>
          <w:lang w:val="ru-RU"/>
        </w:rPr>
        <w:sym w:font="Symbol" w:char="F0AD"/>
      </w:r>
      <w:r w:rsidRPr="00545FCA">
        <w:rPr>
          <w:lang w:val="en-US"/>
        </w:rPr>
        <w:t xml:space="preserve"> + (</w:t>
      </w:r>
      <w:r w:rsidRPr="00545FCA">
        <w:rPr>
          <w:i/>
          <w:iCs/>
          <w:lang w:val="en-US"/>
        </w:rPr>
        <w:t>C</w:t>
      </w:r>
      <w:r w:rsidRPr="00545FCA">
        <w:rPr>
          <w:lang w:val="en-US"/>
        </w:rPr>
        <w:t>/(</w:t>
      </w:r>
      <w:r w:rsidRPr="00545FCA">
        <w:rPr>
          <w:i/>
          <w:iCs/>
          <w:lang w:val="en-US"/>
        </w:rPr>
        <w:t>N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 xml:space="preserve"> + </w:t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))</w:t>
      </w:r>
      <w:r w:rsidRPr="00545FCA">
        <w:rPr>
          <w:vertAlign w:val="superscript"/>
          <w:lang w:val="en-US"/>
        </w:rPr>
        <w:t>−1</w:t>
      </w:r>
      <w:r w:rsidRPr="008D0B05">
        <w:rPr>
          <w:iCs/>
          <w:szCs w:val="24"/>
          <w:vertAlign w:val="subscript"/>
          <w:lang w:val="ru-RU"/>
        </w:rPr>
        <w:sym w:font="Symbol" w:char="F0AF"/>
      </w:r>
      <w:r w:rsidRPr="00545FCA">
        <w:rPr>
          <w:lang w:val="en-US"/>
        </w:rPr>
        <w:t>)</w:t>
      </w:r>
      <w:r w:rsidRPr="00545FCA">
        <w:rPr>
          <w:vertAlign w:val="superscript"/>
          <w:lang w:val="en-US"/>
        </w:rPr>
        <w:t>−1</w:t>
      </w:r>
      <w:r w:rsidRPr="00545FCA">
        <w:rPr>
          <w:lang w:val="en-US"/>
        </w:rPr>
        <w:t>.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>Подстановка 34,3 дБ</w:t>
      </w:r>
      <w:r w:rsidRPr="008D0B05">
        <w:rPr>
          <w:lang w:val="ru-RU"/>
        </w:rPr>
        <w:noBreakHyphen/>
        <w:t>Гц вместо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+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lang w:val="ru-RU"/>
        </w:rPr>
        <w:t xml:space="preserve"> и 35,7 дБ</w:t>
      </w:r>
      <w:r w:rsidRPr="008D0B05">
        <w:rPr>
          <w:lang w:val="ru-RU"/>
        </w:rPr>
        <w:noBreakHyphen/>
        <w:t>Гц вместо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szCs w:val="24"/>
          <w:vertAlign w:val="subscript"/>
          <w:lang w:val="ru-RU"/>
        </w:rPr>
        <w:sym w:font="Symbol" w:char="F0AD"/>
      </w:r>
      <w:r w:rsidRPr="008D0B05">
        <w:rPr>
          <w:lang w:val="ru-RU"/>
        </w:rPr>
        <w:t xml:space="preserve"> дает величину отношения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+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Cs/>
          <w:szCs w:val="24"/>
          <w:vertAlign w:val="subscript"/>
          <w:lang w:val="ru-RU"/>
        </w:rPr>
        <w:sym w:font="Symbol" w:char="F0AF"/>
      </w:r>
      <w:r w:rsidRPr="008D0B05">
        <w:rPr>
          <w:lang w:val="ru-RU"/>
        </w:rPr>
        <w:t>, равную 39,9 дБ</w:t>
      </w:r>
      <w:r w:rsidRPr="008D0B05">
        <w:rPr>
          <w:lang w:val="ru-RU"/>
        </w:rPr>
        <w:noBreakHyphen/>
        <w:t>Гц (см. ниже):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vertAlign w:val="superscript"/>
          <w:lang w:val="ru-RU"/>
        </w:rPr>
      </w:pPr>
      <w:r w:rsidRPr="008D0B05">
        <w:rPr>
          <w:lang w:val="ru-RU"/>
        </w:rPr>
        <w:tab/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+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szCs w:val="24"/>
          <w:vertAlign w:val="subscript"/>
          <w:lang w:val="ru-RU"/>
        </w:rPr>
        <w:sym w:font="Symbol" w:char="F0AF"/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>= ((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+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))</w:t>
      </w:r>
      <w:r w:rsidRPr="008D0B05">
        <w:rPr>
          <w:i/>
          <w:iCs/>
          <w:vertAlign w:val="subscript"/>
          <w:lang w:val="ru-RU"/>
        </w:rPr>
        <w:t>общее</w:t>
      </w:r>
      <w:r w:rsidRPr="008D0B05">
        <w:rPr>
          <w:lang w:val="ru-RU"/>
        </w:rPr>
        <w:t xml:space="preserve"> </w:t>
      </w:r>
      <w:r w:rsidRPr="008D0B05">
        <w:rPr>
          <w:vertAlign w:val="superscript"/>
          <w:lang w:val="ru-RU"/>
        </w:rPr>
        <w:t>−1</w:t>
      </w:r>
      <w:r w:rsidRPr="008D0B05">
        <w:rPr>
          <w:lang w:val="ru-RU"/>
        </w:rPr>
        <w:t xml:space="preserve"> −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szCs w:val="24"/>
          <w:vertAlign w:val="subscript"/>
          <w:lang w:val="ru-RU"/>
        </w:rPr>
        <w:sym w:font="Symbol" w:char="F0AD"/>
      </w:r>
      <w:r w:rsidRPr="008D0B05">
        <w:rPr>
          <w:vertAlign w:val="superscript"/>
          <w:lang w:val="ru-RU"/>
        </w:rPr>
        <w:t>−1</w:t>
      </w:r>
      <w:r w:rsidRPr="008D0B05">
        <w:rPr>
          <w:lang w:val="ru-RU"/>
        </w:rPr>
        <w:t>)</w:t>
      </w:r>
      <w:r w:rsidRPr="008D0B05">
        <w:rPr>
          <w:vertAlign w:val="superscript"/>
          <w:lang w:val="ru-RU"/>
        </w:rPr>
        <w:t>−1</w:t>
      </w:r>
    </w:p>
    <w:p w:rsidR="009B1906" w:rsidRDefault="009B1906" w:rsidP="00015D24">
      <w:pPr>
        <w:keepNext/>
        <w:keepLines/>
        <w:rPr>
          <w:lang w:val="ru-RU"/>
        </w:rPr>
      </w:pPr>
      <w:r w:rsidRPr="008D0B05">
        <w:rPr>
          <w:lang w:val="ru-RU"/>
        </w:rPr>
        <w:lastRenderedPageBreak/>
        <w:t>или</w:t>
      </w:r>
    </w:p>
    <w:p w:rsidR="009B1906" w:rsidRPr="008D0B05" w:rsidRDefault="009B1906" w:rsidP="00015D24">
      <w:pPr>
        <w:pStyle w:val="Equation"/>
        <w:keepNext/>
        <w:keepLines/>
        <w:tabs>
          <w:tab w:val="clear" w:pos="794"/>
        </w:tabs>
        <w:rPr>
          <w:lang w:val="ru-RU"/>
        </w:rPr>
      </w:pPr>
      <w:r w:rsidRPr="008D0B05">
        <w:rPr>
          <w:lang w:val="ru-RU"/>
        </w:rPr>
        <w:tab/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+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szCs w:val="24"/>
          <w:vertAlign w:val="subscript"/>
          <w:lang w:val="ru-RU"/>
        </w:rPr>
        <w:sym w:font="Symbol" w:char="F0AF"/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>= 10 log ((10</w:t>
      </w:r>
      <w:r w:rsidRPr="008D0B05">
        <w:rPr>
          <w:vertAlign w:val="superscript"/>
          <w:lang w:val="ru-RU"/>
        </w:rPr>
        <w:t>−</w:t>
      </w:r>
      <w:r w:rsidRPr="00545FCA">
        <w:rPr>
          <w:bCs/>
          <w:vertAlign w:val="superscript"/>
          <w:lang w:val="ru-RU"/>
        </w:rPr>
        <w:t>34,3</w:t>
      </w:r>
      <w:r w:rsidRPr="008D0B05">
        <w:rPr>
          <w:vertAlign w:val="superscript"/>
          <w:lang w:val="ru-RU"/>
        </w:rPr>
        <w:t xml:space="preserve">/10 </w:t>
      </w:r>
      <w:r w:rsidRPr="008D0B05">
        <w:rPr>
          <w:lang w:val="ru-RU"/>
        </w:rPr>
        <w:t>− 10</w:t>
      </w:r>
      <w:r w:rsidRPr="008D0B05">
        <w:rPr>
          <w:vertAlign w:val="superscript"/>
          <w:lang w:val="ru-RU"/>
        </w:rPr>
        <w:t>−</w:t>
      </w:r>
      <w:r w:rsidRPr="00545FCA">
        <w:rPr>
          <w:bCs/>
          <w:vertAlign w:val="superscript"/>
          <w:lang w:val="ru-RU"/>
        </w:rPr>
        <w:t>35,7</w:t>
      </w:r>
      <w:r w:rsidRPr="008D0B05">
        <w:rPr>
          <w:vertAlign w:val="superscript"/>
          <w:lang w:val="ru-RU"/>
        </w:rPr>
        <w:t>/10</w:t>
      </w:r>
      <w:r w:rsidRPr="008D0B05">
        <w:rPr>
          <w:lang w:val="ru-RU"/>
        </w:rPr>
        <w:t>)</w:t>
      </w:r>
      <w:r w:rsidRPr="008D0B05">
        <w:rPr>
          <w:vertAlign w:val="superscript"/>
          <w:lang w:val="ru-RU"/>
        </w:rPr>
        <w:t>−1</w:t>
      </w:r>
      <w:r w:rsidRPr="008D0B05">
        <w:rPr>
          <w:lang w:val="ru-RU"/>
        </w:rPr>
        <w:t>)</w:t>
      </w:r>
      <w:r>
        <w:rPr>
          <w:lang w:val="ru-RU"/>
        </w:rPr>
        <w:t>,</w:t>
      </w:r>
    </w:p>
    <w:p w:rsidR="009B1906" w:rsidRDefault="009B1906" w:rsidP="00015D24">
      <w:pPr>
        <w:keepNext/>
        <w:keepLines/>
        <w:rPr>
          <w:lang w:val="ru-RU"/>
        </w:rPr>
      </w:pPr>
      <w:r w:rsidRPr="008D0B05">
        <w:rPr>
          <w:lang w:val="ru-RU"/>
        </w:rPr>
        <w:t>в таком случае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lang w:val="ru-RU"/>
        </w:rPr>
      </w:pPr>
      <w:r w:rsidRPr="008D0B05">
        <w:rPr>
          <w:lang w:val="ru-RU"/>
        </w:rPr>
        <w:tab/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 +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szCs w:val="24"/>
          <w:vertAlign w:val="subscript"/>
          <w:lang w:val="ru-RU"/>
        </w:rPr>
        <w:sym w:font="Symbol" w:char="F0AF"/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>= 39,9 дБ-Гц.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 xml:space="preserve">Спектральная плотность мощности шума на линии вниз без помех на входе МШУ составляет </w:t>
      </w:r>
      <w:r w:rsidRPr="008D0B05">
        <w:rPr>
          <w:lang w:val="ru-RU"/>
        </w:rPr>
        <w:br/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 = </w:t>
      </w:r>
      <w:r w:rsidRPr="008D0B05">
        <w:rPr>
          <w:i/>
          <w:iCs/>
          <w:lang w:val="ru-RU"/>
        </w:rPr>
        <w:t>k T</w:t>
      </w:r>
      <w:r w:rsidRPr="008D0B05">
        <w:rPr>
          <w:lang w:val="ru-RU"/>
        </w:rPr>
        <w:t xml:space="preserve">, где </w:t>
      </w:r>
      <w:r w:rsidRPr="008D0B05">
        <w:rPr>
          <w:i/>
          <w:iCs/>
          <w:lang w:val="ru-RU"/>
        </w:rPr>
        <w:t>k</w:t>
      </w:r>
      <w:r w:rsidRPr="008D0B05">
        <w:rPr>
          <w:lang w:val="ru-RU"/>
        </w:rPr>
        <w:t xml:space="preserve"> – постоянная Больцмана. Следовательно, 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0 </w:t>
      </w:r>
      <w:r w:rsidRPr="008D0B05">
        <w:rPr>
          <w:lang w:val="ru-RU"/>
        </w:rPr>
        <w:t>= –228,6 + 24 = –204,6 дБ(Вт/Гц).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Отношение (</w:t>
      </w:r>
      <w:r w:rsidRPr="008D0B05">
        <w:rPr>
          <w:i/>
          <w:iCs/>
          <w:lang w:val="ru-RU"/>
        </w:rPr>
        <w:t>C</w:t>
      </w:r>
      <w:r w:rsidRPr="008D0B05">
        <w:rPr>
          <w:lang w:val="ru-RU"/>
        </w:rPr>
        <w:t>/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>равно 46,7 дБ и (</w:t>
      </w:r>
      <w:r w:rsidRPr="008D0B05">
        <w:rPr>
          <w:i/>
          <w:iCs/>
          <w:lang w:val="ru-RU"/>
        </w:rPr>
        <w:t>N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)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>равно –204,6 дБ(Вт/Гц), поэтому величина C</w:t>
      </w:r>
      <w:r w:rsidRPr="008D0B05">
        <w:rPr>
          <w:iCs/>
          <w:vertAlign w:val="subscript"/>
          <w:lang w:val="ru-RU"/>
        </w:rPr>
        <w:sym w:font="Symbol" w:char="F0AF"/>
      </w:r>
      <w:r w:rsidRPr="008D0B05">
        <w:rPr>
          <w:vertAlign w:val="subscript"/>
          <w:lang w:val="ru-RU"/>
        </w:rPr>
        <w:t xml:space="preserve"> </w:t>
      </w:r>
      <w:r w:rsidRPr="008D0B05">
        <w:rPr>
          <w:lang w:val="ru-RU"/>
        </w:rPr>
        <w:t>равна −157,9</w:t>
      </w:r>
      <w:r w:rsidRPr="008D0B05">
        <w:rPr>
          <w:i/>
          <w:lang w:val="ru-RU"/>
        </w:rPr>
        <w:t> </w:t>
      </w:r>
      <w:r w:rsidRPr="008D0B05">
        <w:rPr>
          <w:iCs/>
          <w:lang w:val="ru-RU"/>
        </w:rPr>
        <w:t>дБВт</w:t>
      </w:r>
      <w:r w:rsidRPr="008D0B05">
        <w:rPr>
          <w:lang w:val="ru-RU"/>
        </w:rPr>
        <w:t>.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 xml:space="preserve">Максимальная допустимая спектральная плотность мощности помех на линии вниз от совокупности всех источников помех,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(max), измеренная на входе МШУ приемника MEOLUT в полосе 1544,1 МГц </w:t>
      </w:r>
      <w:r w:rsidRPr="008D0B05">
        <w:rPr>
          <w:lang w:val="ru-RU"/>
        </w:rPr>
        <w:sym w:font="Symbol" w:char="F0B1"/>
      </w:r>
      <w:r w:rsidRPr="008D0B05">
        <w:rPr>
          <w:lang w:val="ru-RU"/>
        </w:rPr>
        <w:t> 100 кГц, составляет:</w:t>
      </w:r>
    </w:p>
    <w:p w:rsidR="009B1906" w:rsidRPr="00545FCA" w:rsidRDefault="009B1906" w:rsidP="009B1906">
      <w:pPr>
        <w:pStyle w:val="Equation"/>
        <w:tabs>
          <w:tab w:val="clear" w:pos="794"/>
        </w:tabs>
        <w:rPr>
          <w:lang w:val="en-US"/>
        </w:rPr>
      </w:pPr>
      <w:r w:rsidRPr="008D0B05">
        <w:rPr>
          <w:lang w:val="ru-RU"/>
        </w:rPr>
        <w:tab/>
      </w:r>
      <w:proofErr w:type="gramStart"/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(</w:t>
      </w:r>
      <w:proofErr w:type="gramEnd"/>
      <w:r w:rsidRPr="00545FCA">
        <w:rPr>
          <w:lang w:val="en-US"/>
        </w:rPr>
        <w:t>max) = 10 log (10</w:t>
      </w:r>
      <w:r w:rsidRPr="00545FCA">
        <w:rPr>
          <w:vertAlign w:val="superscript"/>
          <w:lang w:val="en-US"/>
        </w:rPr>
        <w:t>(</w:t>
      </w:r>
      <w:r w:rsidRPr="00545FCA">
        <w:rPr>
          <w:i/>
          <w:iCs/>
          <w:vertAlign w:val="superscript"/>
          <w:lang w:val="en-US"/>
        </w:rPr>
        <w:t>C</w:t>
      </w:r>
      <w:r w:rsidRPr="008D0B05">
        <w:rPr>
          <w:iCs/>
          <w:position w:val="-4"/>
          <w:szCs w:val="24"/>
          <w:vertAlign w:val="superscript"/>
          <w:lang w:val="ru-RU"/>
        </w:rPr>
        <w:sym w:font="Symbol" w:char="F0AF"/>
      </w:r>
      <w:r w:rsidRPr="00545FCA">
        <w:rPr>
          <w:i/>
          <w:iCs/>
          <w:vertAlign w:val="superscript"/>
          <w:lang w:val="en-US"/>
        </w:rPr>
        <w:t xml:space="preserve"> </w:t>
      </w:r>
      <w:r w:rsidRPr="00545FCA">
        <w:rPr>
          <w:vertAlign w:val="superscript"/>
          <w:lang w:val="en-US"/>
        </w:rPr>
        <w:t>− (</w:t>
      </w:r>
      <w:r w:rsidRPr="00545FCA">
        <w:rPr>
          <w:i/>
          <w:iCs/>
          <w:vertAlign w:val="superscript"/>
          <w:lang w:val="en-US"/>
        </w:rPr>
        <w:t>C</w:t>
      </w:r>
      <w:r w:rsidRPr="00545FCA">
        <w:rPr>
          <w:vertAlign w:val="superscript"/>
          <w:lang w:val="en-US"/>
        </w:rPr>
        <w:t>/(</w:t>
      </w:r>
      <w:r w:rsidRPr="00545FCA">
        <w:rPr>
          <w:i/>
          <w:iCs/>
          <w:vertAlign w:val="superscript"/>
          <w:lang w:val="en-US"/>
        </w:rPr>
        <w:t>N</w:t>
      </w:r>
      <w:r w:rsidRPr="005559DE">
        <w:rPr>
          <w:sz w:val="16"/>
          <w:szCs w:val="16"/>
          <w:vertAlign w:val="superscript"/>
          <w:lang w:val="en-US"/>
        </w:rPr>
        <w:t>0</w:t>
      </w:r>
      <w:r w:rsidRPr="00545FCA">
        <w:rPr>
          <w:vertAlign w:val="superscript"/>
          <w:lang w:val="en-US"/>
        </w:rPr>
        <w:t xml:space="preserve"> + </w:t>
      </w:r>
      <w:r w:rsidRPr="00545FCA">
        <w:rPr>
          <w:i/>
          <w:iCs/>
          <w:vertAlign w:val="superscript"/>
          <w:lang w:val="en-US"/>
        </w:rPr>
        <w:t>I</w:t>
      </w:r>
      <w:r w:rsidRPr="005559DE">
        <w:rPr>
          <w:sz w:val="16"/>
          <w:szCs w:val="16"/>
          <w:vertAlign w:val="superscript"/>
          <w:lang w:val="en-US"/>
        </w:rPr>
        <w:t>0</w:t>
      </w:r>
      <w:r w:rsidRPr="00545FCA">
        <w:rPr>
          <w:vertAlign w:val="superscript"/>
          <w:lang w:val="en-US"/>
        </w:rPr>
        <w:t>)</w:t>
      </w:r>
      <w:r w:rsidRPr="008D0B05">
        <w:rPr>
          <w:iCs/>
          <w:position w:val="-4"/>
          <w:szCs w:val="24"/>
          <w:vertAlign w:val="superscript"/>
          <w:lang w:val="ru-RU"/>
        </w:rPr>
        <w:sym w:font="Symbol" w:char="F0AF"/>
      </w:r>
      <w:r w:rsidRPr="00545FCA">
        <w:rPr>
          <w:vertAlign w:val="superscript"/>
          <w:lang w:val="en-US"/>
        </w:rPr>
        <w:t>))/10</w:t>
      </w:r>
      <w:r w:rsidRPr="00545FCA">
        <w:rPr>
          <w:lang w:val="en-US"/>
        </w:rPr>
        <w:t xml:space="preserve"> − 10</w:t>
      </w:r>
      <w:r w:rsidRPr="00545FCA">
        <w:rPr>
          <w:vertAlign w:val="superscript"/>
          <w:lang w:val="en-US"/>
        </w:rPr>
        <w:t>(</w:t>
      </w:r>
      <w:r w:rsidRPr="00545FCA">
        <w:rPr>
          <w:i/>
          <w:iCs/>
          <w:vertAlign w:val="superscript"/>
          <w:lang w:val="en-US"/>
        </w:rPr>
        <w:t>N</w:t>
      </w:r>
      <w:r w:rsidRPr="005559DE">
        <w:rPr>
          <w:sz w:val="16"/>
          <w:szCs w:val="16"/>
          <w:vertAlign w:val="superscript"/>
          <w:lang w:val="en-US"/>
        </w:rPr>
        <w:t>0</w:t>
      </w:r>
      <w:r w:rsidRPr="00545FCA">
        <w:rPr>
          <w:vertAlign w:val="superscript"/>
          <w:lang w:val="en-US"/>
        </w:rPr>
        <w:t>)</w:t>
      </w:r>
      <w:r w:rsidRPr="008D0B05">
        <w:rPr>
          <w:iCs/>
          <w:position w:val="-4"/>
          <w:szCs w:val="24"/>
          <w:vertAlign w:val="superscript"/>
          <w:lang w:val="ru-RU"/>
        </w:rPr>
        <w:sym w:font="Symbol" w:char="F0AF"/>
      </w:r>
      <w:r w:rsidRPr="00545FCA">
        <w:rPr>
          <w:vertAlign w:val="superscript"/>
          <w:lang w:val="en-US"/>
        </w:rPr>
        <w:t>/10</w:t>
      </w:r>
      <w:r w:rsidRPr="00545FCA">
        <w:rPr>
          <w:lang w:val="en-US"/>
        </w:rPr>
        <w:t>)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>или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lang w:val="ru-RU"/>
        </w:rPr>
      </w:pPr>
      <w:r w:rsidRPr="008D0B05">
        <w:rPr>
          <w:lang w:val="ru-RU"/>
        </w:rPr>
        <w:tab/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>(max) = 10 log (10</w:t>
      </w:r>
      <w:r w:rsidRPr="008D0B05">
        <w:rPr>
          <w:vertAlign w:val="superscript"/>
          <w:lang w:val="ru-RU"/>
        </w:rPr>
        <w:t>(</w:t>
      </w:r>
      <w:r w:rsidRPr="008D0B05">
        <w:rPr>
          <w:bCs/>
          <w:vertAlign w:val="superscript"/>
          <w:lang w:val="ru-RU"/>
        </w:rPr>
        <w:t>−157,9 − 39,9</w:t>
      </w:r>
      <w:r w:rsidRPr="008D0B05">
        <w:rPr>
          <w:vertAlign w:val="superscript"/>
          <w:lang w:val="ru-RU"/>
        </w:rPr>
        <w:t>)/10</w:t>
      </w:r>
      <w:r w:rsidRPr="008D0B05">
        <w:rPr>
          <w:lang w:val="ru-RU"/>
        </w:rPr>
        <w:t xml:space="preserve"> − 10</w:t>
      </w:r>
      <w:r w:rsidRPr="008D0B05">
        <w:rPr>
          <w:bCs/>
          <w:vertAlign w:val="superscript"/>
          <w:lang w:val="ru-RU"/>
        </w:rPr>
        <w:t>−204,6</w:t>
      </w:r>
      <w:r w:rsidRPr="008D0B05">
        <w:rPr>
          <w:vertAlign w:val="superscript"/>
          <w:lang w:val="ru-RU"/>
        </w:rPr>
        <w:t>/10</w:t>
      </w:r>
      <w:r w:rsidRPr="008D0B05">
        <w:rPr>
          <w:lang w:val="ru-RU"/>
        </w:rPr>
        <w:t>)</w:t>
      </w:r>
      <w:r>
        <w:rPr>
          <w:lang w:val="ru-RU"/>
        </w:rPr>
        <w:t>,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>в таком случае</w:t>
      </w:r>
    </w:p>
    <w:p w:rsidR="009B1906" w:rsidRPr="00545FCA" w:rsidRDefault="009B1906" w:rsidP="009B1906">
      <w:pPr>
        <w:pStyle w:val="Equation"/>
        <w:tabs>
          <w:tab w:val="clear" w:pos="794"/>
        </w:tabs>
        <w:rPr>
          <w:lang w:val="en-US"/>
        </w:rPr>
      </w:pPr>
      <w:r w:rsidRPr="008D0B05">
        <w:rPr>
          <w:i/>
          <w:iCs/>
          <w:lang w:val="ru-RU"/>
        </w:rPr>
        <w:tab/>
      </w:r>
      <w:r w:rsidRPr="00545FCA">
        <w:rPr>
          <w:i/>
          <w:iCs/>
          <w:lang w:val="en-US"/>
        </w:rPr>
        <w:t>I</w:t>
      </w:r>
      <w:r w:rsidRPr="00545FCA">
        <w:rPr>
          <w:vertAlign w:val="subscript"/>
          <w:lang w:val="en-US"/>
        </w:rPr>
        <w:t>0</w:t>
      </w:r>
      <w:r w:rsidRPr="00545FCA">
        <w:rPr>
          <w:lang w:val="en-US"/>
        </w:rPr>
        <w:t>(max) = −198,8 </w:t>
      </w:r>
      <w:r w:rsidRPr="008D0B05">
        <w:rPr>
          <w:lang w:val="ru-RU"/>
        </w:rPr>
        <w:t>дБ</w:t>
      </w:r>
      <w:r w:rsidRPr="00545FCA">
        <w:rPr>
          <w:lang w:val="en-US"/>
        </w:rPr>
        <w:t>(</w:t>
      </w:r>
      <w:r w:rsidRPr="008D0B05">
        <w:rPr>
          <w:lang w:val="ru-RU"/>
        </w:rPr>
        <w:t>Вт</w:t>
      </w:r>
      <w:r w:rsidRPr="00545FCA">
        <w:rPr>
          <w:lang w:val="en-US"/>
        </w:rPr>
        <w:t>/</w:t>
      </w:r>
      <w:r w:rsidRPr="008D0B05">
        <w:rPr>
          <w:lang w:val="ru-RU"/>
        </w:rPr>
        <w:t>Гц</w:t>
      </w:r>
      <w:r w:rsidRPr="00545FCA">
        <w:rPr>
          <w:lang w:val="en-US"/>
        </w:rPr>
        <w:t>).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>Рассматриваемые критерии защиты желательно характеризовать в виде порогового уровня с.п.п.м. помех, указываемого в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 xml:space="preserve"> ∙ Гц)) на входе антенны MEOLUT. Эффективная апертура антенны, </w:t>
      </w:r>
      <w:r w:rsidRPr="008D0B05">
        <w:rPr>
          <w:i/>
          <w:iCs/>
          <w:lang w:val="ru-RU"/>
        </w:rPr>
        <w:t>A</w:t>
      </w:r>
      <w:r w:rsidRPr="008D0B05">
        <w:rPr>
          <w:i/>
          <w:iCs/>
          <w:vertAlign w:val="subscript"/>
          <w:lang w:val="ru-RU"/>
        </w:rPr>
        <w:t>e</w:t>
      </w:r>
      <w:r w:rsidRPr="008D0B05">
        <w:rPr>
          <w:lang w:val="ru-RU"/>
        </w:rPr>
        <w:t>, с усилением</w:t>
      </w:r>
      <w:r w:rsidRPr="008D0B05">
        <w:rPr>
          <w:i/>
          <w:iCs/>
          <w:lang w:val="ru-RU"/>
        </w:rPr>
        <w:t xml:space="preserve"> G</w:t>
      </w:r>
      <w:r w:rsidRPr="008D0B05">
        <w:rPr>
          <w:lang w:val="ru-RU"/>
        </w:rPr>
        <w:t xml:space="preserve"> определяется как </w:t>
      </w:r>
      <w:r w:rsidRPr="008D0B05">
        <w:rPr>
          <w:i/>
          <w:iCs/>
          <w:lang w:val="ru-RU"/>
        </w:rPr>
        <w:t>A</w:t>
      </w:r>
      <w:r w:rsidRPr="008D0B05">
        <w:rPr>
          <w:i/>
          <w:iCs/>
          <w:vertAlign w:val="subscript"/>
          <w:lang w:val="ru-RU"/>
        </w:rPr>
        <w:t>e</w:t>
      </w:r>
      <w:r w:rsidRPr="008D0B05">
        <w:rPr>
          <w:lang w:val="ru-RU"/>
        </w:rPr>
        <w:t> = </w:t>
      </w:r>
      <w:r w:rsidRPr="008D0B05">
        <w:rPr>
          <w:i/>
          <w:iCs/>
          <w:lang w:val="ru-RU"/>
        </w:rPr>
        <w:t>G</w:t>
      </w:r>
      <w:r w:rsidRPr="008D0B05">
        <w:rPr>
          <w:rFonts w:ascii="Symbol" w:hAnsi="Symbol"/>
          <w:lang w:val="ru-RU"/>
        </w:rPr>
        <w:t>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/4</w:t>
      </w:r>
      <w:r w:rsidRPr="008D0B05">
        <w:rPr>
          <w:rFonts w:ascii="Symbol" w:hAnsi="Symbol"/>
          <w:lang w:val="ru-RU"/>
        </w:rPr>
        <w:t></w:t>
      </w:r>
      <w:r w:rsidRPr="008D0B05">
        <w:rPr>
          <w:rFonts w:ascii="Symbol" w:hAnsi="Symbol"/>
          <w:lang w:val="ru-RU"/>
        </w:rPr>
        <w:t></w:t>
      </w:r>
      <w:r w:rsidRPr="008D0B05">
        <w:rPr>
          <w:rFonts w:ascii="Symbol" w:hAnsi="Symbol"/>
          <w:lang w:val="ru-RU"/>
        </w:rPr>
        <w:t></w:t>
      </w:r>
      <w:r w:rsidRPr="008D0B05">
        <w:rPr>
          <w:lang w:val="ru-RU"/>
        </w:rPr>
        <w:t>Антенна MEOLUT имеет усиление 27 дБи, следовательно, эффективная апертура равна 1,5 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. Максимальная допустимая суммарная помеха, указываемая в виде с.п.п.м., составляет: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vertAlign w:val="subscript"/>
          <w:lang w:val="ru-RU"/>
        </w:rPr>
      </w:pPr>
      <w:r w:rsidRPr="008D0B05">
        <w:rPr>
          <w:lang w:val="ru-RU"/>
        </w:rPr>
        <w:tab/>
        <w:t xml:space="preserve">с.п.п.м. = </w:t>
      </w:r>
      <w:r w:rsidRPr="008D0B05">
        <w:rPr>
          <w:i/>
          <w:iCs/>
          <w:lang w:val="ru-RU"/>
        </w:rPr>
        <w:t>I</w:t>
      </w:r>
      <w:r w:rsidRPr="008D0B05">
        <w:rPr>
          <w:vertAlign w:val="subscript"/>
          <w:lang w:val="ru-RU"/>
        </w:rPr>
        <w:t>0</w:t>
      </w:r>
      <w:r w:rsidRPr="008D0B05">
        <w:rPr>
          <w:lang w:val="ru-RU"/>
        </w:rPr>
        <w:t xml:space="preserve">(max) − </w:t>
      </w:r>
      <w:r w:rsidRPr="008D0B05">
        <w:rPr>
          <w:i/>
          <w:iCs/>
          <w:lang w:val="ru-RU"/>
        </w:rPr>
        <w:t>L</w:t>
      </w:r>
      <w:r w:rsidRPr="008D0B05">
        <w:rPr>
          <w:i/>
          <w:iCs/>
          <w:vertAlign w:val="subscript"/>
          <w:lang w:val="ru-RU"/>
        </w:rPr>
        <w:t>Line</w:t>
      </w:r>
      <w:r w:rsidRPr="008D0B05">
        <w:rPr>
          <w:i/>
          <w:iCs/>
          <w:lang w:val="ru-RU"/>
        </w:rPr>
        <w:t xml:space="preserve"> </w:t>
      </w:r>
      <w:r w:rsidRPr="008D0B05">
        <w:rPr>
          <w:lang w:val="ru-RU"/>
        </w:rPr>
        <w:t xml:space="preserve">− </w:t>
      </w:r>
      <w:r w:rsidRPr="008D0B05">
        <w:rPr>
          <w:i/>
          <w:iCs/>
          <w:lang w:val="ru-RU"/>
        </w:rPr>
        <w:t>A</w:t>
      </w:r>
      <w:r w:rsidRPr="008D0B05">
        <w:rPr>
          <w:i/>
          <w:iCs/>
          <w:vertAlign w:val="subscript"/>
          <w:lang w:val="ru-RU"/>
        </w:rPr>
        <w:t>e</w:t>
      </w:r>
      <w:r w:rsidRPr="008D0B05">
        <w:rPr>
          <w:lang w:val="ru-RU"/>
        </w:rPr>
        <w:t>.</w:t>
      </w:r>
    </w:p>
    <w:p w:rsidR="009B1906" w:rsidRDefault="009B1906" w:rsidP="009B1906">
      <w:pPr>
        <w:rPr>
          <w:lang w:val="ru-RU"/>
        </w:rPr>
      </w:pPr>
      <w:r w:rsidRPr="008D0B05">
        <w:rPr>
          <w:lang w:val="ru-RU"/>
        </w:rPr>
        <w:t xml:space="preserve">Предполагая </w:t>
      </w:r>
      <w:r w:rsidRPr="008D0B05">
        <w:rPr>
          <w:i/>
          <w:iCs/>
          <w:lang w:val="ru-RU"/>
        </w:rPr>
        <w:t>L</w:t>
      </w:r>
      <w:r w:rsidRPr="008D0B05">
        <w:rPr>
          <w:i/>
          <w:iCs/>
          <w:vertAlign w:val="subscript"/>
          <w:lang w:val="ru-RU"/>
        </w:rPr>
        <w:t>Line</w:t>
      </w:r>
      <w:r w:rsidRPr="008D0B05">
        <w:rPr>
          <w:lang w:val="ru-RU"/>
        </w:rPr>
        <w:t xml:space="preserve"> = 0,</w:t>
      </w:r>
    </w:p>
    <w:p w:rsidR="009B1906" w:rsidRPr="008D0B05" w:rsidRDefault="009B1906" w:rsidP="009B1906">
      <w:pPr>
        <w:pStyle w:val="Equation"/>
        <w:tabs>
          <w:tab w:val="clear" w:pos="794"/>
        </w:tabs>
        <w:rPr>
          <w:lang w:val="ru-RU"/>
        </w:rPr>
      </w:pPr>
      <w:r w:rsidRPr="008D0B05">
        <w:rPr>
          <w:lang w:val="ru-RU"/>
        </w:rPr>
        <w:tab/>
        <w:t>с.п.п.м. = −200,6 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 ∙ Гц)).</w:t>
      </w:r>
    </w:p>
    <w:p w:rsidR="009B1906" w:rsidRPr="008D0B05" w:rsidRDefault="009B1906" w:rsidP="009B1906">
      <w:pPr>
        <w:rPr>
          <w:bCs/>
          <w:lang w:val="ru-RU"/>
        </w:rPr>
      </w:pPr>
      <w:r w:rsidRPr="008D0B05">
        <w:rPr>
          <w:lang w:val="ru-RU"/>
        </w:rPr>
        <w:t>Максимальный уровень широкополосной шумоподобной помехи в канале MEOLUT SAR/Galileo в полосе 1544,1 МГц </w:t>
      </w:r>
      <w:r w:rsidRPr="008D0B05">
        <w:rPr>
          <w:lang w:val="ru-RU"/>
        </w:rPr>
        <w:sym w:font="Symbol" w:char="F0B1"/>
      </w:r>
      <w:r w:rsidRPr="008D0B05">
        <w:rPr>
          <w:lang w:val="ru-RU"/>
        </w:rPr>
        <w:t> 100 кГц не должен превышать –</w:t>
      </w:r>
      <w:r w:rsidRPr="008D0B05">
        <w:rPr>
          <w:bCs/>
          <w:lang w:val="ru-RU"/>
        </w:rPr>
        <w:t>200,6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 ∙ Гц</w:t>
      </w:r>
      <w:r w:rsidRPr="008D0B05">
        <w:rPr>
          <w:bCs/>
          <w:lang w:val="ru-RU"/>
        </w:rPr>
        <w:t>)).</w:t>
      </w:r>
    </w:p>
    <w:p w:rsidR="009B1906" w:rsidRPr="008D0B05" w:rsidRDefault="009B1906" w:rsidP="009B1906">
      <w:pPr>
        <w:pStyle w:val="Heading1"/>
        <w:rPr>
          <w:lang w:val="ru-RU"/>
        </w:rPr>
      </w:pPr>
      <w:r w:rsidRPr="008D0B05">
        <w:rPr>
          <w:lang w:val="ru-RU"/>
        </w:rPr>
        <w:t>4</w:t>
      </w:r>
      <w:r w:rsidRPr="008D0B05">
        <w:rPr>
          <w:lang w:val="ru-RU"/>
        </w:rPr>
        <w:tab/>
        <w:t>Процедура вычисления уровня помех для линии вниз канала полезной нагрузки SAR 406 МГц GALILEO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Помехи, создаваемые системе Коспас-Сарсат, чаще всего являются результатом внеполосных излучений от служб в соседних или близких к ним полосах.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Чтобы определить, передается ли энергия в полосе частот 1544,1 МГц </w:t>
      </w:r>
      <w:r w:rsidRPr="008D0B05">
        <w:rPr>
          <w:lang w:val="ru-RU"/>
        </w:rPr>
        <w:sym w:font="Symbol" w:char="F0B1"/>
      </w:r>
      <w:r w:rsidRPr="008D0B05">
        <w:rPr>
          <w:lang w:val="ru-RU"/>
        </w:rPr>
        <w:t> 100 кГц, следует изучить ширину полосы излучения. Необходимо проявлять особое внимание при анализе влияния подвижных систем (например, негеостационарных спутников и передатчиков на борту воздушных судов) для учета эффектов доп</w:t>
      </w:r>
      <w:r>
        <w:rPr>
          <w:lang w:val="ru-RU"/>
        </w:rPr>
        <w:t>п</w:t>
      </w:r>
      <w:r w:rsidRPr="008D0B05">
        <w:rPr>
          <w:lang w:val="ru-RU"/>
        </w:rPr>
        <w:t>леровского сдвига частоты, возникающих при их движении.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Вычислите уровень помех от всех источников, которые передают энергию в рассматриваемой полосе, выраженный как уровень с.п.п.м. на антенне MEOLUT. Суммарный уровень от всех источников помех не должен превышать −200,6 дБ(Вт/(м</w:t>
      </w:r>
      <w:r w:rsidRPr="008D0B05">
        <w:rPr>
          <w:vertAlign w:val="superscript"/>
          <w:lang w:val="ru-RU"/>
        </w:rPr>
        <w:t>2</w:t>
      </w:r>
      <w:r w:rsidRPr="008D0B05">
        <w:rPr>
          <w:lang w:val="ru-RU"/>
        </w:rPr>
        <w:t> ∙ Гц)) в любой части этой полосы.</w:t>
      </w:r>
    </w:p>
    <w:p w:rsidR="009B1906" w:rsidRPr="008D0B05" w:rsidRDefault="009B1906" w:rsidP="009B1906">
      <w:pPr>
        <w:rPr>
          <w:lang w:val="ru-RU"/>
        </w:rPr>
      </w:pPr>
      <w:r w:rsidRPr="008D0B05">
        <w:rPr>
          <w:lang w:val="ru-RU"/>
        </w:rPr>
        <w:t>Вышеуказанный уровень основан на осевом усилении 27 дБи антенны MEOLUT. При определении степени воздействия помех следует, в зависимости от систем, использовать связанные с данной антенной параметры, такие как избирательность антенн, поляризация и другие технические возможности.</w:t>
      </w:r>
    </w:p>
    <w:p w:rsidR="009B1906" w:rsidRPr="008D0B05" w:rsidRDefault="009B1906" w:rsidP="00015D24">
      <w:pPr>
        <w:pStyle w:val="AnnexNoTitle"/>
        <w:rPr>
          <w:lang w:val="ru-RU"/>
        </w:rPr>
      </w:pPr>
      <w:r w:rsidRPr="00FD2C57">
        <w:rPr>
          <w:lang w:val="ru-RU"/>
        </w:rPr>
        <w:lastRenderedPageBreak/>
        <w:t>Приложение</w:t>
      </w:r>
      <w:r w:rsidRPr="008D0B05">
        <w:rPr>
          <w:lang w:val="ru-RU"/>
        </w:rPr>
        <w:t xml:space="preserve"> 6</w:t>
      </w:r>
    </w:p>
    <w:p w:rsidR="009B1906" w:rsidRPr="008D0B05" w:rsidRDefault="009B1906" w:rsidP="009B1906">
      <w:pPr>
        <w:pStyle w:val="TableNo"/>
        <w:rPr>
          <w:lang w:val="ru-RU"/>
        </w:rPr>
      </w:pPr>
      <w:r w:rsidRPr="008D0B05">
        <w:rPr>
          <w:lang w:val="ru-RU"/>
        </w:rPr>
        <w:t>ТАБЛИЦА 2</w:t>
      </w:r>
    </w:p>
    <w:p w:rsidR="009B1906" w:rsidRPr="008D0B05" w:rsidRDefault="009B1906" w:rsidP="009B1906">
      <w:pPr>
        <w:pStyle w:val="Tabletitle"/>
        <w:rPr>
          <w:lang w:val="ru-RU"/>
        </w:rPr>
      </w:pPr>
      <w:r w:rsidRPr="008D0B05">
        <w:rPr>
          <w:lang w:val="ru-RU"/>
        </w:rPr>
        <w:t>Бюджеты линий Коспас-Сарсат</w:t>
      </w:r>
    </w:p>
    <w:tbl>
      <w:tblPr>
        <w:tblW w:w="9638" w:type="dxa"/>
        <w:jc w:val="center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2"/>
        <w:gridCol w:w="840"/>
        <w:gridCol w:w="896"/>
        <w:gridCol w:w="923"/>
        <w:gridCol w:w="896"/>
        <w:gridCol w:w="919"/>
        <w:gridCol w:w="1021"/>
        <w:gridCol w:w="1021"/>
      </w:tblGrid>
      <w:tr w:rsidR="009B1906" w:rsidRPr="008D0B05" w:rsidTr="000D4379">
        <w:trPr>
          <w:cantSplit/>
          <w:jc w:val="center"/>
        </w:trPr>
        <w:tc>
          <w:tcPr>
            <w:tcW w:w="3122" w:type="dxa"/>
            <w:vMerge w:val="restart"/>
            <w:tcBorders>
              <w:top w:val="nil"/>
              <w:left w:val="nil"/>
              <w:right w:val="nil"/>
            </w:tcBorders>
          </w:tcPr>
          <w:p w:rsidR="009B1906" w:rsidRPr="00C32E9A" w:rsidRDefault="009B1906" w:rsidP="000D4379">
            <w:pPr>
              <w:spacing w:before="40" w:after="40" w:line="180" w:lineRule="exact"/>
              <w:rPr>
                <w:lang w:val="ru-RU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</w:tcBorders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  <w:lang w:val="ru-RU"/>
              </w:rPr>
            </w:pPr>
          </w:p>
        </w:tc>
        <w:tc>
          <w:tcPr>
            <w:tcW w:w="2715" w:type="dxa"/>
            <w:gridSpan w:val="3"/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LEOSAR</w:t>
            </w:r>
          </w:p>
        </w:tc>
        <w:tc>
          <w:tcPr>
            <w:tcW w:w="1940" w:type="dxa"/>
            <w:gridSpan w:val="2"/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GEOSAR</w:t>
            </w:r>
          </w:p>
        </w:tc>
        <w:tc>
          <w:tcPr>
            <w:tcW w:w="1021" w:type="dxa"/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MEOSAR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  <w:vMerge/>
            <w:tcBorders>
              <w:left w:val="nil"/>
              <w:right w:val="nil"/>
            </w:tcBorders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  <w:lang w:val="ru-RU"/>
              </w:rPr>
            </w:pPr>
          </w:p>
        </w:tc>
        <w:tc>
          <w:tcPr>
            <w:tcW w:w="840" w:type="dxa"/>
            <w:vMerge/>
            <w:tcBorders>
              <w:left w:val="nil"/>
            </w:tcBorders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  <w:lang w:val="ru-RU"/>
              </w:rPr>
            </w:pPr>
          </w:p>
        </w:tc>
        <w:tc>
          <w:tcPr>
            <w:tcW w:w="896" w:type="dxa"/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PDS Сарсат</w:t>
            </w:r>
          </w:p>
        </w:tc>
        <w:tc>
          <w:tcPr>
            <w:tcW w:w="923" w:type="dxa"/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SARR Сарсат</w:t>
            </w:r>
          </w:p>
        </w:tc>
        <w:tc>
          <w:tcPr>
            <w:tcW w:w="896" w:type="dxa"/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ARR</w:t>
            </w:r>
            <w:r w:rsidRPr="008D0B05">
              <w:rPr>
                <w:sz w:val="18"/>
                <w:szCs w:val="18"/>
                <w:lang w:val="ru-RU"/>
              </w:rPr>
              <w:br/>
              <w:t>Коспас</w:t>
            </w:r>
          </w:p>
        </w:tc>
        <w:tc>
          <w:tcPr>
            <w:tcW w:w="919" w:type="dxa"/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SARR GOES</w:t>
            </w:r>
          </w:p>
        </w:tc>
        <w:tc>
          <w:tcPr>
            <w:tcW w:w="1021" w:type="dxa"/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SARR MSG</w:t>
            </w:r>
          </w:p>
        </w:tc>
        <w:tc>
          <w:tcPr>
            <w:tcW w:w="1021" w:type="dxa"/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SARR GALILEO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Параметр, единица измерения</w:t>
            </w: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См. Приме</w:t>
            </w:r>
            <w:r>
              <w:rPr>
                <w:sz w:val="18"/>
                <w:szCs w:val="18"/>
                <w:lang w:val="ru-RU"/>
              </w:rPr>
              <w:t>-</w:t>
            </w:r>
            <w:r w:rsidRPr="008D0B05">
              <w:rPr>
                <w:sz w:val="18"/>
                <w:szCs w:val="18"/>
                <w:lang w:val="ru-RU"/>
              </w:rPr>
              <w:t>чание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Случай низкого уровня</w:t>
            </w:r>
          </w:p>
        </w:tc>
        <w:tc>
          <w:tcPr>
            <w:tcW w:w="923" w:type="dxa"/>
            <w:tcBorders>
              <w:bottom w:val="single" w:sz="4" w:space="0" w:color="auto"/>
            </w:tcBorders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Случай низкого уровня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Случай низкого уровня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Случай низкого уровня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Случай низкого уровня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:rsidR="009B1906" w:rsidRPr="008D0B05" w:rsidRDefault="009B1906" w:rsidP="000D4379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Случай низкого уровня</w:t>
            </w:r>
          </w:p>
        </w:tc>
      </w:tr>
      <w:tr w:rsidR="009B1906" w:rsidRPr="00B95C2A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keepNext/>
              <w:keepLines/>
              <w:spacing w:line="180" w:lineRule="exact"/>
              <w:jc w:val="left"/>
              <w:rPr>
                <w:b/>
                <w:sz w:val="18"/>
                <w:szCs w:val="18"/>
                <w:lang w:val="ru-RU"/>
              </w:rPr>
            </w:pPr>
            <w:r w:rsidRPr="008D0B05">
              <w:rPr>
                <w:b/>
                <w:sz w:val="18"/>
                <w:szCs w:val="18"/>
                <w:lang w:val="ru-RU"/>
              </w:rPr>
              <w:t>От EPIRB на линию вверх космического аппарата</w:t>
            </w:r>
          </w:p>
        </w:tc>
        <w:tc>
          <w:tcPr>
            <w:tcW w:w="6516" w:type="dxa"/>
            <w:gridSpan w:val="7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Ширина полосы частот SAR (кГц)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738" w:type="dxa"/>
            <w:gridSpan w:val="3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80,0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100,0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80,0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Скорость передачи данных, радиомаяк (Гц)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780" w:type="dxa"/>
            <w:gridSpan w:val="5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400,0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Частота (МГц)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780" w:type="dxa"/>
            <w:gridSpan w:val="5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406,05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Мощность передатчика (дБВт)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780" w:type="dxa"/>
            <w:gridSpan w:val="5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5,0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Усиление антенны передатчика (дБи)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780" w:type="dxa"/>
            <w:gridSpan w:val="5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–2,0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э.и.и.м. (дБВт)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780" w:type="dxa"/>
            <w:gridSpan w:val="5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3,0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Угол места (град.)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780" w:type="dxa"/>
            <w:gridSpan w:val="5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5,0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Длина трассы (км)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23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2 900,0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3 200,0</w:t>
            </w:r>
          </w:p>
        </w:tc>
        <w:tc>
          <w:tcPr>
            <w:tcW w:w="1940" w:type="dxa"/>
            <w:gridSpan w:val="2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41 126,3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28 354,4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Потери на трассе (дБ)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23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153,8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154,7</w:t>
            </w:r>
          </w:p>
        </w:tc>
        <w:tc>
          <w:tcPr>
            <w:tcW w:w="1940" w:type="dxa"/>
            <w:gridSpan w:val="2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176,9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173,7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Потери на поляризацию (дБ)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23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19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4,9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4,5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4,0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Потери на замирание (дБ)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6a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19" w:type="dxa"/>
            <w:gridSpan w:val="2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2,5</w:t>
            </w:r>
          </w:p>
        </w:tc>
        <w:tc>
          <w:tcPr>
            <w:tcW w:w="919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2,5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i/>
                <w:iCs/>
                <w:sz w:val="18"/>
                <w:szCs w:val="18"/>
                <w:lang w:val="ru-RU"/>
              </w:rPr>
              <w:t>G</w:t>
            </w:r>
            <w:r w:rsidRPr="008D0B05">
              <w:rPr>
                <w:sz w:val="18"/>
                <w:szCs w:val="18"/>
                <w:lang w:val="ru-RU"/>
              </w:rPr>
              <w:t>/</w:t>
            </w:r>
            <w:r w:rsidRPr="008D0B05">
              <w:rPr>
                <w:i/>
                <w:iCs/>
                <w:sz w:val="18"/>
                <w:szCs w:val="18"/>
                <w:lang w:val="ru-RU"/>
              </w:rPr>
              <w:t>T</w:t>
            </w:r>
            <w:r w:rsidRPr="008D0B05">
              <w:rPr>
                <w:sz w:val="18"/>
                <w:szCs w:val="18"/>
                <w:lang w:val="ru-RU"/>
              </w:rPr>
              <w:t xml:space="preserve"> антенны спутникового приемника (дБ/K)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19" w:type="dxa"/>
            <w:gridSpan w:val="2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–34,0</w:t>
            </w:r>
          </w:p>
        </w:tc>
        <w:tc>
          <w:tcPr>
            <w:tcW w:w="919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–18,5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–22,1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–15,7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Постоянная Больцмана (дБ(J/K))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780" w:type="dxa"/>
            <w:gridSpan w:val="5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–228,6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i/>
                <w:iCs/>
                <w:lang w:val="ru-RU"/>
              </w:rPr>
              <w:t>C</w:t>
            </w:r>
            <w:r w:rsidRPr="008D0B05">
              <w:rPr>
                <w:lang w:val="ru-RU"/>
              </w:rPr>
              <w:t>/</w:t>
            </w:r>
            <w:r w:rsidRPr="008D0B05">
              <w:rPr>
                <w:i/>
                <w:iCs/>
                <w:lang w:val="ru-RU"/>
              </w:rPr>
              <w:t>N</w:t>
            </w:r>
            <w:r w:rsidRPr="008D0B05">
              <w:rPr>
                <w:vertAlign w:val="subscript"/>
                <w:lang w:val="ru-RU"/>
              </w:rPr>
              <w:t>0</w:t>
            </w:r>
            <w:r w:rsidRPr="008D0B05">
              <w:rPr>
                <w:sz w:val="18"/>
                <w:szCs w:val="18"/>
                <w:lang w:val="ru-RU"/>
              </w:rPr>
              <w:t xml:space="preserve"> (дБГц) в линии вверх 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23" w:type="dxa"/>
            <w:tcBorders>
              <w:bottom w:val="single" w:sz="4" w:space="0" w:color="auto"/>
            </w:tcBorders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41,3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40,4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31,3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28,1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35,7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keepNext/>
              <w:keepLines/>
              <w:spacing w:line="180" w:lineRule="exact"/>
              <w:jc w:val="left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Лин</w:t>
            </w:r>
            <w:r w:rsidRPr="008D0B05">
              <w:rPr>
                <w:b/>
                <w:sz w:val="18"/>
                <w:szCs w:val="18"/>
                <w:lang w:val="ru-RU"/>
              </w:rPr>
              <w:t xml:space="preserve">ия вниз </w:t>
            </w:r>
            <w:r w:rsidRPr="00C6420A">
              <w:rPr>
                <w:bCs/>
                <w:sz w:val="18"/>
                <w:szCs w:val="18"/>
                <w:lang w:val="ru-RU"/>
              </w:rPr>
              <w:t>"</w:t>
            </w:r>
            <w:r w:rsidRPr="008D0B05">
              <w:rPr>
                <w:b/>
                <w:sz w:val="18"/>
                <w:szCs w:val="18"/>
                <w:lang w:val="ru-RU"/>
              </w:rPr>
              <w:t>космос-Земля</w:t>
            </w:r>
            <w:r w:rsidRPr="00C6420A">
              <w:rPr>
                <w:bCs/>
                <w:sz w:val="18"/>
                <w:szCs w:val="18"/>
                <w:lang w:val="ru-RU"/>
              </w:rPr>
              <w:t>"</w:t>
            </w:r>
          </w:p>
        </w:tc>
        <w:tc>
          <w:tcPr>
            <w:tcW w:w="6516" w:type="dxa"/>
            <w:gridSpan w:val="7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Частота в линии вниз (МГц)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keepNext/>
              <w:keepLines/>
              <w:spacing w:line="180" w:lineRule="exact"/>
              <w:jc w:val="center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1 544,5</w:t>
            </w:r>
          </w:p>
        </w:tc>
        <w:tc>
          <w:tcPr>
            <w:tcW w:w="2738" w:type="dxa"/>
            <w:gridSpan w:val="3"/>
            <w:vAlign w:val="center"/>
          </w:tcPr>
          <w:p w:rsidR="009B1906" w:rsidRPr="008D0B05" w:rsidRDefault="009B1906" w:rsidP="000D4379">
            <w:pPr>
              <w:pStyle w:val="Tabletext"/>
              <w:keepNext/>
              <w:keepLines/>
              <w:spacing w:line="180" w:lineRule="exact"/>
              <w:jc w:val="center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1 544,5 ± 40 кГц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keepNext/>
              <w:keepLines/>
              <w:spacing w:line="180" w:lineRule="exact"/>
              <w:jc w:val="center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1 544,5</w:t>
            </w:r>
            <w:r>
              <w:rPr>
                <w:sz w:val="18"/>
                <w:lang w:val="ru-RU"/>
              </w:rPr>
              <w:t xml:space="preserve"> </w:t>
            </w:r>
            <w:r w:rsidRPr="008D0B05">
              <w:rPr>
                <w:sz w:val="18"/>
                <w:lang w:val="ru-RU"/>
              </w:rPr>
              <w:t>± 50 кГц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keepNext/>
              <w:keepLines/>
              <w:spacing w:line="180" w:lineRule="exact"/>
              <w:jc w:val="center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1 544,1</w:t>
            </w:r>
            <w:r>
              <w:rPr>
                <w:sz w:val="18"/>
                <w:lang w:val="ru-RU"/>
              </w:rPr>
              <w:t xml:space="preserve"> </w:t>
            </w:r>
            <w:r w:rsidRPr="008D0B05">
              <w:rPr>
                <w:sz w:val="18"/>
                <w:lang w:val="ru-RU"/>
              </w:rPr>
              <w:t>± 40 кГц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э.и.и.м. передатчика (дБВт)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819" w:type="dxa"/>
            <w:gridSpan w:val="2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7,1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6,2</w:t>
            </w:r>
          </w:p>
        </w:tc>
        <w:tc>
          <w:tcPr>
            <w:tcW w:w="919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15,0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–18,9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1,6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Потери при совместном использовании мощности (дБ)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23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15,3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15,5</w:t>
            </w:r>
          </w:p>
        </w:tc>
        <w:tc>
          <w:tcPr>
            <w:tcW w:w="919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18,3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/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Потери вследствие модуляции (дБ)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1819" w:type="dxa"/>
            <w:gridSpan w:val="2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14,1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6,0</w:t>
            </w:r>
          </w:p>
        </w:tc>
        <w:tc>
          <w:tcPr>
            <w:tcW w:w="919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3,54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/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Угол места (град.)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5676" w:type="dxa"/>
            <w:gridSpan w:val="6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5,0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Дальность трассы (км)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19" w:type="dxa"/>
            <w:gridSpan w:val="2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2 900,0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3 200,0</w:t>
            </w:r>
          </w:p>
        </w:tc>
        <w:tc>
          <w:tcPr>
            <w:tcW w:w="1940" w:type="dxa"/>
            <w:gridSpan w:val="2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41 126,3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28 354,4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Потери на трассе (дБ)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19" w:type="dxa"/>
            <w:gridSpan w:val="2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165,5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166,4</w:t>
            </w:r>
          </w:p>
        </w:tc>
        <w:tc>
          <w:tcPr>
            <w:tcW w:w="1940" w:type="dxa"/>
            <w:gridSpan w:val="2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188,46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185,3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i/>
                <w:iCs/>
                <w:sz w:val="18"/>
                <w:szCs w:val="18"/>
                <w:lang w:val="ru-RU"/>
              </w:rPr>
              <w:t>G</w:t>
            </w:r>
            <w:r w:rsidRPr="008D0B05">
              <w:rPr>
                <w:sz w:val="18"/>
                <w:szCs w:val="18"/>
                <w:lang w:val="ru-RU"/>
              </w:rPr>
              <w:t>/</w:t>
            </w:r>
            <w:r w:rsidRPr="008D0B05">
              <w:rPr>
                <w:i/>
                <w:iCs/>
                <w:sz w:val="18"/>
                <w:szCs w:val="18"/>
                <w:lang w:val="ru-RU"/>
              </w:rPr>
              <w:t>T</w:t>
            </w:r>
            <w:r w:rsidRPr="008D0B05">
              <w:rPr>
                <w:sz w:val="18"/>
                <w:szCs w:val="18"/>
                <w:lang w:val="ru-RU"/>
              </w:rPr>
              <w:t xml:space="preserve"> антенны приемника LUT (дБ/K)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2715" w:type="dxa"/>
            <w:gridSpan w:val="3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4,3</w:t>
            </w:r>
          </w:p>
        </w:tc>
        <w:tc>
          <w:tcPr>
            <w:tcW w:w="919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11,0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15,5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3,0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Потери на поляризацию (дБ)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23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19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0,35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0,2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0,2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Другие потери (дБ)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715" w:type="dxa"/>
            <w:gridSpan w:val="3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2,6</w:t>
            </w:r>
          </w:p>
        </w:tc>
        <w:tc>
          <w:tcPr>
            <w:tcW w:w="919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1,0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Потери на ориентацию антенны (дБ)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15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23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19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0,20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1,0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0,1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Потери на кратковременные замирания (дБ)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16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10,0</w:t>
            </w:r>
          </w:p>
        </w:tc>
        <w:tc>
          <w:tcPr>
            <w:tcW w:w="923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19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i/>
                <w:iCs/>
                <w:sz w:val="18"/>
                <w:szCs w:val="18"/>
                <w:lang w:val="ru-RU"/>
              </w:rPr>
              <w:t>C</w:t>
            </w:r>
            <w:r w:rsidRPr="008D0B05">
              <w:rPr>
                <w:sz w:val="18"/>
                <w:szCs w:val="18"/>
                <w:lang w:val="ru-RU"/>
              </w:rPr>
              <w:t>/</w:t>
            </w:r>
            <w:r w:rsidRPr="008D0B05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8D0B05">
              <w:rPr>
                <w:sz w:val="18"/>
                <w:szCs w:val="18"/>
                <w:vertAlign w:val="subscript"/>
                <w:lang w:val="ru-RU"/>
              </w:rPr>
              <w:t>0</w:t>
            </w:r>
            <w:r w:rsidRPr="008D0B05">
              <w:rPr>
                <w:sz w:val="18"/>
                <w:szCs w:val="18"/>
                <w:lang w:val="ru-RU"/>
              </w:rPr>
              <w:t xml:space="preserve"> в линии вниз (дБГц)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47,8</w:t>
            </w:r>
          </w:p>
        </w:tc>
        <w:tc>
          <w:tcPr>
            <w:tcW w:w="923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42,5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48,6</w:t>
            </w:r>
          </w:p>
        </w:tc>
        <w:tc>
          <w:tcPr>
            <w:tcW w:w="919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43,8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35,5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46,7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 xml:space="preserve">Общее </w:t>
            </w:r>
            <w:r w:rsidRPr="008D0B05">
              <w:rPr>
                <w:i/>
                <w:iCs/>
                <w:lang w:val="ru-RU"/>
              </w:rPr>
              <w:t>C</w:t>
            </w:r>
            <w:r w:rsidRPr="008D0B05">
              <w:rPr>
                <w:lang w:val="ru-RU"/>
              </w:rPr>
              <w:t>/</w:t>
            </w:r>
            <w:r w:rsidRPr="008D0B05">
              <w:rPr>
                <w:i/>
                <w:iCs/>
                <w:lang w:val="ru-RU"/>
              </w:rPr>
              <w:t>N</w:t>
            </w:r>
            <w:r w:rsidRPr="008D0B05">
              <w:rPr>
                <w:vertAlign w:val="subscript"/>
                <w:lang w:val="ru-RU"/>
              </w:rPr>
              <w:t>0</w:t>
            </w:r>
            <w:r w:rsidRPr="008D0B05">
              <w:rPr>
                <w:sz w:val="18"/>
                <w:szCs w:val="18"/>
                <w:lang w:val="ru-RU"/>
              </w:rPr>
              <w:t xml:space="preserve"> (дБГц)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23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38,8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39,8</w:t>
            </w:r>
          </w:p>
        </w:tc>
        <w:tc>
          <w:tcPr>
            <w:tcW w:w="919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31,1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27,4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35,4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Скорость передачи данных, радиомаяк (дБГц)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33,8</w:t>
            </w:r>
          </w:p>
        </w:tc>
        <w:tc>
          <w:tcPr>
            <w:tcW w:w="4780" w:type="dxa"/>
            <w:gridSpan w:val="5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26</w:t>
            </w:r>
            <w:r>
              <w:rPr>
                <w:sz w:val="18"/>
                <w:szCs w:val="18"/>
                <w:lang w:val="ru-RU"/>
              </w:rPr>
              <w:t>,</w:t>
            </w:r>
            <w:r w:rsidRPr="008D0B05">
              <w:rPr>
                <w:sz w:val="18"/>
                <w:szCs w:val="18"/>
                <w:lang w:val="ru-RU"/>
              </w:rPr>
              <w:t>0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i/>
                <w:iCs/>
                <w:lang w:val="ru-RU"/>
              </w:rPr>
              <w:t>E</w:t>
            </w:r>
            <w:r w:rsidRPr="008D0B05">
              <w:rPr>
                <w:i/>
                <w:iCs/>
                <w:sz w:val="24"/>
                <w:szCs w:val="24"/>
                <w:vertAlign w:val="subscript"/>
                <w:lang w:val="ru-RU"/>
              </w:rPr>
              <w:t>b</w:t>
            </w:r>
            <w:r w:rsidRPr="008D0B05">
              <w:rPr>
                <w:sz w:val="18"/>
                <w:szCs w:val="18"/>
                <w:lang w:val="ru-RU"/>
              </w:rPr>
              <w:t>/</w:t>
            </w:r>
            <w:r w:rsidRPr="008D0B05">
              <w:rPr>
                <w:i/>
                <w:iCs/>
                <w:lang w:val="ru-RU"/>
              </w:rPr>
              <w:t>N</w:t>
            </w:r>
            <w:r w:rsidRPr="008D0B05">
              <w:rPr>
                <w:vertAlign w:val="subscript"/>
                <w:lang w:val="ru-RU"/>
              </w:rPr>
              <w:t>0</w:t>
            </w:r>
            <w:r w:rsidRPr="008D0B05">
              <w:rPr>
                <w:sz w:val="18"/>
                <w:szCs w:val="18"/>
                <w:lang w:val="ru-RU"/>
              </w:rPr>
              <w:t xml:space="preserve"> (дБ)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14,0</w:t>
            </w:r>
          </w:p>
        </w:tc>
        <w:tc>
          <w:tcPr>
            <w:tcW w:w="923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12,8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13,8</w:t>
            </w:r>
          </w:p>
        </w:tc>
        <w:tc>
          <w:tcPr>
            <w:tcW w:w="919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5,1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1,4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9,4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 xml:space="preserve">Потери на аппаратную </w:t>
            </w:r>
            <w:r w:rsidR="000D4379" w:rsidRPr="00FD2C57">
              <w:rPr>
                <w:sz w:val="18"/>
                <w:szCs w:val="18"/>
                <w:lang w:val="ru-RU"/>
              </w:rPr>
              <w:br/>
            </w:r>
            <w:r w:rsidRPr="008D0B05">
              <w:rPr>
                <w:sz w:val="18"/>
                <w:szCs w:val="18"/>
                <w:lang w:val="ru-RU"/>
              </w:rPr>
              <w:t>реализацию (дБ)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634" w:type="dxa"/>
            <w:gridSpan w:val="4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1,0</w:t>
            </w:r>
          </w:p>
        </w:tc>
        <w:tc>
          <w:tcPr>
            <w:tcW w:w="2042" w:type="dxa"/>
            <w:gridSpan w:val="2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0,5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Потери на модуляцию данных маяка, b = 1,1 рад (дБ)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18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780" w:type="dxa"/>
            <w:gridSpan w:val="5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1,0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8D0B05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Выигрыш от кодирования (дБ)</w:t>
            </w:r>
          </w:p>
        </w:tc>
        <w:tc>
          <w:tcPr>
            <w:tcW w:w="840" w:type="dxa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3634" w:type="dxa"/>
            <w:gridSpan w:val="4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0,0</w:t>
            </w:r>
          </w:p>
        </w:tc>
        <w:tc>
          <w:tcPr>
            <w:tcW w:w="2042" w:type="dxa"/>
            <w:gridSpan w:val="2"/>
            <w:vAlign w:val="center"/>
          </w:tcPr>
          <w:p w:rsidR="009B1906" w:rsidRPr="008D0B05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2,0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22" w:type="dxa"/>
          </w:tcPr>
          <w:p w:rsidR="009B1906" w:rsidRPr="00FD2C57" w:rsidRDefault="009B1906" w:rsidP="000D4379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Выигрыш</w:t>
            </w:r>
            <w:r w:rsidRPr="00FD2C57">
              <w:rPr>
                <w:sz w:val="18"/>
                <w:szCs w:val="18"/>
                <w:lang w:val="ru-RU"/>
              </w:rPr>
              <w:t xml:space="preserve"> </w:t>
            </w:r>
            <w:r w:rsidRPr="008D0B05">
              <w:rPr>
                <w:sz w:val="18"/>
                <w:szCs w:val="18"/>
                <w:lang w:val="ru-RU"/>
              </w:rPr>
              <w:t>от</w:t>
            </w:r>
            <w:r w:rsidRPr="00FD2C57">
              <w:rPr>
                <w:sz w:val="18"/>
                <w:szCs w:val="18"/>
                <w:lang w:val="ru-RU"/>
              </w:rPr>
              <w:t xml:space="preserve"> </w:t>
            </w:r>
            <w:r w:rsidRPr="008D0B05">
              <w:rPr>
                <w:sz w:val="18"/>
                <w:szCs w:val="18"/>
                <w:lang w:val="ru-RU"/>
              </w:rPr>
              <w:t>обработки</w:t>
            </w:r>
            <w:r w:rsidRPr="00FD2C57">
              <w:rPr>
                <w:sz w:val="18"/>
                <w:szCs w:val="18"/>
                <w:lang w:val="ru-RU"/>
              </w:rPr>
              <w:t xml:space="preserve"> </w:t>
            </w:r>
            <w:r w:rsidR="000D4379" w:rsidRPr="00FD2C57">
              <w:rPr>
                <w:sz w:val="18"/>
                <w:szCs w:val="18"/>
                <w:lang w:val="ru-RU"/>
              </w:rPr>
              <w:br/>
            </w:r>
            <w:r w:rsidRPr="00FD2C57">
              <w:rPr>
                <w:sz w:val="18"/>
                <w:szCs w:val="18"/>
                <w:lang w:val="ru-RU"/>
              </w:rPr>
              <w:t xml:space="preserve">(5 </w:t>
            </w:r>
            <w:r w:rsidRPr="008D0B05">
              <w:rPr>
                <w:sz w:val="18"/>
                <w:szCs w:val="18"/>
                <w:lang w:val="ru-RU"/>
              </w:rPr>
              <w:t>пачек</w:t>
            </w:r>
            <w:r w:rsidRPr="00FD2C57">
              <w:rPr>
                <w:sz w:val="18"/>
                <w:szCs w:val="18"/>
                <w:lang w:val="ru-RU"/>
              </w:rPr>
              <w:t>) (</w:t>
            </w:r>
            <w:r w:rsidRPr="008D0B05">
              <w:rPr>
                <w:sz w:val="18"/>
                <w:szCs w:val="18"/>
                <w:lang w:val="ru-RU"/>
              </w:rPr>
              <w:t>дБ</w:t>
            </w:r>
            <w:r w:rsidRPr="00FD2C5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840" w:type="dxa"/>
            <w:vAlign w:val="center"/>
          </w:tcPr>
          <w:p w:rsidR="009B1906" w:rsidRPr="000D4379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</w:rPr>
            </w:pPr>
            <w:r w:rsidRPr="000D4379">
              <w:rPr>
                <w:sz w:val="18"/>
                <w:szCs w:val="18"/>
              </w:rPr>
              <w:t>19</w:t>
            </w:r>
          </w:p>
        </w:tc>
        <w:tc>
          <w:tcPr>
            <w:tcW w:w="896" w:type="dxa"/>
            <w:vAlign w:val="center"/>
          </w:tcPr>
          <w:p w:rsidR="009B1906" w:rsidRPr="000D4379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923" w:type="dxa"/>
            <w:vAlign w:val="center"/>
          </w:tcPr>
          <w:p w:rsidR="009B1906" w:rsidRPr="000D4379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896" w:type="dxa"/>
            <w:vAlign w:val="center"/>
          </w:tcPr>
          <w:p w:rsidR="009B1906" w:rsidRPr="000D4379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940" w:type="dxa"/>
            <w:gridSpan w:val="2"/>
            <w:vAlign w:val="center"/>
          </w:tcPr>
          <w:p w:rsidR="009B1906" w:rsidRPr="000D4379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</w:rPr>
            </w:pPr>
            <w:r w:rsidRPr="000D4379">
              <w:rPr>
                <w:sz w:val="18"/>
                <w:szCs w:val="18"/>
              </w:rPr>
              <w:t>7,0</w:t>
            </w:r>
          </w:p>
        </w:tc>
        <w:tc>
          <w:tcPr>
            <w:tcW w:w="1021" w:type="dxa"/>
            <w:vAlign w:val="center"/>
          </w:tcPr>
          <w:p w:rsidR="009B1906" w:rsidRPr="000D4379" w:rsidRDefault="009B1906" w:rsidP="000D4379">
            <w:pPr>
              <w:pStyle w:val="Tabletext"/>
              <w:spacing w:line="180" w:lineRule="exact"/>
              <w:jc w:val="center"/>
              <w:rPr>
                <w:sz w:val="18"/>
                <w:szCs w:val="18"/>
              </w:rPr>
            </w:pPr>
            <w:r w:rsidRPr="000D4379">
              <w:rPr>
                <w:sz w:val="18"/>
                <w:szCs w:val="18"/>
              </w:rPr>
              <w:t>0,0</w:t>
            </w:r>
          </w:p>
        </w:tc>
      </w:tr>
    </w:tbl>
    <w:p w:rsidR="00015D24" w:rsidRPr="000D4379" w:rsidRDefault="00015D24" w:rsidP="004903B5">
      <w:pPr>
        <w:pStyle w:val="TableNo"/>
      </w:pPr>
      <w:r w:rsidRPr="008D0B05">
        <w:rPr>
          <w:lang w:val="ru-RU"/>
        </w:rPr>
        <w:lastRenderedPageBreak/>
        <w:t>ТАБЛИЦА</w:t>
      </w:r>
      <w:r w:rsidRPr="000D4379">
        <w:t xml:space="preserve"> 2 (</w:t>
      </w:r>
      <w:r w:rsidRPr="002C0CC4">
        <w:rPr>
          <w:i/>
          <w:iCs/>
          <w:lang w:val="ru-RU"/>
        </w:rPr>
        <w:t>окончание</w:t>
      </w:r>
      <w:r w:rsidRPr="000D4379">
        <w:t>)</w:t>
      </w:r>
    </w:p>
    <w:tbl>
      <w:tblPr>
        <w:tblW w:w="9638" w:type="dxa"/>
        <w:jc w:val="center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08"/>
        <w:gridCol w:w="854"/>
        <w:gridCol w:w="896"/>
        <w:gridCol w:w="923"/>
        <w:gridCol w:w="896"/>
        <w:gridCol w:w="919"/>
        <w:gridCol w:w="1021"/>
        <w:gridCol w:w="1021"/>
      </w:tblGrid>
      <w:tr w:rsidR="00015D24" w:rsidRPr="000D4379" w:rsidTr="000D4379">
        <w:trPr>
          <w:cantSplit/>
          <w:jc w:val="center"/>
        </w:trPr>
        <w:tc>
          <w:tcPr>
            <w:tcW w:w="3108" w:type="dxa"/>
            <w:vMerge w:val="restart"/>
            <w:tcBorders>
              <w:top w:val="nil"/>
              <w:left w:val="nil"/>
              <w:right w:val="nil"/>
            </w:tcBorders>
          </w:tcPr>
          <w:p w:rsidR="00015D24" w:rsidRPr="000D4379" w:rsidRDefault="00015D24" w:rsidP="004903B5">
            <w:pPr>
              <w:spacing w:before="40" w:after="40" w:line="180" w:lineRule="exact"/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</w:tcBorders>
          </w:tcPr>
          <w:p w:rsidR="00015D24" w:rsidRPr="000D4379" w:rsidRDefault="00015D24" w:rsidP="004903B5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2715" w:type="dxa"/>
            <w:gridSpan w:val="3"/>
          </w:tcPr>
          <w:p w:rsidR="00015D24" w:rsidRPr="000D4379" w:rsidRDefault="00015D24" w:rsidP="004903B5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</w:rPr>
            </w:pPr>
            <w:r w:rsidRPr="000D4379">
              <w:rPr>
                <w:sz w:val="18"/>
                <w:szCs w:val="18"/>
              </w:rPr>
              <w:t>LEOSAR</w:t>
            </w:r>
          </w:p>
        </w:tc>
        <w:tc>
          <w:tcPr>
            <w:tcW w:w="1940" w:type="dxa"/>
            <w:gridSpan w:val="2"/>
          </w:tcPr>
          <w:p w:rsidR="00015D24" w:rsidRPr="000D4379" w:rsidRDefault="00015D24" w:rsidP="004903B5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</w:rPr>
            </w:pPr>
            <w:r w:rsidRPr="000D4379">
              <w:rPr>
                <w:sz w:val="18"/>
                <w:szCs w:val="18"/>
              </w:rPr>
              <w:t>GEOSAR</w:t>
            </w:r>
          </w:p>
        </w:tc>
        <w:tc>
          <w:tcPr>
            <w:tcW w:w="1021" w:type="dxa"/>
          </w:tcPr>
          <w:p w:rsidR="00015D24" w:rsidRPr="000D4379" w:rsidRDefault="00015D24" w:rsidP="004903B5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</w:rPr>
            </w:pPr>
            <w:r w:rsidRPr="000D4379">
              <w:rPr>
                <w:sz w:val="18"/>
                <w:szCs w:val="18"/>
              </w:rPr>
              <w:t>MEOSAR</w:t>
            </w:r>
          </w:p>
        </w:tc>
      </w:tr>
      <w:tr w:rsidR="00015D24" w:rsidRPr="008D0B05" w:rsidTr="000D4379">
        <w:trPr>
          <w:cantSplit/>
          <w:jc w:val="center"/>
        </w:trPr>
        <w:tc>
          <w:tcPr>
            <w:tcW w:w="3108" w:type="dxa"/>
            <w:vMerge/>
            <w:tcBorders>
              <w:left w:val="nil"/>
              <w:right w:val="nil"/>
            </w:tcBorders>
          </w:tcPr>
          <w:p w:rsidR="00015D24" w:rsidRPr="000D4379" w:rsidRDefault="00015D24" w:rsidP="004903B5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854" w:type="dxa"/>
            <w:vMerge/>
            <w:tcBorders>
              <w:left w:val="nil"/>
            </w:tcBorders>
          </w:tcPr>
          <w:p w:rsidR="00015D24" w:rsidRPr="000D4379" w:rsidRDefault="00015D24" w:rsidP="004903B5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896" w:type="dxa"/>
          </w:tcPr>
          <w:p w:rsidR="00015D24" w:rsidRPr="000D4379" w:rsidRDefault="00015D24" w:rsidP="004903B5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</w:rPr>
            </w:pPr>
            <w:r w:rsidRPr="000D4379">
              <w:rPr>
                <w:sz w:val="18"/>
                <w:szCs w:val="18"/>
              </w:rPr>
              <w:t xml:space="preserve">PDS </w:t>
            </w:r>
            <w:r w:rsidRPr="008D0B05">
              <w:rPr>
                <w:sz w:val="18"/>
                <w:szCs w:val="18"/>
                <w:lang w:val="ru-RU"/>
              </w:rPr>
              <w:t>Сарсат</w:t>
            </w:r>
          </w:p>
        </w:tc>
        <w:tc>
          <w:tcPr>
            <w:tcW w:w="923" w:type="dxa"/>
          </w:tcPr>
          <w:p w:rsidR="00015D24" w:rsidRPr="000D4379" w:rsidRDefault="00015D24" w:rsidP="004903B5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</w:rPr>
            </w:pPr>
            <w:r w:rsidRPr="000D4379">
              <w:rPr>
                <w:sz w:val="18"/>
                <w:szCs w:val="18"/>
              </w:rPr>
              <w:t xml:space="preserve">SARR </w:t>
            </w:r>
            <w:r w:rsidRPr="008D0B05">
              <w:rPr>
                <w:sz w:val="18"/>
                <w:szCs w:val="18"/>
                <w:lang w:val="ru-RU"/>
              </w:rPr>
              <w:t>Сарсат</w:t>
            </w:r>
          </w:p>
        </w:tc>
        <w:tc>
          <w:tcPr>
            <w:tcW w:w="896" w:type="dxa"/>
          </w:tcPr>
          <w:p w:rsidR="00015D24" w:rsidRPr="000D4379" w:rsidRDefault="00015D24" w:rsidP="004903B5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</w:rPr>
            </w:pPr>
            <w:r w:rsidRPr="000D4379">
              <w:rPr>
                <w:sz w:val="18"/>
                <w:szCs w:val="18"/>
              </w:rPr>
              <w:t>ARR</w:t>
            </w:r>
            <w:r w:rsidRPr="000D4379">
              <w:rPr>
                <w:sz w:val="18"/>
                <w:szCs w:val="18"/>
              </w:rPr>
              <w:br/>
            </w:r>
            <w:r w:rsidRPr="008D0B05">
              <w:rPr>
                <w:sz w:val="18"/>
                <w:szCs w:val="18"/>
                <w:lang w:val="ru-RU"/>
              </w:rPr>
              <w:t>Коспас</w:t>
            </w:r>
          </w:p>
        </w:tc>
        <w:tc>
          <w:tcPr>
            <w:tcW w:w="919" w:type="dxa"/>
          </w:tcPr>
          <w:p w:rsidR="00015D24" w:rsidRPr="000D4379" w:rsidRDefault="00015D24" w:rsidP="004903B5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</w:rPr>
            </w:pPr>
            <w:r w:rsidRPr="000D4379">
              <w:rPr>
                <w:sz w:val="18"/>
                <w:szCs w:val="18"/>
              </w:rPr>
              <w:t>SARR GOES</w:t>
            </w:r>
          </w:p>
        </w:tc>
        <w:tc>
          <w:tcPr>
            <w:tcW w:w="1021" w:type="dxa"/>
          </w:tcPr>
          <w:p w:rsidR="00015D24" w:rsidRPr="000D4379" w:rsidRDefault="00015D24" w:rsidP="004903B5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</w:rPr>
            </w:pPr>
            <w:r w:rsidRPr="000D4379">
              <w:rPr>
                <w:sz w:val="18"/>
                <w:szCs w:val="18"/>
              </w:rPr>
              <w:t>SARR MSG</w:t>
            </w:r>
          </w:p>
        </w:tc>
        <w:tc>
          <w:tcPr>
            <w:tcW w:w="1021" w:type="dxa"/>
          </w:tcPr>
          <w:p w:rsidR="00015D24" w:rsidRPr="008D0B05" w:rsidRDefault="00015D24" w:rsidP="004903B5">
            <w:pPr>
              <w:pStyle w:val="Tablehead"/>
              <w:spacing w:before="40" w:after="40" w:line="180" w:lineRule="exact"/>
              <w:ind w:left="-57" w:right="-57"/>
              <w:rPr>
                <w:sz w:val="18"/>
                <w:szCs w:val="18"/>
                <w:lang w:val="ru-RU"/>
              </w:rPr>
            </w:pPr>
            <w:r w:rsidRPr="000D4379">
              <w:rPr>
                <w:sz w:val="18"/>
                <w:szCs w:val="18"/>
              </w:rPr>
              <w:t>SARR GALILE</w:t>
            </w:r>
            <w:r w:rsidRPr="008D0B05">
              <w:rPr>
                <w:sz w:val="18"/>
                <w:szCs w:val="18"/>
                <w:lang w:val="ru-RU"/>
              </w:rPr>
              <w:t>O</w:t>
            </w:r>
          </w:p>
        </w:tc>
      </w:tr>
      <w:tr w:rsidR="00015D24" w:rsidRPr="008D0B05" w:rsidTr="000D4379">
        <w:trPr>
          <w:cantSplit/>
          <w:jc w:val="center"/>
        </w:trPr>
        <w:tc>
          <w:tcPr>
            <w:tcW w:w="3108" w:type="dxa"/>
          </w:tcPr>
          <w:p w:rsidR="00015D24" w:rsidRPr="008D0B05" w:rsidRDefault="00015D24" w:rsidP="004903B5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Параметр, единица измерения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015D24" w:rsidRPr="008D0B05" w:rsidRDefault="00015D24" w:rsidP="004903B5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См. Приме</w:t>
            </w:r>
            <w:r>
              <w:rPr>
                <w:sz w:val="18"/>
                <w:szCs w:val="18"/>
                <w:lang w:val="ru-RU"/>
              </w:rPr>
              <w:t>-</w:t>
            </w:r>
            <w:r w:rsidRPr="008D0B05">
              <w:rPr>
                <w:sz w:val="18"/>
                <w:szCs w:val="18"/>
                <w:lang w:val="ru-RU"/>
              </w:rPr>
              <w:t>чание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015D24" w:rsidRPr="008D0B05" w:rsidRDefault="00015D24" w:rsidP="004903B5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Случай низкого уровня</w:t>
            </w:r>
          </w:p>
        </w:tc>
        <w:tc>
          <w:tcPr>
            <w:tcW w:w="923" w:type="dxa"/>
            <w:tcBorders>
              <w:bottom w:val="single" w:sz="4" w:space="0" w:color="auto"/>
            </w:tcBorders>
          </w:tcPr>
          <w:p w:rsidR="00015D24" w:rsidRPr="008D0B05" w:rsidRDefault="00015D24" w:rsidP="004903B5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Случай низкого уровня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015D24" w:rsidRPr="008D0B05" w:rsidRDefault="00015D24" w:rsidP="004903B5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Случай низкого уровня</w:t>
            </w: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:rsidR="00015D24" w:rsidRPr="008D0B05" w:rsidRDefault="00015D24" w:rsidP="004903B5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Случай низкого уровня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:rsidR="00015D24" w:rsidRPr="008D0B05" w:rsidRDefault="00015D24" w:rsidP="004903B5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Случай низкого уровня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:rsidR="00015D24" w:rsidRPr="008D0B05" w:rsidRDefault="00015D24" w:rsidP="004903B5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Случай низкого уровня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906" w:rsidRPr="008D0B05" w:rsidRDefault="009B1906" w:rsidP="004903B5">
            <w:pPr>
              <w:pStyle w:val="Tablehead"/>
              <w:spacing w:before="40" w:after="40"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 xml:space="preserve">Линия вниз </w:t>
            </w:r>
            <w:r w:rsidRPr="00C6420A">
              <w:rPr>
                <w:b w:val="0"/>
                <w:bCs/>
                <w:sz w:val="18"/>
                <w:szCs w:val="18"/>
                <w:lang w:val="ru-RU"/>
              </w:rPr>
              <w:t>"</w:t>
            </w:r>
            <w:r w:rsidRPr="008D0B05">
              <w:rPr>
                <w:sz w:val="18"/>
                <w:szCs w:val="18"/>
                <w:lang w:val="ru-RU"/>
              </w:rPr>
              <w:t>космос-Земля</w:t>
            </w:r>
            <w:r w:rsidRPr="00C6420A">
              <w:rPr>
                <w:b w:val="0"/>
                <w:bCs/>
                <w:sz w:val="18"/>
                <w:szCs w:val="18"/>
                <w:lang w:val="ru-RU"/>
              </w:rPr>
              <w:t>"</w:t>
            </w:r>
          </w:p>
        </w:tc>
        <w:tc>
          <w:tcPr>
            <w:tcW w:w="65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906" w:rsidRPr="008D0B05" w:rsidRDefault="009B1906" w:rsidP="004903B5">
            <w:pPr>
              <w:pStyle w:val="Tablehead"/>
              <w:spacing w:before="40" w:after="40" w:line="180" w:lineRule="exact"/>
              <w:rPr>
                <w:sz w:val="18"/>
                <w:szCs w:val="18"/>
                <w:lang w:val="ru-RU"/>
              </w:rPr>
            </w:pPr>
          </w:p>
        </w:tc>
      </w:tr>
      <w:tr w:rsidR="009B1906" w:rsidRPr="008D0B05" w:rsidTr="000D4379">
        <w:trPr>
          <w:cantSplit/>
          <w:jc w:val="center"/>
        </w:trPr>
        <w:tc>
          <w:tcPr>
            <w:tcW w:w="3108" w:type="dxa"/>
          </w:tcPr>
          <w:p w:rsidR="009B1906" w:rsidRPr="008D0B05" w:rsidRDefault="009B1906" w:rsidP="004903B5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 xml:space="preserve">Действительное </w:t>
            </w:r>
            <w:r w:rsidRPr="008D0B05">
              <w:rPr>
                <w:i/>
                <w:iCs/>
                <w:sz w:val="18"/>
                <w:szCs w:val="18"/>
                <w:lang w:val="ru-RU"/>
              </w:rPr>
              <w:t>E</w:t>
            </w:r>
            <w:r w:rsidRPr="008D0B05">
              <w:rPr>
                <w:i/>
                <w:iCs/>
                <w:sz w:val="24"/>
                <w:szCs w:val="24"/>
                <w:vertAlign w:val="subscript"/>
                <w:lang w:val="ru-RU"/>
              </w:rPr>
              <w:t>b</w:t>
            </w:r>
            <w:r w:rsidRPr="008D0B05">
              <w:rPr>
                <w:sz w:val="18"/>
                <w:szCs w:val="18"/>
                <w:lang w:val="ru-RU"/>
              </w:rPr>
              <w:t>/</w:t>
            </w:r>
            <w:r w:rsidRPr="008D0B05">
              <w:rPr>
                <w:i/>
                <w:iCs/>
                <w:lang w:val="ru-RU"/>
              </w:rPr>
              <w:t>N</w:t>
            </w:r>
            <w:r w:rsidRPr="008D0B05">
              <w:rPr>
                <w:vertAlign w:val="subscript"/>
                <w:lang w:val="ru-RU"/>
              </w:rPr>
              <w:t>0</w:t>
            </w:r>
            <w:r w:rsidRPr="008D0B05">
              <w:rPr>
                <w:sz w:val="18"/>
                <w:szCs w:val="18"/>
                <w:lang w:val="ru-RU"/>
              </w:rPr>
              <w:t xml:space="preserve"> (дБ)</w:t>
            </w:r>
          </w:p>
        </w:tc>
        <w:tc>
          <w:tcPr>
            <w:tcW w:w="854" w:type="dxa"/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96" w:type="dxa"/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13,0</w:t>
            </w:r>
          </w:p>
        </w:tc>
        <w:tc>
          <w:tcPr>
            <w:tcW w:w="923" w:type="dxa"/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10,8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11,8</w:t>
            </w:r>
          </w:p>
        </w:tc>
        <w:tc>
          <w:tcPr>
            <w:tcW w:w="919" w:type="dxa"/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10,1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8,9</w:t>
            </w:r>
          </w:p>
        </w:tc>
        <w:tc>
          <w:tcPr>
            <w:tcW w:w="1021" w:type="dxa"/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9,9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08" w:type="dxa"/>
          </w:tcPr>
          <w:p w:rsidR="009B1906" w:rsidRPr="008D0B05" w:rsidRDefault="009B1906" w:rsidP="004903B5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 xml:space="preserve">Теоретическое </w:t>
            </w:r>
            <w:r w:rsidRPr="008D0B05">
              <w:rPr>
                <w:i/>
                <w:iCs/>
                <w:sz w:val="18"/>
                <w:szCs w:val="18"/>
                <w:lang w:val="ru-RU"/>
              </w:rPr>
              <w:t>E</w:t>
            </w:r>
            <w:r w:rsidRPr="008D0B05">
              <w:rPr>
                <w:i/>
                <w:iCs/>
                <w:sz w:val="24"/>
                <w:szCs w:val="24"/>
                <w:vertAlign w:val="subscript"/>
                <w:lang w:val="ru-RU"/>
              </w:rPr>
              <w:t>b</w:t>
            </w:r>
            <w:r w:rsidRPr="008D0B05">
              <w:rPr>
                <w:sz w:val="18"/>
                <w:szCs w:val="18"/>
                <w:lang w:val="ru-RU"/>
              </w:rPr>
              <w:t>/</w:t>
            </w:r>
            <w:r w:rsidRPr="008D0B05">
              <w:rPr>
                <w:i/>
                <w:iCs/>
                <w:lang w:val="ru-RU"/>
              </w:rPr>
              <w:t>N</w:t>
            </w:r>
            <w:r w:rsidRPr="008D0B05">
              <w:rPr>
                <w:vertAlign w:val="subscript"/>
                <w:lang w:val="ru-RU"/>
              </w:rPr>
              <w:t>0</w:t>
            </w:r>
            <w:r w:rsidRPr="008D0B05">
              <w:rPr>
                <w:sz w:val="18"/>
                <w:szCs w:val="18"/>
                <w:lang w:val="ru-RU"/>
              </w:rPr>
              <w:t xml:space="preserve"> для BER, равных 10</w:t>
            </w:r>
            <w:r w:rsidRPr="008D0B05">
              <w:rPr>
                <w:bCs/>
                <w:vertAlign w:val="superscript"/>
                <w:lang w:val="ru-RU"/>
              </w:rPr>
              <w:t>−</w:t>
            </w:r>
            <w:r w:rsidRPr="008D0B05">
              <w:rPr>
                <w:sz w:val="18"/>
                <w:szCs w:val="18"/>
                <w:vertAlign w:val="superscript"/>
                <w:lang w:val="ru-RU"/>
              </w:rPr>
              <w:t>6</w:t>
            </w:r>
            <w:r w:rsidRPr="008D0B05">
              <w:rPr>
                <w:sz w:val="18"/>
                <w:szCs w:val="18"/>
                <w:lang w:val="ru-RU"/>
              </w:rPr>
              <w:t xml:space="preserve"> и 5</w:t>
            </w:r>
            <w:r w:rsidRPr="008D0B05">
              <w:rPr>
                <w:bCs/>
                <w:lang w:val="ru-RU"/>
              </w:rPr>
              <w:t> </w:t>
            </w:r>
            <w:r w:rsidRPr="008D0B05">
              <w:rPr>
                <w:bCs/>
                <w:szCs w:val="24"/>
                <w:lang w:val="ru-RU"/>
              </w:rPr>
              <w:sym w:font="Symbol" w:char="F0B4"/>
            </w:r>
            <w:r w:rsidRPr="008D0B05">
              <w:rPr>
                <w:bCs/>
                <w:sz w:val="18"/>
                <w:lang w:val="ru-RU"/>
              </w:rPr>
              <w:t> 10</w:t>
            </w:r>
            <w:r w:rsidRPr="008D0B05">
              <w:rPr>
                <w:bCs/>
                <w:sz w:val="18"/>
                <w:vertAlign w:val="superscript"/>
                <w:lang w:val="ru-RU"/>
              </w:rPr>
              <w:t xml:space="preserve">−5 </w:t>
            </w:r>
            <w:r w:rsidRPr="008D0B05">
              <w:rPr>
                <w:sz w:val="18"/>
                <w:szCs w:val="18"/>
                <w:lang w:val="ru-RU"/>
              </w:rPr>
              <w:t>(дБ)</w:t>
            </w:r>
          </w:p>
        </w:tc>
        <w:tc>
          <w:tcPr>
            <w:tcW w:w="854" w:type="dxa"/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896" w:type="dxa"/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10,6</w:t>
            </w:r>
          </w:p>
        </w:tc>
        <w:tc>
          <w:tcPr>
            <w:tcW w:w="4780" w:type="dxa"/>
            <w:gridSpan w:val="5"/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8,8</w:t>
            </w:r>
          </w:p>
        </w:tc>
      </w:tr>
      <w:tr w:rsidR="009B1906" w:rsidRPr="008D0B05" w:rsidTr="000D4379">
        <w:trPr>
          <w:cantSplit/>
          <w:jc w:val="center"/>
        </w:trPr>
        <w:tc>
          <w:tcPr>
            <w:tcW w:w="3108" w:type="dxa"/>
            <w:tcBorders>
              <w:bottom w:val="single" w:sz="4" w:space="0" w:color="auto"/>
            </w:tcBorders>
          </w:tcPr>
          <w:p w:rsidR="009B1906" w:rsidRPr="008D0B05" w:rsidRDefault="009B1906" w:rsidP="004903B5">
            <w:pPr>
              <w:pStyle w:val="Tabletext"/>
              <w:spacing w:line="180" w:lineRule="exact"/>
              <w:jc w:val="left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Запас (дБ)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21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2,4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2,0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3,0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1,3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0,1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vAlign w:val="center"/>
          </w:tcPr>
          <w:p w:rsidR="009B1906" w:rsidRPr="008D0B05" w:rsidRDefault="009B1906" w:rsidP="004903B5">
            <w:pPr>
              <w:pStyle w:val="Tabletext"/>
              <w:spacing w:line="180" w:lineRule="exact"/>
              <w:jc w:val="center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>1,1</w:t>
            </w:r>
          </w:p>
        </w:tc>
      </w:tr>
      <w:tr w:rsidR="009B1906" w:rsidRPr="00B95C2A" w:rsidTr="00470826">
        <w:trPr>
          <w:cantSplit/>
          <w:jc w:val="center"/>
        </w:trPr>
        <w:tc>
          <w:tcPr>
            <w:tcW w:w="9638" w:type="dxa"/>
            <w:gridSpan w:val="8"/>
            <w:tcBorders>
              <w:left w:val="nil"/>
              <w:bottom w:val="nil"/>
              <w:right w:val="nil"/>
            </w:tcBorders>
          </w:tcPr>
          <w:p w:rsidR="009B1906" w:rsidRPr="008D0B05" w:rsidRDefault="009B1906" w:rsidP="004903B5">
            <w:pPr>
              <w:pStyle w:val="Tablelegend"/>
              <w:spacing w:before="12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i/>
                <w:iCs/>
                <w:sz w:val="18"/>
                <w:lang w:val="ru-RU"/>
              </w:rPr>
              <w:t>Примечания к таблице 2</w:t>
            </w:r>
            <w:r w:rsidRPr="008D0B05">
              <w:rPr>
                <w:sz w:val="18"/>
                <w:lang w:val="ru-RU"/>
              </w:rPr>
              <w:t>: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1</w:t>
            </w:r>
            <w:r w:rsidRPr="008D0B05">
              <w:rPr>
                <w:sz w:val="18"/>
                <w:lang w:val="ru-RU"/>
              </w:rPr>
              <w:tab/>
              <w:t xml:space="preserve">Номинальная ширина полосы 1 дБ спутникового приемника с центром на 406,05 МГц. 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2</w:t>
            </w:r>
            <w:r w:rsidRPr="008D0B05">
              <w:rPr>
                <w:sz w:val="18"/>
                <w:lang w:val="ru-RU"/>
              </w:rPr>
              <w:tab/>
              <w:t>Значения частоты маяка находятся в диапазоне 406,022–406,079 МГц.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3</w:t>
            </w:r>
            <w:r w:rsidRPr="008D0B05">
              <w:rPr>
                <w:sz w:val="18"/>
                <w:lang w:val="ru-RU"/>
              </w:rPr>
              <w:tab/>
              <w:t>Мощность передатчика маяка может находиться в диапазоне 5–9 дБВт, поэтому для расчета бюджета линии используется такой слабый передатчик маяка (5 дБВт), при этом принимается, что одновременно осуществляют передачу пачек еще два маяка с номиналом 406 МГц, угол места каждого из них относительно спутника составляет 40 град. при 7 дБВт, усилении антенны 0 дБ, потерях излучения 1 дБ, поэтому э.и.и.м. на линии вверх составляет 6 дБВт (эта обусловливаемая дополнительными маяками нагрузка воздействует на значение совместного использования мощности передатчика спутника).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4</w:t>
            </w:r>
            <w:r w:rsidRPr="008D0B05">
              <w:rPr>
                <w:sz w:val="18"/>
                <w:lang w:val="ru-RU"/>
              </w:rPr>
              <w:tab/>
              <w:t>Антенна передатчика имеет линейную поляризацию.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5</w:t>
            </w:r>
            <w:r w:rsidRPr="008D0B05">
              <w:rPr>
                <w:sz w:val="18"/>
                <w:lang w:val="ru-RU"/>
              </w:rPr>
              <w:tab/>
              <w:t xml:space="preserve">Угол места от маяка к спутнику, равный 5°, является номинальной границей покрытия, а номинальная высота спутников GEOSAR составляет </w:t>
            </w:r>
            <w:r w:rsidRPr="008D0B05">
              <w:rPr>
                <w:sz w:val="18"/>
                <w:szCs w:val="24"/>
                <w:lang w:val="ru-RU"/>
              </w:rPr>
              <w:t xml:space="preserve">35 786 км, спутников Сарсат – </w:t>
            </w:r>
            <w:r w:rsidRPr="008D0B05">
              <w:rPr>
                <w:sz w:val="18"/>
                <w:lang w:val="ru-RU"/>
              </w:rPr>
              <w:t>850 км (в диапазоне от 830 до 870 км) и спутников Коспас – 1000 км.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lang w:val="ru-RU"/>
              </w:rPr>
              <w:t>6</w:t>
            </w:r>
            <w:r w:rsidRPr="008D0B05">
              <w:rPr>
                <w:sz w:val="18"/>
                <w:lang w:val="ru-RU"/>
              </w:rPr>
              <w:tab/>
              <w:t xml:space="preserve">Потери на </w:t>
            </w:r>
            <w:r w:rsidRPr="008D0B05">
              <w:rPr>
                <w:sz w:val="18"/>
                <w:szCs w:val="18"/>
                <w:lang w:val="ru-RU"/>
              </w:rPr>
              <w:t xml:space="preserve">поляризацию, обусловливаемые линейной поляризацией антенны маяка и замиранием сигнала в линии вверх. Потери на поляризацию в линии LEOSAR включаются в усиление антенны и, следовательно, отражаются в </w:t>
            </w:r>
            <w:r w:rsidRPr="008D0B05">
              <w:rPr>
                <w:i/>
                <w:iCs/>
                <w:sz w:val="18"/>
                <w:szCs w:val="18"/>
                <w:lang w:val="ru-RU"/>
              </w:rPr>
              <w:t>G</w:t>
            </w:r>
            <w:r w:rsidRPr="008D0B05">
              <w:rPr>
                <w:sz w:val="18"/>
                <w:szCs w:val="18"/>
                <w:lang w:val="ru-RU"/>
              </w:rPr>
              <w:t>/</w:t>
            </w:r>
            <w:r w:rsidRPr="008D0B05">
              <w:rPr>
                <w:i/>
                <w:iCs/>
                <w:sz w:val="18"/>
                <w:szCs w:val="18"/>
                <w:lang w:val="ru-RU"/>
              </w:rPr>
              <w:t xml:space="preserve">T </w:t>
            </w:r>
            <w:r w:rsidRPr="008D0B05">
              <w:rPr>
                <w:sz w:val="18"/>
                <w:szCs w:val="18"/>
                <w:lang w:val="ru-RU"/>
              </w:rPr>
              <w:t>спутниковой приемной антенны.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left="567" w:right="0" w:hanging="567"/>
              <w:rPr>
                <w:sz w:val="18"/>
                <w:lang w:val="ru-RU"/>
              </w:rPr>
            </w:pPr>
            <w:r w:rsidRPr="008D0B05">
              <w:rPr>
                <w:sz w:val="18"/>
                <w:szCs w:val="18"/>
                <w:lang w:val="ru-RU"/>
              </w:rPr>
              <w:tab/>
              <w:t>6a</w:t>
            </w:r>
            <w:r w:rsidRPr="008D0B05">
              <w:rPr>
                <w:sz w:val="18"/>
                <w:szCs w:val="18"/>
                <w:lang w:val="ru-RU"/>
              </w:rPr>
              <w:tab/>
              <w:t xml:space="preserve">Для линии обеспечивается составляющая 2,5 дБ поправка на замирание сигнала (в основном вследствие мерцания) (см. Документ C/S R.012, Приложение J. </w:t>
            </w:r>
            <w:proofErr w:type="gramStart"/>
            <w:r w:rsidRPr="008D0B05">
              <w:rPr>
                <w:sz w:val="18"/>
                <w:szCs w:val="18"/>
                <w:lang w:val="ru-RU"/>
              </w:rPr>
              <w:t>Экземпляр этого документа может быть получен бесплатно через веб-сайт секретариата организации Коспас-Сарсат (эл. почта</w:t>
            </w:r>
            <w:r w:rsidRPr="008D0B05" w:rsidDel="00BB43F3">
              <w:rPr>
                <w:sz w:val="18"/>
                <w:szCs w:val="18"/>
                <w:lang w:val="ru-RU"/>
              </w:rPr>
              <w:t>:</w:t>
            </w:r>
            <w:r w:rsidRPr="008D0B05">
              <w:rPr>
                <w:sz w:val="18"/>
                <w:szCs w:val="18"/>
                <w:lang w:val="ru-RU"/>
              </w:rPr>
              <w:t xml:space="preserve"> </w:t>
            </w:r>
            <w:hyperlink r:id="rId25" w:history="1">
              <w:r w:rsidRPr="003D02B4" w:rsidDel="00BB43F3">
                <w:rPr>
                  <w:rStyle w:val="Hyperlink"/>
                  <w:sz w:val="18"/>
                  <w:szCs w:val="18"/>
                  <w:lang w:val="ru-RU"/>
                </w:rPr>
                <w:t>cospas_sarsat@imso.org</w:t>
              </w:r>
            </w:hyperlink>
            <w:r>
              <w:rPr>
                <w:sz w:val="18"/>
                <w:szCs w:val="18"/>
                <w:lang w:val="ru-RU"/>
              </w:rPr>
              <w:t xml:space="preserve">, </w:t>
            </w:r>
            <w:hyperlink r:id="rId26" w:history="1">
              <w:r w:rsidRPr="003D02B4">
                <w:rPr>
                  <w:rStyle w:val="Hyperlink"/>
                  <w:sz w:val="18"/>
                  <w:szCs w:val="18"/>
                  <w:lang w:val="ru-RU"/>
                </w:rPr>
                <w:t>http://www</w:t>
              </w:r>
              <w:r w:rsidRPr="003D02B4">
                <w:rPr>
                  <w:rStyle w:val="Hyperlink"/>
                  <w:sz w:val="18"/>
                  <w:lang w:val="ru-RU"/>
                </w:rPr>
                <w:t>.cospas-sarsat.org/</w:t>
              </w:r>
            </w:hyperlink>
            <w:r w:rsidRPr="008D0B05">
              <w:rPr>
                <w:sz w:val="18"/>
                <w:lang w:val="ru-RU"/>
              </w:rPr>
              <w:t>)).</w:t>
            </w:r>
            <w:proofErr w:type="gramEnd"/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7</w:t>
            </w:r>
            <w:r w:rsidRPr="008D0B05">
              <w:rPr>
                <w:sz w:val="18"/>
                <w:lang w:val="ru-RU"/>
              </w:rPr>
              <w:tab/>
            </w:r>
            <w:r w:rsidRPr="008D0B05">
              <w:rPr>
                <w:i/>
                <w:iCs/>
                <w:sz w:val="18"/>
                <w:lang w:val="ru-RU"/>
              </w:rPr>
              <w:t>G</w:t>
            </w:r>
            <w:r w:rsidRPr="008D0B05">
              <w:rPr>
                <w:sz w:val="18"/>
                <w:lang w:val="ru-RU"/>
              </w:rPr>
              <w:t>/</w:t>
            </w:r>
            <w:r w:rsidRPr="008D0B05">
              <w:rPr>
                <w:i/>
                <w:iCs/>
                <w:sz w:val="18"/>
                <w:lang w:val="ru-RU"/>
              </w:rPr>
              <w:t>T</w:t>
            </w:r>
            <w:r w:rsidRPr="008D0B05">
              <w:rPr>
                <w:sz w:val="18"/>
                <w:lang w:val="ru-RU"/>
              </w:rPr>
              <w:t xml:space="preserve"> спутникового приемника 406 МГц, </w:t>
            </w:r>
            <w:r w:rsidRPr="008D0B05">
              <w:rPr>
                <w:sz w:val="18"/>
                <w:szCs w:val="24"/>
                <w:lang w:val="ru-RU"/>
              </w:rPr>
              <w:t>отнесенное ко входу МШУ, где номинальные усиление и шумовая температура составляют</w:t>
            </w:r>
            <w:r w:rsidRPr="008D0B05">
              <w:rPr>
                <w:sz w:val="18"/>
                <w:lang w:val="ru-RU"/>
              </w:rPr>
              <w:t>: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ab/>
              <w:t xml:space="preserve">GOES: G = 7,05 дБ, шумовая температура </w:t>
            </w:r>
            <w:r w:rsidRPr="008D0B05">
              <w:rPr>
                <w:sz w:val="18"/>
                <w:szCs w:val="24"/>
                <w:lang w:val="ru-RU"/>
              </w:rPr>
              <w:t>= 359 K</w:t>
            </w:r>
            <w:r w:rsidRPr="008D0B05">
              <w:rPr>
                <w:sz w:val="18"/>
                <w:lang w:val="ru-RU"/>
              </w:rPr>
              <w:t>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ab/>
              <w:t xml:space="preserve">MSG: G = </w:t>
            </w:r>
            <w:r w:rsidRPr="008D0B05">
              <w:rPr>
                <w:sz w:val="18"/>
                <w:szCs w:val="24"/>
                <w:lang w:val="ru-RU"/>
              </w:rPr>
              <w:t>3,0 дБ</w:t>
            </w:r>
            <w:r w:rsidRPr="008D0B05">
              <w:rPr>
                <w:sz w:val="18"/>
                <w:lang w:val="ru-RU"/>
              </w:rPr>
              <w:t xml:space="preserve">, шумовая температура = </w:t>
            </w:r>
            <w:r w:rsidRPr="008D0B05">
              <w:rPr>
                <w:sz w:val="18"/>
                <w:szCs w:val="24"/>
                <w:lang w:val="ru-RU"/>
              </w:rPr>
              <w:t>326 K</w:t>
            </w:r>
            <w:r w:rsidRPr="008D0B05">
              <w:rPr>
                <w:sz w:val="18"/>
                <w:lang w:val="ru-RU"/>
              </w:rPr>
              <w:t>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ab/>
              <w:t>Сарсат: G = –4,0 дБ, шумовая температура = 1000</w:t>
            </w:r>
            <w:r w:rsidRPr="008D0B05">
              <w:rPr>
                <w:sz w:val="18"/>
                <w:szCs w:val="24"/>
                <w:lang w:val="ru-RU"/>
              </w:rPr>
              <w:t> </w:t>
            </w:r>
            <w:r>
              <w:rPr>
                <w:sz w:val="18"/>
                <w:lang w:val="ru-RU"/>
              </w:rPr>
              <w:t>K.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ab/>
              <w:t>Коспас: G = –4,0 дБ, шумовая температура = 1000</w:t>
            </w:r>
            <w:r w:rsidRPr="008D0B05">
              <w:rPr>
                <w:sz w:val="18"/>
                <w:szCs w:val="24"/>
                <w:lang w:val="ru-RU"/>
              </w:rPr>
              <w:t> </w:t>
            </w:r>
            <w:r w:rsidRPr="008D0B05">
              <w:rPr>
                <w:sz w:val="18"/>
                <w:lang w:val="ru-RU"/>
              </w:rPr>
              <w:t>K.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szCs w:val="18"/>
                <w:lang w:val="ru-RU"/>
              </w:rPr>
            </w:pPr>
            <w:r w:rsidRPr="008D0B05">
              <w:rPr>
                <w:sz w:val="18"/>
                <w:lang w:val="ru-RU"/>
              </w:rPr>
              <w:t>8</w:t>
            </w:r>
            <w:r w:rsidRPr="008D0B05">
              <w:rPr>
                <w:sz w:val="18"/>
                <w:lang w:val="ru-RU"/>
              </w:rPr>
              <w:tab/>
            </w:r>
            <w:r w:rsidRPr="008D0B05">
              <w:rPr>
                <w:sz w:val="18"/>
                <w:szCs w:val="18"/>
                <w:lang w:val="ru-RU"/>
              </w:rPr>
              <w:t>Полосой частот линии вниз, распределенной для связи в случае бедствия и для обеспечения безопасности, является полоса 1544−1545 МГц.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9</w:t>
            </w:r>
            <w:r w:rsidRPr="008D0B05">
              <w:rPr>
                <w:sz w:val="18"/>
                <w:lang w:val="ru-RU"/>
              </w:rPr>
              <w:tab/>
              <w:t>э.и.и.м. базируется на мощности спутникового передатчика и усилении передающей антенны. В случае спутников MSG и Galileo дается значение э.и.и.м. для наблюдаемого маяка (то есть включается вся мощность, используемая совместно с другими маяками, и шумовая температура).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10</w:t>
            </w:r>
            <w:r w:rsidRPr="008D0B05">
              <w:rPr>
                <w:sz w:val="18"/>
                <w:lang w:val="ru-RU"/>
              </w:rPr>
              <w:tab/>
              <w:t>Потери при совместном использовании мощности – это часть э.и.и.м. передатчика, распределенная данном сигналу от одного маяка, передающего сигналы бедствия. В случаях спутников MSG и GALILEO "Потери при совместном использовании мощности" включены в пункт "э.и.и.м. передатчика".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11</w:t>
            </w:r>
            <w:r w:rsidRPr="008D0B05">
              <w:rPr>
                <w:sz w:val="18"/>
                <w:lang w:val="ru-RU"/>
              </w:rPr>
              <w:tab/>
              <w:t>Потери вследствие модуляции – это часть э.и.и.м. передатчика, распределенная полосе ретранслятора 406 МГц на спутнике, согласно индексу фазовой модуляции (не применяется к спутникам MSG и MEOSAR, на которых предусмотрено прямое преобразование частоты).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12</w:t>
            </w:r>
            <w:r w:rsidRPr="008D0B05">
              <w:rPr>
                <w:sz w:val="18"/>
                <w:lang w:val="ru-RU"/>
              </w:rPr>
              <w:tab/>
              <w:t>Угол места 5° от LUT на спутник является номинальной границей покрытия.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13</w:t>
            </w:r>
            <w:r w:rsidRPr="008D0B05">
              <w:rPr>
                <w:sz w:val="18"/>
                <w:lang w:val="ru-RU"/>
              </w:rPr>
              <w:tab/>
              <w:t xml:space="preserve">В </w:t>
            </w:r>
            <w:r w:rsidRPr="008D0B05">
              <w:rPr>
                <w:i/>
                <w:iCs/>
                <w:sz w:val="18"/>
                <w:lang w:val="ru-RU"/>
              </w:rPr>
              <w:t>G</w:t>
            </w:r>
            <w:r w:rsidRPr="008D0B05">
              <w:rPr>
                <w:sz w:val="18"/>
                <w:lang w:val="ru-RU"/>
              </w:rPr>
              <w:t>/</w:t>
            </w:r>
            <w:r w:rsidRPr="008D0B05">
              <w:rPr>
                <w:i/>
                <w:iCs/>
                <w:sz w:val="18"/>
                <w:lang w:val="ru-RU"/>
              </w:rPr>
              <w:t>T</w:t>
            </w:r>
            <w:r w:rsidRPr="008D0B05">
              <w:rPr>
                <w:sz w:val="18"/>
                <w:lang w:val="ru-RU"/>
              </w:rPr>
              <w:t xml:space="preserve"> используются номинальные значения для каждого типа LUT.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14</w:t>
            </w:r>
            <w:r w:rsidRPr="008D0B05">
              <w:rPr>
                <w:sz w:val="18"/>
                <w:lang w:val="ru-RU"/>
              </w:rPr>
              <w:tab/>
              <w:t>Потери на поляризацию для каждого типа антенны LUT.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15</w:t>
            </w:r>
            <w:r w:rsidRPr="008D0B05">
              <w:rPr>
                <w:sz w:val="18"/>
                <w:lang w:val="ru-RU"/>
              </w:rPr>
              <w:tab/>
              <w:t>Потери на ориентацию антенны, обусловливаемые наведением антенны LUT.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16</w:t>
            </w:r>
            <w:r w:rsidRPr="008D0B05">
              <w:rPr>
                <w:sz w:val="18"/>
                <w:lang w:val="ru-RU"/>
              </w:rPr>
              <w:tab/>
              <w:t>Кратковременные потери уровня несущей величиной 10 дБ вследствие модуляции с высоким индексом в других каналах до реакции АРУ.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17</w:t>
            </w:r>
            <w:r w:rsidRPr="008D0B05">
              <w:rPr>
                <w:sz w:val="18"/>
                <w:lang w:val="ru-RU"/>
              </w:rPr>
              <w:tab/>
              <w:t>Скорость передачи данных составляет 400 бит/с для излучений маяка и 2400 бит/с для PDS.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18</w:t>
            </w:r>
            <w:r w:rsidRPr="008D0B05">
              <w:rPr>
                <w:sz w:val="18"/>
                <w:lang w:val="ru-RU"/>
              </w:rPr>
              <w:tab/>
              <w:t>Потери вследствие модуляции данных маяка, поскольку часть мощности намеренно удерживается в несущей, так как индекс модуляции установлен равным 1,1 ± 0,1 рад.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19</w:t>
            </w:r>
            <w:r w:rsidRPr="008D0B05">
              <w:rPr>
                <w:sz w:val="18"/>
                <w:lang w:val="ru-RU"/>
              </w:rPr>
              <w:tab/>
              <w:t>Выигрыш от обработки вследствие интеграции пачек от нескольких маяков в данном LUT. Для MEOSAR предполагается демодуляция одиночных пачек (</w:t>
            </w:r>
            <w:r>
              <w:rPr>
                <w:sz w:val="18"/>
                <w:szCs w:val="18"/>
                <w:lang w:val="ru-RU"/>
              </w:rPr>
              <w:t xml:space="preserve">см. </w:t>
            </w:r>
            <w:r w:rsidRPr="008D0B05">
              <w:rPr>
                <w:sz w:val="18"/>
                <w:szCs w:val="18"/>
                <w:lang w:val="ru-RU"/>
              </w:rPr>
              <w:t>Документ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8D0B05">
              <w:rPr>
                <w:sz w:val="18"/>
                <w:szCs w:val="18"/>
                <w:lang w:val="ru-RU"/>
              </w:rPr>
              <w:t>C/S R.012, Приложение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8D0B05">
              <w:rPr>
                <w:sz w:val="18"/>
                <w:szCs w:val="18"/>
                <w:lang w:val="ru-RU"/>
              </w:rPr>
              <w:t xml:space="preserve">J. </w:t>
            </w:r>
            <w:proofErr w:type="gramStart"/>
            <w:r w:rsidRPr="008D0B05">
              <w:rPr>
                <w:sz w:val="18"/>
                <w:szCs w:val="18"/>
                <w:lang w:val="ru-RU"/>
              </w:rPr>
              <w:t>Экземпляр этого документа может быть получен бесплатно через веб-сайт секретариата организации Коспас-Сарсат (эл. почта</w:t>
            </w:r>
            <w:r w:rsidRPr="008D0B05" w:rsidDel="00BB43F3">
              <w:rPr>
                <w:sz w:val="18"/>
                <w:szCs w:val="18"/>
                <w:lang w:val="ru-RU"/>
              </w:rPr>
              <w:t>:</w:t>
            </w:r>
            <w:r>
              <w:rPr>
                <w:sz w:val="18"/>
                <w:szCs w:val="18"/>
                <w:lang w:val="ru-RU"/>
              </w:rPr>
              <w:t> </w:t>
            </w:r>
            <w:hyperlink r:id="rId27" w:history="1">
              <w:r w:rsidRPr="003D02B4" w:rsidDel="00BB43F3">
                <w:rPr>
                  <w:rStyle w:val="Hyperlink"/>
                  <w:sz w:val="18"/>
                  <w:szCs w:val="18"/>
                  <w:lang w:val="ru-RU"/>
                </w:rPr>
                <w:t>cospas_sarsat@imso.org</w:t>
              </w:r>
            </w:hyperlink>
            <w:r>
              <w:rPr>
                <w:sz w:val="18"/>
                <w:szCs w:val="18"/>
                <w:lang w:val="ru-RU"/>
              </w:rPr>
              <w:t xml:space="preserve">, </w:t>
            </w:r>
            <w:hyperlink r:id="rId28" w:history="1">
              <w:r w:rsidRPr="003D02B4">
                <w:rPr>
                  <w:rStyle w:val="Hyperlink"/>
                  <w:sz w:val="18"/>
                  <w:szCs w:val="18"/>
                  <w:lang w:val="ru-RU"/>
                </w:rPr>
                <w:t>http://www</w:t>
              </w:r>
              <w:r w:rsidRPr="003D02B4">
                <w:rPr>
                  <w:rStyle w:val="Hyperlink"/>
                  <w:sz w:val="18"/>
                  <w:lang w:val="ru-RU"/>
                </w:rPr>
                <w:t>.cospas-sarsat.org/</w:t>
              </w:r>
            </w:hyperlink>
            <w:r w:rsidRPr="008D0B05">
              <w:rPr>
                <w:sz w:val="18"/>
                <w:lang w:val="ru-RU"/>
              </w:rPr>
              <w:t>)).</w:t>
            </w:r>
            <w:proofErr w:type="gramEnd"/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20</w:t>
            </w:r>
            <w:r w:rsidRPr="008D0B05">
              <w:rPr>
                <w:sz w:val="18"/>
                <w:lang w:val="ru-RU"/>
              </w:rPr>
              <w:tab/>
              <w:t xml:space="preserve">BER для полосы ретранслятора составляет 5,0 </w:t>
            </w:r>
            <w:r w:rsidRPr="008D0B05">
              <w:rPr>
                <w:rFonts w:ascii="Times" w:hAnsi="Times"/>
                <w:sz w:val="18"/>
                <w:lang w:val="ru-RU"/>
              </w:rPr>
              <w:t>×</w:t>
            </w:r>
            <w:r w:rsidRPr="008D0B05">
              <w:rPr>
                <w:sz w:val="18"/>
                <w:lang w:val="ru-RU"/>
              </w:rPr>
              <w:t xml:space="preserve"> 10</w:t>
            </w:r>
            <w:r w:rsidRPr="008D0B05">
              <w:rPr>
                <w:sz w:val="18"/>
                <w:vertAlign w:val="superscript"/>
                <w:lang w:val="ru-RU"/>
              </w:rPr>
              <w:t>–5</w:t>
            </w:r>
            <w:r w:rsidRPr="008D0B05">
              <w:rPr>
                <w:sz w:val="18"/>
                <w:lang w:val="ru-RU"/>
              </w:rPr>
              <w:t xml:space="preserve"> согласно Рекомендации МСЭ</w:t>
            </w:r>
            <w:r w:rsidRPr="008D0B05">
              <w:rPr>
                <w:sz w:val="18"/>
                <w:lang w:val="ru-RU"/>
              </w:rPr>
              <w:noBreakHyphen/>
              <w:t>R M.1478, а для канала PDS </w:t>
            </w:r>
            <w:r>
              <w:rPr>
                <w:sz w:val="18"/>
                <w:lang w:val="ru-RU"/>
              </w:rPr>
              <w:sym w:font="Symbol" w:char="F02D"/>
            </w:r>
            <w:r>
              <w:rPr>
                <w:sz w:val="18"/>
                <w:lang w:val="ru-RU"/>
              </w:rPr>
              <w:t> </w:t>
            </w:r>
            <w:r w:rsidRPr="008D0B05">
              <w:rPr>
                <w:sz w:val="18"/>
                <w:lang w:val="ru-RU"/>
              </w:rPr>
              <w:t>1,0</w:t>
            </w:r>
            <w:r>
              <w:rPr>
                <w:sz w:val="18"/>
                <w:lang w:val="ru-RU"/>
              </w:rPr>
              <w:t> </w:t>
            </w:r>
            <w:r w:rsidRPr="008D0B05">
              <w:rPr>
                <w:sz w:val="18"/>
                <w:lang w:val="ru-RU"/>
              </w:rPr>
              <w:t>×</w:t>
            </w:r>
            <w:r>
              <w:rPr>
                <w:sz w:val="18"/>
                <w:lang w:val="ru-RU"/>
              </w:rPr>
              <w:t> </w:t>
            </w:r>
            <w:r w:rsidRPr="008D0B05">
              <w:rPr>
                <w:sz w:val="18"/>
                <w:lang w:val="ru-RU"/>
              </w:rPr>
              <w:t>10</w:t>
            </w:r>
            <w:r w:rsidRPr="008D0B05">
              <w:rPr>
                <w:sz w:val="18"/>
                <w:vertAlign w:val="superscript"/>
                <w:lang w:val="ru-RU"/>
              </w:rPr>
              <w:t>–6</w:t>
            </w:r>
            <w:r w:rsidRPr="008D0B05">
              <w:rPr>
                <w:sz w:val="18"/>
                <w:lang w:val="ru-RU"/>
              </w:rPr>
              <w:t>.</w:t>
            </w:r>
          </w:p>
          <w:p w:rsidR="009B1906" w:rsidRPr="008D0B05" w:rsidRDefault="009B1906" w:rsidP="004903B5">
            <w:pPr>
              <w:pStyle w:val="Tablelegend"/>
              <w:spacing w:before="50" w:line="180" w:lineRule="exact"/>
              <w:ind w:right="0"/>
              <w:rPr>
                <w:i/>
                <w:iCs/>
                <w:sz w:val="18"/>
                <w:lang w:val="ru-RU"/>
              </w:rPr>
            </w:pPr>
            <w:r w:rsidRPr="008D0B05">
              <w:rPr>
                <w:sz w:val="18"/>
                <w:lang w:val="ru-RU"/>
              </w:rPr>
              <w:t>21</w:t>
            </w:r>
            <w:r w:rsidRPr="008D0B05">
              <w:rPr>
                <w:sz w:val="18"/>
                <w:lang w:val="ru-RU"/>
              </w:rPr>
              <w:tab/>
              <w:t>Запас – это остающийся дополнительный сигнал, который может использоваться в случае наличия помех.</w:t>
            </w:r>
          </w:p>
        </w:tc>
      </w:tr>
    </w:tbl>
    <w:p w:rsidR="00934ED7" w:rsidRPr="009B1906" w:rsidRDefault="009B1906" w:rsidP="004903B5">
      <w:pPr>
        <w:spacing w:before="80"/>
        <w:jc w:val="center"/>
      </w:pPr>
      <w:r>
        <w:t>______________</w:t>
      </w:r>
    </w:p>
    <w:sectPr w:rsidR="00934ED7" w:rsidRPr="009B1906" w:rsidSect="00833F98">
      <w:headerReference w:type="even" r:id="rId29"/>
      <w:headerReference w:type="default" r:id="rId30"/>
      <w:headerReference w:type="first" r:id="rId31"/>
      <w:pgSz w:w="11907" w:h="16840" w:code="9"/>
      <w:pgMar w:top="1418" w:right="1134" w:bottom="1134" w:left="1134" w:header="624" w:footer="6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C57" w:rsidRDefault="00FD2C57">
      <w:r>
        <w:separator/>
      </w:r>
    </w:p>
  </w:endnote>
  <w:endnote w:type="continuationSeparator" w:id="0">
    <w:p w:rsidR="00FD2C57" w:rsidRDefault="00FD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C57" w:rsidRDefault="00FD2C57">
      <w:r>
        <w:separator/>
      </w:r>
    </w:p>
  </w:footnote>
  <w:footnote w:type="continuationSeparator" w:id="0">
    <w:p w:rsidR="00FD2C57" w:rsidRDefault="00FD2C57">
      <w:r>
        <w:continuationSeparator/>
      </w:r>
    </w:p>
  </w:footnote>
  <w:footnote w:id="1">
    <w:p w:rsidR="00FD2C57" w:rsidRDefault="00FD2C57" w:rsidP="009B1906">
      <w:pPr>
        <w:pStyle w:val="FootnoteText"/>
        <w:rPr>
          <w:lang w:val="ru-RU"/>
        </w:rPr>
      </w:pPr>
      <w:r>
        <w:rPr>
          <w:rStyle w:val="FootnoteReference"/>
          <w:lang w:val="ru-RU"/>
        </w:rPr>
        <w:t>*</w:t>
      </w:r>
      <w:r>
        <w:rPr>
          <w:lang w:val="ru-RU"/>
        </w:rPr>
        <w:tab/>
        <w:t>Настоящая Рекомендация должна быть доведена до сведения организации Коспас-Сарсат, Международной организации гражданской авиации (ИК</w:t>
      </w:r>
      <w:r>
        <w:rPr>
          <w:lang w:val="en-US"/>
        </w:rPr>
        <w:t>AO</w:t>
      </w:r>
      <w:r>
        <w:rPr>
          <w:lang w:val="ru-RU"/>
        </w:rPr>
        <w:t>) и Международной морской организации (ИМО).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57" w:rsidRDefault="00FD2C5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57" w:rsidRDefault="00FD2C57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749B99E" wp14:editId="6262DA5B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57" w:rsidRPr="00FD2C57" w:rsidRDefault="00FD2C57" w:rsidP="00470826">
    <w:pPr>
      <w:pStyle w:val="Header"/>
      <w:tabs>
        <w:tab w:val="clear" w:pos="4848"/>
        <w:tab w:val="center" w:pos="4820"/>
      </w:tabs>
      <w:jc w:val="left"/>
      <w:rPr>
        <w:szCs w:val="22"/>
        <w:lang w:val="ru-RU"/>
      </w:rPr>
    </w:pPr>
    <w:r>
      <w:rPr>
        <w:rStyle w:val="PageNumber"/>
        <w:b/>
        <w:bCs/>
        <w:szCs w:val="22"/>
      </w:rPr>
      <w:fldChar w:fldCharType="begin"/>
    </w:r>
    <w:r>
      <w:rPr>
        <w:rStyle w:val="PageNumber"/>
        <w:b/>
        <w:bCs/>
        <w:szCs w:val="22"/>
        <w:lang w:val="ru-RU"/>
      </w:rPr>
      <w:instrText xml:space="preserve"> </w:instrText>
    </w:r>
    <w:r>
      <w:rPr>
        <w:rStyle w:val="PageNumber"/>
        <w:b/>
        <w:bCs/>
        <w:szCs w:val="22"/>
        <w:lang w:val="en-US"/>
      </w:rPr>
      <w:instrText>PAGE</w:instrText>
    </w:r>
    <w:r>
      <w:rPr>
        <w:rStyle w:val="PageNumber"/>
        <w:b/>
        <w:bCs/>
        <w:szCs w:val="22"/>
        <w:lang w:val="ru-RU"/>
      </w:rPr>
      <w:instrText xml:space="preserve"> </w:instrText>
    </w:r>
    <w:r>
      <w:rPr>
        <w:rStyle w:val="PageNumber"/>
        <w:b/>
        <w:bCs/>
        <w:szCs w:val="22"/>
      </w:rPr>
      <w:fldChar w:fldCharType="separate"/>
    </w:r>
    <w:r w:rsidR="00B95C2A">
      <w:rPr>
        <w:rStyle w:val="PageNumber"/>
        <w:b/>
        <w:bCs/>
        <w:noProof/>
        <w:szCs w:val="22"/>
        <w:lang w:val="ru-RU"/>
      </w:rPr>
      <w:t>ii</w:t>
    </w:r>
    <w:r>
      <w:rPr>
        <w:rStyle w:val="PageNumber"/>
        <w:b/>
        <w:bCs/>
        <w:szCs w:val="22"/>
      </w:rPr>
      <w:fldChar w:fldCharType="end"/>
    </w:r>
    <w:r>
      <w:rPr>
        <w:szCs w:val="22"/>
        <w:lang w:val="ru-RU"/>
      </w:rPr>
      <w:tab/>
    </w:r>
    <w:r>
      <w:rPr>
        <w:b/>
        <w:bCs/>
        <w:szCs w:val="22"/>
        <w:lang w:val="ru-RU"/>
      </w:rPr>
      <w:t>Рек.  МСЭ-</w:t>
    </w:r>
    <w:proofErr w:type="gramStart"/>
    <w:r>
      <w:rPr>
        <w:b/>
        <w:bCs/>
        <w:szCs w:val="22"/>
        <w:lang w:val="en-US"/>
      </w:rPr>
      <w:t>R</w:t>
    </w:r>
    <w:proofErr w:type="gramEnd"/>
    <w:r>
      <w:rPr>
        <w:b/>
        <w:bCs/>
        <w:szCs w:val="22"/>
        <w:lang w:val="ru-RU"/>
      </w:rPr>
      <w:t xml:space="preserve">  </w:t>
    </w:r>
    <w:r>
      <w:rPr>
        <w:b/>
        <w:bCs/>
        <w:szCs w:val="22"/>
        <w:lang w:val="en-US"/>
      </w:rPr>
      <w:t>M</w:t>
    </w:r>
    <w:r>
      <w:rPr>
        <w:b/>
        <w:bCs/>
        <w:szCs w:val="22"/>
        <w:lang w:val="ru-RU"/>
      </w:rPr>
      <w:t>.1731</w:t>
    </w:r>
    <w:r w:rsidRPr="00FD2C57">
      <w:rPr>
        <w:b/>
        <w:bCs/>
        <w:szCs w:val="22"/>
        <w:lang w:val="ru-RU"/>
      </w:rPr>
      <w:t>-1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57" w:rsidRDefault="00FD2C57" w:rsidP="00470826">
    <w:pPr>
      <w:pStyle w:val="Header"/>
      <w:tabs>
        <w:tab w:val="clear" w:pos="4848"/>
        <w:tab w:val="center" w:pos="4820"/>
      </w:tabs>
      <w:rPr>
        <w:szCs w:val="22"/>
      </w:rPr>
    </w:pPr>
    <w:r>
      <w:rPr>
        <w:szCs w:val="22"/>
      </w:rPr>
      <w:tab/>
    </w:r>
    <w:r>
      <w:rPr>
        <w:b/>
        <w:bCs/>
        <w:szCs w:val="22"/>
        <w:lang w:val="ru-RU"/>
      </w:rPr>
      <w:t>Рек.  МСЭ-</w:t>
    </w:r>
    <w:r>
      <w:rPr>
        <w:b/>
        <w:bCs/>
        <w:szCs w:val="22"/>
        <w:lang w:val="en-US"/>
      </w:rPr>
      <w:t>R</w:t>
    </w:r>
    <w:r>
      <w:rPr>
        <w:b/>
        <w:bCs/>
        <w:szCs w:val="22"/>
        <w:lang w:val="ru-RU"/>
      </w:rPr>
      <w:t xml:space="preserve">  </w:t>
    </w:r>
    <w:r>
      <w:rPr>
        <w:b/>
        <w:bCs/>
        <w:szCs w:val="22"/>
        <w:lang w:val="en-US"/>
      </w:rPr>
      <w:t>M</w:t>
    </w:r>
    <w:r>
      <w:rPr>
        <w:b/>
        <w:bCs/>
        <w:szCs w:val="22"/>
        <w:lang w:val="ru-RU"/>
      </w:rPr>
      <w:t>.1731</w:t>
    </w:r>
    <w:r>
      <w:rPr>
        <w:b/>
        <w:bCs/>
        <w:szCs w:val="22"/>
        <w:lang w:val="en-US"/>
      </w:rPr>
      <w:t>-1</w:t>
    </w:r>
    <w:r>
      <w:rPr>
        <w:szCs w:val="22"/>
      </w:rPr>
      <w:tab/>
    </w:r>
    <w:r>
      <w:rPr>
        <w:rStyle w:val="PageNumber"/>
        <w:b/>
        <w:bCs/>
        <w:szCs w:val="22"/>
      </w:rPr>
      <w:fldChar w:fldCharType="begin"/>
    </w:r>
    <w:r>
      <w:rPr>
        <w:rStyle w:val="PageNumber"/>
        <w:b/>
        <w:bCs/>
        <w:szCs w:val="22"/>
      </w:rPr>
      <w:instrText xml:space="preserve"> PAGE </w:instrText>
    </w:r>
    <w:r>
      <w:rPr>
        <w:rStyle w:val="PageNumber"/>
        <w:b/>
        <w:bCs/>
        <w:szCs w:val="22"/>
      </w:rPr>
      <w:fldChar w:fldCharType="separate"/>
    </w:r>
    <w:r w:rsidR="00B95C2A">
      <w:rPr>
        <w:rStyle w:val="PageNumber"/>
        <w:b/>
        <w:bCs/>
        <w:noProof/>
        <w:szCs w:val="22"/>
      </w:rPr>
      <w:t>i</w:t>
    </w:r>
    <w:r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57" w:rsidRPr="008E139E" w:rsidRDefault="00FD2C57" w:rsidP="00470826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B95C2A">
      <w:rPr>
        <w:rStyle w:val="PageNumber"/>
        <w:b/>
        <w:bCs/>
        <w:noProof/>
        <w:szCs w:val="22"/>
      </w:rPr>
      <w:t>18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>
      <w:rPr>
        <w:b/>
        <w:bCs/>
        <w:szCs w:val="22"/>
        <w:lang w:val="ru-RU" w:eastAsia="ja-JP"/>
      </w:rPr>
      <w:fldChar w:fldCharType="begin"/>
    </w:r>
    <w:r>
      <w:rPr>
        <w:b/>
        <w:bCs/>
        <w:szCs w:val="22"/>
        <w:lang w:val="ru-RU" w:eastAsia="ja-JP"/>
      </w:rPr>
      <w:instrText xml:space="preserve"> STYLEREF  href  \* MERGEFORMAT </w:instrText>
    </w:r>
    <w:r>
      <w:rPr>
        <w:b/>
        <w:bCs/>
        <w:szCs w:val="22"/>
        <w:lang w:val="ru-RU" w:eastAsia="ja-JP"/>
      </w:rPr>
      <w:fldChar w:fldCharType="separate"/>
    </w:r>
    <w:r w:rsidR="00B95C2A">
      <w:rPr>
        <w:b/>
        <w:bCs/>
        <w:noProof/>
        <w:szCs w:val="22"/>
        <w:lang w:val="ru-RU" w:eastAsia="ja-JP"/>
      </w:rPr>
      <w:t>МСЭ-R  M.1731-1</w:t>
    </w:r>
    <w:r>
      <w:rPr>
        <w:b/>
        <w:bCs/>
        <w:szCs w:val="22"/>
        <w:lang w:val="ru-RU" w:eastAsia="ja-JP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57" w:rsidRPr="008E139E" w:rsidRDefault="00FD2C57" w:rsidP="00470826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  <w:t xml:space="preserve">Рек. </w:t>
    </w:r>
    <w:r w:rsidRPr="008E139E">
      <w:rPr>
        <w:b/>
        <w:bCs/>
        <w:szCs w:val="22"/>
        <w:lang w:val="en-US"/>
      </w:rPr>
      <w:t xml:space="preserve"> </w:t>
    </w:r>
    <w:r>
      <w:rPr>
        <w:b/>
        <w:bCs/>
        <w:szCs w:val="22"/>
        <w:lang w:val="ru-RU" w:eastAsia="ja-JP"/>
      </w:rPr>
      <w:fldChar w:fldCharType="begin"/>
    </w:r>
    <w:r>
      <w:rPr>
        <w:b/>
        <w:bCs/>
        <w:szCs w:val="22"/>
        <w:lang w:val="ru-RU" w:eastAsia="ja-JP"/>
      </w:rPr>
      <w:instrText xml:space="preserve"> STYLEREF  href  \* MERGEFORMAT </w:instrText>
    </w:r>
    <w:r>
      <w:rPr>
        <w:b/>
        <w:bCs/>
        <w:szCs w:val="22"/>
        <w:lang w:val="ru-RU" w:eastAsia="ja-JP"/>
      </w:rPr>
      <w:fldChar w:fldCharType="separate"/>
    </w:r>
    <w:r w:rsidR="00B95C2A">
      <w:rPr>
        <w:b/>
        <w:bCs/>
        <w:noProof/>
        <w:szCs w:val="22"/>
        <w:lang w:val="ru-RU" w:eastAsia="ja-JP"/>
      </w:rPr>
      <w:t>МСЭ-R  M.1731-1</w:t>
    </w:r>
    <w:r>
      <w:rPr>
        <w:b/>
        <w:bCs/>
        <w:szCs w:val="22"/>
        <w:lang w:val="ru-RU" w:eastAsia="ja-JP"/>
      </w:rPr>
      <w:fldChar w:fldCharType="end"/>
    </w:r>
    <w:r w:rsidRPr="008E139E">
      <w:rPr>
        <w:b/>
        <w:bCs/>
        <w:szCs w:val="22"/>
        <w:lang w:val="ru-RU" w:eastAsia="ja-JP"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B95C2A">
      <w:rPr>
        <w:rStyle w:val="PageNumber"/>
        <w:b/>
        <w:bCs/>
        <w:noProof/>
        <w:szCs w:val="22"/>
      </w:rPr>
      <w:t>17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57" w:rsidRPr="00EC478A" w:rsidRDefault="00FD2C57" w:rsidP="00CA0372">
    <w:pPr>
      <w:pStyle w:val="Header"/>
      <w:tabs>
        <w:tab w:val="center" w:pos="4820"/>
        <w:tab w:val="right" w:pos="9639"/>
      </w:tabs>
      <w:jc w:val="left"/>
      <w:rPr>
        <w:b/>
        <w:bCs/>
        <w:szCs w:val="22"/>
        <w:lang w:val="ru-RU"/>
      </w:rPr>
    </w:pPr>
    <w:r>
      <w:rPr>
        <w:b/>
        <w:bCs/>
        <w:szCs w:val="22"/>
        <w:lang w:val="ru-RU"/>
      </w:rPr>
      <w:tab/>
    </w:r>
    <w:r w:rsidRPr="00EC478A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en-US"/>
      </w:rPr>
      <w:t xml:space="preserve"> </w:t>
    </w:r>
    <w:r>
      <w:rPr>
        <w:b/>
        <w:bCs/>
        <w:szCs w:val="22"/>
        <w:lang w:val="ru-RU" w:eastAsia="ja-JP"/>
      </w:rPr>
      <w:fldChar w:fldCharType="begin"/>
    </w:r>
    <w:r>
      <w:rPr>
        <w:b/>
        <w:bCs/>
        <w:szCs w:val="22"/>
        <w:lang w:val="ru-RU" w:eastAsia="ja-JP"/>
      </w:rPr>
      <w:instrText xml:space="preserve"> STYLEREF  href  \* MERGEFORMAT </w:instrText>
    </w:r>
    <w:r>
      <w:rPr>
        <w:b/>
        <w:bCs/>
        <w:szCs w:val="22"/>
        <w:lang w:val="ru-RU" w:eastAsia="ja-JP"/>
      </w:rPr>
      <w:fldChar w:fldCharType="separate"/>
    </w:r>
    <w:r w:rsidR="00B95C2A">
      <w:rPr>
        <w:b/>
        <w:bCs/>
        <w:noProof/>
        <w:szCs w:val="22"/>
        <w:lang w:val="ru-RU" w:eastAsia="ja-JP"/>
      </w:rPr>
      <w:t>МСЭ-R  M.1731-1</w:t>
    </w:r>
    <w:r>
      <w:rPr>
        <w:b/>
        <w:bCs/>
        <w:szCs w:val="22"/>
        <w:lang w:val="ru-RU" w:eastAsia="ja-JP"/>
      </w:rPr>
      <w:fldChar w:fldCharType="end"/>
    </w:r>
    <w:r>
      <w:rPr>
        <w:b/>
        <w:bCs/>
        <w:szCs w:val="22"/>
        <w:lang w:val="en-US" w:eastAsia="ja-JP"/>
      </w:rPr>
      <w:tab/>
    </w:r>
    <w:r w:rsidRPr="00EC478A">
      <w:rPr>
        <w:rStyle w:val="PageNumber"/>
        <w:b/>
        <w:bCs/>
        <w:szCs w:val="22"/>
      </w:rPr>
      <w:fldChar w:fldCharType="begin"/>
    </w:r>
    <w:r w:rsidRPr="00EC478A">
      <w:rPr>
        <w:rStyle w:val="PageNumber"/>
        <w:b/>
        <w:bCs/>
        <w:szCs w:val="22"/>
      </w:rPr>
      <w:instrText xml:space="preserve"> PAGE </w:instrText>
    </w:r>
    <w:r w:rsidRPr="00EC478A">
      <w:rPr>
        <w:rStyle w:val="PageNumber"/>
        <w:b/>
        <w:bCs/>
        <w:szCs w:val="22"/>
      </w:rPr>
      <w:fldChar w:fldCharType="separate"/>
    </w:r>
    <w:r w:rsidR="00B95C2A">
      <w:rPr>
        <w:rStyle w:val="PageNumber"/>
        <w:b/>
        <w:bCs/>
        <w:noProof/>
        <w:szCs w:val="22"/>
      </w:rPr>
      <w:t>1</w:t>
    </w:r>
    <w:r w:rsidRPr="00EC478A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D8E64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4F2FE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CCA48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05CAE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B08F6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6DE15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D4FF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81AE8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61EFF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C1A99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2A0C34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16795B73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441014E"/>
    <w:multiLevelType w:val="hybridMultilevel"/>
    <w:tmpl w:val="F45043A6"/>
    <w:lvl w:ilvl="0" w:tplc="48C4143E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>
    <w:nsid w:val="293E5D58"/>
    <w:multiLevelType w:val="hybridMultilevel"/>
    <w:tmpl w:val="D794DBA4"/>
    <w:lvl w:ilvl="0" w:tplc="AFCA78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AC9D8">
      <w:start w:val="1"/>
      <w:numFmt w:val="decimal"/>
      <w:lvlText w:val="(%2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>
    <w:nsid w:val="34ED198E"/>
    <w:multiLevelType w:val="hybridMultilevel"/>
    <w:tmpl w:val="2BC4863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>
    <w:nsid w:val="426138CF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49784E6F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290430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FD2403C"/>
    <w:multiLevelType w:val="multilevel"/>
    <w:tmpl w:val="F45043A6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>
    <w:nsid w:val="63103539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639E7B01"/>
    <w:multiLevelType w:val="multilevel"/>
    <w:tmpl w:val="9080FD6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64D63EE1"/>
    <w:multiLevelType w:val="hybridMultilevel"/>
    <w:tmpl w:val="207C89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21"/>
  </w:num>
  <w:num w:numId="4">
    <w:abstractNumId w:val="15"/>
  </w:num>
  <w:num w:numId="5">
    <w:abstractNumId w:val="20"/>
  </w:num>
  <w:num w:numId="6">
    <w:abstractNumId w:val="10"/>
  </w:num>
  <w:num w:numId="7">
    <w:abstractNumId w:val="17"/>
  </w:num>
  <w:num w:numId="8">
    <w:abstractNumId w:val="18"/>
  </w:num>
  <w:num w:numId="9">
    <w:abstractNumId w:val="16"/>
  </w:num>
  <w:num w:numId="10">
    <w:abstractNumId w:val="11"/>
  </w:num>
  <w:num w:numId="11">
    <w:abstractNumId w:val="13"/>
  </w:num>
  <w:num w:numId="12">
    <w:abstractNumId w:val="19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1024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15D24"/>
    <w:rsid w:val="00036EE3"/>
    <w:rsid w:val="00072484"/>
    <w:rsid w:val="00096612"/>
    <w:rsid w:val="000B7683"/>
    <w:rsid w:val="000C2E7E"/>
    <w:rsid w:val="000D0677"/>
    <w:rsid w:val="000D4379"/>
    <w:rsid w:val="000E6A6E"/>
    <w:rsid w:val="000F2C79"/>
    <w:rsid w:val="00102934"/>
    <w:rsid w:val="00127730"/>
    <w:rsid w:val="00131900"/>
    <w:rsid w:val="00147110"/>
    <w:rsid w:val="001511A6"/>
    <w:rsid w:val="00197B47"/>
    <w:rsid w:val="001D407F"/>
    <w:rsid w:val="002058CE"/>
    <w:rsid w:val="002165F1"/>
    <w:rsid w:val="00276D21"/>
    <w:rsid w:val="00296D7F"/>
    <w:rsid w:val="002B3CF6"/>
    <w:rsid w:val="002C768A"/>
    <w:rsid w:val="002D76C4"/>
    <w:rsid w:val="002F5199"/>
    <w:rsid w:val="00305A41"/>
    <w:rsid w:val="00356B5D"/>
    <w:rsid w:val="003646F2"/>
    <w:rsid w:val="003C38BA"/>
    <w:rsid w:val="00420DFD"/>
    <w:rsid w:val="00424855"/>
    <w:rsid w:val="00437A76"/>
    <w:rsid w:val="0046585F"/>
    <w:rsid w:val="00470826"/>
    <w:rsid w:val="00470E28"/>
    <w:rsid w:val="004903B5"/>
    <w:rsid w:val="00492CF6"/>
    <w:rsid w:val="004934C5"/>
    <w:rsid w:val="00554A9D"/>
    <w:rsid w:val="005559DE"/>
    <w:rsid w:val="00556548"/>
    <w:rsid w:val="00571788"/>
    <w:rsid w:val="00586EF8"/>
    <w:rsid w:val="005A127F"/>
    <w:rsid w:val="005B49AB"/>
    <w:rsid w:val="005B50E7"/>
    <w:rsid w:val="005B6CD5"/>
    <w:rsid w:val="005E7B4F"/>
    <w:rsid w:val="00601882"/>
    <w:rsid w:val="00607D68"/>
    <w:rsid w:val="006114CA"/>
    <w:rsid w:val="00613212"/>
    <w:rsid w:val="006149B1"/>
    <w:rsid w:val="0062249B"/>
    <w:rsid w:val="00680D2B"/>
    <w:rsid w:val="00681B32"/>
    <w:rsid w:val="006B1D2B"/>
    <w:rsid w:val="006C4D0D"/>
    <w:rsid w:val="006E1131"/>
    <w:rsid w:val="006E2037"/>
    <w:rsid w:val="006E6199"/>
    <w:rsid w:val="00712870"/>
    <w:rsid w:val="00743D85"/>
    <w:rsid w:val="007476A7"/>
    <w:rsid w:val="00753CF4"/>
    <w:rsid w:val="007565CC"/>
    <w:rsid w:val="00763B9A"/>
    <w:rsid w:val="007A21FE"/>
    <w:rsid w:val="007A6AA8"/>
    <w:rsid w:val="007E6717"/>
    <w:rsid w:val="008310C9"/>
    <w:rsid w:val="00833F98"/>
    <w:rsid w:val="00853CC5"/>
    <w:rsid w:val="00854998"/>
    <w:rsid w:val="00870848"/>
    <w:rsid w:val="008C7848"/>
    <w:rsid w:val="00906589"/>
    <w:rsid w:val="00906AD6"/>
    <w:rsid w:val="00917AF2"/>
    <w:rsid w:val="0092418A"/>
    <w:rsid w:val="00934ED7"/>
    <w:rsid w:val="009543C3"/>
    <w:rsid w:val="00966E1B"/>
    <w:rsid w:val="00975F69"/>
    <w:rsid w:val="009947C0"/>
    <w:rsid w:val="009B1906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23D3C"/>
    <w:rsid w:val="00B33425"/>
    <w:rsid w:val="00B44E24"/>
    <w:rsid w:val="00B54ECC"/>
    <w:rsid w:val="00B714F3"/>
    <w:rsid w:val="00B87B6B"/>
    <w:rsid w:val="00B95C2A"/>
    <w:rsid w:val="00BB283C"/>
    <w:rsid w:val="00BC5D77"/>
    <w:rsid w:val="00BF0366"/>
    <w:rsid w:val="00BF487A"/>
    <w:rsid w:val="00BF77FD"/>
    <w:rsid w:val="00C46BD9"/>
    <w:rsid w:val="00C55258"/>
    <w:rsid w:val="00C66DBD"/>
    <w:rsid w:val="00C73560"/>
    <w:rsid w:val="00CA0372"/>
    <w:rsid w:val="00CB0F14"/>
    <w:rsid w:val="00CD659B"/>
    <w:rsid w:val="00CE0A43"/>
    <w:rsid w:val="00CF2CE6"/>
    <w:rsid w:val="00D163D5"/>
    <w:rsid w:val="00D52CBE"/>
    <w:rsid w:val="00D54BEC"/>
    <w:rsid w:val="00D6008C"/>
    <w:rsid w:val="00D62ACC"/>
    <w:rsid w:val="00D83556"/>
    <w:rsid w:val="00DF4176"/>
    <w:rsid w:val="00E1449E"/>
    <w:rsid w:val="00E17240"/>
    <w:rsid w:val="00E74595"/>
    <w:rsid w:val="00EA3A46"/>
    <w:rsid w:val="00EB7C57"/>
    <w:rsid w:val="00ED2695"/>
    <w:rsid w:val="00EE69CC"/>
    <w:rsid w:val="00F074C2"/>
    <w:rsid w:val="00F30C9B"/>
    <w:rsid w:val="00F354B1"/>
    <w:rsid w:val="00F53FD3"/>
    <w:rsid w:val="00F76900"/>
    <w:rsid w:val="00FA5A91"/>
    <w:rsid w:val="00FB0E4E"/>
    <w:rsid w:val="00FD2C57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7082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A127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A127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A127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,he,header odd,header odd1,header odd2,ho,first,heading one,Odd Header,header odd3,header odd4,header odd5,header odd6,header1,header2,header3,header odd11,header odd21,header odd7,header4,header odd8,header odd9"/>
    <w:basedOn w:val="Normal"/>
    <w:link w:val="HeaderChar1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oter odd,fo"/>
    <w:basedOn w:val="Normal"/>
    <w:link w:val="Foot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5A127F"/>
  </w:style>
  <w:style w:type="paragraph" w:customStyle="1" w:styleId="Headingb">
    <w:name w:val="Heading_b"/>
    <w:basedOn w:val="Heading3"/>
    <w:next w:val="Normal"/>
    <w:uiPriority w:val="99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5A127F"/>
  </w:style>
  <w:style w:type="paragraph" w:customStyle="1" w:styleId="AnnexNoTitle">
    <w:name w:val="Annex_NoTitle"/>
    <w:basedOn w:val="Normal"/>
    <w:next w:val="Normalaftertitle"/>
    <w:rsid w:val="0047082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uiPriority w:val="99"/>
    <w:rsid w:val="0047082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470826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5A127F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uiPriority w:val="99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833F9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833F9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uiPriority w:val="99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833F9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uiPriority w:val="99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uiPriority w:val="99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uiPriority w:val="99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uiPriority w:val="99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uiPriority w:val="99"/>
    <w:rsid w:val="00470826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470826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link w:val="TabletitleChar"/>
    <w:uiPriority w:val="99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854998"/>
    <w:rPr>
      <w:color w:val="0000FF"/>
      <w:sz w:val="22"/>
      <w:u w:val="single"/>
    </w:rPr>
  </w:style>
  <w:style w:type="paragraph" w:customStyle="1" w:styleId="Artheading">
    <w:name w:val="Art_heading"/>
    <w:basedOn w:val="Normal"/>
    <w:next w:val="Normalaftertitle"/>
    <w:rsid w:val="007A21FE"/>
    <w:pPr>
      <w:spacing w:before="480"/>
      <w:jc w:val="center"/>
    </w:pPr>
    <w:rPr>
      <w:b/>
      <w:sz w:val="28"/>
      <w:szCs w:val="23"/>
      <w:lang w:val="en-GB"/>
    </w:rPr>
  </w:style>
  <w:style w:type="character" w:styleId="EndnoteReference">
    <w:name w:val="endnote reference"/>
    <w:basedOn w:val="DefaultParagraphFont"/>
    <w:rsid w:val="007A21FE"/>
    <w:rPr>
      <w:vertAlign w:val="superscript"/>
    </w:rPr>
  </w:style>
  <w:style w:type="paragraph" w:customStyle="1" w:styleId="Figurewithouttitle">
    <w:name w:val="Figure_without_title"/>
    <w:basedOn w:val="Normal"/>
    <w:next w:val="Normalaftertitle"/>
    <w:rsid w:val="007A21FE"/>
    <w:pPr>
      <w:keepLines/>
      <w:spacing w:before="240" w:after="120"/>
      <w:jc w:val="center"/>
    </w:pPr>
    <w:rPr>
      <w:szCs w:val="23"/>
      <w:lang w:val="en-GB"/>
    </w:rPr>
  </w:style>
  <w:style w:type="paragraph" w:customStyle="1" w:styleId="FirstFooter">
    <w:name w:val="FirstFooter"/>
    <w:basedOn w:val="Footer"/>
    <w:rsid w:val="007A21FE"/>
    <w:pPr>
      <w:overflowPunct/>
      <w:autoSpaceDE/>
      <w:autoSpaceDN/>
      <w:adjustRightInd/>
      <w:spacing w:before="40"/>
      <w:textAlignment w:val="auto"/>
    </w:pPr>
    <w:rPr>
      <w:noProof w:val="0"/>
      <w:sz w:val="16"/>
      <w:szCs w:val="23"/>
      <w:lang w:val="en-GB"/>
    </w:rPr>
  </w:style>
  <w:style w:type="paragraph" w:customStyle="1" w:styleId="Source">
    <w:name w:val="Source"/>
    <w:basedOn w:val="Normal"/>
    <w:next w:val="Normalaftertitle"/>
    <w:rsid w:val="007A21FE"/>
    <w:pPr>
      <w:spacing w:before="840" w:after="200"/>
      <w:jc w:val="center"/>
    </w:pPr>
    <w:rPr>
      <w:b/>
      <w:sz w:val="28"/>
      <w:szCs w:val="23"/>
      <w:lang w:val="en-GB"/>
    </w:rPr>
  </w:style>
  <w:style w:type="paragraph" w:customStyle="1" w:styleId="SpecialFooter">
    <w:name w:val="Special Footer"/>
    <w:basedOn w:val="Footer"/>
    <w:rsid w:val="007A21F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szCs w:val="23"/>
      <w:lang w:val="en-GB"/>
    </w:rPr>
  </w:style>
  <w:style w:type="paragraph" w:customStyle="1" w:styleId="Tableref">
    <w:name w:val="Table_ref"/>
    <w:basedOn w:val="Normal"/>
    <w:next w:val="Tabletitle"/>
    <w:rsid w:val="007A21FE"/>
    <w:pPr>
      <w:keepNext/>
      <w:spacing w:before="0" w:after="120"/>
      <w:jc w:val="center"/>
    </w:pPr>
    <w:rPr>
      <w:szCs w:val="23"/>
      <w:lang w:val="en-GB"/>
    </w:rPr>
  </w:style>
  <w:style w:type="paragraph" w:customStyle="1" w:styleId="Title1">
    <w:name w:val="Title 1"/>
    <w:basedOn w:val="Source"/>
    <w:next w:val="Title2"/>
    <w:rsid w:val="007A21F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7A21FE"/>
  </w:style>
  <w:style w:type="paragraph" w:customStyle="1" w:styleId="Title3">
    <w:name w:val="Title 3"/>
    <w:basedOn w:val="Title2"/>
    <w:next w:val="Title4"/>
    <w:rsid w:val="007A21FE"/>
    <w:rPr>
      <w:caps w:val="0"/>
    </w:rPr>
  </w:style>
  <w:style w:type="paragraph" w:customStyle="1" w:styleId="Title4">
    <w:name w:val="Title 4"/>
    <w:basedOn w:val="Title3"/>
    <w:next w:val="Heading1"/>
    <w:rsid w:val="007A21FE"/>
    <w:rPr>
      <w:b/>
    </w:rPr>
  </w:style>
  <w:style w:type="character" w:customStyle="1" w:styleId="Appdef">
    <w:name w:val="App_def"/>
    <w:basedOn w:val="DefaultParagraphFont"/>
    <w:rsid w:val="007A21FE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7A21FE"/>
  </w:style>
  <w:style w:type="character" w:customStyle="1" w:styleId="Artdef">
    <w:name w:val="Art_def"/>
    <w:basedOn w:val="DefaultParagraphFont"/>
    <w:rsid w:val="007A21FE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7A21FE"/>
  </w:style>
  <w:style w:type="character" w:customStyle="1" w:styleId="Recdef">
    <w:name w:val="Rec_def"/>
    <w:basedOn w:val="DefaultParagraphFont"/>
    <w:rsid w:val="007A21FE"/>
    <w:rPr>
      <w:b/>
    </w:rPr>
  </w:style>
  <w:style w:type="character" w:customStyle="1" w:styleId="Resdef">
    <w:name w:val="Res_def"/>
    <w:basedOn w:val="DefaultParagraphFont"/>
    <w:rsid w:val="007A21FE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7A21FE"/>
    <w:rPr>
      <w:b/>
      <w:color w:val="auto"/>
    </w:rPr>
  </w:style>
  <w:style w:type="paragraph" w:customStyle="1" w:styleId="Formal">
    <w:name w:val="Formal"/>
    <w:basedOn w:val="ASN1"/>
    <w:rsid w:val="007A21FE"/>
    <w:pPr>
      <w:tabs>
        <w:tab w:val="left" w:pos="794"/>
        <w:tab w:val="left" w:pos="1191"/>
        <w:tab w:val="left" w:pos="1588"/>
        <w:tab w:val="left" w:pos="1985"/>
      </w:tabs>
    </w:pPr>
    <w:rPr>
      <w:rFonts w:ascii="Courier New" w:hAnsi="Courier New"/>
      <w:b w:val="0"/>
      <w:szCs w:val="23"/>
      <w:lang w:val="en-GB"/>
    </w:rPr>
  </w:style>
  <w:style w:type="paragraph" w:customStyle="1" w:styleId="Section1">
    <w:name w:val="Section_1"/>
    <w:basedOn w:val="Normal"/>
    <w:next w:val="Normal"/>
    <w:rsid w:val="007A21FE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  <w:szCs w:val="23"/>
      <w:lang w:val="en-GB"/>
    </w:rPr>
  </w:style>
  <w:style w:type="paragraph" w:customStyle="1" w:styleId="Section2">
    <w:name w:val="Section_2"/>
    <w:basedOn w:val="Normal"/>
    <w:next w:val="Normal"/>
    <w:rsid w:val="007A21FE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  <w:szCs w:val="23"/>
      <w:lang w:val="en-GB"/>
    </w:rPr>
  </w:style>
  <w:style w:type="character" w:customStyle="1" w:styleId="AnnexNoTitleChar">
    <w:name w:val="Annex_NoTitle Char"/>
    <w:basedOn w:val="DefaultParagraphFont"/>
    <w:rsid w:val="007A21FE"/>
    <w:rPr>
      <w:b/>
      <w:sz w:val="28"/>
      <w:lang w:val="en-GB" w:eastAsia="en-US" w:bidi="ar-SA"/>
    </w:rPr>
  </w:style>
  <w:style w:type="paragraph" w:customStyle="1" w:styleId="Tablelegend005">
    <w:name w:val="Стиль Table_legend + влево Слева:  0 см Выступ:  05 см"/>
    <w:basedOn w:val="Tablelegend"/>
    <w:rsid w:val="007A21FE"/>
    <w:pPr>
      <w:spacing w:before="120" w:after="40"/>
      <w:ind w:right="0" w:hanging="284"/>
      <w:jc w:val="left"/>
    </w:pPr>
    <w:rPr>
      <w:lang w:val="en-GB"/>
    </w:rPr>
  </w:style>
  <w:style w:type="paragraph" w:customStyle="1" w:styleId="Tablelegend0050">
    <w:name w:val="Стиль Table_legend + Слева:  0 см Выступ:  05 см"/>
    <w:basedOn w:val="Tablelegend"/>
    <w:rsid w:val="007A21FE"/>
    <w:pPr>
      <w:spacing w:before="120" w:after="40"/>
      <w:ind w:right="0" w:hanging="284"/>
    </w:pPr>
    <w:rPr>
      <w:lang w:val="en-GB"/>
    </w:rPr>
  </w:style>
  <w:style w:type="paragraph" w:customStyle="1" w:styleId="StyleHeading111pt">
    <w:name w:val="Style Heading 1 + 11 pt"/>
    <w:basedOn w:val="Heading1"/>
    <w:rsid w:val="007A21FE"/>
    <w:pPr>
      <w:spacing w:before="360" w:after="120"/>
    </w:pPr>
    <w:rPr>
      <w:szCs w:val="22"/>
      <w:lang w:val="en-GB"/>
    </w:rPr>
  </w:style>
  <w:style w:type="paragraph" w:customStyle="1" w:styleId="StyleHeadingb11ptBefore6pt">
    <w:name w:val="Style Heading_b + 11 pt Before:  6 pt"/>
    <w:basedOn w:val="Headingb"/>
    <w:rsid w:val="007A21FE"/>
    <w:pPr>
      <w:keepLines w:val="0"/>
      <w:spacing w:before="120"/>
    </w:pPr>
    <w:rPr>
      <w:szCs w:val="22"/>
      <w:lang w:val="en-GB"/>
    </w:rPr>
  </w:style>
  <w:style w:type="paragraph" w:customStyle="1" w:styleId="StyleHeading2Complex11ptBefore6pt">
    <w:name w:val="Style Heading 2 + (Complex) 11 pt Before:  6 pt"/>
    <w:basedOn w:val="Heading2"/>
    <w:rsid w:val="007A21FE"/>
    <w:pPr>
      <w:spacing w:before="120" w:after="120"/>
    </w:pPr>
    <w:rPr>
      <w:szCs w:val="22"/>
      <w:lang w:val="en-GB"/>
    </w:rPr>
  </w:style>
  <w:style w:type="paragraph" w:customStyle="1" w:styleId="StyleHeading3Complex11ptBefore6pt">
    <w:name w:val="Style Heading 3 + (Complex) 11 pt Before:  6 pt"/>
    <w:basedOn w:val="Heading3"/>
    <w:rsid w:val="007A21FE"/>
    <w:pPr>
      <w:spacing w:before="120"/>
    </w:pPr>
    <w:rPr>
      <w:szCs w:val="22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70826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uiPriority w:val="99"/>
    <w:rsid w:val="009B1906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9B1906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9B1906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9B1906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9B1906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B1906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9B1906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9B1906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9B1906"/>
    <w:rPr>
      <w:b/>
      <w:sz w:val="22"/>
      <w:lang w:val="fr-FR" w:eastAsia="en-US"/>
    </w:rPr>
  </w:style>
  <w:style w:type="character" w:customStyle="1" w:styleId="HeaderChar">
    <w:name w:val="Header Char"/>
    <w:aliases w:val="encabezado Char,he Char,header odd Char,header odd1 Char,header odd2 Char,ho Char,first Char,heading one Char,Odd Header Char,header odd3 Char,header odd4 Char,header odd5 Char,header odd6 Char,header1 Char,header2 Char,header3 Char"/>
    <w:basedOn w:val="DefaultParagraphFont"/>
    <w:uiPriority w:val="99"/>
    <w:rsid w:val="009B1906"/>
    <w:rPr>
      <w:rFonts w:cs="Times New Roman"/>
      <w:sz w:val="20"/>
      <w:szCs w:val="20"/>
      <w:lang w:val="fr-FR" w:eastAsia="en-US"/>
    </w:rPr>
  </w:style>
  <w:style w:type="character" w:customStyle="1" w:styleId="FooterChar">
    <w:name w:val="Footer Char"/>
    <w:aliases w:val="pie de página Char,footer odd Char,fo Char"/>
    <w:basedOn w:val="DefaultParagraphFont"/>
    <w:link w:val="Footer"/>
    <w:uiPriority w:val="99"/>
    <w:rsid w:val="009B1906"/>
    <w:rPr>
      <w:noProof/>
      <w:sz w:val="18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9B1906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833F98"/>
    <w:rPr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uiPriority w:val="99"/>
    <w:locked/>
    <w:rsid w:val="009B1906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uiPriority w:val="99"/>
    <w:locked/>
    <w:rsid w:val="009B1906"/>
    <w:rPr>
      <w:caps/>
      <w:sz w:val="18"/>
      <w:lang w:val="fr-FR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9B1906"/>
    <w:pPr>
      <w:spacing w:before="0"/>
    </w:pPr>
    <w:rPr>
      <w:rFonts w:ascii="Tahoma" w:eastAsia="MS Mincho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B1906"/>
    <w:rPr>
      <w:rFonts w:ascii="Tahoma" w:eastAsia="MS Mincho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9B1906"/>
    <w:pPr>
      <w:ind w:left="720"/>
      <w:contextualSpacing/>
    </w:pPr>
    <w:rPr>
      <w:rFonts w:eastAsia="MS Mincho"/>
    </w:rPr>
  </w:style>
  <w:style w:type="character" w:styleId="FollowedHyperlink">
    <w:name w:val="FollowedHyperlink"/>
    <w:basedOn w:val="DefaultParagraphFont"/>
    <w:uiPriority w:val="99"/>
    <w:unhideWhenUsed/>
    <w:rsid w:val="009B1906"/>
    <w:rPr>
      <w:color w:val="800080" w:themeColor="followedHyperlink"/>
      <w:u w:val="single"/>
    </w:rPr>
  </w:style>
  <w:style w:type="paragraph" w:customStyle="1" w:styleId="AnnexNotitle0">
    <w:name w:val="Annex_No &amp; title"/>
    <w:basedOn w:val="Normal"/>
    <w:next w:val="Normalaftertitle"/>
    <w:link w:val="AnnexNotitleChar0"/>
    <w:uiPriority w:val="99"/>
    <w:rsid w:val="009B1906"/>
    <w:pPr>
      <w:keepNext/>
      <w:keepLines/>
      <w:spacing w:before="480"/>
      <w:jc w:val="center"/>
    </w:pPr>
    <w:rPr>
      <w:rFonts w:eastAsia="MS Mincho"/>
      <w:b/>
      <w:sz w:val="26"/>
      <w:lang w:val="en-GB" w:eastAsia="ar-SA"/>
    </w:rPr>
  </w:style>
  <w:style w:type="character" w:customStyle="1" w:styleId="AnnexNotitleChar0">
    <w:name w:val="Annex_No &amp; title Char"/>
    <w:basedOn w:val="DefaultParagraphFont"/>
    <w:link w:val="AnnexNotitle0"/>
    <w:uiPriority w:val="99"/>
    <w:locked/>
    <w:rsid w:val="009B1906"/>
    <w:rPr>
      <w:rFonts w:eastAsia="MS Mincho"/>
      <w:b/>
      <w:sz w:val="26"/>
      <w:lang w:val="en-GB" w:eastAsia="ar-SA"/>
    </w:rPr>
  </w:style>
  <w:style w:type="character" w:customStyle="1" w:styleId="CallChar">
    <w:name w:val="Call Char"/>
    <w:basedOn w:val="DefaultParagraphFont"/>
    <w:link w:val="Call"/>
    <w:uiPriority w:val="99"/>
    <w:locked/>
    <w:rsid w:val="009B1906"/>
    <w:rPr>
      <w:i/>
      <w:sz w:val="22"/>
      <w:lang w:val="fr-FR" w:eastAsia="en-US"/>
    </w:rPr>
  </w:style>
  <w:style w:type="character" w:customStyle="1" w:styleId="FootnoteTextChar2">
    <w:name w:val="Footnote Text Char2"/>
    <w:aliases w:val="ALTS FOOTNOTE Char1,Footnote Text Char1 Char1,Footnote Text Char Char1 Char1,Footnote Text Char4 Char Char Char1,Footnote Text Char1 Char1 Char1 Char Char1,Footnote Text Char Char1 Char1 Char Char Char1,DNV-FT Char1"/>
    <w:basedOn w:val="DefaultParagraphFont"/>
    <w:uiPriority w:val="99"/>
    <w:locked/>
    <w:rsid w:val="009B1906"/>
    <w:rPr>
      <w:rFonts w:ascii="Times New Roman" w:eastAsia="MS Mincho" w:hAnsi="Times New Roman" w:cs="Times New Roman"/>
      <w:sz w:val="20"/>
      <w:szCs w:val="20"/>
      <w:lang w:val="fr-FR" w:eastAsia="en-US"/>
    </w:rPr>
  </w:style>
  <w:style w:type="character" w:customStyle="1" w:styleId="HeaderChar1">
    <w:name w:val="Header Char1"/>
    <w:aliases w:val="encabezado Char1,he Char1,header odd Char1,header odd1 Char1,header odd2 Char1,ho Char1,first Char1,heading one Char1,Odd Header Char1,header odd3 Char1,header odd4 Char1,header odd5 Char1,header odd6 Char1,header1 Char1,header2 Char1"/>
    <w:basedOn w:val="DefaultParagraphFont"/>
    <w:link w:val="Header"/>
    <w:locked/>
    <w:rsid w:val="009B1906"/>
    <w:rPr>
      <w:sz w:val="22"/>
      <w:lang w:val="fr-FR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9B1906"/>
    <w:pPr>
      <w:overflowPunct/>
      <w:autoSpaceDE/>
      <w:autoSpaceDN/>
      <w:adjustRightInd/>
      <w:spacing w:before="320"/>
      <w:jc w:val="left"/>
      <w:textAlignment w:val="auto"/>
    </w:pPr>
    <w:rPr>
      <w:rFonts w:eastAsia="MS Mincho"/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uiPriority w:val="99"/>
    <w:locked/>
    <w:rsid w:val="009B1906"/>
    <w:rPr>
      <w:rFonts w:eastAsia="MS Mincho"/>
      <w:sz w:val="22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uiPriority w:val="99"/>
    <w:locked/>
    <w:rsid w:val="009B1906"/>
    <w:rPr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uiPriority w:val="99"/>
    <w:locked/>
    <w:rsid w:val="009B1906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uiPriority w:val="99"/>
    <w:locked/>
    <w:rsid w:val="009B1906"/>
    <w:rPr>
      <w:b/>
      <w:sz w:val="22"/>
      <w:lang w:val="fr-FR" w:eastAsia="en-US"/>
    </w:rPr>
  </w:style>
  <w:style w:type="paragraph" w:customStyle="1" w:styleId="RecNo0">
    <w:name w:val="Стиль Rec_No + Перед:  0 пт"/>
    <w:basedOn w:val="RecNo"/>
    <w:uiPriority w:val="99"/>
    <w:rsid w:val="009B1906"/>
    <w:pPr>
      <w:spacing w:before="0"/>
    </w:pPr>
    <w:rPr>
      <w:rFonts w:eastAsia="MS Mincho"/>
    </w:rPr>
  </w:style>
  <w:style w:type="paragraph" w:customStyle="1" w:styleId="Tabletext1515">
    <w:name w:val="Стиль Table_text + По левому краю Перед:  15 пт После:  15 пт"/>
    <w:basedOn w:val="Tabletext"/>
    <w:uiPriority w:val="99"/>
    <w:rsid w:val="009B1906"/>
    <w:pPr>
      <w:spacing w:before="30" w:after="30"/>
      <w:jc w:val="left"/>
    </w:pPr>
    <w:rPr>
      <w:rFonts w:eastAsia="MS Mincho"/>
    </w:rPr>
  </w:style>
  <w:style w:type="paragraph" w:customStyle="1" w:styleId="Tabletext0">
    <w:name w:val="Стиль Table_text + По центру"/>
    <w:basedOn w:val="Tabletext"/>
    <w:uiPriority w:val="99"/>
    <w:rsid w:val="009B1906"/>
    <w:pPr>
      <w:jc w:val="center"/>
    </w:pPr>
    <w:rPr>
      <w:rFonts w:eastAsia="MS Mincho"/>
    </w:rPr>
  </w:style>
  <w:style w:type="paragraph" w:customStyle="1" w:styleId="Tabletext15150">
    <w:name w:val="Стиль Table_text + По центру Перед:  15 пт После:  15 пт"/>
    <w:basedOn w:val="Tabletext"/>
    <w:uiPriority w:val="99"/>
    <w:rsid w:val="009B1906"/>
    <w:pPr>
      <w:spacing w:before="30" w:after="30"/>
      <w:jc w:val="center"/>
    </w:pPr>
    <w:rPr>
      <w:rFonts w:eastAsia="MS Minch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7082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A127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A127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A127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,he,header odd,header odd1,header odd2,ho,first,heading one,Odd Header,header odd3,header odd4,header odd5,header odd6,header1,header2,header3,header odd11,header odd21,header odd7,header4,header odd8,header odd9"/>
    <w:basedOn w:val="Normal"/>
    <w:link w:val="HeaderChar1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oter odd,fo"/>
    <w:basedOn w:val="Normal"/>
    <w:link w:val="Foot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5A127F"/>
  </w:style>
  <w:style w:type="paragraph" w:customStyle="1" w:styleId="Headingb">
    <w:name w:val="Heading_b"/>
    <w:basedOn w:val="Heading3"/>
    <w:next w:val="Normal"/>
    <w:uiPriority w:val="99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5A127F"/>
  </w:style>
  <w:style w:type="paragraph" w:customStyle="1" w:styleId="AnnexNoTitle">
    <w:name w:val="Annex_NoTitle"/>
    <w:basedOn w:val="Normal"/>
    <w:next w:val="Normalaftertitle"/>
    <w:rsid w:val="0047082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uiPriority w:val="99"/>
    <w:rsid w:val="0047082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470826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5A127F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uiPriority w:val="99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833F9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833F9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uiPriority w:val="99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833F9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uiPriority w:val="99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uiPriority w:val="99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uiPriority w:val="99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uiPriority w:val="99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uiPriority w:val="99"/>
    <w:rsid w:val="00470826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470826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link w:val="TabletitleChar"/>
    <w:uiPriority w:val="99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854998"/>
    <w:rPr>
      <w:color w:val="0000FF"/>
      <w:sz w:val="22"/>
      <w:u w:val="single"/>
    </w:rPr>
  </w:style>
  <w:style w:type="paragraph" w:customStyle="1" w:styleId="Artheading">
    <w:name w:val="Art_heading"/>
    <w:basedOn w:val="Normal"/>
    <w:next w:val="Normalaftertitle"/>
    <w:rsid w:val="007A21FE"/>
    <w:pPr>
      <w:spacing w:before="480"/>
      <w:jc w:val="center"/>
    </w:pPr>
    <w:rPr>
      <w:b/>
      <w:sz w:val="28"/>
      <w:szCs w:val="23"/>
      <w:lang w:val="en-GB"/>
    </w:rPr>
  </w:style>
  <w:style w:type="character" w:styleId="EndnoteReference">
    <w:name w:val="endnote reference"/>
    <w:basedOn w:val="DefaultParagraphFont"/>
    <w:rsid w:val="007A21FE"/>
    <w:rPr>
      <w:vertAlign w:val="superscript"/>
    </w:rPr>
  </w:style>
  <w:style w:type="paragraph" w:customStyle="1" w:styleId="Figurewithouttitle">
    <w:name w:val="Figure_without_title"/>
    <w:basedOn w:val="Normal"/>
    <w:next w:val="Normalaftertitle"/>
    <w:rsid w:val="007A21FE"/>
    <w:pPr>
      <w:keepLines/>
      <w:spacing w:before="240" w:after="120"/>
      <w:jc w:val="center"/>
    </w:pPr>
    <w:rPr>
      <w:szCs w:val="23"/>
      <w:lang w:val="en-GB"/>
    </w:rPr>
  </w:style>
  <w:style w:type="paragraph" w:customStyle="1" w:styleId="FirstFooter">
    <w:name w:val="FirstFooter"/>
    <w:basedOn w:val="Footer"/>
    <w:rsid w:val="007A21FE"/>
    <w:pPr>
      <w:overflowPunct/>
      <w:autoSpaceDE/>
      <w:autoSpaceDN/>
      <w:adjustRightInd/>
      <w:spacing w:before="40"/>
      <w:textAlignment w:val="auto"/>
    </w:pPr>
    <w:rPr>
      <w:noProof w:val="0"/>
      <w:sz w:val="16"/>
      <w:szCs w:val="23"/>
      <w:lang w:val="en-GB"/>
    </w:rPr>
  </w:style>
  <w:style w:type="paragraph" w:customStyle="1" w:styleId="Source">
    <w:name w:val="Source"/>
    <w:basedOn w:val="Normal"/>
    <w:next w:val="Normalaftertitle"/>
    <w:rsid w:val="007A21FE"/>
    <w:pPr>
      <w:spacing w:before="840" w:after="200"/>
      <w:jc w:val="center"/>
    </w:pPr>
    <w:rPr>
      <w:b/>
      <w:sz w:val="28"/>
      <w:szCs w:val="23"/>
      <w:lang w:val="en-GB"/>
    </w:rPr>
  </w:style>
  <w:style w:type="paragraph" w:customStyle="1" w:styleId="SpecialFooter">
    <w:name w:val="Special Footer"/>
    <w:basedOn w:val="Footer"/>
    <w:rsid w:val="007A21F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szCs w:val="23"/>
      <w:lang w:val="en-GB"/>
    </w:rPr>
  </w:style>
  <w:style w:type="paragraph" w:customStyle="1" w:styleId="Tableref">
    <w:name w:val="Table_ref"/>
    <w:basedOn w:val="Normal"/>
    <w:next w:val="Tabletitle"/>
    <w:rsid w:val="007A21FE"/>
    <w:pPr>
      <w:keepNext/>
      <w:spacing w:before="0" w:after="120"/>
      <w:jc w:val="center"/>
    </w:pPr>
    <w:rPr>
      <w:szCs w:val="23"/>
      <w:lang w:val="en-GB"/>
    </w:rPr>
  </w:style>
  <w:style w:type="paragraph" w:customStyle="1" w:styleId="Title1">
    <w:name w:val="Title 1"/>
    <w:basedOn w:val="Source"/>
    <w:next w:val="Title2"/>
    <w:rsid w:val="007A21F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7A21FE"/>
  </w:style>
  <w:style w:type="paragraph" w:customStyle="1" w:styleId="Title3">
    <w:name w:val="Title 3"/>
    <w:basedOn w:val="Title2"/>
    <w:next w:val="Title4"/>
    <w:rsid w:val="007A21FE"/>
    <w:rPr>
      <w:caps w:val="0"/>
    </w:rPr>
  </w:style>
  <w:style w:type="paragraph" w:customStyle="1" w:styleId="Title4">
    <w:name w:val="Title 4"/>
    <w:basedOn w:val="Title3"/>
    <w:next w:val="Heading1"/>
    <w:rsid w:val="007A21FE"/>
    <w:rPr>
      <w:b/>
    </w:rPr>
  </w:style>
  <w:style w:type="character" w:customStyle="1" w:styleId="Appdef">
    <w:name w:val="App_def"/>
    <w:basedOn w:val="DefaultParagraphFont"/>
    <w:rsid w:val="007A21FE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7A21FE"/>
  </w:style>
  <w:style w:type="character" w:customStyle="1" w:styleId="Artdef">
    <w:name w:val="Art_def"/>
    <w:basedOn w:val="DefaultParagraphFont"/>
    <w:rsid w:val="007A21FE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7A21FE"/>
  </w:style>
  <w:style w:type="character" w:customStyle="1" w:styleId="Recdef">
    <w:name w:val="Rec_def"/>
    <w:basedOn w:val="DefaultParagraphFont"/>
    <w:rsid w:val="007A21FE"/>
    <w:rPr>
      <w:b/>
    </w:rPr>
  </w:style>
  <w:style w:type="character" w:customStyle="1" w:styleId="Resdef">
    <w:name w:val="Res_def"/>
    <w:basedOn w:val="DefaultParagraphFont"/>
    <w:rsid w:val="007A21FE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7A21FE"/>
    <w:rPr>
      <w:b/>
      <w:color w:val="auto"/>
    </w:rPr>
  </w:style>
  <w:style w:type="paragraph" w:customStyle="1" w:styleId="Formal">
    <w:name w:val="Formal"/>
    <w:basedOn w:val="ASN1"/>
    <w:rsid w:val="007A21FE"/>
    <w:pPr>
      <w:tabs>
        <w:tab w:val="left" w:pos="794"/>
        <w:tab w:val="left" w:pos="1191"/>
        <w:tab w:val="left" w:pos="1588"/>
        <w:tab w:val="left" w:pos="1985"/>
      </w:tabs>
    </w:pPr>
    <w:rPr>
      <w:rFonts w:ascii="Courier New" w:hAnsi="Courier New"/>
      <w:b w:val="0"/>
      <w:szCs w:val="23"/>
      <w:lang w:val="en-GB"/>
    </w:rPr>
  </w:style>
  <w:style w:type="paragraph" w:customStyle="1" w:styleId="Section1">
    <w:name w:val="Section_1"/>
    <w:basedOn w:val="Normal"/>
    <w:next w:val="Normal"/>
    <w:rsid w:val="007A21FE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  <w:szCs w:val="23"/>
      <w:lang w:val="en-GB"/>
    </w:rPr>
  </w:style>
  <w:style w:type="paragraph" w:customStyle="1" w:styleId="Section2">
    <w:name w:val="Section_2"/>
    <w:basedOn w:val="Normal"/>
    <w:next w:val="Normal"/>
    <w:rsid w:val="007A21FE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  <w:szCs w:val="23"/>
      <w:lang w:val="en-GB"/>
    </w:rPr>
  </w:style>
  <w:style w:type="character" w:customStyle="1" w:styleId="AnnexNoTitleChar">
    <w:name w:val="Annex_NoTitle Char"/>
    <w:basedOn w:val="DefaultParagraphFont"/>
    <w:rsid w:val="007A21FE"/>
    <w:rPr>
      <w:b/>
      <w:sz w:val="28"/>
      <w:lang w:val="en-GB" w:eastAsia="en-US" w:bidi="ar-SA"/>
    </w:rPr>
  </w:style>
  <w:style w:type="paragraph" w:customStyle="1" w:styleId="Tablelegend005">
    <w:name w:val="Стиль Table_legend + влево Слева:  0 см Выступ:  05 см"/>
    <w:basedOn w:val="Tablelegend"/>
    <w:rsid w:val="007A21FE"/>
    <w:pPr>
      <w:spacing w:before="120" w:after="40"/>
      <w:ind w:right="0" w:hanging="284"/>
      <w:jc w:val="left"/>
    </w:pPr>
    <w:rPr>
      <w:lang w:val="en-GB"/>
    </w:rPr>
  </w:style>
  <w:style w:type="paragraph" w:customStyle="1" w:styleId="Tablelegend0050">
    <w:name w:val="Стиль Table_legend + Слева:  0 см Выступ:  05 см"/>
    <w:basedOn w:val="Tablelegend"/>
    <w:rsid w:val="007A21FE"/>
    <w:pPr>
      <w:spacing w:before="120" w:after="40"/>
      <w:ind w:right="0" w:hanging="284"/>
    </w:pPr>
    <w:rPr>
      <w:lang w:val="en-GB"/>
    </w:rPr>
  </w:style>
  <w:style w:type="paragraph" w:customStyle="1" w:styleId="StyleHeading111pt">
    <w:name w:val="Style Heading 1 + 11 pt"/>
    <w:basedOn w:val="Heading1"/>
    <w:rsid w:val="007A21FE"/>
    <w:pPr>
      <w:spacing w:before="360" w:after="120"/>
    </w:pPr>
    <w:rPr>
      <w:szCs w:val="22"/>
      <w:lang w:val="en-GB"/>
    </w:rPr>
  </w:style>
  <w:style w:type="paragraph" w:customStyle="1" w:styleId="StyleHeadingb11ptBefore6pt">
    <w:name w:val="Style Heading_b + 11 pt Before:  6 pt"/>
    <w:basedOn w:val="Headingb"/>
    <w:rsid w:val="007A21FE"/>
    <w:pPr>
      <w:keepLines w:val="0"/>
      <w:spacing w:before="120"/>
    </w:pPr>
    <w:rPr>
      <w:szCs w:val="22"/>
      <w:lang w:val="en-GB"/>
    </w:rPr>
  </w:style>
  <w:style w:type="paragraph" w:customStyle="1" w:styleId="StyleHeading2Complex11ptBefore6pt">
    <w:name w:val="Style Heading 2 + (Complex) 11 pt Before:  6 pt"/>
    <w:basedOn w:val="Heading2"/>
    <w:rsid w:val="007A21FE"/>
    <w:pPr>
      <w:spacing w:before="120" w:after="120"/>
    </w:pPr>
    <w:rPr>
      <w:szCs w:val="22"/>
      <w:lang w:val="en-GB"/>
    </w:rPr>
  </w:style>
  <w:style w:type="paragraph" w:customStyle="1" w:styleId="StyleHeading3Complex11ptBefore6pt">
    <w:name w:val="Style Heading 3 + (Complex) 11 pt Before:  6 pt"/>
    <w:basedOn w:val="Heading3"/>
    <w:rsid w:val="007A21FE"/>
    <w:pPr>
      <w:spacing w:before="120"/>
    </w:pPr>
    <w:rPr>
      <w:szCs w:val="22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70826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uiPriority w:val="99"/>
    <w:rsid w:val="009B1906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9B1906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9B1906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9B1906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9B1906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B1906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9B1906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9B1906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9B1906"/>
    <w:rPr>
      <w:b/>
      <w:sz w:val="22"/>
      <w:lang w:val="fr-FR" w:eastAsia="en-US"/>
    </w:rPr>
  </w:style>
  <w:style w:type="character" w:customStyle="1" w:styleId="HeaderChar">
    <w:name w:val="Header Char"/>
    <w:aliases w:val="encabezado Char,he Char,header odd Char,header odd1 Char,header odd2 Char,ho Char,first Char,heading one Char,Odd Header Char,header odd3 Char,header odd4 Char,header odd5 Char,header odd6 Char,header1 Char,header2 Char,header3 Char"/>
    <w:basedOn w:val="DefaultParagraphFont"/>
    <w:uiPriority w:val="99"/>
    <w:rsid w:val="009B1906"/>
    <w:rPr>
      <w:rFonts w:cs="Times New Roman"/>
      <w:sz w:val="20"/>
      <w:szCs w:val="20"/>
      <w:lang w:val="fr-FR" w:eastAsia="en-US"/>
    </w:rPr>
  </w:style>
  <w:style w:type="character" w:customStyle="1" w:styleId="FooterChar">
    <w:name w:val="Footer Char"/>
    <w:aliases w:val="pie de página Char,footer odd Char,fo Char"/>
    <w:basedOn w:val="DefaultParagraphFont"/>
    <w:link w:val="Footer"/>
    <w:uiPriority w:val="99"/>
    <w:rsid w:val="009B1906"/>
    <w:rPr>
      <w:noProof/>
      <w:sz w:val="18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9B1906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833F98"/>
    <w:rPr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uiPriority w:val="99"/>
    <w:locked/>
    <w:rsid w:val="009B1906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uiPriority w:val="99"/>
    <w:locked/>
    <w:rsid w:val="009B1906"/>
    <w:rPr>
      <w:caps/>
      <w:sz w:val="18"/>
      <w:lang w:val="fr-FR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9B1906"/>
    <w:pPr>
      <w:spacing w:before="0"/>
    </w:pPr>
    <w:rPr>
      <w:rFonts w:ascii="Tahoma" w:eastAsia="MS Mincho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B1906"/>
    <w:rPr>
      <w:rFonts w:ascii="Tahoma" w:eastAsia="MS Mincho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9B1906"/>
    <w:pPr>
      <w:ind w:left="720"/>
      <w:contextualSpacing/>
    </w:pPr>
    <w:rPr>
      <w:rFonts w:eastAsia="MS Mincho"/>
    </w:rPr>
  </w:style>
  <w:style w:type="character" w:styleId="FollowedHyperlink">
    <w:name w:val="FollowedHyperlink"/>
    <w:basedOn w:val="DefaultParagraphFont"/>
    <w:uiPriority w:val="99"/>
    <w:unhideWhenUsed/>
    <w:rsid w:val="009B1906"/>
    <w:rPr>
      <w:color w:val="800080" w:themeColor="followedHyperlink"/>
      <w:u w:val="single"/>
    </w:rPr>
  </w:style>
  <w:style w:type="paragraph" w:customStyle="1" w:styleId="AnnexNotitle0">
    <w:name w:val="Annex_No &amp; title"/>
    <w:basedOn w:val="Normal"/>
    <w:next w:val="Normalaftertitle"/>
    <w:link w:val="AnnexNotitleChar0"/>
    <w:uiPriority w:val="99"/>
    <w:rsid w:val="009B1906"/>
    <w:pPr>
      <w:keepNext/>
      <w:keepLines/>
      <w:spacing w:before="480"/>
      <w:jc w:val="center"/>
    </w:pPr>
    <w:rPr>
      <w:rFonts w:eastAsia="MS Mincho"/>
      <w:b/>
      <w:sz w:val="26"/>
      <w:lang w:val="en-GB" w:eastAsia="ar-SA"/>
    </w:rPr>
  </w:style>
  <w:style w:type="character" w:customStyle="1" w:styleId="AnnexNotitleChar0">
    <w:name w:val="Annex_No &amp; title Char"/>
    <w:basedOn w:val="DefaultParagraphFont"/>
    <w:link w:val="AnnexNotitle0"/>
    <w:uiPriority w:val="99"/>
    <w:locked/>
    <w:rsid w:val="009B1906"/>
    <w:rPr>
      <w:rFonts w:eastAsia="MS Mincho"/>
      <w:b/>
      <w:sz w:val="26"/>
      <w:lang w:val="en-GB" w:eastAsia="ar-SA"/>
    </w:rPr>
  </w:style>
  <w:style w:type="character" w:customStyle="1" w:styleId="CallChar">
    <w:name w:val="Call Char"/>
    <w:basedOn w:val="DefaultParagraphFont"/>
    <w:link w:val="Call"/>
    <w:uiPriority w:val="99"/>
    <w:locked/>
    <w:rsid w:val="009B1906"/>
    <w:rPr>
      <w:i/>
      <w:sz w:val="22"/>
      <w:lang w:val="fr-FR" w:eastAsia="en-US"/>
    </w:rPr>
  </w:style>
  <w:style w:type="character" w:customStyle="1" w:styleId="FootnoteTextChar2">
    <w:name w:val="Footnote Text Char2"/>
    <w:aliases w:val="ALTS FOOTNOTE Char1,Footnote Text Char1 Char1,Footnote Text Char Char1 Char1,Footnote Text Char4 Char Char Char1,Footnote Text Char1 Char1 Char1 Char Char1,Footnote Text Char Char1 Char1 Char Char Char1,DNV-FT Char1"/>
    <w:basedOn w:val="DefaultParagraphFont"/>
    <w:uiPriority w:val="99"/>
    <w:locked/>
    <w:rsid w:val="009B1906"/>
    <w:rPr>
      <w:rFonts w:ascii="Times New Roman" w:eastAsia="MS Mincho" w:hAnsi="Times New Roman" w:cs="Times New Roman"/>
      <w:sz w:val="20"/>
      <w:szCs w:val="20"/>
      <w:lang w:val="fr-FR" w:eastAsia="en-US"/>
    </w:rPr>
  </w:style>
  <w:style w:type="character" w:customStyle="1" w:styleId="HeaderChar1">
    <w:name w:val="Header Char1"/>
    <w:aliases w:val="encabezado Char1,he Char1,header odd Char1,header odd1 Char1,header odd2 Char1,ho Char1,first Char1,heading one Char1,Odd Header Char1,header odd3 Char1,header odd4 Char1,header odd5 Char1,header odd6 Char1,header1 Char1,header2 Char1"/>
    <w:basedOn w:val="DefaultParagraphFont"/>
    <w:link w:val="Header"/>
    <w:locked/>
    <w:rsid w:val="009B1906"/>
    <w:rPr>
      <w:sz w:val="22"/>
      <w:lang w:val="fr-FR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9B1906"/>
    <w:pPr>
      <w:overflowPunct/>
      <w:autoSpaceDE/>
      <w:autoSpaceDN/>
      <w:adjustRightInd/>
      <w:spacing w:before="320"/>
      <w:jc w:val="left"/>
      <w:textAlignment w:val="auto"/>
    </w:pPr>
    <w:rPr>
      <w:rFonts w:eastAsia="MS Mincho"/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uiPriority w:val="99"/>
    <w:locked/>
    <w:rsid w:val="009B1906"/>
    <w:rPr>
      <w:rFonts w:eastAsia="MS Mincho"/>
      <w:sz w:val="22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uiPriority w:val="99"/>
    <w:locked/>
    <w:rsid w:val="009B1906"/>
    <w:rPr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uiPriority w:val="99"/>
    <w:locked/>
    <w:rsid w:val="009B1906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uiPriority w:val="99"/>
    <w:locked/>
    <w:rsid w:val="009B1906"/>
    <w:rPr>
      <w:b/>
      <w:sz w:val="22"/>
      <w:lang w:val="fr-FR" w:eastAsia="en-US"/>
    </w:rPr>
  </w:style>
  <w:style w:type="paragraph" w:customStyle="1" w:styleId="RecNo0">
    <w:name w:val="Стиль Rec_No + Перед:  0 пт"/>
    <w:basedOn w:val="RecNo"/>
    <w:uiPriority w:val="99"/>
    <w:rsid w:val="009B1906"/>
    <w:pPr>
      <w:spacing w:before="0"/>
    </w:pPr>
    <w:rPr>
      <w:rFonts w:eastAsia="MS Mincho"/>
    </w:rPr>
  </w:style>
  <w:style w:type="paragraph" w:customStyle="1" w:styleId="Tabletext1515">
    <w:name w:val="Стиль Table_text + По левому краю Перед:  15 пт После:  15 пт"/>
    <w:basedOn w:val="Tabletext"/>
    <w:uiPriority w:val="99"/>
    <w:rsid w:val="009B1906"/>
    <w:pPr>
      <w:spacing w:before="30" w:after="30"/>
      <w:jc w:val="left"/>
    </w:pPr>
    <w:rPr>
      <w:rFonts w:eastAsia="MS Mincho"/>
    </w:rPr>
  </w:style>
  <w:style w:type="paragraph" w:customStyle="1" w:styleId="Tabletext0">
    <w:name w:val="Стиль Table_text + По центру"/>
    <w:basedOn w:val="Tabletext"/>
    <w:uiPriority w:val="99"/>
    <w:rsid w:val="009B1906"/>
    <w:pPr>
      <w:jc w:val="center"/>
    </w:pPr>
    <w:rPr>
      <w:rFonts w:eastAsia="MS Mincho"/>
    </w:rPr>
  </w:style>
  <w:style w:type="paragraph" w:customStyle="1" w:styleId="Tabletext15150">
    <w:name w:val="Стиль Table_text + По центру Перед:  15 пт После:  15 пт"/>
    <w:basedOn w:val="Tabletext"/>
    <w:uiPriority w:val="99"/>
    <w:rsid w:val="009B1906"/>
    <w:pPr>
      <w:spacing w:before="30" w:after="30"/>
      <w:jc w:val="center"/>
    </w:pPr>
    <w:rPr>
      <w:rFonts w:eastAsia="MS Minch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hyperlink" Target="http://www.cospas-sarsat.org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emf"/><Relationship Id="rId25" Type="http://schemas.openxmlformats.org/officeDocument/2006/relationships/hyperlink" Target="mailto:cospas_sarsat@imso.or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hyperlink" Target="http://www.cospas-sarsat.org/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hyperlink" Target="mailto:cospas_sarsat@imso.org" TargetMode="External"/><Relationship Id="rId30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0AFBC-3870-4144-BF11-64E035CEC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441</TotalTime>
  <Pages>20</Pages>
  <Words>6530</Words>
  <Characters>39280</Characters>
  <Application>Microsoft Office Word</Application>
  <DocSecurity>0</DocSecurity>
  <Lines>327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45719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</cp:lastModifiedBy>
  <cp:revision>12</cp:revision>
  <cp:lastPrinted>2011-03-15T09:33:00Z</cp:lastPrinted>
  <dcterms:created xsi:type="dcterms:W3CDTF">2011-03-14T10:10:00Z</dcterms:created>
  <dcterms:modified xsi:type="dcterms:W3CDTF">2011-03-15T09:37:00Z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