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FD35C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100B6">
              <w:rPr>
                <w:rFonts w:ascii="Tahoma" w:hAnsi="Tahoma" w:cs="Tahoma"/>
                <w:b/>
                <w:bCs/>
                <w:iCs/>
                <w:color w:val="243285"/>
                <w:sz w:val="36"/>
                <w:szCs w:val="36"/>
              </w:rPr>
              <w:t xml:space="preserve"> </w:t>
            </w:r>
            <w:r w:rsidRPr="00A443C2">
              <w:rPr>
                <w:rFonts w:ascii="Tahoma" w:hAnsi="Tahoma" w:cs="Tahoma"/>
                <w:b/>
                <w:bCs/>
                <w:iCs/>
                <w:color w:val="243285"/>
                <w:sz w:val="36"/>
                <w:szCs w:val="36"/>
              </w:rPr>
              <w:t>M.</w:t>
            </w:r>
            <w:r w:rsidR="00FD35C9">
              <w:rPr>
                <w:rFonts w:ascii="Tahoma" w:hAnsi="Tahoma" w:cs="Tahoma"/>
                <w:b/>
                <w:bCs/>
                <w:iCs/>
                <w:color w:val="243285"/>
                <w:sz w:val="36"/>
                <w:szCs w:val="36"/>
              </w:rPr>
              <w:t>1731-1</w:t>
            </w:r>
          </w:p>
          <w:p w:rsidR="00FE79FE" w:rsidRPr="00A443C2" w:rsidRDefault="00FE79FE" w:rsidP="00FD35C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D35C9">
              <w:rPr>
                <w:rFonts w:ascii="Tahoma" w:hAnsi="Tahoma" w:cs="Tahoma"/>
                <w:b/>
                <w:bCs/>
                <w:iCs/>
                <w:color w:val="243285"/>
                <w:szCs w:val="24"/>
              </w:rPr>
              <w:t>12</w:t>
            </w:r>
            <w:r w:rsidRPr="00A443C2">
              <w:rPr>
                <w:rFonts w:ascii="Tahoma" w:hAnsi="Tahoma" w:cs="Tahoma"/>
                <w:b/>
                <w:bCs/>
                <w:iCs/>
                <w:color w:val="243285"/>
                <w:szCs w:val="24"/>
              </w:rPr>
              <w:t>/</w:t>
            </w:r>
            <w:r w:rsidR="00FD35C9">
              <w:rPr>
                <w:rFonts w:ascii="Tahoma" w:hAnsi="Tahoma" w:cs="Tahoma"/>
                <w:b/>
                <w:bCs/>
                <w:iCs/>
                <w:color w:val="243285"/>
                <w:szCs w:val="24"/>
              </w:rPr>
              <w:t>2010</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FD35C9" w:rsidP="00FD35C9">
            <w:pPr>
              <w:spacing w:before="80" w:line="500" w:lineRule="exact"/>
              <w:jc w:val="right"/>
              <w:rPr>
                <w:rFonts w:ascii="Tahoma" w:hAnsi="Tahoma" w:cs="Tahoma"/>
                <w:b/>
                <w:bCs/>
                <w:iCs/>
                <w:color w:val="243285"/>
                <w:sz w:val="44"/>
                <w:szCs w:val="44"/>
              </w:rPr>
            </w:pPr>
            <w:r w:rsidRPr="00FD35C9">
              <w:rPr>
                <w:rFonts w:ascii="Tahoma" w:hAnsi="Tahoma" w:cs="Tahoma"/>
                <w:b/>
                <w:bCs/>
                <w:iCs/>
                <w:color w:val="243285"/>
                <w:sz w:val="44"/>
                <w:szCs w:val="44"/>
              </w:rPr>
              <w:t>Critères de protection des terminaux d'usager local du système Cospas-Sarsat dans la bande 1 544-1 545 MHz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E100B6"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E100B6">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E100B6">
        <w:rPr>
          <w:sz w:val="20"/>
        </w:rPr>
        <w:t>1</w:t>
      </w:r>
    </w:p>
    <w:p w:rsidR="00F54FBD" w:rsidRPr="00614CC6" w:rsidRDefault="00F54FBD" w:rsidP="00E100B6">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E100B6">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E100B6" w:rsidRDefault="00756B4D" w:rsidP="009A08C8">
      <w:pPr>
        <w:pStyle w:val="RecNo"/>
        <w:spacing w:before="24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E100B6">
        <w:rPr>
          <w:rStyle w:val="href"/>
        </w:rPr>
        <w:t>1731-1</w:t>
      </w:r>
      <w:r w:rsidR="00E100B6" w:rsidRPr="00E100B6">
        <w:t xml:space="preserve"> </w:t>
      </w:r>
    </w:p>
    <w:p w:rsidR="00E100B6" w:rsidRPr="007B16F5" w:rsidRDefault="00E100B6" w:rsidP="00E100B6">
      <w:pPr>
        <w:pStyle w:val="Rectitle"/>
      </w:pPr>
      <w:r w:rsidRPr="007B16F5">
        <w:t>Critères de protection des terminaux d'usager local du</w:t>
      </w:r>
      <w:r>
        <w:t xml:space="preserve"> </w:t>
      </w:r>
      <w:r w:rsidRPr="007B16F5">
        <w:t>système Cospas-Sarsat dans la bande 1 544-1 545 MHz</w:t>
      </w:r>
    </w:p>
    <w:p w:rsidR="00E100B6" w:rsidRPr="007B16F5" w:rsidRDefault="00E100B6" w:rsidP="00E100B6">
      <w:pPr>
        <w:pStyle w:val="Recdate"/>
      </w:pPr>
    </w:p>
    <w:p w:rsidR="00E100B6" w:rsidRPr="007B16F5" w:rsidRDefault="00E100B6" w:rsidP="00E100B6">
      <w:pPr>
        <w:pStyle w:val="Recdate"/>
      </w:pPr>
      <w:r w:rsidRPr="007B16F5">
        <w:t>(2005-2010)</w:t>
      </w:r>
    </w:p>
    <w:p w:rsidR="00E100B6" w:rsidRPr="00C5340E" w:rsidRDefault="00E100B6" w:rsidP="00631023">
      <w:pPr>
        <w:pStyle w:val="HeadingSum"/>
        <w:rPr>
          <w:lang w:val="fr-CH"/>
        </w:rPr>
      </w:pPr>
      <w:r w:rsidRPr="00C5340E">
        <w:rPr>
          <w:lang w:val="fr-CH"/>
        </w:rPr>
        <w:t>Domaine de compétence</w:t>
      </w:r>
    </w:p>
    <w:p w:rsidR="00E100B6" w:rsidRPr="00C5340E" w:rsidRDefault="00E100B6" w:rsidP="00631023">
      <w:pPr>
        <w:pStyle w:val="Summary"/>
        <w:rPr>
          <w:lang w:val="fr-CH"/>
        </w:rPr>
      </w:pPr>
      <w:r w:rsidRPr="00C5340E">
        <w:rPr>
          <w:lang w:val="fr-CH"/>
        </w:rPr>
        <w:t>La présente Recommandation établit les critères de protection des terminaux d'usager local du système Cospas-Sarsat, qui reçoivent dans la bande 1 544-1 545 MHz des liaisons descendantes provenant de satellites sur orbites géostationnaires et terrestres basses. Le programme Cospas</w:t>
      </w:r>
      <w:r w:rsidRPr="00C5340E">
        <w:rPr>
          <w:lang w:val="fr-CH"/>
        </w:rPr>
        <w:noBreakHyphen/>
        <w:t>Sarsat reçoit et traite les signaux provenant des radiobalises de localisation des sinistres (RLS) et d'autres balises de détresse fonctionnant sur 406 MHz. Dans certains cas, les signaux sont transmis aux stations au sol via une liaison descendante dans la bande 1 544-1 545 MHz.</w:t>
      </w:r>
    </w:p>
    <w:p w:rsidR="002355C8" w:rsidRDefault="002355C8" w:rsidP="002355C8"/>
    <w:p w:rsidR="00E100B6" w:rsidRPr="007B16F5" w:rsidRDefault="00E100B6" w:rsidP="00E100B6">
      <w:pPr>
        <w:pStyle w:val="Normalaftertitle"/>
      </w:pPr>
      <w:r w:rsidRPr="007B16F5">
        <w:t>L'Assemblée des radiocommunications de l'UIT,</w:t>
      </w:r>
    </w:p>
    <w:p w:rsidR="00E100B6" w:rsidRPr="007B16F5" w:rsidRDefault="00E100B6" w:rsidP="00E100B6">
      <w:pPr>
        <w:pStyle w:val="Call"/>
      </w:pPr>
      <w:proofErr w:type="gramStart"/>
      <w:r w:rsidRPr="007B16F5">
        <w:t>considérant</w:t>
      </w:r>
      <w:proofErr w:type="gramEnd"/>
    </w:p>
    <w:p w:rsidR="00E100B6" w:rsidRPr="007B16F5" w:rsidRDefault="00E100B6" w:rsidP="00E100B6">
      <w:r w:rsidRPr="007B16F5">
        <w:t>a)</w:t>
      </w:r>
      <w:r w:rsidRPr="007B16F5">
        <w:tab/>
        <w:t>que la Recommandation UIT-R SM.1535 préconise la protection des services de sécurité vis</w:t>
      </w:r>
      <w:r w:rsidRPr="007B16F5">
        <w:noBreakHyphen/>
        <w:t>à</w:t>
      </w:r>
      <w:r w:rsidRPr="007B16F5">
        <w:noBreakHyphen/>
        <w:t>vis des rayonnements non désirés;</w:t>
      </w:r>
    </w:p>
    <w:p w:rsidR="00E100B6" w:rsidRPr="007B16F5" w:rsidRDefault="00E100B6" w:rsidP="00E100B6">
      <w:r w:rsidRPr="007B16F5">
        <w:t>b)</w:t>
      </w:r>
      <w:r w:rsidRPr="007B16F5">
        <w:tab/>
        <w:t>que le système mondial de satellites pour les recherches et le sauvetage Cospas-Sarsat est exploité dans la bande 1 544-1 545 MHz, laquelle est limitée au titre du numéro 5.356 du Règlement des radiocommunications (RR) aux communications de détresse et de sécurité, dans le sens espace vers Terre;</w:t>
      </w:r>
    </w:p>
    <w:p w:rsidR="00E100B6" w:rsidRPr="007B16F5" w:rsidRDefault="00E100B6" w:rsidP="00E100B6">
      <w:r w:rsidRPr="007B16F5">
        <w:t>c)</w:t>
      </w:r>
      <w:r w:rsidRPr="007B16F5">
        <w:tab/>
        <w:t>que les brouillages préjudiciables causés aux services de sécurité peuvent entraîner la perte de vies humaines et des dégâts matériels;</w:t>
      </w:r>
    </w:p>
    <w:p w:rsidR="00E100B6" w:rsidRPr="007B16F5" w:rsidRDefault="00E100B6" w:rsidP="00E100B6">
      <w:r w:rsidRPr="007B16F5">
        <w:t>d)</w:t>
      </w:r>
      <w:r w:rsidRPr="007B16F5">
        <w:tab/>
        <w:t>que les terminaux d'usager local associés aux satellites sur l'orbite géostationnaire du système Cospas-Sarsat (GEOLUT) reçoivent dans la bande 1 544-1 545 MHz des signaux émanant de RLS relayés par des satellites géostationnaires opérationnels d'étude de l'environnement (GOES) et par des satellites Meteo</w:t>
      </w:r>
      <w:r w:rsidRPr="007B16F5">
        <w:noBreakHyphen/>
        <w:t>Sat de la deuxième génération (MSG);</w:t>
      </w:r>
    </w:p>
    <w:p w:rsidR="00E100B6" w:rsidRPr="007B16F5" w:rsidRDefault="00E100B6" w:rsidP="00E100B6">
      <w:r w:rsidRPr="007B16F5">
        <w:t>e)</w:t>
      </w:r>
      <w:r w:rsidRPr="007B16F5">
        <w:tab/>
        <w:t>que les terminaux d'usager local associés aux satellites sur orbites terrestres basses du système Cospas-Sarsat (LEOLUT) reçoivent dans la bande 1 544-1 545 MHz des signaux émanant de RLS relayés par les répéteurs de recherche et de sauvetage (SARR) des satellites Cospas et Sarsat;</w:t>
      </w:r>
    </w:p>
    <w:p w:rsidR="00E100B6" w:rsidRDefault="00E100B6" w:rsidP="00E100B6">
      <w:r w:rsidRPr="007B16F5">
        <w:t>f)</w:t>
      </w:r>
      <w:r w:rsidRPr="007B16F5">
        <w:tab/>
        <w:t>que les terminaux LEOLUT du système Cospas</w:t>
      </w:r>
      <w:r>
        <w:t>-Sarsat reçoivent dans la bande </w:t>
      </w:r>
      <w:r w:rsidRPr="007B16F5">
        <w:t>1 544</w:t>
      </w:r>
      <w:r w:rsidRPr="007B16F5">
        <w:noBreakHyphen/>
        <w:t xml:space="preserve">1 545 MHz un flux de données (PDS, </w:t>
      </w:r>
      <w:r w:rsidRPr="007B16F5">
        <w:rPr>
          <w:i/>
        </w:rPr>
        <w:t>processed data stream</w:t>
      </w:r>
      <w:r>
        <w:t>) en provenance de RLS </w:t>
      </w:r>
      <w:r w:rsidRPr="007B16F5">
        <w:t>traitées à l'échelle mondiale par les processeurs de reche</w:t>
      </w:r>
      <w:r>
        <w:t>rche et de sauvetage (SARP) des </w:t>
      </w:r>
      <w:r w:rsidR="004C52B5">
        <w:t>satellites Cospas et Sarsat;</w:t>
      </w:r>
    </w:p>
    <w:p w:rsidR="00E100B6" w:rsidRPr="007B16F5" w:rsidRDefault="00E100B6" w:rsidP="002355C8">
      <w:r w:rsidRPr="007B16F5">
        <w:t>g)</w:t>
      </w:r>
      <w:r w:rsidRPr="007B16F5">
        <w:tab/>
        <w:t>que les terminaux d</w:t>
      </w:r>
      <w:r>
        <w:t>'</w:t>
      </w:r>
      <w:r w:rsidRPr="007B16F5">
        <w:t xml:space="preserve">usager local </w:t>
      </w:r>
      <w:r w:rsidRPr="00FB58D2">
        <w:t xml:space="preserve">associés aux satellites sur orbite terrestre moyenne (MEOLUT) du </w:t>
      </w:r>
      <w:r w:rsidRPr="007B16F5">
        <w:t>système Cospas-Sarsat reçoivent dans la bande 1 544-1 545 MHz des signa</w:t>
      </w:r>
      <w:r>
        <w:t>ux émanant de RLS relayés par d</w:t>
      </w:r>
      <w:r w:rsidRPr="007B16F5">
        <w:t>es satellites de navigation en orbite terrestre moyenne (</w:t>
      </w:r>
      <w:r w:rsidRPr="00FB58D2">
        <w:t>système</w:t>
      </w:r>
      <w:r>
        <w:t xml:space="preserve"> </w:t>
      </w:r>
      <w:r w:rsidRPr="007B16F5">
        <w:t>GALILEO)</w:t>
      </w:r>
      <w:r>
        <w:t>;</w:t>
      </w:r>
    </w:p>
    <w:p w:rsidR="00E100B6" w:rsidRPr="007B16F5" w:rsidRDefault="00E100B6">
      <w:pPr>
        <w:pPrChange w:id="4" w:author="fleur" w:date="2011-02-23T14:45:00Z">
          <w:pPr>
            <w:spacing w:line="720" w:lineRule="auto"/>
          </w:pPr>
        </w:pPrChange>
      </w:pPr>
      <w:r w:rsidRPr="007B16F5">
        <w:lastRenderedPageBreak/>
        <w:t>h)</w:t>
      </w:r>
      <w:r w:rsidRPr="007B16F5">
        <w:tab/>
        <w:t>que l</w:t>
      </w:r>
      <w:r>
        <w:t>'</w:t>
      </w:r>
      <w:r w:rsidRPr="007B16F5">
        <w:t xml:space="preserve">Annexe 6 présente les bilans de liaison </w:t>
      </w:r>
      <w:r>
        <w:t xml:space="preserve">du système </w:t>
      </w:r>
      <w:r w:rsidRPr="007B16F5">
        <w:t xml:space="preserve">Cospas-Sarsat </w:t>
      </w:r>
      <w:r>
        <w:t>concernant l'exploitation sur les</w:t>
      </w:r>
      <w:r w:rsidRPr="007B16F5">
        <w:rPr>
          <w:lang w:eastAsia="zh-CN"/>
        </w:rPr>
        <w:t xml:space="preserve"> orbites terrestres basses (LEO) ou moyennes (MEO) et </w:t>
      </w:r>
      <w:r>
        <w:rPr>
          <w:lang w:eastAsia="zh-CN"/>
        </w:rPr>
        <w:t>sur l'</w:t>
      </w:r>
      <w:r w:rsidRPr="007B16F5">
        <w:rPr>
          <w:lang w:eastAsia="zh-CN"/>
        </w:rPr>
        <w:t>orbite des satellites géostationnaires (OSG)</w:t>
      </w:r>
      <w:r>
        <w:rPr>
          <w:lang w:eastAsia="zh-CN"/>
        </w:rPr>
        <w:t xml:space="preserve"> sur la base de</w:t>
      </w:r>
      <w:r w:rsidRPr="007B16F5">
        <w:rPr>
          <w:lang w:eastAsia="zh-CN"/>
        </w:rPr>
        <w:t xml:space="preserve"> valeurs proches des</w:t>
      </w:r>
      <w:r>
        <w:rPr>
          <w:lang w:eastAsia="zh-CN"/>
        </w:rPr>
        <w:t xml:space="preserve"> valeurs les</w:t>
      </w:r>
      <w:r w:rsidRPr="007B16F5">
        <w:rPr>
          <w:lang w:eastAsia="zh-CN"/>
        </w:rPr>
        <w:t xml:space="preserve"> plus défavorables</w:t>
      </w:r>
      <w:r>
        <w:rPr>
          <w:lang w:eastAsia="zh-CN"/>
        </w:rPr>
        <w:t xml:space="preserve">, qui sont </w:t>
      </w:r>
      <w:r w:rsidRPr="007B16F5">
        <w:rPr>
          <w:lang w:eastAsia="zh-CN"/>
        </w:rPr>
        <w:t>indiquée</w:t>
      </w:r>
      <w:r>
        <w:rPr>
          <w:lang w:eastAsia="zh-CN"/>
        </w:rPr>
        <w:t>s</w:t>
      </w:r>
      <w:r w:rsidRPr="007B16F5">
        <w:rPr>
          <w:lang w:eastAsia="zh-CN"/>
        </w:rPr>
        <w:t xml:space="preserve"> dans cette Annexe dans la colonne </w:t>
      </w:r>
      <w:r>
        <w:rPr>
          <w:lang w:eastAsia="zh-CN"/>
        </w:rPr>
        <w:t>«</w:t>
      </w:r>
      <w:r w:rsidRPr="007B16F5">
        <w:rPr>
          <w:lang w:eastAsia="zh-CN"/>
        </w:rPr>
        <w:t>niveau bas</w:t>
      </w:r>
      <w:r>
        <w:rPr>
          <w:lang w:eastAsia="zh-CN"/>
        </w:rPr>
        <w:t>»</w:t>
      </w:r>
      <w:r w:rsidRPr="007B16F5">
        <w:rPr>
          <w:lang w:eastAsia="zh-CN"/>
        </w:rPr>
        <w:t>,</w:t>
      </w:r>
      <w:r>
        <w:rPr>
          <w:lang w:eastAsia="zh-CN"/>
        </w:rPr>
        <w:t xml:space="preserve"> </w:t>
      </w:r>
    </w:p>
    <w:p w:rsidR="00E100B6" w:rsidRPr="007B16F5" w:rsidRDefault="00E100B6" w:rsidP="00E100B6">
      <w:pPr>
        <w:pStyle w:val="Call"/>
      </w:pPr>
      <w:proofErr w:type="gramStart"/>
      <w:r w:rsidRPr="007B16F5">
        <w:t>recommande</w:t>
      </w:r>
      <w:proofErr w:type="gramEnd"/>
    </w:p>
    <w:p w:rsidR="00E100B6" w:rsidRPr="007B16F5" w:rsidRDefault="00E100B6" w:rsidP="00E100B6">
      <w:r w:rsidRPr="007B16F5">
        <w:rPr>
          <w:b/>
        </w:rPr>
        <w:t>1</w:t>
      </w:r>
      <w:r w:rsidRPr="007B16F5">
        <w:tab/>
        <w:t>de fonder sur les dispositions de l'Annexe 1 l'analyse du brouillage causé aux terminaux GEOLUT du système Cospas-Sarsat qui fonctionnent avec des satellites GOES;</w:t>
      </w:r>
    </w:p>
    <w:p w:rsidR="00E100B6" w:rsidRPr="007B16F5" w:rsidRDefault="00E100B6" w:rsidP="00E100B6">
      <w:r w:rsidRPr="007B16F5">
        <w:rPr>
          <w:b/>
        </w:rPr>
        <w:t>2</w:t>
      </w:r>
      <w:r w:rsidRPr="007B16F5">
        <w:tab/>
        <w:t>de fonder sur les dispositions de l'Annexe 2 l'analyse du brouillage causé aux terminaux LEOLUT du système Cospas-Sarsat recevant un PDS en provenance de RLS traitées à l'échelle mondiale;</w:t>
      </w:r>
    </w:p>
    <w:p w:rsidR="00E100B6" w:rsidRPr="007B16F5" w:rsidRDefault="00E100B6" w:rsidP="00E100B6">
      <w:r w:rsidRPr="007B16F5">
        <w:rPr>
          <w:b/>
        </w:rPr>
        <w:t>3</w:t>
      </w:r>
      <w:r w:rsidRPr="007B16F5">
        <w:tab/>
        <w:t>de fonder sur les dispositions de l'Annexe 3 l'analyse du brouillage causé aux terminaux LEOLUT du système Cospas-Sarsat recevant des signaux de RLS sur 406 MHz relayés par les satellites sur orbites terrestres basses du système Cospas et Sarsat;</w:t>
      </w:r>
    </w:p>
    <w:p w:rsidR="00E100B6" w:rsidRPr="007B16F5" w:rsidRDefault="00E100B6" w:rsidP="00E100B6">
      <w:r w:rsidRPr="007B16F5">
        <w:rPr>
          <w:b/>
          <w:bCs/>
        </w:rPr>
        <w:t>4</w:t>
      </w:r>
      <w:r w:rsidRPr="007B16F5">
        <w:tab/>
        <w:t>de fonder sur les dispositions de l'Annexe 4 l'analyse du brouillage causé aux terminaux GEOLUT du système Cospas-Sarsat qui fonct</w:t>
      </w:r>
      <w:r w:rsidR="004C52B5">
        <w:t>ionnent avec des satellites MSG;</w:t>
      </w:r>
    </w:p>
    <w:p w:rsidR="00E100B6" w:rsidRDefault="00E100B6" w:rsidP="00E100B6">
      <w:r w:rsidRPr="007B16F5">
        <w:rPr>
          <w:b/>
          <w:bCs/>
        </w:rPr>
        <w:t>5</w:t>
      </w:r>
      <w:r w:rsidRPr="007B16F5">
        <w:rPr>
          <w:b/>
          <w:bCs/>
        </w:rPr>
        <w:tab/>
      </w:r>
      <w:r w:rsidRPr="007B16F5">
        <w:t>de fonder sur les dispositions de l'Annexe 5 l'analyse du brouillage causé aux terminaux MEOLUT du système Cospas-Sarsat qui fonctionnent avec des satellites GALILEO</w:t>
      </w:r>
      <w:r>
        <w:t>.</w:t>
      </w:r>
    </w:p>
    <w:p w:rsidR="00E100B6" w:rsidRDefault="00E100B6" w:rsidP="00E100B6"/>
    <w:p w:rsidR="00315C1E" w:rsidRDefault="00315C1E" w:rsidP="00E100B6"/>
    <w:p w:rsidR="00315C1E" w:rsidRDefault="00315C1E" w:rsidP="00E100B6"/>
    <w:p w:rsidR="00E100B6" w:rsidRPr="007B16F5" w:rsidRDefault="00E100B6" w:rsidP="00E100B6"/>
    <w:p w:rsidR="00E100B6" w:rsidRPr="007B16F5" w:rsidRDefault="00E100B6" w:rsidP="00E100B6">
      <w:pPr>
        <w:pStyle w:val="AnnexNoTitle"/>
        <w:rPr>
          <w:bCs/>
          <w:spacing w:val="-3"/>
        </w:rPr>
      </w:pPr>
      <w:r w:rsidRPr="007B16F5">
        <w:t>Annexe 1</w:t>
      </w:r>
      <w:r w:rsidRPr="007B16F5">
        <w:br/>
      </w:r>
      <w:r w:rsidRPr="007B16F5">
        <w:br/>
        <w:t xml:space="preserve">Critères de protection dans la bande 1 544-1 545 MHz des terminaux GEOLUT du système Cospas-Sarsat qui reçoivent des signaux de RLS </w:t>
      </w:r>
      <w:r w:rsidRPr="007B16F5">
        <w:br/>
        <w:t xml:space="preserve">relayés par des satellites </w:t>
      </w:r>
      <w:r w:rsidRPr="007B16F5">
        <w:rPr>
          <w:bCs/>
          <w:caps/>
          <w:spacing w:val="-3"/>
        </w:rPr>
        <w:t xml:space="preserve">GOES </w:t>
      </w:r>
    </w:p>
    <w:p w:rsidR="00E100B6" w:rsidRPr="007B16F5" w:rsidRDefault="00E100B6" w:rsidP="00E100B6">
      <w:pPr>
        <w:pStyle w:val="Heading2"/>
      </w:pPr>
      <w:r w:rsidRPr="007B16F5">
        <w:rPr>
          <w:caps/>
        </w:rPr>
        <w:t>1.1</w:t>
      </w:r>
      <w:r w:rsidRPr="007B16F5">
        <w:rPr>
          <w:caps/>
        </w:rPr>
        <w:tab/>
      </w:r>
      <w:r w:rsidRPr="007B16F5">
        <w:t>Introduction</w:t>
      </w:r>
    </w:p>
    <w:p w:rsidR="00E100B6" w:rsidRPr="007B16F5" w:rsidRDefault="00E100B6" w:rsidP="00E100B6">
      <w:r w:rsidRPr="007B16F5">
        <w:t>Les satellites GOES sont équipés de répéteurs de recherche et de sauvetage Cospas-Sarsat, qui reçoivent des signaux émanant de RLS sur 406 MHz et les relaient aux terminaux GEOLUT du système Cospas</w:t>
      </w:r>
      <w:r w:rsidRPr="007B16F5">
        <w:noBreakHyphen/>
        <w:t>Sarsat sur des fréquences descendantes dans la bande 1 544</w:t>
      </w:r>
      <w:r w:rsidRPr="007B16F5">
        <w:noBreakHyphen/>
        <w:t>1 545 MHz. En application des dispositions du RR, la bande 1 544</w:t>
      </w:r>
      <w:r w:rsidRPr="007B16F5">
        <w:noBreakHyphen/>
        <w:t>1 545 MHz est attribuée au service mobile par satellite (SMS), dans le sens espace vers Terre, et est en l'espèce limi</w:t>
      </w:r>
      <w:r>
        <w:t>tée au titre du numéro 5.356 du </w:t>
      </w:r>
      <w:r w:rsidRPr="007B16F5">
        <w:t>RR aux communications de détresse et de sécurité. L'analyse exposée dans la présente Annexe établit des critères de protection vis</w:t>
      </w:r>
      <w:r w:rsidRPr="007B16F5">
        <w:noBreakHyphen/>
        <w:t>à</w:t>
      </w:r>
      <w:r w:rsidRPr="007B16F5">
        <w:noBreakHyphen/>
        <w:t>vis des brouillages des terminaux GEOLUT qui reçoivent les signaux sur la liaison descendante des satellites GOES dans la bande 1 544</w:t>
      </w:r>
      <w:r w:rsidRPr="007B16F5">
        <w:noBreakHyphen/>
        <w:t xml:space="preserve">1 545 MHz. </w:t>
      </w:r>
    </w:p>
    <w:p w:rsidR="00E100B6" w:rsidRPr="007B16F5" w:rsidRDefault="00E100B6" w:rsidP="00E100B6">
      <w:pPr>
        <w:pStyle w:val="Heading2"/>
      </w:pPr>
      <w:r w:rsidRPr="007B16F5">
        <w:t>1.2</w:t>
      </w:r>
      <w:r w:rsidRPr="007B16F5">
        <w:tab/>
        <w:t>Qualité de fonctionnement minimale acceptable pour la détection des signaux de RLS reliés par les satellites GOES</w:t>
      </w:r>
    </w:p>
    <w:p w:rsidR="00E100B6" w:rsidRPr="007B16F5" w:rsidRDefault="00E100B6" w:rsidP="00E100B6">
      <w:r w:rsidRPr="007B16F5">
        <w:t xml:space="preserve">Pour détecter de manière fiable les radiobalises de détresse sur </w:t>
      </w:r>
      <w:r>
        <w:t>406 MHz utilisant des répéteurs </w:t>
      </w:r>
      <w:r w:rsidRPr="007B16F5">
        <w:t>à satellite GOES sur 406 MHz, le taux d'erreur sur les bits (TEB) du canal ne doit pas excéder 5 × 10</w:t>
      </w:r>
      <w:r w:rsidRPr="007B16F5">
        <w:rPr>
          <w:vertAlign w:val="superscript"/>
        </w:rPr>
        <w:t>–5</w:t>
      </w:r>
      <w:r w:rsidRPr="007B16F5">
        <w:t xml:space="preserve">. </w:t>
      </w:r>
    </w:p>
    <w:p w:rsidR="00E100B6" w:rsidRPr="007B16F5" w:rsidRDefault="00E100B6" w:rsidP="00E100B6">
      <w:pPr>
        <w:pStyle w:val="Heading2"/>
      </w:pPr>
      <w:r w:rsidRPr="007B16F5">
        <w:rPr>
          <w:caps/>
        </w:rPr>
        <w:lastRenderedPageBreak/>
        <w:t>1.3</w:t>
      </w:r>
      <w:r w:rsidRPr="007B16F5">
        <w:rPr>
          <w:caps/>
        </w:rPr>
        <w:tab/>
      </w:r>
      <w:r w:rsidRPr="007B16F5">
        <w:t>Analyse de la densité spectrale de la puissance surfacique (spfd)</w:t>
      </w:r>
    </w:p>
    <w:p w:rsidR="00E100B6" w:rsidRPr="007B16F5" w:rsidRDefault="00E100B6" w:rsidP="00E100B6">
      <w:r w:rsidRPr="007B16F5">
        <w:t>Le TEB d'un canal de télécommunication est égal à l'énergie contenue dans chaque bit de données, </w:t>
      </w:r>
      <w:r w:rsidRPr="007B16F5">
        <w:rPr>
          <w:i/>
          <w:iCs/>
        </w:rPr>
        <w:t>E</w:t>
      </w:r>
      <w:r w:rsidRPr="007B16F5">
        <w:rPr>
          <w:i/>
          <w:iCs/>
          <w:vertAlign w:val="subscript"/>
        </w:rPr>
        <w:t>b</w:t>
      </w:r>
      <w:r w:rsidRPr="007B16F5">
        <w:t xml:space="preserve">, rapporté à la densité de bruit. La densité de bruit totale est la somme du bruit provoqué par l'équipement Cospas-Sarsat,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 1 illustre le canal SARR sur 406 MHz des satellites GOES en présence de brouillage sur la liaison descendante.</w:t>
      </w:r>
    </w:p>
    <w:p w:rsidR="00E100B6" w:rsidRPr="000863E1" w:rsidRDefault="00E100B6" w:rsidP="00E100B6">
      <w:pPr>
        <w:pStyle w:val="FigureNo"/>
        <w:rPr>
          <w:sz w:val="20"/>
        </w:rPr>
      </w:pPr>
      <w:r w:rsidRPr="000863E1">
        <w:rPr>
          <w:sz w:val="20"/>
        </w:rPr>
        <w:t>FIGURE 1</w:t>
      </w:r>
    </w:p>
    <w:p w:rsidR="00E100B6" w:rsidRPr="000863E1" w:rsidRDefault="00E100B6" w:rsidP="00E100B6">
      <w:pPr>
        <w:pStyle w:val="Figuretitle"/>
        <w:rPr>
          <w:sz w:val="20"/>
        </w:rPr>
      </w:pPr>
      <w:r w:rsidRPr="000863E1">
        <w:rPr>
          <w:sz w:val="20"/>
        </w:rPr>
        <w:t>Répéteurs SARR des satellites GOES en présence de brouillage</w:t>
      </w:r>
      <w:r w:rsidRPr="000863E1">
        <w:rPr>
          <w:sz w:val="20"/>
        </w:rPr>
        <w:br/>
        <w:t>sur la liaison descendante</w:t>
      </w:r>
    </w:p>
    <w:p w:rsidR="00E100B6" w:rsidRPr="007B16F5" w:rsidRDefault="00540BFB" w:rsidP="00DA6F8F">
      <w:pPr>
        <w:pStyle w:val="Figure"/>
        <w:pPrChange w:id="5" w:author="POOL" w:date="2006-03-15T12:43:00Z">
          <w:pPr>
            <w:keepNext/>
          </w:pPr>
        </w:pPrChange>
      </w:pPr>
      <w:r>
        <w:object w:dxaOrig="11647" w:dyaOrig="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213.5pt" o:ole="">
            <v:imagedata r:id="rId14" o:title=""/>
          </v:shape>
          <o:OLEObject Type="Embed" ProgID="CorelDRAW.Graphic.14" ShapeID="_x0000_i1025" DrawAspect="Content" ObjectID="_1364302896" r:id="rId15"/>
        </w:object>
      </w:r>
    </w:p>
    <w:p w:rsidR="00E100B6" w:rsidRPr="007B16F5" w:rsidRDefault="00E100B6" w:rsidP="00DA6F8F">
      <w:pPr>
        <w:pStyle w:val="Figurelegend"/>
        <w:spacing w:before="240"/>
      </w:pPr>
      <w:r w:rsidRPr="007B16F5">
        <w:t>AFB: amplificateur de faible bruit</w:t>
      </w:r>
    </w:p>
    <w:p w:rsidR="00E100B6" w:rsidRPr="007B16F5" w:rsidRDefault="00E100B6" w:rsidP="00E100B6">
      <w:pPr>
        <w:pStyle w:val="Normalaftertitle"/>
        <w:spacing w:before="480"/>
      </w:pPr>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GEOLUT soit égal ou supérieur à 8,8 dB. La présente analyse vise à déterminer la quantité maximale de brouillage à caractère de bruit large bande, exprimée en termes de spfd, par rapport à l'entrée de l'antenne du terminal GEOLUT, pouvant être supportée sans que la qualité de la liaison globale </w:t>
      </w:r>
      <w:r w:rsidRPr="007B16F5">
        <w:rPr>
          <w:i/>
        </w:rPr>
        <w:t>E</w:t>
      </w:r>
      <w:r w:rsidRPr="007B16F5">
        <w:rPr>
          <w:i/>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00B6" w:rsidRPr="007B16F5" w:rsidRDefault="00E100B6" w:rsidP="00E100B6">
      <w:r w:rsidRPr="007B16F5">
        <w:t>Comme il ressort de la Fig. 1, les répéteurs SARR des satellites GOES reçoivent des signaux des radiobalises de détresse sur 406 MHz qui sont modulés en phase</w:t>
      </w:r>
      <w:r>
        <w:t xml:space="preserve"> sur une porteuse descendante à </w:t>
      </w:r>
      <w:r w:rsidRPr="007B16F5">
        <w:t>1 544,5 MHz aux fins de détection et traitement par les terminaux GEOLUT. Le gain d'antenne et la température de bruit du système sont respectivement de 33,3 dB et 165,96 K pour un terminal GEOLUT d'un satellite GOES.</w:t>
      </w:r>
    </w:p>
    <w:p w:rsidR="00E100B6" w:rsidRPr="007B16F5" w:rsidRDefault="00E100B6" w:rsidP="00E100B6">
      <w:r w:rsidRPr="007B16F5">
        <w:t xml:space="preserve">Le signal de la RLS présente un angle d'élévation par rapport à l'engin spatial de 5°. En l'absence de sources de brouillage externes, le rapport total </w:t>
      </w:r>
      <w:r w:rsidRPr="007B16F5">
        <w:rPr>
          <w:i/>
          <w:iCs/>
        </w:rPr>
        <w:t>C</w:t>
      </w:r>
      <w:r w:rsidRPr="007B16F5">
        <w:t>/</w:t>
      </w:r>
      <w:r w:rsidRPr="007B16F5">
        <w:rPr>
          <w:i/>
          <w:iCs/>
        </w:rPr>
        <w:t>N</w:t>
      </w:r>
      <w:r w:rsidRPr="007B16F5">
        <w:rPr>
          <w:vertAlign w:val="subscript"/>
        </w:rPr>
        <w:t>0</w:t>
      </w:r>
      <w:r w:rsidRPr="007B16F5">
        <w:t xml:space="preserve"> est de 31,1</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5,1 dB. Compte tenu des pertes de mise en œuvre et de démodulation des données de la radiobalise ainsi que des gains de traitement au niveau du terminal GEOLUT,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t xml:space="preserve"> de </w:t>
      </w:r>
      <w:r w:rsidRPr="007B16F5">
        <w:t xml:space="preserve">10,1 dB. Comme il faut que sur le canal le rapport total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que l'accumulation de brouillages large bande sur la liaison descendante réduise le rapport global porteuse sur bruit, plus densité de brouillage de plus de 1,3 dB.</w:t>
      </w:r>
    </w:p>
    <w:p w:rsidR="00E100B6" w:rsidRPr="007B16F5" w:rsidRDefault="00E100B6" w:rsidP="00E100B6">
      <w:r w:rsidRPr="007B16F5">
        <w:lastRenderedPageBreak/>
        <w:t xml:space="preserve">Puisqu'en l'absence de brouillage le rapport global </w:t>
      </w:r>
      <w:r w:rsidRPr="007B16F5">
        <w:rPr>
          <w:i/>
          <w:iCs/>
        </w:rPr>
        <w:t>C</w:t>
      </w:r>
      <w:r w:rsidRPr="007B16F5">
        <w:t>/</w:t>
      </w:r>
      <w:r w:rsidRPr="007B16F5">
        <w:rPr>
          <w:i/>
          <w:iCs/>
        </w:rPr>
        <w:t>N</w:t>
      </w:r>
      <w:r w:rsidRPr="007B16F5">
        <w:rPr>
          <w:vertAlign w:val="subscript"/>
        </w:rPr>
        <w:t>0</w:t>
      </w:r>
      <w:r w:rsidRPr="007B16F5">
        <w:t xml:space="preserve"> est égal à 31,1 dB-Hz, le brouillage à caractère de bruit large bande sur la liaison descendante qui le dégrade de 1,3 dB donnerait un rapport total porteuse sur bruit, plus densité de brouillage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 xml:space="preserve">total </w:t>
      </w:r>
      <w:r w:rsidR="00783AC3">
        <w:t xml:space="preserve"> </w:t>
      </w:r>
      <w:r w:rsidRPr="007B16F5">
        <w:t>de:</w:t>
      </w:r>
    </w:p>
    <w:p w:rsidR="00E100B6" w:rsidRPr="00402E9A" w:rsidRDefault="00E100B6" w:rsidP="00E100B6">
      <w:pPr>
        <w:rPr>
          <w:lang w:val="en-US"/>
        </w:rPr>
      </w:pPr>
      <w:r>
        <w:tab/>
      </w:r>
      <w:r>
        <w:tab/>
      </w:r>
      <w:r>
        <w:tab/>
      </w:r>
      <w:r>
        <w:tab/>
      </w:r>
      <w:r w:rsidRPr="00402E9A">
        <w:rPr>
          <w:lang w:val="en-US"/>
        </w:rPr>
        <w:t>(</w:t>
      </w:r>
      <w:r w:rsidRPr="00402E9A">
        <w:rPr>
          <w:i/>
          <w:iCs/>
          <w:lang w:val="en-US"/>
        </w:rPr>
        <w:t>C</w:t>
      </w:r>
      <w:proofErr w:type="gramStart"/>
      <w:r w:rsidRPr="00402E9A">
        <w:rPr>
          <w:lang w:val="en-US"/>
        </w:rPr>
        <w:t>/(</w:t>
      </w:r>
      <w:proofErr w:type="gramEnd"/>
      <w:r w:rsidRPr="00402E9A">
        <w:rPr>
          <w:i/>
          <w:iCs/>
          <w:lang w:val="en-US"/>
        </w:rPr>
        <w:t>N</w:t>
      </w:r>
      <w:r w:rsidRPr="00402E9A">
        <w:rPr>
          <w:vertAlign w:val="subscript"/>
          <w:lang w:val="en-US"/>
        </w:rPr>
        <w:t>0</w:t>
      </w:r>
      <w:r w:rsidRPr="00402E9A">
        <w:rPr>
          <w:lang w:val="en-US"/>
        </w:rPr>
        <w:t> + </w:t>
      </w:r>
      <w:r w:rsidRPr="00402E9A">
        <w:rPr>
          <w:i/>
          <w:iCs/>
          <w:lang w:val="en-US"/>
        </w:rPr>
        <w:t>I</w:t>
      </w:r>
      <w:r w:rsidRPr="00402E9A">
        <w:rPr>
          <w:vertAlign w:val="subscript"/>
          <w:lang w:val="en-US"/>
        </w:rPr>
        <w:t>0</w:t>
      </w:r>
      <w:r w:rsidRPr="00402E9A">
        <w:rPr>
          <w:lang w:val="en-US"/>
        </w:rPr>
        <w:t>))</w:t>
      </w:r>
      <w:r w:rsidRPr="00402E9A">
        <w:rPr>
          <w:i/>
          <w:iCs/>
          <w:vertAlign w:val="subscript"/>
          <w:lang w:val="en-US"/>
        </w:rPr>
        <w:t>tota</w:t>
      </w:r>
      <w:r>
        <w:rPr>
          <w:i/>
          <w:iCs/>
          <w:vertAlign w:val="subscript"/>
          <w:lang w:val="en-US"/>
        </w:rPr>
        <w:t>l</w:t>
      </w:r>
      <w:r>
        <w:rPr>
          <w:vertAlign w:val="subscript"/>
          <w:lang w:val="en-US"/>
        </w:rPr>
        <w:t xml:space="preserve">   </w:t>
      </w:r>
      <w:r w:rsidRPr="00402E9A">
        <w:rPr>
          <w:lang w:val="en-US"/>
        </w:rPr>
        <w:t>= (</w:t>
      </w:r>
      <w:r w:rsidRPr="00402E9A">
        <w:rPr>
          <w:i/>
          <w:iCs/>
          <w:lang w:val="en-US"/>
        </w:rPr>
        <w:t>C</w:t>
      </w:r>
      <w:r w:rsidRPr="00402E9A">
        <w:rPr>
          <w:lang w:val="en-US"/>
        </w:rPr>
        <w:t>/</w:t>
      </w:r>
      <w:r w:rsidRPr="00402E9A">
        <w:rPr>
          <w:i/>
          <w:iCs/>
          <w:lang w:val="en-US"/>
        </w:rPr>
        <w:t>N</w:t>
      </w:r>
      <w:r w:rsidRPr="00402E9A">
        <w:rPr>
          <w:vertAlign w:val="subscript"/>
          <w:lang w:val="en-US"/>
        </w:rPr>
        <w:t>0</w:t>
      </w:r>
      <w:r w:rsidRPr="00402E9A">
        <w:rPr>
          <w:lang w:val="en-US"/>
        </w:rPr>
        <w:t>)</w:t>
      </w:r>
      <w:r w:rsidRPr="00402E9A">
        <w:rPr>
          <w:i/>
          <w:iCs/>
          <w:vertAlign w:val="subscript"/>
          <w:lang w:val="en-US"/>
        </w:rPr>
        <w:t>total</w:t>
      </w:r>
      <w:r w:rsidRPr="00402E9A">
        <w:rPr>
          <w:lang w:val="en-US"/>
        </w:rPr>
        <w:t xml:space="preserve"> – 1,3 dB</w:t>
      </w:r>
    </w:p>
    <w:p w:rsidR="00E100B6" w:rsidRPr="00E100B6" w:rsidRDefault="00E100B6" w:rsidP="00E100B6">
      <w:pPr>
        <w:rPr>
          <w:lang w:val="fr-CH"/>
        </w:rPr>
      </w:pPr>
      <w:r w:rsidRPr="00402E9A">
        <w:rPr>
          <w:lang w:val="en-US"/>
        </w:rPr>
        <w:tab/>
      </w:r>
      <w:r>
        <w:rPr>
          <w:lang w:val="en-US"/>
        </w:rPr>
        <w:tab/>
      </w:r>
      <w:r>
        <w:rPr>
          <w:lang w:val="en-US"/>
        </w:rPr>
        <w:tab/>
      </w:r>
      <w:r>
        <w:rPr>
          <w:lang w:val="en-US"/>
        </w:rPr>
        <w:tab/>
      </w:r>
      <w:r>
        <w:rPr>
          <w:lang w:val="en-US"/>
        </w:rPr>
        <w:tab/>
      </w:r>
      <w:r>
        <w:rPr>
          <w:lang w:val="en-US"/>
        </w:rPr>
        <w:tab/>
      </w:r>
      <w:r w:rsidRPr="00402E9A">
        <w:rPr>
          <w:lang w:val="en-US"/>
        </w:rPr>
        <w:tab/>
      </w:r>
      <w:r w:rsidRPr="00E100B6">
        <w:rPr>
          <w:lang w:val="fr-CH"/>
        </w:rPr>
        <w:t>= 31,1 dB-Hz – 1,3 dB</w:t>
      </w:r>
    </w:p>
    <w:p w:rsidR="00E100B6" w:rsidRPr="00E100B6" w:rsidRDefault="00E100B6" w:rsidP="00E100B6">
      <w:pPr>
        <w:rPr>
          <w:lang w:val="fr-CH"/>
        </w:rPr>
      </w:pPr>
      <w:r w:rsidRPr="00E100B6">
        <w:rPr>
          <w:lang w:val="fr-CH"/>
        </w:rPr>
        <w:tab/>
      </w:r>
      <w:r w:rsidRPr="00E100B6">
        <w:rPr>
          <w:lang w:val="fr-CH"/>
        </w:rPr>
        <w:tab/>
      </w:r>
      <w:r w:rsidRPr="00E100B6">
        <w:rPr>
          <w:lang w:val="fr-CH"/>
        </w:rPr>
        <w:tab/>
      </w:r>
      <w:r w:rsidRPr="00E100B6">
        <w:rPr>
          <w:lang w:val="fr-CH"/>
        </w:rPr>
        <w:tab/>
      </w:r>
      <w:r w:rsidRPr="00E100B6">
        <w:rPr>
          <w:lang w:val="fr-CH"/>
        </w:rPr>
        <w:tab/>
      </w:r>
      <w:r w:rsidRPr="00E100B6">
        <w:rPr>
          <w:lang w:val="fr-CH"/>
        </w:rPr>
        <w:tab/>
      </w:r>
      <w:r w:rsidRPr="00E100B6">
        <w:rPr>
          <w:lang w:val="fr-CH"/>
        </w:rPr>
        <w:tab/>
        <w:t>= 29,8 dB-Hz</w:t>
      </w:r>
    </w:p>
    <w:p w:rsidR="00E100B6" w:rsidRPr="007B16F5" w:rsidRDefault="00E100B6" w:rsidP="00E100B6">
      <w:r w:rsidRPr="007B16F5">
        <w:t>Le rapport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9D58A6" w:rsidRPr="007B16F5" w:rsidRDefault="009D58A6" w:rsidP="009D58A6">
      <w:pPr>
        <w:pStyle w:val="Blanc"/>
        <w:rPr>
          <w:lang w:val="fr-FR"/>
        </w:rPr>
      </w:pPr>
    </w:p>
    <w:p w:rsidR="00E100B6" w:rsidRDefault="00E100B6" w:rsidP="00E100B6">
      <w:pPr>
        <w:pStyle w:val="Equation"/>
        <w:rPr>
          <w:vertAlign w:val="superscript"/>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9D58A6" w:rsidRPr="00C5340E" w:rsidRDefault="009D58A6" w:rsidP="009D58A6">
      <w:pPr>
        <w:pStyle w:val="Blanc"/>
        <w:rPr>
          <w:lang w:val="en-US"/>
        </w:rPr>
      </w:pPr>
    </w:p>
    <w:p w:rsidR="00E100B6" w:rsidRPr="007B16F5" w:rsidRDefault="00E100B6" w:rsidP="00E100B6">
      <w:r w:rsidRPr="007B16F5">
        <w:t>Etant donné que la présente analyse ne concerne que le brouillage sur la liaison descendante, l'équation ci</w:t>
      </w:r>
      <w:r w:rsidRPr="007B16F5">
        <w:noBreakHyphen/>
        <w:t>dessus se simplifie comme suit:</w:t>
      </w:r>
    </w:p>
    <w:p w:rsidR="00E100B6" w:rsidRPr="007B16F5" w:rsidRDefault="00E100B6" w:rsidP="00E100B6">
      <w:pPr>
        <w:pStyle w:val="Blanc"/>
        <w:rPr>
          <w:lang w:val="fr-FR"/>
        </w:rPr>
      </w:pP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00B6" w:rsidRPr="00D842BB" w:rsidRDefault="00E100B6" w:rsidP="00E100B6">
      <w:pPr>
        <w:pStyle w:val="Blanc"/>
      </w:pPr>
    </w:p>
    <w:p w:rsidR="00E100B6" w:rsidRPr="007B16F5" w:rsidRDefault="00E100B6" w:rsidP="00E100B6">
      <w:r w:rsidRPr="007B16F5">
        <w:t>Si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29,8 dB-Hz et (</w:t>
      </w:r>
      <w:r w:rsidRPr="007B16F5">
        <w:rPr>
          <w:i/>
          <w:iCs/>
        </w:rPr>
        <w:t>C</w:t>
      </w:r>
      <w:r w:rsidRPr="007B16F5">
        <w:t>/</w:t>
      </w:r>
      <w:r w:rsidRPr="007B16F5">
        <w:rPr>
          <w:i/>
          <w:iCs/>
        </w:rPr>
        <w:t>N</w:t>
      </w:r>
      <w:r w:rsidRPr="007B16F5">
        <w:rPr>
          <w:vertAlign w:val="subscript"/>
        </w:rPr>
        <w:t>0</w:t>
      </w:r>
      <w:r w:rsidRPr="007B16F5">
        <w:t>)</w:t>
      </w:r>
      <w:r w:rsidRPr="007B16F5">
        <w:rPr>
          <w:vertAlign w:val="subscript"/>
        </w:rPr>
        <w:sym w:font="Symbol" w:char="F0AD"/>
      </w:r>
      <w:r w:rsidRPr="007B16F5">
        <w:t xml:space="preserve"> = 31,3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35,1 dB-Hz (voir ci-dessous):</w:t>
      </w:r>
    </w:p>
    <w:p w:rsidR="00E100B6" w:rsidRPr="007B16F5" w:rsidRDefault="00E100B6" w:rsidP="00E100B6">
      <w:pPr>
        <w:pStyle w:val="Blanc"/>
        <w:rPr>
          <w:lang w:val="fr-FR"/>
        </w:rPr>
      </w:pPr>
    </w:p>
    <w:p w:rsidR="00E100B6" w:rsidRPr="00D842BB" w:rsidRDefault="00E100B6" w:rsidP="00E100B6">
      <w:pPr>
        <w:pStyle w:val="Equation"/>
        <w:rPr>
          <w:vertAlign w:val="superscript"/>
          <w:lang w:val="en-GB"/>
        </w:rPr>
      </w:pPr>
      <w:r w:rsidRPr="007B16F5">
        <w:tab/>
      </w:r>
      <w:r w:rsidRPr="007B16F5">
        <w:tab/>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7B16F5">
        <w:rPr>
          <w:iCs/>
          <w:vertAlign w:val="subscript"/>
        </w:rPr>
        <w:sym w:font="Symbol" w:char="F0AF"/>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vertAlign w:val="superscript"/>
          <w:lang w:val="en-GB"/>
        </w:rPr>
        <w:t>–1</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10 log ((10</w:t>
      </w:r>
      <w:r w:rsidRPr="007B16F5">
        <w:rPr>
          <w:vertAlign w:val="superscript"/>
        </w:rPr>
        <w:t xml:space="preserve">–29,8/10 </w:t>
      </w:r>
      <w:r w:rsidRPr="007B16F5">
        <w:t>–10</w:t>
      </w:r>
      <w:r w:rsidRPr="007B16F5">
        <w:rPr>
          <w:vertAlign w:val="superscript"/>
        </w:rPr>
        <w:t>–31,3/10</w:t>
      </w:r>
      <w:r w:rsidRPr="007B16F5">
        <w:t>)</w:t>
      </w:r>
      <w:r w:rsidRPr="007B16F5">
        <w:rPr>
          <w:vertAlign w:val="superscript"/>
        </w:rPr>
        <w:t>–1</w:t>
      </w:r>
      <w:r w:rsidRPr="007B16F5">
        <w:t>)</w:t>
      </w:r>
    </w:p>
    <w:p w:rsidR="00E100B6" w:rsidRPr="007B16F5" w:rsidRDefault="00E100B6" w:rsidP="00E100B6">
      <w:pPr>
        <w:rPr>
          <w:vertAlign w:val="superscript"/>
        </w:rPr>
      </w:pPr>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35,1 dB-Hz</w:t>
      </w:r>
    </w:p>
    <w:p w:rsidR="009D58A6" w:rsidRPr="007B16F5" w:rsidRDefault="009D58A6" w:rsidP="009D58A6">
      <w:pPr>
        <w:pStyle w:val="Blanc"/>
        <w:rPr>
          <w:lang w:val="fr-FR"/>
        </w:rPr>
      </w:pPr>
    </w:p>
    <w:p w:rsidR="00E100B6" w:rsidRPr="007B16F5" w:rsidRDefault="00E100B6" w:rsidP="00E100B6">
      <w:r w:rsidRPr="007B16F5">
        <w:t>La densité spectrale de la puissance de bruit de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w:t>
      </w:r>
      <w:r w:rsidR="00783AC3">
        <w:rPr>
          <w:i/>
          <w:iCs/>
        </w:rPr>
        <w:t xml:space="preserve"> </w:t>
      </w:r>
      <w:r w:rsidRPr="007B16F5">
        <w:rPr>
          <w:i/>
          <w:iCs/>
        </w:rPr>
        <w:t>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t>= –228,6 + </w:t>
      </w:r>
      <w:r w:rsidRPr="007B16F5">
        <w:t xml:space="preserve">22,2 = –206,4 </w:t>
      </w:r>
      <w:proofErr w:type="gramStart"/>
      <w:r w:rsidRPr="007B16F5">
        <w:t>dB(</w:t>
      </w:r>
      <w:proofErr w:type="gramEnd"/>
      <w:r w:rsidRPr="007B16F5">
        <w:t>W/Hz).</w:t>
      </w:r>
    </w:p>
    <w:p w:rsidR="00E100B6" w:rsidRPr="007B16F5" w:rsidRDefault="00E100B6" w:rsidP="00E100B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43,8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–206,4 </w:t>
      </w:r>
      <w:proofErr w:type="gramStart"/>
      <w:r w:rsidRPr="007B16F5">
        <w:t>dB(</w:t>
      </w:r>
      <w:proofErr w:type="gramEnd"/>
      <w:r w:rsidRPr="007B16F5">
        <w:t xml:space="preserve">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162,6</w:t>
      </w:r>
      <w:r w:rsidRPr="007B16F5">
        <w:rPr>
          <w:i/>
        </w:rPr>
        <w:t xml:space="preserve"> </w:t>
      </w:r>
      <w:r w:rsidRPr="007B16F5">
        <w:t>dBW.</w:t>
      </w:r>
    </w:p>
    <w:p w:rsidR="00E100B6" w:rsidRPr="007B16F5" w:rsidRDefault="00E100B6" w:rsidP="00E100B6">
      <w:r w:rsidRPr="007B16F5">
        <w:t xml:space="preserve">La densité spectrale maximale de la puissance de brouillage admissible pouvant être causé sur la liaison descendante par l'ensemble des émetteurs brouilleurs, </w:t>
      </w:r>
      <w:proofErr w:type="gramStart"/>
      <w:r w:rsidRPr="007B16F5">
        <w:rPr>
          <w:i/>
          <w:iCs/>
        </w:rPr>
        <w:t>I</w:t>
      </w:r>
      <w:r w:rsidRPr="007B16F5">
        <w:rPr>
          <w:vertAlign w:val="subscript"/>
        </w:rPr>
        <w:t>0</w:t>
      </w:r>
      <w:r w:rsidRPr="007B16F5">
        <w:t>(</w:t>
      </w:r>
      <w:proofErr w:type="gramEnd"/>
      <w:r w:rsidRPr="007B16F5">
        <w:t>max), mesurée à l'entrée de l'AFB récepteur du terminal GEOLUT, sur la totalité de la bande 1 544,5 MHz ± 100 kHz, vaut:</w:t>
      </w:r>
    </w:p>
    <w:p w:rsidR="00E100B6" w:rsidRPr="00D842BB" w:rsidRDefault="00E100B6" w:rsidP="00E100B6">
      <w:pPr>
        <w:pStyle w:val="Equation"/>
        <w:rPr>
          <w:lang w:val="en-GB"/>
        </w:rPr>
      </w:pPr>
      <w:r w:rsidRPr="007B16F5">
        <w:tab/>
      </w:r>
      <w:r w:rsidRPr="007B16F5">
        <w:tab/>
      </w:r>
      <w:proofErr w:type="gramStart"/>
      <w:r w:rsidRPr="00D842BB">
        <w:rPr>
          <w:i/>
          <w:iCs/>
          <w:lang w:val="en-GB"/>
        </w:rPr>
        <w:t>I</w:t>
      </w:r>
      <w:r w:rsidRPr="00D842BB">
        <w:rPr>
          <w:vertAlign w:val="subscript"/>
          <w:lang w:val="en-GB"/>
        </w:rPr>
        <w:t>0</w:t>
      </w:r>
      <w:r w:rsidRPr="00D842BB">
        <w:rPr>
          <w:lang w:val="en-GB"/>
        </w:rPr>
        <w:t>(</w:t>
      </w:r>
      <w:proofErr w:type="gramEnd"/>
      <w:r w:rsidRPr="00D842BB">
        <w:rPr>
          <w:lang w:val="en-GB"/>
        </w:rPr>
        <w:t>max) = 10 log (10</w:t>
      </w:r>
      <w:r w:rsidRPr="00D842BB">
        <w:rPr>
          <w:vertAlign w:val="superscript"/>
          <w:lang w:val="en-GB"/>
        </w:rPr>
        <w:t>(</w:t>
      </w:r>
      <w:r w:rsidRPr="00D842BB">
        <w:rPr>
          <w:i/>
          <w:iCs/>
          <w:vertAlign w:val="superscript"/>
          <w:lang w:val="en-GB"/>
        </w:rPr>
        <w:t>C</w:t>
      </w:r>
      <w:r w:rsidRPr="007B16F5">
        <w:rPr>
          <w:vertAlign w:val="superscript"/>
        </w:rPr>
        <w:sym w:font="Symbol" w:char="F0AF"/>
      </w:r>
      <w:r w:rsidRPr="00D842BB">
        <w:rPr>
          <w:vertAlign w:val="superscript"/>
          <w:lang w:val="en-GB"/>
        </w:rPr>
        <w:t>–(</w:t>
      </w:r>
      <w:r w:rsidRPr="00D842BB">
        <w:rPr>
          <w:i/>
          <w:iCs/>
          <w:vertAlign w:val="superscript"/>
          <w:lang w:val="en-GB"/>
        </w:rPr>
        <w:t>C</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 xml:space="preserve"> +</w:t>
      </w:r>
      <w:r w:rsidRPr="00D842BB">
        <w:rPr>
          <w:i/>
          <w:iCs/>
          <w:vertAlign w:val="superscript"/>
          <w:lang w:val="en-GB"/>
        </w:rPr>
        <w:t xml:space="preserve"> I</w:t>
      </w:r>
      <w:r w:rsidRPr="00D842BB">
        <w:rPr>
          <w:sz w:val="20"/>
          <w:vertAlign w:val="superscript"/>
          <w:lang w:val="en-GB"/>
        </w:rPr>
        <w:t>0</w:t>
      </w:r>
      <w:r w:rsidRPr="00D842BB">
        <w:rPr>
          <w:vertAlign w:val="superscript"/>
          <w:lang w:val="en-GB"/>
        </w:rPr>
        <w:t>)</w:t>
      </w:r>
      <w:r w:rsidRPr="007B16F5">
        <w:rPr>
          <w:vertAlign w:val="superscript"/>
        </w:rPr>
        <w:sym w:font="Symbol" w:char="F0AF"/>
      </w:r>
      <w:r w:rsidRPr="00D842BB">
        <w:rPr>
          <w:vertAlign w:val="superscript"/>
          <w:lang w:val="en-GB"/>
        </w:rPr>
        <w:t>))/10</w:t>
      </w:r>
      <w:r w:rsidRPr="00D842BB">
        <w:rPr>
          <w:lang w:val="en-GB"/>
        </w:rPr>
        <w:t>–10</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w:t>
      </w:r>
      <w:r w:rsidRPr="007B16F5">
        <w:rPr>
          <w:vertAlign w:val="superscript"/>
        </w:rPr>
        <w:sym w:font="Symbol" w:char="F0AF"/>
      </w:r>
      <w:r w:rsidRPr="00D842BB">
        <w:rPr>
          <w:vertAlign w:val="superscript"/>
          <w:lang w:val="en-GB"/>
        </w:rPr>
        <w:t>10</w:t>
      </w:r>
      <w:r w:rsidRPr="00D842BB">
        <w:rPr>
          <w:lang w:val="en-GB"/>
        </w:rPr>
        <w:t>)</w:t>
      </w:r>
    </w:p>
    <w:p w:rsidR="00E100B6" w:rsidRPr="007B16F5" w:rsidRDefault="00E100B6" w:rsidP="00D259B9">
      <w:pPr>
        <w:keepNext/>
        <w:keepLines/>
      </w:pPr>
      <w:proofErr w:type="gramStart"/>
      <w:r w:rsidRPr="007B16F5">
        <w:t>soit</w:t>
      </w:r>
      <w:proofErr w:type="gramEnd"/>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10 log (10</w:t>
      </w:r>
      <w:r w:rsidRPr="007B16F5">
        <w:rPr>
          <w:vertAlign w:val="superscript"/>
        </w:rPr>
        <w:t>(–162,6–35,1)/10</w:t>
      </w:r>
      <w:r w:rsidRPr="007B16F5">
        <w:t>–10</w:t>
      </w:r>
      <w:r w:rsidRPr="007B16F5">
        <w:rPr>
          <w:vertAlign w:val="superscript"/>
        </w:rPr>
        <w:t>–206,4/10</w:t>
      </w:r>
      <w:r w:rsidRPr="007B16F5">
        <w:t>)</w:t>
      </w:r>
    </w:p>
    <w:p w:rsidR="00E100B6" w:rsidRPr="007B16F5" w:rsidRDefault="00E100B6" w:rsidP="00E100B6">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–198,3 dB(W/Hz)</w:t>
      </w:r>
    </w:p>
    <w:p w:rsidR="00E100B6" w:rsidRPr="007B16F5" w:rsidRDefault="00E100B6" w:rsidP="00E100B6">
      <w:r w:rsidRPr="007B16F5">
        <w:t xml:space="preserve">Il est souhaitable de décrire les critères de protection en termes de seuil de brouillage spfd exprimé en </w:t>
      </w:r>
      <w:proofErr w:type="gramStart"/>
      <w:r w:rsidRPr="007B16F5">
        <w:t>dB(</w:t>
      </w:r>
      <w:proofErr w:type="gramEnd"/>
      <w:r w:rsidRPr="007B16F5">
        <w:t>W/(m</w:t>
      </w:r>
      <w:r w:rsidRPr="007B16F5">
        <w:rPr>
          <w:vertAlign w:val="superscript"/>
        </w:rPr>
        <w:t xml:space="preserve">2 </w:t>
      </w:r>
      <w:r w:rsidRPr="007B16F5">
        <w:t xml:space="preserve">∙ Hz)) à l'entrée de l'antenne du terminal GEOLUT.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w:t>
      </w:r>
      <w:r w:rsidRPr="007B16F5">
        <w:rPr>
          <w:i/>
        </w:rPr>
        <w:t>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L'antenne du terminal GEOLUT a un gain de 33,3 dB, de sorte que l'ouverture effective est de 6,42 m</w:t>
      </w:r>
      <w:r w:rsidRPr="007B16F5">
        <w:rPr>
          <w:vertAlign w:val="superscript"/>
        </w:rPr>
        <w:t>2</w:t>
      </w:r>
      <w:r w:rsidRPr="007B16F5">
        <w:t>. Le brouillage maximum cumulatif acceptable exprimé en termes de spfd vaut:</w:t>
      </w:r>
    </w:p>
    <w:p w:rsidR="00E100B6" w:rsidRPr="007B16F5" w:rsidRDefault="00E100B6" w:rsidP="00E100B6">
      <w:pPr>
        <w:pStyle w:val="Equation"/>
        <w:rPr>
          <w:vertAlign w:val="subscript"/>
        </w:rPr>
      </w:pPr>
      <w:r w:rsidRPr="007B16F5">
        <w:tab/>
      </w:r>
      <w:r w:rsidRPr="007B16F5">
        <w:tab/>
        <w:t xml:space="preserve">spfd = </w:t>
      </w:r>
      <w:proofErr w:type="gramStart"/>
      <w:r w:rsidRPr="007B16F5">
        <w:rPr>
          <w:i/>
          <w:iCs/>
        </w:rPr>
        <w:t>I</w:t>
      </w:r>
      <w:r w:rsidRPr="007B16F5">
        <w:rPr>
          <w:vertAlign w:val="subscript"/>
        </w:rPr>
        <w:t>0</w:t>
      </w:r>
      <w:r w:rsidRPr="007B16F5">
        <w:t>(</w:t>
      </w:r>
      <w:proofErr w:type="gramEnd"/>
      <w:r w:rsidRPr="007B16F5">
        <w:t xml:space="preserve">max) – </w:t>
      </w:r>
      <w:r w:rsidRPr="007B16F5">
        <w:rPr>
          <w:i/>
          <w:iCs/>
        </w:rPr>
        <w:t>L</w:t>
      </w:r>
      <w:r w:rsidRPr="007B16F5">
        <w:rPr>
          <w:i/>
          <w:iCs/>
          <w:vertAlign w:val="subscript"/>
        </w:rPr>
        <w:t>Ligne</w:t>
      </w:r>
      <w:r w:rsidRPr="007B16F5">
        <w:t xml:space="preserve"> – </w:t>
      </w:r>
      <w:r w:rsidRPr="007B16F5">
        <w:rPr>
          <w:i/>
          <w:iCs/>
        </w:rPr>
        <w:t>A</w:t>
      </w:r>
      <w:r w:rsidRPr="007B16F5">
        <w:rPr>
          <w:i/>
          <w:iCs/>
          <w:vertAlign w:val="subscript"/>
        </w:rPr>
        <w:t>e</w:t>
      </w:r>
    </w:p>
    <w:p w:rsidR="00E100B6" w:rsidRPr="007B16F5" w:rsidRDefault="00E100B6" w:rsidP="00E100B6">
      <w:r w:rsidRPr="007B16F5">
        <w:lastRenderedPageBreak/>
        <w:t xml:space="preserve">En supposant </w:t>
      </w:r>
      <w:r w:rsidRPr="007B16F5">
        <w:rPr>
          <w:i/>
          <w:iCs/>
        </w:rPr>
        <w:t>L</w:t>
      </w:r>
      <w:r w:rsidRPr="007B16F5">
        <w:rPr>
          <w:i/>
          <w:iCs/>
          <w:vertAlign w:val="subscript"/>
        </w:rPr>
        <w:t>Ligne</w:t>
      </w:r>
      <w:r w:rsidRPr="007B16F5">
        <w:t xml:space="preserve"> = 0</w:t>
      </w:r>
    </w:p>
    <w:p w:rsidR="00E100B6" w:rsidRPr="007B16F5" w:rsidRDefault="00E100B6" w:rsidP="00E100B6">
      <w:pPr>
        <w:pStyle w:val="Equation"/>
      </w:pPr>
      <w:r w:rsidRPr="007B16F5">
        <w:tab/>
      </w:r>
      <w:r w:rsidRPr="007B16F5">
        <w:tab/>
      </w:r>
      <w:proofErr w:type="gramStart"/>
      <w:r w:rsidRPr="007B16F5">
        <w:t>spfd</w:t>
      </w:r>
      <w:proofErr w:type="gramEnd"/>
      <w:r w:rsidRPr="007B16F5">
        <w:t xml:space="preserve"> = –198,3</w:t>
      </w:r>
      <w:r w:rsidRPr="007B16F5">
        <w:rPr>
          <w:i/>
        </w:rPr>
        <w:t xml:space="preserve"> </w:t>
      </w:r>
      <w:r w:rsidRPr="007B16F5">
        <w:t xml:space="preserve">– 0 – 10 log (6,42) </w:t>
      </w:r>
    </w:p>
    <w:p w:rsidR="00E100B6" w:rsidRPr="007B16F5" w:rsidRDefault="00E100B6" w:rsidP="00E100B6">
      <w:pPr>
        <w:pStyle w:val="Equation"/>
      </w:pPr>
      <w:r w:rsidRPr="007B16F5">
        <w:tab/>
      </w:r>
      <w:r w:rsidRPr="007B16F5">
        <w:tab/>
        <w:t xml:space="preserve">   </w:t>
      </w:r>
      <w:r>
        <w:t xml:space="preserve">  </w:t>
      </w:r>
      <w:r w:rsidRPr="007B16F5">
        <w:t xml:space="preserve">= –206,4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r w:rsidRPr="007B16F5">
        <w:t xml:space="preserve">Le niveau maximum du brouillage à caractère de bruit large bande dans le canal du terminal GEOLUT à 1 544,5 MHz </w:t>
      </w:r>
      <w:r w:rsidRPr="007B16F5">
        <w:sym w:font="Symbol" w:char="F0B1"/>
      </w:r>
      <w:r w:rsidRPr="007B16F5">
        <w:t xml:space="preserve"> 100 kHz ne doit pas excéder –206,4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pPr>
        <w:pStyle w:val="Heading2"/>
      </w:pPr>
      <w:r w:rsidRPr="007B16F5">
        <w:t>1.4</w:t>
      </w:r>
      <w:r w:rsidRPr="007B16F5">
        <w:tab/>
        <w:t>Procédure pour calculer le niveau de brouillage causé à la liaison descendante du canal SARR sur 406 MHz d'un satellite GOES</w:t>
      </w:r>
    </w:p>
    <w:p w:rsidR="00E100B6" w:rsidRPr="007B16F5" w:rsidRDefault="00E100B6" w:rsidP="00E100B6">
      <w:r w:rsidRPr="007B16F5">
        <w:t>Les brouillages causés au système Cospas-Sarsat proviennent le plus souvent de rayonnements hors bande émis par des services dans les bandes adjacentes ou presque, par exemple les attributions faites au SMS dans le sens espace vers Terre.</w:t>
      </w:r>
    </w:p>
    <w:p w:rsidR="00E100B6" w:rsidRPr="007B16F5" w:rsidRDefault="00E100B6" w:rsidP="00E100B6">
      <w:r w:rsidRPr="007B16F5">
        <w:t xml:space="preserve">Il convient d'examiner la largeur de bande à l'émission pour déterminer si l'énergie est émise dans la gamme de fréquences 1 544,5 MHz </w:t>
      </w:r>
      <w:r w:rsidRPr="007B16F5">
        <w:sym w:font="Symbol" w:char="F0B1"/>
      </w:r>
      <w:r w:rsidRPr="007B16F5">
        <w:t xml:space="preserve"> 100 kHz, en faisant particulièrement attention, en analysant l'incidence des systèmes mobiles (par exemple, satellites non géostationnaires et émetteurs embarqués), de tenir compte des effets du décalage Doppler qu'ils génèrent par leur déplacement.</w:t>
      </w:r>
    </w:p>
    <w:p w:rsidR="00E100B6" w:rsidRPr="007B16F5" w:rsidRDefault="00E100B6" w:rsidP="00E100B6">
      <w:r w:rsidRPr="007B16F5">
        <w:t>On calculera le niveau de brouillage provenant de toutes les sources qui émettent de l'énergie dans la bande, exprimée en termes de spfd au niveau de l'antenne du terminal GEOLUT. Le niveau cumulatif de toutes les sources de brouillage ne doit pas excéder –206,4 </w:t>
      </w:r>
      <w:proofErr w:type="gramStart"/>
      <w:r w:rsidRPr="007B16F5">
        <w:t>dB(</w:t>
      </w:r>
      <w:proofErr w:type="gramEnd"/>
      <w:r w:rsidRPr="007B16F5">
        <w:t>W/(m</w:t>
      </w:r>
      <w:r w:rsidRPr="007B16F5">
        <w:rPr>
          <w:vertAlign w:val="superscript"/>
        </w:rPr>
        <w:t xml:space="preserve">2 </w:t>
      </w:r>
      <w:r w:rsidRPr="007B16F5">
        <w:t>∙ Hz)) où que ce soit dans cette gamme.</w:t>
      </w:r>
    </w:p>
    <w:p w:rsidR="00E100B6" w:rsidRPr="007B16F5" w:rsidRDefault="00E100B6" w:rsidP="00E100B6">
      <w:r w:rsidRPr="007B16F5">
        <w:t>Le niveau ci</w:t>
      </w:r>
      <w:r w:rsidRPr="007B16F5">
        <w:noBreakHyphen/>
        <w:t>dessus se fonde sur un gain sur axe d'antenne du terminal GEOLUT de 33,3 dBi. Selon les systèmes, il faudrait pour établir l'incidence du brouillage tenir compte des considérations de discrimination d'antenne, de polarisation, etc.</w:t>
      </w:r>
    </w:p>
    <w:p w:rsidR="00E100B6" w:rsidRPr="007B16F5" w:rsidRDefault="00E100B6" w:rsidP="00E100B6"/>
    <w:p w:rsidR="00E100B6" w:rsidRDefault="00E100B6" w:rsidP="00E100B6"/>
    <w:p w:rsidR="00540BFB" w:rsidRDefault="00540BFB" w:rsidP="00E100B6"/>
    <w:p w:rsidR="00540BFB" w:rsidRPr="007B16F5" w:rsidRDefault="00540BFB" w:rsidP="00E100B6"/>
    <w:p w:rsidR="00E100B6" w:rsidRPr="007B16F5" w:rsidRDefault="00E100B6" w:rsidP="00E100B6">
      <w:pPr>
        <w:pStyle w:val="AnnexNoTitle"/>
      </w:pPr>
      <w:r w:rsidRPr="007B16F5">
        <w:t>Annexe 2</w:t>
      </w:r>
      <w:r w:rsidRPr="007B16F5">
        <w:br/>
      </w:r>
      <w:r w:rsidRPr="007B16F5">
        <w:br/>
        <w:t>Critères de protection vis</w:t>
      </w:r>
      <w:r w:rsidRPr="007B16F5">
        <w:noBreakHyphen/>
        <w:t>à</w:t>
      </w:r>
      <w:r w:rsidRPr="007B16F5">
        <w:noBreakHyphen/>
        <w:t>vis des brouillages dans la bande 1 544</w:t>
      </w:r>
      <w:r w:rsidRPr="007B16F5">
        <w:noBreakHyphen/>
        <w:t>1 545 MHz des terminaux LEOLUT recevant des données traitées à 2,4 kbit/s</w:t>
      </w:r>
      <w:r w:rsidRPr="007B16F5">
        <w:br/>
        <w:t xml:space="preserve">des SARP des satellites Cospas et Sarsat </w:t>
      </w:r>
    </w:p>
    <w:p w:rsidR="00E100B6" w:rsidRPr="007B16F5" w:rsidRDefault="00E100B6" w:rsidP="00E100B6">
      <w:pPr>
        <w:pStyle w:val="Heading1"/>
      </w:pPr>
      <w:r w:rsidRPr="007B16F5">
        <w:t>1</w:t>
      </w:r>
      <w:r w:rsidRPr="007B16F5">
        <w:tab/>
        <w:t>Généralités</w:t>
      </w:r>
    </w:p>
    <w:p w:rsidR="00E100B6" w:rsidRPr="007B16F5" w:rsidRDefault="00E100B6" w:rsidP="00E100B6">
      <w:r w:rsidRPr="007B16F5">
        <w:t>Le canal à 2,4 kbit/s des processeurs SARP des satellites Cospas e</w:t>
      </w:r>
      <w:r>
        <w:t>t Sarsat se situe à 1 544,5 MHz </w:t>
      </w:r>
      <w:r w:rsidRPr="007B16F5">
        <w:sym w:font="Symbol" w:char="F0B1"/>
      </w:r>
      <w:r>
        <w:t> </w:t>
      </w:r>
      <w:r w:rsidRPr="007B16F5">
        <w:t>5 kHz sur les liaisons descendantes des char</w:t>
      </w:r>
      <w:r>
        <w:t>ges utiles du système LEOSAR. A </w:t>
      </w:r>
      <w:r w:rsidRPr="007B16F5">
        <w:t xml:space="preserve">cause de l'étalement des fréquences causé par le processus de modulation et du décalage Doppler provoqué par le déplacement du satellite, ce canal est reçu au niveau des terminaux LEOLUT sur une gamme de fréquences de 1 544,5 MHz </w:t>
      </w:r>
      <w:r w:rsidRPr="007B16F5">
        <w:sym w:font="Symbol" w:char="F0B1"/>
      </w:r>
      <w:r w:rsidRPr="007B16F5">
        <w:t xml:space="preserve"> 50 kHz. </w:t>
      </w:r>
    </w:p>
    <w:p w:rsidR="00E100B6" w:rsidRPr="007B16F5" w:rsidRDefault="00E100B6" w:rsidP="00E100B6">
      <w:r w:rsidRPr="007B16F5">
        <w:t>Le Tableau 1 détermine les budgets de puissance recommandés sur les liaisons descendantes pour les canaux SARP des satellites Cospas et Sarsat qui ont été mis au point pour aider les administrations à concevoir les terminaux LEOLUT en vue de leur utilisation dans le système Cospas</w:t>
      </w:r>
      <w:r w:rsidRPr="007B16F5">
        <w:noBreakHyphen/>
        <w:t xml:space="preserve">Sarsat. Le budget des liaisons montre que le canal SARP des satellites Cospas dispose d'une </w:t>
      </w:r>
      <w:r w:rsidRPr="007B16F5">
        <w:lastRenderedPageBreak/>
        <w:t>liaison de télécommunication plus robuste que celle du service SARP des satellites Sarsat; par conséquent, les critères de protection destinés au canal SARP des satellites Sarsat suffiraient également pour le service SARP des satellites Cospas.</w:t>
      </w:r>
    </w:p>
    <w:p w:rsidR="00E100B6" w:rsidRPr="007B16F5" w:rsidRDefault="00E100B6" w:rsidP="00E100B6">
      <w:pPr>
        <w:pStyle w:val="Heading1"/>
      </w:pPr>
      <w:r w:rsidRPr="007B16F5">
        <w:t>2</w:t>
      </w:r>
      <w:r w:rsidRPr="007B16F5">
        <w:tab/>
        <w:t xml:space="preserve">Qualité de fonctionnement minimale acceptable pour les données PDS à 2,4 kbit/s dans le canal SARP </w:t>
      </w:r>
    </w:p>
    <w:p w:rsidR="00E100B6" w:rsidRPr="007B16F5" w:rsidRDefault="00E100B6" w:rsidP="00E100B6">
      <w:r w:rsidRPr="007B16F5">
        <w:t>Pour pouvoir détecter et localiser précisément les radiobalises de détresse sur 406 MHz, le TEB de la liaison descendante du canal SARP ne doit pas excéder 1 × 10</w:t>
      </w:r>
      <w:r w:rsidRPr="007B16F5">
        <w:rPr>
          <w:vertAlign w:val="superscript"/>
        </w:rPr>
        <w:t>–6</w:t>
      </w:r>
      <w:r w:rsidRPr="007B16F5">
        <w:t xml:space="preserve"> (voir le Tableau 1).</w:t>
      </w:r>
    </w:p>
    <w:p w:rsidR="00E100B6" w:rsidRPr="007B16F5" w:rsidRDefault="00E100B6" w:rsidP="00E100B6">
      <w:pPr>
        <w:pStyle w:val="Heading1"/>
      </w:pPr>
      <w:r w:rsidRPr="007B16F5">
        <w:t>3</w:t>
      </w:r>
      <w:r w:rsidRPr="007B16F5">
        <w:tab/>
        <w:t>Analyse de la spfd qui est la cause du brouillage</w:t>
      </w:r>
    </w:p>
    <w:p w:rsidR="00E100B6" w:rsidRPr="007B16F5" w:rsidRDefault="00E100B6" w:rsidP="00E100B6">
      <w:r w:rsidRPr="007B16F5">
        <w:t xml:space="preserve">Le TEB d'un canal de télécommunication est égal à l'énergie contenue dans chaque bit de données, </w:t>
      </w:r>
      <w:r w:rsidRPr="007B16F5">
        <w:rPr>
          <w:i/>
          <w:iCs/>
        </w:rPr>
        <w:t>E</w:t>
      </w:r>
      <w:r w:rsidRPr="007B16F5">
        <w:rPr>
          <w:i/>
          <w:iCs/>
          <w:vertAlign w:val="subscript"/>
        </w:rPr>
        <w:t>b</w:t>
      </w:r>
      <w:r w:rsidRPr="007B16F5">
        <w:t xml:space="preserve">, rapportée à la densité de bruit. La densité de bruit totale est la somme du bruit provoqué par l'équipement Cospas-Sarsat,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w:t>
      </w:r>
    </w:p>
    <w:p w:rsidR="00E100B6" w:rsidRDefault="00E100B6" w:rsidP="00E100B6">
      <w:r w:rsidRPr="007B16F5">
        <w:t>La présente analyse permettra d'établir le niveau de brouillage, exprimé en termes de spfd au niveau de l'antenne du terminal LEOLUT, qui dégraderait le TEB de la liaison descendante du canal SARP d'une seule erreur sur les bits pour chaque million (1 × 10</w:t>
      </w:r>
      <w:r w:rsidRPr="007B16F5">
        <w:rPr>
          <w:vertAlign w:val="superscript"/>
        </w:rPr>
        <w:t>–6</w:t>
      </w:r>
      <w:r w:rsidRPr="007B16F5">
        <w:t>).</w:t>
      </w:r>
    </w:p>
    <w:p w:rsidR="00A47EFA" w:rsidRPr="007B16F5" w:rsidRDefault="00A47EFA" w:rsidP="00E100B6"/>
    <w:p w:rsidR="00E100B6" w:rsidRPr="007B16F5" w:rsidRDefault="00E100B6" w:rsidP="00540BFB">
      <w:pPr>
        <w:pStyle w:val="TableNo"/>
      </w:pPr>
      <w:r w:rsidRPr="007B16F5">
        <w:t>TABLEAU 1</w:t>
      </w:r>
    </w:p>
    <w:p w:rsidR="00E100B6" w:rsidRPr="007B16F5" w:rsidRDefault="00E100B6" w:rsidP="00D259B9">
      <w:pPr>
        <w:pStyle w:val="Tabletitle"/>
        <w:keepLines/>
      </w:pPr>
      <w:r w:rsidRPr="007B16F5">
        <w:t xml:space="preserve">Paramètres retenus pour le budget de puissance sur la liaison descendante pour le </w:t>
      </w:r>
      <w:r w:rsidRPr="007B16F5">
        <w:br/>
        <w:t>PDS du SARP des satellites Cospas et Sarsat</w:t>
      </w:r>
    </w:p>
    <w:tbl>
      <w:tblPr>
        <w:tblW w:w="9453" w:type="dxa"/>
        <w:jc w:val="center"/>
        <w:tblInd w:w="-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4"/>
        <w:gridCol w:w="1180"/>
        <w:gridCol w:w="1353"/>
        <w:gridCol w:w="2886"/>
      </w:tblGrid>
      <w:tr w:rsidR="00CD2625" w:rsidRPr="007B16F5" w:rsidTr="0024017F">
        <w:trPr>
          <w:tblHeader/>
          <w:jc w:val="center"/>
        </w:trPr>
        <w:tc>
          <w:tcPr>
            <w:tcW w:w="4034" w:type="dxa"/>
            <w:vAlign w:val="center"/>
          </w:tcPr>
          <w:p w:rsidR="00CD2625" w:rsidRPr="007B16F5" w:rsidRDefault="00CD2625" w:rsidP="00C5340E">
            <w:pPr>
              <w:pStyle w:val="Tablehead"/>
              <w:keepLines/>
            </w:pPr>
            <w:r w:rsidRPr="007B16F5">
              <w:t>Paramètre</w:t>
            </w:r>
          </w:p>
        </w:tc>
        <w:tc>
          <w:tcPr>
            <w:tcW w:w="1180" w:type="dxa"/>
            <w:vAlign w:val="center"/>
          </w:tcPr>
          <w:p w:rsidR="00CD2625" w:rsidRPr="007B16F5" w:rsidRDefault="00CD2625" w:rsidP="00C5340E">
            <w:pPr>
              <w:pStyle w:val="Tablehead"/>
              <w:keepLines/>
            </w:pPr>
            <w:r w:rsidRPr="007B16F5">
              <w:t>Cospas nominal</w:t>
            </w:r>
          </w:p>
        </w:tc>
        <w:tc>
          <w:tcPr>
            <w:tcW w:w="1353" w:type="dxa"/>
            <w:vAlign w:val="center"/>
          </w:tcPr>
          <w:p w:rsidR="00CD2625" w:rsidRPr="007B16F5" w:rsidRDefault="00CD2625" w:rsidP="00C5340E">
            <w:pPr>
              <w:pStyle w:val="Tablehead"/>
              <w:keepLines/>
            </w:pPr>
            <w:r w:rsidRPr="007B16F5">
              <w:t>Sarsat</w:t>
            </w:r>
            <w:r w:rsidRPr="007B16F5">
              <w:br/>
              <w:t>nominal</w:t>
            </w:r>
          </w:p>
        </w:tc>
        <w:tc>
          <w:tcPr>
            <w:tcW w:w="2886" w:type="dxa"/>
            <w:vAlign w:val="center"/>
          </w:tcPr>
          <w:p w:rsidR="00CD2625" w:rsidRPr="007B16F5" w:rsidRDefault="00CD2625" w:rsidP="00C5340E">
            <w:pPr>
              <w:pStyle w:val="Tablehead"/>
              <w:keepLines/>
            </w:pPr>
            <w:r w:rsidRPr="007B16F5">
              <w:t>Source</w:t>
            </w:r>
          </w:p>
        </w:tc>
      </w:tr>
      <w:tr w:rsidR="00CD2625" w:rsidRPr="007B16F5" w:rsidTr="0024017F">
        <w:trPr>
          <w:jc w:val="center"/>
        </w:trPr>
        <w:tc>
          <w:tcPr>
            <w:tcW w:w="4034" w:type="dxa"/>
          </w:tcPr>
          <w:p w:rsidR="00CD2625" w:rsidRPr="007B16F5" w:rsidRDefault="00CD2625" w:rsidP="00D259B9">
            <w:pPr>
              <w:pStyle w:val="Tabletext"/>
              <w:keepNext/>
              <w:keepLines/>
              <w:jc w:val="left"/>
            </w:pPr>
            <w:r w:rsidRPr="007B16F5">
              <w:t>Fréquence porteuse</w:t>
            </w:r>
            <w:r>
              <w:t xml:space="preserve"> (MHz)</w:t>
            </w:r>
          </w:p>
        </w:tc>
        <w:tc>
          <w:tcPr>
            <w:tcW w:w="1180" w:type="dxa"/>
          </w:tcPr>
          <w:p w:rsidR="00CD2625" w:rsidRPr="007B16F5" w:rsidRDefault="00CD2625" w:rsidP="00F50991">
            <w:pPr>
              <w:pStyle w:val="Tabletext"/>
              <w:keepNext/>
              <w:keepLines/>
              <w:jc w:val="center"/>
            </w:pPr>
            <w:r w:rsidRPr="007B16F5">
              <w:t>1 544,5</w:t>
            </w:r>
          </w:p>
        </w:tc>
        <w:tc>
          <w:tcPr>
            <w:tcW w:w="1353" w:type="dxa"/>
          </w:tcPr>
          <w:p w:rsidR="00CD2625" w:rsidRPr="007B16F5" w:rsidRDefault="00CD2625" w:rsidP="00F50991">
            <w:pPr>
              <w:pStyle w:val="Tabletext"/>
              <w:keepNext/>
              <w:keepLines/>
              <w:jc w:val="center"/>
            </w:pPr>
            <w:r w:rsidRPr="007B16F5">
              <w:t>1 544,5</w:t>
            </w:r>
          </w:p>
        </w:tc>
        <w:tc>
          <w:tcPr>
            <w:tcW w:w="2886" w:type="dxa"/>
          </w:tcPr>
          <w:p w:rsidR="00CD2625" w:rsidRPr="007B16F5" w:rsidRDefault="00CD2625" w:rsidP="00D259B9">
            <w:pPr>
              <w:pStyle w:val="Tabletext"/>
              <w:keepNext/>
              <w:keepLines/>
            </w:pPr>
          </w:p>
        </w:tc>
      </w:tr>
      <w:tr w:rsidR="00CD2625" w:rsidRPr="007B16F5" w:rsidTr="0024017F">
        <w:trPr>
          <w:jc w:val="center"/>
        </w:trPr>
        <w:tc>
          <w:tcPr>
            <w:tcW w:w="4034" w:type="dxa"/>
          </w:tcPr>
          <w:p w:rsidR="00CD2625" w:rsidRPr="007B16F5" w:rsidRDefault="00CD2625" w:rsidP="00D259B9">
            <w:pPr>
              <w:pStyle w:val="Tabletext"/>
              <w:keepNext/>
              <w:keepLines/>
              <w:jc w:val="left"/>
            </w:pPr>
            <w:r w:rsidRPr="007B16F5">
              <w:t>Polarisation (circulaire gauche)</w:t>
            </w:r>
          </w:p>
        </w:tc>
        <w:tc>
          <w:tcPr>
            <w:tcW w:w="1180" w:type="dxa"/>
          </w:tcPr>
          <w:p w:rsidR="00CD2625" w:rsidRPr="007B16F5" w:rsidRDefault="00CD2625" w:rsidP="00F50991">
            <w:pPr>
              <w:pStyle w:val="Tabletext"/>
              <w:keepNext/>
              <w:keepLines/>
              <w:jc w:val="center"/>
            </w:pPr>
            <w:r w:rsidRPr="007B16F5">
              <w:t>LHCP</w:t>
            </w:r>
          </w:p>
        </w:tc>
        <w:tc>
          <w:tcPr>
            <w:tcW w:w="1353" w:type="dxa"/>
          </w:tcPr>
          <w:p w:rsidR="00CD2625" w:rsidRPr="007B16F5" w:rsidRDefault="00CD2625" w:rsidP="00F50991">
            <w:pPr>
              <w:pStyle w:val="Tabletext"/>
              <w:keepNext/>
              <w:keepLines/>
              <w:jc w:val="center"/>
            </w:pPr>
            <w:r w:rsidRPr="007B16F5">
              <w:t>LHCP</w:t>
            </w:r>
          </w:p>
        </w:tc>
        <w:tc>
          <w:tcPr>
            <w:tcW w:w="2886" w:type="dxa"/>
          </w:tcPr>
          <w:p w:rsidR="00CD2625" w:rsidRPr="007B16F5" w:rsidRDefault="00CD2625" w:rsidP="00D259B9">
            <w:pPr>
              <w:pStyle w:val="Tabletext"/>
              <w:keepNext/>
              <w:keepLines/>
            </w:pPr>
          </w:p>
        </w:tc>
      </w:tr>
      <w:tr w:rsidR="00F50991" w:rsidRPr="007B16F5" w:rsidTr="0024017F">
        <w:trPr>
          <w:jc w:val="center"/>
        </w:trPr>
        <w:tc>
          <w:tcPr>
            <w:tcW w:w="4034" w:type="dxa"/>
          </w:tcPr>
          <w:p w:rsidR="00F50991" w:rsidRPr="007B16F5" w:rsidRDefault="00F50991" w:rsidP="00D259B9">
            <w:pPr>
              <w:pStyle w:val="Tabletext"/>
              <w:keepNext/>
              <w:keepLines/>
              <w:jc w:val="left"/>
            </w:pPr>
            <w:r w:rsidRPr="007B16F5">
              <w:t>Angle d'élévation</w:t>
            </w:r>
            <w:r>
              <w:t xml:space="preserve"> </w:t>
            </w:r>
            <w:r w:rsidRPr="007B16F5">
              <w:t>(degrés)</w:t>
            </w:r>
          </w:p>
        </w:tc>
        <w:tc>
          <w:tcPr>
            <w:tcW w:w="2533" w:type="dxa"/>
            <w:gridSpan w:val="2"/>
          </w:tcPr>
          <w:p w:rsidR="00F50991" w:rsidRPr="007B16F5" w:rsidRDefault="00F50991" w:rsidP="00F50991">
            <w:pPr>
              <w:pStyle w:val="Tabletext"/>
              <w:keepNext/>
              <w:keepLines/>
              <w:jc w:val="center"/>
            </w:pPr>
            <w:r w:rsidRPr="007B16F5">
              <w:t>5</w:t>
            </w:r>
          </w:p>
        </w:tc>
        <w:tc>
          <w:tcPr>
            <w:tcW w:w="2886" w:type="dxa"/>
          </w:tcPr>
          <w:p w:rsidR="00F50991" w:rsidRPr="007B16F5" w:rsidRDefault="00F50991" w:rsidP="00D259B9">
            <w:pPr>
              <w:pStyle w:val="Tabletext"/>
              <w:keepNext/>
              <w:keepLines/>
            </w:pPr>
          </w:p>
        </w:tc>
      </w:tr>
      <w:tr w:rsidR="00CD2625" w:rsidRPr="007B16F5" w:rsidTr="0024017F">
        <w:trPr>
          <w:jc w:val="center"/>
        </w:trPr>
        <w:tc>
          <w:tcPr>
            <w:tcW w:w="4034" w:type="dxa"/>
          </w:tcPr>
          <w:p w:rsidR="00CD2625" w:rsidRPr="007B16F5" w:rsidRDefault="00CD2625" w:rsidP="00D259B9">
            <w:pPr>
              <w:pStyle w:val="Tabletext"/>
              <w:keepNext/>
              <w:keepLines/>
              <w:jc w:val="left"/>
            </w:pPr>
            <w:r w:rsidRPr="007B16F5">
              <w:t>Altitude du satellite</w:t>
            </w:r>
            <w:r>
              <w:t xml:space="preserve"> </w:t>
            </w:r>
            <w:r w:rsidRPr="007B16F5">
              <w:t>(km)</w:t>
            </w:r>
          </w:p>
        </w:tc>
        <w:tc>
          <w:tcPr>
            <w:tcW w:w="1180" w:type="dxa"/>
          </w:tcPr>
          <w:p w:rsidR="00CD2625" w:rsidRPr="007B16F5" w:rsidRDefault="00CD2625" w:rsidP="00F50991">
            <w:pPr>
              <w:pStyle w:val="Tabletext"/>
              <w:keepNext/>
              <w:keepLines/>
              <w:jc w:val="center"/>
            </w:pPr>
            <w:r w:rsidRPr="007B16F5">
              <w:t>1 000</w:t>
            </w:r>
          </w:p>
        </w:tc>
        <w:tc>
          <w:tcPr>
            <w:tcW w:w="1353" w:type="dxa"/>
          </w:tcPr>
          <w:p w:rsidR="00CD2625" w:rsidRPr="007B16F5" w:rsidRDefault="00CD2625" w:rsidP="00F50991">
            <w:pPr>
              <w:pStyle w:val="Tabletext"/>
              <w:keepNext/>
              <w:keepLines/>
              <w:jc w:val="center"/>
            </w:pPr>
            <w:r w:rsidRPr="007B16F5">
              <w:t>850</w:t>
            </w:r>
          </w:p>
        </w:tc>
        <w:tc>
          <w:tcPr>
            <w:tcW w:w="2886" w:type="dxa"/>
          </w:tcPr>
          <w:p w:rsidR="00CD2625" w:rsidRPr="007B16F5" w:rsidRDefault="00CD2625" w:rsidP="00D259B9">
            <w:pPr>
              <w:pStyle w:val="Tabletext"/>
              <w:keepNext/>
              <w:keepLines/>
            </w:pPr>
          </w:p>
        </w:tc>
      </w:tr>
      <w:tr w:rsidR="00CD2625" w:rsidRPr="007B16F5" w:rsidTr="0024017F">
        <w:trPr>
          <w:jc w:val="center"/>
        </w:trPr>
        <w:tc>
          <w:tcPr>
            <w:tcW w:w="4034" w:type="dxa"/>
          </w:tcPr>
          <w:p w:rsidR="00CD2625" w:rsidRPr="0040367A" w:rsidRDefault="00CD2625" w:rsidP="00D259B9">
            <w:pPr>
              <w:pStyle w:val="Tabletext"/>
              <w:keepNext/>
              <w:keepLines/>
              <w:jc w:val="left"/>
            </w:pPr>
            <w:r w:rsidRPr="007B16F5">
              <w:t>p.i.r.e. du satellite</w:t>
            </w:r>
            <w:r w:rsidRPr="007B16F5">
              <w:rPr>
                <w:vertAlign w:val="superscript"/>
              </w:rPr>
              <w:t>(1)</w:t>
            </w:r>
            <w:r>
              <w:rPr>
                <w:vertAlign w:val="superscript"/>
              </w:rPr>
              <w:t xml:space="preserve"> </w:t>
            </w:r>
            <w:r w:rsidRPr="007B16F5">
              <w:t>(dBW)</w:t>
            </w:r>
          </w:p>
        </w:tc>
        <w:tc>
          <w:tcPr>
            <w:tcW w:w="1180" w:type="dxa"/>
          </w:tcPr>
          <w:p w:rsidR="00CD2625" w:rsidRPr="007B16F5" w:rsidRDefault="00CD2625" w:rsidP="00F50991">
            <w:pPr>
              <w:pStyle w:val="Tabletext"/>
              <w:keepNext/>
              <w:keepLines/>
              <w:jc w:val="center"/>
            </w:pPr>
            <w:r w:rsidRPr="007B16F5">
              <w:t>6,2</w:t>
            </w:r>
          </w:p>
        </w:tc>
        <w:tc>
          <w:tcPr>
            <w:tcW w:w="1353" w:type="dxa"/>
          </w:tcPr>
          <w:p w:rsidR="00CD2625" w:rsidRPr="007B16F5" w:rsidRDefault="00CD2625" w:rsidP="00F50991">
            <w:pPr>
              <w:pStyle w:val="Tabletext"/>
              <w:keepNext/>
              <w:keepLines/>
              <w:jc w:val="center"/>
            </w:pPr>
            <w:r w:rsidRPr="007B16F5">
              <w:t>7,1</w:t>
            </w:r>
          </w:p>
        </w:tc>
        <w:tc>
          <w:tcPr>
            <w:tcW w:w="2886" w:type="dxa"/>
          </w:tcPr>
          <w:p w:rsidR="00CD2625" w:rsidRPr="007B16F5" w:rsidRDefault="00CD2625" w:rsidP="00D259B9">
            <w:pPr>
              <w:pStyle w:val="Tabletext"/>
              <w:keepNext/>
              <w:keepLines/>
            </w:pPr>
          </w:p>
        </w:tc>
      </w:tr>
      <w:tr w:rsidR="00CD2625" w:rsidRPr="007B16F5" w:rsidTr="0024017F">
        <w:trPr>
          <w:jc w:val="center"/>
        </w:trPr>
        <w:tc>
          <w:tcPr>
            <w:tcW w:w="4034" w:type="dxa"/>
          </w:tcPr>
          <w:p w:rsidR="00CD2625" w:rsidRPr="007B16F5" w:rsidRDefault="00CD2625" w:rsidP="009D58A6">
            <w:pPr>
              <w:pStyle w:val="Tabletext"/>
              <w:jc w:val="left"/>
            </w:pPr>
            <w:r w:rsidRPr="007B16F5">
              <w:t>Distance oblique @ 5°</w:t>
            </w:r>
            <w:r>
              <w:t xml:space="preserve"> </w:t>
            </w:r>
            <w:r w:rsidRPr="007B16F5">
              <w:t>(km)</w:t>
            </w:r>
          </w:p>
        </w:tc>
        <w:tc>
          <w:tcPr>
            <w:tcW w:w="1180" w:type="dxa"/>
          </w:tcPr>
          <w:p w:rsidR="00CD2625" w:rsidRPr="007B16F5" w:rsidRDefault="00CD2625" w:rsidP="00F50991">
            <w:pPr>
              <w:pStyle w:val="Tabletext"/>
              <w:jc w:val="center"/>
            </w:pPr>
            <w:r w:rsidRPr="007B16F5">
              <w:t>3 200</w:t>
            </w:r>
          </w:p>
        </w:tc>
        <w:tc>
          <w:tcPr>
            <w:tcW w:w="1353" w:type="dxa"/>
          </w:tcPr>
          <w:p w:rsidR="00CD2625" w:rsidRPr="007B16F5" w:rsidRDefault="00CD2625" w:rsidP="00F50991">
            <w:pPr>
              <w:pStyle w:val="Tabletext"/>
              <w:jc w:val="center"/>
            </w:pPr>
            <w:r w:rsidRPr="007B16F5">
              <w:t>2 900</w:t>
            </w:r>
          </w:p>
        </w:tc>
        <w:tc>
          <w:tcPr>
            <w:tcW w:w="2886" w:type="dxa"/>
          </w:tcPr>
          <w:p w:rsidR="00CD2625" w:rsidRPr="007B16F5" w:rsidRDefault="00CD2625" w:rsidP="009D58A6">
            <w:pPr>
              <w:pStyle w:val="Tabletext"/>
              <w:jc w:val="left"/>
            </w:pPr>
            <w:r w:rsidRPr="007B16F5">
              <w:t>Calculée à partir de la géométrie</w:t>
            </w:r>
          </w:p>
        </w:tc>
      </w:tr>
      <w:tr w:rsidR="00CD2625" w:rsidRPr="007B16F5" w:rsidTr="0024017F">
        <w:trPr>
          <w:jc w:val="center"/>
        </w:trPr>
        <w:tc>
          <w:tcPr>
            <w:tcW w:w="4034" w:type="dxa"/>
          </w:tcPr>
          <w:p w:rsidR="00CD2625" w:rsidRPr="0040367A" w:rsidRDefault="00CD2625" w:rsidP="009D58A6">
            <w:pPr>
              <w:pStyle w:val="Tabletext"/>
              <w:jc w:val="left"/>
            </w:pPr>
            <w:r w:rsidRPr="007B16F5">
              <w:t>Affaiblissement du trajet en espace libre (</w:t>
            </w:r>
            <w:r w:rsidRPr="007B16F5">
              <w:rPr>
                <w:i/>
              </w:rPr>
              <w:t>L</w:t>
            </w:r>
            <w:r w:rsidRPr="007B16F5">
              <w:rPr>
                <w:i/>
                <w:vertAlign w:val="subscript"/>
              </w:rPr>
              <w:t>p</w:t>
            </w:r>
            <w:r w:rsidRPr="007B16F5">
              <w:t>)</w:t>
            </w:r>
            <w:r>
              <w:t xml:space="preserve"> </w:t>
            </w:r>
            <w:r w:rsidRPr="007B16F5">
              <w:t>(dB)</w:t>
            </w:r>
          </w:p>
        </w:tc>
        <w:tc>
          <w:tcPr>
            <w:tcW w:w="1180" w:type="dxa"/>
          </w:tcPr>
          <w:p w:rsidR="00CD2625" w:rsidRPr="007B16F5" w:rsidRDefault="00CD2625" w:rsidP="00F50991">
            <w:pPr>
              <w:pStyle w:val="Tabletext"/>
              <w:jc w:val="center"/>
            </w:pPr>
            <w:r w:rsidRPr="007B16F5">
              <w:t>166,3</w:t>
            </w:r>
          </w:p>
        </w:tc>
        <w:tc>
          <w:tcPr>
            <w:tcW w:w="1353" w:type="dxa"/>
          </w:tcPr>
          <w:p w:rsidR="00CD2625" w:rsidRPr="007B16F5" w:rsidRDefault="00CD2625" w:rsidP="00F50991">
            <w:pPr>
              <w:pStyle w:val="Tabletext"/>
              <w:jc w:val="center"/>
            </w:pPr>
            <w:r w:rsidRPr="007B16F5">
              <w:t>165,5</w:t>
            </w:r>
          </w:p>
        </w:tc>
        <w:tc>
          <w:tcPr>
            <w:tcW w:w="2886" w:type="dxa"/>
          </w:tcPr>
          <w:p w:rsidR="00CD2625" w:rsidRPr="007B16F5" w:rsidRDefault="00CD2625" w:rsidP="009D58A6">
            <w:pPr>
              <w:pStyle w:val="Tabletext"/>
              <w:jc w:val="left"/>
            </w:pPr>
            <w:r w:rsidRPr="007B16F5">
              <w:t>Calculé à l'aide d'une formule standard</w:t>
            </w:r>
          </w:p>
        </w:tc>
      </w:tr>
      <w:tr w:rsidR="00F50991" w:rsidRPr="007B16F5" w:rsidTr="0024017F">
        <w:trPr>
          <w:jc w:val="center"/>
        </w:trPr>
        <w:tc>
          <w:tcPr>
            <w:tcW w:w="4034" w:type="dxa"/>
          </w:tcPr>
          <w:p w:rsidR="00F50991" w:rsidRPr="007B16F5" w:rsidRDefault="00F50991" w:rsidP="009D58A6">
            <w:pPr>
              <w:pStyle w:val="Tabletext"/>
              <w:jc w:val="left"/>
            </w:pPr>
            <w:r w:rsidRPr="007B16F5">
              <w:t>Affaiblissement des évanouissements sur courte durée (</w:t>
            </w:r>
            <w:r w:rsidRPr="007B16F5">
              <w:rPr>
                <w:i/>
                <w:iCs/>
              </w:rPr>
              <w:t>L</w:t>
            </w:r>
            <w:r w:rsidRPr="007B16F5">
              <w:rPr>
                <w:i/>
                <w:iCs/>
                <w:vertAlign w:val="subscript"/>
              </w:rPr>
              <w:t>f</w:t>
            </w:r>
            <w:r w:rsidRPr="007B16F5">
              <w:t>)</w:t>
            </w:r>
            <w:r>
              <w:t xml:space="preserve"> </w:t>
            </w:r>
            <w:r w:rsidRPr="007B16F5">
              <w:t>(dB)</w:t>
            </w:r>
          </w:p>
        </w:tc>
        <w:tc>
          <w:tcPr>
            <w:tcW w:w="2533" w:type="dxa"/>
            <w:gridSpan w:val="2"/>
          </w:tcPr>
          <w:p w:rsidR="00F50991" w:rsidRPr="007B16F5" w:rsidRDefault="00F50991" w:rsidP="00F50991">
            <w:pPr>
              <w:pStyle w:val="Tabletext"/>
              <w:jc w:val="center"/>
            </w:pPr>
            <w:r w:rsidRPr="007B16F5">
              <w:t>10</w:t>
            </w:r>
          </w:p>
        </w:tc>
        <w:tc>
          <w:tcPr>
            <w:tcW w:w="2886" w:type="dxa"/>
          </w:tcPr>
          <w:p w:rsidR="00F50991" w:rsidRPr="007B16F5" w:rsidRDefault="00F50991" w:rsidP="009D58A6">
            <w:pPr>
              <w:pStyle w:val="Tabletext"/>
              <w:jc w:val="left"/>
            </w:pPr>
          </w:p>
        </w:tc>
      </w:tr>
      <w:tr w:rsidR="00F50991" w:rsidRPr="007B16F5" w:rsidTr="0024017F">
        <w:trPr>
          <w:jc w:val="center"/>
        </w:trPr>
        <w:tc>
          <w:tcPr>
            <w:tcW w:w="4034" w:type="dxa"/>
          </w:tcPr>
          <w:p w:rsidR="00F50991" w:rsidRPr="007B16F5" w:rsidRDefault="00F50991" w:rsidP="009D58A6">
            <w:pPr>
              <w:pStyle w:val="Tabletext"/>
              <w:jc w:val="left"/>
            </w:pPr>
            <w:r w:rsidRPr="007B16F5">
              <w:t>Autres affaiblissements (</w:t>
            </w:r>
            <w:r w:rsidRPr="007B16F5">
              <w:rPr>
                <w:i/>
                <w:iCs/>
              </w:rPr>
              <w:t>L</w:t>
            </w:r>
            <w:r w:rsidRPr="007B16F5">
              <w:rPr>
                <w:i/>
                <w:iCs/>
                <w:vertAlign w:val="subscript"/>
              </w:rPr>
              <w:t>o</w:t>
            </w:r>
            <w:r w:rsidRPr="007B16F5">
              <w:t>)</w:t>
            </w:r>
            <w:r>
              <w:t xml:space="preserve"> </w:t>
            </w:r>
            <w:r w:rsidRPr="007B16F5">
              <w:t>(dB)</w:t>
            </w:r>
          </w:p>
        </w:tc>
        <w:tc>
          <w:tcPr>
            <w:tcW w:w="2533" w:type="dxa"/>
            <w:gridSpan w:val="2"/>
          </w:tcPr>
          <w:p w:rsidR="00F50991" w:rsidRPr="007B16F5" w:rsidRDefault="00F50991" w:rsidP="00F50991">
            <w:pPr>
              <w:pStyle w:val="Tabletext"/>
              <w:jc w:val="center"/>
            </w:pPr>
            <w:r w:rsidRPr="007B16F5">
              <w:t>3,6</w:t>
            </w:r>
            <w:r w:rsidRPr="007B16F5">
              <w:rPr>
                <w:vertAlign w:val="superscript"/>
              </w:rPr>
              <w:t>(2)</w:t>
            </w:r>
          </w:p>
        </w:tc>
        <w:tc>
          <w:tcPr>
            <w:tcW w:w="2886" w:type="dxa"/>
          </w:tcPr>
          <w:p w:rsidR="00F50991" w:rsidRPr="007B16F5" w:rsidRDefault="00F50991" w:rsidP="009D58A6">
            <w:pPr>
              <w:pStyle w:val="Tabletext"/>
              <w:jc w:val="left"/>
            </w:pPr>
            <w:r w:rsidRPr="007B16F5">
              <w:t>Conception des  LUT et tributaire du site</w:t>
            </w:r>
          </w:p>
        </w:tc>
      </w:tr>
    </w:tbl>
    <w:p w:rsidR="00C5340E" w:rsidRPr="007B16F5" w:rsidRDefault="00C5340E" w:rsidP="00C5340E">
      <w:pPr>
        <w:pStyle w:val="TableNo"/>
        <w:spacing w:before="0"/>
      </w:pPr>
      <w:r>
        <w:br w:type="page"/>
      </w:r>
      <w:r w:rsidRPr="007B16F5">
        <w:lastRenderedPageBreak/>
        <w:t>TABLEAU 1</w:t>
      </w:r>
      <w:r>
        <w:t xml:space="preserve"> (</w:t>
      </w:r>
      <w:r>
        <w:rPr>
          <w:i/>
          <w:iCs/>
        </w:rPr>
        <w:t>fin</w:t>
      </w:r>
      <w:r>
        <w:t>)</w:t>
      </w:r>
    </w:p>
    <w:tbl>
      <w:tblPr>
        <w:tblW w:w="9489" w:type="dxa"/>
        <w:jc w:val="center"/>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1180"/>
        <w:gridCol w:w="1353"/>
        <w:gridCol w:w="2710"/>
      </w:tblGrid>
      <w:tr w:rsidR="00CD2625" w:rsidRPr="007B16F5" w:rsidTr="0024017F">
        <w:trPr>
          <w:jc w:val="center"/>
        </w:trPr>
        <w:tc>
          <w:tcPr>
            <w:tcW w:w="4246" w:type="dxa"/>
            <w:tcBorders>
              <w:top w:val="single" w:sz="4" w:space="0" w:color="auto"/>
              <w:left w:val="single" w:sz="4" w:space="0" w:color="auto"/>
              <w:bottom w:val="single" w:sz="4" w:space="0" w:color="auto"/>
              <w:right w:val="single" w:sz="4" w:space="0" w:color="auto"/>
            </w:tcBorders>
            <w:vAlign w:val="center"/>
          </w:tcPr>
          <w:p w:rsidR="00CD2625" w:rsidRPr="007B16F5" w:rsidRDefault="00CD2625" w:rsidP="00C5340E">
            <w:pPr>
              <w:pStyle w:val="Tablehead"/>
            </w:pPr>
            <w:r w:rsidRPr="007B16F5">
              <w:t>Paramètre</w:t>
            </w:r>
          </w:p>
        </w:tc>
        <w:tc>
          <w:tcPr>
            <w:tcW w:w="1180" w:type="dxa"/>
            <w:tcBorders>
              <w:top w:val="single" w:sz="4" w:space="0" w:color="auto"/>
              <w:left w:val="single" w:sz="4" w:space="0" w:color="auto"/>
              <w:bottom w:val="single" w:sz="4" w:space="0" w:color="auto"/>
              <w:right w:val="single" w:sz="4" w:space="0" w:color="auto"/>
            </w:tcBorders>
            <w:vAlign w:val="center"/>
          </w:tcPr>
          <w:p w:rsidR="00CD2625" w:rsidRPr="007B16F5" w:rsidRDefault="00CD2625" w:rsidP="00C5340E">
            <w:pPr>
              <w:pStyle w:val="Tablehead"/>
            </w:pPr>
            <w:r w:rsidRPr="007B16F5">
              <w:t>Cospas nominal</w:t>
            </w:r>
          </w:p>
        </w:tc>
        <w:tc>
          <w:tcPr>
            <w:tcW w:w="1353" w:type="dxa"/>
            <w:tcBorders>
              <w:top w:val="single" w:sz="4" w:space="0" w:color="auto"/>
              <w:left w:val="single" w:sz="4" w:space="0" w:color="auto"/>
              <w:bottom w:val="single" w:sz="4" w:space="0" w:color="auto"/>
              <w:right w:val="single" w:sz="4" w:space="0" w:color="auto"/>
            </w:tcBorders>
            <w:vAlign w:val="center"/>
          </w:tcPr>
          <w:p w:rsidR="00CD2625" w:rsidRPr="007B16F5" w:rsidRDefault="00CD2625" w:rsidP="00C5340E">
            <w:pPr>
              <w:pStyle w:val="Tablehead"/>
            </w:pPr>
            <w:r w:rsidRPr="007B16F5">
              <w:t>Sarsat</w:t>
            </w:r>
            <w:r w:rsidRPr="007B16F5">
              <w:br/>
              <w:t>nominal</w:t>
            </w:r>
          </w:p>
        </w:tc>
        <w:tc>
          <w:tcPr>
            <w:tcW w:w="2710" w:type="dxa"/>
            <w:tcBorders>
              <w:top w:val="single" w:sz="4" w:space="0" w:color="auto"/>
              <w:left w:val="single" w:sz="4" w:space="0" w:color="auto"/>
              <w:bottom w:val="single" w:sz="4" w:space="0" w:color="auto"/>
              <w:right w:val="single" w:sz="4" w:space="0" w:color="auto"/>
            </w:tcBorders>
            <w:vAlign w:val="center"/>
          </w:tcPr>
          <w:p w:rsidR="00CD2625" w:rsidRPr="00C5340E" w:rsidRDefault="00CD2625" w:rsidP="00C5340E">
            <w:pPr>
              <w:pStyle w:val="Tablehead"/>
              <w:rPr>
                <w:i/>
              </w:rPr>
            </w:pPr>
            <w:r w:rsidRPr="00C5340E">
              <w:rPr>
                <w:i/>
              </w:rPr>
              <w:t>Source</w:t>
            </w:r>
          </w:p>
        </w:tc>
      </w:tr>
      <w:tr w:rsidR="00F50991" w:rsidRPr="007B16F5" w:rsidTr="0024017F">
        <w:trPr>
          <w:jc w:val="center"/>
        </w:trPr>
        <w:tc>
          <w:tcPr>
            <w:tcW w:w="4246" w:type="dxa"/>
          </w:tcPr>
          <w:p w:rsidR="00F50991" w:rsidRPr="0040367A" w:rsidRDefault="00F50991" w:rsidP="009D58A6">
            <w:pPr>
              <w:pStyle w:val="Tabletext"/>
              <w:jc w:val="left"/>
            </w:pPr>
            <w:r w:rsidRPr="007B16F5">
              <w:t>Antenne (</w:t>
            </w:r>
            <w:r w:rsidRPr="007B16F5">
              <w:rPr>
                <w:i/>
                <w:iCs/>
              </w:rPr>
              <w:t>G</w:t>
            </w:r>
            <w:r w:rsidRPr="007B16F5">
              <w:t>/</w:t>
            </w:r>
            <w:r w:rsidRPr="007B16F5">
              <w:rPr>
                <w:i/>
                <w:iCs/>
              </w:rPr>
              <w:t>T</w:t>
            </w:r>
            <w:proofErr w:type="gramStart"/>
            <w:r w:rsidRPr="007B16F5">
              <w:t>)</w:t>
            </w:r>
            <w:r w:rsidRPr="007B16F5">
              <w:rPr>
                <w:vertAlign w:val="superscript"/>
              </w:rPr>
              <w:t>(</w:t>
            </w:r>
            <w:proofErr w:type="gramEnd"/>
            <w:r w:rsidRPr="007B16F5">
              <w:rPr>
                <w:vertAlign w:val="superscript"/>
              </w:rPr>
              <w:t>3)</w:t>
            </w:r>
            <w:r>
              <w:t xml:space="preserve"> </w:t>
            </w:r>
            <w:r w:rsidRPr="007B16F5">
              <w:t>(dB(K</w:t>
            </w:r>
            <w:r w:rsidRPr="007B16F5">
              <w:rPr>
                <w:vertAlign w:val="superscript"/>
              </w:rPr>
              <w:t>–1</w:t>
            </w:r>
            <w:r w:rsidRPr="007B16F5">
              <w:t>))</w:t>
            </w:r>
          </w:p>
        </w:tc>
        <w:tc>
          <w:tcPr>
            <w:tcW w:w="2533" w:type="dxa"/>
            <w:gridSpan w:val="2"/>
          </w:tcPr>
          <w:p w:rsidR="00F50991" w:rsidRPr="007B16F5" w:rsidRDefault="00F50991" w:rsidP="00F50991">
            <w:pPr>
              <w:pStyle w:val="Tabletext"/>
              <w:jc w:val="center"/>
            </w:pPr>
            <w:r w:rsidRPr="007B16F5">
              <w:t>4,3</w:t>
            </w:r>
          </w:p>
        </w:tc>
        <w:tc>
          <w:tcPr>
            <w:tcW w:w="2710" w:type="dxa"/>
          </w:tcPr>
          <w:p w:rsidR="00F50991" w:rsidRPr="007B16F5" w:rsidRDefault="00F50991" w:rsidP="009D58A6">
            <w:pPr>
              <w:pStyle w:val="Tabletext"/>
              <w:jc w:val="left"/>
            </w:pPr>
            <w:r w:rsidRPr="007B16F5">
              <w:rPr>
                <w:i/>
              </w:rPr>
              <w:t>G</w:t>
            </w:r>
            <w:r w:rsidRPr="007B16F5">
              <w:t xml:space="preserve"> = 26,7 dB</w:t>
            </w:r>
            <w:proofErr w:type="gramStart"/>
            <w:r w:rsidRPr="007B16F5">
              <w:t>,</w:t>
            </w:r>
            <w:proofErr w:type="gramEnd"/>
            <w:r w:rsidRPr="007B16F5">
              <w:br/>
            </w:r>
            <w:r w:rsidRPr="007B16F5">
              <w:rPr>
                <w:i/>
                <w:iCs/>
              </w:rPr>
              <w:t>T</w:t>
            </w:r>
            <w:r w:rsidRPr="007B16F5">
              <w:t xml:space="preserve"> = 22,4 dB(K)</w:t>
            </w:r>
          </w:p>
        </w:tc>
      </w:tr>
      <w:tr w:rsidR="00F50991" w:rsidRPr="007B16F5" w:rsidTr="0024017F">
        <w:trPr>
          <w:jc w:val="center"/>
        </w:trPr>
        <w:tc>
          <w:tcPr>
            <w:tcW w:w="4246" w:type="dxa"/>
          </w:tcPr>
          <w:p w:rsidR="00F50991" w:rsidRPr="0040367A" w:rsidRDefault="00F50991" w:rsidP="009D58A6">
            <w:pPr>
              <w:pStyle w:val="Tabletext"/>
              <w:keepNext/>
              <w:keepLines/>
              <w:jc w:val="left"/>
            </w:pPr>
            <w:r w:rsidRPr="007B16F5">
              <w:t xml:space="preserve">Constance de Boltzmann, </w:t>
            </w:r>
            <w:r w:rsidRPr="007B16F5">
              <w:rPr>
                <w:i/>
                <w:iCs/>
              </w:rPr>
              <w:t>k</w:t>
            </w:r>
            <w:r>
              <w:t xml:space="preserve"> </w:t>
            </w:r>
            <w:r w:rsidR="0024017F">
              <w:br/>
            </w:r>
            <w:r w:rsidRPr="007B16F5">
              <w:t>(</w:t>
            </w:r>
            <w:proofErr w:type="gramStart"/>
            <w:r w:rsidRPr="007B16F5">
              <w:t>dB(</w:t>
            </w:r>
            <w:proofErr w:type="gramEnd"/>
            <w:r w:rsidRPr="007B16F5">
              <w:t xml:space="preserve">W </w:t>
            </w:r>
            <w:r w:rsidRPr="007B16F5">
              <w:sym w:font="Symbol" w:char="F0D7"/>
            </w:r>
            <w:r w:rsidRPr="007B16F5">
              <w:t xml:space="preserve"> K</w:t>
            </w:r>
            <w:r w:rsidRPr="007B16F5">
              <w:rPr>
                <w:vertAlign w:val="superscript"/>
              </w:rPr>
              <w:t>–1</w:t>
            </w:r>
            <w:r w:rsidRPr="007B16F5">
              <w:t xml:space="preserve"> </w:t>
            </w:r>
            <w:r w:rsidRPr="007B16F5">
              <w:sym w:font="Symbol" w:char="F0D7"/>
            </w:r>
            <w:r w:rsidRPr="007B16F5">
              <w:t xml:space="preserve"> Hz</w:t>
            </w:r>
            <w:r w:rsidRPr="007B16F5">
              <w:rPr>
                <w:vertAlign w:val="superscript"/>
              </w:rPr>
              <w:t>–1</w:t>
            </w:r>
            <w:r w:rsidRPr="007B16F5">
              <w:t>))</w:t>
            </w:r>
          </w:p>
        </w:tc>
        <w:tc>
          <w:tcPr>
            <w:tcW w:w="2533" w:type="dxa"/>
            <w:gridSpan w:val="2"/>
          </w:tcPr>
          <w:p w:rsidR="00F50991" w:rsidRPr="007B16F5" w:rsidRDefault="00F50991" w:rsidP="00F50991">
            <w:pPr>
              <w:pStyle w:val="Tabletext"/>
              <w:keepNext/>
              <w:keepLines/>
              <w:jc w:val="center"/>
            </w:pPr>
            <w:r w:rsidRPr="007B16F5">
              <w:t>–228,6</w:t>
            </w:r>
          </w:p>
        </w:tc>
        <w:tc>
          <w:tcPr>
            <w:tcW w:w="2710" w:type="dxa"/>
          </w:tcPr>
          <w:p w:rsidR="00F50991" w:rsidRPr="007B16F5" w:rsidRDefault="00F50991" w:rsidP="009D58A6">
            <w:pPr>
              <w:pStyle w:val="Tabletext"/>
              <w:keepNext/>
              <w:keepLines/>
              <w:jc w:val="left"/>
            </w:pPr>
            <w:r w:rsidRPr="007B16F5">
              <w:t>Constante physique</w:t>
            </w:r>
          </w:p>
        </w:tc>
      </w:tr>
      <w:tr w:rsidR="00F50991" w:rsidRPr="007B16F5" w:rsidTr="0024017F">
        <w:trPr>
          <w:jc w:val="center"/>
        </w:trPr>
        <w:tc>
          <w:tcPr>
            <w:tcW w:w="4246" w:type="dxa"/>
          </w:tcPr>
          <w:p w:rsidR="00F50991" w:rsidRPr="0040367A" w:rsidRDefault="00F50991" w:rsidP="009D58A6">
            <w:pPr>
              <w:pStyle w:val="Tabletext"/>
              <w:jc w:val="left"/>
            </w:pPr>
            <w:r w:rsidRPr="007B16F5">
              <w:t xml:space="preserve">Facteur binaire @ 2,4 kbit/s, </w:t>
            </w:r>
            <w:r w:rsidRPr="007B16F5">
              <w:rPr>
                <w:i/>
                <w:iCs/>
              </w:rPr>
              <w:t>r</w:t>
            </w:r>
            <w:r>
              <w:t xml:space="preserve"> </w:t>
            </w:r>
            <w:r w:rsidRPr="007B16F5">
              <w:t>(dB-Hz)</w:t>
            </w:r>
          </w:p>
        </w:tc>
        <w:tc>
          <w:tcPr>
            <w:tcW w:w="2533" w:type="dxa"/>
            <w:gridSpan w:val="2"/>
          </w:tcPr>
          <w:p w:rsidR="00F50991" w:rsidRPr="007B16F5" w:rsidRDefault="00F50991" w:rsidP="00F50991">
            <w:pPr>
              <w:pStyle w:val="Tabletext"/>
              <w:jc w:val="center"/>
            </w:pPr>
            <w:r w:rsidRPr="007B16F5">
              <w:t>33,8</w:t>
            </w:r>
          </w:p>
        </w:tc>
        <w:tc>
          <w:tcPr>
            <w:tcW w:w="2710" w:type="dxa"/>
          </w:tcPr>
          <w:p w:rsidR="00F50991" w:rsidRPr="007B16F5" w:rsidRDefault="00F50991" w:rsidP="009D58A6">
            <w:pPr>
              <w:pStyle w:val="Tabletext"/>
              <w:jc w:val="left"/>
            </w:pPr>
          </w:p>
        </w:tc>
      </w:tr>
      <w:tr w:rsidR="00CD2625" w:rsidRPr="007B16F5" w:rsidTr="0024017F">
        <w:trPr>
          <w:jc w:val="center"/>
        </w:trPr>
        <w:tc>
          <w:tcPr>
            <w:tcW w:w="4246" w:type="dxa"/>
          </w:tcPr>
          <w:p w:rsidR="00CD2625" w:rsidRPr="007B16F5" w:rsidRDefault="00CD2625" w:rsidP="009D58A6">
            <w:pPr>
              <w:pStyle w:val="Tabletext"/>
              <w:jc w:val="left"/>
            </w:pPr>
            <w:r w:rsidRPr="007B16F5">
              <w:t>Perte de modulation</w:t>
            </w:r>
            <w:r>
              <w:t xml:space="preserve"> </w:t>
            </w:r>
            <w:r w:rsidRPr="007B16F5">
              <w:t>(dB)</w:t>
            </w:r>
          </w:p>
        </w:tc>
        <w:tc>
          <w:tcPr>
            <w:tcW w:w="1180" w:type="dxa"/>
          </w:tcPr>
          <w:p w:rsidR="00CD2625" w:rsidRPr="007B16F5" w:rsidRDefault="00CD2625" w:rsidP="00F50991">
            <w:pPr>
              <w:pStyle w:val="Tabletext"/>
              <w:jc w:val="center"/>
            </w:pPr>
            <w:r w:rsidRPr="007B16F5">
              <w:t>–12,1</w:t>
            </w:r>
          </w:p>
        </w:tc>
        <w:tc>
          <w:tcPr>
            <w:tcW w:w="1353" w:type="dxa"/>
          </w:tcPr>
          <w:p w:rsidR="00CD2625" w:rsidRPr="007B16F5" w:rsidRDefault="00CD2625" w:rsidP="00F50991">
            <w:pPr>
              <w:pStyle w:val="Tabletext"/>
              <w:jc w:val="center"/>
            </w:pPr>
            <w:r w:rsidRPr="007B16F5">
              <w:t>–14,1</w:t>
            </w:r>
          </w:p>
        </w:tc>
        <w:tc>
          <w:tcPr>
            <w:tcW w:w="2710" w:type="dxa"/>
          </w:tcPr>
          <w:p w:rsidR="00CD2625" w:rsidRPr="007B16F5" w:rsidRDefault="00CD2625" w:rsidP="009D58A6">
            <w:pPr>
              <w:pStyle w:val="Tabletext"/>
              <w:jc w:val="left"/>
            </w:pPr>
          </w:p>
        </w:tc>
      </w:tr>
      <w:tr w:rsidR="00F50991" w:rsidRPr="007B16F5" w:rsidTr="0024017F">
        <w:trPr>
          <w:jc w:val="center"/>
        </w:trPr>
        <w:tc>
          <w:tcPr>
            <w:tcW w:w="4246" w:type="dxa"/>
          </w:tcPr>
          <w:p w:rsidR="00F50991" w:rsidRPr="007B16F5" w:rsidRDefault="00F50991" w:rsidP="009D58A6">
            <w:pPr>
              <w:pStyle w:val="Tabletext"/>
              <w:jc w:val="left"/>
            </w:pPr>
            <w:r w:rsidRPr="007B16F5">
              <w:t xml:space="preserve">TEB maximum souhaité </w:t>
            </w:r>
          </w:p>
        </w:tc>
        <w:tc>
          <w:tcPr>
            <w:tcW w:w="2533" w:type="dxa"/>
            <w:gridSpan w:val="2"/>
          </w:tcPr>
          <w:p w:rsidR="00F50991" w:rsidRPr="007B16F5" w:rsidRDefault="00F50991" w:rsidP="00F50991">
            <w:pPr>
              <w:pStyle w:val="Tabletext"/>
              <w:jc w:val="center"/>
            </w:pPr>
            <w:r w:rsidRPr="007B16F5">
              <w:t>10</w:t>
            </w:r>
            <w:r w:rsidRPr="007B16F5">
              <w:rPr>
                <w:vertAlign w:val="superscript"/>
              </w:rPr>
              <w:t>–6</w:t>
            </w:r>
          </w:p>
        </w:tc>
        <w:tc>
          <w:tcPr>
            <w:tcW w:w="2710" w:type="dxa"/>
          </w:tcPr>
          <w:p w:rsidR="00F50991" w:rsidRPr="007B16F5" w:rsidRDefault="00F50991" w:rsidP="009D58A6">
            <w:pPr>
              <w:pStyle w:val="Tabletext"/>
              <w:jc w:val="left"/>
            </w:pPr>
          </w:p>
        </w:tc>
      </w:tr>
      <w:tr w:rsidR="00CD2625" w:rsidRPr="007B16F5" w:rsidTr="0024017F">
        <w:trPr>
          <w:jc w:val="center"/>
        </w:trPr>
        <w:tc>
          <w:tcPr>
            <w:tcW w:w="4246" w:type="dxa"/>
          </w:tcPr>
          <w:p w:rsidR="00CD2625" w:rsidRPr="007B16F5" w:rsidRDefault="00CD2625" w:rsidP="009D58A6">
            <w:pPr>
              <w:pStyle w:val="Tabletext"/>
              <w:jc w:val="left"/>
            </w:pPr>
            <w:r w:rsidRPr="007B16F5">
              <w:t>Calculé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w:t>
            </w:r>
            <w:r>
              <w:t xml:space="preserve"> </w:t>
            </w:r>
            <w:r w:rsidRPr="007B16F5">
              <w:t>(dB)</w:t>
            </w:r>
          </w:p>
        </w:tc>
        <w:tc>
          <w:tcPr>
            <w:tcW w:w="1180" w:type="dxa"/>
          </w:tcPr>
          <w:p w:rsidR="00CD2625" w:rsidRPr="007B16F5" w:rsidRDefault="00CD2625" w:rsidP="00F50991">
            <w:pPr>
              <w:pStyle w:val="Tabletext"/>
              <w:jc w:val="center"/>
            </w:pPr>
            <w:r w:rsidRPr="007B16F5">
              <w:t>13,3</w:t>
            </w:r>
          </w:p>
        </w:tc>
        <w:tc>
          <w:tcPr>
            <w:tcW w:w="1353" w:type="dxa"/>
          </w:tcPr>
          <w:p w:rsidR="00CD2625" w:rsidRPr="007B16F5" w:rsidRDefault="00CD2625" w:rsidP="00F50991">
            <w:pPr>
              <w:pStyle w:val="Tabletext"/>
              <w:jc w:val="center"/>
            </w:pPr>
            <w:r w:rsidRPr="007B16F5">
              <w:t>13,0</w:t>
            </w:r>
          </w:p>
        </w:tc>
        <w:tc>
          <w:tcPr>
            <w:tcW w:w="2710" w:type="dxa"/>
          </w:tcPr>
          <w:p w:rsidR="00CD2625" w:rsidRPr="007B16F5" w:rsidRDefault="00CD2625" w:rsidP="009D58A6">
            <w:pPr>
              <w:pStyle w:val="Tabletext"/>
              <w:jc w:val="left"/>
            </w:pPr>
            <w:r w:rsidRPr="007B16F5">
              <w:t>Au moyen des paramètres ci</w:t>
            </w:r>
            <w:r w:rsidRPr="007B16F5">
              <w:noBreakHyphen/>
              <w:t>dessus</w:t>
            </w:r>
          </w:p>
        </w:tc>
      </w:tr>
      <w:tr w:rsidR="00F50991" w:rsidRPr="007B16F5" w:rsidTr="0024017F">
        <w:trPr>
          <w:jc w:val="center"/>
        </w:trPr>
        <w:tc>
          <w:tcPr>
            <w:tcW w:w="4246" w:type="dxa"/>
          </w:tcPr>
          <w:p w:rsidR="00F50991" w:rsidRPr="0040367A" w:rsidRDefault="00F50991" w:rsidP="009D58A6">
            <w:pPr>
              <w:pStyle w:val="Tabletext"/>
              <w:jc w:val="left"/>
            </w:pPr>
            <w:r w:rsidRPr="007B16F5">
              <w:t>Théorique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w:t>
            </w:r>
            <w:r w:rsidRPr="00200531">
              <w:rPr>
                <w:i/>
                <w:iCs/>
              </w:rPr>
              <w:t>ième</w:t>
            </w:r>
            <w:r w:rsidRPr="007B16F5">
              <w:t xml:space="preserve"> pour un TEB de 10</w:t>
            </w:r>
            <w:r w:rsidRPr="007B16F5">
              <w:rPr>
                <w:vertAlign w:val="superscript"/>
              </w:rPr>
              <w:t>–6</w:t>
            </w:r>
            <w:r>
              <w:t xml:space="preserve"> </w:t>
            </w:r>
            <w:r w:rsidRPr="007B16F5">
              <w:t>(dB)</w:t>
            </w:r>
          </w:p>
        </w:tc>
        <w:tc>
          <w:tcPr>
            <w:tcW w:w="2533" w:type="dxa"/>
            <w:gridSpan w:val="2"/>
          </w:tcPr>
          <w:p w:rsidR="00F50991" w:rsidRPr="007B16F5" w:rsidRDefault="00F50991" w:rsidP="00F50991">
            <w:pPr>
              <w:pStyle w:val="Tabletext"/>
              <w:jc w:val="center"/>
            </w:pPr>
            <w:r w:rsidRPr="007B16F5">
              <w:t>10,6</w:t>
            </w:r>
          </w:p>
        </w:tc>
        <w:tc>
          <w:tcPr>
            <w:tcW w:w="2710" w:type="dxa"/>
          </w:tcPr>
          <w:p w:rsidR="00F50991" w:rsidRPr="007B16F5" w:rsidRDefault="00F50991" w:rsidP="009D58A6">
            <w:pPr>
              <w:pStyle w:val="Tabletext"/>
              <w:jc w:val="left"/>
            </w:pP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pour TEB requis</w:t>
            </w:r>
          </w:p>
        </w:tc>
      </w:tr>
      <w:tr w:rsidR="00CD2625" w:rsidRPr="007B16F5" w:rsidTr="0024017F">
        <w:trPr>
          <w:jc w:val="center"/>
        </w:trPr>
        <w:tc>
          <w:tcPr>
            <w:tcW w:w="4246" w:type="dxa"/>
            <w:tcBorders>
              <w:bottom w:val="single" w:sz="4" w:space="0" w:color="auto"/>
            </w:tcBorders>
          </w:tcPr>
          <w:p w:rsidR="00CD2625" w:rsidRPr="007B16F5" w:rsidRDefault="00CD2625" w:rsidP="009D58A6">
            <w:pPr>
              <w:pStyle w:val="Tabletext"/>
              <w:jc w:val="left"/>
            </w:pPr>
            <w:r w:rsidRPr="007B16F5">
              <w:t>Marge de liaison PDS</w:t>
            </w:r>
            <w:r>
              <w:t xml:space="preserve"> </w:t>
            </w:r>
            <w:r w:rsidRPr="007B16F5">
              <w:t>(dB)</w:t>
            </w:r>
          </w:p>
        </w:tc>
        <w:tc>
          <w:tcPr>
            <w:tcW w:w="1180" w:type="dxa"/>
            <w:tcBorders>
              <w:bottom w:val="single" w:sz="4" w:space="0" w:color="auto"/>
            </w:tcBorders>
          </w:tcPr>
          <w:p w:rsidR="00CD2625" w:rsidRPr="007B16F5" w:rsidRDefault="00CD2625" w:rsidP="00F50991">
            <w:pPr>
              <w:pStyle w:val="Tabletext"/>
              <w:jc w:val="center"/>
            </w:pPr>
            <w:r w:rsidRPr="007B16F5">
              <w:t>2,7</w:t>
            </w:r>
          </w:p>
        </w:tc>
        <w:tc>
          <w:tcPr>
            <w:tcW w:w="1353" w:type="dxa"/>
            <w:tcBorders>
              <w:bottom w:val="single" w:sz="4" w:space="0" w:color="auto"/>
            </w:tcBorders>
          </w:tcPr>
          <w:p w:rsidR="00CD2625" w:rsidRPr="007B16F5" w:rsidRDefault="00CD2625" w:rsidP="00F50991">
            <w:pPr>
              <w:pStyle w:val="Tabletext"/>
              <w:jc w:val="center"/>
            </w:pPr>
            <w:r w:rsidRPr="007B16F5">
              <w:t>2,4</w:t>
            </w:r>
          </w:p>
        </w:tc>
        <w:tc>
          <w:tcPr>
            <w:tcW w:w="2710" w:type="dxa"/>
            <w:tcBorders>
              <w:bottom w:val="single" w:sz="4" w:space="0" w:color="auto"/>
            </w:tcBorders>
          </w:tcPr>
          <w:p w:rsidR="00CD2625" w:rsidRPr="007B16F5" w:rsidRDefault="00CD2625" w:rsidP="000A4018">
            <w:pPr>
              <w:pStyle w:val="Tabletext"/>
            </w:pPr>
          </w:p>
        </w:tc>
      </w:tr>
      <w:tr w:rsidR="00E100B6" w:rsidRPr="007B16F5" w:rsidTr="0024017F">
        <w:trPr>
          <w:jc w:val="center"/>
        </w:trPr>
        <w:tc>
          <w:tcPr>
            <w:tcW w:w="9489" w:type="dxa"/>
            <w:gridSpan w:val="4"/>
            <w:tcBorders>
              <w:left w:val="nil"/>
              <w:bottom w:val="nil"/>
              <w:right w:val="nil"/>
            </w:tcBorders>
          </w:tcPr>
          <w:p w:rsidR="00E100B6" w:rsidRPr="007B16F5" w:rsidRDefault="00E100B6" w:rsidP="000A4018">
            <w:pPr>
              <w:pStyle w:val="Tablelegend"/>
            </w:pPr>
            <w:r w:rsidRPr="007B16F5">
              <w:t>LUT: Terminal local d'utilisateur (</w:t>
            </w:r>
            <w:r w:rsidRPr="007B16F5">
              <w:rPr>
                <w:i/>
              </w:rPr>
              <w:t>local user terminal</w:t>
            </w:r>
            <w:r w:rsidRPr="007B16F5">
              <w:t>)</w:t>
            </w:r>
          </w:p>
          <w:p w:rsidR="00E100B6" w:rsidRPr="00D259B9" w:rsidRDefault="00E100B6" w:rsidP="00D259B9">
            <w:pPr>
              <w:pStyle w:val="Tablelegend"/>
            </w:pPr>
            <w:r w:rsidRPr="00CD2625">
              <w:rPr>
                <w:vertAlign w:val="superscript"/>
              </w:rPr>
              <w:t>(1)</w:t>
            </w:r>
            <w:r w:rsidRPr="00D259B9">
              <w:tab/>
              <w:t>Puissance isotrope rayonnée équivalente.</w:t>
            </w:r>
          </w:p>
          <w:p w:rsidR="00E100B6" w:rsidRPr="00D259B9" w:rsidRDefault="00E100B6" w:rsidP="00D259B9">
            <w:pPr>
              <w:pStyle w:val="Tablelegend"/>
            </w:pPr>
            <w:r w:rsidRPr="00CD2625">
              <w:rPr>
                <w:vertAlign w:val="superscript"/>
              </w:rPr>
              <w:t>(2)</w:t>
            </w:r>
            <w:r w:rsidRPr="00D259B9">
              <w:tab/>
              <w:t>Affaiblissement dû au désaccord de polarisation, au pointage de l'antenne et à la mise en œuvre du démodulateur.</w:t>
            </w:r>
          </w:p>
          <w:p w:rsidR="00E100B6" w:rsidRPr="007B16F5" w:rsidRDefault="00E100B6" w:rsidP="00CD2625">
            <w:pPr>
              <w:pStyle w:val="Tablelegend"/>
            </w:pPr>
            <w:r w:rsidRPr="00CD2625">
              <w:rPr>
                <w:vertAlign w:val="superscript"/>
              </w:rPr>
              <w:t>(3)</w:t>
            </w:r>
            <w:r w:rsidRPr="00D259B9">
              <w:tab/>
              <w:t>Rapport gain d'antenne/température de bruit pour inclure des affaiblissements se rapportant éventuellement aux radomes et aux câbles</w:t>
            </w:r>
            <w:r w:rsidRPr="007B16F5">
              <w:t xml:space="preserve">. </w:t>
            </w:r>
            <w:r w:rsidRPr="007B16F5">
              <w:rPr>
                <w:i/>
              </w:rPr>
              <w:t>G</w:t>
            </w:r>
            <w:r w:rsidRPr="007B16F5">
              <w:t>/</w:t>
            </w:r>
            <w:r w:rsidRPr="007B16F5">
              <w:rPr>
                <w:i/>
              </w:rPr>
              <w:t>T</w:t>
            </w:r>
            <w:r w:rsidRPr="007B16F5">
              <w:t xml:space="preserve"> des LUT des Etats</w:t>
            </w:r>
            <w:r w:rsidR="00CD2625">
              <w:noBreakHyphen/>
            </w:r>
            <w:r w:rsidRPr="007B16F5">
              <w:t>Unis d'Amérique = 4,3 dB.</w:t>
            </w:r>
          </w:p>
        </w:tc>
      </w:tr>
    </w:tbl>
    <w:p w:rsidR="00E100B6" w:rsidRPr="007B16F5" w:rsidRDefault="00E100B6" w:rsidP="00E100B6">
      <w:pPr>
        <w:pStyle w:val="Tablefin"/>
        <w:rPr>
          <w:sz w:val="2"/>
          <w:szCs w:val="2"/>
          <w:lang w:val="fr-FR"/>
        </w:rPr>
      </w:pPr>
    </w:p>
    <w:p w:rsidR="009D58A6" w:rsidRDefault="009D58A6" w:rsidP="009D58A6">
      <w:pPr>
        <w:pStyle w:val="Tablefin"/>
      </w:pPr>
    </w:p>
    <w:p w:rsidR="00E100B6" w:rsidRPr="007B16F5" w:rsidRDefault="00E100B6" w:rsidP="00E100B6">
      <w:r w:rsidRPr="007B16F5">
        <w:t>Le Tableau 1 montre le budget de puissance recommandé sur la liaison descendante pour le canal SARP. Le budget des liaisons a été établi au moyen de paramètres LEOLUT types. Il montre que le TEB nécessaire de 1 × 10</w:t>
      </w:r>
      <w:r w:rsidRPr="007B16F5">
        <w:rPr>
          <w:vertAlign w:val="superscript"/>
        </w:rPr>
        <w:t>–6</w:t>
      </w:r>
      <w:r w:rsidRPr="007B16F5">
        <w:t xml:space="preserve"> est obtenu avec une marge de 2,4 dB pour les satellites de poursuite Sarsat. La liaison doit maintenir une marge positive pour préserver le TEB nécessaire, et donc il n'est pas possible que le total de tous les brouillages puisse dégrader la liaison de plus de 2,4 dB. A cet égard, la densité spectrale de la puissance de brouillage totale, </w:t>
      </w:r>
      <w:r w:rsidRPr="007B16F5">
        <w:rPr>
          <w:i/>
          <w:iCs/>
        </w:rPr>
        <w:t>I</w:t>
      </w:r>
      <w:r w:rsidRPr="007B16F5">
        <w:rPr>
          <w:vertAlign w:val="subscript"/>
        </w:rPr>
        <w:t>0</w:t>
      </w:r>
      <w:r w:rsidRPr="007B16F5">
        <w:t>, au niveau du récepteur du terminal LEOLUT est représentée par l'équation suivante (valeurs numériques):</w:t>
      </w:r>
    </w:p>
    <w:p w:rsidR="00E100B6" w:rsidRPr="007B16F5" w:rsidRDefault="00E100B6" w:rsidP="00E100B6">
      <w:pPr>
        <w:pStyle w:val="Blanc"/>
        <w:rPr>
          <w:lang w:val="fr-FR"/>
        </w:rPr>
      </w:pPr>
    </w:p>
    <w:p w:rsidR="00E100B6" w:rsidRPr="007B16F5" w:rsidRDefault="00E100B6" w:rsidP="00E100B6">
      <w:pPr>
        <w:pStyle w:val="Equation"/>
        <w:rPr>
          <w:vertAlign w:val="subscript"/>
        </w:rPr>
      </w:pPr>
      <w:r w:rsidRPr="007B16F5">
        <w:tab/>
      </w:r>
      <w:r w:rsidRPr="007B16F5">
        <w:tab/>
      </w:r>
      <w:r w:rsidRPr="007B16F5">
        <w:rPr>
          <w:i/>
          <w:iCs/>
        </w:rPr>
        <w:t>N</w:t>
      </w:r>
      <w:r w:rsidRPr="007B16F5">
        <w:rPr>
          <w:vertAlign w:val="subscript"/>
        </w:rPr>
        <w:t xml:space="preserve">0 </w:t>
      </w:r>
      <w:r w:rsidRPr="007B16F5">
        <w:t xml:space="preserve">+ </w:t>
      </w:r>
      <w:r w:rsidRPr="007B16F5">
        <w:rPr>
          <w:i/>
          <w:iCs/>
        </w:rPr>
        <w:t>I</w:t>
      </w:r>
      <w:r w:rsidRPr="007B16F5">
        <w:rPr>
          <w:vertAlign w:val="subscript"/>
        </w:rPr>
        <w:t xml:space="preserve">0 </w:t>
      </w:r>
      <w:r w:rsidRPr="007B16F5">
        <w:sym w:font="Symbol" w:char="F0A3"/>
      </w:r>
      <w:r w:rsidRPr="007B16F5">
        <w:t xml:space="preserve"> 10</w:t>
      </w:r>
      <w:r w:rsidRPr="007B16F5">
        <w:rPr>
          <w:vertAlign w:val="superscript"/>
        </w:rPr>
        <w:t>(2,4/10)</w:t>
      </w:r>
      <w:r w:rsidRPr="007B16F5">
        <w:t> × </w:t>
      </w:r>
      <w:r w:rsidRPr="007B16F5">
        <w:rPr>
          <w:i/>
          <w:iCs/>
        </w:rPr>
        <w:t>N</w:t>
      </w:r>
      <w:r w:rsidRPr="007B16F5">
        <w:rPr>
          <w:vertAlign w:val="subscript"/>
        </w:rPr>
        <w:t>0</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r w:rsidRPr="007B16F5">
        <w:rPr>
          <w:i/>
          <w:iCs/>
        </w:rPr>
        <w:t>I</w:t>
      </w:r>
      <w:r w:rsidRPr="007B16F5">
        <w:rPr>
          <w:vertAlign w:val="subscript"/>
        </w:rPr>
        <w:t>0</w:t>
      </w:r>
      <w:r w:rsidRPr="007B16F5">
        <w:t>/</w:t>
      </w:r>
      <w:r w:rsidRPr="007B16F5">
        <w:rPr>
          <w:i/>
          <w:iCs/>
        </w:rPr>
        <w:t>N</w:t>
      </w:r>
      <w:r w:rsidRPr="007B16F5">
        <w:rPr>
          <w:vertAlign w:val="subscript"/>
        </w:rPr>
        <w:t>0</w:t>
      </w:r>
      <w:r w:rsidRPr="007B16F5">
        <w:t xml:space="preserve"> </w:t>
      </w:r>
      <w:r w:rsidRPr="007B16F5">
        <w:sym w:font="Symbol" w:char="F0A3"/>
      </w:r>
      <w:r w:rsidRPr="007B16F5">
        <w:t xml:space="preserve"> (10</w:t>
      </w:r>
      <w:r w:rsidRPr="007B16F5">
        <w:rPr>
          <w:vertAlign w:val="superscript"/>
        </w:rPr>
        <w:t>(2,4/10)</w:t>
      </w:r>
      <w:r w:rsidRPr="007B16F5">
        <w:t xml:space="preserve"> – 1) = 0,738 (numérique)</w:t>
      </w:r>
    </w:p>
    <w:p w:rsidR="00E100B6" w:rsidRPr="007B16F5" w:rsidRDefault="00E100B6" w:rsidP="00E100B6">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r w:rsidRPr="007B16F5">
        <w:rPr>
          <w:i/>
          <w:iCs/>
        </w:rPr>
        <w:t>I</w:t>
      </w:r>
      <w:r w:rsidRPr="007B16F5">
        <w:rPr>
          <w:vertAlign w:val="subscript"/>
        </w:rPr>
        <w:t>0</w:t>
      </w:r>
      <w:r w:rsidRPr="007B16F5">
        <w:t>/</w:t>
      </w:r>
      <w:r w:rsidRPr="007B16F5">
        <w:rPr>
          <w:i/>
          <w:iCs/>
        </w:rPr>
        <w:t>N</w:t>
      </w:r>
      <w:r w:rsidRPr="007B16F5">
        <w:rPr>
          <w:vertAlign w:val="subscript"/>
        </w:rPr>
        <w:t xml:space="preserve">0 </w:t>
      </w:r>
      <w:r w:rsidRPr="007B16F5">
        <w:t>= –1,3 dB</w:t>
      </w:r>
    </w:p>
    <w:p w:rsidR="00E100B6" w:rsidRPr="007B16F5" w:rsidRDefault="00E100B6" w:rsidP="00E100B6">
      <w:pPr>
        <w:rPr>
          <w:i/>
        </w:rPr>
      </w:pPr>
      <w:r w:rsidRPr="007B16F5">
        <w:t xml:space="preserve">L'effet cumulé de tous les brouilleurs ne doit donc pas excéder un </w:t>
      </w:r>
      <w:r w:rsidRPr="007B16F5">
        <w:rPr>
          <w:i/>
          <w:iCs/>
        </w:rPr>
        <w:t>I</w:t>
      </w:r>
      <w:r w:rsidRPr="007B16F5">
        <w:rPr>
          <w:vertAlign w:val="subscript"/>
        </w:rPr>
        <w:t>0</w:t>
      </w:r>
      <w:r w:rsidRPr="007B16F5">
        <w:t>/</w:t>
      </w:r>
      <w:r w:rsidRPr="007B16F5">
        <w:rPr>
          <w:i/>
          <w:iCs/>
        </w:rPr>
        <w:t>N</w:t>
      </w:r>
      <w:r w:rsidRPr="007B16F5">
        <w:rPr>
          <w:vertAlign w:val="subscript"/>
        </w:rPr>
        <w:t xml:space="preserve">0 </w:t>
      </w:r>
      <w:r w:rsidRPr="007B16F5">
        <w:t>= –1,3 dB.</w:t>
      </w:r>
    </w:p>
    <w:p w:rsidR="00E100B6" w:rsidRPr="007B16F5" w:rsidRDefault="00E100B6" w:rsidP="00E100B6">
      <w:r w:rsidRPr="007B16F5">
        <w:t xml:space="preserve">Pour des terminaux LEOLUT ayant un gain d'antenne </w:t>
      </w:r>
      <w:r w:rsidRPr="007B16F5">
        <w:rPr>
          <w:i/>
          <w:iCs/>
        </w:rPr>
        <w:t>G</w:t>
      </w:r>
      <w:r w:rsidRPr="007B16F5">
        <w:t xml:space="preserve"> de 26,7 dB et une température de bruit du système, </w:t>
      </w:r>
      <w:r w:rsidRPr="007B16F5">
        <w:rPr>
          <w:i/>
          <w:iCs/>
        </w:rPr>
        <w:t>T</w:t>
      </w:r>
      <w:r w:rsidRPr="007B16F5">
        <w:t xml:space="preserve"> de 22,4 dBK au niveau de l'AFB LEOLUT, la densité spectrale de la puissance de bruit en l'absence de brouillage, </w:t>
      </w:r>
      <w:r w:rsidRPr="007B16F5">
        <w:rPr>
          <w:i/>
          <w:iCs/>
        </w:rPr>
        <w:t>N</w:t>
      </w:r>
      <w:r w:rsidRPr="007B16F5">
        <w:rPr>
          <w:vertAlign w:val="subscript"/>
        </w:rPr>
        <w:t>0</w:t>
      </w:r>
      <w:r w:rsidRPr="007B16F5">
        <w:t xml:space="preserve">, est le produit de la constante de Boltzmann, </w:t>
      </w:r>
      <w:r w:rsidRPr="007B16F5">
        <w:rPr>
          <w:i/>
          <w:iCs/>
        </w:rPr>
        <w:t>k</w:t>
      </w:r>
      <w:r w:rsidRPr="007B16F5">
        <w:rPr>
          <w:iCs/>
        </w:rPr>
        <w:t>,</w:t>
      </w:r>
      <w:r w:rsidRPr="007B16F5">
        <w:t xml:space="preserve"> et de la température de bruit </w:t>
      </w:r>
      <w:r w:rsidRPr="007B16F5">
        <w:rPr>
          <w:i/>
          <w:iCs/>
        </w:rPr>
        <w:t>T</w:t>
      </w:r>
      <w:r w:rsidRPr="007B16F5">
        <w:t xml:space="preserve">, soit </w:t>
      </w:r>
      <w:r w:rsidRPr="007B16F5">
        <w:rPr>
          <w:i/>
          <w:iCs/>
        </w:rPr>
        <w:t>N</w:t>
      </w:r>
      <w:r w:rsidRPr="007B16F5">
        <w:rPr>
          <w:vertAlign w:val="subscript"/>
        </w:rPr>
        <w:t>0</w:t>
      </w:r>
      <w:r w:rsidRPr="007B16F5">
        <w:t xml:space="preserve"> = </w:t>
      </w:r>
      <w:r w:rsidRPr="007B16F5">
        <w:rPr>
          <w:i/>
          <w:iCs/>
        </w:rPr>
        <w:t>k T</w:t>
      </w:r>
      <w:r w:rsidRPr="007B16F5">
        <w:t>, et est exprimée en dB comme suit:</w:t>
      </w:r>
    </w:p>
    <w:p w:rsidR="00E100B6" w:rsidRPr="007B16F5" w:rsidRDefault="00E100B6" w:rsidP="00E100B6">
      <w:pPr>
        <w:pStyle w:val="Blanc"/>
        <w:rPr>
          <w:lang w:val="fr-FR"/>
        </w:rPr>
      </w:pPr>
    </w:p>
    <w:p w:rsidR="00E100B6" w:rsidRPr="007B16F5" w:rsidRDefault="00E100B6" w:rsidP="00E100B6">
      <w:pPr>
        <w:pStyle w:val="Equation"/>
      </w:pPr>
      <w:r w:rsidRPr="007B16F5">
        <w:tab/>
      </w:r>
      <w:r w:rsidRPr="007B16F5">
        <w:tab/>
      </w:r>
      <w:r w:rsidRPr="007B16F5">
        <w:rPr>
          <w:i/>
          <w:iCs/>
        </w:rPr>
        <w:t>N</w:t>
      </w:r>
      <w:r w:rsidRPr="007B16F5">
        <w:rPr>
          <w:vertAlign w:val="subscript"/>
        </w:rPr>
        <w:t xml:space="preserve">0 </w:t>
      </w:r>
      <w:r w:rsidRPr="007B16F5">
        <w:t>= –228,6 + 22,4 = –206,2 </w:t>
      </w:r>
      <w:proofErr w:type="gramStart"/>
      <w:r w:rsidRPr="007B16F5">
        <w:t>dB(</w:t>
      </w:r>
      <w:proofErr w:type="gramEnd"/>
      <w:r w:rsidRPr="007B16F5">
        <w:t>W/Hz)</w:t>
      </w:r>
    </w:p>
    <w:p w:rsidR="00E100B6" w:rsidRPr="007B16F5" w:rsidRDefault="00E100B6" w:rsidP="00E100B6">
      <w:pPr>
        <w:pStyle w:val="Blanc"/>
        <w:rPr>
          <w:lang w:val="fr-FR"/>
        </w:rPr>
      </w:pPr>
    </w:p>
    <w:p w:rsidR="00E100B6" w:rsidRPr="007B16F5" w:rsidRDefault="00E100B6" w:rsidP="00E100B6">
      <w:r w:rsidRPr="007B16F5">
        <w:t xml:space="preserve">En conséquence, la densité spectrale maximale de la puissance </w:t>
      </w:r>
      <w:r>
        <w:t>de brouillage provenant de tous </w:t>
      </w:r>
      <w:r w:rsidRPr="007B16F5">
        <w:t xml:space="preserve">les émetteurs brouilleurs, </w:t>
      </w:r>
      <w:proofErr w:type="gramStart"/>
      <w:r w:rsidRPr="007B16F5">
        <w:rPr>
          <w:i/>
          <w:iCs/>
        </w:rPr>
        <w:t>I</w:t>
      </w:r>
      <w:r w:rsidRPr="007B16F5">
        <w:rPr>
          <w:vertAlign w:val="subscript"/>
        </w:rPr>
        <w:t>0</w:t>
      </w:r>
      <w:r w:rsidRPr="007B16F5">
        <w:t>(</w:t>
      </w:r>
      <w:proofErr w:type="gramEnd"/>
      <w:r w:rsidRPr="007B16F5">
        <w:t>max), au niveau de l'AFB L</w:t>
      </w:r>
      <w:r>
        <w:t>EOLUT à l'intérieur de la bande </w:t>
      </w:r>
      <w:r w:rsidRPr="007B16F5">
        <w:t>1 544,5 MHz </w:t>
      </w:r>
      <w:r w:rsidRPr="007B16F5">
        <w:sym w:font="Symbol" w:char="F0B1"/>
      </w:r>
      <w:r w:rsidRPr="007B16F5">
        <w:t> 50 kHz ne doit pas excéder la valeur suivante:</w:t>
      </w:r>
    </w:p>
    <w:p w:rsidR="00E100B6" w:rsidRPr="007B16F5" w:rsidRDefault="00E100B6" w:rsidP="00E100B6">
      <w:pPr>
        <w:pStyle w:val="Blanc"/>
        <w:rPr>
          <w:lang w:val="fr-FR"/>
        </w:rPr>
      </w:pPr>
    </w:p>
    <w:p w:rsidR="00E100B6" w:rsidRPr="00D842BB" w:rsidRDefault="00E100B6" w:rsidP="00E100B6">
      <w:pPr>
        <w:pStyle w:val="Equation"/>
        <w:rPr>
          <w:lang w:val="en-GB"/>
        </w:rPr>
      </w:pPr>
      <w:r w:rsidRPr="007B16F5">
        <w:tab/>
      </w:r>
      <w:r w:rsidRPr="007B16F5">
        <w:tab/>
      </w:r>
      <w:proofErr w:type="gramStart"/>
      <w:r w:rsidRPr="00D842BB">
        <w:rPr>
          <w:i/>
          <w:iCs/>
          <w:lang w:val="en-GB"/>
        </w:rPr>
        <w:t>I</w:t>
      </w:r>
      <w:r w:rsidRPr="00D842BB">
        <w:rPr>
          <w:vertAlign w:val="subscript"/>
          <w:lang w:val="en-GB"/>
        </w:rPr>
        <w:t>0</w:t>
      </w:r>
      <w:r w:rsidRPr="00D842BB">
        <w:rPr>
          <w:lang w:val="en-GB"/>
        </w:rPr>
        <w:t>(</w:t>
      </w:r>
      <w:proofErr w:type="gramEnd"/>
      <w:r w:rsidRPr="00D842BB">
        <w:rPr>
          <w:lang w:val="en-GB"/>
        </w:rPr>
        <w:t xml:space="preserve">max) = </w:t>
      </w:r>
      <w:r w:rsidRPr="00D842BB">
        <w:rPr>
          <w:i/>
          <w:iCs/>
          <w:lang w:val="en-GB"/>
        </w:rPr>
        <w:t>N</w:t>
      </w:r>
      <w:r w:rsidRPr="00D842BB">
        <w:rPr>
          <w:vertAlign w:val="subscript"/>
          <w:lang w:val="en-GB"/>
        </w:rPr>
        <w:t xml:space="preserve">0 </w:t>
      </w:r>
      <w:r w:rsidRPr="00D842BB">
        <w:rPr>
          <w:lang w:val="en-GB"/>
        </w:rPr>
        <w:t>– 1,3 = –207,5 dB(W/Hz)</w:t>
      </w:r>
    </w:p>
    <w:p w:rsidR="00E100B6" w:rsidRPr="007B16F5" w:rsidRDefault="00E100B6" w:rsidP="00E100B6">
      <w:r w:rsidRPr="007B16F5">
        <w:t xml:space="preserve">Il est souhaitable de décrire les critères de protection en termes de seuil de brouillage spfd exprimé en </w:t>
      </w:r>
      <w:proofErr w:type="gramStart"/>
      <w:r w:rsidRPr="007B16F5">
        <w:t>dB(</w:t>
      </w:r>
      <w:proofErr w:type="gramEnd"/>
      <w:r w:rsidRPr="007B16F5">
        <w:t>W/m</w:t>
      </w:r>
      <w:r w:rsidRPr="007B16F5">
        <w:rPr>
          <w:vertAlign w:val="superscript"/>
        </w:rPr>
        <w:t xml:space="preserve">2 </w:t>
      </w:r>
      <w:r w:rsidRPr="007B16F5">
        <w:t xml:space="preserve">∙ Hz) à l'entrée de l'antenne du terminal LEOLUT. L'ouverture effective d'une antenne ayant un gain </w:t>
      </w:r>
      <w:r w:rsidRPr="007B16F5">
        <w:rPr>
          <w:i/>
          <w:iCs/>
        </w:rPr>
        <w:t>G</w:t>
      </w:r>
      <w:r w:rsidRPr="007B16F5">
        <w:t xml:space="preserve"> est de </w:t>
      </w:r>
      <w:r w:rsidRPr="007B16F5">
        <w:rPr>
          <w:i/>
          <w:iCs/>
        </w:rPr>
        <w:t>A</w:t>
      </w:r>
      <w:r w:rsidRPr="007B16F5">
        <w:rPr>
          <w:i/>
          <w:iCs/>
          <w:szCs w:val="24"/>
          <w:vertAlign w:val="subscript"/>
        </w:rPr>
        <w:t>e</w:t>
      </w:r>
      <w:r w:rsidRPr="007B16F5">
        <w:rPr>
          <w:i/>
          <w:iCs/>
        </w:rPr>
        <w:t xml:space="preserve"> </w:t>
      </w:r>
      <w:r w:rsidRPr="007B16F5">
        <w:t xml:space="preserve">= </w:t>
      </w:r>
      <w:r w:rsidRPr="007B16F5">
        <w:rPr>
          <w:i/>
          <w:iCs/>
        </w:rPr>
        <w:t>G</w:t>
      </w:r>
      <w:r w:rsidRPr="007B16F5">
        <w:t>λ</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Le gain d'antenne du terminal LEOLUT de 26,7 dB donne une ouverture de </w:t>
      </w:r>
      <w:r w:rsidRPr="007B16F5">
        <w:rPr>
          <w:i/>
          <w:iCs/>
        </w:rPr>
        <w:t>A</w:t>
      </w:r>
      <w:r w:rsidRPr="007B16F5">
        <w:rPr>
          <w:i/>
          <w:iCs/>
          <w:szCs w:val="24"/>
          <w:vertAlign w:val="subscript"/>
        </w:rPr>
        <w:t>e</w:t>
      </w:r>
      <w:r w:rsidRPr="007B16F5">
        <w:rPr>
          <w:i/>
          <w:iCs/>
        </w:rPr>
        <w:t xml:space="preserve"> </w:t>
      </w:r>
      <w:r w:rsidRPr="007B16F5">
        <w:t>= 1,4 m</w:t>
      </w:r>
      <w:r w:rsidRPr="007B16F5">
        <w:rPr>
          <w:vertAlign w:val="superscript"/>
        </w:rPr>
        <w:t>2</w:t>
      </w:r>
      <w:r w:rsidRPr="007B16F5">
        <w:t>. En conséquence, le niveau maximum de tous les brouillages sur la liaison descendante est de:</w:t>
      </w:r>
    </w:p>
    <w:p w:rsidR="00E100B6" w:rsidRPr="00E100B6" w:rsidRDefault="00E100B6" w:rsidP="00E100B6">
      <w:pPr>
        <w:tabs>
          <w:tab w:val="left" w:pos="3402"/>
        </w:tabs>
        <w:rPr>
          <w:lang w:val="en-US"/>
        </w:rPr>
      </w:pPr>
      <w:r w:rsidRPr="007B16F5">
        <w:tab/>
      </w:r>
      <w:r w:rsidRPr="007B16F5">
        <w:tab/>
      </w:r>
      <w:r>
        <w:tab/>
      </w:r>
      <w:r>
        <w:tab/>
        <w:t xml:space="preserve">                </w:t>
      </w:r>
      <w:proofErr w:type="gramStart"/>
      <w:r w:rsidRPr="00E100B6">
        <w:rPr>
          <w:lang w:val="en-US"/>
        </w:rPr>
        <w:t>spfd</w:t>
      </w:r>
      <w:proofErr w:type="gramEnd"/>
      <w:r w:rsidRPr="00E100B6">
        <w:rPr>
          <w:lang w:val="en-US"/>
        </w:rPr>
        <w:tab/>
        <w:t xml:space="preserve">= </w:t>
      </w:r>
      <w:r w:rsidRPr="00E100B6">
        <w:rPr>
          <w:i/>
          <w:iCs/>
          <w:lang w:val="en-US"/>
        </w:rPr>
        <w:t>I</w:t>
      </w:r>
      <w:r w:rsidRPr="00E100B6">
        <w:rPr>
          <w:vertAlign w:val="subscript"/>
          <w:lang w:val="en-US"/>
        </w:rPr>
        <w:t>0</w:t>
      </w:r>
      <w:r w:rsidRPr="00E100B6">
        <w:rPr>
          <w:lang w:val="en-US"/>
        </w:rPr>
        <w:t>/</w:t>
      </w:r>
      <w:r w:rsidRPr="00E100B6">
        <w:rPr>
          <w:i/>
          <w:iCs/>
          <w:lang w:val="en-US"/>
        </w:rPr>
        <w:t>A</w:t>
      </w:r>
      <w:r w:rsidRPr="00E100B6">
        <w:rPr>
          <w:i/>
          <w:iCs/>
          <w:szCs w:val="24"/>
          <w:vertAlign w:val="subscript"/>
          <w:lang w:val="en-US"/>
        </w:rPr>
        <w:t>e</w:t>
      </w:r>
      <w:r w:rsidRPr="00E100B6">
        <w:rPr>
          <w:lang w:val="en-US"/>
        </w:rPr>
        <w:t xml:space="preserve"> = –207,5 – 10 log (1,4)</w:t>
      </w:r>
    </w:p>
    <w:p w:rsidR="00E100B6" w:rsidRPr="00E100B6" w:rsidRDefault="00E100B6" w:rsidP="00E100B6">
      <w:pPr>
        <w:tabs>
          <w:tab w:val="left" w:pos="3402"/>
        </w:tabs>
        <w:rPr>
          <w:lang w:val="en-US"/>
        </w:rPr>
      </w:pPr>
      <w:r w:rsidRPr="00E100B6">
        <w:rPr>
          <w:lang w:val="en-US"/>
        </w:rPr>
        <w:tab/>
      </w:r>
      <w:r w:rsidRPr="00E100B6">
        <w:rPr>
          <w:lang w:val="en-US"/>
        </w:rPr>
        <w:tab/>
      </w:r>
      <w:r w:rsidRPr="00E100B6">
        <w:rPr>
          <w:lang w:val="en-US"/>
        </w:rPr>
        <w:tab/>
      </w:r>
      <w:r w:rsidRPr="00E100B6">
        <w:rPr>
          <w:lang w:val="en-US"/>
        </w:rPr>
        <w:tab/>
      </w:r>
      <w:r w:rsidRPr="00E100B6">
        <w:rPr>
          <w:lang w:val="en-US"/>
        </w:rPr>
        <w:tab/>
        <w:t>= –209</w:t>
      </w:r>
      <w:proofErr w:type="gramStart"/>
      <w:r w:rsidRPr="00E100B6">
        <w:rPr>
          <w:lang w:val="en-US"/>
        </w:rPr>
        <w:t>,0</w:t>
      </w:r>
      <w:proofErr w:type="gramEnd"/>
      <w:r w:rsidRPr="00E100B6">
        <w:rPr>
          <w:lang w:val="en-US"/>
        </w:rPr>
        <w:t xml:space="preserve"> dB(W/(m</w:t>
      </w:r>
      <w:r w:rsidRPr="00E100B6">
        <w:rPr>
          <w:vertAlign w:val="superscript"/>
          <w:lang w:val="en-US"/>
        </w:rPr>
        <w:t xml:space="preserve">2 </w:t>
      </w:r>
      <w:r w:rsidRPr="00E100B6">
        <w:rPr>
          <w:lang w:val="en-US"/>
        </w:rPr>
        <w:t>∙ Hz))</w:t>
      </w:r>
    </w:p>
    <w:p w:rsidR="00E100B6" w:rsidRPr="007B16F5" w:rsidRDefault="00E100B6" w:rsidP="00E100B6">
      <w:r w:rsidRPr="007B16F5">
        <w:t xml:space="preserve">Le niveau maximum du brouillage à caractère de </w:t>
      </w:r>
      <w:r>
        <w:t>bruit large bande dans la bande </w:t>
      </w:r>
      <w:r w:rsidRPr="007B16F5">
        <w:t>1 544,5 MHz ± 50 kHz ne doit pas excéder –209,0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pPr>
        <w:pStyle w:val="Heading1"/>
      </w:pPr>
      <w:r w:rsidRPr="007B16F5">
        <w:t>4</w:t>
      </w:r>
      <w:r w:rsidRPr="007B16F5">
        <w:tab/>
        <w:t>Procédure pour calculer le niveau de brouillage causé au canal SARP du système LEOSAR</w:t>
      </w:r>
    </w:p>
    <w:p w:rsidR="00E100B6" w:rsidRPr="007B16F5" w:rsidRDefault="00E100B6" w:rsidP="00E100B6">
      <w:r w:rsidRPr="007B16F5">
        <w:t xml:space="preserve">Les brouillages causés au système Cospas-Sarsat sont souvent dus aux rayonnements hors bande émis par des services dans des bandes adjacentes ou presque, par exemple les </w:t>
      </w:r>
      <w:r>
        <w:t>attributions faites au </w:t>
      </w:r>
      <w:r w:rsidRPr="007B16F5">
        <w:t>SMS dans le sens espace vers Terre.</w:t>
      </w:r>
    </w:p>
    <w:p w:rsidR="00E100B6" w:rsidRPr="007B16F5" w:rsidRDefault="00E100B6" w:rsidP="00E100B6">
      <w:r w:rsidRPr="007B16F5">
        <w:t>Il convient d'examiner la largeur de bande à l'émission pour déterminer si l'énergie est transmise dans la gamme de fréquences 1 544,5 MHz ± 50 kHz, en faisant particulièrement attention, en analysant l'incidence des systèmes mobiles (par exemple satellites non géostationnaires et émetteurs embarqués), de tenir compte de l'effet Doppler qu'ils génèrent par leur déplacement.</w:t>
      </w:r>
    </w:p>
    <w:p w:rsidR="00E100B6" w:rsidRPr="007B16F5" w:rsidRDefault="00E100B6" w:rsidP="00E100B6">
      <w:r w:rsidRPr="007B16F5">
        <w:t xml:space="preserve">On calculera le niveau de la spfd à l'antenne du terminal LEOLUT. Le niveau total de toutes les sources de brouillage ne doit pas excéder –209,0 </w:t>
      </w:r>
      <w:proofErr w:type="gramStart"/>
      <w:r w:rsidRPr="007B16F5">
        <w:t>dB(</w:t>
      </w:r>
      <w:proofErr w:type="gramEnd"/>
      <w:r w:rsidRPr="007B16F5">
        <w:t>W/(m</w:t>
      </w:r>
      <w:r w:rsidRPr="007B16F5">
        <w:rPr>
          <w:vertAlign w:val="superscript"/>
        </w:rPr>
        <w:t xml:space="preserve">2 </w:t>
      </w:r>
      <w:r w:rsidRPr="007B16F5">
        <w:t>∙ Hz)) dans une quelconque portion de la gamme 1 544,5 MHz ± 50 kHz.</w:t>
      </w:r>
    </w:p>
    <w:p w:rsidR="00E100B6" w:rsidRPr="007B16F5" w:rsidRDefault="00E100B6" w:rsidP="00E100B6"/>
    <w:p w:rsidR="00E100B6" w:rsidRPr="007B16F5" w:rsidRDefault="00E100B6" w:rsidP="00E100B6">
      <w:pPr>
        <w:pStyle w:val="AnnexNoTitle"/>
      </w:pPr>
      <w:r w:rsidRPr="007B16F5">
        <w:t>Annexe 3</w:t>
      </w:r>
      <w:r w:rsidRPr="007B16F5">
        <w:br/>
      </w:r>
      <w:r w:rsidRPr="007B16F5">
        <w:br/>
        <w:t xml:space="preserve">Critères de protection dans la bande </w:t>
      </w:r>
      <w:r w:rsidRPr="007B16F5">
        <w:rPr>
          <w:caps/>
        </w:rPr>
        <w:t>1 544-1 545 MH</w:t>
      </w:r>
      <w:r w:rsidRPr="007B16F5">
        <w:t>z</w:t>
      </w:r>
      <w:r w:rsidRPr="007B16F5">
        <w:rPr>
          <w:caps/>
        </w:rPr>
        <w:t xml:space="preserve"> </w:t>
      </w:r>
      <w:r w:rsidRPr="007B16F5">
        <w:t xml:space="preserve">pour les services de répéteurs (SARR) sur </w:t>
      </w:r>
      <w:r w:rsidRPr="007B16F5">
        <w:rPr>
          <w:caps/>
        </w:rPr>
        <w:t>406 mh</w:t>
      </w:r>
      <w:r w:rsidRPr="007B16F5">
        <w:t>z</w:t>
      </w:r>
      <w:r w:rsidRPr="007B16F5">
        <w:rPr>
          <w:caps/>
        </w:rPr>
        <w:t xml:space="preserve"> </w:t>
      </w:r>
      <w:r w:rsidRPr="007B16F5">
        <w:t>des satellites Sarsat contre les brouillages</w:t>
      </w:r>
      <w:r w:rsidRPr="007B16F5">
        <w:br/>
        <w:t>provenant de rayonnements à large bande</w:t>
      </w:r>
    </w:p>
    <w:p w:rsidR="00E100B6" w:rsidRPr="007B16F5" w:rsidRDefault="00E100B6" w:rsidP="00E100B6">
      <w:pPr>
        <w:pStyle w:val="Heading1"/>
      </w:pPr>
      <w:r w:rsidRPr="007B16F5">
        <w:t>1</w:t>
      </w:r>
      <w:r w:rsidRPr="007B16F5">
        <w:tab/>
        <w:t>Généralités</w:t>
      </w:r>
    </w:p>
    <w:p w:rsidR="00E100B6" w:rsidRPr="007B16F5" w:rsidRDefault="00E100B6" w:rsidP="00E100B6">
      <w:r w:rsidRPr="007B16F5">
        <w:t>Le canal SARR sur 406 MHz des satellites Sarsat occupe approximativement 100 kHz de spectre débutant 120 kHz au-dessus et au-dessous de la porteuse à 1 544,5 MHz. Toutefois, étant donné la dérive de fréquences admissible résultant du vieillissement de l'émetteur satellite, le décalage Doppler causé par le déplacement du satellite Sarsat, une bande de garde minimale et l'étalement du signal dû au processus de modulation, les terminaux LEOLUT ont besoin de 220 kHz de spectre débutant 80 kHz au-dessus et au-dessous de la porteuse à 1 544,5 MHz pour traiter le canal SARR sur 406 MHz.</w:t>
      </w:r>
    </w:p>
    <w:p w:rsidR="00E100B6" w:rsidRPr="007B16F5" w:rsidRDefault="00E100B6" w:rsidP="00E100B6">
      <w:r w:rsidRPr="007B16F5">
        <w:lastRenderedPageBreak/>
        <w:t>La fréquence occupée par le canal SARR est illustrée à la Fig. 2.</w:t>
      </w:r>
    </w:p>
    <w:p w:rsidR="00E100B6" w:rsidRPr="000863E1" w:rsidRDefault="00E100B6" w:rsidP="00E100B6">
      <w:pPr>
        <w:pStyle w:val="FigureNo"/>
        <w:rPr>
          <w:sz w:val="20"/>
        </w:rPr>
      </w:pPr>
      <w:r w:rsidRPr="000863E1">
        <w:rPr>
          <w:sz w:val="20"/>
        </w:rPr>
        <w:t>Figure 2</w:t>
      </w:r>
    </w:p>
    <w:p w:rsidR="00E100B6" w:rsidRPr="000863E1" w:rsidRDefault="00E100B6" w:rsidP="00E100B6">
      <w:pPr>
        <w:pStyle w:val="Figuretitle"/>
        <w:rPr>
          <w:sz w:val="20"/>
        </w:rPr>
      </w:pPr>
      <w:r w:rsidRPr="000863E1">
        <w:rPr>
          <w:sz w:val="20"/>
        </w:rPr>
        <w:t>Spectre des signaux sur la liaison descendante dans la bande 1 544,5 MHz des satellites Sarsat</w:t>
      </w:r>
    </w:p>
    <w:p w:rsidR="00E100B6" w:rsidRPr="007B16F5" w:rsidRDefault="005B03CA" w:rsidP="009D58A6">
      <w:pPr>
        <w:pStyle w:val="Figure"/>
      </w:pPr>
      <w:r>
        <w:object w:dxaOrig="9852" w:dyaOrig="6070">
          <v:shape id="_x0000_i1026" type="#_x0000_t75" style="width:409pt;height:252pt" o:ole="">
            <v:imagedata r:id="rId16" o:title=""/>
          </v:shape>
          <o:OLEObject Type="Embed" ProgID="CorelDRAW.Graphic.14" ShapeID="_x0000_i1026" DrawAspect="Content" ObjectID="_1364302897" r:id="rId17"/>
        </w:object>
      </w:r>
    </w:p>
    <w:p w:rsidR="00E100B6" w:rsidRPr="007B16F5" w:rsidRDefault="00E100B6" w:rsidP="00E100B6">
      <w:pPr>
        <w:pStyle w:val="Heading1"/>
      </w:pPr>
      <w:r w:rsidRPr="007B16F5">
        <w:t>2</w:t>
      </w:r>
      <w:r w:rsidRPr="007B16F5">
        <w:tab/>
        <w:t>Qualité de fonctionnement minimale acceptable pour la détection des signaux des RLS relayés par le canal SARR à 406 MHz des satellites Sarsat</w:t>
      </w:r>
    </w:p>
    <w:p w:rsidR="00E100B6" w:rsidRPr="007B16F5" w:rsidRDefault="00E100B6" w:rsidP="00E100B6">
      <w:r w:rsidRPr="007B16F5">
        <w:t>Pour détecter et localiser avec précision les radiobalises de détresse à 406 MHz utilisant les répéteurs à satellite sur 406 MHz des satellites Sarsat, le taux d'e</w:t>
      </w:r>
      <w:r>
        <w:t>rreur binaire du canal SARR sur </w:t>
      </w:r>
      <w:r w:rsidRPr="007B16F5">
        <w:t>406 MHz des satellites Sarsat ne doit pas excéder 5 × 10</w:t>
      </w:r>
      <w:r w:rsidRPr="007B16F5">
        <w:rPr>
          <w:vertAlign w:val="superscript"/>
        </w:rPr>
        <w:t>–5</w:t>
      </w:r>
      <w:r w:rsidRPr="007B16F5">
        <w:t>.</w:t>
      </w:r>
    </w:p>
    <w:p w:rsidR="00E100B6" w:rsidRPr="007B16F5" w:rsidRDefault="00E100B6" w:rsidP="00E100B6">
      <w:pPr>
        <w:pStyle w:val="Heading1"/>
      </w:pPr>
      <w:r w:rsidRPr="007B16F5">
        <w:rPr>
          <w:caps/>
        </w:rPr>
        <w:t>3</w:t>
      </w:r>
      <w:r w:rsidRPr="007B16F5">
        <w:rPr>
          <w:caps/>
        </w:rPr>
        <w:tab/>
      </w:r>
      <w:r w:rsidRPr="007B16F5">
        <w:t>Analyse de la spfd de brouillage</w:t>
      </w:r>
    </w:p>
    <w:p w:rsidR="00E100B6" w:rsidRDefault="00E100B6" w:rsidP="00E100B6">
      <w:r w:rsidRPr="007B16F5">
        <w:t>Le TEB d'un canal de télécommunication est égal à l'énergie contenue dans chaque bit de données, </w:t>
      </w:r>
      <w:r w:rsidRPr="007B16F5">
        <w:rPr>
          <w:i/>
          <w:iCs/>
        </w:rPr>
        <w:t>E</w:t>
      </w:r>
      <w:r w:rsidRPr="007B16F5">
        <w:rPr>
          <w:i/>
          <w:iCs/>
          <w:vertAlign w:val="subscript"/>
        </w:rPr>
        <w:t>b</w:t>
      </w:r>
      <w:r w:rsidRPr="007B16F5">
        <w:t xml:space="preserve">, rapporté à la densité de bruit. La densité de bruit totale est la somme du bruit provoqué par l'équipement Cospas-Sarsat, </w:t>
      </w:r>
      <w:r w:rsidRPr="007B16F5">
        <w:rPr>
          <w:i/>
          <w:iCs/>
        </w:rPr>
        <w:t>N</w:t>
      </w:r>
      <w:r w:rsidRPr="007B16F5">
        <w:rPr>
          <w:vertAlign w:val="subscript"/>
        </w:rPr>
        <w:t>0</w:t>
      </w:r>
      <w:r w:rsidRPr="007B16F5">
        <w:t>, et du bruit causé par le brouillage provenant d'autres systèmes, </w:t>
      </w:r>
      <w:r w:rsidRPr="007B16F5">
        <w:rPr>
          <w:i/>
          <w:iCs/>
        </w:rPr>
        <w:t>I</w:t>
      </w:r>
      <w:r w:rsidRPr="007B16F5">
        <w:rPr>
          <w:vertAlign w:val="subscript"/>
        </w:rPr>
        <w:t>0</w:t>
      </w:r>
      <w:r w:rsidRPr="007B16F5">
        <w:t>. La Fig. 3 illustre le canal SARR sur 406 MHz en présence de brouillage sur la liaison descendante.</w:t>
      </w:r>
    </w:p>
    <w:p w:rsidR="00E100B6" w:rsidRPr="000863E1" w:rsidRDefault="00E100B6" w:rsidP="00E100B6">
      <w:pPr>
        <w:pStyle w:val="FigureNo"/>
        <w:rPr>
          <w:sz w:val="20"/>
        </w:rPr>
      </w:pPr>
      <w:r w:rsidRPr="000863E1">
        <w:rPr>
          <w:sz w:val="20"/>
        </w:rPr>
        <w:lastRenderedPageBreak/>
        <w:t>figure 3</w:t>
      </w:r>
    </w:p>
    <w:p w:rsidR="00E100B6" w:rsidRPr="000863E1" w:rsidRDefault="00E100B6" w:rsidP="00E100B6">
      <w:pPr>
        <w:pStyle w:val="Figuretitle"/>
        <w:rPr>
          <w:sz w:val="20"/>
          <w:lang w:val="fr-CH"/>
        </w:rPr>
      </w:pPr>
      <w:r w:rsidRPr="000863E1">
        <w:rPr>
          <w:sz w:val="20"/>
        </w:rPr>
        <w:t xml:space="preserve">Répéteurs SARR à 406 MHz de </w:t>
      </w:r>
      <w:r w:rsidRPr="000863E1">
        <w:rPr>
          <w:rFonts w:cs="Arial"/>
          <w:sz w:val="20"/>
          <w:lang w:val="fr-CH"/>
        </w:rPr>
        <w:t>satellite</w:t>
      </w:r>
      <w:r w:rsidRPr="000863E1">
        <w:rPr>
          <w:sz w:val="20"/>
          <w:lang w:val="fr-CH"/>
        </w:rPr>
        <w:t xml:space="preserve">s Sarsat en présence de brouillage </w:t>
      </w:r>
      <w:r w:rsidRPr="000863E1">
        <w:rPr>
          <w:sz w:val="20"/>
          <w:lang w:val="fr-CH"/>
        </w:rPr>
        <w:br/>
        <w:t>sur la liaison descendante</w:t>
      </w:r>
    </w:p>
    <w:p w:rsidR="00E100B6" w:rsidRPr="007B16F5" w:rsidRDefault="00E100B6" w:rsidP="00E100B6">
      <w:pPr>
        <w:pStyle w:val="Figure"/>
      </w:pPr>
      <w:r>
        <w:object w:dxaOrig="11669" w:dyaOrig="6412">
          <v:shape id="_x0000_i1027" type="#_x0000_t75" style="width:475pt;height:261pt" o:ole="">
            <v:imagedata r:id="rId18" o:title=""/>
          </v:shape>
          <o:OLEObject Type="Embed" ProgID="CorelDRAW.Graphic.14" ShapeID="_x0000_i1027" DrawAspect="Content" ObjectID="_1364302898" r:id="rId19"/>
        </w:object>
      </w:r>
    </w:p>
    <w:p w:rsidR="00E100B6" w:rsidRPr="007B16F5" w:rsidRDefault="00E100B6" w:rsidP="00E100B6">
      <w:pPr>
        <w:pStyle w:val="Normalaftertitle"/>
      </w:pPr>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LEOLUT soit égal ou supérieur à 8,8 dB. La présente analyse vise à déterminer la quantité maximale de brouillage à caractère de bruit large bande, exprimée en termes de spfd, par rapport à l'entrée de l'antenne du terminal LEOLUT, pouvant être supportée sans que la qualité de la liaison globale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00B6" w:rsidRPr="007B16F5" w:rsidRDefault="00E100B6" w:rsidP="00E100B6">
      <w:r w:rsidRPr="007B16F5">
        <w:t>Comme il ressort de la Fig. 3, le canal SARR sur 406 MHz est modulé en phase sur une porteuse descendante à 1 544,5 MHz aux fins de détection et traitement par les terminaux LEOLUT. Le gain d'antenne et la température de bruit du système sont respectivement de 26,7 dB et 173,8 K pour un terminal LEOLUT.</w:t>
      </w:r>
    </w:p>
    <w:p w:rsidR="00E100B6" w:rsidRPr="007B16F5" w:rsidRDefault="00E100B6" w:rsidP="00E100B6">
      <w:r w:rsidRPr="007B16F5">
        <w:t xml:space="preserve">Le signal de la RLS présente un angle d'élévation par rapport à l'engin spatial de 5°. En l'absence de sources de brouillage externes, le rapport total </w:t>
      </w:r>
      <w:r w:rsidRPr="007B16F5">
        <w:rPr>
          <w:i/>
          <w:iCs/>
        </w:rPr>
        <w:t>C</w:t>
      </w:r>
      <w:r w:rsidRPr="007B16F5">
        <w:t>/</w:t>
      </w:r>
      <w:r w:rsidRPr="007B16F5">
        <w:rPr>
          <w:i/>
          <w:iCs/>
        </w:rPr>
        <w:t>N</w:t>
      </w:r>
      <w:r w:rsidRPr="007B16F5">
        <w:rPr>
          <w:vertAlign w:val="subscript"/>
        </w:rPr>
        <w:t>0</w:t>
      </w:r>
      <w:r w:rsidRPr="007B16F5">
        <w:t xml:space="preserve"> est de 38,8</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12,8 dB. Compte tenu des pertes de mise en œuvre et de démodulation des données de la radiobalise ainsi que des gains de traitement,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10,8 dB. Comme il faut que sur le canal le rapport total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qu'un brouillage large bande sur la liaison descendante réduise le rapport global porteuse sur bruit, plus densité de brouillage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w:t>
      </w:r>
      <w:r w:rsidRPr="007B16F5">
        <w:rPr>
          <w:vertAlign w:val="subscript"/>
        </w:rPr>
        <w:t xml:space="preserve"> </w:t>
      </w:r>
      <w:r w:rsidRPr="007B16F5">
        <w:t>de plus de 2,0 dB.</w:t>
      </w:r>
    </w:p>
    <w:p w:rsidR="00E100B6" w:rsidRPr="007B16F5" w:rsidRDefault="00E100B6" w:rsidP="00E100B6">
      <w:r w:rsidRPr="007B16F5">
        <w:t xml:space="preserve">Puisqu'en l'absence de brouillage le rapport global </w:t>
      </w:r>
      <w:r w:rsidRPr="007B16F5">
        <w:rPr>
          <w:i/>
          <w:iCs/>
        </w:rPr>
        <w:t>C</w:t>
      </w:r>
      <w:r w:rsidRPr="007B16F5">
        <w:t>/</w:t>
      </w:r>
      <w:r w:rsidRPr="007B16F5">
        <w:rPr>
          <w:i/>
          <w:iCs/>
        </w:rPr>
        <w:t>N</w:t>
      </w:r>
      <w:r w:rsidRPr="007B16F5">
        <w:rPr>
          <w:vertAlign w:val="subscript"/>
        </w:rPr>
        <w:t>0</w:t>
      </w:r>
      <w:r w:rsidRPr="007B16F5">
        <w:t xml:space="preserve"> est égal à 38,8 dB-Hz, le brouillage à caractère de bruit large bande sur la liaison descendante qui le dégrade de 2,0 dB donnerait un rapport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00876832">
        <w:rPr>
          <w:i/>
          <w:iCs/>
          <w:vertAlign w:val="subscript"/>
        </w:rPr>
        <w:t xml:space="preserve"> </w:t>
      </w:r>
      <w:r w:rsidR="00876832">
        <w:t xml:space="preserve"> </w:t>
      </w:r>
      <w:r w:rsidRPr="007B16F5">
        <w:t>de:</w:t>
      </w: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2,0 dB</w:t>
      </w:r>
    </w:p>
    <w:p w:rsidR="00E100B6" w:rsidRPr="007B16F5" w:rsidRDefault="00E100B6" w:rsidP="00E100B6">
      <w:pPr>
        <w:pStyle w:val="Equation"/>
      </w:pPr>
      <w:r w:rsidRPr="00D842BB">
        <w:rPr>
          <w:lang w:val="en-GB"/>
        </w:rPr>
        <w:tab/>
      </w:r>
      <w:r w:rsidRPr="00D842BB">
        <w:rPr>
          <w:lang w:val="en-GB"/>
        </w:rPr>
        <w:tab/>
      </w:r>
      <w:r w:rsidRPr="007B16F5">
        <w:t>= 38,8 dB-Hz – 2,0 dB</w:t>
      </w:r>
    </w:p>
    <w:p w:rsidR="00E100B6" w:rsidRPr="007B16F5" w:rsidRDefault="00E100B6" w:rsidP="00E100B6">
      <w:pPr>
        <w:pStyle w:val="Equation"/>
      </w:pPr>
      <w:r w:rsidRPr="007B16F5">
        <w:tab/>
      </w:r>
      <w:r w:rsidRPr="007B16F5">
        <w:tab/>
        <w:t>= 36,8 dB-Hz</w:t>
      </w:r>
    </w:p>
    <w:p w:rsidR="00E100B6" w:rsidRPr="007B16F5" w:rsidRDefault="00E100B6" w:rsidP="00E100B6">
      <w:r w:rsidRPr="007B16F5">
        <w:lastRenderedPageBreak/>
        <w:t>Le rapport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00B6" w:rsidRPr="007B16F5" w:rsidRDefault="00E100B6" w:rsidP="00E100B6">
      <w:r w:rsidRPr="007B16F5">
        <w:t>Etant donné que la présente analyse ne concerne que le brouillage sur la liaison descendante, l'équation ci</w:t>
      </w:r>
      <w:r w:rsidRPr="007B16F5">
        <w:noBreakHyphen/>
        <w:t>dessus se simplifie comme suit:</w:t>
      </w: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00B6" w:rsidRPr="007B16F5" w:rsidRDefault="00E100B6" w:rsidP="00E100B6">
      <w:r w:rsidRPr="007B16F5">
        <w:t>Si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36,8 dB-Hz et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D"/>
      </w:r>
      <w:r w:rsidRPr="007B16F5">
        <w:t xml:space="preserve"> = 41,3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38,7 dB-Hz (voir ci-dessous):</w:t>
      </w:r>
    </w:p>
    <w:p w:rsidR="00E100B6" w:rsidRPr="00D842BB" w:rsidRDefault="00E100B6" w:rsidP="00E100B6">
      <w:pPr>
        <w:pStyle w:val="Equation"/>
        <w:rPr>
          <w:vertAlign w:val="superscript"/>
          <w:lang w:val="en-GB"/>
        </w:rPr>
      </w:pPr>
      <w:r w:rsidRPr="007B16F5">
        <w:tab/>
      </w:r>
      <w:r w:rsidRPr="007B16F5">
        <w:tab/>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7B16F5">
        <w:rPr>
          <w:iCs/>
          <w:vertAlign w:val="subscript"/>
        </w:rPr>
        <w:sym w:font="Symbol" w:char="F0AF"/>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vertAlign w:val="superscript"/>
          <w:lang w:val="en-GB"/>
        </w:rPr>
        <w:t>–1</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iCs/>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10 log ((10</w:t>
      </w:r>
      <w:r w:rsidRPr="007B16F5">
        <w:rPr>
          <w:vertAlign w:val="superscript"/>
        </w:rPr>
        <w:t xml:space="preserve">–36,8/10 </w:t>
      </w:r>
      <w:r w:rsidRPr="007B16F5">
        <w:t>–10</w:t>
      </w:r>
      <w:r w:rsidRPr="007B16F5">
        <w:rPr>
          <w:vertAlign w:val="superscript"/>
        </w:rPr>
        <w:t>–41,3/10</w:t>
      </w:r>
      <w:r w:rsidRPr="007B16F5">
        <w:t>)</w:t>
      </w:r>
      <w:r w:rsidRPr="007B16F5">
        <w:rPr>
          <w:vertAlign w:val="superscript"/>
        </w:rPr>
        <w:t>–1</w:t>
      </w:r>
      <w:r w:rsidRPr="007B16F5">
        <w:t>)</w:t>
      </w:r>
    </w:p>
    <w:p w:rsidR="00E100B6" w:rsidRPr="007B16F5" w:rsidRDefault="00E100B6" w:rsidP="00E100B6">
      <w:pPr>
        <w:rPr>
          <w:vertAlign w:val="superscript"/>
        </w:rPr>
      </w:pPr>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38,7 dB-Hz</w:t>
      </w:r>
    </w:p>
    <w:p w:rsidR="00E100B6" w:rsidRPr="007B16F5" w:rsidRDefault="00E100B6" w:rsidP="00E100B6">
      <w:r w:rsidRPr="007B16F5">
        <w:t>La densité spectrale de la puissance de bruit de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 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t>= –228,6 </w:t>
      </w:r>
      <w:r w:rsidRPr="007B16F5">
        <w:t xml:space="preserve">+ 22,4 = –206,2 </w:t>
      </w:r>
      <w:proofErr w:type="gramStart"/>
      <w:r w:rsidRPr="007B16F5">
        <w:t>dB(</w:t>
      </w:r>
      <w:proofErr w:type="gramEnd"/>
      <w:r w:rsidRPr="007B16F5">
        <w:t>W/Hz).</w:t>
      </w:r>
    </w:p>
    <w:p w:rsidR="00E100B6" w:rsidRPr="007B16F5" w:rsidRDefault="00E100B6" w:rsidP="00E100B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42,5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–206,2 </w:t>
      </w:r>
      <w:proofErr w:type="gramStart"/>
      <w:r w:rsidRPr="007B16F5">
        <w:t>dB(</w:t>
      </w:r>
      <w:proofErr w:type="gramEnd"/>
      <w:r w:rsidRPr="007B16F5">
        <w:t xml:space="preserve">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163,7</w:t>
      </w:r>
      <w:r w:rsidRPr="007B16F5">
        <w:rPr>
          <w:i/>
        </w:rPr>
        <w:t xml:space="preserve"> </w:t>
      </w:r>
      <w:r w:rsidRPr="007B16F5">
        <w:t>dBW.</w:t>
      </w:r>
    </w:p>
    <w:p w:rsidR="00E100B6" w:rsidRPr="007B16F5" w:rsidRDefault="00E100B6" w:rsidP="00E100B6">
      <w:r w:rsidRPr="007B16F5">
        <w:t xml:space="preserve">La densité spectrale maximale de la puissance de brouillage admissible pouvant être causé sur la liaison descendante par l'ensemble des émetteurs brouilleurs, </w:t>
      </w:r>
      <w:proofErr w:type="gramStart"/>
      <w:r w:rsidRPr="007B16F5">
        <w:rPr>
          <w:i/>
          <w:iCs/>
        </w:rPr>
        <w:t>I</w:t>
      </w:r>
      <w:r w:rsidRPr="007B16F5">
        <w:rPr>
          <w:vertAlign w:val="subscript"/>
        </w:rPr>
        <w:t>0</w:t>
      </w:r>
      <w:r w:rsidRPr="007B16F5">
        <w:t>(</w:t>
      </w:r>
      <w:proofErr w:type="gramEnd"/>
      <w:r w:rsidRPr="007B16F5">
        <w:t>max), mesurée à l'entrée de l'AFB récepteur du terminal LEOLUT, dans la bande 1 544-1 545 MHz utilisée pour la liaison descendante du canal SARR sur 406 MHz, vaut:</w:t>
      </w:r>
    </w:p>
    <w:p w:rsidR="00E100B6" w:rsidRPr="00D842BB" w:rsidRDefault="00E100B6" w:rsidP="00E100B6">
      <w:pPr>
        <w:pStyle w:val="Equation"/>
        <w:rPr>
          <w:lang w:val="en-GB"/>
        </w:rPr>
      </w:pPr>
      <w:r w:rsidRPr="007B16F5">
        <w:tab/>
      </w:r>
      <w:r w:rsidRPr="007B16F5">
        <w:tab/>
      </w:r>
      <w:proofErr w:type="gramStart"/>
      <w:r w:rsidRPr="00D842BB">
        <w:rPr>
          <w:i/>
          <w:iCs/>
          <w:lang w:val="en-GB"/>
        </w:rPr>
        <w:t>I</w:t>
      </w:r>
      <w:r w:rsidRPr="00D842BB">
        <w:rPr>
          <w:vertAlign w:val="subscript"/>
          <w:lang w:val="en-GB"/>
        </w:rPr>
        <w:t>0</w:t>
      </w:r>
      <w:r w:rsidRPr="00D842BB">
        <w:rPr>
          <w:lang w:val="en-GB"/>
        </w:rPr>
        <w:t>(</w:t>
      </w:r>
      <w:proofErr w:type="gramEnd"/>
      <w:r w:rsidRPr="00D842BB">
        <w:rPr>
          <w:lang w:val="en-GB"/>
        </w:rPr>
        <w:t>max) = 10 log (10</w:t>
      </w:r>
      <w:r w:rsidRPr="00D842BB">
        <w:rPr>
          <w:vertAlign w:val="superscript"/>
          <w:lang w:val="en-GB"/>
        </w:rPr>
        <w:t>(</w:t>
      </w:r>
      <w:r w:rsidRPr="00D842BB">
        <w:rPr>
          <w:i/>
          <w:iCs/>
          <w:vertAlign w:val="superscript"/>
          <w:lang w:val="en-GB"/>
        </w:rPr>
        <w:t>C</w:t>
      </w:r>
      <w:r w:rsidRPr="007B16F5">
        <w:rPr>
          <w:vertAlign w:val="superscript"/>
        </w:rPr>
        <w:sym w:font="Symbol" w:char="F0AF"/>
      </w:r>
      <w:r w:rsidRPr="00D842BB">
        <w:rPr>
          <w:vertAlign w:val="superscript"/>
          <w:lang w:val="en-GB"/>
        </w:rPr>
        <w:t>–(</w:t>
      </w:r>
      <w:r w:rsidRPr="00D842BB">
        <w:rPr>
          <w:i/>
          <w:iCs/>
          <w:vertAlign w:val="superscript"/>
          <w:lang w:val="en-GB"/>
        </w:rPr>
        <w:t>C</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 xml:space="preserve"> +</w:t>
      </w:r>
      <w:r w:rsidRPr="00D842BB">
        <w:rPr>
          <w:i/>
          <w:iCs/>
          <w:vertAlign w:val="superscript"/>
          <w:lang w:val="en-GB"/>
        </w:rPr>
        <w:t xml:space="preserve"> I</w:t>
      </w:r>
      <w:r w:rsidRPr="00D842BB">
        <w:rPr>
          <w:sz w:val="20"/>
          <w:vertAlign w:val="superscript"/>
          <w:lang w:val="en-GB"/>
        </w:rPr>
        <w:t>0</w:t>
      </w:r>
      <w:r w:rsidRPr="00D842BB">
        <w:rPr>
          <w:vertAlign w:val="superscript"/>
          <w:lang w:val="en-GB"/>
        </w:rPr>
        <w:t>)</w:t>
      </w:r>
      <w:r w:rsidRPr="007B16F5">
        <w:rPr>
          <w:vertAlign w:val="superscript"/>
        </w:rPr>
        <w:sym w:font="Symbol" w:char="F0AF"/>
      </w:r>
      <w:r w:rsidRPr="00D842BB">
        <w:rPr>
          <w:vertAlign w:val="superscript"/>
          <w:lang w:val="en-GB"/>
        </w:rPr>
        <w:t>))/10</w:t>
      </w:r>
      <w:r w:rsidRPr="00D842BB">
        <w:rPr>
          <w:lang w:val="en-GB"/>
        </w:rPr>
        <w:t>–10</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w:t>
      </w:r>
      <w:r w:rsidRPr="007B16F5">
        <w:rPr>
          <w:vertAlign w:val="superscript"/>
        </w:rPr>
        <w:sym w:font="Symbol" w:char="F0AF"/>
      </w:r>
      <w:r w:rsidRPr="00D842BB">
        <w:rPr>
          <w:vertAlign w:val="superscript"/>
          <w:lang w:val="en-GB"/>
        </w:rPr>
        <w:t>10</w:t>
      </w:r>
      <w:r w:rsidRPr="00D842BB">
        <w:rPr>
          <w:lang w:val="en-GB"/>
        </w:rPr>
        <w:t>)</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10 log (10</w:t>
      </w:r>
      <w:r w:rsidRPr="007B16F5">
        <w:rPr>
          <w:vertAlign w:val="superscript"/>
        </w:rPr>
        <w:t>(–163,7–38,7)/10</w:t>
      </w:r>
      <w:r w:rsidRPr="007B16F5">
        <w:t>–10</w:t>
      </w:r>
      <w:r w:rsidRPr="007B16F5">
        <w:rPr>
          <w:vertAlign w:val="superscript"/>
        </w:rPr>
        <w:t>–206,2/10</w:t>
      </w:r>
      <w:r w:rsidRPr="007B16F5">
        <w:t>)</w:t>
      </w:r>
    </w:p>
    <w:p w:rsidR="00E100B6" w:rsidRPr="007B16F5" w:rsidRDefault="00E100B6" w:rsidP="00E100B6">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–204,7 dB(W/Hz)</w:t>
      </w:r>
    </w:p>
    <w:p w:rsidR="00E100B6" w:rsidRPr="007B16F5" w:rsidRDefault="00E100B6" w:rsidP="00E100B6">
      <w:r w:rsidRPr="007B16F5">
        <w:t xml:space="preserve">Il est souhaitable de décrire les critères de protection en termes de seuil de brouillage spfd exprimé en </w:t>
      </w:r>
      <w:proofErr w:type="gramStart"/>
      <w:r w:rsidRPr="007B16F5">
        <w:t>dB(</w:t>
      </w:r>
      <w:proofErr w:type="gramEnd"/>
      <w:r w:rsidRPr="007B16F5">
        <w:t>W/(m</w:t>
      </w:r>
      <w:r w:rsidRPr="007B16F5">
        <w:rPr>
          <w:vertAlign w:val="superscript"/>
        </w:rPr>
        <w:t xml:space="preserve">2 </w:t>
      </w:r>
      <w:r w:rsidRPr="007B16F5">
        <w:t xml:space="preserve">∙ Hz)) à l'entrée de l'antenne du terminal LEOLUT.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w:t>
      </w:r>
      <w:r w:rsidRPr="007B16F5">
        <w:rPr>
          <w:i/>
        </w:rPr>
        <w:t>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Pour les antennes des termin</w:t>
      </w:r>
      <w:r>
        <w:t>aux LEOLUT dont le gain est de </w:t>
      </w:r>
      <w:r w:rsidRPr="007B16F5">
        <w:t>26,7 dB, l'ouverture effective est de 1,4 m</w:t>
      </w:r>
      <w:r w:rsidRPr="007B16F5">
        <w:rPr>
          <w:vertAlign w:val="superscript"/>
        </w:rPr>
        <w:t>2</w:t>
      </w:r>
      <w:r w:rsidRPr="007B16F5">
        <w:t>. Le brouillage maximum cumulatif acceptable exprimé en termes de spfd vaut:</w:t>
      </w:r>
    </w:p>
    <w:p w:rsidR="00E100B6" w:rsidRPr="007B16F5" w:rsidRDefault="00E100B6" w:rsidP="00E100B6">
      <w:pPr>
        <w:pStyle w:val="Equation"/>
        <w:rPr>
          <w:vertAlign w:val="subscript"/>
        </w:rPr>
      </w:pPr>
      <w:r w:rsidRPr="007B16F5">
        <w:tab/>
      </w:r>
      <w:r w:rsidRPr="007B16F5">
        <w:tab/>
        <w:t xml:space="preserve">spfd = </w:t>
      </w:r>
      <w:proofErr w:type="gramStart"/>
      <w:r w:rsidRPr="007B16F5">
        <w:rPr>
          <w:i/>
          <w:iCs/>
        </w:rPr>
        <w:t>I</w:t>
      </w:r>
      <w:r w:rsidRPr="007B16F5">
        <w:rPr>
          <w:vertAlign w:val="subscript"/>
        </w:rPr>
        <w:t>0</w:t>
      </w:r>
      <w:r w:rsidRPr="007B16F5">
        <w:t>(</w:t>
      </w:r>
      <w:proofErr w:type="gramEnd"/>
      <w:r w:rsidRPr="007B16F5">
        <w:t xml:space="preserve">max) – </w:t>
      </w:r>
      <w:r w:rsidRPr="007B16F5">
        <w:rPr>
          <w:i/>
          <w:iCs/>
        </w:rPr>
        <w:t>L</w:t>
      </w:r>
      <w:r w:rsidRPr="007B16F5">
        <w:rPr>
          <w:i/>
          <w:iCs/>
          <w:vertAlign w:val="subscript"/>
        </w:rPr>
        <w:t>Ligne</w:t>
      </w:r>
      <w:r w:rsidRPr="007B16F5">
        <w:t xml:space="preserve"> – </w:t>
      </w:r>
      <w:r w:rsidRPr="007B16F5">
        <w:rPr>
          <w:i/>
          <w:iCs/>
        </w:rPr>
        <w:t>A</w:t>
      </w:r>
      <w:r w:rsidRPr="007B16F5">
        <w:rPr>
          <w:i/>
          <w:iCs/>
          <w:vertAlign w:val="subscript"/>
        </w:rPr>
        <w:t>e</w:t>
      </w:r>
    </w:p>
    <w:p w:rsidR="00E100B6" w:rsidRPr="007B16F5" w:rsidRDefault="00E100B6" w:rsidP="00E100B6">
      <w:r w:rsidRPr="007B16F5">
        <w:t xml:space="preserve">En supposant </w:t>
      </w:r>
      <w:r w:rsidRPr="007B16F5">
        <w:rPr>
          <w:i/>
          <w:iCs/>
        </w:rPr>
        <w:t>L</w:t>
      </w:r>
      <w:r w:rsidRPr="007B16F5">
        <w:rPr>
          <w:i/>
          <w:iCs/>
          <w:vertAlign w:val="subscript"/>
        </w:rPr>
        <w:t>Ligne</w:t>
      </w:r>
      <w:r w:rsidRPr="007B16F5">
        <w:t xml:space="preserve"> = 0</w:t>
      </w:r>
    </w:p>
    <w:p w:rsidR="00E100B6" w:rsidRPr="007B16F5" w:rsidRDefault="00E100B6" w:rsidP="00E100B6">
      <w:pPr>
        <w:pStyle w:val="Equation"/>
      </w:pPr>
      <w:r w:rsidRPr="007B16F5">
        <w:tab/>
      </w:r>
      <w:r w:rsidRPr="007B16F5">
        <w:tab/>
        <w:t>spfd = –204,7</w:t>
      </w:r>
      <w:r w:rsidRPr="007B16F5">
        <w:rPr>
          <w:i/>
        </w:rPr>
        <w:t xml:space="preserve"> </w:t>
      </w:r>
      <w:r w:rsidRPr="007B16F5">
        <w:t xml:space="preserve">– 0 – 10 log (1,4)  = –206,2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r w:rsidRPr="007B16F5">
        <w:t xml:space="preserve">Le niveau maximum du brouillage à caractère de bruit large bande dans les bandes traitées par des terminaux LEOLUT pour le canal SARR sur 406 MHz ne doit pas excéder –206,2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9D58A6">
      <w:pPr>
        <w:pStyle w:val="Heading1"/>
      </w:pPr>
      <w:r w:rsidRPr="007B16F5">
        <w:lastRenderedPageBreak/>
        <w:t>4</w:t>
      </w:r>
      <w:r w:rsidRPr="007B16F5">
        <w:tab/>
        <w:t>Procédure pour calculer le niveau de brouillage causé dans la bande 1 544</w:t>
      </w:r>
      <w:r w:rsidRPr="007B16F5">
        <w:noBreakHyphen/>
        <w:t xml:space="preserve">1 545 MHz aux terminaux LEOLUT recevant le canal SARR sur 406 MHz </w:t>
      </w:r>
    </w:p>
    <w:p w:rsidR="00E100B6" w:rsidRPr="007B16F5" w:rsidRDefault="00E100B6" w:rsidP="00E100B6">
      <w:pPr>
        <w:keepNext/>
        <w:keepLines/>
      </w:pPr>
      <w:r w:rsidRPr="007B16F5">
        <w:t>Il convient d'examiner la largeur de bande à l'émission pour déterminer si l'énergie est émise dans les gammes de fréquences traitées par les terminaux LEOLUT pour le canal SARR sur 406 MHz (c'est-à-dire 1 544,58-1 544,80 MHz et 1 544,42-1 544,20 MHz), en faisant particulièrement attention, en analysant l'incidence des systèmes mobiles (par exemple, satellites non géostationnaires et émetteurs embarqués), de tenir compte des effets du décalage Doppler qu'ils génèrent par leur déplacement.</w:t>
      </w:r>
    </w:p>
    <w:p w:rsidR="00E100B6" w:rsidRPr="007B16F5" w:rsidRDefault="00E100B6" w:rsidP="00E100B6">
      <w:r w:rsidRPr="007B16F5">
        <w:t>On calculera ensuite le niveau de brouillage provenant de toutes les sources qui émettent de l'énergie dans la bande, exprimée en termes de spfd au niveau de l'antenne du terminal LEOLUT. Le niveau cumulé de toutes les sources de brouillage ne doit pas excéder –206,2 </w:t>
      </w:r>
      <w:proofErr w:type="gramStart"/>
      <w:r w:rsidRPr="007B16F5">
        <w:t>dB(</w:t>
      </w:r>
      <w:proofErr w:type="gramEnd"/>
      <w:r w:rsidRPr="007B16F5">
        <w:t>W/(m</w:t>
      </w:r>
      <w:r w:rsidRPr="007B16F5">
        <w:rPr>
          <w:vertAlign w:val="superscript"/>
        </w:rPr>
        <w:t xml:space="preserve">2 </w:t>
      </w:r>
      <w:r w:rsidRPr="007B16F5">
        <w:t>∙ Hz)) où que ce soit dans cette gamme.</w:t>
      </w:r>
    </w:p>
    <w:p w:rsidR="00E100B6" w:rsidRPr="007B16F5" w:rsidRDefault="00E100B6" w:rsidP="00E100B6">
      <w:r w:rsidRPr="007B16F5">
        <w:t>Le niveau ci</w:t>
      </w:r>
      <w:r w:rsidRPr="007B16F5">
        <w:noBreakHyphen/>
        <w:t>dessus a été déterminé au moyen d'une antenne de terminal LEOLUT polarisée circulairement à gauche, d'un gain sur axe de 26,7 dBi. Selon les systèmes, il faudrait, pour établir l'incidence du brouillage, tenir compte des considérations de discrimination d'antenne, de polarisation, etc.</w:t>
      </w:r>
    </w:p>
    <w:p w:rsidR="00E100B6" w:rsidRDefault="00E100B6" w:rsidP="00E100B6"/>
    <w:p w:rsidR="00E100B6" w:rsidRPr="007B16F5" w:rsidRDefault="00E100B6" w:rsidP="00E100B6"/>
    <w:p w:rsidR="00E100B6" w:rsidRPr="007B16F5" w:rsidRDefault="00E100B6" w:rsidP="00E100B6">
      <w:pPr>
        <w:pStyle w:val="AnnexNoTitle"/>
      </w:pPr>
      <w:r w:rsidRPr="007B16F5">
        <w:t>Annexe 4</w:t>
      </w:r>
      <w:r w:rsidRPr="007B16F5">
        <w:br/>
      </w:r>
      <w:r w:rsidRPr="007B16F5">
        <w:br/>
        <w:t>Critères de protection dans la bande 1 544-1 545 MHz des terminaux</w:t>
      </w:r>
      <w:r w:rsidRPr="007B16F5">
        <w:br/>
        <w:t>GEOLUT du système Cospas-Sarsat qui reçoivent des signaux</w:t>
      </w:r>
      <w:r w:rsidRPr="007B16F5">
        <w:br/>
        <w:t>de RLS relayés par des satellites MSG</w:t>
      </w:r>
    </w:p>
    <w:p w:rsidR="00E100B6" w:rsidRPr="007B16F5" w:rsidRDefault="00E100B6" w:rsidP="00E100B6">
      <w:pPr>
        <w:pStyle w:val="Heading1"/>
      </w:pPr>
      <w:r w:rsidRPr="007B16F5">
        <w:t>1</w:t>
      </w:r>
      <w:r w:rsidRPr="007B16F5">
        <w:tab/>
        <w:t>Introduction</w:t>
      </w:r>
    </w:p>
    <w:p w:rsidR="00E100B6" w:rsidRPr="007B16F5" w:rsidRDefault="00E100B6" w:rsidP="00E100B6">
      <w:r w:rsidRPr="007B16F5">
        <w:t>Les satellites MSG sont pourvus de répéteurs de recherche et de sauvetage du système Cospas</w:t>
      </w:r>
      <w:r w:rsidRPr="007B16F5">
        <w:noBreakHyphen/>
        <w:t>Sarsat, qui reçoivent de RLS sur 406 MHz des signaux q</w:t>
      </w:r>
      <w:r>
        <w:t>u'il relaient à destination des </w:t>
      </w:r>
      <w:r w:rsidRPr="007B16F5">
        <w:t>terminaux GEOLUT du système Cospas-Sarsat sur des liaisons d</w:t>
      </w:r>
      <w:r>
        <w:t>escendantes dans la bande </w:t>
      </w:r>
      <w:r w:rsidRPr="007B16F5">
        <w:t>1 544</w:t>
      </w:r>
      <w:r w:rsidRPr="007B16F5">
        <w:noBreakHyphen/>
        <w:t>1 545 MHz. Conformément aux dispositions du RR, la bande 1 544-1 545 MHz est attribuée au SMS, dans le sens espace vers Terre, et est limitée en l</w:t>
      </w:r>
      <w:r>
        <w:t>'espèce par le numéro 5.356 aux </w:t>
      </w:r>
      <w:r w:rsidRPr="007B16F5">
        <w:t>communications de détresse et de sécurité. L'analyse effectuée dans la présente Annexe établit vis-à-vis des brouillages des critères de protection des terminaux GEOLUT qui reçoivent dans la bande 1 544-1 545 MHz des signaux sur la liaison descendante provenant des satellites MSG.</w:t>
      </w:r>
    </w:p>
    <w:p w:rsidR="00E100B6" w:rsidRPr="007B16F5" w:rsidRDefault="00E100B6" w:rsidP="00E100B6">
      <w:pPr>
        <w:pStyle w:val="Heading1"/>
      </w:pPr>
      <w:r w:rsidRPr="007B16F5">
        <w:t>2</w:t>
      </w:r>
      <w:r w:rsidRPr="007B16F5">
        <w:tab/>
        <w:t>Qualité de fonctionnement minimale acceptable pour la détection des signaux de RLS reliés par les satellites MSG</w:t>
      </w:r>
    </w:p>
    <w:p w:rsidR="00E100B6" w:rsidRPr="007B16F5" w:rsidRDefault="00E100B6" w:rsidP="00E100B6">
      <w:r w:rsidRPr="007B16F5">
        <w:t>Pour détecter de manière fiable les radiobalises de détresse sur 406 MHz utilisant des répéteurs à satellite MSG sur 406 MHz, le TEB du canal ne doit pas excéder 5 × 10</w:t>
      </w:r>
      <w:r w:rsidRPr="007B16F5">
        <w:rPr>
          <w:vertAlign w:val="superscript"/>
        </w:rPr>
        <w:t>–5</w:t>
      </w:r>
      <w:r w:rsidRPr="007B16F5">
        <w:t xml:space="preserve">. </w:t>
      </w:r>
    </w:p>
    <w:p w:rsidR="00E100B6" w:rsidRPr="007B16F5" w:rsidRDefault="00E100B6" w:rsidP="00E100B6">
      <w:pPr>
        <w:pStyle w:val="Heading1"/>
      </w:pPr>
      <w:r w:rsidRPr="007B16F5">
        <w:rPr>
          <w:caps/>
        </w:rPr>
        <w:lastRenderedPageBreak/>
        <w:t>3</w:t>
      </w:r>
      <w:r w:rsidRPr="007B16F5">
        <w:rPr>
          <w:caps/>
        </w:rPr>
        <w:tab/>
      </w:r>
      <w:r w:rsidRPr="007B16F5">
        <w:t>Analyse de la spfd de brouillage</w:t>
      </w:r>
    </w:p>
    <w:p w:rsidR="00E100B6" w:rsidRPr="007B16F5" w:rsidRDefault="00E100B6" w:rsidP="00E100B6">
      <w:pPr>
        <w:keepNext/>
        <w:keepLines/>
      </w:pPr>
      <w:r w:rsidRPr="007B16F5">
        <w:t>Le TEB d'un canal de télécommunication est égal à l'énergie contenue dans chaque bit de données, </w:t>
      </w:r>
      <w:r w:rsidRPr="007B16F5">
        <w:rPr>
          <w:i/>
          <w:iCs/>
        </w:rPr>
        <w:t>E</w:t>
      </w:r>
      <w:r w:rsidRPr="007B16F5">
        <w:rPr>
          <w:i/>
          <w:iCs/>
          <w:vertAlign w:val="subscript"/>
        </w:rPr>
        <w:t>b</w:t>
      </w:r>
      <w:r w:rsidRPr="007B16F5">
        <w:t xml:space="preserve">, rapporté à la densité de bruit. La densité de bruit totale est la somme du bruit provoqué par l'équipement Cospas-Sarsat,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 4 illustre le canal SARR sur 406 MHz des satellites MSG en présence de brouillage sur la liaison descendante.</w:t>
      </w:r>
    </w:p>
    <w:p w:rsidR="00E100B6" w:rsidRPr="007B16F5" w:rsidRDefault="00E100B6" w:rsidP="00E100B6">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GEOLUT soit égal ou supérieur à 8,8 dB. La présente analyse vise à déterminer la quantité maximale de brouillage à caractère de bruit large bande, exprimée en termes de spfd, par rapport à l'entrée de l'antenne du terminal GEOLUT, pouvant être supportée sans que la qualité de la liaison globale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00B6" w:rsidRDefault="00E100B6" w:rsidP="00E3355A">
      <w:r w:rsidRPr="007B16F5">
        <w:t>Comme il ressort de la Fig. 4, les répéteurs SARR des satellites MSG reçoivent des signaux des radiobalises de détresse</w:t>
      </w:r>
      <w:r w:rsidR="00E3355A">
        <w:t xml:space="preserve"> sur 406 </w:t>
      </w:r>
      <w:r w:rsidRPr="007B16F5">
        <w:t>MHz et les relaient sur une liaison descendante de 1 544,5 MHz</w:t>
      </w:r>
      <w:r w:rsidR="00E3355A">
        <w:t> </w:t>
      </w:r>
      <w:r w:rsidRPr="007B16F5">
        <w:sym w:font="Symbol" w:char="F0B1"/>
      </w:r>
      <w:r w:rsidRPr="007B16F5">
        <w:t> 100 kHz aux fins de détection et traitement par les terminaux GEOLUT. Le gain d'antenne et la température de bruit du système sont respectivement de 35,7 dB et 105,0 K pour un terminal GEOLUT d'un satellite MSG.</w:t>
      </w:r>
    </w:p>
    <w:p w:rsidR="00E100B6" w:rsidRPr="000863E1" w:rsidRDefault="00E100B6" w:rsidP="00E100B6">
      <w:pPr>
        <w:pStyle w:val="FigureNo"/>
        <w:rPr>
          <w:sz w:val="20"/>
        </w:rPr>
      </w:pPr>
      <w:r w:rsidRPr="000863E1">
        <w:rPr>
          <w:sz w:val="20"/>
        </w:rPr>
        <w:t>figure 4</w:t>
      </w:r>
    </w:p>
    <w:p w:rsidR="00E100B6" w:rsidRPr="000863E1" w:rsidRDefault="00E100B6" w:rsidP="00E100B6">
      <w:pPr>
        <w:pStyle w:val="Figuretitle"/>
        <w:rPr>
          <w:sz w:val="20"/>
        </w:rPr>
      </w:pPr>
      <w:r w:rsidRPr="000863E1">
        <w:rPr>
          <w:sz w:val="20"/>
        </w:rPr>
        <w:t xml:space="preserve">Répéteurs SARR de </w:t>
      </w:r>
      <w:r w:rsidRPr="000863E1">
        <w:rPr>
          <w:rFonts w:cs="Arial"/>
          <w:sz w:val="20"/>
          <w:lang w:val="fr-CH"/>
        </w:rPr>
        <w:t>satellite</w:t>
      </w:r>
      <w:r w:rsidRPr="000863E1">
        <w:rPr>
          <w:sz w:val="20"/>
        </w:rPr>
        <w:t>s MSG en présence de brouillage sur la liaison descendante</w:t>
      </w:r>
    </w:p>
    <w:p w:rsidR="00E100B6" w:rsidRPr="007B16F5" w:rsidRDefault="00E9076F" w:rsidP="00E100B6">
      <w:pPr>
        <w:pStyle w:val="Figure"/>
        <w:keepLines w:val="0"/>
      </w:pPr>
      <w:r>
        <w:object w:dxaOrig="11678" w:dyaOrig="6412">
          <v:shape id="_x0000_i1028" type="#_x0000_t75" style="width:389pt;height:214pt;mso-position-vertical:absolute" o:ole="">
            <v:imagedata r:id="rId20" o:title=""/>
          </v:shape>
          <o:OLEObject Type="Embed" ProgID="CorelDRAW.Graphic.14" ShapeID="_x0000_i1028" DrawAspect="Content" ObjectID="_1364302899" r:id="rId21"/>
        </w:object>
      </w:r>
    </w:p>
    <w:p w:rsidR="00E100B6" w:rsidRPr="007B16F5" w:rsidRDefault="00E100B6" w:rsidP="00E100B6">
      <w:pPr>
        <w:pStyle w:val="Normalaftertitle"/>
        <w:keepLines/>
      </w:pPr>
      <w:r w:rsidRPr="007B16F5">
        <w:t xml:space="preserve">Le signal de la RLS présente un angle d'élévation par rapport à l'engin spatial de 5°. En l'absence de sources de brouillage externes, le rapport total </w:t>
      </w:r>
      <w:r w:rsidRPr="007B16F5">
        <w:rPr>
          <w:i/>
          <w:iCs/>
        </w:rPr>
        <w:t>C</w:t>
      </w:r>
      <w:r w:rsidRPr="007B16F5">
        <w:t>/</w:t>
      </w:r>
      <w:r w:rsidRPr="007B16F5">
        <w:rPr>
          <w:i/>
          <w:iCs/>
        </w:rPr>
        <w:t>N</w:t>
      </w:r>
      <w:r w:rsidRPr="007B16F5">
        <w:rPr>
          <w:vertAlign w:val="subscript"/>
        </w:rPr>
        <w:t>0</w:t>
      </w:r>
      <w:r w:rsidRPr="007B16F5">
        <w:t xml:space="preserve"> est de 27,4</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1,4 dB. Compte tenu des pertes de mise en œuvre et de démodulation des données de la radiobalise ainsi que des gains de traitement au niveau du terminal GEOLUT,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t xml:space="preserve"> de </w:t>
      </w:r>
      <w:r w:rsidRPr="007B16F5">
        <w:t xml:space="preserve">8,9 dB. Comme il faut que sur le canal le rapport total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que l'accumulation de brouillages large bande sur la liaison descendante réduise le rapport global porteuse sur bruit, plus densité de brouillage de plus de 0,1 dB.</w:t>
      </w:r>
    </w:p>
    <w:p w:rsidR="00E100B6" w:rsidRPr="007B16F5" w:rsidRDefault="00E100B6" w:rsidP="00162C90">
      <w:pPr>
        <w:keepNext/>
        <w:keepLines/>
      </w:pPr>
      <w:r w:rsidRPr="007B16F5">
        <w:lastRenderedPageBreak/>
        <w:t xml:space="preserve">Puisqu'en l'absence de brouillage le rapport global </w:t>
      </w:r>
      <w:r w:rsidRPr="007B16F5">
        <w:rPr>
          <w:i/>
          <w:iCs/>
        </w:rPr>
        <w:t>C</w:t>
      </w:r>
      <w:r w:rsidRPr="007B16F5">
        <w:t>/</w:t>
      </w:r>
      <w:r w:rsidRPr="007B16F5">
        <w:rPr>
          <w:i/>
          <w:iCs/>
        </w:rPr>
        <w:t>N</w:t>
      </w:r>
      <w:r w:rsidRPr="007B16F5">
        <w:rPr>
          <w:vertAlign w:val="subscript"/>
        </w:rPr>
        <w:t>0</w:t>
      </w:r>
      <w:r w:rsidRPr="007B16F5">
        <w:t xml:space="preserve"> est égal à 27,4 dB-Hz, le brouillage à caractère de bruit large bande sur la liaison descendante qui le dégrade de 0,1 dB donnerait un rapport total porteuse sur bruit, plus densité de brouillage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 xml:space="preserve">total </w:t>
      </w:r>
      <w:r w:rsidRPr="007B16F5">
        <w:t>de:</w:t>
      </w:r>
    </w:p>
    <w:p w:rsidR="00E100B6" w:rsidRPr="007B16F5" w:rsidRDefault="00E100B6" w:rsidP="00162C90">
      <w:pPr>
        <w:pStyle w:val="Blanc"/>
        <w:rPr>
          <w:lang w:val="fr-FR"/>
        </w:rPr>
      </w:pPr>
    </w:p>
    <w:p w:rsidR="00E100B6" w:rsidRPr="00D842BB" w:rsidRDefault="00E100B6" w:rsidP="00162C90">
      <w:pPr>
        <w:keepNext/>
        <w:keepLines/>
        <w:rPr>
          <w:lang w:val="en-GB"/>
        </w:rPr>
      </w:pPr>
      <w:r w:rsidRPr="007B16F5">
        <w:tab/>
      </w:r>
      <w:r>
        <w:tab/>
      </w:r>
      <w:r>
        <w:tab/>
      </w:r>
      <w:r>
        <w:tab/>
      </w:r>
      <w:r>
        <w:tab/>
      </w:r>
      <w:r w:rsidR="003615D5" w:rsidRPr="003615D5">
        <w:rPr>
          <w:lang w:val="en-US"/>
        </w:rPr>
        <w:t xml:space="preserve">        </w:t>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Pr>
          <w:vertAlign w:val="subscript"/>
          <w:lang w:val="en-GB"/>
        </w:rPr>
        <w:tab/>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0,1 dB</w:t>
      </w:r>
    </w:p>
    <w:p w:rsidR="00E100B6" w:rsidRPr="007B16F5" w:rsidRDefault="00E100B6" w:rsidP="00E100B6">
      <w:r w:rsidRPr="00D842BB">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7B16F5">
        <w:t>= 27,4 dB-Hz – 0,1 dB</w:t>
      </w:r>
    </w:p>
    <w:p w:rsidR="00E100B6" w:rsidRPr="007B16F5" w:rsidRDefault="00E100B6" w:rsidP="00E100B6">
      <w:r w:rsidRPr="007B16F5">
        <w:tab/>
      </w:r>
      <w:r>
        <w:tab/>
      </w:r>
      <w:r>
        <w:tab/>
      </w:r>
      <w:r>
        <w:tab/>
      </w:r>
      <w:r>
        <w:tab/>
      </w:r>
      <w:r>
        <w:tab/>
      </w:r>
      <w:r>
        <w:tab/>
      </w:r>
      <w:r>
        <w:tab/>
      </w:r>
      <w:r w:rsidRPr="007B16F5">
        <w:t>= 27,3 dB-Hz</w:t>
      </w:r>
    </w:p>
    <w:p w:rsidR="00E100B6" w:rsidRPr="007B16F5" w:rsidRDefault="00E100B6" w:rsidP="00E100B6">
      <w:pPr>
        <w:pStyle w:val="Blanc"/>
        <w:rPr>
          <w:lang w:val="fr-FR"/>
        </w:rPr>
      </w:pPr>
    </w:p>
    <w:p w:rsidR="00E100B6" w:rsidRPr="007B16F5" w:rsidRDefault="00E100B6" w:rsidP="00E100B6">
      <w:r w:rsidRPr="007B16F5">
        <w:t>Le rapport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00B6" w:rsidRPr="007B16F5" w:rsidRDefault="00E100B6" w:rsidP="00E100B6">
      <w:pPr>
        <w:pStyle w:val="Blanc"/>
        <w:rPr>
          <w:lang w:val="fr-FR"/>
        </w:rPr>
      </w:pP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00B6" w:rsidRPr="00D842BB" w:rsidRDefault="00E100B6" w:rsidP="00E100B6">
      <w:pPr>
        <w:pStyle w:val="Blanc"/>
      </w:pPr>
    </w:p>
    <w:p w:rsidR="00E100B6" w:rsidRPr="007B16F5" w:rsidRDefault="00E100B6" w:rsidP="00E100B6">
      <w:r w:rsidRPr="007B16F5">
        <w:t>Etant donné que la présente analyse ne concerne que le brouillage sur la liaison descendante, l'équation ci</w:t>
      </w:r>
      <w:r w:rsidRPr="007B16F5">
        <w:noBreakHyphen/>
        <w:t>dessus se simplifie comme suit:</w:t>
      </w:r>
    </w:p>
    <w:p w:rsidR="00E100B6" w:rsidRPr="007B16F5" w:rsidRDefault="00E100B6" w:rsidP="00E100B6">
      <w:pPr>
        <w:pStyle w:val="Blanc"/>
        <w:rPr>
          <w:lang w:val="fr-FR"/>
        </w:rPr>
      </w:pP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00B6" w:rsidRPr="00D842BB" w:rsidRDefault="00E100B6" w:rsidP="00E100B6">
      <w:pPr>
        <w:pStyle w:val="Blanc"/>
      </w:pPr>
    </w:p>
    <w:p w:rsidR="00E100B6" w:rsidRPr="007B16F5" w:rsidRDefault="00E100B6" w:rsidP="00E100B6">
      <w:r w:rsidRPr="007B16F5">
        <w:t>Si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27,3 dB-Hz et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D"/>
      </w:r>
      <w:r w:rsidRPr="007B16F5">
        <w:t xml:space="preserve"> = 28,1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35,0 dB-Hz (voir ci-dessous):</w:t>
      </w:r>
    </w:p>
    <w:p w:rsidR="00E100B6" w:rsidRPr="00D842BB" w:rsidRDefault="00E100B6" w:rsidP="00E100B6">
      <w:pPr>
        <w:pStyle w:val="Equation"/>
        <w:rPr>
          <w:vertAlign w:val="superscript"/>
          <w:lang w:val="en-GB"/>
        </w:rPr>
      </w:pPr>
      <w:r w:rsidRPr="007B16F5">
        <w:tab/>
      </w:r>
      <w:r w:rsidRPr="007B16F5">
        <w:tab/>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7B16F5">
        <w:rPr>
          <w:iCs/>
          <w:vertAlign w:val="subscript"/>
        </w:rPr>
        <w:sym w:font="Symbol" w:char="F0AF"/>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vertAlign w:val="superscript"/>
          <w:lang w:val="en-GB"/>
        </w:rPr>
        <w:t>–1</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10 log ((10</w:t>
      </w:r>
      <w:r w:rsidRPr="007B16F5">
        <w:rPr>
          <w:vertAlign w:val="superscript"/>
        </w:rPr>
        <w:t xml:space="preserve">–27,3/10 </w:t>
      </w:r>
      <w:r w:rsidRPr="007B16F5">
        <w:t>–10</w:t>
      </w:r>
      <w:r w:rsidRPr="007B16F5">
        <w:rPr>
          <w:vertAlign w:val="superscript"/>
        </w:rPr>
        <w:t>–28,1/10</w:t>
      </w:r>
      <w:r w:rsidRPr="007B16F5">
        <w:t>)</w:t>
      </w:r>
      <w:r w:rsidRPr="007B16F5">
        <w:rPr>
          <w:vertAlign w:val="superscript"/>
        </w:rPr>
        <w:t>–1</w:t>
      </w:r>
      <w:r w:rsidRPr="007B16F5">
        <w:t>)</w:t>
      </w:r>
    </w:p>
    <w:p w:rsidR="00E100B6" w:rsidRPr="007B16F5" w:rsidRDefault="00E100B6" w:rsidP="00E100B6">
      <w:pPr>
        <w:rPr>
          <w:vertAlign w:val="superscript"/>
        </w:rPr>
      </w:pPr>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35,0 dB-Hz</w:t>
      </w:r>
    </w:p>
    <w:p w:rsidR="00E100B6" w:rsidRPr="007B16F5" w:rsidRDefault="00E100B6" w:rsidP="00E100B6">
      <w:r w:rsidRPr="007B16F5">
        <w:t>La densité spectrale de la puissance de bruit de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rsidRPr="007B16F5">
        <w:t xml:space="preserve">= –228,6 + 20,2 = –208,4 </w:t>
      </w:r>
      <w:proofErr w:type="gramStart"/>
      <w:r w:rsidRPr="007B16F5">
        <w:t>dB(</w:t>
      </w:r>
      <w:proofErr w:type="gramEnd"/>
      <w:r w:rsidRPr="007B16F5">
        <w:t>W/Hz).</w:t>
      </w:r>
    </w:p>
    <w:p w:rsidR="00E100B6" w:rsidRPr="007B16F5" w:rsidRDefault="00E100B6" w:rsidP="00E100B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35,5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–208,4 </w:t>
      </w:r>
      <w:proofErr w:type="gramStart"/>
      <w:r w:rsidRPr="007B16F5">
        <w:t>dB(</w:t>
      </w:r>
      <w:proofErr w:type="gramEnd"/>
      <w:r w:rsidRPr="007B16F5">
        <w:t xml:space="preserve">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171,0</w:t>
      </w:r>
      <w:r w:rsidRPr="007B16F5">
        <w:rPr>
          <w:i/>
        </w:rPr>
        <w:t xml:space="preserve"> </w:t>
      </w:r>
      <w:r w:rsidRPr="007B16F5">
        <w:t>dBW.</w:t>
      </w:r>
    </w:p>
    <w:p w:rsidR="00E100B6" w:rsidRPr="007B16F5" w:rsidRDefault="00E100B6" w:rsidP="00E100B6">
      <w:r w:rsidRPr="007B16F5">
        <w:t xml:space="preserve">La densité spectrale maximale de la puissance de brouillage admissible pouvant être causé sur la liaison descendante par l'ensemble des émetteurs brouilleurs, </w:t>
      </w:r>
      <w:proofErr w:type="gramStart"/>
      <w:r w:rsidRPr="007B16F5">
        <w:rPr>
          <w:i/>
          <w:iCs/>
        </w:rPr>
        <w:t>I</w:t>
      </w:r>
      <w:r w:rsidRPr="007B16F5">
        <w:rPr>
          <w:vertAlign w:val="subscript"/>
        </w:rPr>
        <w:t>0</w:t>
      </w:r>
      <w:r w:rsidRPr="007B16F5">
        <w:t>(</w:t>
      </w:r>
      <w:proofErr w:type="gramEnd"/>
      <w:r w:rsidRPr="007B16F5">
        <w:t>max), mesurée à l'entrée de l'AFB récepteur du terminal GEOLUT, sur la totalité de la bande 1 544,5 MHz ± 100 kHz, vaut:</w:t>
      </w:r>
    </w:p>
    <w:p w:rsidR="00E100B6" w:rsidRPr="00D842BB" w:rsidRDefault="00E100B6" w:rsidP="00E100B6">
      <w:pPr>
        <w:pStyle w:val="Equation"/>
        <w:rPr>
          <w:lang w:val="en-GB"/>
        </w:rPr>
      </w:pPr>
      <w:r w:rsidRPr="007B16F5">
        <w:tab/>
      </w:r>
      <w:r w:rsidRPr="007B16F5">
        <w:tab/>
      </w:r>
      <w:proofErr w:type="gramStart"/>
      <w:r w:rsidRPr="00D842BB">
        <w:rPr>
          <w:i/>
          <w:iCs/>
          <w:lang w:val="en-GB"/>
        </w:rPr>
        <w:t>I</w:t>
      </w:r>
      <w:r w:rsidRPr="00D842BB">
        <w:rPr>
          <w:vertAlign w:val="subscript"/>
          <w:lang w:val="en-GB"/>
        </w:rPr>
        <w:t>0</w:t>
      </w:r>
      <w:r w:rsidRPr="00D842BB">
        <w:rPr>
          <w:lang w:val="en-GB"/>
        </w:rPr>
        <w:t>(</w:t>
      </w:r>
      <w:proofErr w:type="gramEnd"/>
      <w:r w:rsidRPr="00D842BB">
        <w:rPr>
          <w:lang w:val="en-GB"/>
        </w:rPr>
        <w:t>max) = 10 log (10</w:t>
      </w:r>
      <w:r w:rsidRPr="00D842BB">
        <w:rPr>
          <w:vertAlign w:val="superscript"/>
          <w:lang w:val="en-GB"/>
        </w:rPr>
        <w:t>(</w:t>
      </w:r>
      <w:r w:rsidRPr="00D842BB">
        <w:rPr>
          <w:i/>
          <w:iCs/>
          <w:vertAlign w:val="superscript"/>
          <w:lang w:val="en-GB"/>
        </w:rPr>
        <w:t>C</w:t>
      </w:r>
      <w:r w:rsidRPr="007B16F5">
        <w:rPr>
          <w:vertAlign w:val="superscript"/>
        </w:rPr>
        <w:sym w:font="Symbol" w:char="F0AF"/>
      </w:r>
      <w:r w:rsidRPr="00D842BB">
        <w:rPr>
          <w:vertAlign w:val="superscript"/>
          <w:lang w:val="en-GB"/>
        </w:rPr>
        <w:t>–(</w:t>
      </w:r>
      <w:r w:rsidRPr="00D842BB">
        <w:rPr>
          <w:i/>
          <w:iCs/>
          <w:vertAlign w:val="superscript"/>
          <w:lang w:val="en-GB"/>
        </w:rPr>
        <w:t>C</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 xml:space="preserve"> +</w:t>
      </w:r>
      <w:r w:rsidRPr="00D842BB">
        <w:rPr>
          <w:i/>
          <w:iCs/>
          <w:vertAlign w:val="superscript"/>
          <w:lang w:val="en-GB"/>
        </w:rPr>
        <w:t xml:space="preserve"> I</w:t>
      </w:r>
      <w:r w:rsidRPr="00D842BB">
        <w:rPr>
          <w:sz w:val="20"/>
          <w:vertAlign w:val="superscript"/>
          <w:lang w:val="en-GB"/>
        </w:rPr>
        <w:t>0</w:t>
      </w:r>
      <w:r w:rsidRPr="00D842BB">
        <w:rPr>
          <w:vertAlign w:val="superscript"/>
          <w:lang w:val="en-GB"/>
        </w:rPr>
        <w:t>)</w:t>
      </w:r>
      <w:r w:rsidRPr="007B16F5">
        <w:rPr>
          <w:vertAlign w:val="superscript"/>
        </w:rPr>
        <w:sym w:font="Symbol" w:char="F0AF"/>
      </w:r>
      <w:r w:rsidRPr="00D842BB">
        <w:rPr>
          <w:vertAlign w:val="superscript"/>
          <w:lang w:val="en-GB"/>
        </w:rPr>
        <w:t>))/10</w:t>
      </w:r>
      <w:r w:rsidRPr="00D842BB">
        <w:rPr>
          <w:lang w:val="en-GB"/>
        </w:rPr>
        <w:t>–10</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w:t>
      </w:r>
      <w:r w:rsidRPr="007B16F5">
        <w:rPr>
          <w:vertAlign w:val="superscript"/>
        </w:rPr>
        <w:sym w:font="Symbol" w:char="F0AF"/>
      </w:r>
      <w:r w:rsidRPr="00D842BB">
        <w:rPr>
          <w:vertAlign w:val="superscript"/>
          <w:lang w:val="en-GB"/>
        </w:rPr>
        <w:t>10</w:t>
      </w:r>
      <w:r w:rsidRPr="00D842BB">
        <w:rPr>
          <w:lang w:val="en-GB"/>
        </w:rPr>
        <w:t>)</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10 log (10</w:t>
      </w:r>
      <w:r w:rsidRPr="007B16F5">
        <w:rPr>
          <w:vertAlign w:val="superscript"/>
        </w:rPr>
        <w:t>(–171,0–35,0)/10</w:t>
      </w:r>
      <w:r w:rsidRPr="007B16F5">
        <w:t>–10</w:t>
      </w:r>
      <w:r w:rsidRPr="007B16F5">
        <w:rPr>
          <w:vertAlign w:val="superscript"/>
        </w:rPr>
        <w:t>–208,4/10</w:t>
      </w:r>
      <w:r w:rsidRPr="007B16F5">
        <w:t>)</w:t>
      </w:r>
    </w:p>
    <w:p w:rsidR="00E100B6" w:rsidRPr="007B16F5" w:rsidRDefault="00E100B6" w:rsidP="00E100B6">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–209,7 dB(W/Hz)</w:t>
      </w:r>
    </w:p>
    <w:p w:rsidR="00E100B6" w:rsidRPr="007B16F5" w:rsidRDefault="00E100B6" w:rsidP="00E100B6">
      <w:r w:rsidRPr="007B16F5">
        <w:t xml:space="preserve">Il est souhaitable de décrire les critères de protection en termes de seuil de brouillage (spfd) exprimé en </w:t>
      </w:r>
      <w:proofErr w:type="gramStart"/>
      <w:r w:rsidRPr="007B16F5">
        <w:t>dB(</w:t>
      </w:r>
      <w:proofErr w:type="gramEnd"/>
      <w:r w:rsidRPr="007B16F5">
        <w:t>W/(m</w:t>
      </w:r>
      <w:r w:rsidRPr="007B16F5">
        <w:rPr>
          <w:vertAlign w:val="superscript"/>
        </w:rPr>
        <w:t xml:space="preserve">2 </w:t>
      </w:r>
      <w:r w:rsidRPr="007B16F5">
        <w:t xml:space="preserve">∙ Hz)) à l'entrée de l'antenne du terminal GEOLUT.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L'antenne du terminal GEOLUT a un gain de 35,7 dB, de sorte que l'ouverture effective est de 12,0 m</w:t>
      </w:r>
      <w:r w:rsidRPr="007B16F5">
        <w:rPr>
          <w:vertAlign w:val="superscript"/>
        </w:rPr>
        <w:t>2</w:t>
      </w:r>
      <w:r w:rsidRPr="007B16F5">
        <w:t>. Le brouillage maximum cumulatif acceptable exprimé en termes de spfd vaut:</w:t>
      </w:r>
    </w:p>
    <w:p w:rsidR="00E100B6" w:rsidRPr="007B16F5" w:rsidRDefault="00E100B6" w:rsidP="00E100B6">
      <w:pPr>
        <w:pStyle w:val="Equation"/>
        <w:rPr>
          <w:vertAlign w:val="subscript"/>
        </w:rPr>
      </w:pPr>
      <w:r w:rsidRPr="007B16F5">
        <w:tab/>
      </w:r>
      <w:r w:rsidRPr="007B16F5">
        <w:tab/>
        <w:t xml:space="preserve">spfd = </w:t>
      </w:r>
      <w:proofErr w:type="gramStart"/>
      <w:r w:rsidRPr="007B16F5">
        <w:rPr>
          <w:i/>
          <w:iCs/>
        </w:rPr>
        <w:t>I</w:t>
      </w:r>
      <w:r w:rsidRPr="007B16F5">
        <w:rPr>
          <w:vertAlign w:val="subscript"/>
        </w:rPr>
        <w:t>0</w:t>
      </w:r>
      <w:r w:rsidRPr="007B16F5">
        <w:t>(</w:t>
      </w:r>
      <w:proofErr w:type="gramEnd"/>
      <w:r w:rsidRPr="007B16F5">
        <w:t xml:space="preserve">max) – </w:t>
      </w:r>
      <w:r w:rsidRPr="007B16F5">
        <w:rPr>
          <w:i/>
          <w:iCs/>
        </w:rPr>
        <w:t>L</w:t>
      </w:r>
      <w:r w:rsidRPr="007B16F5">
        <w:rPr>
          <w:i/>
          <w:iCs/>
          <w:vertAlign w:val="subscript"/>
        </w:rPr>
        <w:t>Ligne</w:t>
      </w:r>
      <w:r w:rsidRPr="007B16F5">
        <w:t xml:space="preserve"> – </w:t>
      </w:r>
      <w:r w:rsidRPr="007B16F5">
        <w:rPr>
          <w:i/>
          <w:iCs/>
        </w:rPr>
        <w:t>A</w:t>
      </w:r>
      <w:r w:rsidRPr="007B16F5">
        <w:rPr>
          <w:i/>
          <w:iCs/>
          <w:vertAlign w:val="subscript"/>
        </w:rPr>
        <w:t>e</w:t>
      </w:r>
    </w:p>
    <w:p w:rsidR="00E100B6" w:rsidRPr="007B16F5" w:rsidRDefault="00E100B6" w:rsidP="00E100B6">
      <w:r w:rsidRPr="007B16F5">
        <w:lastRenderedPageBreak/>
        <w:t xml:space="preserve">En supposant </w:t>
      </w:r>
      <w:r w:rsidRPr="007B16F5">
        <w:rPr>
          <w:i/>
          <w:iCs/>
        </w:rPr>
        <w:t>L</w:t>
      </w:r>
      <w:r w:rsidRPr="007B16F5">
        <w:rPr>
          <w:i/>
          <w:iCs/>
          <w:vertAlign w:val="subscript"/>
        </w:rPr>
        <w:t>Ligne</w:t>
      </w:r>
      <w:r w:rsidRPr="007B16F5">
        <w:t xml:space="preserve"> = 0</w:t>
      </w:r>
    </w:p>
    <w:p w:rsidR="00E100B6" w:rsidRPr="007B16F5" w:rsidRDefault="00E100B6" w:rsidP="00E100B6">
      <w:pPr>
        <w:pStyle w:val="Equation"/>
      </w:pPr>
      <w:r w:rsidRPr="007B16F5">
        <w:tab/>
      </w:r>
      <w:r w:rsidRPr="007B16F5">
        <w:tab/>
      </w:r>
      <w:proofErr w:type="gramStart"/>
      <w:r w:rsidRPr="007B16F5">
        <w:t>spfd</w:t>
      </w:r>
      <w:proofErr w:type="gramEnd"/>
      <w:r w:rsidRPr="007B16F5">
        <w:t xml:space="preserve"> = –209,7</w:t>
      </w:r>
      <w:r w:rsidRPr="007B16F5">
        <w:rPr>
          <w:i/>
        </w:rPr>
        <w:t xml:space="preserve"> </w:t>
      </w:r>
      <w:r w:rsidRPr="007B16F5">
        <w:t xml:space="preserve">– 0 – 10 log (12,0) </w:t>
      </w:r>
    </w:p>
    <w:p w:rsidR="00E100B6" w:rsidRPr="007B16F5" w:rsidRDefault="00E100B6" w:rsidP="00E100B6">
      <w:pPr>
        <w:pStyle w:val="Equation"/>
      </w:pPr>
      <w:r w:rsidRPr="007B16F5">
        <w:tab/>
      </w:r>
      <w:r w:rsidRPr="007B16F5">
        <w:tab/>
        <w:t xml:space="preserve">   = –220,5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r w:rsidRPr="007B16F5">
        <w:t xml:space="preserve">Le niveau maximum du brouillage à caractère de bruit large bande dans le canal du terminal GEOLUT à 1 544,5 MHz </w:t>
      </w:r>
      <w:r w:rsidRPr="007B16F5">
        <w:sym w:font="Symbol" w:char="F0B1"/>
      </w:r>
      <w:r w:rsidRPr="007B16F5">
        <w:t xml:space="preserve"> 100 kHz ne doit pas excéder –220,5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pPr>
        <w:pStyle w:val="Heading1"/>
      </w:pPr>
      <w:r w:rsidRPr="007B16F5">
        <w:t>4</w:t>
      </w:r>
      <w:r w:rsidRPr="007B16F5">
        <w:tab/>
        <w:t>Procédure pour calculer le niveau de brouillage causé à la liaison descendante du canal SARR sur 406 MHz d'un satellite MSG</w:t>
      </w:r>
    </w:p>
    <w:p w:rsidR="00E100B6" w:rsidRPr="007B16F5" w:rsidRDefault="00E100B6" w:rsidP="00E100B6">
      <w:r w:rsidRPr="007B16F5">
        <w:t>Les brouillages causés au système Cospas-Sarsat proviennent le plus souvent de rayonnements hors bande émis par des services dans les bandes adjacentes ou presque, par exemple les attributions faites au SMS dans le sens espace vers Terre.</w:t>
      </w:r>
    </w:p>
    <w:p w:rsidR="00E100B6" w:rsidRPr="007B16F5" w:rsidRDefault="00E100B6" w:rsidP="00E100B6">
      <w:r w:rsidRPr="007B16F5">
        <w:t xml:space="preserve">Il convient d'examiner la largeur de bande à l'émission pour déterminer si l'énergie est émise dans la gamme de fréquences 1 544,5 MHz </w:t>
      </w:r>
      <w:r w:rsidRPr="007B16F5">
        <w:sym w:font="Symbol" w:char="F0B1"/>
      </w:r>
      <w:r w:rsidRPr="007B16F5">
        <w:t xml:space="preserve"> 100 kHz, en faisant particulièrement attention, en analysant l'incidence des systèmes mobiles (par exemple, satellites non géostationnaires et émetteurs embarqués), de tenir compte des effets du décalage Doppler qu'ils génèrent par leur déplacement.</w:t>
      </w:r>
    </w:p>
    <w:p w:rsidR="00E100B6" w:rsidRPr="007B16F5" w:rsidRDefault="00E100B6" w:rsidP="00E100B6">
      <w:r w:rsidRPr="007B16F5">
        <w:t>On calculera ensuite le niveau de brouillage provenant de toutes les sources qui émettent de l'énergie dans la bande, exprimée en termes de spfd au niveau de l'antenne du terminal GEOLUT. Le niveau cumulatif de toutes les sources de brouillage ne doit pas excéder –220,5 </w:t>
      </w:r>
      <w:proofErr w:type="gramStart"/>
      <w:r w:rsidRPr="007B16F5">
        <w:t>dB(</w:t>
      </w:r>
      <w:proofErr w:type="gramEnd"/>
      <w:r w:rsidRPr="007B16F5">
        <w:t>W/(m</w:t>
      </w:r>
      <w:r w:rsidRPr="007B16F5">
        <w:rPr>
          <w:vertAlign w:val="superscript"/>
        </w:rPr>
        <w:t>2</w:t>
      </w:r>
      <w:r>
        <w:rPr>
          <w:vertAlign w:val="superscript"/>
        </w:rPr>
        <w:t> </w:t>
      </w:r>
      <w:r w:rsidRPr="007B16F5">
        <w:t>∙</w:t>
      </w:r>
      <w:r>
        <w:t> </w:t>
      </w:r>
      <w:r w:rsidRPr="007B16F5">
        <w:t>Hz)) où que ce soit dans cette gamme.</w:t>
      </w:r>
    </w:p>
    <w:p w:rsidR="00E100B6" w:rsidRPr="007B16F5" w:rsidRDefault="00E100B6" w:rsidP="00E100B6">
      <w:r w:rsidRPr="007B16F5">
        <w:t>Le niveau ci</w:t>
      </w:r>
      <w:r w:rsidRPr="007B16F5">
        <w:noBreakHyphen/>
        <w:t>dessus se fonde sur un gain sur axe d'antenne du terminal GEOLUT de 35,7 dBi. Selon les systèmes, il faudrait pour établir l'incidence du brouillage tenir compte des considérations de discrimination d'antenne, de polarisation, etc.</w:t>
      </w:r>
    </w:p>
    <w:p w:rsidR="00E100B6" w:rsidRDefault="00E100B6" w:rsidP="00E100B6"/>
    <w:p w:rsidR="00E100B6" w:rsidRPr="007B16F5" w:rsidRDefault="00E100B6" w:rsidP="00E100B6"/>
    <w:p w:rsidR="00E100B6" w:rsidRPr="007B16F5" w:rsidRDefault="00E100B6" w:rsidP="00E100B6">
      <w:pPr>
        <w:pStyle w:val="AnnexNoTitle"/>
        <w:rPr>
          <w:bCs/>
          <w:spacing w:val="-3"/>
        </w:rPr>
      </w:pPr>
      <w:r w:rsidRPr="007B16F5">
        <w:t>Annexe 5</w:t>
      </w:r>
      <w:r w:rsidRPr="007B16F5">
        <w:br/>
      </w:r>
      <w:r w:rsidRPr="007B16F5">
        <w:br/>
        <w:t>Critères de protection dans la bande 1 544-1 545 MHz des terminaux MEOLUT du système Cospas-Sarsat qui reçoivent des signaux</w:t>
      </w:r>
      <w:r>
        <w:t xml:space="preserve"> </w:t>
      </w:r>
      <w:r w:rsidRPr="007B16F5">
        <w:t>de radiobalises de détresse fonctionnant à 406 MHz</w:t>
      </w:r>
      <w:r>
        <w:t xml:space="preserve"> </w:t>
      </w:r>
      <w:r w:rsidRPr="007B16F5">
        <w:t>relayés par des satellites GALILEO</w:t>
      </w:r>
    </w:p>
    <w:p w:rsidR="00E100B6" w:rsidRPr="007B16F5" w:rsidRDefault="00E100B6" w:rsidP="00E100B6">
      <w:pPr>
        <w:pStyle w:val="Heading1"/>
      </w:pPr>
      <w:r w:rsidRPr="007B16F5">
        <w:rPr>
          <w:caps/>
        </w:rPr>
        <w:t>1</w:t>
      </w:r>
      <w:r w:rsidRPr="007B16F5">
        <w:rPr>
          <w:caps/>
        </w:rPr>
        <w:tab/>
      </w:r>
      <w:r w:rsidRPr="007B16F5">
        <w:t>Introduction</w:t>
      </w:r>
    </w:p>
    <w:p w:rsidR="00E100B6" w:rsidRPr="007B16F5" w:rsidRDefault="00E100B6" w:rsidP="00E100B6">
      <w:r w:rsidRPr="007B16F5">
        <w:t xml:space="preserve">Les satellites GALILEO sont équipés de répéteurs de recherche et </w:t>
      </w:r>
      <w:r>
        <w:t>de sauvetage Cospas-Sarsat, qui </w:t>
      </w:r>
      <w:r w:rsidRPr="007B16F5">
        <w:t xml:space="preserve">reçoivent des signaux émanant de radiobalises de détresse </w:t>
      </w:r>
      <w:r>
        <w:t>sur 406 MHz et les relaient aux </w:t>
      </w:r>
      <w:r w:rsidRPr="007B16F5">
        <w:t xml:space="preserve">terminaux MEOLUT du système Cospas Sarsat sur des </w:t>
      </w:r>
      <w:r>
        <w:t>liaisons descendantes dans la bande </w:t>
      </w:r>
      <w:r w:rsidRPr="007B16F5">
        <w:t xml:space="preserve">1 544-1 545 MHz. L'analyse exposée dans la présente Annexe établit des critères de protection </w:t>
      </w:r>
      <w:r w:rsidRPr="00177A90">
        <w:rPr>
          <w:lang w:val="fr-CH"/>
        </w:rPr>
        <w:t>vis</w:t>
      </w:r>
      <w:r w:rsidRPr="00177A90">
        <w:rPr>
          <w:lang w:val="fr-CH"/>
        </w:rPr>
        <w:noBreakHyphen/>
        <w:t>à</w:t>
      </w:r>
      <w:r w:rsidRPr="00177A90">
        <w:rPr>
          <w:lang w:val="fr-CH"/>
        </w:rPr>
        <w:noBreakHyphen/>
        <w:t xml:space="preserve">vis </w:t>
      </w:r>
      <w:r>
        <w:t>des brouillages pour l</w:t>
      </w:r>
      <w:r w:rsidRPr="007B16F5">
        <w:t>es terminaux MEOLUT qui reçoivent les signaux sur la liaison descendante des satellites GALILEO dans la bande 1 544-1 545 MHz.</w:t>
      </w:r>
    </w:p>
    <w:p w:rsidR="00E100B6" w:rsidRPr="007B16F5" w:rsidRDefault="00E100B6" w:rsidP="00E100B6">
      <w:pPr>
        <w:pStyle w:val="Heading1"/>
      </w:pPr>
      <w:r w:rsidRPr="007B16F5">
        <w:t>2</w:t>
      </w:r>
      <w:r w:rsidRPr="007B16F5">
        <w:tab/>
        <w:t>Qualité de fonctionnement minimale acceptable pour la détection des signaux de radiobalises de détresse sur 406 MHz relayés par les satellites GALILEO</w:t>
      </w:r>
    </w:p>
    <w:p w:rsidR="00E100B6" w:rsidRPr="007B16F5" w:rsidRDefault="00E100B6" w:rsidP="00E100B6">
      <w:r w:rsidRPr="007B16F5">
        <w:t>Pour détecter de manière fiable les radiobalises de détresse sur 406 MHz utilisant des répéteurs à satellite GALILEO sur 406 MHz, le TEB du canal ne doit pas excéder 5 × 10</w:t>
      </w:r>
      <w:r w:rsidRPr="007B16F5">
        <w:rPr>
          <w:vertAlign w:val="superscript"/>
        </w:rPr>
        <w:t>–5</w:t>
      </w:r>
      <w:r w:rsidRPr="007B16F5">
        <w:t>.</w:t>
      </w:r>
    </w:p>
    <w:p w:rsidR="00E100B6" w:rsidRPr="007B16F5" w:rsidRDefault="00E100B6" w:rsidP="00E100B6">
      <w:pPr>
        <w:pStyle w:val="Heading1"/>
      </w:pPr>
      <w:r w:rsidRPr="007B16F5">
        <w:lastRenderedPageBreak/>
        <w:t>3</w:t>
      </w:r>
      <w:r w:rsidRPr="007B16F5">
        <w:tab/>
        <w:t>Analyse de la densité spectrale de la puissance surfacique (spfd)</w:t>
      </w:r>
    </w:p>
    <w:p w:rsidR="00E100B6" w:rsidRPr="007B16F5" w:rsidRDefault="00E100B6" w:rsidP="00E100B6">
      <w:r w:rsidRPr="007B16F5">
        <w:t>Le TEB d'un canal de communication est égal à l'énergie contenue dans chaque bit de données, </w:t>
      </w:r>
      <w:r w:rsidRPr="007B16F5">
        <w:rPr>
          <w:i/>
          <w:iCs/>
        </w:rPr>
        <w:t>E</w:t>
      </w:r>
      <w:r w:rsidRPr="007B16F5">
        <w:rPr>
          <w:i/>
          <w:iCs/>
          <w:vertAlign w:val="subscript"/>
        </w:rPr>
        <w:t>b</w:t>
      </w:r>
      <w:r w:rsidRPr="007B16F5">
        <w:t>, rapporté</w:t>
      </w:r>
      <w:r>
        <w:t>e</w:t>
      </w:r>
      <w:r w:rsidRPr="007B16F5">
        <w:t xml:space="preserve"> à la densité de bruit. La densité de bruit totale est la somme du bruit thermique,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w:t>
      </w:r>
      <w:r>
        <w:t>.</w:t>
      </w:r>
      <w:r w:rsidRPr="007B16F5">
        <w:t> 5 illustre le canal de charge utile SAR sur 406 MHz des satellites GALILEO en présence de brouillage sur la liaison descendante.</w:t>
      </w:r>
    </w:p>
    <w:p w:rsidR="00E100B6" w:rsidRPr="007B16F5" w:rsidRDefault="00E100B6" w:rsidP="00E100B6">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MEOLUT soit égal ou supérieur à 8,8 dB. La présente analyse vise à déterminer la quantité maximale de brouillage à caractère de bruit large bande, exprimée en termes de spfd, par rapport à l'entrée de l'antenne du terminal MEOLUT, pouvant être supportée sans que </w:t>
      </w:r>
      <w:r>
        <w:t>la qualité de la liaison tot</w:t>
      </w:r>
      <w:r w:rsidRPr="007B16F5">
        <w:t xml:space="preserve">ale </w:t>
      </w:r>
      <w:r w:rsidRPr="007B16F5">
        <w:rPr>
          <w:i/>
        </w:rPr>
        <w:t>E</w:t>
      </w:r>
      <w:r w:rsidRPr="007B16F5">
        <w:rPr>
          <w:i/>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00B6" w:rsidRPr="007B16F5" w:rsidRDefault="00E100B6" w:rsidP="00E100B6">
      <w:r w:rsidRPr="007B16F5">
        <w:t>Le rapport</w:t>
      </w:r>
      <w:r w:rsidRPr="007B16F5">
        <w:rPr>
          <w:i/>
          <w:iCs/>
        </w:rPr>
        <w:t xml:space="preserve"> 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total requis à 400 </w:t>
      </w:r>
      <w:r>
        <w:t>bit</w:t>
      </w:r>
      <w:r w:rsidRPr="007B16F5">
        <w:t>/s (26 dB/s) est</w:t>
      </w:r>
      <w:r>
        <w:t>:</w:t>
      </w:r>
      <w:r w:rsidRPr="007B16F5">
        <w:t xml:space="preserve"> </w:t>
      </w:r>
    </w:p>
    <w:p w:rsidR="00E100B6" w:rsidRPr="00D842BB" w:rsidRDefault="00E100B6" w:rsidP="00E100B6">
      <w:pPr>
        <w:pStyle w:val="Equation"/>
        <w:rPr>
          <w:lang w:val="en-GB" w:eastAsia="zh-CN"/>
        </w:rPr>
      </w:pPr>
      <w:r w:rsidRPr="007B16F5">
        <w:rPr>
          <w:lang w:eastAsia="zh-CN"/>
        </w:rPr>
        <w:tab/>
      </w:r>
      <w:r w:rsidRPr="007B16F5">
        <w:rPr>
          <w:lang w:eastAsia="zh-CN"/>
        </w:rPr>
        <w:tab/>
      </w:r>
      <w:r w:rsidRPr="00D842BB">
        <w:rPr>
          <w:i/>
          <w:iCs/>
          <w:lang w:val="en-GB" w:eastAsia="zh-CN"/>
        </w:rPr>
        <w:t>C</w:t>
      </w:r>
      <w:proofErr w:type="gramStart"/>
      <w:r w:rsidRPr="00D842BB">
        <w:rPr>
          <w:lang w:val="en-GB" w:eastAsia="zh-CN"/>
        </w:rPr>
        <w:t>/(</w:t>
      </w:r>
      <w:proofErr w:type="gramEnd"/>
      <w:r w:rsidRPr="00D842BB">
        <w:rPr>
          <w:i/>
          <w:iCs/>
          <w:lang w:val="en-GB" w:eastAsia="zh-CN"/>
        </w:rPr>
        <w:t>N</w:t>
      </w:r>
      <w:r w:rsidRPr="00D842BB">
        <w:rPr>
          <w:vertAlign w:val="subscript"/>
          <w:lang w:val="en-GB" w:eastAsia="zh-CN"/>
        </w:rPr>
        <w:t>0</w:t>
      </w:r>
      <w:r w:rsidRPr="00D842BB">
        <w:rPr>
          <w:lang w:val="en-GB" w:eastAsia="zh-CN"/>
        </w:rPr>
        <w:t> + </w:t>
      </w:r>
      <w:r w:rsidRPr="00D842BB">
        <w:rPr>
          <w:i/>
          <w:iCs/>
          <w:lang w:val="en-GB" w:eastAsia="zh-CN"/>
        </w:rPr>
        <w:t>I</w:t>
      </w:r>
      <w:r w:rsidRPr="00D842BB">
        <w:rPr>
          <w:vertAlign w:val="subscript"/>
          <w:lang w:val="en-GB" w:eastAsia="zh-CN"/>
        </w:rPr>
        <w:t>0</w:t>
      </w:r>
      <w:r w:rsidRPr="00D842BB">
        <w:rPr>
          <w:lang w:val="en-GB" w:eastAsia="zh-CN"/>
        </w:rPr>
        <w:t>)</w:t>
      </w:r>
      <w:r w:rsidRPr="00D842BB">
        <w:rPr>
          <w:i/>
          <w:iCs/>
          <w:vertAlign w:val="subscript"/>
          <w:lang w:val="en-GB"/>
        </w:rPr>
        <w:t xml:space="preserve"> total</w:t>
      </w:r>
      <w:r w:rsidRPr="00D842BB">
        <w:rPr>
          <w:lang w:val="en-GB" w:eastAsia="zh-CN"/>
        </w:rPr>
        <w:t xml:space="preserve"> = 8,8 + 10 log10(400) = 34,8 dB-Hz</w:t>
      </w:r>
    </w:p>
    <w:p w:rsidR="00E100B6" w:rsidRPr="00111DCA" w:rsidRDefault="00E100B6" w:rsidP="00E100B6">
      <w:r w:rsidRPr="007B16F5">
        <w:t>Comme il ressort de la Fig</w:t>
      </w:r>
      <w:r>
        <w:t>.</w:t>
      </w:r>
      <w:r w:rsidRPr="007B16F5">
        <w:t> 5, la charge utile</w:t>
      </w:r>
      <w:r>
        <w:t xml:space="preserve"> </w:t>
      </w:r>
      <w:r w:rsidRPr="007B16F5">
        <w:t xml:space="preserve">SAR des satellites GALILEO reçoit </w:t>
      </w:r>
      <w:r>
        <w:t>des signaux des </w:t>
      </w:r>
      <w:r w:rsidRPr="007B16F5">
        <w:t xml:space="preserve">radiobalises de détresse sur 406 MHz </w:t>
      </w:r>
      <w:r>
        <w:t>qui sont convertis en liaison descendante à </w:t>
      </w:r>
      <w:r w:rsidRPr="007B16F5">
        <w:t>1 544,1 MHz ± 100 kHz aux fins de détection et traitement par les terminaux MEOLUT. Le gain d'antenne et la température de bruit du système sont respectivement de 27 dB</w:t>
      </w:r>
      <w:r>
        <w:t>i</w:t>
      </w:r>
      <w:r w:rsidRPr="007B16F5">
        <w:t xml:space="preserve"> et 253 K (24</w:t>
      </w:r>
      <w:r>
        <w:t xml:space="preserve"> </w:t>
      </w:r>
      <w:r w:rsidRPr="007B16F5">
        <w:t>dB(K)) pour un terminal MEOLUT d'un satellite SAR/GALILEO.</w:t>
      </w:r>
      <w:r>
        <w:t xml:space="preserve"> Le rapport </w:t>
      </w:r>
      <w:r>
        <w:rPr>
          <w:i/>
          <w:iCs/>
        </w:rPr>
        <w:t xml:space="preserve">G/T </w:t>
      </w:r>
      <w:r>
        <w:t>correspondant est de 3 dB/K.</w:t>
      </w:r>
    </w:p>
    <w:p w:rsidR="00E100B6" w:rsidRPr="000863E1" w:rsidRDefault="00E100B6" w:rsidP="00E100B6">
      <w:pPr>
        <w:pStyle w:val="FigureNo"/>
        <w:rPr>
          <w:sz w:val="20"/>
        </w:rPr>
      </w:pPr>
      <w:bookmarkStart w:id="6" w:name="_Ref222480835"/>
      <w:r w:rsidRPr="000863E1">
        <w:rPr>
          <w:sz w:val="20"/>
        </w:rPr>
        <w:t>Figure 5</w:t>
      </w:r>
      <w:bookmarkEnd w:id="6"/>
    </w:p>
    <w:p w:rsidR="00E100B6" w:rsidRPr="007B16F5" w:rsidRDefault="00E100B6" w:rsidP="00E100B6">
      <w:pPr>
        <w:pStyle w:val="Figuretitle"/>
      </w:pPr>
      <w:r w:rsidRPr="000863E1">
        <w:rPr>
          <w:sz w:val="20"/>
        </w:rPr>
        <w:t>Scénario de liaison avec répéteurs pour un satellite SAR GALILEO</w:t>
      </w:r>
      <w:r w:rsidRPr="007B16F5">
        <w:t xml:space="preserve"> </w:t>
      </w:r>
    </w:p>
    <w:p w:rsidR="00E100B6" w:rsidRPr="007B16F5" w:rsidRDefault="00BE5C81" w:rsidP="00E100B6">
      <w:pPr>
        <w:pStyle w:val="Figure"/>
        <w:keepLines w:val="0"/>
      </w:pPr>
      <w:r>
        <w:object w:dxaOrig="7440" w:dyaOrig="4804">
          <v:shape id="_x0000_i1029" type="#_x0000_t75" style="width:438pt;height:283pt;mso-position-horizontal:absolute;mso-position-vertical:absolute" o:ole="">
            <v:imagedata r:id="rId22" o:title=""/>
          </v:shape>
          <o:OLEObject Type="Embed" ProgID="CorelDRAW.Graphic.14" ShapeID="_x0000_i1029" DrawAspect="Content" ObjectID="_1364302900" r:id="rId23"/>
        </w:object>
      </w:r>
    </w:p>
    <w:p w:rsidR="00E100B6" w:rsidRPr="007B16F5" w:rsidRDefault="00E100B6" w:rsidP="009D58A6">
      <w:pPr>
        <w:pStyle w:val="Normalaftertitle"/>
        <w:keepNext/>
        <w:keepLines/>
      </w:pPr>
      <w:r w:rsidRPr="007B16F5">
        <w:lastRenderedPageBreak/>
        <w:t>Le signal de la balise présente un angle d'élévation par rapport à l'en</w:t>
      </w:r>
      <w:r>
        <w:t>gin spatial de 5°. En l'absence </w:t>
      </w:r>
      <w:r w:rsidRPr="007B16F5">
        <w:t>de sources de brouillage externes, et conformément à l</w:t>
      </w:r>
      <w:r>
        <w:t>'Annexe 6 (Calcul des bilans de </w:t>
      </w:r>
      <w:r w:rsidRPr="007B16F5">
        <w:t xml:space="preserve">liaison Cospas-Sarsat), le rapport total </w:t>
      </w:r>
      <w:r w:rsidRPr="007B16F5">
        <w:rPr>
          <w:i/>
          <w:iCs/>
        </w:rPr>
        <w:t>C</w:t>
      </w:r>
      <w:r w:rsidRPr="007B16F5">
        <w:t>/</w:t>
      </w:r>
      <w:r w:rsidRPr="007B16F5">
        <w:rPr>
          <w:i/>
          <w:iCs/>
        </w:rPr>
        <w:t>N</w:t>
      </w:r>
      <w:r w:rsidRPr="007B16F5">
        <w:rPr>
          <w:vertAlign w:val="subscript"/>
        </w:rPr>
        <w:t>0</w:t>
      </w:r>
      <w:r w:rsidRPr="007B16F5">
        <w:t xml:space="preserve"> est de 35,4</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9,4 dB</w:t>
      </w:r>
      <w:r>
        <w:t xml:space="preserve"> (35,4 dB</w:t>
      </w:r>
      <w:r>
        <w:noBreakHyphen/>
        <w:t>Hz – 26 </w:t>
      </w:r>
      <w:r w:rsidRPr="007B16F5">
        <w:t xml:space="preserve">dB/s) à 400 </w:t>
      </w:r>
      <w:r>
        <w:t>bit</w:t>
      </w:r>
      <w:r w:rsidRPr="007B16F5">
        <w:t>/s. Compte tenu de la perte de mise en œuvre</w:t>
      </w:r>
      <w:r>
        <w:t xml:space="preserve"> (0,5 dB), de la perte </w:t>
      </w:r>
      <w:r w:rsidRPr="007B16F5">
        <w:t xml:space="preserve">de modulation des données de la radiobalise (1,0 dB) et </w:t>
      </w:r>
      <w:r>
        <w:t>du gain</w:t>
      </w:r>
      <w:r w:rsidRPr="007B16F5">
        <w:t xml:space="preserve"> de traitement (2,0 dB) au niveau du terminal MEOLUT,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9,9</w:t>
      </w:r>
      <w:r>
        <w:t xml:space="preserve"> dB. Comme il faut que </w:t>
      </w:r>
      <w:r w:rsidRPr="007B16F5">
        <w:t xml:space="preserve">sur le canal le rapport total </w:t>
      </w:r>
      <w:r w:rsidRPr="007B16F5">
        <w:rPr>
          <w:i/>
          <w:iCs/>
        </w:rPr>
        <w:t>E</w:t>
      </w:r>
      <w:r w:rsidRPr="007B16F5">
        <w:rPr>
          <w:i/>
          <w:iCs/>
          <w:vertAlign w:val="subscript"/>
        </w:rPr>
        <w:t>b</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que l'accumulation de</w:t>
      </w:r>
      <w:r>
        <w:t xml:space="preserve"> brouillages large bande sur la </w:t>
      </w:r>
      <w:r w:rsidRPr="007B16F5">
        <w:t>liaison descendante réduise le rapport global porteuse sur bruit, plus densité de brouillage de plus de 1,1</w:t>
      </w:r>
      <w:r>
        <w:t> </w:t>
      </w:r>
      <w:r w:rsidRPr="007B16F5">
        <w:t>dB.</w:t>
      </w:r>
    </w:p>
    <w:p w:rsidR="00E100B6" w:rsidRPr="007B16F5" w:rsidRDefault="00E100B6" w:rsidP="00E100B6">
      <w:r w:rsidRPr="007B16F5">
        <w:t xml:space="preserve">Puisqu'en l'absence de brouillage le rapport </w:t>
      </w:r>
      <w:r>
        <w:t>total</w:t>
      </w:r>
      <w:r w:rsidRPr="007B16F5">
        <w:t xml:space="preserve"> </w:t>
      </w:r>
      <w:r w:rsidRPr="007B16F5">
        <w:rPr>
          <w:i/>
          <w:iCs/>
        </w:rPr>
        <w:t>C</w:t>
      </w:r>
      <w:r w:rsidRPr="007B16F5">
        <w:t>/</w:t>
      </w:r>
      <w:r w:rsidRPr="007B16F5">
        <w:rPr>
          <w:i/>
          <w:iCs/>
        </w:rPr>
        <w:t>N</w:t>
      </w:r>
      <w:r w:rsidRPr="007B16F5">
        <w:rPr>
          <w:vertAlign w:val="subscript"/>
        </w:rPr>
        <w:t>0</w:t>
      </w:r>
      <w:r w:rsidRPr="007B16F5">
        <w:t xml:space="preserve"> est égal à 34,5 dB-Hz, le brouillage à caractère de bruit large bande sur la liaison descendante qui le dégrade de 1,1 dB donnerait un rapport total porteuse sur bruit, plus densité de brouillage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 xml:space="preserve">total </w:t>
      </w:r>
      <w:r w:rsidRPr="007B16F5">
        <w:t>de 34,3 dB-Hz.</w:t>
      </w:r>
    </w:p>
    <w:p w:rsidR="00E100B6" w:rsidRPr="007B16F5" w:rsidRDefault="00E100B6" w:rsidP="00E100B6">
      <w:r w:rsidRPr="007B16F5">
        <w:t>Le rapport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00B6" w:rsidRPr="007B16F5" w:rsidRDefault="00E100B6" w:rsidP="00E100B6">
      <w:pPr>
        <w:pStyle w:val="Blanc"/>
        <w:rPr>
          <w:lang w:val="fr-FR"/>
        </w:rPr>
      </w:pP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 xml:space="preserve">total </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D"/>
      </w:r>
      <w:r w:rsidRPr="00D842BB">
        <w:rPr>
          <w:i/>
          <w:iCs/>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F"/>
      </w:r>
      <w:r w:rsidRPr="00D842BB">
        <w:rPr>
          <w:lang w:val="en-GB"/>
        </w:rPr>
        <w:t>)</w:t>
      </w:r>
      <w:r w:rsidRPr="00D842BB">
        <w:rPr>
          <w:vertAlign w:val="superscript"/>
          <w:lang w:val="en-GB"/>
        </w:rPr>
        <w:t>−1</w:t>
      </w:r>
    </w:p>
    <w:p w:rsidR="00E100B6" w:rsidRPr="00D842BB" w:rsidRDefault="00E100B6" w:rsidP="00E100B6">
      <w:pPr>
        <w:pStyle w:val="Blanc"/>
      </w:pPr>
    </w:p>
    <w:p w:rsidR="00E100B6" w:rsidRPr="007B16F5" w:rsidRDefault="00E100B6" w:rsidP="00E100B6">
      <w:r w:rsidRPr="007B16F5">
        <w:t>Etant donné que la présente analyse ne concerne que le brouillage sur la liaison descendante, l'équation ci</w:t>
      </w:r>
      <w:r w:rsidRPr="007B16F5">
        <w:noBreakHyphen/>
        <w:t>dessus se simplifie comme suit:</w:t>
      </w:r>
    </w:p>
    <w:p w:rsidR="00E100B6" w:rsidRPr="00D842BB" w:rsidRDefault="00E100B6" w:rsidP="00E100B6">
      <w:pPr>
        <w:pStyle w:val="Equation"/>
        <w:rPr>
          <w:lang w:val="en-GB"/>
        </w:rPr>
      </w:pPr>
      <w:r w:rsidRPr="007B16F5">
        <w:tab/>
      </w:r>
      <w:r w:rsidRPr="007B16F5">
        <w:tab/>
      </w:r>
      <w:r w:rsidRPr="00D842BB">
        <w:rPr>
          <w:lang w:val="en-GB"/>
        </w:rPr>
        <w:t>(</w:t>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 xml:space="preserve">total </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F"/>
      </w:r>
      <w:r w:rsidRPr="00D842BB">
        <w:rPr>
          <w:lang w:val="en-GB"/>
        </w:rPr>
        <w:t>)</w:t>
      </w:r>
      <w:r w:rsidRPr="00D842BB">
        <w:rPr>
          <w:vertAlign w:val="superscript"/>
          <w:lang w:val="en-GB"/>
        </w:rPr>
        <w:t>−1</w:t>
      </w:r>
    </w:p>
    <w:p w:rsidR="00E100B6" w:rsidRPr="00D842BB" w:rsidRDefault="00E100B6" w:rsidP="00E100B6">
      <w:pPr>
        <w:pStyle w:val="Blanc"/>
      </w:pPr>
    </w:p>
    <w:p w:rsidR="00E100B6" w:rsidRPr="007B16F5" w:rsidRDefault="00E100B6" w:rsidP="00E100B6">
      <w:r w:rsidRPr="007B16F5">
        <w:t>Si (</w:t>
      </w:r>
      <w:r w:rsidRPr="007B16F5">
        <w:rPr>
          <w:i/>
          <w:iCs/>
        </w:rPr>
        <w:t>C</w:t>
      </w:r>
      <w:proofErr w:type="gramStart"/>
      <w:r w:rsidRPr="007B16F5">
        <w:t>/(</w:t>
      </w:r>
      <w:proofErr w:type="gramEnd"/>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34,3 dB-Hz et (</w:t>
      </w:r>
      <w:r w:rsidRPr="007B16F5">
        <w:rPr>
          <w:i/>
          <w:iCs/>
        </w:rPr>
        <w:t>C</w:t>
      </w:r>
      <w:r w:rsidRPr="007B16F5">
        <w:t>/</w:t>
      </w:r>
      <w:r w:rsidRPr="007B16F5">
        <w:rPr>
          <w:i/>
          <w:iCs/>
        </w:rPr>
        <w:t>N</w:t>
      </w:r>
      <w:r w:rsidRPr="007B16F5">
        <w:rPr>
          <w:vertAlign w:val="subscript"/>
        </w:rPr>
        <w:t>0</w:t>
      </w:r>
      <w:r w:rsidRPr="007B16F5">
        <w:t>)</w:t>
      </w:r>
      <w:r w:rsidRPr="007B16F5">
        <w:rPr>
          <w:vertAlign w:val="subscript"/>
        </w:rPr>
        <w:sym w:font="Symbol" w:char="F0AD"/>
      </w:r>
      <w:r w:rsidRPr="007B16F5">
        <w:t xml:space="preserve"> = 35,7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39,9 dB-Hz (voir ci-dessous):</w:t>
      </w:r>
    </w:p>
    <w:p w:rsidR="00E100B6" w:rsidRPr="00D842BB" w:rsidRDefault="00E100B6" w:rsidP="00E100B6">
      <w:pPr>
        <w:pStyle w:val="Equation"/>
        <w:rPr>
          <w:vertAlign w:val="superscript"/>
          <w:lang w:val="en-GB"/>
        </w:rPr>
      </w:pPr>
      <w:r w:rsidRPr="007B16F5">
        <w:tab/>
      </w:r>
      <w:r w:rsidRPr="007B16F5">
        <w:tab/>
      </w:r>
      <w:r w:rsidRPr="00D842BB">
        <w:rPr>
          <w:i/>
          <w:iCs/>
          <w:lang w:val="en-GB"/>
        </w:rPr>
        <w:t>C</w:t>
      </w:r>
      <w:proofErr w:type="gramStart"/>
      <w:r w:rsidRPr="00D842BB">
        <w:rPr>
          <w:lang w:val="en-GB"/>
        </w:rPr>
        <w:t>/(</w:t>
      </w:r>
      <w:proofErr w:type="gramEnd"/>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7B16F5">
        <w:rPr>
          <w:iCs/>
          <w:szCs w:val="24"/>
          <w:vertAlign w:val="subscript"/>
        </w:rPr>
        <w:sym w:font="Symbol" w:char="F0AF"/>
      </w:r>
      <w:r w:rsidRPr="00D842BB">
        <w:rPr>
          <w:i/>
          <w:iCs/>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 xml:space="preserve">total </w:t>
      </w:r>
      <w:r w:rsidRPr="00D842BB">
        <w:rPr>
          <w:vertAlign w:val="superscript"/>
          <w:lang w:val="en-GB"/>
        </w:rPr>
        <w:t>−1</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iCs/>
          <w:szCs w:val="24"/>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xml:space="preserve"> + </w:t>
      </w:r>
      <w:r w:rsidRPr="007B16F5">
        <w:rPr>
          <w:i/>
          <w:iCs/>
        </w:rPr>
        <w:t>I</w:t>
      </w:r>
      <w:r w:rsidRPr="007B16F5">
        <w:rPr>
          <w:vertAlign w:val="subscript"/>
        </w:rPr>
        <w:t>0</w:t>
      </w:r>
      <w:r w:rsidRPr="007B16F5">
        <w:t>)</w:t>
      </w:r>
      <w:r w:rsidRPr="007B16F5">
        <w:rPr>
          <w:iCs/>
          <w:szCs w:val="24"/>
          <w:vertAlign w:val="subscript"/>
        </w:rPr>
        <w:sym w:font="Symbol" w:char="F0AF"/>
      </w:r>
      <w:r w:rsidRPr="007B16F5">
        <w:rPr>
          <w:i/>
          <w:iCs/>
        </w:rPr>
        <w:t xml:space="preserve"> </w:t>
      </w:r>
      <w:r w:rsidRPr="007B16F5">
        <w:t>= 10 log ((10</w:t>
      </w:r>
      <w:r w:rsidRPr="007B16F5">
        <w:rPr>
          <w:vertAlign w:val="superscript"/>
        </w:rPr>
        <w:t>−</w:t>
      </w:r>
      <w:r w:rsidRPr="007B16F5">
        <w:rPr>
          <w:b/>
          <w:vertAlign w:val="superscript"/>
        </w:rPr>
        <w:t>34,3</w:t>
      </w:r>
      <w:r w:rsidRPr="007B16F5">
        <w:rPr>
          <w:vertAlign w:val="superscript"/>
        </w:rPr>
        <w:t xml:space="preserve">/10 </w:t>
      </w:r>
      <w:r w:rsidRPr="007B16F5">
        <w:t>− 10</w:t>
      </w:r>
      <w:r w:rsidRPr="007B16F5">
        <w:rPr>
          <w:vertAlign w:val="superscript"/>
        </w:rPr>
        <w:t>−</w:t>
      </w:r>
      <w:r w:rsidRPr="007B16F5">
        <w:rPr>
          <w:b/>
          <w:vertAlign w:val="superscript"/>
        </w:rPr>
        <w:t>35,7</w:t>
      </w:r>
      <w:r w:rsidRPr="007B16F5">
        <w:rPr>
          <w:vertAlign w:val="superscript"/>
        </w:rPr>
        <w:t>/10</w:t>
      </w:r>
      <w:r w:rsidRPr="007B16F5">
        <w:t>)</w:t>
      </w:r>
      <w:r w:rsidRPr="007B16F5">
        <w:rPr>
          <w:vertAlign w:val="superscript"/>
        </w:rPr>
        <w:t>−1</w:t>
      </w:r>
      <w:r w:rsidRPr="007B16F5">
        <w:t>)</w:t>
      </w:r>
    </w:p>
    <w:p w:rsidR="00E100B6" w:rsidRPr="007B16F5" w:rsidRDefault="00E100B6" w:rsidP="00E100B6">
      <w:pPr>
        <w:rPr>
          <w:vertAlign w:val="superscript"/>
        </w:rPr>
      </w:pPr>
      <w:proofErr w:type="gramStart"/>
      <w:r w:rsidRPr="007B16F5">
        <w:t>de</w:t>
      </w:r>
      <w:proofErr w:type="gramEnd"/>
      <w:r w:rsidRPr="007B16F5">
        <w:t xml:space="preserve"> sorte que</w:t>
      </w:r>
    </w:p>
    <w:p w:rsidR="00E100B6" w:rsidRPr="007B16F5" w:rsidRDefault="00E100B6" w:rsidP="00E100B6">
      <w:pPr>
        <w:pStyle w:val="Equation"/>
      </w:pPr>
      <w:r w:rsidRPr="007B16F5">
        <w:tab/>
      </w:r>
      <w:r w:rsidRPr="007B16F5">
        <w:tab/>
      </w:r>
      <w:r w:rsidRPr="007B16F5">
        <w:rPr>
          <w:i/>
          <w:iCs/>
        </w:rPr>
        <w:t>C</w:t>
      </w:r>
      <w:proofErr w:type="gramStart"/>
      <w:r w:rsidRPr="007B16F5">
        <w:t>/(</w:t>
      </w:r>
      <w:proofErr w:type="gramEnd"/>
      <w:r w:rsidRPr="007B16F5">
        <w:rPr>
          <w:i/>
          <w:iCs/>
        </w:rPr>
        <w:t>N</w:t>
      </w:r>
      <w:r w:rsidRPr="007B16F5">
        <w:rPr>
          <w:vertAlign w:val="subscript"/>
        </w:rPr>
        <w:t>0</w:t>
      </w:r>
      <w:r w:rsidRPr="007B16F5">
        <w:t xml:space="preserve"> + </w:t>
      </w:r>
      <w:r w:rsidRPr="007B16F5">
        <w:rPr>
          <w:i/>
          <w:iCs/>
        </w:rPr>
        <w:t>I</w:t>
      </w:r>
      <w:r w:rsidRPr="007B16F5">
        <w:rPr>
          <w:vertAlign w:val="subscript"/>
        </w:rPr>
        <w:t>0</w:t>
      </w:r>
      <w:r w:rsidRPr="007B16F5">
        <w:t>)</w:t>
      </w:r>
      <w:r w:rsidRPr="007B16F5">
        <w:rPr>
          <w:iCs/>
          <w:szCs w:val="24"/>
          <w:vertAlign w:val="subscript"/>
        </w:rPr>
        <w:sym w:font="Symbol" w:char="F0AF"/>
      </w:r>
      <w:r w:rsidRPr="007B16F5">
        <w:rPr>
          <w:i/>
          <w:iCs/>
        </w:rPr>
        <w:t xml:space="preserve"> </w:t>
      </w:r>
      <w:r w:rsidRPr="007B16F5">
        <w:t>= 39,9 dB</w:t>
      </w:r>
      <w:r w:rsidRPr="007B16F5">
        <w:noBreakHyphen/>
        <w:t>Hz</w:t>
      </w:r>
    </w:p>
    <w:p w:rsidR="00E100B6" w:rsidRPr="007B16F5" w:rsidRDefault="00E100B6" w:rsidP="00E100B6">
      <w:pPr>
        <w:pStyle w:val="Blanc"/>
        <w:rPr>
          <w:lang w:val="fr-FR"/>
        </w:rPr>
      </w:pPr>
    </w:p>
    <w:p w:rsidR="00E100B6" w:rsidRPr="007B16F5" w:rsidRDefault="00E100B6" w:rsidP="00E100B6">
      <w:r w:rsidRPr="007B16F5">
        <w:t xml:space="preserve">La densité spectrale de la puissance de bruit </w:t>
      </w:r>
      <w:r>
        <w:t>sur</w:t>
      </w:r>
      <w:r w:rsidRPr="007B16F5">
        <w:t xml:space="preserv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t>= –228,6 + </w:t>
      </w:r>
      <w:r w:rsidRPr="007B16F5">
        <w:t xml:space="preserve">24 = –204,6 </w:t>
      </w:r>
      <w:proofErr w:type="gramStart"/>
      <w:r w:rsidRPr="007B16F5">
        <w:t>dB(</w:t>
      </w:r>
      <w:proofErr w:type="gramEnd"/>
      <w:r w:rsidRPr="007B16F5">
        <w:t>W/Hz).</w:t>
      </w:r>
    </w:p>
    <w:p w:rsidR="00E100B6" w:rsidRPr="007B16F5" w:rsidRDefault="00E100B6" w:rsidP="00E100B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46,7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–206,4 </w:t>
      </w:r>
      <w:proofErr w:type="gramStart"/>
      <w:r w:rsidRPr="007B16F5">
        <w:t>dB(</w:t>
      </w:r>
      <w:proofErr w:type="gramEnd"/>
      <w:r w:rsidRPr="007B16F5">
        <w:t xml:space="preserve">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157,9</w:t>
      </w:r>
      <w:r w:rsidRPr="007B16F5">
        <w:rPr>
          <w:i/>
        </w:rPr>
        <w:t xml:space="preserve"> </w:t>
      </w:r>
      <w:r w:rsidRPr="007B16F5">
        <w:t>dBW.</w:t>
      </w:r>
    </w:p>
    <w:p w:rsidR="00E100B6" w:rsidRPr="007B16F5" w:rsidRDefault="00E100B6" w:rsidP="00E100B6">
      <w:r w:rsidRPr="007B16F5">
        <w:t xml:space="preserve">La densité spectrale maximale de la puissance de brouillage admissible pouvant être causé sur la liaison descendante par l'ensemble des émetteurs brouilleurs, </w:t>
      </w:r>
      <w:proofErr w:type="gramStart"/>
      <w:r w:rsidRPr="007B16F5">
        <w:rPr>
          <w:i/>
          <w:iCs/>
        </w:rPr>
        <w:t>I</w:t>
      </w:r>
      <w:r w:rsidRPr="007B16F5">
        <w:rPr>
          <w:vertAlign w:val="subscript"/>
        </w:rPr>
        <w:t>0</w:t>
      </w:r>
      <w:r w:rsidRPr="007B16F5">
        <w:t>(</w:t>
      </w:r>
      <w:proofErr w:type="gramEnd"/>
      <w:r w:rsidRPr="007B16F5">
        <w:t xml:space="preserve">max), mesurée à l'entrée de l'AFB récepteur du terminal </w:t>
      </w:r>
      <w:r>
        <w:t>M</w:t>
      </w:r>
      <w:r w:rsidRPr="007B16F5">
        <w:t>EOLUT, sur la totalité de la bande 1 544,</w:t>
      </w:r>
      <w:r>
        <w:t>1</w:t>
      </w:r>
      <w:r w:rsidRPr="007B16F5">
        <w:t> MHz ± 100 kHz, vaut:</w:t>
      </w:r>
    </w:p>
    <w:p w:rsidR="00E100B6" w:rsidRPr="00D842BB" w:rsidRDefault="00E100B6" w:rsidP="00E100B6">
      <w:pPr>
        <w:pStyle w:val="Equation"/>
        <w:rPr>
          <w:lang w:val="en-GB"/>
        </w:rPr>
      </w:pPr>
      <w:r w:rsidRPr="007B16F5">
        <w:tab/>
      </w:r>
      <w:r w:rsidRPr="007B16F5">
        <w:tab/>
      </w:r>
      <w:proofErr w:type="gramStart"/>
      <w:r w:rsidRPr="00D842BB">
        <w:rPr>
          <w:i/>
          <w:iCs/>
          <w:lang w:val="en-GB"/>
        </w:rPr>
        <w:t>I</w:t>
      </w:r>
      <w:r w:rsidRPr="00D842BB">
        <w:rPr>
          <w:vertAlign w:val="subscript"/>
          <w:lang w:val="en-GB"/>
        </w:rPr>
        <w:t>0</w:t>
      </w:r>
      <w:r w:rsidRPr="00D842BB">
        <w:rPr>
          <w:lang w:val="en-GB"/>
        </w:rPr>
        <w:t>(</w:t>
      </w:r>
      <w:proofErr w:type="gramEnd"/>
      <w:r w:rsidRPr="00D842BB">
        <w:rPr>
          <w:lang w:val="en-GB"/>
        </w:rPr>
        <w:t>max) = 10 log (10</w:t>
      </w:r>
      <w:r w:rsidRPr="00D842BB">
        <w:rPr>
          <w:vertAlign w:val="superscript"/>
          <w:lang w:val="en-GB"/>
        </w:rPr>
        <w:t>(</w:t>
      </w:r>
      <w:r w:rsidRPr="00D842BB">
        <w:rPr>
          <w:i/>
          <w:iCs/>
          <w:vertAlign w:val="superscript"/>
          <w:lang w:val="en-GB"/>
        </w:rPr>
        <w:t>C</w:t>
      </w:r>
      <w:r w:rsidRPr="007B16F5">
        <w:rPr>
          <w:iCs/>
          <w:position w:val="-4"/>
          <w:szCs w:val="24"/>
          <w:vertAlign w:val="superscript"/>
        </w:rPr>
        <w:sym w:font="Symbol" w:char="F0AF"/>
      </w:r>
      <w:r w:rsidRPr="00D842BB">
        <w:rPr>
          <w:i/>
          <w:iCs/>
          <w:vertAlign w:val="superscript"/>
          <w:lang w:val="en-GB"/>
        </w:rPr>
        <w:t xml:space="preserve"> </w:t>
      </w:r>
      <w:r w:rsidRPr="00D842BB">
        <w:rPr>
          <w:vertAlign w:val="superscript"/>
          <w:lang w:val="en-GB"/>
        </w:rPr>
        <w:t>− (</w:t>
      </w:r>
      <w:r w:rsidRPr="00D842BB">
        <w:rPr>
          <w:i/>
          <w:iCs/>
          <w:vertAlign w:val="superscript"/>
          <w:lang w:val="en-GB"/>
        </w:rPr>
        <w:t>C</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 xml:space="preserve"> + </w:t>
      </w:r>
      <w:r w:rsidRPr="00D842BB">
        <w:rPr>
          <w:i/>
          <w:iCs/>
          <w:vertAlign w:val="superscript"/>
          <w:lang w:val="en-GB"/>
        </w:rPr>
        <w:t>I</w:t>
      </w:r>
      <w:r w:rsidRPr="00D842BB">
        <w:rPr>
          <w:sz w:val="20"/>
          <w:vertAlign w:val="superscript"/>
          <w:lang w:val="en-GB"/>
        </w:rPr>
        <w:t>0</w:t>
      </w:r>
      <w:r w:rsidRPr="00D842BB">
        <w:rPr>
          <w:vertAlign w:val="superscript"/>
          <w:lang w:val="en-GB"/>
        </w:rPr>
        <w:t>)</w:t>
      </w:r>
      <w:r w:rsidRPr="007B16F5">
        <w:rPr>
          <w:iCs/>
          <w:position w:val="-4"/>
          <w:szCs w:val="24"/>
          <w:vertAlign w:val="superscript"/>
        </w:rPr>
        <w:sym w:font="Symbol" w:char="F0AF"/>
      </w:r>
      <w:r w:rsidRPr="00D842BB">
        <w:rPr>
          <w:vertAlign w:val="superscript"/>
          <w:lang w:val="en-GB"/>
        </w:rPr>
        <w:t>))/10</w:t>
      </w:r>
      <w:r w:rsidRPr="00D842BB">
        <w:rPr>
          <w:lang w:val="en-GB"/>
        </w:rPr>
        <w:t xml:space="preserve"> − 10</w:t>
      </w:r>
      <w:r w:rsidRPr="00D842BB">
        <w:rPr>
          <w:vertAlign w:val="superscript"/>
          <w:lang w:val="en-GB"/>
        </w:rPr>
        <w:t>(</w:t>
      </w:r>
      <w:r w:rsidRPr="00D842BB">
        <w:rPr>
          <w:i/>
          <w:iCs/>
          <w:vertAlign w:val="superscript"/>
          <w:lang w:val="en-GB"/>
        </w:rPr>
        <w:t>N</w:t>
      </w:r>
      <w:r w:rsidRPr="00D842BB">
        <w:rPr>
          <w:sz w:val="20"/>
          <w:vertAlign w:val="superscript"/>
          <w:lang w:val="en-GB"/>
        </w:rPr>
        <w:t>0</w:t>
      </w:r>
      <w:r w:rsidRPr="00D842BB">
        <w:rPr>
          <w:vertAlign w:val="superscript"/>
          <w:lang w:val="en-GB"/>
        </w:rPr>
        <w:t>)</w:t>
      </w:r>
      <w:r w:rsidRPr="007B16F5">
        <w:rPr>
          <w:iCs/>
          <w:position w:val="-4"/>
          <w:szCs w:val="24"/>
          <w:vertAlign w:val="superscript"/>
        </w:rPr>
        <w:sym w:font="Symbol" w:char="F0AF"/>
      </w:r>
      <w:r w:rsidRPr="00D842BB">
        <w:rPr>
          <w:vertAlign w:val="superscript"/>
          <w:lang w:val="en-GB"/>
        </w:rPr>
        <w:t>/10</w:t>
      </w:r>
      <w:r w:rsidRPr="00D842BB">
        <w:rPr>
          <w:lang w:val="en-GB"/>
        </w:rPr>
        <w:t>)</w:t>
      </w:r>
    </w:p>
    <w:p w:rsidR="00E100B6" w:rsidRPr="007B16F5" w:rsidRDefault="00E100B6" w:rsidP="00E100B6">
      <w:proofErr w:type="gramStart"/>
      <w:r w:rsidRPr="007B16F5">
        <w:t>soit</w:t>
      </w:r>
      <w:proofErr w:type="gramEnd"/>
    </w:p>
    <w:p w:rsidR="00E100B6" w:rsidRPr="007B16F5" w:rsidRDefault="00E100B6" w:rsidP="00E100B6">
      <w:pPr>
        <w:pStyle w:val="Equation"/>
      </w:pPr>
      <w:r w:rsidRPr="007B16F5">
        <w:tab/>
      </w:r>
      <w:r w:rsidRPr="007B16F5">
        <w:tab/>
      </w:r>
      <w:proofErr w:type="gramStart"/>
      <w:r w:rsidRPr="007B16F5">
        <w:rPr>
          <w:i/>
          <w:iCs/>
        </w:rPr>
        <w:t>I</w:t>
      </w:r>
      <w:r w:rsidRPr="007B16F5">
        <w:rPr>
          <w:vertAlign w:val="subscript"/>
        </w:rPr>
        <w:t>0</w:t>
      </w:r>
      <w:r w:rsidRPr="007B16F5">
        <w:t>(</w:t>
      </w:r>
      <w:proofErr w:type="gramEnd"/>
      <w:r w:rsidRPr="007B16F5">
        <w:t>max) = 10 log (10</w:t>
      </w:r>
      <w:r w:rsidRPr="007B16F5">
        <w:rPr>
          <w:vertAlign w:val="superscript"/>
        </w:rPr>
        <w:t>(</w:t>
      </w:r>
      <w:r w:rsidRPr="007B16F5">
        <w:rPr>
          <w:bCs/>
          <w:vertAlign w:val="superscript"/>
        </w:rPr>
        <w:t>−157,9 − 39,9</w:t>
      </w:r>
      <w:r w:rsidRPr="007B16F5">
        <w:rPr>
          <w:vertAlign w:val="superscript"/>
        </w:rPr>
        <w:t>)/10</w:t>
      </w:r>
      <w:r w:rsidRPr="007B16F5">
        <w:t xml:space="preserve"> − 10</w:t>
      </w:r>
      <w:r w:rsidRPr="007B16F5">
        <w:rPr>
          <w:bCs/>
          <w:vertAlign w:val="superscript"/>
        </w:rPr>
        <w:t>−204,6</w:t>
      </w:r>
      <w:r w:rsidRPr="007B16F5">
        <w:rPr>
          <w:vertAlign w:val="superscript"/>
        </w:rPr>
        <w:t>/10</w:t>
      </w:r>
      <w:r w:rsidRPr="007B16F5">
        <w:t>)</w:t>
      </w:r>
    </w:p>
    <w:p w:rsidR="00E100B6" w:rsidRPr="007B16F5" w:rsidRDefault="00E100B6" w:rsidP="00E100B6">
      <w:proofErr w:type="gramStart"/>
      <w:r>
        <w:t>d</w:t>
      </w:r>
      <w:r w:rsidRPr="007B16F5">
        <w:t>e</w:t>
      </w:r>
      <w:proofErr w:type="gramEnd"/>
      <w:r w:rsidRPr="007B16F5">
        <w:t xml:space="preserve"> sorte que</w:t>
      </w:r>
    </w:p>
    <w:p w:rsidR="00E100B6" w:rsidRPr="007B16F5" w:rsidRDefault="00E100B6" w:rsidP="00E100B6">
      <w:pPr>
        <w:pStyle w:val="Equation"/>
      </w:pPr>
      <w:r w:rsidRPr="007B16F5">
        <w:rPr>
          <w:i/>
          <w:iCs/>
        </w:rPr>
        <w:tab/>
      </w:r>
      <w:r w:rsidRPr="007B16F5">
        <w:rPr>
          <w:i/>
          <w:iCs/>
        </w:rPr>
        <w:tab/>
      </w:r>
      <w:proofErr w:type="gramStart"/>
      <w:r w:rsidRPr="007B16F5">
        <w:rPr>
          <w:i/>
          <w:iCs/>
        </w:rPr>
        <w:t>I</w:t>
      </w:r>
      <w:r w:rsidRPr="007B16F5">
        <w:rPr>
          <w:vertAlign w:val="subscript"/>
        </w:rPr>
        <w:t>0</w:t>
      </w:r>
      <w:r w:rsidRPr="007B16F5">
        <w:t>(</w:t>
      </w:r>
      <w:proofErr w:type="gramEnd"/>
      <w:r w:rsidRPr="007B16F5">
        <w:t>max) = −198,8 dB(W/Hz)</w:t>
      </w:r>
    </w:p>
    <w:p w:rsidR="00E100B6" w:rsidRPr="007B16F5" w:rsidRDefault="00E100B6" w:rsidP="00E100B6">
      <w:r w:rsidRPr="007B16F5">
        <w:lastRenderedPageBreak/>
        <w:t xml:space="preserve">Il est souhaitable de décrire les critères de protection en termes de seuil de brouillage spfd exprimé en </w:t>
      </w:r>
      <w:proofErr w:type="gramStart"/>
      <w:r w:rsidRPr="007B16F5">
        <w:t>dB(</w:t>
      </w:r>
      <w:proofErr w:type="gramEnd"/>
      <w:r w:rsidRPr="007B16F5">
        <w:t>W/(m</w:t>
      </w:r>
      <w:r w:rsidRPr="007B16F5">
        <w:rPr>
          <w:vertAlign w:val="superscript"/>
        </w:rPr>
        <w:t xml:space="preserve">2 </w:t>
      </w:r>
      <w:r w:rsidRPr="007B16F5">
        <w:t xml:space="preserve">∙ Hz)) à l'entrée de l'antenne du terminal MEOLUT.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w:t>
      </w:r>
      <w:r w:rsidRPr="007B16F5">
        <w:rPr>
          <w:i/>
        </w:rPr>
        <w:t>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L'antenne du</w:t>
      </w:r>
      <w:r>
        <w:t xml:space="preserve"> terminal M</w:t>
      </w:r>
      <w:r w:rsidRPr="007B16F5">
        <w:t>EOLUT a un gain de 27 dBi, de sorte que l'ouverture effective est de 1,5 m</w:t>
      </w:r>
      <w:r w:rsidRPr="007B16F5">
        <w:rPr>
          <w:vertAlign w:val="superscript"/>
        </w:rPr>
        <w:t>2</w:t>
      </w:r>
      <w:r w:rsidRPr="007B16F5">
        <w:t>. Le brouillage maximum cumulatif acceptable exprimé en termes de spfd vaut:</w:t>
      </w:r>
    </w:p>
    <w:p w:rsidR="00E100B6" w:rsidRPr="007B16F5" w:rsidRDefault="00E100B6" w:rsidP="00E100B6">
      <w:pPr>
        <w:pStyle w:val="Equation"/>
        <w:rPr>
          <w:vertAlign w:val="subscript"/>
        </w:rPr>
      </w:pPr>
      <w:r w:rsidRPr="007B16F5">
        <w:tab/>
      </w:r>
      <w:r w:rsidRPr="007B16F5">
        <w:tab/>
        <w:t xml:space="preserve">spfd = </w:t>
      </w:r>
      <w:proofErr w:type="gramStart"/>
      <w:r w:rsidRPr="007B16F5">
        <w:rPr>
          <w:i/>
          <w:iCs/>
        </w:rPr>
        <w:t>I</w:t>
      </w:r>
      <w:r w:rsidRPr="007B16F5">
        <w:rPr>
          <w:vertAlign w:val="subscript"/>
        </w:rPr>
        <w:t>0</w:t>
      </w:r>
      <w:r w:rsidRPr="007B16F5">
        <w:t>(</w:t>
      </w:r>
      <w:proofErr w:type="gramEnd"/>
      <w:r w:rsidRPr="007B16F5">
        <w:t xml:space="preserve">max) − </w:t>
      </w:r>
      <w:r w:rsidRPr="007B16F5">
        <w:rPr>
          <w:i/>
          <w:iCs/>
        </w:rPr>
        <w:t>L</w:t>
      </w:r>
      <w:r w:rsidRPr="007B16F5">
        <w:rPr>
          <w:i/>
          <w:iCs/>
          <w:vertAlign w:val="subscript"/>
        </w:rPr>
        <w:t>Line</w:t>
      </w:r>
      <w:r w:rsidRPr="007B16F5">
        <w:rPr>
          <w:i/>
          <w:iCs/>
        </w:rPr>
        <w:t xml:space="preserve"> </w:t>
      </w:r>
      <w:r w:rsidRPr="007B16F5">
        <w:t xml:space="preserve"> − </w:t>
      </w:r>
      <w:r w:rsidRPr="007B16F5">
        <w:rPr>
          <w:i/>
          <w:iCs/>
        </w:rPr>
        <w:t>A</w:t>
      </w:r>
      <w:r w:rsidRPr="007B16F5">
        <w:rPr>
          <w:i/>
          <w:iCs/>
          <w:vertAlign w:val="subscript"/>
        </w:rPr>
        <w:t>e</w:t>
      </w:r>
    </w:p>
    <w:p w:rsidR="00E100B6" w:rsidRPr="007B16F5" w:rsidRDefault="00E100B6" w:rsidP="00E100B6">
      <w:r w:rsidRPr="007B16F5">
        <w:t xml:space="preserve">En supposant </w:t>
      </w:r>
      <w:r w:rsidRPr="007B16F5">
        <w:rPr>
          <w:i/>
          <w:iCs/>
        </w:rPr>
        <w:t>L</w:t>
      </w:r>
      <w:r w:rsidRPr="007B16F5">
        <w:rPr>
          <w:i/>
          <w:iCs/>
          <w:vertAlign w:val="subscript"/>
        </w:rPr>
        <w:t>Ligne</w:t>
      </w:r>
      <w:r w:rsidRPr="007B16F5">
        <w:t xml:space="preserve"> = 0</w:t>
      </w:r>
    </w:p>
    <w:p w:rsidR="00E100B6" w:rsidRPr="007B16F5" w:rsidRDefault="00E100B6" w:rsidP="00E100B6">
      <w:pPr>
        <w:pStyle w:val="Equation"/>
      </w:pPr>
      <w:r w:rsidRPr="007B16F5">
        <w:tab/>
      </w:r>
      <w:r w:rsidRPr="007B16F5">
        <w:tab/>
        <w:t xml:space="preserve">spfd = −200,6 </w:t>
      </w:r>
      <w:proofErr w:type="gramStart"/>
      <w:r w:rsidRPr="007B16F5">
        <w:t>dB(</w:t>
      </w:r>
      <w:proofErr w:type="gramEnd"/>
      <w:r w:rsidRPr="007B16F5">
        <w:t>W/(m</w:t>
      </w:r>
      <w:r w:rsidRPr="007B16F5">
        <w:rPr>
          <w:vertAlign w:val="superscript"/>
        </w:rPr>
        <w:t>2</w:t>
      </w:r>
      <w:r w:rsidRPr="007B16F5">
        <w:t> ∙ Hz))</w:t>
      </w:r>
    </w:p>
    <w:p w:rsidR="00E100B6" w:rsidRPr="007B16F5" w:rsidRDefault="00E100B6" w:rsidP="00E100B6">
      <w:r w:rsidRPr="007B16F5">
        <w:t xml:space="preserve">Le niveau maximum du brouillage à caractère de bruit large </w:t>
      </w:r>
      <w:r>
        <w:t>bande dans le canal du terminal </w:t>
      </w:r>
      <w:r w:rsidRPr="007B16F5">
        <w:t>MEOLUT du</w:t>
      </w:r>
      <w:r>
        <w:t xml:space="preserve"> satellite SAR/GALILEO à 1 544,1</w:t>
      </w:r>
      <w:r w:rsidRPr="007B16F5">
        <w:t xml:space="preserve"> MHz </w:t>
      </w:r>
      <w:r w:rsidRPr="007B16F5">
        <w:sym w:font="Symbol" w:char="F0B1"/>
      </w:r>
      <w:r>
        <w:t xml:space="preserve"> 100 kHz ne doit pas excéder </w:t>
      </w:r>
      <w:r>
        <w:sym w:font="Symbol" w:char="F02D"/>
      </w:r>
      <w:r w:rsidRPr="007B16F5">
        <w:t xml:space="preserve">200,6 </w:t>
      </w:r>
      <w:proofErr w:type="gramStart"/>
      <w:r w:rsidRPr="007B16F5">
        <w:t>dB(</w:t>
      </w:r>
      <w:proofErr w:type="gramEnd"/>
      <w:r w:rsidRPr="007B16F5">
        <w:t>W/(m</w:t>
      </w:r>
      <w:r w:rsidRPr="007B16F5">
        <w:rPr>
          <w:vertAlign w:val="superscript"/>
        </w:rPr>
        <w:t xml:space="preserve">2 </w:t>
      </w:r>
      <w:r w:rsidRPr="007B16F5">
        <w:t>∙ Hz)).</w:t>
      </w:r>
    </w:p>
    <w:p w:rsidR="00E100B6" w:rsidRPr="007B16F5" w:rsidRDefault="00E100B6" w:rsidP="00E100B6">
      <w:pPr>
        <w:pStyle w:val="Heading1"/>
      </w:pPr>
      <w:r w:rsidRPr="007B16F5">
        <w:t>4</w:t>
      </w:r>
      <w:r w:rsidRPr="007B16F5">
        <w:tab/>
        <w:t>Procédure pour calculer le niveau de brouillage causé à la liaison descendante du canal de charge utile SAR sur 406 MHz d'un satellite GALILEO</w:t>
      </w:r>
    </w:p>
    <w:p w:rsidR="00E100B6" w:rsidRPr="007B16F5" w:rsidRDefault="00E100B6" w:rsidP="00E100B6">
      <w:pPr>
        <w:rPr>
          <w:szCs w:val="24"/>
        </w:rPr>
      </w:pPr>
      <w:r w:rsidRPr="007B16F5">
        <w:t>Les brouillages causés au système Cospas-Sarsat proviennent le plus souvent de rayonnements hors bande émis par des services dan</w:t>
      </w:r>
      <w:r>
        <w:t>s les bandes adjacentes ou proches des bandes adjacentes</w:t>
      </w:r>
      <w:r w:rsidRPr="007B16F5">
        <w:t>.</w:t>
      </w:r>
    </w:p>
    <w:p w:rsidR="00E100B6" w:rsidRPr="007B16F5" w:rsidRDefault="00E100B6" w:rsidP="00E100B6">
      <w:r w:rsidRPr="007B16F5">
        <w:t>Il convient d'examiner la largeur de bande à l'émission pour déterminer si l'énergie est émise dan</w:t>
      </w:r>
      <w:r>
        <w:t>s la gamme de fréquences 1 544,1</w:t>
      </w:r>
      <w:r w:rsidRPr="007B16F5">
        <w:t xml:space="preserve"> MHz </w:t>
      </w:r>
      <w:r w:rsidRPr="007B16F5">
        <w:sym w:font="Symbol" w:char="F0B1"/>
      </w:r>
      <w:r w:rsidRPr="007B16F5">
        <w:t xml:space="preserve"> 100 kHz, en faisant particulièrement attention, en analysant l'incidence des systèmes mobiles (par exemple, satellites non géostationnaires et émetteurs embarqués), de tenir compte des effets du décalage Doppler qu'ils génèrent par leur déplacement.</w:t>
      </w:r>
    </w:p>
    <w:p w:rsidR="00E100B6" w:rsidRPr="007B16F5" w:rsidRDefault="00E100B6" w:rsidP="00E100B6">
      <w:r w:rsidRPr="007B16F5">
        <w:t>On calculera le niveau de brouillage provenant de toutes les sources qui émettent de l'énergie dans la bande, exprimée en termes de spfd au niveau de l'antenne du terminal MEOLUT. Le niveau cumulatif de toutes les sources de brouillage ne doit pas excéder –200,6 </w:t>
      </w:r>
      <w:proofErr w:type="gramStart"/>
      <w:r w:rsidRPr="007B16F5">
        <w:t>dB(</w:t>
      </w:r>
      <w:proofErr w:type="gramEnd"/>
      <w:r w:rsidRPr="007B16F5">
        <w:t>W/(m</w:t>
      </w:r>
      <w:r w:rsidRPr="007B16F5">
        <w:rPr>
          <w:vertAlign w:val="superscript"/>
        </w:rPr>
        <w:t xml:space="preserve">2 </w:t>
      </w:r>
      <w:r w:rsidRPr="007B16F5">
        <w:t>∙ Hz)) où que ce soit dans cette gamme.</w:t>
      </w:r>
    </w:p>
    <w:p w:rsidR="00E100B6" w:rsidRDefault="00E100B6" w:rsidP="00E100B6">
      <w:r w:rsidRPr="007B16F5">
        <w:t>Le niveau ci</w:t>
      </w:r>
      <w:r w:rsidRPr="007B16F5">
        <w:noBreakHyphen/>
        <w:t>dessus se fonde sur un gain sur axe d'antenne du terminal MEOLUT de 27 dBi. Selon les systèmes, il faudrait pour établir l'incidence du brouillage tenir compte des considérations de discrimination d'ante</w:t>
      </w:r>
      <w:r>
        <w:t>nne, de polarisation et d'autres éléments techniques.</w:t>
      </w:r>
    </w:p>
    <w:p w:rsidR="00E100B6" w:rsidRDefault="00E100B6" w:rsidP="00E100B6"/>
    <w:p w:rsidR="00E100B6" w:rsidRDefault="00E100B6" w:rsidP="00E100B6">
      <w:pPr>
        <w:tabs>
          <w:tab w:val="clear" w:pos="794"/>
          <w:tab w:val="clear" w:pos="1191"/>
          <w:tab w:val="clear" w:pos="1588"/>
          <w:tab w:val="clear" w:pos="1985"/>
        </w:tabs>
        <w:overflowPunct/>
        <w:autoSpaceDE/>
        <w:autoSpaceDN/>
        <w:adjustRightInd/>
        <w:spacing w:before="0"/>
        <w:textAlignment w:val="auto"/>
        <w:rPr>
          <w:b/>
          <w:sz w:val="28"/>
        </w:rPr>
      </w:pPr>
      <w:r>
        <w:br w:type="page"/>
      </w:r>
    </w:p>
    <w:p w:rsidR="00E100B6" w:rsidRPr="007B16F5" w:rsidRDefault="00E100B6" w:rsidP="00E100B6">
      <w:pPr>
        <w:pStyle w:val="AnnexNoTitle"/>
      </w:pPr>
      <w:r w:rsidRPr="007B16F5">
        <w:lastRenderedPageBreak/>
        <w:t>Annexe 6</w:t>
      </w:r>
    </w:p>
    <w:p w:rsidR="00E100B6" w:rsidRPr="007B16F5" w:rsidRDefault="00E100B6" w:rsidP="00E100B6">
      <w:pPr>
        <w:pStyle w:val="TableNo"/>
      </w:pPr>
      <w:r w:rsidRPr="007B16F5">
        <w:t>TABLEAU 2</w:t>
      </w:r>
    </w:p>
    <w:p w:rsidR="00E100B6" w:rsidRPr="007B16F5" w:rsidRDefault="00E100B6" w:rsidP="00E100B6">
      <w:pPr>
        <w:pStyle w:val="Tabletitle"/>
      </w:pPr>
      <w:r w:rsidRPr="007B16F5">
        <w:t xml:space="preserve">Bilans de liaison </w:t>
      </w:r>
      <w:r>
        <w:t xml:space="preserve">du système </w:t>
      </w:r>
      <w:r w:rsidRPr="007B16F5">
        <w:t>Cospas-Sarsat</w:t>
      </w:r>
    </w:p>
    <w:tbl>
      <w:tblPr>
        <w:tblW w:w="9594"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5"/>
        <w:gridCol w:w="776"/>
        <w:gridCol w:w="967"/>
        <w:gridCol w:w="1008"/>
        <w:gridCol w:w="951"/>
        <w:gridCol w:w="984"/>
        <w:gridCol w:w="998"/>
        <w:gridCol w:w="1105"/>
      </w:tblGrid>
      <w:tr w:rsidR="00E100B6" w:rsidRPr="007B16F5" w:rsidTr="000A4018">
        <w:trPr>
          <w:cantSplit/>
          <w:jc w:val="center"/>
        </w:trPr>
        <w:tc>
          <w:tcPr>
            <w:tcW w:w="2805" w:type="dxa"/>
            <w:vMerge w:val="restart"/>
            <w:tcBorders>
              <w:top w:val="nil"/>
              <w:left w:val="nil"/>
              <w:right w:val="nil"/>
            </w:tcBorders>
          </w:tcPr>
          <w:p w:rsidR="00E100B6" w:rsidRPr="007B16F5" w:rsidRDefault="00E100B6" w:rsidP="000A4018">
            <w:pPr>
              <w:pStyle w:val="Tablehead"/>
              <w:rPr>
                <w:sz w:val="18"/>
                <w:szCs w:val="18"/>
              </w:rPr>
            </w:pPr>
          </w:p>
        </w:tc>
        <w:tc>
          <w:tcPr>
            <w:tcW w:w="776" w:type="dxa"/>
            <w:vMerge w:val="restart"/>
            <w:tcBorders>
              <w:top w:val="nil"/>
              <w:left w:val="nil"/>
            </w:tcBorders>
          </w:tcPr>
          <w:p w:rsidR="00E100B6" w:rsidRPr="007B16F5" w:rsidRDefault="00E100B6" w:rsidP="000A4018">
            <w:pPr>
              <w:pStyle w:val="Tablehead"/>
              <w:rPr>
                <w:sz w:val="18"/>
                <w:szCs w:val="18"/>
              </w:rPr>
            </w:pPr>
          </w:p>
        </w:tc>
        <w:tc>
          <w:tcPr>
            <w:tcW w:w="2926" w:type="dxa"/>
            <w:gridSpan w:val="3"/>
          </w:tcPr>
          <w:p w:rsidR="00E100B6" w:rsidRPr="007B16F5" w:rsidRDefault="00E100B6" w:rsidP="000A4018">
            <w:pPr>
              <w:pStyle w:val="Tablehead"/>
              <w:rPr>
                <w:sz w:val="18"/>
                <w:szCs w:val="18"/>
              </w:rPr>
            </w:pPr>
            <w:r w:rsidRPr="007B16F5">
              <w:rPr>
                <w:sz w:val="18"/>
                <w:szCs w:val="18"/>
              </w:rPr>
              <w:t>LEOSAR</w:t>
            </w:r>
          </w:p>
        </w:tc>
        <w:tc>
          <w:tcPr>
            <w:tcW w:w="1982" w:type="dxa"/>
            <w:gridSpan w:val="2"/>
          </w:tcPr>
          <w:p w:rsidR="00E100B6" w:rsidRPr="007B16F5" w:rsidRDefault="00E100B6" w:rsidP="000A4018">
            <w:pPr>
              <w:pStyle w:val="Tablehead"/>
              <w:rPr>
                <w:sz w:val="18"/>
                <w:szCs w:val="18"/>
              </w:rPr>
            </w:pPr>
            <w:r w:rsidRPr="007B16F5">
              <w:rPr>
                <w:sz w:val="18"/>
                <w:szCs w:val="18"/>
              </w:rPr>
              <w:t>GEOSAR</w:t>
            </w:r>
          </w:p>
        </w:tc>
        <w:tc>
          <w:tcPr>
            <w:tcW w:w="1105" w:type="dxa"/>
          </w:tcPr>
          <w:p w:rsidR="00E100B6" w:rsidRPr="007B16F5" w:rsidRDefault="00E100B6" w:rsidP="000A4018">
            <w:pPr>
              <w:pStyle w:val="Tablehead"/>
              <w:rPr>
                <w:sz w:val="18"/>
                <w:szCs w:val="18"/>
              </w:rPr>
            </w:pPr>
            <w:r w:rsidRPr="007B16F5">
              <w:rPr>
                <w:sz w:val="18"/>
                <w:szCs w:val="18"/>
              </w:rPr>
              <w:t>MEOSAR</w:t>
            </w:r>
          </w:p>
        </w:tc>
      </w:tr>
      <w:tr w:rsidR="00E100B6" w:rsidRPr="007B16F5" w:rsidTr="000A4018">
        <w:trPr>
          <w:cantSplit/>
          <w:jc w:val="center"/>
        </w:trPr>
        <w:tc>
          <w:tcPr>
            <w:tcW w:w="2805" w:type="dxa"/>
            <w:vMerge/>
            <w:tcBorders>
              <w:left w:val="nil"/>
              <w:right w:val="nil"/>
            </w:tcBorders>
          </w:tcPr>
          <w:p w:rsidR="00E100B6" w:rsidRPr="007B16F5" w:rsidRDefault="00E100B6" w:rsidP="000A4018">
            <w:pPr>
              <w:pStyle w:val="Tablehead"/>
              <w:rPr>
                <w:sz w:val="18"/>
                <w:szCs w:val="18"/>
              </w:rPr>
            </w:pPr>
          </w:p>
        </w:tc>
        <w:tc>
          <w:tcPr>
            <w:tcW w:w="776" w:type="dxa"/>
            <w:vMerge/>
            <w:tcBorders>
              <w:left w:val="nil"/>
            </w:tcBorders>
          </w:tcPr>
          <w:p w:rsidR="00E100B6" w:rsidRPr="007B16F5" w:rsidRDefault="00E100B6" w:rsidP="000A4018">
            <w:pPr>
              <w:pStyle w:val="Tablehead"/>
              <w:rPr>
                <w:sz w:val="18"/>
                <w:szCs w:val="18"/>
              </w:rPr>
            </w:pPr>
          </w:p>
        </w:tc>
        <w:tc>
          <w:tcPr>
            <w:tcW w:w="967" w:type="dxa"/>
          </w:tcPr>
          <w:p w:rsidR="00E100B6" w:rsidRPr="007B16F5" w:rsidRDefault="00E100B6" w:rsidP="000A4018">
            <w:pPr>
              <w:pStyle w:val="Tablehead"/>
              <w:rPr>
                <w:sz w:val="18"/>
                <w:szCs w:val="18"/>
              </w:rPr>
            </w:pPr>
            <w:r w:rsidRPr="007B16F5">
              <w:rPr>
                <w:sz w:val="18"/>
                <w:szCs w:val="18"/>
              </w:rPr>
              <w:t xml:space="preserve">PDS des satellites Sarsat </w:t>
            </w:r>
          </w:p>
        </w:tc>
        <w:tc>
          <w:tcPr>
            <w:tcW w:w="1008" w:type="dxa"/>
          </w:tcPr>
          <w:p w:rsidR="00E100B6" w:rsidRPr="007B16F5" w:rsidRDefault="00E100B6" w:rsidP="000A4018">
            <w:pPr>
              <w:pStyle w:val="Tablehead"/>
              <w:rPr>
                <w:sz w:val="18"/>
                <w:szCs w:val="18"/>
              </w:rPr>
            </w:pPr>
            <w:r w:rsidRPr="007B16F5">
              <w:rPr>
                <w:sz w:val="18"/>
                <w:szCs w:val="18"/>
              </w:rPr>
              <w:t>SARR des satellites Sarsat</w:t>
            </w:r>
          </w:p>
        </w:tc>
        <w:tc>
          <w:tcPr>
            <w:tcW w:w="951" w:type="dxa"/>
          </w:tcPr>
          <w:p w:rsidR="00E100B6" w:rsidRPr="007B16F5" w:rsidRDefault="00E100B6" w:rsidP="000A4018">
            <w:pPr>
              <w:pStyle w:val="Tablehead"/>
              <w:rPr>
                <w:sz w:val="18"/>
                <w:szCs w:val="18"/>
              </w:rPr>
            </w:pPr>
            <w:r w:rsidRPr="007B16F5">
              <w:rPr>
                <w:sz w:val="18"/>
                <w:szCs w:val="18"/>
              </w:rPr>
              <w:t>SARR des satellites Cospas</w:t>
            </w:r>
          </w:p>
        </w:tc>
        <w:tc>
          <w:tcPr>
            <w:tcW w:w="984" w:type="dxa"/>
          </w:tcPr>
          <w:p w:rsidR="00E100B6" w:rsidRPr="007B16F5" w:rsidRDefault="00E100B6" w:rsidP="000A4018">
            <w:pPr>
              <w:pStyle w:val="Tablehead"/>
              <w:rPr>
                <w:sz w:val="18"/>
                <w:szCs w:val="18"/>
              </w:rPr>
            </w:pPr>
            <w:r w:rsidRPr="007B16F5">
              <w:rPr>
                <w:sz w:val="18"/>
                <w:szCs w:val="18"/>
              </w:rPr>
              <w:t>SARR des satellites GOES</w:t>
            </w:r>
          </w:p>
        </w:tc>
        <w:tc>
          <w:tcPr>
            <w:tcW w:w="998" w:type="dxa"/>
          </w:tcPr>
          <w:p w:rsidR="00E100B6" w:rsidRPr="007B16F5" w:rsidRDefault="00E100B6" w:rsidP="000A4018">
            <w:pPr>
              <w:pStyle w:val="Tablehead"/>
              <w:rPr>
                <w:sz w:val="18"/>
                <w:szCs w:val="18"/>
              </w:rPr>
            </w:pPr>
            <w:r w:rsidRPr="007B16F5">
              <w:rPr>
                <w:sz w:val="18"/>
                <w:szCs w:val="18"/>
              </w:rPr>
              <w:t>SARR des satellites MSG</w:t>
            </w:r>
          </w:p>
        </w:tc>
        <w:tc>
          <w:tcPr>
            <w:tcW w:w="1105" w:type="dxa"/>
          </w:tcPr>
          <w:p w:rsidR="00E100B6" w:rsidRPr="007B16F5" w:rsidRDefault="00E100B6" w:rsidP="000A4018">
            <w:pPr>
              <w:pStyle w:val="Tablehead"/>
              <w:rPr>
                <w:sz w:val="18"/>
                <w:szCs w:val="18"/>
              </w:rPr>
            </w:pPr>
            <w:r w:rsidRPr="007B16F5">
              <w:rPr>
                <w:sz w:val="18"/>
                <w:szCs w:val="18"/>
              </w:rPr>
              <w:t>SARR des satellites GALILEO</w:t>
            </w:r>
          </w:p>
        </w:tc>
      </w:tr>
      <w:tr w:rsidR="00E100B6" w:rsidRPr="007B16F5" w:rsidTr="000A4018">
        <w:trPr>
          <w:cantSplit/>
          <w:jc w:val="center"/>
        </w:trPr>
        <w:tc>
          <w:tcPr>
            <w:tcW w:w="2805" w:type="dxa"/>
          </w:tcPr>
          <w:p w:rsidR="00E100B6" w:rsidRPr="007B16F5" w:rsidRDefault="00E100B6" w:rsidP="000A4018">
            <w:pPr>
              <w:pStyle w:val="Tablehead"/>
              <w:rPr>
                <w:sz w:val="18"/>
                <w:szCs w:val="18"/>
              </w:rPr>
            </w:pPr>
            <w:r w:rsidRPr="007B16F5">
              <w:rPr>
                <w:sz w:val="18"/>
                <w:szCs w:val="18"/>
              </w:rPr>
              <w:t>Paramètre, unité</w:t>
            </w:r>
          </w:p>
        </w:tc>
        <w:tc>
          <w:tcPr>
            <w:tcW w:w="776" w:type="dxa"/>
            <w:tcBorders>
              <w:bottom w:val="single" w:sz="4" w:space="0" w:color="auto"/>
            </w:tcBorders>
          </w:tcPr>
          <w:p w:rsidR="00E100B6" w:rsidRPr="007B16F5" w:rsidRDefault="00E100B6" w:rsidP="000A4018">
            <w:pPr>
              <w:pStyle w:val="Tablehead"/>
              <w:rPr>
                <w:sz w:val="18"/>
                <w:szCs w:val="18"/>
              </w:rPr>
            </w:pPr>
            <w:r w:rsidRPr="007B16F5">
              <w:rPr>
                <w:sz w:val="18"/>
                <w:szCs w:val="18"/>
              </w:rPr>
              <w:t>Voir note</w:t>
            </w:r>
          </w:p>
        </w:tc>
        <w:tc>
          <w:tcPr>
            <w:tcW w:w="967" w:type="dxa"/>
            <w:tcBorders>
              <w:bottom w:val="single" w:sz="4" w:space="0" w:color="auto"/>
            </w:tcBorders>
          </w:tcPr>
          <w:p w:rsidR="00E100B6" w:rsidRPr="007B16F5" w:rsidRDefault="00E100B6" w:rsidP="000A4018">
            <w:pPr>
              <w:pStyle w:val="Tablehead"/>
              <w:rPr>
                <w:sz w:val="18"/>
                <w:szCs w:val="18"/>
              </w:rPr>
            </w:pPr>
            <w:r w:rsidRPr="007B16F5">
              <w:rPr>
                <w:sz w:val="18"/>
                <w:szCs w:val="18"/>
              </w:rPr>
              <w:t>Niveau bas</w:t>
            </w:r>
          </w:p>
        </w:tc>
        <w:tc>
          <w:tcPr>
            <w:tcW w:w="1008" w:type="dxa"/>
            <w:tcBorders>
              <w:bottom w:val="single" w:sz="4" w:space="0" w:color="auto"/>
            </w:tcBorders>
          </w:tcPr>
          <w:p w:rsidR="00E100B6" w:rsidRPr="007B16F5" w:rsidRDefault="00E100B6" w:rsidP="000A4018">
            <w:pPr>
              <w:pStyle w:val="Tablehead"/>
              <w:rPr>
                <w:sz w:val="18"/>
                <w:szCs w:val="18"/>
              </w:rPr>
            </w:pPr>
            <w:r w:rsidRPr="007B16F5">
              <w:rPr>
                <w:sz w:val="18"/>
                <w:szCs w:val="18"/>
              </w:rPr>
              <w:t>Niveau bas</w:t>
            </w:r>
          </w:p>
        </w:tc>
        <w:tc>
          <w:tcPr>
            <w:tcW w:w="951" w:type="dxa"/>
            <w:tcBorders>
              <w:bottom w:val="single" w:sz="4" w:space="0" w:color="auto"/>
            </w:tcBorders>
          </w:tcPr>
          <w:p w:rsidR="00E100B6" w:rsidRPr="007B16F5" w:rsidRDefault="00E100B6" w:rsidP="000A4018">
            <w:pPr>
              <w:pStyle w:val="Tablehead"/>
              <w:rPr>
                <w:sz w:val="18"/>
                <w:szCs w:val="18"/>
              </w:rPr>
            </w:pPr>
            <w:r w:rsidRPr="007B16F5">
              <w:rPr>
                <w:sz w:val="18"/>
                <w:szCs w:val="18"/>
              </w:rPr>
              <w:t>Niveau bas</w:t>
            </w:r>
          </w:p>
        </w:tc>
        <w:tc>
          <w:tcPr>
            <w:tcW w:w="984" w:type="dxa"/>
            <w:tcBorders>
              <w:bottom w:val="single" w:sz="4" w:space="0" w:color="auto"/>
            </w:tcBorders>
          </w:tcPr>
          <w:p w:rsidR="00E100B6" w:rsidRPr="007B16F5" w:rsidRDefault="00E100B6" w:rsidP="000A4018">
            <w:pPr>
              <w:pStyle w:val="Tablehead"/>
              <w:rPr>
                <w:sz w:val="18"/>
                <w:szCs w:val="18"/>
              </w:rPr>
            </w:pPr>
            <w:r w:rsidRPr="007B16F5">
              <w:rPr>
                <w:sz w:val="18"/>
                <w:szCs w:val="18"/>
              </w:rPr>
              <w:t>Niveau bas</w:t>
            </w:r>
          </w:p>
        </w:tc>
        <w:tc>
          <w:tcPr>
            <w:tcW w:w="998" w:type="dxa"/>
            <w:tcBorders>
              <w:bottom w:val="single" w:sz="4" w:space="0" w:color="auto"/>
            </w:tcBorders>
          </w:tcPr>
          <w:p w:rsidR="00E100B6" w:rsidRPr="007B16F5" w:rsidRDefault="00E100B6" w:rsidP="000A4018">
            <w:pPr>
              <w:pStyle w:val="Tablehead"/>
              <w:rPr>
                <w:sz w:val="18"/>
                <w:szCs w:val="18"/>
              </w:rPr>
            </w:pPr>
            <w:r w:rsidRPr="007B16F5">
              <w:rPr>
                <w:sz w:val="18"/>
                <w:szCs w:val="18"/>
              </w:rPr>
              <w:t>Niveau bas</w:t>
            </w:r>
          </w:p>
        </w:tc>
        <w:tc>
          <w:tcPr>
            <w:tcW w:w="1105" w:type="dxa"/>
            <w:tcBorders>
              <w:bottom w:val="single" w:sz="4" w:space="0" w:color="auto"/>
            </w:tcBorders>
          </w:tcPr>
          <w:p w:rsidR="00E100B6" w:rsidRPr="007B16F5" w:rsidRDefault="00E100B6" w:rsidP="000A4018">
            <w:pPr>
              <w:pStyle w:val="Tablehead"/>
              <w:rPr>
                <w:sz w:val="18"/>
                <w:szCs w:val="18"/>
              </w:rPr>
            </w:pPr>
            <w:r w:rsidRPr="007B16F5">
              <w:rPr>
                <w:sz w:val="18"/>
                <w:szCs w:val="18"/>
              </w:rPr>
              <w:t xml:space="preserve">Niveau </w:t>
            </w:r>
            <w:r w:rsidR="00522C14">
              <w:rPr>
                <w:sz w:val="18"/>
                <w:szCs w:val="18"/>
              </w:rPr>
              <w:br/>
            </w:r>
            <w:r w:rsidRPr="007B16F5">
              <w:rPr>
                <w:sz w:val="18"/>
                <w:szCs w:val="18"/>
              </w:rPr>
              <w:t>bas</w:t>
            </w:r>
          </w:p>
        </w:tc>
      </w:tr>
      <w:tr w:rsidR="00E100B6" w:rsidRPr="007B16F5" w:rsidTr="000A4018">
        <w:trPr>
          <w:cantSplit/>
          <w:jc w:val="center"/>
        </w:trPr>
        <w:tc>
          <w:tcPr>
            <w:tcW w:w="2805" w:type="dxa"/>
          </w:tcPr>
          <w:p w:rsidR="00E100B6" w:rsidRPr="007B16F5" w:rsidRDefault="00E100B6" w:rsidP="00522C14">
            <w:pPr>
              <w:pStyle w:val="Tabletext"/>
              <w:jc w:val="left"/>
              <w:rPr>
                <w:b/>
                <w:sz w:val="18"/>
                <w:szCs w:val="18"/>
              </w:rPr>
            </w:pPr>
            <w:r w:rsidRPr="007B16F5">
              <w:rPr>
                <w:b/>
                <w:sz w:val="18"/>
                <w:szCs w:val="18"/>
              </w:rPr>
              <w:t>Liaison montante (SRL vers engin spatial)</w:t>
            </w:r>
          </w:p>
        </w:tc>
        <w:tc>
          <w:tcPr>
            <w:tcW w:w="776" w:type="dxa"/>
            <w:tcBorders>
              <w:right w:val="nil"/>
            </w:tcBorders>
          </w:tcPr>
          <w:p w:rsidR="00E100B6" w:rsidRPr="007B16F5" w:rsidRDefault="00E100B6" w:rsidP="000A4018">
            <w:pPr>
              <w:pStyle w:val="Tabletext"/>
              <w:rPr>
                <w:sz w:val="18"/>
                <w:szCs w:val="18"/>
              </w:rPr>
            </w:pPr>
          </w:p>
        </w:tc>
        <w:tc>
          <w:tcPr>
            <w:tcW w:w="967" w:type="dxa"/>
            <w:tcBorders>
              <w:left w:val="nil"/>
              <w:right w:val="nil"/>
            </w:tcBorders>
          </w:tcPr>
          <w:p w:rsidR="00E100B6" w:rsidRPr="007B16F5" w:rsidRDefault="00E100B6" w:rsidP="000A4018">
            <w:pPr>
              <w:pStyle w:val="Tabletext"/>
              <w:rPr>
                <w:sz w:val="18"/>
                <w:szCs w:val="18"/>
              </w:rPr>
            </w:pPr>
          </w:p>
        </w:tc>
        <w:tc>
          <w:tcPr>
            <w:tcW w:w="1008" w:type="dxa"/>
            <w:tcBorders>
              <w:left w:val="nil"/>
              <w:right w:val="nil"/>
            </w:tcBorders>
          </w:tcPr>
          <w:p w:rsidR="00E100B6" w:rsidRPr="007B16F5" w:rsidRDefault="00E100B6" w:rsidP="000A4018">
            <w:pPr>
              <w:pStyle w:val="Tabletext"/>
              <w:rPr>
                <w:sz w:val="18"/>
                <w:szCs w:val="18"/>
              </w:rPr>
            </w:pPr>
          </w:p>
        </w:tc>
        <w:tc>
          <w:tcPr>
            <w:tcW w:w="951" w:type="dxa"/>
            <w:tcBorders>
              <w:left w:val="nil"/>
              <w:right w:val="nil"/>
            </w:tcBorders>
          </w:tcPr>
          <w:p w:rsidR="00E100B6" w:rsidRPr="007B16F5" w:rsidRDefault="00E100B6" w:rsidP="000A4018">
            <w:pPr>
              <w:pStyle w:val="Tabletext"/>
              <w:rPr>
                <w:sz w:val="18"/>
                <w:szCs w:val="18"/>
              </w:rPr>
            </w:pPr>
          </w:p>
        </w:tc>
        <w:tc>
          <w:tcPr>
            <w:tcW w:w="984" w:type="dxa"/>
            <w:tcBorders>
              <w:left w:val="nil"/>
              <w:right w:val="nil"/>
            </w:tcBorders>
          </w:tcPr>
          <w:p w:rsidR="00E100B6" w:rsidRPr="007B16F5" w:rsidRDefault="00E100B6" w:rsidP="000A4018">
            <w:pPr>
              <w:pStyle w:val="Tabletext"/>
              <w:rPr>
                <w:sz w:val="18"/>
                <w:szCs w:val="18"/>
              </w:rPr>
            </w:pPr>
          </w:p>
        </w:tc>
        <w:tc>
          <w:tcPr>
            <w:tcW w:w="998" w:type="dxa"/>
            <w:tcBorders>
              <w:left w:val="nil"/>
              <w:right w:val="nil"/>
            </w:tcBorders>
          </w:tcPr>
          <w:p w:rsidR="00E100B6" w:rsidRPr="007B16F5" w:rsidRDefault="00E100B6" w:rsidP="000A4018">
            <w:pPr>
              <w:pStyle w:val="Tabletext"/>
              <w:rPr>
                <w:sz w:val="18"/>
                <w:szCs w:val="18"/>
              </w:rPr>
            </w:pPr>
          </w:p>
        </w:tc>
        <w:tc>
          <w:tcPr>
            <w:tcW w:w="1105" w:type="dxa"/>
            <w:tcBorders>
              <w:left w:val="nil"/>
            </w:tcBorders>
          </w:tcPr>
          <w:p w:rsidR="00E100B6" w:rsidRPr="007B16F5" w:rsidRDefault="00E100B6" w:rsidP="000A4018">
            <w:pPr>
              <w:pStyle w:val="Tabletext"/>
              <w:rPr>
                <w:sz w:val="18"/>
                <w:szCs w:val="18"/>
              </w:rPr>
            </w:pP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 xml:space="preserve">Largeur de </w:t>
            </w:r>
            <w:r>
              <w:rPr>
                <w:sz w:val="18"/>
                <w:szCs w:val="18"/>
              </w:rPr>
              <w:t xml:space="preserve">la </w:t>
            </w:r>
            <w:r w:rsidRPr="007B16F5">
              <w:rPr>
                <w:sz w:val="18"/>
                <w:szCs w:val="18"/>
              </w:rPr>
              <w:t>bande de fréquence</w:t>
            </w:r>
            <w:r>
              <w:rPr>
                <w:sz w:val="18"/>
                <w:szCs w:val="18"/>
              </w:rPr>
              <w:t>s</w:t>
            </w:r>
            <w:r w:rsidRPr="007B16F5">
              <w:rPr>
                <w:sz w:val="18"/>
                <w:szCs w:val="18"/>
              </w:rPr>
              <w:t xml:space="preserve"> SAR (kHz)</w:t>
            </w:r>
          </w:p>
        </w:tc>
        <w:tc>
          <w:tcPr>
            <w:tcW w:w="776" w:type="dxa"/>
          </w:tcPr>
          <w:p w:rsidR="00E100B6" w:rsidRPr="007B16F5" w:rsidRDefault="00E100B6" w:rsidP="000A4018">
            <w:pPr>
              <w:pStyle w:val="Tabletext"/>
              <w:jc w:val="center"/>
              <w:rPr>
                <w:sz w:val="18"/>
                <w:szCs w:val="18"/>
              </w:rPr>
            </w:pPr>
            <w:r w:rsidRPr="007B16F5">
              <w:rPr>
                <w:sz w:val="18"/>
                <w:szCs w:val="18"/>
              </w:rPr>
              <w:t>1</w:t>
            </w:r>
          </w:p>
        </w:tc>
        <w:tc>
          <w:tcPr>
            <w:tcW w:w="967" w:type="dxa"/>
          </w:tcPr>
          <w:p w:rsidR="00E100B6" w:rsidRPr="007B16F5" w:rsidRDefault="00E100B6" w:rsidP="000A4018">
            <w:pPr>
              <w:pStyle w:val="Tabletext"/>
              <w:jc w:val="center"/>
              <w:rPr>
                <w:sz w:val="18"/>
                <w:szCs w:val="18"/>
              </w:rPr>
            </w:pPr>
          </w:p>
        </w:tc>
        <w:tc>
          <w:tcPr>
            <w:tcW w:w="2943" w:type="dxa"/>
            <w:gridSpan w:val="3"/>
          </w:tcPr>
          <w:p w:rsidR="00E100B6" w:rsidRPr="007B16F5" w:rsidRDefault="00E100B6" w:rsidP="000A4018">
            <w:pPr>
              <w:pStyle w:val="Tabletext"/>
              <w:jc w:val="center"/>
              <w:rPr>
                <w:sz w:val="18"/>
                <w:szCs w:val="18"/>
              </w:rPr>
            </w:pPr>
            <w:r w:rsidRPr="007B16F5">
              <w:rPr>
                <w:sz w:val="18"/>
                <w:szCs w:val="18"/>
              </w:rPr>
              <w:t>80,0</w:t>
            </w:r>
          </w:p>
        </w:tc>
        <w:tc>
          <w:tcPr>
            <w:tcW w:w="998" w:type="dxa"/>
          </w:tcPr>
          <w:p w:rsidR="00E100B6" w:rsidRPr="007B16F5" w:rsidRDefault="00E100B6" w:rsidP="000A4018">
            <w:pPr>
              <w:pStyle w:val="Tabletext"/>
              <w:jc w:val="center"/>
              <w:rPr>
                <w:sz w:val="18"/>
                <w:szCs w:val="18"/>
              </w:rPr>
            </w:pPr>
            <w:r w:rsidRPr="007B16F5">
              <w:rPr>
                <w:sz w:val="18"/>
                <w:szCs w:val="18"/>
              </w:rPr>
              <w:t>100,0</w:t>
            </w:r>
          </w:p>
        </w:tc>
        <w:tc>
          <w:tcPr>
            <w:tcW w:w="1105" w:type="dxa"/>
          </w:tcPr>
          <w:p w:rsidR="00E100B6" w:rsidRPr="007B16F5" w:rsidRDefault="00E100B6" w:rsidP="000A4018">
            <w:pPr>
              <w:pStyle w:val="Tabletext"/>
              <w:jc w:val="center"/>
              <w:rPr>
                <w:sz w:val="18"/>
                <w:szCs w:val="18"/>
              </w:rPr>
            </w:pPr>
            <w:r w:rsidRPr="007B16F5">
              <w:rPr>
                <w:sz w:val="18"/>
                <w:szCs w:val="18"/>
              </w:rPr>
              <w:t>80</w:t>
            </w:r>
            <w:r>
              <w:rPr>
                <w:sz w:val="18"/>
                <w:szCs w:val="18"/>
              </w:rPr>
              <w:t>,</w:t>
            </w:r>
            <w:r w:rsidRPr="007B16F5">
              <w:rPr>
                <w:sz w:val="18"/>
                <w:szCs w:val="18"/>
              </w:rPr>
              <w:t>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Débit de données, Rb (Hz)</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400,0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Fréquence (MHz)</w:t>
            </w:r>
          </w:p>
        </w:tc>
        <w:tc>
          <w:tcPr>
            <w:tcW w:w="776" w:type="dxa"/>
          </w:tcPr>
          <w:p w:rsidR="00E100B6" w:rsidRPr="007B16F5" w:rsidRDefault="00E100B6" w:rsidP="000A4018">
            <w:pPr>
              <w:pStyle w:val="Tabletext"/>
              <w:jc w:val="center"/>
              <w:rPr>
                <w:sz w:val="18"/>
                <w:szCs w:val="18"/>
              </w:rPr>
            </w:pPr>
            <w:r w:rsidRPr="007B16F5">
              <w:rPr>
                <w:sz w:val="18"/>
                <w:szCs w:val="18"/>
              </w:rPr>
              <w:t>2</w:t>
            </w: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406,05</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Puissance d</w:t>
            </w:r>
            <w:r>
              <w:rPr>
                <w:sz w:val="18"/>
                <w:szCs w:val="18"/>
              </w:rPr>
              <w:t>'</w:t>
            </w:r>
            <w:r w:rsidRPr="007B16F5">
              <w:rPr>
                <w:sz w:val="18"/>
                <w:szCs w:val="18"/>
              </w:rPr>
              <w:t>émission (dBW)</w:t>
            </w:r>
          </w:p>
        </w:tc>
        <w:tc>
          <w:tcPr>
            <w:tcW w:w="776" w:type="dxa"/>
          </w:tcPr>
          <w:p w:rsidR="00E100B6" w:rsidRPr="007B16F5" w:rsidRDefault="00E100B6" w:rsidP="000A4018">
            <w:pPr>
              <w:pStyle w:val="Tabletext"/>
              <w:jc w:val="center"/>
              <w:rPr>
                <w:sz w:val="18"/>
                <w:szCs w:val="18"/>
              </w:rPr>
            </w:pPr>
            <w:r w:rsidRPr="007B16F5">
              <w:rPr>
                <w:sz w:val="18"/>
                <w:szCs w:val="18"/>
              </w:rPr>
              <w:t>3</w:t>
            </w: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5,0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Gain de l</w:t>
            </w:r>
            <w:r>
              <w:rPr>
                <w:sz w:val="18"/>
                <w:szCs w:val="18"/>
              </w:rPr>
              <w:t>'</w:t>
            </w:r>
            <w:r w:rsidRPr="007B16F5">
              <w:rPr>
                <w:sz w:val="18"/>
                <w:szCs w:val="18"/>
              </w:rPr>
              <w:t>antenne d</w:t>
            </w:r>
            <w:r>
              <w:rPr>
                <w:sz w:val="18"/>
                <w:szCs w:val="18"/>
              </w:rPr>
              <w:t>'</w:t>
            </w:r>
            <w:r w:rsidRPr="007B16F5">
              <w:rPr>
                <w:sz w:val="18"/>
                <w:szCs w:val="18"/>
              </w:rPr>
              <w:t>émission (dBi)</w:t>
            </w:r>
          </w:p>
        </w:tc>
        <w:tc>
          <w:tcPr>
            <w:tcW w:w="776" w:type="dxa"/>
          </w:tcPr>
          <w:p w:rsidR="00E100B6" w:rsidRPr="007B16F5" w:rsidRDefault="00E100B6" w:rsidP="000A4018">
            <w:pPr>
              <w:pStyle w:val="Tabletext"/>
              <w:jc w:val="center"/>
              <w:rPr>
                <w:sz w:val="18"/>
                <w:szCs w:val="18"/>
              </w:rPr>
            </w:pPr>
            <w:r w:rsidRPr="007B16F5">
              <w:rPr>
                <w:sz w:val="18"/>
                <w:szCs w:val="18"/>
              </w:rPr>
              <w:t>4</w:t>
            </w: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–2,0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p</w:t>
            </w:r>
            <w:r>
              <w:rPr>
                <w:sz w:val="18"/>
                <w:szCs w:val="18"/>
              </w:rPr>
              <w:t>.</w:t>
            </w:r>
            <w:r w:rsidRPr="007B16F5">
              <w:rPr>
                <w:sz w:val="18"/>
                <w:szCs w:val="18"/>
              </w:rPr>
              <w:t>i.r.e</w:t>
            </w:r>
            <w:r>
              <w:rPr>
                <w:sz w:val="18"/>
                <w:szCs w:val="18"/>
              </w:rPr>
              <w:t>.</w:t>
            </w:r>
            <w:r w:rsidRPr="007B16F5">
              <w:rPr>
                <w:sz w:val="18"/>
                <w:szCs w:val="18"/>
              </w:rPr>
              <w:t xml:space="preserve"> (dBW)</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3,0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Angle d</w:t>
            </w:r>
            <w:r>
              <w:rPr>
                <w:sz w:val="18"/>
                <w:szCs w:val="18"/>
              </w:rPr>
              <w:t>'</w:t>
            </w:r>
            <w:r w:rsidRPr="007B16F5">
              <w:rPr>
                <w:sz w:val="18"/>
                <w:szCs w:val="18"/>
              </w:rPr>
              <w:t>élévation (degrés)</w:t>
            </w:r>
          </w:p>
        </w:tc>
        <w:tc>
          <w:tcPr>
            <w:tcW w:w="776" w:type="dxa"/>
          </w:tcPr>
          <w:p w:rsidR="00E100B6" w:rsidRPr="007B16F5" w:rsidRDefault="00E100B6" w:rsidP="000A4018">
            <w:pPr>
              <w:pStyle w:val="Tabletext"/>
              <w:jc w:val="center"/>
              <w:rPr>
                <w:sz w:val="18"/>
                <w:szCs w:val="18"/>
              </w:rPr>
            </w:pPr>
            <w:r w:rsidRPr="007B16F5">
              <w:rPr>
                <w:sz w:val="18"/>
                <w:szCs w:val="18"/>
              </w:rPr>
              <w:t>5</w:t>
            </w: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5,0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Pr>
                <w:sz w:val="18"/>
                <w:szCs w:val="18"/>
              </w:rPr>
              <w:t>Longueur</w:t>
            </w:r>
            <w:r w:rsidRPr="007B16F5">
              <w:rPr>
                <w:sz w:val="18"/>
                <w:szCs w:val="18"/>
              </w:rPr>
              <w:t xml:space="preserve"> du trajet (km)</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r w:rsidRPr="007B16F5">
              <w:rPr>
                <w:sz w:val="18"/>
                <w:szCs w:val="18"/>
              </w:rPr>
              <w:t>2 900,0</w:t>
            </w:r>
          </w:p>
        </w:tc>
        <w:tc>
          <w:tcPr>
            <w:tcW w:w="951" w:type="dxa"/>
          </w:tcPr>
          <w:p w:rsidR="00E100B6" w:rsidRPr="007B16F5" w:rsidRDefault="00E100B6" w:rsidP="000A4018">
            <w:pPr>
              <w:pStyle w:val="Tabletext"/>
              <w:jc w:val="center"/>
              <w:rPr>
                <w:sz w:val="18"/>
                <w:szCs w:val="18"/>
              </w:rPr>
            </w:pPr>
            <w:r w:rsidRPr="007B16F5">
              <w:rPr>
                <w:sz w:val="18"/>
                <w:szCs w:val="18"/>
              </w:rPr>
              <w:t>3 200,0</w:t>
            </w:r>
          </w:p>
        </w:tc>
        <w:tc>
          <w:tcPr>
            <w:tcW w:w="1982" w:type="dxa"/>
            <w:gridSpan w:val="2"/>
          </w:tcPr>
          <w:p w:rsidR="00E100B6" w:rsidRPr="007B16F5" w:rsidRDefault="00E100B6" w:rsidP="000A4018">
            <w:pPr>
              <w:pStyle w:val="Tabletext"/>
              <w:jc w:val="center"/>
              <w:rPr>
                <w:sz w:val="18"/>
                <w:szCs w:val="18"/>
              </w:rPr>
            </w:pPr>
            <w:r w:rsidRPr="007B16F5">
              <w:rPr>
                <w:sz w:val="18"/>
                <w:szCs w:val="18"/>
              </w:rPr>
              <w:t>41 126</w:t>
            </w:r>
            <w:r>
              <w:rPr>
                <w:sz w:val="18"/>
                <w:szCs w:val="18"/>
              </w:rPr>
              <w:t>,</w:t>
            </w:r>
            <w:r w:rsidRPr="007B16F5">
              <w:rPr>
                <w:sz w:val="18"/>
                <w:szCs w:val="18"/>
              </w:rPr>
              <w:t>3</w:t>
            </w:r>
          </w:p>
        </w:tc>
        <w:tc>
          <w:tcPr>
            <w:tcW w:w="1105" w:type="dxa"/>
          </w:tcPr>
          <w:p w:rsidR="00E100B6" w:rsidRPr="007B16F5" w:rsidRDefault="00E100B6" w:rsidP="000A4018">
            <w:pPr>
              <w:pStyle w:val="Tabletext"/>
              <w:jc w:val="center"/>
              <w:rPr>
                <w:sz w:val="18"/>
                <w:szCs w:val="18"/>
              </w:rPr>
            </w:pPr>
            <w:r w:rsidRPr="007B16F5">
              <w:rPr>
                <w:sz w:val="18"/>
                <w:szCs w:val="18"/>
              </w:rPr>
              <w:t>28 354</w:t>
            </w:r>
            <w:r>
              <w:rPr>
                <w:sz w:val="18"/>
                <w:szCs w:val="18"/>
              </w:rPr>
              <w:t>,</w:t>
            </w:r>
            <w:r w:rsidRPr="007B16F5">
              <w:rPr>
                <w:sz w:val="18"/>
                <w:szCs w:val="18"/>
              </w:rPr>
              <w:t>4</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Affaiblissement sur le trajet (dB)</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r w:rsidRPr="007B16F5">
              <w:rPr>
                <w:sz w:val="18"/>
                <w:szCs w:val="18"/>
              </w:rPr>
              <w:t>153,8</w:t>
            </w:r>
          </w:p>
        </w:tc>
        <w:tc>
          <w:tcPr>
            <w:tcW w:w="951" w:type="dxa"/>
          </w:tcPr>
          <w:p w:rsidR="00E100B6" w:rsidRPr="007B16F5" w:rsidRDefault="00E100B6" w:rsidP="000A4018">
            <w:pPr>
              <w:pStyle w:val="Tabletext"/>
              <w:jc w:val="center"/>
              <w:rPr>
                <w:sz w:val="18"/>
                <w:szCs w:val="18"/>
              </w:rPr>
            </w:pPr>
            <w:r w:rsidRPr="007B16F5">
              <w:rPr>
                <w:sz w:val="18"/>
                <w:szCs w:val="18"/>
              </w:rPr>
              <w:t>154,7</w:t>
            </w:r>
          </w:p>
        </w:tc>
        <w:tc>
          <w:tcPr>
            <w:tcW w:w="1982" w:type="dxa"/>
            <w:gridSpan w:val="2"/>
          </w:tcPr>
          <w:p w:rsidR="00E100B6" w:rsidRPr="007B16F5" w:rsidRDefault="00E100B6" w:rsidP="000A4018">
            <w:pPr>
              <w:pStyle w:val="Tabletext"/>
              <w:jc w:val="center"/>
              <w:rPr>
                <w:sz w:val="18"/>
                <w:szCs w:val="18"/>
              </w:rPr>
            </w:pPr>
            <w:r w:rsidRPr="007B16F5">
              <w:rPr>
                <w:sz w:val="18"/>
                <w:szCs w:val="18"/>
              </w:rPr>
              <w:t>176</w:t>
            </w:r>
            <w:r>
              <w:rPr>
                <w:sz w:val="18"/>
                <w:szCs w:val="18"/>
              </w:rPr>
              <w:t>,</w:t>
            </w:r>
            <w:r w:rsidRPr="007B16F5">
              <w:rPr>
                <w:sz w:val="18"/>
                <w:szCs w:val="18"/>
              </w:rPr>
              <w:t>9</w:t>
            </w:r>
          </w:p>
        </w:tc>
        <w:tc>
          <w:tcPr>
            <w:tcW w:w="1105" w:type="dxa"/>
          </w:tcPr>
          <w:p w:rsidR="00E100B6" w:rsidRPr="007B16F5" w:rsidRDefault="00E100B6" w:rsidP="000A4018">
            <w:pPr>
              <w:pStyle w:val="Tabletext"/>
              <w:jc w:val="center"/>
              <w:rPr>
                <w:sz w:val="18"/>
                <w:szCs w:val="18"/>
              </w:rPr>
            </w:pPr>
            <w:r w:rsidRPr="007B16F5">
              <w:rPr>
                <w:sz w:val="18"/>
                <w:szCs w:val="18"/>
              </w:rPr>
              <w:t>173</w:t>
            </w:r>
            <w:r>
              <w:rPr>
                <w:sz w:val="18"/>
                <w:szCs w:val="18"/>
              </w:rPr>
              <w:t>,</w:t>
            </w:r>
            <w:r w:rsidRPr="007B16F5">
              <w:rPr>
                <w:sz w:val="18"/>
                <w:szCs w:val="18"/>
              </w:rPr>
              <w:t>7</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Affaiblissement de polarisation (dB)</w:t>
            </w:r>
          </w:p>
        </w:tc>
        <w:tc>
          <w:tcPr>
            <w:tcW w:w="776" w:type="dxa"/>
          </w:tcPr>
          <w:p w:rsidR="00E100B6" w:rsidRPr="007B16F5" w:rsidRDefault="00E100B6" w:rsidP="000A4018">
            <w:pPr>
              <w:pStyle w:val="Tabletext"/>
              <w:jc w:val="center"/>
              <w:rPr>
                <w:sz w:val="18"/>
                <w:szCs w:val="18"/>
              </w:rPr>
            </w:pPr>
            <w:r w:rsidRPr="007B16F5">
              <w:rPr>
                <w:sz w:val="18"/>
                <w:szCs w:val="18"/>
              </w:rPr>
              <w:t>6</w:t>
            </w: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p>
        </w:tc>
        <w:tc>
          <w:tcPr>
            <w:tcW w:w="951" w:type="dxa"/>
          </w:tcPr>
          <w:p w:rsidR="00E100B6" w:rsidRPr="007B16F5" w:rsidRDefault="00E100B6" w:rsidP="000A4018">
            <w:pPr>
              <w:pStyle w:val="Tabletext"/>
              <w:jc w:val="center"/>
              <w:rPr>
                <w:sz w:val="18"/>
                <w:szCs w:val="18"/>
              </w:rPr>
            </w:pPr>
          </w:p>
        </w:tc>
        <w:tc>
          <w:tcPr>
            <w:tcW w:w="984" w:type="dxa"/>
          </w:tcPr>
          <w:p w:rsidR="00E100B6" w:rsidRPr="007B16F5" w:rsidRDefault="00E100B6" w:rsidP="000A4018">
            <w:pPr>
              <w:pStyle w:val="Tabletext"/>
              <w:jc w:val="center"/>
              <w:rPr>
                <w:sz w:val="18"/>
                <w:szCs w:val="18"/>
              </w:rPr>
            </w:pPr>
            <w:r w:rsidRPr="007B16F5">
              <w:rPr>
                <w:sz w:val="18"/>
                <w:szCs w:val="18"/>
              </w:rPr>
              <w:t>4</w:t>
            </w:r>
            <w:r>
              <w:rPr>
                <w:sz w:val="18"/>
                <w:szCs w:val="18"/>
              </w:rPr>
              <w:t>,</w:t>
            </w:r>
            <w:r w:rsidRPr="007B16F5">
              <w:rPr>
                <w:sz w:val="18"/>
                <w:szCs w:val="18"/>
              </w:rPr>
              <w:t>9</w:t>
            </w:r>
          </w:p>
        </w:tc>
        <w:tc>
          <w:tcPr>
            <w:tcW w:w="998" w:type="dxa"/>
          </w:tcPr>
          <w:p w:rsidR="00E100B6" w:rsidRPr="007B16F5" w:rsidRDefault="00E100B6" w:rsidP="000A4018">
            <w:pPr>
              <w:pStyle w:val="Tabletext"/>
              <w:jc w:val="center"/>
              <w:rPr>
                <w:sz w:val="18"/>
                <w:szCs w:val="18"/>
              </w:rPr>
            </w:pPr>
            <w:r w:rsidRPr="007B16F5">
              <w:rPr>
                <w:sz w:val="18"/>
                <w:szCs w:val="18"/>
              </w:rPr>
              <w:t>4</w:t>
            </w:r>
            <w:r>
              <w:rPr>
                <w:sz w:val="18"/>
                <w:szCs w:val="18"/>
              </w:rPr>
              <w:t>,</w:t>
            </w:r>
            <w:r w:rsidRPr="007B16F5">
              <w:rPr>
                <w:sz w:val="18"/>
                <w:szCs w:val="18"/>
              </w:rPr>
              <w:t>5</w:t>
            </w:r>
          </w:p>
        </w:tc>
        <w:tc>
          <w:tcPr>
            <w:tcW w:w="1105" w:type="dxa"/>
          </w:tcPr>
          <w:p w:rsidR="00E100B6" w:rsidRPr="007B16F5" w:rsidRDefault="00E100B6" w:rsidP="000A4018">
            <w:pPr>
              <w:pStyle w:val="Tabletext"/>
              <w:jc w:val="center"/>
              <w:rPr>
                <w:sz w:val="18"/>
                <w:szCs w:val="18"/>
              </w:rPr>
            </w:pPr>
            <w:r>
              <w:rPr>
                <w:sz w:val="18"/>
                <w:szCs w:val="18"/>
              </w:rPr>
              <w:t>4,</w:t>
            </w:r>
            <w:r w:rsidRPr="007B16F5">
              <w:rPr>
                <w:sz w:val="18"/>
                <w:szCs w:val="18"/>
              </w:rPr>
              <w:t>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Affaiblissement des évanouissements (dB)</w:t>
            </w:r>
          </w:p>
        </w:tc>
        <w:tc>
          <w:tcPr>
            <w:tcW w:w="776" w:type="dxa"/>
          </w:tcPr>
          <w:p w:rsidR="00E100B6" w:rsidRPr="007B16F5" w:rsidRDefault="00E100B6" w:rsidP="000A4018">
            <w:pPr>
              <w:pStyle w:val="Tabletext"/>
              <w:jc w:val="center"/>
              <w:rPr>
                <w:sz w:val="18"/>
                <w:szCs w:val="18"/>
              </w:rPr>
            </w:pPr>
            <w:r w:rsidRPr="007B16F5">
              <w:rPr>
                <w:sz w:val="18"/>
                <w:szCs w:val="18"/>
              </w:rPr>
              <w:t>6a</w:t>
            </w:r>
          </w:p>
        </w:tc>
        <w:tc>
          <w:tcPr>
            <w:tcW w:w="967" w:type="dxa"/>
          </w:tcPr>
          <w:p w:rsidR="00E100B6" w:rsidRPr="007B16F5" w:rsidRDefault="00E100B6" w:rsidP="000A4018">
            <w:pPr>
              <w:pStyle w:val="Tabletext"/>
              <w:jc w:val="center"/>
              <w:rPr>
                <w:sz w:val="18"/>
                <w:szCs w:val="18"/>
              </w:rPr>
            </w:pPr>
          </w:p>
        </w:tc>
        <w:tc>
          <w:tcPr>
            <w:tcW w:w="1959" w:type="dxa"/>
            <w:gridSpan w:val="2"/>
          </w:tcPr>
          <w:p w:rsidR="00E100B6" w:rsidRPr="007B16F5" w:rsidRDefault="00E100B6" w:rsidP="000A4018">
            <w:pPr>
              <w:pStyle w:val="Tabletext"/>
              <w:jc w:val="center"/>
              <w:rPr>
                <w:sz w:val="18"/>
                <w:szCs w:val="18"/>
              </w:rPr>
            </w:pPr>
            <w:r w:rsidRPr="007B16F5">
              <w:rPr>
                <w:sz w:val="18"/>
                <w:szCs w:val="18"/>
              </w:rPr>
              <w:t>2,5</w:t>
            </w:r>
          </w:p>
        </w:tc>
        <w:tc>
          <w:tcPr>
            <w:tcW w:w="984" w:type="dxa"/>
          </w:tcPr>
          <w:p w:rsidR="00E100B6" w:rsidRPr="007B16F5" w:rsidRDefault="00E100B6" w:rsidP="000A4018">
            <w:pPr>
              <w:pStyle w:val="Tabletext"/>
              <w:jc w:val="center"/>
              <w:rPr>
                <w:sz w:val="18"/>
                <w:szCs w:val="18"/>
              </w:rPr>
            </w:pPr>
          </w:p>
        </w:tc>
        <w:tc>
          <w:tcPr>
            <w:tcW w:w="998" w:type="dxa"/>
          </w:tcPr>
          <w:p w:rsidR="00E100B6" w:rsidRPr="007B16F5" w:rsidRDefault="00E100B6" w:rsidP="000A4018">
            <w:pPr>
              <w:pStyle w:val="Tabletext"/>
              <w:jc w:val="center"/>
              <w:rPr>
                <w:sz w:val="18"/>
                <w:szCs w:val="18"/>
              </w:rPr>
            </w:pPr>
          </w:p>
        </w:tc>
        <w:tc>
          <w:tcPr>
            <w:tcW w:w="1105" w:type="dxa"/>
          </w:tcPr>
          <w:p w:rsidR="00E100B6" w:rsidRPr="007B16F5" w:rsidRDefault="00E100B6" w:rsidP="000A4018">
            <w:pPr>
              <w:pStyle w:val="Tabletext"/>
              <w:jc w:val="center"/>
              <w:rPr>
                <w:sz w:val="18"/>
                <w:szCs w:val="18"/>
              </w:rPr>
            </w:pPr>
            <w:r w:rsidRPr="007B16F5">
              <w:rPr>
                <w:sz w:val="18"/>
                <w:szCs w:val="18"/>
              </w:rPr>
              <w:t>2</w:t>
            </w:r>
            <w:r>
              <w:rPr>
                <w:sz w:val="18"/>
                <w:szCs w:val="18"/>
              </w:rPr>
              <w:t>,</w:t>
            </w:r>
            <w:r w:rsidRPr="007B16F5">
              <w:rPr>
                <w:sz w:val="18"/>
                <w:szCs w:val="18"/>
              </w:rPr>
              <w:t>5</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i/>
                <w:iCs/>
                <w:sz w:val="18"/>
                <w:szCs w:val="18"/>
              </w:rPr>
              <w:t>G</w:t>
            </w:r>
            <w:r w:rsidRPr="007B16F5">
              <w:rPr>
                <w:sz w:val="18"/>
                <w:szCs w:val="18"/>
              </w:rPr>
              <w:t>/</w:t>
            </w:r>
            <w:r w:rsidRPr="007B16F5">
              <w:rPr>
                <w:i/>
                <w:iCs/>
                <w:sz w:val="18"/>
                <w:szCs w:val="18"/>
              </w:rPr>
              <w:t>T</w:t>
            </w:r>
            <w:r w:rsidRPr="007B16F5">
              <w:rPr>
                <w:sz w:val="18"/>
                <w:szCs w:val="18"/>
              </w:rPr>
              <w:t xml:space="preserve"> de l</w:t>
            </w:r>
            <w:r>
              <w:rPr>
                <w:sz w:val="18"/>
                <w:szCs w:val="18"/>
              </w:rPr>
              <w:t>'</w:t>
            </w:r>
            <w:r w:rsidRPr="007B16F5">
              <w:rPr>
                <w:sz w:val="18"/>
                <w:szCs w:val="18"/>
              </w:rPr>
              <w:t>antenne de réception du satellite (dB/K)</w:t>
            </w:r>
          </w:p>
        </w:tc>
        <w:tc>
          <w:tcPr>
            <w:tcW w:w="776" w:type="dxa"/>
          </w:tcPr>
          <w:p w:rsidR="00E100B6" w:rsidRPr="007B16F5" w:rsidRDefault="00E100B6" w:rsidP="000A4018">
            <w:pPr>
              <w:pStyle w:val="Tabletext"/>
              <w:jc w:val="center"/>
              <w:rPr>
                <w:sz w:val="18"/>
                <w:szCs w:val="18"/>
              </w:rPr>
            </w:pPr>
            <w:r w:rsidRPr="007B16F5">
              <w:rPr>
                <w:sz w:val="18"/>
                <w:szCs w:val="18"/>
              </w:rPr>
              <w:t>7</w:t>
            </w:r>
          </w:p>
        </w:tc>
        <w:tc>
          <w:tcPr>
            <w:tcW w:w="967" w:type="dxa"/>
          </w:tcPr>
          <w:p w:rsidR="00E100B6" w:rsidRPr="007B16F5" w:rsidRDefault="00E100B6" w:rsidP="000A4018">
            <w:pPr>
              <w:pStyle w:val="Tabletext"/>
              <w:jc w:val="center"/>
              <w:rPr>
                <w:sz w:val="18"/>
                <w:szCs w:val="18"/>
              </w:rPr>
            </w:pPr>
          </w:p>
        </w:tc>
        <w:tc>
          <w:tcPr>
            <w:tcW w:w="1959" w:type="dxa"/>
            <w:gridSpan w:val="2"/>
          </w:tcPr>
          <w:p w:rsidR="00E100B6" w:rsidRPr="007B16F5" w:rsidRDefault="00E100B6" w:rsidP="000A4018">
            <w:pPr>
              <w:pStyle w:val="Tabletext"/>
              <w:jc w:val="center"/>
              <w:rPr>
                <w:sz w:val="18"/>
                <w:szCs w:val="18"/>
              </w:rPr>
            </w:pPr>
            <w:r w:rsidRPr="007B16F5">
              <w:rPr>
                <w:sz w:val="18"/>
                <w:szCs w:val="18"/>
              </w:rPr>
              <w:t>–34,0</w:t>
            </w:r>
          </w:p>
        </w:tc>
        <w:tc>
          <w:tcPr>
            <w:tcW w:w="984" w:type="dxa"/>
          </w:tcPr>
          <w:p w:rsidR="00E100B6" w:rsidRPr="007B16F5" w:rsidRDefault="00E100B6" w:rsidP="000A4018">
            <w:pPr>
              <w:pStyle w:val="Tabletext"/>
              <w:jc w:val="center"/>
              <w:rPr>
                <w:sz w:val="18"/>
                <w:szCs w:val="18"/>
              </w:rPr>
            </w:pPr>
            <w:r w:rsidRPr="007B16F5">
              <w:rPr>
                <w:sz w:val="18"/>
                <w:szCs w:val="18"/>
              </w:rPr>
              <w:t>–18,5</w:t>
            </w:r>
          </w:p>
        </w:tc>
        <w:tc>
          <w:tcPr>
            <w:tcW w:w="998" w:type="dxa"/>
          </w:tcPr>
          <w:p w:rsidR="00E100B6" w:rsidRPr="007B16F5" w:rsidRDefault="00E100B6" w:rsidP="000A4018">
            <w:pPr>
              <w:pStyle w:val="Tabletext"/>
              <w:jc w:val="center"/>
              <w:rPr>
                <w:sz w:val="18"/>
                <w:szCs w:val="18"/>
              </w:rPr>
            </w:pPr>
            <w:r w:rsidRPr="007B16F5">
              <w:rPr>
                <w:sz w:val="18"/>
                <w:szCs w:val="18"/>
              </w:rPr>
              <w:t>–22</w:t>
            </w:r>
            <w:r>
              <w:rPr>
                <w:sz w:val="18"/>
                <w:szCs w:val="18"/>
              </w:rPr>
              <w:t>,</w:t>
            </w:r>
            <w:r w:rsidRPr="007B16F5">
              <w:rPr>
                <w:sz w:val="18"/>
                <w:szCs w:val="18"/>
              </w:rPr>
              <w:t>1</w:t>
            </w:r>
          </w:p>
        </w:tc>
        <w:tc>
          <w:tcPr>
            <w:tcW w:w="1105" w:type="dxa"/>
          </w:tcPr>
          <w:p w:rsidR="00E100B6" w:rsidRPr="007B16F5" w:rsidRDefault="00E100B6" w:rsidP="000A4018">
            <w:pPr>
              <w:pStyle w:val="Tabletext"/>
              <w:jc w:val="center"/>
              <w:rPr>
                <w:sz w:val="18"/>
                <w:szCs w:val="18"/>
              </w:rPr>
            </w:pPr>
            <w:r w:rsidRPr="007B16F5">
              <w:rPr>
                <w:sz w:val="18"/>
                <w:szCs w:val="18"/>
              </w:rPr>
              <w:t>–15</w:t>
            </w:r>
            <w:r>
              <w:rPr>
                <w:sz w:val="18"/>
                <w:szCs w:val="18"/>
              </w:rPr>
              <w:t>,</w:t>
            </w:r>
            <w:r w:rsidRPr="007B16F5">
              <w:rPr>
                <w:sz w:val="18"/>
                <w:szCs w:val="18"/>
              </w:rPr>
              <w:t>7</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Constante de Boltzmann (</w:t>
            </w:r>
            <w:proofErr w:type="gramStart"/>
            <w:r w:rsidRPr="007B16F5">
              <w:rPr>
                <w:sz w:val="18"/>
                <w:szCs w:val="18"/>
              </w:rPr>
              <w:t>dB(</w:t>
            </w:r>
            <w:proofErr w:type="gramEnd"/>
            <w:r w:rsidRPr="007B16F5">
              <w:rPr>
                <w:sz w:val="18"/>
                <w:szCs w:val="18"/>
              </w:rPr>
              <w:t>J/K))</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p>
        </w:tc>
        <w:tc>
          <w:tcPr>
            <w:tcW w:w="5046" w:type="dxa"/>
            <w:gridSpan w:val="5"/>
          </w:tcPr>
          <w:p w:rsidR="00E100B6" w:rsidRPr="007B16F5" w:rsidRDefault="00E100B6" w:rsidP="000A4018">
            <w:pPr>
              <w:pStyle w:val="Tabletext"/>
              <w:jc w:val="center"/>
              <w:rPr>
                <w:sz w:val="18"/>
                <w:szCs w:val="18"/>
              </w:rPr>
            </w:pPr>
            <w:r w:rsidRPr="007B16F5">
              <w:rPr>
                <w:sz w:val="18"/>
                <w:szCs w:val="18"/>
              </w:rPr>
              <w:t>–228,6</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i/>
                <w:iCs/>
              </w:rPr>
              <w:t>C</w:t>
            </w:r>
            <w:r w:rsidRPr="007B16F5">
              <w:t>/</w:t>
            </w:r>
            <w:r w:rsidRPr="007B16F5">
              <w:rPr>
                <w:i/>
                <w:iCs/>
              </w:rPr>
              <w:t>N</w:t>
            </w:r>
            <w:r w:rsidRPr="007B16F5">
              <w:rPr>
                <w:vertAlign w:val="subscript"/>
              </w:rPr>
              <w:t>0</w:t>
            </w:r>
            <w:r w:rsidRPr="007B16F5">
              <w:rPr>
                <w:sz w:val="18"/>
                <w:szCs w:val="18"/>
              </w:rPr>
              <w:t xml:space="preserve"> </w:t>
            </w:r>
            <w:r>
              <w:rPr>
                <w:sz w:val="18"/>
                <w:szCs w:val="18"/>
              </w:rPr>
              <w:t>sur</w:t>
            </w:r>
            <w:r w:rsidRPr="007B16F5">
              <w:rPr>
                <w:sz w:val="18"/>
                <w:szCs w:val="18"/>
              </w:rPr>
              <w:t xml:space="preserve"> la liaison montante (dBHz)</w:t>
            </w:r>
          </w:p>
        </w:tc>
        <w:tc>
          <w:tcPr>
            <w:tcW w:w="776" w:type="dxa"/>
            <w:tcBorders>
              <w:bottom w:val="single" w:sz="4" w:space="0" w:color="auto"/>
            </w:tcBorders>
          </w:tcPr>
          <w:p w:rsidR="00E100B6" w:rsidRPr="007B16F5" w:rsidRDefault="00E100B6" w:rsidP="000A4018">
            <w:pPr>
              <w:pStyle w:val="Tabletext"/>
              <w:jc w:val="center"/>
              <w:rPr>
                <w:sz w:val="18"/>
                <w:szCs w:val="18"/>
              </w:rPr>
            </w:pPr>
          </w:p>
        </w:tc>
        <w:tc>
          <w:tcPr>
            <w:tcW w:w="967" w:type="dxa"/>
            <w:tcBorders>
              <w:bottom w:val="single" w:sz="4" w:space="0" w:color="auto"/>
            </w:tcBorders>
          </w:tcPr>
          <w:p w:rsidR="00E100B6" w:rsidRPr="007B16F5" w:rsidRDefault="00E100B6" w:rsidP="000A4018">
            <w:pPr>
              <w:pStyle w:val="Tabletext"/>
              <w:jc w:val="center"/>
              <w:rPr>
                <w:sz w:val="18"/>
                <w:szCs w:val="18"/>
              </w:rPr>
            </w:pPr>
          </w:p>
        </w:tc>
        <w:tc>
          <w:tcPr>
            <w:tcW w:w="1008"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41,3</w:t>
            </w:r>
          </w:p>
        </w:tc>
        <w:tc>
          <w:tcPr>
            <w:tcW w:w="951"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40,4</w:t>
            </w:r>
          </w:p>
        </w:tc>
        <w:tc>
          <w:tcPr>
            <w:tcW w:w="984"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31</w:t>
            </w:r>
            <w:r>
              <w:rPr>
                <w:sz w:val="18"/>
                <w:szCs w:val="18"/>
              </w:rPr>
              <w:t>,</w:t>
            </w:r>
            <w:r w:rsidRPr="007B16F5">
              <w:rPr>
                <w:sz w:val="18"/>
                <w:szCs w:val="18"/>
              </w:rPr>
              <w:t>3</w:t>
            </w:r>
          </w:p>
        </w:tc>
        <w:tc>
          <w:tcPr>
            <w:tcW w:w="998"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28</w:t>
            </w:r>
            <w:r>
              <w:rPr>
                <w:sz w:val="18"/>
                <w:szCs w:val="18"/>
              </w:rPr>
              <w:t>,</w:t>
            </w:r>
            <w:r w:rsidRPr="007B16F5">
              <w:rPr>
                <w:sz w:val="18"/>
                <w:szCs w:val="18"/>
              </w:rPr>
              <w:t>1</w:t>
            </w:r>
          </w:p>
        </w:tc>
        <w:tc>
          <w:tcPr>
            <w:tcW w:w="1105"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35</w:t>
            </w:r>
            <w:r>
              <w:rPr>
                <w:sz w:val="18"/>
                <w:szCs w:val="18"/>
              </w:rPr>
              <w:t>,</w:t>
            </w:r>
            <w:r w:rsidRPr="007B16F5">
              <w:rPr>
                <w:sz w:val="18"/>
                <w:szCs w:val="18"/>
              </w:rPr>
              <w:t>7</w:t>
            </w:r>
          </w:p>
        </w:tc>
      </w:tr>
      <w:tr w:rsidR="00E100B6" w:rsidRPr="007B16F5" w:rsidTr="000A4018">
        <w:trPr>
          <w:cantSplit/>
          <w:jc w:val="center"/>
        </w:trPr>
        <w:tc>
          <w:tcPr>
            <w:tcW w:w="2805" w:type="dxa"/>
          </w:tcPr>
          <w:p w:rsidR="00E100B6" w:rsidRPr="007B16F5" w:rsidRDefault="00E100B6" w:rsidP="000A4018">
            <w:pPr>
              <w:pStyle w:val="Tabletext"/>
              <w:jc w:val="left"/>
              <w:rPr>
                <w:b/>
                <w:sz w:val="18"/>
                <w:szCs w:val="18"/>
              </w:rPr>
            </w:pPr>
            <w:r w:rsidRPr="007B16F5">
              <w:rPr>
                <w:b/>
                <w:sz w:val="18"/>
                <w:szCs w:val="18"/>
              </w:rPr>
              <w:t>Liaison descendante (espace vers Terre)</w:t>
            </w:r>
          </w:p>
        </w:tc>
        <w:tc>
          <w:tcPr>
            <w:tcW w:w="776" w:type="dxa"/>
            <w:tcBorders>
              <w:right w:val="nil"/>
            </w:tcBorders>
          </w:tcPr>
          <w:p w:rsidR="00E100B6" w:rsidRPr="007B16F5" w:rsidRDefault="00E100B6" w:rsidP="000A4018">
            <w:pPr>
              <w:pStyle w:val="Tabletext"/>
              <w:jc w:val="center"/>
              <w:rPr>
                <w:sz w:val="18"/>
                <w:szCs w:val="18"/>
              </w:rPr>
            </w:pPr>
          </w:p>
        </w:tc>
        <w:tc>
          <w:tcPr>
            <w:tcW w:w="967" w:type="dxa"/>
            <w:tcBorders>
              <w:left w:val="nil"/>
              <w:right w:val="nil"/>
            </w:tcBorders>
          </w:tcPr>
          <w:p w:rsidR="00E100B6" w:rsidRPr="007B16F5" w:rsidRDefault="00E100B6" w:rsidP="000A4018">
            <w:pPr>
              <w:pStyle w:val="Tabletext"/>
              <w:jc w:val="center"/>
              <w:rPr>
                <w:sz w:val="18"/>
                <w:szCs w:val="18"/>
              </w:rPr>
            </w:pPr>
          </w:p>
        </w:tc>
        <w:tc>
          <w:tcPr>
            <w:tcW w:w="1008" w:type="dxa"/>
            <w:tcBorders>
              <w:left w:val="nil"/>
              <w:right w:val="nil"/>
            </w:tcBorders>
          </w:tcPr>
          <w:p w:rsidR="00E100B6" w:rsidRPr="007B16F5" w:rsidRDefault="00E100B6" w:rsidP="000A4018">
            <w:pPr>
              <w:pStyle w:val="Tabletext"/>
              <w:jc w:val="center"/>
              <w:rPr>
                <w:sz w:val="18"/>
                <w:szCs w:val="18"/>
              </w:rPr>
            </w:pPr>
          </w:p>
        </w:tc>
        <w:tc>
          <w:tcPr>
            <w:tcW w:w="951" w:type="dxa"/>
            <w:tcBorders>
              <w:left w:val="nil"/>
              <w:right w:val="nil"/>
            </w:tcBorders>
          </w:tcPr>
          <w:p w:rsidR="00E100B6" w:rsidRPr="007B16F5" w:rsidRDefault="00E100B6" w:rsidP="000A4018">
            <w:pPr>
              <w:pStyle w:val="Tabletext"/>
              <w:jc w:val="center"/>
              <w:rPr>
                <w:sz w:val="18"/>
                <w:szCs w:val="18"/>
              </w:rPr>
            </w:pPr>
          </w:p>
        </w:tc>
        <w:tc>
          <w:tcPr>
            <w:tcW w:w="984" w:type="dxa"/>
            <w:tcBorders>
              <w:left w:val="nil"/>
              <w:right w:val="nil"/>
            </w:tcBorders>
          </w:tcPr>
          <w:p w:rsidR="00E100B6" w:rsidRPr="007B16F5" w:rsidRDefault="00E100B6" w:rsidP="000A4018">
            <w:pPr>
              <w:pStyle w:val="Tabletext"/>
              <w:jc w:val="center"/>
              <w:rPr>
                <w:sz w:val="18"/>
                <w:szCs w:val="18"/>
              </w:rPr>
            </w:pPr>
          </w:p>
        </w:tc>
        <w:tc>
          <w:tcPr>
            <w:tcW w:w="998" w:type="dxa"/>
            <w:tcBorders>
              <w:left w:val="nil"/>
              <w:right w:val="nil"/>
            </w:tcBorders>
          </w:tcPr>
          <w:p w:rsidR="00E100B6" w:rsidRPr="007B16F5" w:rsidRDefault="00E100B6" w:rsidP="000A4018">
            <w:pPr>
              <w:pStyle w:val="Tabletext"/>
              <w:jc w:val="center"/>
              <w:rPr>
                <w:sz w:val="18"/>
                <w:szCs w:val="18"/>
              </w:rPr>
            </w:pPr>
          </w:p>
        </w:tc>
        <w:tc>
          <w:tcPr>
            <w:tcW w:w="1105" w:type="dxa"/>
            <w:tcBorders>
              <w:left w:val="nil"/>
            </w:tcBorders>
          </w:tcPr>
          <w:p w:rsidR="00E100B6" w:rsidRPr="007B16F5" w:rsidRDefault="00E100B6" w:rsidP="000A4018">
            <w:pPr>
              <w:pStyle w:val="Tabletext"/>
              <w:jc w:val="center"/>
              <w:rPr>
                <w:sz w:val="18"/>
                <w:szCs w:val="18"/>
              </w:rPr>
            </w:pPr>
          </w:p>
        </w:tc>
      </w:tr>
      <w:tr w:rsidR="00E100B6" w:rsidRPr="007B16F5" w:rsidTr="000A4018">
        <w:trPr>
          <w:cantSplit/>
          <w:jc w:val="center"/>
        </w:trPr>
        <w:tc>
          <w:tcPr>
            <w:tcW w:w="2805" w:type="dxa"/>
            <w:vAlign w:val="center"/>
          </w:tcPr>
          <w:p w:rsidR="00E100B6" w:rsidRPr="007B16F5" w:rsidRDefault="00E100B6" w:rsidP="000A4018">
            <w:pPr>
              <w:pStyle w:val="Tabletext"/>
              <w:jc w:val="left"/>
              <w:rPr>
                <w:sz w:val="18"/>
                <w:szCs w:val="18"/>
              </w:rPr>
            </w:pPr>
            <w:r w:rsidRPr="007B16F5">
              <w:rPr>
                <w:sz w:val="18"/>
                <w:szCs w:val="18"/>
              </w:rPr>
              <w:t xml:space="preserve">Fréquence </w:t>
            </w:r>
            <w:r>
              <w:rPr>
                <w:sz w:val="18"/>
                <w:szCs w:val="18"/>
              </w:rPr>
              <w:t>pour</w:t>
            </w:r>
            <w:r w:rsidRPr="007B16F5">
              <w:rPr>
                <w:sz w:val="18"/>
                <w:szCs w:val="18"/>
              </w:rPr>
              <w:t xml:space="preserve"> la liaison descendante (MHz)</w:t>
            </w:r>
          </w:p>
        </w:tc>
        <w:tc>
          <w:tcPr>
            <w:tcW w:w="776" w:type="dxa"/>
            <w:vAlign w:val="center"/>
          </w:tcPr>
          <w:p w:rsidR="00E100B6" w:rsidRPr="007B16F5" w:rsidRDefault="00E100B6" w:rsidP="000A4018">
            <w:pPr>
              <w:pStyle w:val="Tabletext"/>
              <w:jc w:val="center"/>
              <w:rPr>
                <w:sz w:val="18"/>
                <w:szCs w:val="18"/>
              </w:rPr>
            </w:pPr>
            <w:r w:rsidRPr="007B16F5">
              <w:rPr>
                <w:sz w:val="18"/>
                <w:szCs w:val="18"/>
              </w:rPr>
              <w:t>8</w:t>
            </w:r>
          </w:p>
        </w:tc>
        <w:tc>
          <w:tcPr>
            <w:tcW w:w="967" w:type="dxa"/>
            <w:vAlign w:val="center"/>
          </w:tcPr>
          <w:p w:rsidR="00E100B6" w:rsidRPr="007B16F5" w:rsidRDefault="00E100B6" w:rsidP="000A4018">
            <w:pPr>
              <w:pStyle w:val="Tabletext"/>
              <w:jc w:val="center"/>
              <w:rPr>
                <w:sz w:val="18"/>
              </w:rPr>
            </w:pPr>
            <w:r w:rsidRPr="007B16F5">
              <w:rPr>
                <w:sz w:val="18"/>
              </w:rPr>
              <w:t>1 544,5</w:t>
            </w:r>
          </w:p>
        </w:tc>
        <w:tc>
          <w:tcPr>
            <w:tcW w:w="2943" w:type="dxa"/>
            <w:gridSpan w:val="3"/>
            <w:vAlign w:val="center"/>
          </w:tcPr>
          <w:p w:rsidR="00E100B6" w:rsidRPr="007B16F5" w:rsidRDefault="00E100B6" w:rsidP="000A4018">
            <w:pPr>
              <w:pStyle w:val="Tabletext"/>
              <w:jc w:val="center"/>
              <w:rPr>
                <w:sz w:val="18"/>
              </w:rPr>
            </w:pPr>
            <w:r w:rsidRPr="007B16F5">
              <w:rPr>
                <w:sz w:val="18"/>
              </w:rPr>
              <w:t>1 544,5 ± 40 kHz</w:t>
            </w:r>
          </w:p>
        </w:tc>
        <w:tc>
          <w:tcPr>
            <w:tcW w:w="998" w:type="dxa"/>
          </w:tcPr>
          <w:p w:rsidR="00E100B6" w:rsidRPr="007B16F5" w:rsidRDefault="00E100B6" w:rsidP="000A4018">
            <w:pPr>
              <w:pStyle w:val="Tabletext"/>
              <w:jc w:val="center"/>
              <w:rPr>
                <w:sz w:val="18"/>
              </w:rPr>
            </w:pPr>
            <w:r w:rsidRPr="007B16F5">
              <w:rPr>
                <w:sz w:val="18"/>
              </w:rPr>
              <w:t xml:space="preserve">1 544,5± </w:t>
            </w:r>
            <w:r w:rsidRPr="007B16F5">
              <w:rPr>
                <w:sz w:val="18"/>
              </w:rPr>
              <w:br/>
              <w:t>50 kHz</w:t>
            </w:r>
          </w:p>
        </w:tc>
        <w:tc>
          <w:tcPr>
            <w:tcW w:w="1105" w:type="dxa"/>
          </w:tcPr>
          <w:p w:rsidR="00E100B6" w:rsidRPr="007B16F5" w:rsidRDefault="00E100B6" w:rsidP="000A4018">
            <w:pPr>
              <w:pStyle w:val="Tabletext"/>
              <w:jc w:val="center"/>
              <w:rPr>
                <w:sz w:val="18"/>
              </w:rPr>
            </w:pPr>
            <w:r w:rsidRPr="007B16F5">
              <w:rPr>
                <w:sz w:val="18"/>
              </w:rPr>
              <w:t>1 544</w:t>
            </w:r>
            <w:r>
              <w:rPr>
                <w:sz w:val="18"/>
              </w:rPr>
              <w:t>,</w:t>
            </w:r>
            <w:r w:rsidRPr="007B16F5">
              <w:rPr>
                <w:sz w:val="18"/>
              </w:rPr>
              <w:t xml:space="preserve">1± </w:t>
            </w:r>
            <w:r w:rsidRPr="007B16F5">
              <w:rPr>
                <w:sz w:val="18"/>
              </w:rPr>
              <w:br/>
              <w:t>40 kHz</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Pr>
                <w:sz w:val="18"/>
                <w:szCs w:val="18"/>
              </w:rPr>
              <w:t xml:space="preserve">p.i.r.e. </w:t>
            </w:r>
            <w:r w:rsidRPr="007B16F5">
              <w:rPr>
                <w:sz w:val="18"/>
                <w:szCs w:val="18"/>
              </w:rPr>
              <w:t>d</w:t>
            </w:r>
            <w:r>
              <w:rPr>
                <w:sz w:val="18"/>
                <w:szCs w:val="18"/>
              </w:rPr>
              <w:t>'</w:t>
            </w:r>
            <w:r w:rsidRPr="007B16F5">
              <w:rPr>
                <w:sz w:val="18"/>
                <w:szCs w:val="18"/>
              </w:rPr>
              <w:t>émission (dBW)</w:t>
            </w:r>
          </w:p>
        </w:tc>
        <w:tc>
          <w:tcPr>
            <w:tcW w:w="776" w:type="dxa"/>
          </w:tcPr>
          <w:p w:rsidR="00E100B6" w:rsidRPr="007B16F5" w:rsidRDefault="00E100B6" w:rsidP="000A4018">
            <w:pPr>
              <w:pStyle w:val="Tabletext"/>
              <w:jc w:val="center"/>
              <w:rPr>
                <w:sz w:val="18"/>
                <w:szCs w:val="18"/>
              </w:rPr>
            </w:pPr>
            <w:r w:rsidRPr="007B16F5">
              <w:rPr>
                <w:sz w:val="18"/>
                <w:szCs w:val="18"/>
              </w:rPr>
              <w:t>9</w:t>
            </w:r>
          </w:p>
        </w:tc>
        <w:tc>
          <w:tcPr>
            <w:tcW w:w="1975" w:type="dxa"/>
            <w:gridSpan w:val="2"/>
          </w:tcPr>
          <w:p w:rsidR="00E100B6" w:rsidRPr="007B16F5" w:rsidRDefault="00E100B6" w:rsidP="000A4018">
            <w:pPr>
              <w:pStyle w:val="Tabletext"/>
              <w:jc w:val="center"/>
              <w:rPr>
                <w:sz w:val="18"/>
                <w:szCs w:val="18"/>
              </w:rPr>
            </w:pPr>
            <w:r w:rsidRPr="007B16F5">
              <w:rPr>
                <w:sz w:val="18"/>
                <w:szCs w:val="18"/>
              </w:rPr>
              <w:t>7,1</w:t>
            </w:r>
          </w:p>
        </w:tc>
        <w:tc>
          <w:tcPr>
            <w:tcW w:w="951" w:type="dxa"/>
          </w:tcPr>
          <w:p w:rsidR="00E100B6" w:rsidRPr="007B16F5" w:rsidRDefault="00E100B6" w:rsidP="000A4018">
            <w:pPr>
              <w:pStyle w:val="Tabletext"/>
              <w:jc w:val="center"/>
              <w:rPr>
                <w:sz w:val="18"/>
                <w:szCs w:val="18"/>
              </w:rPr>
            </w:pPr>
            <w:r w:rsidRPr="007B16F5">
              <w:rPr>
                <w:sz w:val="18"/>
                <w:szCs w:val="18"/>
              </w:rPr>
              <w:t>6,2</w:t>
            </w:r>
          </w:p>
        </w:tc>
        <w:tc>
          <w:tcPr>
            <w:tcW w:w="984" w:type="dxa"/>
          </w:tcPr>
          <w:p w:rsidR="00E100B6" w:rsidRPr="007B16F5" w:rsidRDefault="00E100B6" w:rsidP="000A4018">
            <w:pPr>
              <w:pStyle w:val="Tabletext"/>
              <w:jc w:val="center"/>
              <w:rPr>
                <w:sz w:val="18"/>
                <w:szCs w:val="18"/>
              </w:rPr>
            </w:pPr>
            <w:r w:rsidRPr="007B16F5">
              <w:rPr>
                <w:sz w:val="18"/>
                <w:szCs w:val="18"/>
              </w:rPr>
              <w:t>15,0</w:t>
            </w:r>
          </w:p>
        </w:tc>
        <w:tc>
          <w:tcPr>
            <w:tcW w:w="998" w:type="dxa"/>
          </w:tcPr>
          <w:p w:rsidR="00E100B6" w:rsidRPr="007B16F5" w:rsidRDefault="00E100B6" w:rsidP="000A4018">
            <w:pPr>
              <w:pStyle w:val="Tabletext"/>
              <w:jc w:val="center"/>
              <w:rPr>
                <w:sz w:val="18"/>
                <w:szCs w:val="18"/>
              </w:rPr>
            </w:pPr>
            <w:r w:rsidRPr="007B16F5">
              <w:rPr>
                <w:sz w:val="18"/>
                <w:szCs w:val="18"/>
              </w:rPr>
              <w:t>–18</w:t>
            </w:r>
            <w:r>
              <w:rPr>
                <w:sz w:val="18"/>
                <w:szCs w:val="18"/>
              </w:rPr>
              <w:t>,</w:t>
            </w:r>
            <w:r w:rsidRPr="007B16F5">
              <w:rPr>
                <w:sz w:val="18"/>
                <w:szCs w:val="18"/>
              </w:rPr>
              <w:t>9</w:t>
            </w:r>
          </w:p>
        </w:tc>
        <w:tc>
          <w:tcPr>
            <w:tcW w:w="1105" w:type="dxa"/>
          </w:tcPr>
          <w:p w:rsidR="00E100B6" w:rsidRPr="007B16F5" w:rsidRDefault="00E100B6" w:rsidP="000A4018">
            <w:pPr>
              <w:pStyle w:val="Tabletext"/>
              <w:jc w:val="center"/>
              <w:rPr>
                <w:sz w:val="18"/>
                <w:szCs w:val="18"/>
              </w:rPr>
            </w:pPr>
            <w:r>
              <w:rPr>
                <w:sz w:val="18"/>
                <w:szCs w:val="18"/>
              </w:rPr>
              <w:t>1,</w:t>
            </w:r>
            <w:r w:rsidRPr="007B16F5">
              <w:rPr>
                <w:sz w:val="18"/>
                <w:szCs w:val="18"/>
              </w:rPr>
              <w:t>6</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Affaiblissement dû au partage de puissance (dB)</w:t>
            </w:r>
          </w:p>
        </w:tc>
        <w:tc>
          <w:tcPr>
            <w:tcW w:w="776" w:type="dxa"/>
          </w:tcPr>
          <w:p w:rsidR="00E100B6" w:rsidRPr="007B16F5" w:rsidRDefault="00E100B6" w:rsidP="000A4018">
            <w:pPr>
              <w:pStyle w:val="Tabletext"/>
              <w:jc w:val="center"/>
              <w:rPr>
                <w:sz w:val="18"/>
                <w:szCs w:val="18"/>
              </w:rPr>
            </w:pPr>
            <w:r w:rsidRPr="007B16F5">
              <w:rPr>
                <w:sz w:val="18"/>
                <w:szCs w:val="18"/>
              </w:rPr>
              <w:t>10</w:t>
            </w: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r w:rsidRPr="007B16F5">
              <w:rPr>
                <w:sz w:val="18"/>
                <w:szCs w:val="18"/>
              </w:rPr>
              <w:t>15,3</w:t>
            </w:r>
          </w:p>
        </w:tc>
        <w:tc>
          <w:tcPr>
            <w:tcW w:w="951" w:type="dxa"/>
          </w:tcPr>
          <w:p w:rsidR="00E100B6" w:rsidRPr="007B16F5" w:rsidRDefault="00E100B6" w:rsidP="000A4018">
            <w:pPr>
              <w:pStyle w:val="Tabletext"/>
              <w:jc w:val="center"/>
              <w:rPr>
                <w:sz w:val="18"/>
                <w:szCs w:val="18"/>
              </w:rPr>
            </w:pPr>
            <w:r w:rsidRPr="007B16F5">
              <w:rPr>
                <w:sz w:val="18"/>
                <w:szCs w:val="18"/>
              </w:rPr>
              <w:t>15,5</w:t>
            </w:r>
          </w:p>
        </w:tc>
        <w:tc>
          <w:tcPr>
            <w:tcW w:w="984" w:type="dxa"/>
          </w:tcPr>
          <w:p w:rsidR="00E100B6" w:rsidRPr="007B16F5" w:rsidRDefault="00E100B6" w:rsidP="000A4018">
            <w:pPr>
              <w:pStyle w:val="Tabletext"/>
              <w:jc w:val="center"/>
              <w:rPr>
                <w:sz w:val="18"/>
                <w:szCs w:val="18"/>
              </w:rPr>
            </w:pPr>
            <w:r w:rsidRPr="007B16F5">
              <w:rPr>
                <w:sz w:val="18"/>
                <w:szCs w:val="18"/>
              </w:rPr>
              <w:t>18</w:t>
            </w:r>
            <w:r>
              <w:rPr>
                <w:sz w:val="18"/>
                <w:szCs w:val="18"/>
              </w:rPr>
              <w:t>,</w:t>
            </w:r>
            <w:r w:rsidRPr="007B16F5">
              <w:rPr>
                <w:sz w:val="18"/>
                <w:szCs w:val="18"/>
              </w:rPr>
              <w:t>3</w:t>
            </w:r>
          </w:p>
        </w:tc>
        <w:tc>
          <w:tcPr>
            <w:tcW w:w="998" w:type="dxa"/>
          </w:tcPr>
          <w:p w:rsidR="00E100B6" w:rsidRPr="007B16F5" w:rsidRDefault="00E100B6" w:rsidP="000A4018">
            <w:pPr>
              <w:pStyle w:val="Tabletext"/>
              <w:jc w:val="center"/>
              <w:rPr>
                <w:sz w:val="18"/>
                <w:szCs w:val="18"/>
              </w:rPr>
            </w:pPr>
          </w:p>
        </w:tc>
        <w:tc>
          <w:tcPr>
            <w:tcW w:w="1105" w:type="dxa"/>
          </w:tcPr>
          <w:p w:rsidR="00E100B6" w:rsidRPr="007B16F5" w:rsidRDefault="00E100B6" w:rsidP="000A4018">
            <w:pPr>
              <w:pStyle w:val="Tabletext"/>
              <w:jc w:val="center"/>
              <w:rPr>
                <w:sz w:val="18"/>
                <w:szCs w:val="18"/>
              </w:rPr>
            </w:pPr>
            <w:r w:rsidRPr="007B16F5">
              <w:rPr>
                <w:sz w:val="18"/>
                <w:szCs w:val="18"/>
              </w:rPr>
              <w:t>/</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Perte de modulation (dB)</w:t>
            </w:r>
          </w:p>
        </w:tc>
        <w:tc>
          <w:tcPr>
            <w:tcW w:w="776" w:type="dxa"/>
          </w:tcPr>
          <w:p w:rsidR="00E100B6" w:rsidRPr="007B16F5" w:rsidRDefault="00E100B6" w:rsidP="000A4018">
            <w:pPr>
              <w:pStyle w:val="Tabletext"/>
              <w:jc w:val="center"/>
              <w:rPr>
                <w:sz w:val="18"/>
                <w:szCs w:val="18"/>
              </w:rPr>
            </w:pPr>
            <w:r w:rsidRPr="007B16F5">
              <w:rPr>
                <w:sz w:val="18"/>
                <w:szCs w:val="18"/>
              </w:rPr>
              <w:t>11</w:t>
            </w:r>
          </w:p>
        </w:tc>
        <w:tc>
          <w:tcPr>
            <w:tcW w:w="1975" w:type="dxa"/>
            <w:gridSpan w:val="2"/>
          </w:tcPr>
          <w:p w:rsidR="00E100B6" w:rsidRPr="007B16F5" w:rsidRDefault="00E100B6" w:rsidP="000A4018">
            <w:pPr>
              <w:pStyle w:val="Tabletext"/>
              <w:jc w:val="center"/>
              <w:rPr>
                <w:sz w:val="18"/>
                <w:szCs w:val="18"/>
              </w:rPr>
            </w:pPr>
            <w:r w:rsidRPr="007B16F5">
              <w:rPr>
                <w:sz w:val="18"/>
                <w:szCs w:val="18"/>
              </w:rPr>
              <w:t>14,1</w:t>
            </w:r>
          </w:p>
        </w:tc>
        <w:tc>
          <w:tcPr>
            <w:tcW w:w="951" w:type="dxa"/>
          </w:tcPr>
          <w:p w:rsidR="00E100B6" w:rsidRPr="007B16F5" w:rsidRDefault="00E100B6" w:rsidP="000A4018">
            <w:pPr>
              <w:pStyle w:val="Tabletext"/>
              <w:jc w:val="center"/>
              <w:rPr>
                <w:sz w:val="18"/>
                <w:szCs w:val="18"/>
              </w:rPr>
            </w:pPr>
            <w:r w:rsidRPr="007B16F5">
              <w:rPr>
                <w:sz w:val="18"/>
                <w:szCs w:val="18"/>
              </w:rPr>
              <w:t>6,0</w:t>
            </w:r>
          </w:p>
        </w:tc>
        <w:tc>
          <w:tcPr>
            <w:tcW w:w="984" w:type="dxa"/>
          </w:tcPr>
          <w:p w:rsidR="00E100B6" w:rsidRPr="007B16F5" w:rsidRDefault="00E100B6" w:rsidP="000A4018">
            <w:pPr>
              <w:pStyle w:val="Tabletext"/>
              <w:jc w:val="center"/>
              <w:rPr>
                <w:sz w:val="18"/>
                <w:szCs w:val="18"/>
              </w:rPr>
            </w:pPr>
            <w:r w:rsidRPr="007B16F5">
              <w:rPr>
                <w:sz w:val="18"/>
                <w:szCs w:val="18"/>
              </w:rPr>
              <w:t>3,54</w:t>
            </w:r>
          </w:p>
        </w:tc>
        <w:tc>
          <w:tcPr>
            <w:tcW w:w="998" w:type="dxa"/>
          </w:tcPr>
          <w:p w:rsidR="00E100B6" w:rsidRPr="007B16F5" w:rsidRDefault="00E100B6" w:rsidP="000A4018">
            <w:pPr>
              <w:pStyle w:val="Tabletext"/>
              <w:jc w:val="center"/>
              <w:rPr>
                <w:sz w:val="18"/>
                <w:szCs w:val="18"/>
              </w:rPr>
            </w:pPr>
          </w:p>
        </w:tc>
        <w:tc>
          <w:tcPr>
            <w:tcW w:w="1105" w:type="dxa"/>
          </w:tcPr>
          <w:p w:rsidR="00E100B6" w:rsidRPr="007B16F5" w:rsidRDefault="00E100B6" w:rsidP="000A4018">
            <w:pPr>
              <w:pStyle w:val="Tabletext"/>
              <w:jc w:val="center"/>
              <w:rPr>
                <w:sz w:val="18"/>
                <w:szCs w:val="18"/>
              </w:rPr>
            </w:pPr>
            <w:r w:rsidRPr="007B16F5">
              <w:rPr>
                <w:sz w:val="18"/>
                <w:szCs w:val="18"/>
              </w:rPr>
              <w:t>/</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Angle d</w:t>
            </w:r>
            <w:r>
              <w:rPr>
                <w:sz w:val="18"/>
                <w:szCs w:val="18"/>
              </w:rPr>
              <w:t>'</w:t>
            </w:r>
            <w:r w:rsidRPr="007B16F5">
              <w:rPr>
                <w:sz w:val="18"/>
                <w:szCs w:val="18"/>
              </w:rPr>
              <w:t>élévation (degrés)</w:t>
            </w:r>
          </w:p>
        </w:tc>
        <w:tc>
          <w:tcPr>
            <w:tcW w:w="776" w:type="dxa"/>
          </w:tcPr>
          <w:p w:rsidR="00E100B6" w:rsidRPr="007B16F5" w:rsidRDefault="00E100B6" w:rsidP="000A4018">
            <w:pPr>
              <w:pStyle w:val="Tabletext"/>
              <w:jc w:val="center"/>
              <w:rPr>
                <w:sz w:val="18"/>
                <w:szCs w:val="18"/>
              </w:rPr>
            </w:pPr>
            <w:r w:rsidRPr="007B16F5">
              <w:rPr>
                <w:sz w:val="18"/>
                <w:szCs w:val="18"/>
              </w:rPr>
              <w:t>12</w:t>
            </w:r>
          </w:p>
        </w:tc>
        <w:tc>
          <w:tcPr>
            <w:tcW w:w="6013" w:type="dxa"/>
            <w:gridSpan w:val="6"/>
          </w:tcPr>
          <w:p w:rsidR="00E100B6" w:rsidRPr="007B16F5" w:rsidRDefault="00E100B6" w:rsidP="000A4018">
            <w:pPr>
              <w:pStyle w:val="Tabletext"/>
              <w:jc w:val="center"/>
              <w:rPr>
                <w:sz w:val="18"/>
                <w:szCs w:val="18"/>
              </w:rPr>
            </w:pPr>
            <w:r w:rsidRPr="007B16F5">
              <w:rPr>
                <w:sz w:val="18"/>
                <w:szCs w:val="18"/>
              </w:rPr>
              <w:t>5,0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Pr>
                <w:sz w:val="18"/>
                <w:szCs w:val="18"/>
              </w:rPr>
              <w:t>Longueur</w:t>
            </w:r>
            <w:r w:rsidRPr="007B16F5">
              <w:rPr>
                <w:sz w:val="18"/>
                <w:szCs w:val="18"/>
              </w:rPr>
              <w:t xml:space="preserve"> du trajet (km)</w:t>
            </w:r>
          </w:p>
        </w:tc>
        <w:tc>
          <w:tcPr>
            <w:tcW w:w="776" w:type="dxa"/>
          </w:tcPr>
          <w:p w:rsidR="00E100B6" w:rsidRPr="007B16F5" w:rsidRDefault="00E100B6" w:rsidP="000A4018">
            <w:pPr>
              <w:pStyle w:val="Tabletext"/>
              <w:jc w:val="center"/>
              <w:rPr>
                <w:sz w:val="18"/>
                <w:szCs w:val="18"/>
              </w:rPr>
            </w:pPr>
          </w:p>
        </w:tc>
        <w:tc>
          <w:tcPr>
            <w:tcW w:w="1975" w:type="dxa"/>
            <w:gridSpan w:val="2"/>
          </w:tcPr>
          <w:p w:rsidR="00E100B6" w:rsidRPr="007B16F5" w:rsidRDefault="00E100B6" w:rsidP="000A4018">
            <w:pPr>
              <w:pStyle w:val="Tabletext"/>
              <w:jc w:val="center"/>
              <w:rPr>
                <w:sz w:val="18"/>
                <w:szCs w:val="18"/>
              </w:rPr>
            </w:pPr>
            <w:r w:rsidRPr="007B16F5">
              <w:rPr>
                <w:sz w:val="18"/>
                <w:szCs w:val="18"/>
              </w:rPr>
              <w:t>2 900,0</w:t>
            </w:r>
          </w:p>
        </w:tc>
        <w:tc>
          <w:tcPr>
            <w:tcW w:w="951" w:type="dxa"/>
          </w:tcPr>
          <w:p w:rsidR="00E100B6" w:rsidRPr="007B16F5" w:rsidRDefault="00E100B6" w:rsidP="000A4018">
            <w:pPr>
              <w:pStyle w:val="Tabletext"/>
              <w:jc w:val="center"/>
              <w:rPr>
                <w:sz w:val="18"/>
                <w:szCs w:val="18"/>
              </w:rPr>
            </w:pPr>
            <w:r w:rsidRPr="007B16F5">
              <w:rPr>
                <w:sz w:val="18"/>
                <w:szCs w:val="18"/>
              </w:rPr>
              <w:t>3 200,0</w:t>
            </w:r>
          </w:p>
        </w:tc>
        <w:tc>
          <w:tcPr>
            <w:tcW w:w="1982" w:type="dxa"/>
            <w:gridSpan w:val="2"/>
          </w:tcPr>
          <w:p w:rsidR="00E100B6" w:rsidRPr="007B16F5" w:rsidRDefault="00E100B6" w:rsidP="000A4018">
            <w:pPr>
              <w:pStyle w:val="Tabletext"/>
              <w:jc w:val="center"/>
              <w:rPr>
                <w:sz w:val="18"/>
                <w:szCs w:val="18"/>
              </w:rPr>
            </w:pPr>
            <w:r w:rsidRPr="007B16F5">
              <w:rPr>
                <w:sz w:val="18"/>
                <w:szCs w:val="18"/>
              </w:rPr>
              <w:t>41 126,3</w:t>
            </w:r>
          </w:p>
        </w:tc>
        <w:tc>
          <w:tcPr>
            <w:tcW w:w="1105" w:type="dxa"/>
          </w:tcPr>
          <w:p w:rsidR="00E100B6" w:rsidRPr="007B16F5" w:rsidRDefault="00E100B6" w:rsidP="000A4018">
            <w:pPr>
              <w:pStyle w:val="Tabletext"/>
              <w:jc w:val="center"/>
              <w:rPr>
                <w:sz w:val="18"/>
                <w:szCs w:val="18"/>
              </w:rPr>
            </w:pPr>
            <w:r w:rsidRPr="007B16F5">
              <w:rPr>
                <w:sz w:val="18"/>
                <w:szCs w:val="18"/>
              </w:rPr>
              <w:t>28 354</w:t>
            </w:r>
            <w:r>
              <w:rPr>
                <w:sz w:val="18"/>
                <w:szCs w:val="18"/>
              </w:rPr>
              <w:t>,</w:t>
            </w:r>
            <w:r w:rsidRPr="007B16F5">
              <w:rPr>
                <w:sz w:val="18"/>
                <w:szCs w:val="18"/>
              </w:rPr>
              <w:t>4</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Affaiblissement sur le trajet (dB)</w:t>
            </w:r>
          </w:p>
        </w:tc>
        <w:tc>
          <w:tcPr>
            <w:tcW w:w="776" w:type="dxa"/>
          </w:tcPr>
          <w:p w:rsidR="00E100B6" w:rsidRPr="007B16F5" w:rsidRDefault="00E100B6" w:rsidP="000A4018">
            <w:pPr>
              <w:pStyle w:val="Tabletext"/>
              <w:jc w:val="center"/>
              <w:rPr>
                <w:sz w:val="18"/>
                <w:szCs w:val="18"/>
              </w:rPr>
            </w:pPr>
          </w:p>
        </w:tc>
        <w:tc>
          <w:tcPr>
            <w:tcW w:w="1975" w:type="dxa"/>
            <w:gridSpan w:val="2"/>
          </w:tcPr>
          <w:p w:rsidR="00E100B6" w:rsidRPr="007B16F5" w:rsidRDefault="00E100B6" w:rsidP="000A4018">
            <w:pPr>
              <w:pStyle w:val="Tabletext"/>
              <w:jc w:val="center"/>
              <w:rPr>
                <w:sz w:val="18"/>
                <w:szCs w:val="18"/>
              </w:rPr>
            </w:pPr>
            <w:r w:rsidRPr="007B16F5">
              <w:rPr>
                <w:sz w:val="18"/>
                <w:szCs w:val="18"/>
              </w:rPr>
              <w:t>165,5</w:t>
            </w:r>
          </w:p>
        </w:tc>
        <w:tc>
          <w:tcPr>
            <w:tcW w:w="951" w:type="dxa"/>
          </w:tcPr>
          <w:p w:rsidR="00E100B6" w:rsidRPr="007B16F5" w:rsidRDefault="00E100B6" w:rsidP="000A4018">
            <w:pPr>
              <w:pStyle w:val="Tabletext"/>
              <w:jc w:val="center"/>
              <w:rPr>
                <w:sz w:val="18"/>
                <w:szCs w:val="18"/>
              </w:rPr>
            </w:pPr>
            <w:r w:rsidRPr="007B16F5">
              <w:rPr>
                <w:sz w:val="18"/>
                <w:szCs w:val="18"/>
              </w:rPr>
              <w:t>166,4</w:t>
            </w:r>
          </w:p>
        </w:tc>
        <w:tc>
          <w:tcPr>
            <w:tcW w:w="1982" w:type="dxa"/>
            <w:gridSpan w:val="2"/>
          </w:tcPr>
          <w:p w:rsidR="00E100B6" w:rsidRPr="007B16F5" w:rsidRDefault="00E100B6" w:rsidP="000A4018">
            <w:pPr>
              <w:pStyle w:val="Tabletext"/>
              <w:jc w:val="center"/>
              <w:rPr>
                <w:sz w:val="18"/>
                <w:szCs w:val="18"/>
              </w:rPr>
            </w:pPr>
            <w:r w:rsidRPr="007B16F5">
              <w:rPr>
                <w:sz w:val="18"/>
                <w:szCs w:val="18"/>
              </w:rPr>
              <w:t>188,46</w:t>
            </w:r>
          </w:p>
        </w:tc>
        <w:tc>
          <w:tcPr>
            <w:tcW w:w="1105" w:type="dxa"/>
          </w:tcPr>
          <w:p w:rsidR="00E100B6" w:rsidRPr="007B16F5" w:rsidRDefault="00E100B6" w:rsidP="000A4018">
            <w:pPr>
              <w:pStyle w:val="Tabletext"/>
              <w:jc w:val="center"/>
              <w:rPr>
                <w:sz w:val="18"/>
                <w:szCs w:val="18"/>
              </w:rPr>
            </w:pPr>
            <w:r w:rsidRPr="007B16F5">
              <w:rPr>
                <w:sz w:val="18"/>
                <w:szCs w:val="18"/>
              </w:rPr>
              <w:t>185</w:t>
            </w:r>
            <w:r>
              <w:rPr>
                <w:sz w:val="18"/>
                <w:szCs w:val="18"/>
              </w:rPr>
              <w:t>,</w:t>
            </w:r>
            <w:r w:rsidRPr="007B16F5">
              <w:rPr>
                <w:sz w:val="18"/>
                <w:szCs w:val="18"/>
              </w:rPr>
              <w:t>3</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i/>
                <w:iCs/>
                <w:sz w:val="18"/>
                <w:szCs w:val="18"/>
              </w:rPr>
              <w:t>G</w:t>
            </w:r>
            <w:r w:rsidRPr="007B16F5">
              <w:rPr>
                <w:sz w:val="18"/>
                <w:szCs w:val="18"/>
              </w:rPr>
              <w:t>/</w:t>
            </w:r>
            <w:r w:rsidRPr="007B16F5">
              <w:rPr>
                <w:i/>
                <w:iCs/>
                <w:sz w:val="18"/>
                <w:szCs w:val="18"/>
              </w:rPr>
              <w:t>T</w:t>
            </w:r>
            <w:r w:rsidRPr="007B16F5">
              <w:rPr>
                <w:sz w:val="18"/>
                <w:szCs w:val="18"/>
              </w:rPr>
              <w:t xml:space="preserve"> de l</w:t>
            </w:r>
            <w:r>
              <w:rPr>
                <w:sz w:val="18"/>
                <w:szCs w:val="18"/>
              </w:rPr>
              <w:t>'</w:t>
            </w:r>
            <w:r w:rsidRPr="007B16F5">
              <w:rPr>
                <w:sz w:val="18"/>
                <w:szCs w:val="18"/>
              </w:rPr>
              <w:t xml:space="preserve">antenne de réception du </w:t>
            </w:r>
            <w:r>
              <w:rPr>
                <w:sz w:val="18"/>
                <w:szCs w:val="18"/>
              </w:rPr>
              <w:t>terminal</w:t>
            </w:r>
            <w:r w:rsidRPr="007B16F5">
              <w:rPr>
                <w:sz w:val="18"/>
                <w:szCs w:val="18"/>
              </w:rPr>
              <w:t xml:space="preserve"> LUT (dB/K)</w:t>
            </w:r>
          </w:p>
        </w:tc>
        <w:tc>
          <w:tcPr>
            <w:tcW w:w="776" w:type="dxa"/>
          </w:tcPr>
          <w:p w:rsidR="00E100B6" w:rsidRPr="007B16F5" w:rsidRDefault="00E100B6" w:rsidP="000A4018">
            <w:pPr>
              <w:pStyle w:val="Tabletext"/>
              <w:jc w:val="center"/>
              <w:rPr>
                <w:sz w:val="18"/>
                <w:szCs w:val="18"/>
              </w:rPr>
            </w:pPr>
            <w:r w:rsidRPr="007B16F5">
              <w:rPr>
                <w:sz w:val="18"/>
                <w:szCs w:val="18"/>
              </w:rPr>
              <w:t>13</w:t>
            </w:r>
          </w:p>
        </w:tc>
        <w:tc>
          <w:tcPr>
            <w:tcW w:w="2926" w:type="dxa"/>
            <w:gridSpan w:val="3"/>
          </w:tcPr>
          <w:p w:rsidR="00E100B6" w:rsidRPr="007B16F5" w:rsidRDefault="00E100B6" w:rsidP="000A4018">
            <w:pPr>
              <w:pStyle w:val="Tabletext"/>
              <w:jc w:val="center"/>
              <w:rPr>
                <w:sz w:val="18"/>
                <w:szCs w:val="18"/>
              </w:rPr>
            </w:pPr>
            <w:r w:rsidRPr="007B16F5">
              <w:rPr>
                <w:sz w:val="18"/>
                <w:szCs w:val="18"/>
              </w:rPr>
              <w:t>4,3</w:t>
            </w:r>
          </w:p>
        </w:tc>
        <w:tc>
          <w:tcPr>
            <w:tcW w:w="984" w:type="dxa"/>
          </w:tcPr>
          <w:p w:rsidR="00E100B6" w:rsidRPr="007B16F5" w:rsidRDefault="00E100B6" w:rsidP="000A4018">
            <w:pPr>
              <w:pStyle w:val="Tabletext"/>
              <w:jc w:val="center"/>
              <w:rPr>
                <w:sz w:val="18"/>
                <w:szCs w:val="18"/>
              </w:rPr>
            </w:pPr>
            <w:r w:rsidRPr="007B16F5">
              <w:rPr>
                <w:sz w:val="18"/>
                <w:szCs w:val="18"/>
              </w:rPr>
              <w:t>11,0</w:t>
            </w:r>
          </w:p>
        </w:tc>
        <w:tc>
          <w:tcPr>
            <w:tcW w:w="998" w:type="dxa"/>
          </w:tcPr>
          <w:p w:rsidR="00E100B6" w:rsidRPr="007B16F5" w:rsidRDefault="00E100B6" w:rsidP="000A4018">
            <w:pPr>
              <w:pStyle w:val="Tabletext"/>
              <w:jc w:val="center"/>
              <w:rPr>
                <w:sz w:val="18"/>
                <w:szCs w:val="18"/>
              </w:rPr>
            </w:pPr>
            <w:r w:rsidRPr="007B16F5">
              <w:rPr>
                <w:sz w:val="18"/>
                <w:szCs w:val="18"/>
              </w:rPr>
              <w:t>15,5</w:t>
            </w:r>
          </w:p>
        </w:tc>
        <w:tc>
          <w:tcPr>
            <w:tcW w:w="1105" w:type="dxa"/>
          </w:tcPr>
          <w:p w:rsidR="00E100B6" w:rsidRPr="007B16F5" w:rsidRDefault="00E100B6" w:rsidP="000A4018">
            <w:pPr>
              <w:pStyle w:val="Tabletext"/>
              <w:jc w:val="center"/>
              <w:rPr>
                <w:sz w:val="18"/>
                <w:szCs w:val="18"/>
              </w:rPr>
            </w:pPr>
            <w:r w:rsidRPr="007B16F5">
              <w:rPr>
                <w:sz w:val="18"/>
                <w:szCs w:val="18"/>
              </w:rPr>
              <w:t>3</w:t>
            </w:r>
            <w:r>
              <w:rPr>
                <w:sz w:val="18"/>
                <w:szCs w:val="18"/>
              </w:rPr>
              <w:t>,</w:t>
            </w:r>
            <w:r w:rsidRPr="007B16F5">
              <w:rPr>
                <w:sz w:val="18"/>
                <w:szCs w:val="18"/>
              </w:rPr>
              <w:t>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Affaiblissement de polarisation (dB)</w:t>
            </w:r>
          </w:p>
        </w:tc>
        <w:tc>
          <w:tcPr>
            <w:tcW w:w="776" w:type="dxa"/>
          </w:tcPr>
          <w:p w:rsidR="00E100B6" w:rsidRPr="007B16F5" w:rsidRDefault="00E100B6" w:rsidP="000A4018">
            <w:pPr>
              <w:pStyle w:val="Tabletext"/>
              <w:jc w:val="center"/>
              <w:rPr>
                <w:sz w:val="18"/>
                <w:szCs w:val="18"/>
              </w:rPr>
            </w:pPr>
            <w:r w:rsidRPr="007B16F5">
              <w:rPr>
                <w:sz w:val="18"/>
                <w:szCs w:val="18"/>
              </w:rPr>
              <w:t>14</w:t>
            </w: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p>
        </w:tc>
        <w:tc>
          <w:tcPr>
            <w:tcW w:w="951" w:type="dxa"/>
          </w:tcPr>
          <w:p w:rsidR="00E100B6" w:rsidRPr="007B16F5" w:rsidRDefault="00E100B6" w:rsidP="000A4018">
            <w:pPr>
              <w:pStyle w:val="Tabletext"/>
              <w:jc w:val="center"/>
              <w:rPr>
                <w:sz w:val="18"/>
                <w:szCs w:val="18"/>
              </w:rPr>
            </w:pPr>
          </w:p>
        </w:tc>
        <w:tc>
          <w:tcPr>
            <w:tcW w:w="984" w:type="dxa"/>
          </w:tcPr>
          <w:p w:rsidR="00E100B6" w:rsidRPr="007B16F5" w:rsidRDefault="00E100B6" w:rsidP="000A4018">
            <w:pPr>
              <w:pStyle w:val="Tabletext"/>
              <w:jc w:val="center"/>
              <w:rPr>
                <w:sz w:val="18"/>
                <w:szCs w:val="18"/>
              </w:rPr>
            </w:pPr>
            <w:r w:rsidRPr="007B16F5">
              <w:rPr>
                <w:sz w:val="18"/>
                <w:szCs w:val="18"/>
              </w:rPr>
              <w:t>0</w:t>
            </w:r>
            <w:r>
              <w:rPr>
                <w:sz w:val="18"/>
                <w:szCs w:val="18"/>
              </w:rPr>
              <w:t>,</w:t>
            </w:r>
            <w:r w:rsidRPr="007B16F5">
              <w:rPr>
                <w:sz w:val="18"/>
                <w:szCs w:val="18"/>
              </w:rPr>
              <w:t>35</w:t>
            </w:r>
          </w:p>
        </w:tc>
        <w:tc>
          <w:tcPr>
            <w:tcW w:w="998" w:type="dxa"/>
          </w:tcPr>
          <w:p w:rsidR="00E100B6" w:rsidRPr="007B16F5" w:rsidRDefault="00E100B6" w:rsidP="000A4018">
            <w:pPr>
              <w:pStyle w:val="Tabletext"/>
              <w:jc w:val="center"/>
              <w:rPr>
                <w:sz w:val="18"/>
                <w:szCs w:val="18"/>
              </w:rPr>
            </w:pPr>
            <w:r w:rsidRPr="007B16F5">
              <w:rPr>
                <w:sz w:val="18"/>
                <w:szCs w:val="18"/>
              </w:rPr>
              <w:t>0</w:t>
            </w:r>
            <w:r>
              <w:rPr>
                <w:sz w:val="18"/>
                <w:szCs w:val="18"/>
              </w:rPr>
              <w:t>,</w:t>
            </w:r>
            <w:r w:rsidRPr="007B16F5">
              <w:rPr>
                <w:sz w:val="18"/>
                <w:szCs w:val="18"/>
              </w:rPr>
              <w:t>2</w:t>
            </w:r>
          </w:p>
        </w:tc>
        <w:tc>
          <w:tcPr>
            <w:tcW w:w="1105" w:type="dxa"/>
          </w:tcPr>
          <w:p w:rsidR="00E100B6" w:rsidRPr="007B16F5" w:rsidRDefault="00E100B6" w:rsidP="000A4018">
            <w:pPr>
              <w:pStyle w:val="Tabletext"/>
              <w:jc w:val="center"/>
              <w:rPr>
                <w:sz w:val="18"/>
                <w:szCs w:val="18"/>
              </w:rPr>
            </w:pPr>
            <w:r>
              <w:rPr>
                <w:sz w:val="18"/>
                <w:szCs w:val="18"/>
              </w:rPr>
              <w:t>0,</w:t>
            </w:r>
            <w:r w:rsidRPr="007B16F5">
              <w:rPr>
                <w:sz w:val="18"/>
                <w:szCs w:val="18"/>
              </w:rPr>
              <w:t>2</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Autres affaiblissements (dB)</w:t>
            </w:r>
          </w:p>
        </w:tc>
        <w:tc>
          <w:tcPr>
            <w:tcW w:w="776" w:type="dxa"/>
          </w:tcPr>
          <w:p w:rsidR="00E100B6" w:rsidRPr="007B16F5" w:rsidRDefault="00E100B6" w:rsidP="000A4018">
            <w:pPr>
              <w:pStyle w:val="Tabletext"/>
              <w:jc w:val="center"/>
              <w:rPr>
                <w:sz w:val="18"/>
                <w:szCs w:val="18"/>
              </w:rPr>
            </w:pPr>
          </w:p>
        </w:tc>
        <w:tc>
          <w:tcPr>
            <w:tcW w:w="2926" w:type="dxa"/>
            <w:gridSpan w:val="3"/>
          </w:tcPr>
          <w:p w:rsidR="00E100B6" w:rsidRPr="007B16F5" w:rsidRDefault="00E100B6" w:rsidP="000A4018">
            <w:pPr>
              <w:pStyle w:val="Tabletext"/>
              <w:jc w:val="center"/>
              <w:rPr>
                <w:sz w:val="18"/>
                <w:szCs w:val="18"/>
              </w:rPr>
            </w:pPr>
            <w:r w:rsidRPr="007B16F5">
              <w:rPr>
                <w:sz w:val="18"/>
                <w:szCs w:val="18"/>
              </w:rPr>
              <w:t>2,6</w:t>
            </w:r>
          </w:p>
        </w:tc>
        <w:tc>
          <w:tcPr>
            <w:tcW w:w="984" w:type="dxa"/>
          </w:tcPr>
          <w:p w:rsidR="00E100B6" w:rsidRPr="007B16F5" w:rsidRDefault="00E100B6" w:rsidP="000A4018">
            <w:pPr>
              <w:pStyle w:val="Tabletext"/>
              <w:jc w:val="center"/>
              <w:rPr>
                <w:sz w:val="18"/>
                <w:szCs w:val="18"/>
              </w:rPr>
            </w:pPr>
          </w:p>
        </w:tc>
        <w:tc>
          <w:tcPr>
            <w:tcW w:w="998" w:type="dxa"/>
          </w:tcPr>
          <w:p w:rsidR="00E100B6" w:rsidRPr="007B16F5" w:rsidRDefault="00E100B6" w:rsidP="000A4018">
            <w:pPr>
              <w:pStyle w:val="Tabletext"/>
              <w:jc w:val="center"/>
              <w:rPr>
                <w:sz w:val="18"/>
                <w:szCs w:val="18"/>
              </w:rPr>
            </w:pPr>
          </w:p>
        </w:tc>
        <w:tc>
          <w:tcPr>
            <w:tcW w:w="1105" w:type="dxa"/>
          </w:tcPr>
          <w:p w:rsidR="00E100B6" w:rsidRPr="007B16F5" w:rsidRDefault="00E100B6" w:rsidP="000A4018">
            <w:pPr>
              <w:pStyle w:val="Tabletext"/>
              <w:jc w:val="center"/>
              <w:rPr>
                <w:sz w:val="18"/>
                <w:szCs w:val="18"/>
              </w:rPr>
            </w:pPr>
            <w:r w:rsidRPr="007B16F5">
              <w:rPr>
                <w:sz w:val="18"/>
                <w:szCs w:val="18"/>
              </w:rPr>
              <w:t>1</w:t>
            </w:r>
            <w:r>
              <w:rPr>
                <w:sz w:val="18"/>
                <w:szCs w:val="18"/>
              </w:rPr>
              <w:t>,</w:t>
            </w:r>
            <w:r w:rsidRPr="007B16F5">
              <w:rPr>
                <w:sz w:val="18"/>
                <w:szCs w:val="18"/>
              </w:rPr>
              <w:t>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Perte de pointage (dB)</w:t>
            </w:r>
          </w:p>
        </w:tc>
        <w:tc>
          <w:tcPr>
            <w:tcW w:w="776" w:type="dxa"/>
          </w:tcPr>
          <w:p w:rsidR="00E100B6" w:rsidRPr="007B16F5" w:rsidRDefault="00E100B6" w:rsidP="000A4018">
            <w:pPr>
              <w:pStyle w:val="Tabletext"/>
              <w:jc w:val="center"/>
              <w:rPr>
                <w:sz w:val="18"/>
                <w:szCs w:val="18"/>
              </w:rPr>
            </w:pPr>
            <w:r w:rsidRPr="007B16F5">
              <w:rPr>
                <w:sz w:val="18"/>
                <w:szCs w:val="18"/>
              </w:rPr>
              <w:t>15</w:t>
            </w: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p>
        </w:tc>
        <w:tc>
          <w:tcPr>
            <w:tcW w:w="951" w:type="dxa"/>
          </w:tcPr>
          <w:p w:rsidR="00E100B6" w:rsidRPr="007B16F5" w:rsidRDefault="00E100B6" w:rsidP="000A4018">
            <w:pPr>
              <w:pStyle w:val="Tabletext"/>
              <w:jc w:val="center"/>
              <w:rPr>
                <w:sz w:val="18"/>
                <w:szCs w:val="18"/>
              </w:rPr>
            </w:pPr>
          </w:p>
        </w:tc>
        <w:tc>
          <w:tcPr>
            <w:tcW w:w="984" w:type="dxa"/>
          </w:tcPr>
          <w:p w:rsidR="00E100B6" w:rsidRPr="007B16F5" w:rsidRDefault="00E100B6" w:rsidP="000A4018">
            <w:pPr>
              <w:pStyle w:val="Tabletext"/>
              <w:jc w:val="center"/>
              <w:rPr>
                <w:sz w:val="18"/>
                <w:szCs w:val="18"/>
              </w:rPr>
            </w:pPr>
            <w:r w:rsidRPr="007B16F5">
              <w:rPr>
                <w:sz w:val="18"/>
                <w:szCs w:val="18"/>
              </w:rPr>
              <w:t>0</w:t>
            </w:r>
            <w:r>
              <w:rPr>
                <w:sz w:val="18"/>
                <w:szCs w:val="18"/>
              </w:rPr>
              <w:t>,</w:t>
            </w:r>
            <w:r w:rsidRPr="007B16F5">
              <w:rPr>
                <w:sz w:val="18"/>
                <w:szCs w:val="18"/>
              </w:rPr>
              <w:t>20</w:t>
            </w:r>
          </w:p>
        </w:tc>
        <w:tc>
          <w:tcPr>
            <w:tcW w:w="998" w:type="dxa"/>
          </w:tcPr>
          <w:p w:rsidR="00E100B6" w:rsidRPr="007B16F5" w:rsidRDefault="00E100B6" w:rsidP="000A4018">
            <w:pPr>
              <w:pStyle w:val="Tabletext"/>
              <w:jc w:val="center"/>
              <w:rPr>
                <w:sz w:val="18"/>
                <w:szCs w:val="18"/>
              </w:rPr>
            </w:pPr>
            <w:r w:rsidRPr="007B16F5">
              <w:rPr>
                <w:sz w:val="18"/>
                <w:szCs w:val="18"/>
              </w:rPr>
              <w:t>1</w:t>
            </w:r>
            <w:r>
              <w:rPr>
                <w:sz w:val="18"/>
                <w:szCs w:val="18"/>
              </w:rPr>
              <w:t>,</w:t>
            </w:r>
            <w:r w:rsidRPr="007B16F5">
              <w:rPr>
                <w:sz w:val="18"/>
                <w:szCs w:val="18"/>
              </w:rPr>
              <w:t>0</w:t>
            </w:r>
          </w:p>
        </w:tc>
        <w:tc>
          <w:tcPr>
            <w:tcW w:w="1105" w:type="dxa"/>
          </w:tcPr>
          <w:p w:rsidR="00E100B6" w:rsidRPr="007B16F5" w:rsidRDefault="00E100B6" w:rsidP="000A4018">
            <w:pPr>
              <w:pStyle w:val="Tabletext"/>
              <w:jc w:val="center"/>
              <w:rPr>
                <w:sz w:val="18"/>
                <w:szCs w:val="18"/>
              </w:rPr>
            </w:pPr>
            <w:r w:rsidRPr="007B16F5">
              <w:rPr>
                <w:sz w:val="18"/>
                <w:szCs w:val="18"/>
              </w:rPr>
              <w:t>0</w:t>
            </w:r>
            <w:r>
              <w:rPr>
                <w:sz w:val="18"/>
                <w:szCs w:val="18"/>
              </w:rPr>
              <w:t>,</w:t>
            </w:r>
            <w:r w:rsidRPr="007B16F5">
              <w:rPr>
                <w:sz w:val="18"/>
                <w:szCs w:val="18"/>
              </w:rPr>
              <w:t>1</w:t>
            </w:r>
          </w:p>
        </w:tc>
      </w:tr>
    </w:tbl>
    <w:p w:rsidR="000A4018" w:rsidRPr="000A4018" w:rsidRDefault="000A4018" w:rsidP="000A4018">
      <w:pPr>
        <w:pStyle w:val="TableNo"/>
      </w:pPr>
      <w:r w:rsidRPr="007B16F5">
        <w:lastRenderedPageBreak/>
        <w:t>TABLEAU 2</w:t>
      </w:r>
      <w:r>
        <w:t xml:space="preserve"> (</w:t>
      </w:r>
      <w:r>
        <w:rPr>
          <w:i/>
          <w:iCs/>
        </w:rPr>
        <w:t>fin</w:t>
      </w:r>
      <w:r>
        <w:t>)</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5"/>
        <w:gridCol w:w="776"/>
        <w:gridCol w:w="967"/>
        <w:gridCol w:w="1008"/>
        <w:gridCol w:w="951"/>
        <w:gridCol w:w="984"/>
        <w:gridCol w:w="998"/>
        <w:gridCol w:w="1105"/>
      </w:tblGrid>
      <w:tr w:rsidR="000A4018" w:rsidRPr="007B16F5" w:rsidTr="000A4018">
        <w:trPr>
          <w:cantSplit/>
          <w:jc w:val="center"/>
        </w:trPr>
        <w:tc>
          <w:tcPr>
            <w:tcW w:w="2805" w:type="dxa"/>
            <w:vMerge w:val="restart"/>
            <w:tcBorders>
              <w:top w:val="nil"/>
              <w:left w:val="nil"/>
              <w:right w:val="nil"/>
            </w:tcBorders>
          </w:tcPr>
          <w:p w:rsidR="000A4018" w:rsidRPr="007B16F5" w:rsidRDefault="000A4018" w:rsidP="000A4018">
            <w:pPr>
              <w:pStyle w:val="Tablehead"/>
              <w:rPr>
                <w:sz w:val="18"/>
                <w:szCs w:val="18"/>
              </w:rPr>
            </w:pPr>
          </w:p>
        </w:tc>
        <w:tc>
          <w:tcPr>
            <w:tcW w:w="776" w:type="dxa"/>
            <w:vMerge w:val="restart"/>
            <w:tcBorders>
              <w:top w:val="nil"/>
              <w:left w:val="nil"/>
            </w:tcBorders>
          </w:tcPr>
          <w:p w:rsidR="000A4018" w:rsidRPr="007B16F5" w:rsidRDefault="000A4018" w:rsidP="000A4018">
            <w:pPr>
              <w:pStyle w:val="Tablehead"/>
              <w:rPr>
                <w:sz w:val="18"/>
                <w:szCs w:val="18"/>
              </w:rPr>
            </w:pPr>
          </w:p>
        </w:tc>
        <w:tc>
          <w:tcPr>
            <w:tcW w:w="2926" w:type="dxa"/>
            <w:gridSpan w:val="3"/>
          </w:tcPr>
          <w:p w:rsidR="000A4018" w:rsidRPr="007B16F5" w:rsidRDefault="000A4018" w:rsidP="000A4018">
            <w:pPr>
              <w:pStyle w:val="Tablehead"/>
              <w:rPr>
                <w:sz w:val="18"/>
                <w:szCs w:val="18"/>
              </w:rPr>
            </w:pPr>
            <w:r w:rsidRPr="007B16F5">
              <w:rPr>
                <w:sz w:val="18"/>
                <w:szCs w:val="18"/>
              </w:rPr>
              <w:t>LEOSAR</w:t>
            </w:r>
          </w:p>
        </w:tc>
        <w:tc>
          <w:tcPr>
            <w:tcW w:w="1982" w:type="dxa"/>
            <w:gridSpan w:val="2"/>
          </w:tcPr>
          <w:p w:rsidR="000A4018" w:rsidRPr="007B16F5" w:rsidRDefault="000A4018" w:rsidP="000A4018">
            <w:pPr>
              <w:pStyle w:val="Tablehead"/>
              <w:rPr>
                <w:sz w:val="18"/>
                <w:szCs w:val="18"/>
              </w:rPr>
            </w:pPr>
            <w:r w:rsidRPr="007B16F5">
              <w:rPr>
                <w:sz w:val="18"/>
                <w:szCs w:val="18"/>
              </w:rPr>
              <w:t>GEOSAR</w:t>
            </w:r>
          </w:p>
        </w:tc>
        <w:tc>
          <w:tcPr>
            <w:tcW w:w="1105" w:type="dxa"/>
          </w:tcPr>
          <w:p w:rsidR="000A4018" w:rsidRPr="007B16F5" w:rsidRDefault="000A4018" w:rsidP="000A4018">
            <w:pPr>
              <w:pStyle w:val="Tablehead"/>
              <w:rPr>
                <w:sz w:val="18"/>
                <w:szCs w:val="18"/>
              </w:rPr>
            </w:pPr>
            <w:r w:rsidRPr="007B16F5">
              <w:rPr>
                <w:sz w:val="18"/>
                <w:szCs w:val="18"/>
              </w:rPr>
              <w:t>MEOSAR</w:t>
            </w:r>
          </w:p>
        </w:tc>
      </w:tr>
      <w:tr w:rsidR="000A4018" w:rsidRPr="007B16F5" w:rsidTr="000A4018">
        <w:trPr>
          <w:cantSplit/>
          <w:jc w:val="center"/>
        </w:trPr>
        <w:tc>
          <w:tcPr>
            <w:tcW w:w="2805" w:type="dxa"/>
            <w:vMerge/>
            <w:tcBorders>
              <w:left w:val="nil"/>
              <w:right w:val="nil"/>
            </w:tcBorders>
          </w:tcPr>
          <w:p w:rsidR="000A4018" w:rsidRPr="007B16F5" w:rsidRDefault="000A4018" w:rsidP="000A4018">
            <w:pPr>
              <w:pStyle w:val="Tablehead"/>
              <w:rPr>
                <w:sz w:val="18"/>
                <w:szCs w:val="18"/>
              </w:rPr>
            </w:pPr>
          </w:p>
        </w:tc>
        <w:tc>
          <w:tcPr>
            <w:tcW w:w="776" w:type="dxa"/>
            <w:vMerge/>
            <w:tcBorders>
              <w:left w:val="nil"/>
            </w:tcBorders>
          </w:tcPr>
          <w:p w:rsidR="000A4018" w:rsidRPr="007B16F5" w:rsidRDefault="000A4018" w:rsidP="000A4018">
            <w:pPr>
              <w:pStyle w:val="Tablehead"/>
              <w:rPr>
                <w:sz w:val="18"/>
                <w:szCs w:val="18"/>
              </w:rPr>
            </w:pPr>
          </w:p>
        </w:tc>
        <w:tc>
          <w:tcPr>
            <w:tcW w:w="967" w:type="dxa"/>
          </w:tcPr>
          <w:p w:rsidR="000A4018" w:rsidRPr="007B16F5" w:rsidRDefault="000A4018" w:rsidP="000A4018">
            <w:pPr>
              <w:pStyle w:val="Tablehead"/>
              <w:rPr>
                <w:sz w:val="18"/>
                <w:szCs w:val="18"/>
              </w:rPr>
            </w:pPr>
            <w:r w:rsidRPr="007B16F5">
              <w:rPr>
                <w:sz w:val="18"/>
                <w:szCs w:val="18"/>
              </w:rPr>
              <w:t xml:space="preserve">PDS des satellites Sarsat </w:t>
            </w:r>
          </w:p>
        </w:tc>
        <w:tc>
          <w:tcPr>
            <w:tcW w:w="1008" w:type="dxa"/>
          </w:tcPr>
          <w:p w:rsidR="000A4018" w:rsidRPr="007B16F5" w:rsidRDefault="000A4018" w:rsidP="000A4018">
            <w:pPr>
              <w:pStyle w:val="Tablehead"/>
              <w:rPr>
                <w:sz w:val="18"/>
                <w:szCs w:val="18"/>
              </w:rPr>
            </w:pPr>
            <w:r w:rsidRPr="007B16F5">
              <w:rPr>
                <w:sz w:val="18"/>
                <w:szCs w:val="18"/>
              </w:rPr>
              <w:t>SARR des satellites Sarsat</w:t>
            </w:r>
          </w:p>
        </w:tc>
        <w:tc>
          <w:tcPr>
            <w:tcW w:w="951" w:type="dxa"/>
          </w:tcPr>
          <w:p w:rsidR="000A4018" w:rsidRPr="007B16F5" w:rsidRDefault="000A4018" w:rsidP="000A4018">
            <w:pPr>
              <w:pStyle w:val="Tablehead"/>
              <w:rPr>
                <w:sz w:val="18"/>
                <w:szCs w:val="18"/>
              </w:rPr>
            </w:pPr>
            <w:r w:rsidRPr="007B16F5">
              <w:rPr>
                <w:sz w:val="18"/>
                <w:szCs w:val="18"/>
              </w:rPr>
              <w:t>SARR des satellites Cospas</w:t>
            </w:r>
          </w:p>
        </w:tc>
        <w:tc>
          <w:tcPr>
            <w:tcW w:w="984" w:type="dxa"/>
          </w:tcPr>
          <w:p w:rsidR="000A4018" w:rsidRPr="007B16F5" w:rsidRDefault="000A4018" w:rsidP="000A4018">
            <w:pPr>
              <w:pStyle w:val="Tablehead"/>
              <w:rPr>
                <w:sz w:val="18"/>
                <w:szCs w:val="18"/>
              </w:rPr>
            </w:pPr>
            <w:r w:rsidRPr="007B16F5">
              <w:rPr>
                <w:sz w:val="18"/>
                <w:szCs w:val="18"/>
              </w:rPr>
              <w:t>SARR des satellites GOES</w:t>
            </w:r>
          </w:p>
        </w:tc>
        <w:tc>
          <w:tcPr>
            <w:tcW w:w="998" w:type="dxa"/>
          </w:tcPr>
          <w:p w:rsidR="000A4018" w:rsidRPr="007B16F5" w:rsidRDefault="000A4018" w:rsidP="000A4018">
            <w:pPr>
              <w:pStyle w:val="Tablehead"/>
              <w:rPr>
                <w:sz w:val="18"/>
                <w:szCs w:val="18"/>
              </w:rPr>
            </w:pPr>
            <w:r w:rsidRPr="007B16F5">
              <w:rPr>
                <w:sz w:val="18"/>
                <w:szCs w:val="18"/>
              </w:rPr>
              <w:t>SARR des satellites MSG</w:t>
            </w:r>
          </w:p>
        </w:tc>
        <w:tc>
          <w:tcPr>
            <w:tcW w:w="1105" w:type="dxa"/>
          </w:tcPr>
          <w:p w:rsidR="000A4018" w:rsidRPr="007B16F5" w:rsidRDefault="000A4018" w:rsidP="000A4018">
            <w:pPr>
              <w:pStyle w:val="Tablehead"/>
              <w:rPr>
                <w:sz w:val="18"/>
                <w:szCs w:val="18"/>
              </w:rPr>
            </w:pPr>
            <w:r w:rsidRPr="007B16F5">
              <w:rPr>
                <w:sz w:val="18"/>
                <w:szCs w:val="18"/>
              </w:rPr>
              <w:t>SARR des satellites GALILEO</w:t>
            </w:r>
          </w:p>
        </w:tc>
      </w:tr>
      <w:tr w:rsidR="000A4018" w:rsidRPr="007B16F5" w:rsidTr="000A4018">
        <w:trPr>
          <w:cantSplit/>
          <w:jc w:val="center"/>
        </w:trPr>
        <w:tc>
          <w:tcPr>
            <w:tcW w:w="2805" w:type="dxa"/>
          </w:tcPr>
          <w:p w:rsidR="000A4018" w:rsidRPr="007B16F5" w:rsidRDefault="000A4018" w:rsidP="000A4018">
            <w:pPr>
              <w:pStyle w:val="Tablehead"/>
              <w:rPr>
                <w:sz w:val="18"/>
                <w:szCs w:val="18"/>
              </w:rPr>
            </w:pPr>
            <w:r w:rsidRPr="007B16F5">
              <w:rPr>
                <w:sz w:val="18"/>
                <w:szCs w:val="18"/>
              </w:rPr>
              <w:t>Paramètre, unité</w:t>
            </w:r>
          </w:p>
        </w:tc>
        <w:tc>
          <w:tcPr>
            <w:tcW w:w="776" w:type="dxa"/>
            <w:tcBorders>
              <w:bottom w:val="single" w:sz="4" w:space="0" w:color="auto"/>
            </w:tcBorders>
          </w:tcPr>
          <w:p w:rsidR="000A4018" w:rsidRPr="007B16F5" w:rsidRDefault="000A4018" w:rsidP="000A4018">
            <w:pPr>
              <w:pStyle w:val="Tablehead"/>
              <w:rPr>
                <w:sz w:val="18"/>
                <w:szCs w:val="18"/>
              </w:rPr>
            </w:pPr>
            <w:r w:rsidRPr="007B16F5">
              <w:rPr>
                <w:sz w:val="18"/>
                <w:szCs w:val="18"/>
              </w:rPr>
              <w:t>Voir note</w:t>
            </w:r>
          </w:p>
        </w:tc>
        <w:tc>
          <w:tcPr>
            <w:tcW w:w="967" w:type="dxa"/>
            <w:tcBorders>
              <w:bottom w:val="single" w:sz="4" w:space="0" w:color="auto"/>
            </w:tcBorders>
          </w:tcPr>
          <w:p w:rsidR="000A4018" w:rsidRPr="007B16F5" w:rsidRDefault="000A4018" w:rsidP="000A4018">
            <w:pPr>
              <w:pStyle w:val="Tablehead"/>
              <w:rPr>
                <w:sz w:val="18"/>
                <w:szCs w:val="18"/>
              </w:rPr>
            </w:pPr>
            <w:r w:rsidRPr="007B16F5">
              <w:rPr>
                <w:sz w:val="18"/>
                <w:szCs w:val="18"/>
              </w:rPr>
              <w:t>Niveau bas</w:t>
            </w:r>
          </w:p>
        </w:tc>
        <w:tc>
          <w:tcPr>
            <w:tcW w:w="1008" w:type="dxa"/>
            <w:tcBorders>
              <w:bottom w:val="single" w:sz="4" w:space="0" w:color="auto"/>
            </w:tcBorders>
          </w:tcPr>
          <w:p w:rsidR="000A4018" w:rsidRPr="007B16F5" w:rsidRDefault="000A4018" w:rsidP="000A4018">
            <w:pPr>
              <w:pStyle w:val="Tablehead"/>
              <w:rPr>
                <w:sz w:val="18"/>
                <w:szCs w:val="18"/>
              </w:rPr>
            </w:pPr>
            <w:r w:rsidRPr="007B16F5">
              <w:rPr>
                <w:sz w:val="18"/>
                <w:szCs w:val="18"/>
              </w:rPr>
              <w:t>Niveau bas</w:t>
            </w:r>
          </w:p>
        </w:tc>
        <w:tc>
          <w:tcPr>
            <w:tcW w:w="951" w:type="dxa"/>
            <w:tcBorders>
              <w:bottom w:val="single" w:sz="4" w:space="0" w:color="auto"/>
            </w:tcBorders>
          </w:tcPr>
          <w:p w:rsidR="000A4018" w:rsidRPr="007B16F5" w:rsidRDefault="000A4018" w:rsidP="000A4018">
            <w:pPr>
              <w:pStyle w:val="Tablehead"/>
              <w:rPr>
                <w:sz w:val="18"/>
                <w:szCs w:val="18"/>
              </w:rPr>
            </w:pPr>
            <w:r w:rsidRPr="007B16F5">
              <w:rPr>
                <w:sz w:val="18"/>
                <w:szCs w:val="18"/>
              </w:rPr>
              <w:t>Niveau bas</w:t>
            </w:r>
          </w:p>
        </w:tc>
        <w:tc>
          <w:tcPr>
            <w:tcW w:w="984" w:type="dxa"/>
            <w:tcBorders>
              <w:bottom w:val="single" w:sz="4" w:space="0" w:color="auto"/>
            </w:tcBorders>
          </w:tcPr>
          <w:p w:rsidR="000A4018" w:rsidRPr="007B16F5" w:rsidRDefault="000A4018" w:rsidP="000A4018">
            <w:pPr>
              <w:pStyle w:val="Tablehead"/>
              <w:rPr>
                <w:sz w:val="18"/>
                <w:szCs w:val="18"/>
              </w:rPr>
            </w:pPr>
            <w:r w:rsidRPr="007B16F5">
              <w:rPr>
                <w:sz w:val="18"/>
                <w:szCs w:val="18"/>
              </w:rPr>
              <w:t>Niveau bas</w:t>
            </w:r>
          </w:p>
        </w:tc>
        <w:tc>
          <w:tcPr>
            <w:tcW w:w="998" w:type="dxa"/>
            <w:tcBorders>
              <w:bottom w:val="single" w:sz="4" w:space="0" w:color="auto"/>
            </w:tcBorders>
          </w:tcPr>
          <w:p w:rsidR="000A4018" w:rsidRPr="007B16F5" w:rsidRDefault="000A4018" w:rsidP="000A4018">
            <w:pPr>
              <w:pStyle w:val="Tablehead"/>
              <w:rPr>
                <w:sz w:val="18"/>
                <w:szCs w:val="18"/>
              </w:rPr>
            </w:pPr>
            <w:r w:rsidRPr="007B16F5">
              <w:rPr>
                <w:sz w:val="18"/>
                <w:szCs w:val="18"/>
              </w:rPr>
              <w:t>Niveau bas</w:t>
            </w:r>
          </w:p>
        </w:tc>
        <w:tc>
          <w:tcPr>
            <w:tcW w:w="1105" w:type="dxa"/>
            <w:tcBorders>
              <w:bottom w:val="single" w:sz="4" w:space="0" w:color="auto"/>
            </w:tcBorders>
          </w:tcPr>
          <w:p w:rsidR="000A4018" w:rsidRPr="007B16F5" w:rsidRDefault="000A4018" w:rsidP="000A4018">
            <w:pPr>
              <w:pStyle w:val="Tablehead"/>
              <w:rPr>
                <w:sz w:val="18"/>
                <w:szCs w:val="18"/>
              </w:rPr>
            </w:pPr>
            <w:r w:rsidRPr="007B16F5">
              <w:rPr>
                <w:sz w:val="18"/>
                <w:szCs w:val="18"/>
              </w:rPr>
              <w:t xml:space="preserve">Niveau </w:t>
            </w:r>
            <w:r w:rsidR="00522C14">
              <w:rPr>
                <w:sz w:val="18"/>
                <w:szCs w:val="18"/>
              </w:rPr>
              <w:br/>
            </w:r>
            <w:r w:rsidRPr="007B16F5">
              <w:rPr>
                <w:sz w:val="18"/>
                <w:szCs w:val="18"/>
              </w:rPr>
              <w:t>bas</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 xml:space="preserve">Affaiblissement des évanouissements </w:t>
            </w:r>
            <w:r>
              <w:rPr>
                <w:sz w:val="18"/>
                <w:szCs w:val="18"/>
              </w:rPr>
              <w:t>de</w:t>
            </w:r>
            <w:r w:rsidRPr="007B16F5">
              <w:rPr>
                <w:sz w:val="18"/>
                <w:szCs w:val="18"/>
              </w:rPr>
              <w:t xml:space="preserve"> courte durée (dB)</w:t>
            </w:r>
          </w:p>
        </w:tc>
        <w:tc>
          <w:tcPr>
            <w:tcW w:w="776" w:type="dxa"/>
          </w:tcPr>
          <w:p w:rsidR="00E100B6" w:rsidRPr="007B16F5" w:rsidRDefault="00E100B6" w:rsidP="000A4018">
            <w:pPr>
              <w:pStyle w:val="Tabletext"/>
              <w:jc w:val="center"/>
              <w:rPr>
                <w:sz w:val="18"/>
                <w:szCs w:val="18"/>
              </w:rPr>
            </w:pPr>
            <w:r w:rsidRPr="007B16F5">
              <w:rPr>
                <w:sz w:val="18"/>
                <w:szCs w:val="18"/>
              </w:rPr>
              <w:t>16</w:t>
            </w:r>
          </w:p>
        </w:tc>
        <w:tc>
          <w:tcPr>
            <w:tcW w:w="967" w:type="dxa"/>
          </w:tcPr>
          <w:p w:rsidR="00E100B6" w:rsidRPr="007B16F5" w:rsidRDefault="00E100B6" w:rsidP="000A4018">
            <w:pPr>
              <w:pStyle w:val="Tabletext"/>
              <w:jc w:val="center"/>
              <w:rPr>
                <w:sz w:val="18"/>
                <w:szCs w:val="18"/>
              </w:rPr>
            </w:pPr>
            <w:r w:rsidRPr="007B16F5">
              <w:rPr>
                <w:sz w:val="18"/>
                <w:szCs w:val="18"/>
              </w:rPr>
              <w:t>10,0</w:t>
            </w:r>
          </w:p>
        </w:tc>
        <w:tc>
          <w:tcPr>
            <w:tcW w:w="1008" w:type="dxa"/>
          </w:tcPr>
          <w:p w:rsidR="00E100B6" w:rsidRPr="007B16F5" w:rsidRDefault="00E100B6" w:rsidP="000A4018">
            <w:pPr>
              <w:pStyle w:val="Tabletext"/>
              <w:jc w:val="center"/>
              <w:rPr>
                <w:sz w:val="18"/>
                <w:szCs w:val="18"/>
              </w:rPr>
            </w:pPr>
          </w:p>
        </w:tc>
        <w:tc>
          <w:tcPr>
            <w:tcW w:w="951" w:type="dxa"/>
          </w:tcPr>
          <w:p w:rsidR="00E100B6" w:rsidRPr="007B16F5" w:rsidRDefault="00E100B6" w:rsidP="000A4018">
            <w:pPr>
              <w:pStyle w:val="Tabletext"/>
              <w:jc w:val="center"/>
              <w:rPr>
                <w:sz w:val="18"/>
                <w:szCs w:val="18"/>
              </w:rPr>
            </w:pPr>
          </w:p>
        </w:tc>
        <w:tc>
          <w:tcPr>
            <w:tcW w:w="984" w:type="dxa"/>
          </w:tcPr>
          <w:p w:rsidR="00E100B6" w:rsidRPr="007B16F5" w:rsidRDefault="00E100B6" w:rsidP="000A4018">
            <w:pPr>
              <w:pStyle w:val="Tabletext"/>
              <w:jc w:val="center"/>
              <w:rPr>
                <w:sz w:val="18"/>
                <w:szCs w:val="18"/>
              </w:rPr>
            </w:pPr>
          </w:p>
        </w:tc>
        <w:tc>
          <w:tcPr>
            <w:tcW w:w="998" w:type="dxa"/>
          </w:tcPr>
          <w:p w:rsidR="00E100B6" w:rsidRPr="007B16F5" w:rsidRDefault="00E100B6" w:rsidP="000A4018">
            <w:pPr>
              <w:pStyle w:val="Tabletext"/>
              <w:jc w:val="center"/>
              <w:rPr>
                <w:sz w:val="18"/>
                <w:szCs w:val="18"/>
              </w:rPr>
            </w:pPr>
          </w:p>
        </w:tc>
        <w:tc>
          <w:tcPr>
            <w:tcW w:w="1105" w:type="dxa"/>
          </w:tcPr>
          <w:p w:rsidR="00E100B6" w:rsidRPr="007B16F5" w:rsidRDefault="00E100B6" w:rsidP="000A4018">
            <w:pPr>
              <w:pStyle w:val="Tabletext"/>
              <w:jc w:val="center"/>
              <w:rPr>
                <w:sz w:val="18"/>
                <w:szCs w:val="18"/>
              </w:rPr>
            </w:pP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i/>
                <w:iCs/>
              </w:rPr>
              <w:t>C</w:t>
            </w:r>
            <w:r w:rsidRPr="007B16F5">
              <w:t>/</w:t>
            </w:r>
            <w:r w:rsidRPr="007B16F5">
              <w:rPr>
                <w:i/>
                <w:iCs/>
              </w:rPr>
              <w:t>N</w:t>
            </w:r>
            <w:r w:rsidRPr="007B16F5">
              <w:rPr>
                <w:vertAlign w:val="subscript"/>
              </w:rPr>
              <w:t>0</w:t>
            </w:r>
            <w:r w:rsidRPr="007B16F5">
              <w:rPr>
                <w:sz w:val="18"/>
                <w:szCs w:val="18"/>
              </w:rPr>
              <w:t xml:space="preserve"> </w:t>
            </w:r>
            <w:r>
              <w:rPr>
                <w:sz w:val="18"/>
                <w:szCs w:val="18"/>
              </w:rPr>
              <w:t>sur</w:t>
            </w:r>
            <w:r w:rsidRPr="007B16F5">
              <w:rPr>
                <w:sz w:val="18"/>
                <w:szCs w:val="18"/>
              </w:rPr>
              <w:t xml:space="preserve"> la liaison descendante (dBHz)</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r w:rsidRPr="007B16F5">
              <w:rPr>
                <w:sz w:val="18"/>
                <w:szCs w:val="18"/>
              </w:rPr>
              <w:t>47,8</w:t>
            </w:r>
          </w:p>
        </w:tc>
        <w:tc>
          <w:tcPr>
            <w:tcW w:w="1008" w:type="dxa"/>
          </w:tcPr>
          <w:p w:rsidR="00E100B6" w:rsidRPr="007B16F5" w:rsidRDefault="00E100B6" w:rsidP="000A4018">
            <w:pPr>
              <w:pStyle w:val="Tabletext"/>
              <w:jc w:val="center"/>
              <w:rPr>
                <w:sz w:val="18"/>
                <w:szCs w:val="18"/>
              </w:rPr>
            </w:pPr>
            <w:r w:rsidRPr="007B16F5">
              <w:rPr>
                <w:sz w:val="18"/>
                <w:szCs w:val="18"/>
              </w:rPr>
              <w:t>42,5</w:t>
            </w:r>
          </w:p>
        </w:tc>
        <w:tc>
          <w:tcPr>
            <w:tcW w:w="951" w:type="dxa"/>
          </w:tcPr>
          <w:p w:rsidR="00E100B6" w:rsidRPr="007B16F5" w:rsidRDefault="00E100B6" w:rsidP="000A4018">
            <w:pPr>
              <w:pStyle w:val="Tabletext"/>
              <w:jc w:val="center"/>
              <w:rPr>
                <w:sz w:val="18"/>
                <w:szCs w:val="18"/>
              </w:rPr>
            </w:pPr>
            <w:r w:rsidRPr="007B16F5">
              <w:rPr>
                <w:sz w:val="18"/>
                <w:szCs w:val="18"/>
              </w:rPr>
              <w:t>48,6</w:t>
            </w:r>
          </w:p>
        </w:tc>
        <w:tc>
          <w:tcPr>
            <w:tcW w:w="984" w:type="dxa"/>
          </w:tcPr>
          <w:p w:rsidR="00E100B6" w:rsidRPr="007B16F5" w:rsidRDefault="00E100B6" w:rsidP="000A4018">
            <w:pPr>
              <w:pStyle w:val="Tabletext"/>
              <w:jc w:val="center"/>
              <w:rPr>
                <w:sz w:val="18"/>
                <w:szCs w:val="18"/>
              </w:rPr>
            </w:pPr>
            <w:r w:rsidRPr="007B16F5">
              <w:rPr>
                <w:sz w:val="18"/>
                <w:szCs w:val="18"/>
              </w:rPr>
              <w:t>43</w:t>
            </w:r>
            <w:r>
              <w:rPr>
                <w:sz w:val="18"/>
                <w:szCs w:val="18"/>
              </w:rPr>
              <w:t>,</w:t>
            </w:r>
            <w:r w:rsidRPr="007B16F5">
              <w:rPr>
                <w:sz w:val="18"/>
                <w:szCs w:val="18"/>
              </w:rPr>
              <w:t>8</w:t>
            </w:r>
          </w:p>
        </w:tc>
        <w:tc>
          <w:tcPr>
            <w:tcW w:w="998" w:type="dxa"/>
          </w:tcPr>
          <w:p w:rsidR="00E100B6" w:rsidRPr="007B16F5" w:rsidRDefault="00E100B6" w:rsidP="000A4018">
            <w:pPr>
              <w:pStyle w:val="Tabletext"/>
              <w:jc w:val="center"/>
              <w:rPr>
                <w:sz w:val="18"/>
                <w:szCs w:val="18"/>
              </w:rPr>
            </w:pPr>
            <w:r w:rsidRPr="007B16F5">
              <w:rPr>
                <w:sz w:val="18"/>
                <w:szCs w:val="18"/>
              </w:rPr>
              <w:t>35</w:t>
            </w:r>
            <w:r>
              <w:rPr>
                <w:sz w:val="18"/>
                <w:szCs w:val="18"/>
              </w:rPr>
              <w:t>,</w:t>
            </w:r>
            <w:r w:rsidRPr="007B16F5">
              <w:rPr>
                <w:sz w:val="18"/>
                <w:szCs w:val="18"/>
              </w:rPr>
              <w:t>5</w:t>
            </w:r>
          </w:p>
        </w:tc>
        <w:tc>
          <w:tcPr>
            <w:tcW w:w="1105" w:type="dxa"/>
          </w:tcPr>
          <w:p w:rsidR="00E100B6" w:rsidRPr="007B16F5" w:rsidRDefault="00E100B6" w:rsidP="000A4018">
            <w:pPr>
              <w:pStyle w:val="Tabletext"/>
              <w:jc w:val="center"/>
              <w:rPr>
                <w:sz w:val="18"/>
                <w:szCs w:val="18"/>
              </w:rPr>
            </w:pPr>
            <w:r w:rsidRPr="007B16F5">
              <w:rPr>
                <w:sz w:val="18"/>
                <w:szCs w:val="18"/>
              </w:rPr>
              <w:t>46</w:t>
            </w:r>
            <w:r>
              <w:rPr>
                <w:sz w:val="18"/>
                <w:szCs w:val="18"/>
              </w:rPr>
              <w:t>,</w:t>
            </w:r>
            <w:r w:rsidRPr="007B16F5">
              <w:rPr>
                <w:sz w:val="18"/>
                <w:szCs w:val="18"/>
              </w:rPr>
              <w:t>7</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i/>
                <w:iCs/>
              </w:rPr>
              <w:t>C</w:t>
            </w:r>
            <w:r w:rsidRPr="007B16F5">
              <w:t>/</w:t>
            </w:r>
            <w:r w:rsidRPr="007B16F5">
              <w:rPr>
                <w:i/>
                <w:iCs/>
              </w:rPr>
              <w:t>N</w:t>
            </w:r>
            <w:r w:rsidRPr="007B16F5">
              <w:rPr>
                <w:vertAlign w:val="subscript"/>
              </w:rPr>
              <w:t>0</w:t>
            </w:r>
            <w:r w:rsidRPr="007B16F5">
              <w:rPr>
                <w:sz w:val="18"/>
                <w:szCs w:val="18"/>
              </w:rPr>
              <w:t xml:space="preserve"> total (dBHz)</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r w:rsidRPr="007B16F5">
              <w:rPr>
                <w:sz w:val="18"/>
                <w:szCs w:val="18"/>
              </w:rPr>
              <w:t>38,8</w:t>
            </w:r>
          </w:p>
        </w:tc>
        <w:tc>
          <w:tcPr>
            <w:tcW w:w="951" w:type="dxa"/>
          </w:tcPr>
          <w:p w:rsidR="00E100B6" w:rsidRPr="007B16F5" w:rsidRDefault="00E100B6" w:rsidP="000A4018">
            <w:pPr>
              <w:pStyle w:val="Tabletext"/>
              <w:jc w:val="center"/>
              <w:rPr>
                <w:sz w:val="18"/>
                <w:szCs w:val="18"/>
              </w:rPr>
            </w:pPr>
            <w:r w:rsidRPr="007B16F5">
              <w:rPr>
                <w:sz w:val="18"/>
                <w:szCs w:val="18"/>
              </w:rPr>
              <w:t>39,8</w:t>
            </w:r>
          </w:p>
        </w:tc>
        <w:tc>
          <w:tcPr>
            <w:tcW w:w="984" w:type="dxa"/>
          </w:tcPr>
          <w:p w:rsidR="00E100B6" w:rsidRPr="007B16F5" w:rsidRDefault="00E100B6" w:rsidP="000A4018">
            <w:pPr>
              <w:pStyle w:val="Tabletext"/>
              <w:jc w:val="center"/>
              <w:rPr>
                <w:sz w:val="18"/>
                <w:szCs w:val="18"/>
              </w:rPr>
            </w:pPr>
            <w:r w:rsidRPr="007B16F5">
              <w:rPr>
                <w:sz w:val="18"/>
                <w:szCs w:val="18"/>
              </w:rPr>
              <w:t>31</w:t>
            </w:r>
            <w:r>
              <w:rPr>
                <w:sz w:val="18"/>
                <w:szCs w:val="18"/>
              </w:rPr>
              <w:t>,</w:t>
            </w:r>
            <w:r w:rsidRPr="007B16F5">
              <w:rPr>
                <w:sz w:val="18"/>
                <w:szCs w:val="18"/>
              </w:rPr>
              <w:t>1</w:t>
            </w:r>
          </w:p>
        </w:tc>
        <w:tc>
          <w:tcPr>
            <w:tcW w:w="998" w:type="dxa"/>
          </w:tcPr>
          <w:p w:rsidR="00E100B6" w:rsidRPr="007B16F5" w:rsidRDefault="00E100B6" w:rsidP="000A4018">
            <w:pPr>
              <w:pStyle w:val="Tabletext"/>
              <w:jc w:val="center"/>
              <w:rPr>
                <w:sz w:val="18"/>
                <w:szCs w:val="18"/>
              </w:rPr>
            </w:pPr>
            <w:r w:rsidRPr="007B16F5">
              <w:rPr>
                <w:sz w:val="18"/>
                <w:szCs w:val="18"/>
              </w:rPr>
              <w:t>27</w:t>
            </w:r>
            <w:r>
              <w:rPr>
                <w:sz w:val="18"/>
                <w:szCs w:val="18"/>
              </w:rPr>
              <w:t>,</w:t>
            </w:r>
            <w:r w:rsidRPr="007B16F5">
              <w:rPr>
                <w:sz w:val="18"/>
                <w:szCs w:val="18"/>
              </w:rPr>
              <w:t>4</w:t>
            </w:r>
          </w:p>
        </w:tc>
        <w:tc>
          <w:tcPr>
            <w:tcW w:w="1105" w:type="dxa"/>
          </w:tcPr>
          <w:p w:rsidR="00E100B6" w:rsidRPr="007B16F5" w:rsidRDefault="00E100B6" w:rsidP="000A4018">
            <w:pPr>
              <w:pStyle w:val="Tabletext"/>
              <w:jc w:val="center"/>
              <w:rPr>
                <w:sz w:val="18"/>
                <w:szCs w:val="18"/>
              </w:rPr>
            </w:pPr>
            <w:r w:rsidRPr="007B16F5">
              <w:rPr>
                <w:sz w:val="18"/>
                <w:szCs w:val="18"/>
              </w:rPr>
              <w:t>35</w:t>
            </w:r>
            <w:r>
              <w:rPr>
                <w:sz w:val="18"/>
                <w:szCs w:val="18"/>
              </w:rPr>
              <w:t>,</w:t>
            </w:r>
            <w:r w:rsidRPr="007B16F5">
              <w:rPr>
                <w:sz w:val="18"/>
                <w:szCs w:val="18"/>
              </w:rPr>
              <w:t>4</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Débit de données, Rb (dBHz)</w:t>
            </w:r>
          </w:p>
        </w:tc>
        <w:tc>
          <w:tcPr>
            <w:tcW w:w="776" w:type="dxa"/>
          </w:tcPr>
          <w:p w:rsidR="00E100B6" w:rsidRPr="007B16F5" w:rsidRDefault="00E100B6" w:rsidP="000A4018">
            <w:pPr>
              <w:pStyle w:val="Tabletext"/>
              <w:jc w:val="center"/>
              <w:rPr>
                <w:sz w:val="18"/>
                <w:szCs w:val="18"/>
              </w:rPr>
            </w:pPr>
            <w:r w:rsidRPr="007B16F5">
              <w:rPr>
                <w:sz w:val="18"/>
                <w:szCs w:val="18"/>
              </w:rPr>
              <w:t>17</w:t>
            </w:r>
          </w:p>
        </w:tc>
        <w:tc>
          <w:tcPr>
            <w:tcW w:w="967" w:type="dxa"/>
          </w:tcPr>
          <w:p w:rsidR="00E100B6" w:rsidRPr="007B16F5" w:rsidRDefault="00E100B6" w:rsidP="000A4018">
            <w:pPr>
              <w:pStyle w:val="Tabletext"/>
              <w:jc w:val="center"/>
              <w:rPr>
                <w:sz w:val="18"/>
                <w:szCs w:val="18"/>
              </w:rPr>
            </w:pPr>
            <w:r w:rsidRPr="007B16F5">
              <w:rPr>
                <w:sz w:val="18"/>
                <w:szCs w:val="18"/>
              </w:rPr>
              <w:t>33,8</w:t>
            </w:r>
          </w:p>
        </w:tc>
        <w:tc>
          <w:tcPr>
            <w:tcW w:w="5046" w:type="dxa"/>
            <w:gridSpan w:val="5"/>
          </w:tcPr>
          <w:p w:rsidR="00E100B6" w:rsidRPr="007B16F5" w:rsidRDefault="00E100B6" w:rsidP="000A4018">
            <w:pPr>
              <w:pStyle w:val="Tabletext"/>
              <w:jc w:val="center"/>
              <w:rPr>
                <w:sz w:val="18"/>
                <w:szCs w:val="18"/>
              </w:rPr>
            </w:pPr>
            <w:r w:rsidRPr="007B16F5">
              <w:rPr>
                <w:sz w:val="18"/>
                <w:szCs w:val="18"/>
              </w:rPr>
              <w:t>26,0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i/>
                <w:iCs/>
              </w:rPr>
              <w:t>E</w:t>
            </w:r>
            <w:r w:rsidRPr="007B16F5">
              <w:rPr>
                <w:i/>
                <w:iCs/>
                <w:sz w:val="24"/>
                <w:szCs w:val="24"/>
                <w:vertAlign w:val="subscript"/>
              </w:rPr>
              <w:t>b</w:t>
            </w:r>
            <w:r w:rsidRPr="007B16F5">
              <w:rPr>
                <w:sz w:val="18"/>
                <w:szCs w:val="18"/>
              </w:rPr>
              <w:t>/</w:t>
            </w:r>
            <w:r w:rsidRPr="007B16F5">
              <w:rPr>
                <w:i/>
                <w:iCs/>
              </w:rPr>
              <w:t>N</w:t>
            </w:r>
            <w:r w:rsidRPr="007B16F5">
              <w:rPr>
                <w:vertAlign w:val="subscript"/>
              </w:rPr>
              <w:t>0</w:t>
            </w:r>
            <w:r w:rsidRPr="007B16F5">
              <w:rPr>
                <w:sz w:val="18"/>
                <w:szCs w:val="18"/>
              </w:rPr>
              <w:t xml:space="preserve"> (dB)</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r w:rsidRPr="007B16F5">
              <w:rPr>
                <w:sz w:val="18"/>
                <w:szCs w:val="18"/>
              </w:rPr>
              <w:t>14,0</w:t>
            </w:r>
          </w:p>
        </w:tc>
        <w:tc>
          <w:tcPr>
            <w:tcW w:w="1008" w:type="dxa"/>
          </w:tcPr>
          <w:p w:rsidR="00E100B6" w:rsidRPr="007B16F5" w:rsidRDefault="00E100B6" w:rsidP="000A4018">
            <w:pPr>
              <w:pStyle w:val="Tabletext"/>
              <w:jc w:val="center"/>
              <w:rPr>
                <w:sz w:val="18"/>
                <w:szCs w:val="18"/>
              </w:rPr>
            </w:pPr>
            <w:r w:rsidRPr="007B16F5">
              <w:rPr>
                <w:sz w:val="18"/>
                <w:szCs w:val="18"/>
              </w:rPr>
              <w:t>12,8</w:t>
            </w:r>
          </w:p>
        </w:tc>
        <w:tc>
          <w:tcPr>
            <w:tcW w:w="951" w:type="dxa"/>
          </w:tcPr>
          <w:p w:rsidR="00E100B6" w:rsidRPr="007B16F5" w:rsidRDefault="00E100B6" w:rsidP="000A4018">
            <w:pPr>
              <w:pStyle w:val="Tabletext"/>
              <w:jc w:val="center"/>
              <w:rPr>
                <w:sz w:val="18"/>
                <w:szCs w:val="18"/>
              </w:rPr>
            </w:pPr>
            <w:r w:rsidRPr="007B16F5">
              <w:rPr>
                <w:sz w:val="18"/>
                <w:szCs w:val="18"/>
              </w:rPr>
              <w:t>13,8</w:t>
            </w:r>
          </w:p>
        </w:tc>
        <w:tc>
          <w:tcPr>
            <w:tcW w:w="984" w:type="dxa"/>
          </w:tcPr>
          <w:p w:rsidR="00E100B6" w:rsidRPr="007B16F5" w:rsidRDefault="00E100B6" w:rsidP="000A4018">
            <w:pPr>
              <w:pStyle w:val="Tabletext"/>
              <w:jc w:val="center"/>
              <w:rPr>
                <w:sz w:val="18"/>
                <w:szCs w:val="18"/>
              </w:rPr>
            </w:pPr>
            <w:r w:rsidRPr="007B16F5">
              <w:rPr>
                <w:sz w:val="18"/>
                <w:szCs w:val="18"/>
              </w:rPr>
              <w:t>5</w:t>
            </w:r>
            <w:r>
              <w:rPr>
                <w:sz w:val="18"/>
                <w:szCs w:val="18"/>
              </w:rPr>
              <w:t>,</w:t>
            </w:r>
            <w:r w:rsidRPr="007B16F5">
              <w:rPr>
                <w:sz w:val="18"/>
                <w:szCs w:val="18"/>
              </w:rPr>
              <w:t>1</w:t>
            </w:r>
          </w:p>
        </w:tc>
        <w:tc>
          <w:tcPr>
            <w:tcW w:w="998" w:type="dxa"/>
          </w:tcPr>
          <w:p w:rsidR="00E100B6" w:rsidRPr="007B16F5" w:rsidRDefault="00E100B6" w:rsidP="000A4018">
            <w:pPr>
              <w:pStyle w:val="Tabletext"/>
              <w:jc w:val="center"/>
              <w:rPr>
                <w:sz w:val="18"/>
                <w:szCs w:val="18"/>
              </w:rPr>
            </w:pPr>
            <w:r w:rsidRPr="007B16F5">
              <w:rPr>
                <w:sz w:val="18"/>
                <w:szCs w:val="18"/>
              </w:rPr>
              <w:t>1</w:t>
            </w:r>
            <w:r>
              <w:rPr>
                <w:sz w:val="18"/>
                <w:szCs w:val="18"/>
              </w:rPr>
              <w:t>,</w:t>
            </w:r>
            <w:r w:rsidRPr="007B16F5">
              <w:rPr>
                <w:sz w:val="18"/>
                <w:szCs w:val="18"/>
              </w:rPr>
              <w:t>4</w:t>
            </w:r>
          </w:p>
        </w:tc>
        <w:tc>
          <w:tcPr>
            <w:tcW w:w="1105" w:type="dxa"/>
          </w:tcPr>
          <w:p w:rsidR="00E100B6" w:rsidRPr="007B16F5" w:rsidRDefault="00E100B6" w:rsidP="000A4018">
            <w:pPr>
              <w:pStyle w:val="Tabletext"/>
              <w:jc w:val="center"/>
              <w:rPr>
                <w:sz w:val="18"/>
                <w:szCs w:val="18"/>
              </w:rPr>
            </w:pPr>
            <w:r w:rsidRPr="007B16F5">
              <w:rPr>
                <w:sz w:val="18"/>
                <w:szCs w:val="18"/>
              </w:rPr>
              <w:t>9</w:t>
            </w:r>
            <w:r>
              <w:rPr>
                <w:sz w:val="18"/>
                <w:szCs w:val="18"/>
              </w:rPr>
              <w:t>,</w:t>
            </w:r>
            <w:r w:rsidRPr="007B16F5">
              <w:rPr>
                <w:sz w:val="18"/>
                <w:szCs w:val="18"/>
              </w:rPr>
              <w:t>4</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Perte de mise en œuvre (dB)</w:t>
            </w:r>
          </w:p>
        </w:tc>
        <w:tc>
          <w:tcPr>
            <w:tcW w:w="776" w:type="dxa"/>
          </w:tcPr>
          <w:p w:rsidR="00E100B6" w:rsidRPr="007B16F5" w:rsidRDefault="00E100B6" w:rsidP="000A4018">
            <w:pPr>
              <w:pStyle w:val="Tabletext"/>
              <w:jc w:val="center"/>
              <w:rPr>
                <w:sz w:val="18"/>
                <w:szCs w:val="18"/>
              </w:rPr>
            </w:pPr>
          </w:p>
        </w:tc>
        <w:tc>
          <w:tcPr>
            <w:tcW w:w="3910" w:type="dxa"/>
            <w:gridSpan w:val="4"/>
          </w:tcPr>
          <w:p w:rsidR="00E100B6" w:rsidRPr="007B16F5" w:rsidRDefault="00E100B6" w:rsidP="000A4018">
            <w:pPr>
              <w:pStyle w:val="Tabletext"/>
              <w:jc w:val="center"/>
              <w:rPr>
                <w:sz w:val="18"/>
                <w:szCs w:val="18"/>
              </w:rPr>
            </w:pPr>
            <w:r w:rsidRPr="007B16F5">
              <w:rPr>
                <w:sz w:val="18"/>
                <w:szCs w:val="18"/>
              </w:rPr>
              <w:t>1,0</w:t>
            </w:r>
          </w:p>
        </w:tc>
        <w:tc>
          <w:tcPr>
            <w:tcW w:w="2103" w:type="dxa"/>
            <w:gridSpan w:val="2"/>
          </w:tcPr>
          <w:p w:rsidR="00E100B6" w:rsidRPr="007B16F5" w:rsidRDefault="00E100B6" w:rsidP="000A4018">
            <w:pPr>
              <w:pStyle w:val="Tabletext"/>
              <w:jc w:val="center"/>
              <w:rPr>
                <w:sz w:val="18"/>
                <w:szCs w:val="18"/>
              </w:rPr>
            </w:pPr>
            <w:r w:rsidRPr="007B16F5">
              <w:rPr>
                <w:sz w:val="18"/>
                <w:szCs w:val="18"/>
              </w:rPr>
              <w:t>0,5</w:t>
            </w:r>
          </w:p>
        </w:tc>
      </w:tr>
      <w:tr w:rsidR="00E100B6" w:rsidRPr="007B16F5" w:rsidTr="000A4018">
        <w:trPr>
          <w:cantSplit/>
          <w:jc w:val="center"/>
        </w:trPr>
        <w:tc>
          <w:tcPr>
            <w:tcW w:w="2805" w:type="dxa"/>
            <w:vAlign w:val="center"/>
          </w:tcPr>
          <w:p w:rsidR="00E100B6" w:rsidRPr="007B16F5" w:rsidRDefault="00E100B6" w:rsidP="000A4018">
            <w:pPr>
              <w:pStyle w:val="Tabletext"/>
              <w:jc w:val="left"/>
              <w:rPr>
                <w:sz w:val="18"/>
                <w:szCs w:val="18"/>
              </w:rPr>
            </w:pPr>
            <w:r w:rsidRPr="007B16F5">
              <w:rPr>
                <w:sz w:val="18"/>
                <w:szCs w:val="18"/>
              </w:rPr>
              <w:t>Perte de modulation des données de la balise, b = 1,1 rad (dB)</w:t>
            </w:r>
          </w:p>
        </w:tc>
        <w:tc>
          <w:tcPr>
            <w:tcW w:w="776" w:type="dxa"/>
            <w:vAlign w:val="center"/>
          </w:tcPr>
          <w:p w:rsidR="00E100B6" w:rsidRPr="007B16F5" w:rsidRDefault="00E100B6" w:rsidP="000A4018">
            <w:pPr>
              <w:pStyle w:val="Tabletext"/>
              <w:jc w:val="center"/>
              <w:rPr>
                <w:sz w:val="18"/>
                <w:szCs w:val="18"/>
              </w:rPr>
            </w:pPr>
            <w:r w:rsidRPr="007B16F5">
              <w:rPr>
                <w:sz w:val="18"/>
                <w:szCs w:val="18"/>
              </w:rPr>
              <w:t>18</w:t>
            </w:r>
          </w:p>
        </w:tc>
        <w:tc>
          <w:tcPr>
            <w:tcW w:w="967" w:type="dxa"/>
            <w:vAlign w:val="center"/>
          </w:tcPr>
          <w:p w:rsidR="00E100B6" w:rsidRPr="007B16F5" w:rsidRDefault="00E100B6" w:rsidP="000A4018">
            <w:pPr>
              <w:pStyle w:val="Tabletext"/>
              <w:jc w:val="center"/>
              <w:rPr>
                <w:sz w:val="18"/>
                <w:szCs w:val="18"/>
              </w:rPr>
            </w:pPr>
          </w:p>
        </w:tc>
        <w:tc>
          <w:tcPr>
            <w:tcW w:w="5046" w:type="dxa"/>
            <w:gridSpan w:val="5"/>
            <w:vAlign w:val="center"/>
          </w:tcPr>
          <w:p w:rsidR="00E100B6" w:rsidRPr="007B16F5" w:rsidRDefault="00E100B6" w:rsidP="000A4018">
            <w:pPr>
              <w:pStyle w:val="Tabletext"/>
              <w:jc w:val="center"/>
              <w:rPr>
                <w:sz w:val="18"/>
                <w:szCs w:val="18"/>
              </w:rPr>
            </w:pPr>
            <w:r w:rsidRPr="007B16F5">
              <w:rPr>
                <w:sz w:val="18"/>
                <w:szCs w:val="18"/>
              </w:rPr>
              <w:t>1,0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Gain de codage (dB)</w:t>
            </w:r>
          </w:p>
        </w:tc>
        <w:tc>
          <w:tcPr>
            <w:tcW w:w="776" w:type="dxa"/>
          </w:tcPr>
          <w:p w:rsidR="00E100B6" w:rsidRPr="007B16F5" w:rsidRDefault="00E100B6" w:rsidP="000A4018">
            <w:pPr>
              <w:pStyle w:val="Tabletext"/>
              <w:jc w:val="center"/>
              <w:rPr>
                <w:sz w:val="18"/>
                <w:szCs w:val="18"/>
              </w:rPr>
            </w:pPr>
          </w:p>
        </w:tc>
        <w:tc>
          <w:tcPr>
            <w:tcW w:w="3910" w:type="dxa"/>
            <w:gridSpan w:val="4"/>
          </w:tcPr>
          <w:p w:rsidR="00E100B6" w:rsidRPr="007B16F5" w:rsidRDefault="00E100B6" w:rsidP="000A4018">
            <w:pPr>
              <w:pStyle w:val="Tabletext"/>
              <w:jc w:val="center"/>
              <w:rPr>
                <w:sz w:val="18"/>
                <w:szCs w:val="18"/>
              </w:rPr>
            </w:pPr>
            <w:r w:rsidRPr="007B16F5">
              <w:rPr>
                <w:sz w:val="18"/>
                <w:szCs w:val="18"/>
              </w:rPr>
              <w:t>0,0</w:t>
            </w:r>
          </w:p>
        </w:tc>
        <w:tc>
          <w:tcPr>
            <w:tcW w:w="2103" w:type="dxa"/>
            <w:gridSpan w:val="2"/>
          </w:tcPr>
          <w:p w:rsidR="00E100B6" w:rsidRPr="007B16F5" w:rsidRDefault="00E100B6" w:rsidP="000A4018">
            <w:pPr>
              <w:pStyle w:val="Tabletext"/>
              <w:jc w:val="center"/>
              <w:rPr>
                <w:sz w:val="18"/>
                <w:szCs w:val="18"/>
              </w:rPr>
            </w:pPr>
            <w:r w:rsidRPr="007B16F5">
              <w:rPr>
                <w:sz w:val="18"/>
                <w:szCs w:val="18"/>
              </w:rPr>
              <w:t>2,0</w:t>
            </w:r>
          </w:p>
        </w:tc>
      </w:tr>
      <w:tr w:rsidR="00E100B6" w:rsidRPr="007B16F5" w:rsidTr="000A4018">
        <w:trPr>
          <w:cantSplit/>
          <w:jc w:val="center"/>
        </w:trPr>
        <w:tc>
          <w:tcPr>
            <w:tcW w:w="2805" w:type="dxa"/>
          </w:tcPr>
          <w:p w:rsidR="00E100B6" w:rsidRPr="007B16F5" w:rsidRDefault="00E100B6" w:rsidP="000A4018">
            <w:pPr>
              <w:pStyle w:val="Tabletext"/>
              <w:jc w:val="left"/>
              <w:rPr>
                <w:sz w:val="18"/>
                <w:szCs w:val="18"/>
              </w:rPr>
            </w:pPr>
            <w:r w:rsidRPr="007B16F5">
              <w:rPr>
                <w:sz w:val="18"/>
                <w:szCs w:val="18"/>
              </w:rPr>
              <w:t>Gain de traitement (5 salves) (dB)</w:t>
            </w:r>
          </w:p>
        </w:tc>
        <w:tc>
          <w:tcPr>
            <w:tcW w:w="776" w:type="dxa"/>
          </w:tcPr>
          <w:p w:rsidR="00E100B6" w:rsidRPr="007B16F5" w:rsidRDefault="00E100B6" w:rsidP="000A4018">
            <w:pPr>
              <w:pStyle w:val="Tabletext"/>
              <w:jc w:val="center"/>
              <w:rPr>
                <w:sz w:val="18"/>
                <w:szCs w:val="18"/>
              </w:rPr>
            </w:pPr>
            <w:r w:rsidRPr="007B16F5">
              <w:rPr>
                <w:sz w:val="18"/>
                <w:szCs w:val="18"/>
              </w:rPr>
              <w:t>19</w:t>
            </w:r>
          </w:p>
        </w:tc>
        <w:tc>
          <w:tcPr>
            <w:tcW w:w="967" w:type="dxa"/>
          </w:tcPr>
          <w:p w:rsidR="00E100B6" w:rsidRPr="007B16F5" w:rsidRDefault="00E100B6" w:rsidP="000A4018">
            <w:pPr>
              <w:pStyle w:val="Tabletext"/>
              <w:jc w:val="center"/>
              <w:rPr>
                <w:sz w:val="18"/>
                <w:szCs w:val="18"/>
              </w:rPr>
            </w:pPr>
          </w:p>
        </w:tc>
        <w:tc>
          <w:tcPr>
            <w:tcW w:w="1008" w:type="dxa"/>
          </w:tcPr>
          <w:p w:rsidR="00E100B6" w:rsidRPr="007B16F5" w:rsidRDefault="00E100B6" w:rsidP="000A4018">
            <w:pPr>
              <w:pStyle w:val="Tabletext"/>
              <w:jc w:val="center"/>
              <w:rPr>
                <w:sz w:val="18"/>
                <w:szCs w:val="18"/>
              </w:rPr>
            </w:pPr>
          </w:p>
        </w:tc>
        <w:tc>
          <w:tcPr>
            <w:tcW w:w="951" w:type="dxa"/>
          </w:tcPr>
          <w:p w:rsidR="00E100B6" w:rsidRPr="007B16F5" w:rsidRDefault="00E100B6" w:rsidP="000A4018">
            <w:pPr>
              <w:pStyle w:val="Tabletext"/>
              <w:jc w:val="center"/>
              <w:rPr>
                <w:sz w:val="18"/>
                <w:szCs w:val="18"/>
              </w:rPr>
            </w:pPr>
          </w:p>
        </w:tc>
        <w:tc>
          <w:tcPr>
            <w:tcW w:w="1982" w:type="dxa"/>
            <w:gridSpan w:val="2"/>
          </w:tcPr>
          <w:p w:rsidR="00E100B6" w:rsidRPr="007B16F5" w:rsidRDefault="00E100B6" w:rsidP="000A4018">
            <w:pPr>
              <w:pStyle w:val="Tabletext"/>
              <w:jc w:val="center"/>
              <w:rPr>
                <w:sz w:val="18"/>
                <w:szCs w:val="18"/>
              </w:rPr>
            </w:pPr>
            <w:r w:rsidRPr="007B16F5">
              <w:rPr>
                <w:sz w:val="18"/>
                <w:szCs w:val="18"/>
              </w:rPr>
              <w:t>7</w:t>
            </w:r>
            <w:r>
              <w:rPr>
                <w:sz w:val="18"/>
                <w:szCs w:val="18"/>
              </w:rPr>
              <w:t>,</w:t>
            </w:r>
            <w:r w:rsidRPr="007B16F5">
              <w:rPr>
                <w:sz w:val="18"/>
                <w:szCs w:val="18"/>
              </w:rPr>
              <w:t>0</w:t>
            </w:r>
          </w:p>
        </w:tc>
        <w:tc>
          <w:tcPr>
            <w:tcW w:w="1105" w:type="dxa"/>
          </w:tcPr>
          <w:p w:rsidR="00E100B6" w:rsidRPr="007B16F5" w:rsidRDefault="00E100B6" w:rsidP="000A4018">
            <w:pPr>
              <w:pStyle w:val="Tabletext"/>
              <w:jc w:val="center"/>
              <w:rPr>
                <w:sz w:val="18"/>
                <w:szCs w:val="18"/>
              </w:rPr>
            </w:pPr>
            <w:r w:rsidRPr="007B16F5">
              <w:rPr>
                <w:sz w:val="18"/>
                <w:szCs w:val="18"/>
              </w:rPr>
              <w:t>0</w:t>
            </w:r>
            <w:r>
              <w:rPr>
                <w:sz w:val="18"/>
                <w:szCs w:val="18"/>
              </w:rPr>
              <w:t>,</w:t>
            </w:r>
            <w:r w:rsidRPr="007B16F5">
              <w:rPr>
                <w:sz w:val="18"/>
                <w:szCs w:val="18"/>
              </w:rPr>
              <w:t>0</w:t>
            </w:r>
          </w:p>
        </w:tc>
      </w:tr>
      <w:tr w:rsidR="00E100B6" w:rsidRPr="007B16F5" w:rsidTr="000A4018">
        <w:trPr>
          <w:jc w:val="center"/>
        </w:trPr>
        <w:tc>
          <w:tcPr>
            <w:tcW w:w="2805" w:type="dxa"/>
          </w:tcPr>
          <w:p w:rsidR="00E100B6" w:rsidRPr="007B16F5" w:rsidRDefault="00E100B6" w:rsidP="000A4018">
            <w:pPr>
              <w:pStyle w:val="Tabletext"/>
              <w:jc w:val="left"/>
              <w:rPr>
                <w:sz w:val="18"/>
                <w:szCs w:val="18"/>
              </w:rPr>
            </w:pPr>
            <w:r>
              <w:rPr>
                <w:sz w:val="24"/>
              </w:rPr>
              <w:br w:type="page"/>
            </w:r>
            <w:r w:rsidRPr="007B16F5">
              <w:rPr>
                <w:i/>
                <w:iCs/>
                <w:sz w:val="18"/>
                <w:szCs w:val="18"/>
              </w:rPr>
              <w:t>E</w:t>
            </w:r>
            <w:r w:rsidRPr="007B16F5">
              <w:rPr>
                <w:i/>
                <w:iCs/>
                <w:sz w:val="24"/>
                <w:szCs w:val="24"/>
                <w:vertAlign w:val="subscript"/>
              </w:rPr>
              <w:t>b</w:t>
            </w:r>
            <w:r w:rsidRPr="007B16F5">
              <w:rPr>
                <w:sz w:val="18"/>
                <w:szCs w:val="18"/>
              </w:rPr>
              <w:t>/</w:t>
            </w:r>
            <w:r w:rsidRPr="007B16F5">
              <w:rPr>
                <w:i/>
                <w:iCs/>
              </w:rPr>
              <w:t>N</w:t>
            </w:r>
            <w:r w:rsidRPr="007B16F5">
              <w:rPr>
                <w:vertAlign w:val="subscript"/>
              </w:rPr>
              <w:t>0</w:t>
            </w:r>
            <w:r w:rsidRPr="007B16F5">
              <w:rPr>
                <w:sz w:val="18"/>
                <w:szCs w:val="18"/>
              </w:rPr>
              <w:t xml:space="preserve"> disponible (dB) </w:t>
            </w:r>
          </w:p>
        </w:tc>
        <w:tc>
          <w:tcPr>
            <w:tcW w:w="776" w:type="dxa"/>
          </w:tcPr>
          <w:p w:rsidR="00E100B6" w:rsidRPr="007B16F5" w:rsidRDefault="00E100B6" w:rsidP="000A4018">
            <w:pPr>
              <w:pStyle w:val="Tabletext"/>
              <w:jc w:val="center"/>
              <w:rPr>
                <w:sz w:val="18"/>
                <w:szCs w:val="18"/>
              </w:rPr>
            </w:pPr>
          </w:p>
        </w:tc>
        <w:tc>
          <w:tcPr>
            <w:tcW w:w="967" w:type="dxa"/>
          </w:tcPr>
          <w:p w:rsidR="00E100B6" w:rsidRPr="007B16F5" w:rsidRDefault="00E100B6" w:rsidP="000A4018">
            <w:pPr>
              <w:pStyle w:val="Tabletext"/>
              <w:jc w:val="center"/>
              <w:rPr>
                <w:sz w:val="18"/>
                <w:szCs w:val="18"/>
              </w:rPr>
            </w:pPr>
            <w:r w:rsidRPr="007B16F5">
              <w:rPr>
                <w:sz w:val="18"/>
                <w:szCs w:val="18"/>
              </w:rPr>
              <w:t>13,0</w:t>
            </w:r>
          </w:p>
        </w:tc>
        <w:tc>
          <w:tcPr>
            <w:tcW w:w="1008" w:type="dxa"/>
          </w:tcPr>
          <w:p w:rsidR="00E100B6" w:rsidRPr="007B16F5" w:rsidRDefault="00E100B6" w:rsidP="000A4018">
            <w:pPr>
              <w:pStyle w:val="Tabletext"/>
              <w:jc w:val="center"/>
              <w:rPr>
                <w:sz w:val="18"/>
                <w:szCs w:val="18"/>
              </w:rPr>
            </w:pPr>
            <w:r w:rsidRPr="007B16F5">
              <w:rPr>
                <w:sz w:val="18"/>
                <w:szCs w:val="18"/>
              </w:rPr>
              <w:t>10,8</w:t>
            </w:r>
          </w:p>
        </w:tc>
        <w:tc>
          <w:tcPr>
            <w:tcW w:w="951" w:type="dxa"/>
          </w:tcPr>
          <w:p w:rsidR="00E100B6" w:rsidRPr="007B16F5" w:rsidRDefault="00E100B6" w:rsidP="000A4018">
            <w:pPr>
              <w:pStyle w:val="Tabletext"/>
              <w:jc w:val="center"/>
              <w:rPr>
                <w:sz w:val="18"/>
                <w:szCs w:val="18"/>
              </w:rPr>
            </w:pPr>
            <w:r w:rsidRPr="007B16F5">
              <w:rPr>
                <w:sz w:val="18"/>
                <w:szCs w:val="18"/>
              </w:rPr>
              <w:t>11,8</w:t>
            </w:r>
          </w:p>
        </w:tc>
        <w:tc>
          <w:tcPr>
            <w:tcW w:w="984" w:type="dxa"/>
          </w:tcPr>
          <w:p w:rsidR="00E100B6" w:rsidRPr="007B16F5" w:rsidRDefault="00E100B6" w:rsidP="000A4018">
            <w:pPr>
              <w:pStyle w:val="Tabletext"/>
              <w:jc w:val="center"/>
              <w:rPr>
                <w:sz w:val="18"/>
                <w:szCs w:val="18"/>
              </w:rPr>
            </w:pPr>
            <w:r w:rsidRPr="007B16F5">
              <w:rPr>
                <w:sz w:val="18"/>
                <w:szCs w:val="18"/>
              </w:rPr>
              <w:t>10,1</w:t>
            </w:r>
          </w:p>
        </w:tc>
        <w:tc>
          <w:tcPr>
            <w:tcW w:w="998" w:type="dxa"/>
          </w:tcPr>
          <w:p w:rsidR="00E100B6" w:rsidRPr="007B16F5" w:rsidRDefault="00E100B6" w:rsidP="000A4018">
            <w:pPr>
              <w:pStyle w:val="Tabletext"/>
              <w:jc w:val="center"/>
              <w:rPr>
                <w:sz w:val="18"/>
                <w:szCs w:val="18"/>
              </w:rPr>
            </w:pPr>
            <w:r w:rsidRPr="007B16F5">
              <w:rPr>
                <w:sz w:val="18"/>
                <w:szCs w:val="18"/>
              </w:rPr>
              <w:t>8,9</w:t>
            </w:r>
          </w:p>
        </w:tc>
        <w:tc>
          <w:tcPr>
            <w:tcW w:w="1105" w:type="dxa"/>
          </w:tcPr>
          <w:p w:rsidR="00E100B6" w:rsidRPr="007B16F5" w:rsidRDefault="00E100B6" w:rsidP="000A4018">
            <w:pPr>
              <w:pStyle w:val="Tabletext"/>
              <w:jc w:val="center"/>
              <w:rPr>
                <w:sz w:val="18"/>
                <w:szCs w:val="18"/>
              </w:rPr>
            </w:pPr>
            <w:r w:rsidRPr="007B16F5">
              <w:rPr>
                <w:sz w:val="18"/>
                <w:szCs w:val="18"/>
              </w:rPr>
              <w:t>9,9</w:t>
            </w:r>
          </w:p>
        </w:tc>
      </w:tr>
      <w:tr w:rsidR="00E100B6" w:rsidRPr="007B16F5" w:rsidTr="000A4018">
        <w:trPr>
          <w:jc w:val="center"/>
        </w:trPr>
        <w:tc>
          <w:tcPr>
            <w:tcW w:w="2805" w:type="dxa"/>
          </w:tcPr>
          <w:p w:rsidR="00E100B6" w:rsidRPr="007B16F5" w:rsidRDefault="00E100B6" w:rsidP="000A4018">
            <w:pPr>
              <w:pStyle w:val="Tabletext"/>
              <w:jc w:val="left"/>
              <w:rPr>
                <w:sz w:val="18"/>
                <w:szCs w:val="18"/>
              </w:rPr>
            </w:pPr>
            <w:r w:rsidRPr="007B16F5">
              <w:rPr>
                <w:sz w:val="18"/>
                <w:szCs w:val="18"/>
              </w:rPr>
              <w:t>(</w:t>
            </w:r>
            <w:r w:rsidRPr="007B16F5">
              <w:rPr>
                <w:i/>
                <w:iCs/>
                <w:sz w:val="18"/>
                <w:szCs w:val="18"/>
              </w:rPr>
              <w:t>E</w:t>
            </w:r>
            <w:r w:rsidRPr="007B16F5">
              <w:rPr>
                <w:i/>
                <w:iCs/>
                <w:sz w:val="18"/>
                <w:szCs w:val="18"/>
                <w:vertAlign w:val="subscript"/>
              </w:rPr>
              <w:t>b</w:t>
            </w:r>
            <w:r w:rsidRPr="007B16F5">
              <w:rPr>
                <w:sz w:val="18"/>
                <w:szCs w:val="18"/>
              </w:rPr>
              <w:t>/</w:t>
            </w:r>
            <w:r w:rsidRPr="007B16F5">
              <w:rPr>
                <w:i/>
                <w:iCs/>
                <w:sz w:val="18"/>
                <w:szCs w:val="18"/>
              </w:rPr>
              <w:t>N</w:t>
            </w:r>
            <w:r w:rsidRPr="007B16F5">
              <w:rPr>
                <w:sz w:val="18"/>
                <w:szCs w:val="18"/>
                <w:vertAlign w:val="subscript"/>
              </w:rPr>
              <w:t>0</w:t>
            </w:r>
            <w:r>
              <w:rPr>
                <w:sz w:val="18"/>
                <w:szCs w:val="18"/>
              </w:rPr>
              <w:t>) théorique</w:t>
            </w:r>
            <w:r w:rsidRPr="007B16F5">
              <w:rPr>
                <w:sz w:val="18"/>
                <w:szCs w:val="18"/>
              </w:rPr>
              <w:t xml:space="preserve"> pour des TEB de 10</w:t>
            </w:r>
            <w:r w:rsidRPr="007B16F5">
              <w:rPr>
                <w:sz w:val="18"/>
                <w:szCs w:val="18"/>
                <w:vertAlign w:val="superscript"/>
              </w:rPr>
              <w:t>–6</w:t>
            </w:r>
            <w:r w:rsidRPr="007B16F5">
              <w:rPr>
                <w:sz w:val="18"/>
                <w:szCs w:val="18"/>
              </w:rPr>
              <w:t xml:space="preserve"> et 5 </w:t>
            </w:r>
            <w:r>
              <w:rPr>
                <w:sz w:val="18"/>
                <w:szCs w:val="18"/>
              </w:rPr>
              <w:t>×</w:t>
            </w:r>
            <w:r w:rsidRPr="007B16F5">
              <w:rPr>
                <w:sz w:val="18"/>
                <w:szCs w:val="18"/>
              </w:rPr>
              <w:t> 10</w:t>
            </w:r>
            <w:r w:rsidRPr="007B16F5">
              <w:rPr>
                <w:sz w:val="18"/>
                <w:szCs w:val="18"/>
                <w:vertAlign w:val="superscript"/>
              </w:rPr>
              <w:t xml:space="preserve">–5 </w:t>
            </w:r>
            <w:r w:rsidRPr="007B16F5">
              <w:rPr>
                <w:sz w:val="18"/>
                <w:szCs w:val="18"/>
              </w:rPr>
              <w:t>(dB)</w:t>
            </w:r>
          </w:p>
        </w:tc>
        <w:tc>
          <w:tcPr>
            <w:tcW w:w="776" w:type="dxa"/>
            <w:vAlign w:val="center"/>
          </w:tcPr>
          <w:p w:rsidR="00E100B6" w:rsidRPr="007B16F5" w:rsidRDefault="00E100B6" w:rsidP="000A4018">
            <w:pPr>
              <w:pStyle w:val="Tabletext"/>
              <w:jc w:val="center"/>
              <w:rPr>
                <w:sz w:val="18"/>
                <w:szCs w:val="18"/>
              </w:rPr>
            </w:pPr>
            <w:r w:rsidRPr="007B16F5">
              <w:rPr>
                <w:sz w:val="18"/>
                <w:szCs w:val="18"/>
              </w:rPr>
              <w:t>20</w:t>
            </w:r>
          </w:p>
        </w:tc>
        <w:tc>
          <w:tcPr>
            <w:tcW w:w="967" w:type="dxa"/>
            <w:vAlign w:val="center"/>
          </w:tcPr>
          <w:p w:rsidR="00E100B6" w:rsidRPr="007B16F5" w:rsidRDefault="00E100B6" w:rsidP="000A4018">
            <w:pPr>
              <w:pStyle w:val="Tabletext"/>
              <w:jc w:val="center"/>
              <w:rPr>
                <w:sz w:val="18"/>
                <w:szCs w:val="18"/>
              </w:rPr>
            </w:pPr>
            <w:r w:rsidRPr="007B16F5">
              <w:rPr>
                <w:sz w:val="18"/>
                <w:szCs w:val="18"/>
              </w:rPr>
              <w:t>10,6</w:t>
            </w:r>
          </w:p>
        </w:tc>
        <w:tc>
          <w:tcPr>
            <w:tcW w:w="5046" w:type="dxa"/>
            <w:gridSpan w:val="5"/>
            <w:vAlign w:val="center"/>
          </w:tcPr>
          <w:p w:rsidR="00E100B6" w:rsidRPr="007B16F5" w:rsidRDefault="00E100B6" w:rsidP="000A4018">
            <w:pPr>
              <w:pStyle w:val="Tabletext"/>
              <w:jc w:val="center"/>
              <w:rPr>
                <w:sz w:val="18"/>
                <w:szCs w:val="18"/>
              </w:rPr>
            </w:pPr>
            <w:r w:rsidRPr="007B16F5">
              <w:rPr>
                <w:sz w:val="18"/>
                <w:szCs w:val="18"/>
              </w:rPr>
              <w:t>8,8</w:t>
            </w:r>
          </w:p>
        </w:tc>
      </w:tr>
      <w:tr w:rsidR="00E100B6" w:rsidRPr="007B16F5" w:rsidTr="000A4018">
        <w:trPr>
          <w:jc w:val="center"/>
        </w:trPr>
        <w:tc>
          <w:tcPr>
            <w:tcW w:w="2805" w:type="dxa"/>
            <w:tcBorders>
              <w:bottom w:val="single" w:sz="4" w:space="0" w:color="auto"/>
            </w:tcBorders>
          </w:tcPr>
          <w:p w:rsidR="00E100B6" w:rsidRPr="007B16F5" w:rsidRDefault="00E100B6" w:rsidP="000A4018">
            <w:pPr>
              <w:pStyle w:val="Tabletext"/>
              <w:jc w:val="left"/>
              <w:rPr>
                <w:sz w:val="18"/>
                <w:szCs w:val="18"/>
              </w:rPr>
            </w:pPr>
            <w:r w:rsidRPr="007B16F5">
              <w:rPr>
                <w:sz w:val="18"/>
                <w:szCs w:val="18"/>
              </w:rPr>
              <w:t>Marge (dB)</w:t>
            </w:r>
          </w:p>
        </w:tc>
        <w:tc>
          <w:tcPr>
            <w:tcW w:w="776"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21</w:t>
            </w:r>
          </w:p>
        </w:tc>
        <w:tc>
          <w:tcPr>
            <w:tcW w:w="967"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2,4</w:t>
            </w:r>
          </w:p>
        </w:tc>
        <w:tc>
          <w:tcPr>
            <w:tcW w:w="1008"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2,0</w:t>
            </w:r>
          </w:p>
        </w:tc>
        <w:tc>
          <w:tcPr>
            <w:tcW w:w="951"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3,0</w:t>
            </w:r>
          </w:p>
        </w:tc>
        <w:tc>
          <w:tcPr>
            <w:tcW w:w="984"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1,3</w:t>
            </w:r>
          </w:p>
        </w:tc>
        <w:tc>
          <w:tcPr>
            <w:tcW w:w="998"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0,1</w:t>
            </w:r>
          </w:p>
        </w:tc>
        <w:tc>
          <w:tcPr>
            <w:tcW w:w="1105" w:type="dxa"/>
            <w:tcBorders>
              <w:bottom w:val="single" w:sz="4" w:space="0" w:color="auto"/>
            </w:tcBorders>
          </w:tcPr>
          <w:p w:rsidR="00E100B6" w:rsidRPr="007B16F5" w:rsidRDefault="00E100B6" w:rsidP="000A4018">
            <w:pPr>
              <w:pStyle w:val="Tabletext"/>
              <w:jc w:val="center"/>
              <w:rPr>
                <w:sz w:val="18"/>
                <w:szCs w:val="18"/>
              </w:rPr>
            </w:pPr>
            <w:r w:rsidRPr="007B16F5">
              <w:rPr>
                <w:sz w:val="18"/>
                <w:szCs w:val="18"/>
              </w:rPr>
              <w:t>1,1</w:t>
            </w:r>
          </w:p>
        </w:tc>
      </w:tr>
      <w:tr w:rsidR="00E100B6" w:rsidRPr="007B16F5" w:rsidTr="000A4018">
        <w:trPr>
          <w:jc w:val="center"/>
        </w:trPr>
        <w:tc>
          <w:tcPr>
            <w:tcW w:w="9594" w:type="dxa"/>
            <w:gridSpan w:val="8"/>
            <w:tcBorders>
              <w:top w:val="nil"/>
              <w:left w:val="nil"/>
              <w:bottom w:val="nil"/>
              <w:right w:val="nil"/>
            </w:tcBorders>
          </w:tcPr>
          <w:p w:rsidR="00E100B6" w:rsidRPr="007B16F5" w:rsidRDefault="00E100B6" w:rsidP="00522C14">
            <w:pPr>
              <w:pStyle w:val="Tablelegend"/>
              <w:rPr>
                <w:sz w:val="18"/>
              </w:rPr>
            </w:pPr>
            <w:r w:rsidRPr="007B16F5">
              <w:rPr>
                <w:i/>
                <w:iCs/>
                <w:sz w:val="18"/>
              </w:rPr>
              <w:t>Notes relatives au Tableau 2:</w:t>
            </w:r>
          </w:p>
          <w:p w:rsidR="00E100B6" w:rsidRPr="001706A9" w:rsidRDefault="00E100B6" w:rsidP="001706A9">
            <w:pPr>
              <w:pStyle w:val="Tablelegend"/>
              <w:rPr>
                <w:sz w:val="18"/>
                <w:szCs w:val="18"/>
              </w:rPr>
            </w:pPr>
            <w:r w:rsidRPr="001706A9">
              <w:rPr>
                <w:sz w:val="18"/>
                <w:szCs w:val="18"/>
              </w:rPr>
              <w:t>1</w:t>
            </w:r>
            <w:r w:rsidRPr="001706A9">
              <w:rPr>
                <w:sz w:val="18"/>
                <w:szCs w:val="18"/>
              </w:rPr>
              <w:tab/>
              <w:t>Largeur de bande nominale à 1 dB du récepteur du satellite, centrée à 406,05 MHz.</w:t>
            </w:r>
          </w:p>
          <w:p w:rsidR="00E100B6" w:rsidRPr="001706A9" w:rsidRDefault="00E100B6" w:rsidP="001706A9">
            <w:pPr>
              <w:pStyle w:val="Tablelegend"/>
              <w:rPr>
                <w:sz w:val="18"/>
                <w:szCs w:val="18"/>
              </w:rPr>
            </w:pPr>
            <w:r w:rsidRPr="001706A9">
              <w:rPr>
                <w:sz w:val="18"/>
                <w:szCs w:val="18"/>
              </w:rPr>
              <w:t>2</w:t>
            </w:r>
            <w:r w:rsidRPr="001706A9">
              <w:rPr>
                <w:sz w:val="18"/>
                <w:szCs w:val="18"/>
              </w:rPr>
              <w:tab/>
              <w:t>Les fréquences utilisées par la balise sont comprises entre 406,022 et 406,079 MHz.</w:t>
            </w:r>
          </w:p>
          <w:p w:rsidR="00E100B6" w:rsidRPr="001706A9" w:rsidRDefault="00E100B6" w:rsidP="001706A9">
            <w:pPr>
              <w:pStyle w:val="Tablelegend"/>
              <w:rPr>
                <w:sz w:val="18"/>
                <w:szCs w:val="18"/>
              </w:rPr>
            </w:pPr>
            <w:r w:rsidRPr="001706A9">
              <w:rPr>
                <w:sz w:val="18"/>
                <w:szCs w:val="18"/>
              </w:rPr>
              <w:t>3</w:t>
            </w:r>
            <w:r w:rsidRPr="001706A9">
              <w:rPr>
                <w:sz w:val="18"/>
                <w:szCs w:val="18"/>
              </w:rPr>
              <w:tab/>
              <w:t>La puissance de l'émetteur de la balise peut aller de 5 à 9 dBW; par conséquent, on utilise la puissance la plus faible (5 dBW) pour calculer le bilan de liaison. Par ailleurs, on suppose que deux autres balises fonctionnant nominalement à 406 MHz émettent simultanément des salves de données, avec les caractéristiques suivantes: angle d'élévation de 40° par rapport au satellite, puissance d'émission de 7 dBW, gain d'antenne de 0 dB, affaiblissement d'émission de 1 dB; on utilise donc une p.i.r.e. de 6 dBW sur la liaison montante (les émissions de ces balises supplémentaires ont une incidence sur le partage de puissance de l'émetteur du satellite).</w:t>
            </w:r>
          </w:p>
          <w:p w:rsidR="00E100B6" w:rsidRPr="001706A9" w:rsidRDefault="00E100B6" w:rsidP="001706A9">
            <w:pPr>
              <w:pStyle w:val="Tablelegend"/>
              <w:rPr>
                <w:sz w:val="18"/>
                <w:szCs w:val="18"/>
              </w:rPr>
            </w:pPr>
            <w:r w:rsidRPr="001706A9">
              <w:rPr>
                <w:sz w:val="18"/>
                <w:szCs w:val="18"/>
              </w:rPr>
              <w:t>4</w:t>
            </w:r>
            <w:r w:rsidRPr="001706A9">
              <w:rPr>
                <w:sz w:val="18"/>
                <w:szCs w:val="18"/>
              </w:rPr>
              <w:tab/>
              <w:t>L'antenne d'émission est à polarisation linéaire.</w:t>
            </w:r>
          </w:p>
          <w:p w:rsidR="00E100B6" w:rsidRPr="001706A9" w:rsidRDefault="00E100B6" w:rsidP="001706A9">
            <w:pPr>
              <w:pStyle w:val="Tablelegend"/>
              <w:rPr>
                <w:sz w:val="18"/>
                <w:szCs w:val="18"/>
              </w:rPr>
            </w:pPr>
            <w:r w:rsidRPr="001706A9">
              <w:rPr>
                <w:sz w:val="18"/>
                <w:szCs w:val="18"/>
              </w:rPr>
              <w:t>5</w:t>
            </w:r>
            <w:r w:rsidRPr="001706A9">
              <w:rPr>
                <w:sz w:val="18"/>
                <w:szCs w:val="18"/>
              </w:rPr>
              <w:tab/>
              <w:t>L'angle d'élévation de 5° depuis la balise vers le satellite correspond à la limite nominale de la zone de couverture et l'altitude nominale est de 35 786 km pour les satellites GEOSAR, de 850 km pour les satellites Sarsat (entre 830 et 870 km) et de 1 000 km pour les satellites Cospas.</w:t>
            </w:r>
          </w:p>
          <w:p w:rsidR="00E100B6" w:rsidRPr="007B16F5" w:rsidRDefault="00E100B6" w:rsidP="001706A9">
            <w:pPr>
              <w:pStyle w:val="Tablelegend"/>
            </w:pPr>
            <w:r w:rsidRPr="001706A9">
              <w:rPr>
                <w:sz w:val="18"/>
                <w:szCs w:val="18"/>
              </w:rPr>
              <w:t>6</w:t>
            </w:r>
            <w:r w:rsidRPr="001706A9">
              <w:rPr>
                <w:sz w:val="18"/>
                <w:szCs w:val="18"/>
              </w:rPr>
              <w:tab/>
              <w:t>Affaiblissement de polarisation dû à la polarisation linéaire de l'antenne de la balise et à l'évanouissement du signal sur la liaison montante. L'affaiblissement de polarisation sur la liaison LEOSAR est compris dans le gain d'antenne et donc pris en compte dans le G/T de l'antenne d'émission du satellite</w:t>
            </w:r>
            <w:r>
              <w:t>.</w:t>
            </w:r>
          </w:p>
          <w:p w:rsidR="00E100B6" w:rsidRPr="007B16F5" w:rsidRDefault="00E100B6" w:rsidP="000A4018">
            <w:pPr>
              <w:pStyle w:val="Tablelegend"/>
              <w:ind w:left="567" w:hanging="567"/>
              <w:rPr>
                <w:i/>
                <w:iCs/>
                <w:sz w:val="18"/>
              </w:rPr>
            </w:pPr>
            <w:r>
              <w:rPr>
                <w:sz w:val="18"/>
              </w:rPr>
              <w:tab/>
            </w:r>
            <w:r w:rsidRPr="007B16F5">
              <w:rPr>
                <w:sz w:val="18"/>
              </w:rPr>
              <w:t>6a</w:t>
            </w:r>
            <w:r w:rsidRPr="007B16F5">
              <w:rPr>
                <w:sz w:val="18"/>
              </w:rPr>
              <w:tab/>
            </w:r>
            <w:r>
              <w:rPr>
                <w:sz w:val="18"/>
              </w:rPr>
              <w:t>Une tolérance de 2,5 dB pour l'évanouissement du signal (dû essentiellement à la scintillation) est prévue pour la liaison (voir le document C/S R.012, Annexe J. Il est possible de se procurer gratuitement un exemplaire de ce document sur le site web du secrétariat de Copsas-Sarsat (</w:t>
            </w:r>
            <w:r w:rsidRPr="007B16F5">
              <w:rPr>
                <w:sz w:val="18"/>
              </w:rPr>
              <w:t>E</w:t>
            </w:r>
            <w:r w:rsidRPr="007B16F5">
              <w:rPr>
                <w:sz w:val="18"/>
              </w:rPr>
              <w:noBreakHyphen/>
            </w:r>
            <w:r w:rsidRPr="007B16F5" w:rsidDel="00BB43F3">
              <w:rPr>
                <w:sz w:val="18"/>
                <w:szCs w:val="15"/>
              </w:rPr>
              <w:t>mail:</w:t>
            </w:r>
            <w:r w:rsidRPr="007B16F5">
              <w:rPr>
                <w:sz w:val="18"/>
                <w:szCs w:val="15"/>
              </w:rPr>
              <w:t xml:space="preserve"> </w:t>
            </w:r>
            <w:hyperlink r:id="rId24" w:history="1">
              <w:r w:rsidRPr="007B16F5" w:rsidDel="00BB43F3">
                <w:rPr>
                  <w:rStyle w:val="Hyperlink"/>
                  <w:sz w:val="18"/>
                </w:rPr>
                <w:t>cospas_sarsat@imso.org</w:t>
              </w:r>
            </w:hyperlink>
            <w:r w:rsidRPr="007B16F5">
              <w:rPr>
                <w:sz w:val="18"/>
              </w:rPr>
              <w:t xml:space="preserve"> http://www.cospas-sarsat.org/)</w:t>
            </w:r>
            <w:r>
              <w:rPr>
                <w:sz w:val="18"/>
              </w:rPr>
              <w:t>).</w:t>
            </w:r>
          </w:p>
        </w:tc>
      </w:tr>
      <w:tr w:rsidR="00E100B6" w:rsidRPr="007B16F5" w:rsidTr="000A4018">
        <w:trPr>
          <w:jc w:val="center"/>
        </w:trPr>
        <w:tc>
          <w:tcPr>
            <w:tcW w:w="9594" w:type="dxa"/>
            <w:gridSpan w:val="8"/>
            <w:tcBorders>
              <w:top w:val="nil"/>
              <w:left w:val="nil"/>
              <w:bottom w:val="nil"/>
              <w:right w:val="nil"/>
            </w:tcBorders>
          </w:tcPr>
          <w:p w:rsidR="00E100B6" w:rsidRPr="001706A9" w:rsidRDefault="00E100B6" w:rsidP="001706A9">
            <w:pPr>
              <w:pStyle w:val="Tablelegend"/>
              <w:rPr>
                <w:sz w:val="18"/>
                <w:szCs w:val="18"/>
              </w:rPr>
            </w:pPr>
            <w:r w:rsidRPr="001706A9">
              <w:rPr>
                <w:sz w:val="18"/>
                <w:szCs w:val="18"/>
              </w:rPr>
              <w:t>7</w:t>
            </w:r>
            <w:r w:rsidRPr="001706A9">
              <w:rPr>
                <w:sz w:val="18"/>
                <w:szCs w:val="18"/>
              </w:rPr>
              <w:tab/>
              <w:t>Rapport G/T du récepteur du satellite sur 406 MHz rapporté à l'entrée de l'AFB, pour lequel le gain nominal et la température de bruit sont les suivants:</w:t>
            </w:r>
          </w:p>
          <w:p w:rsidR="00E100B6" w:rsidRPr="001706A9" w:rsidRDefault="00E100B6" w:rsidP="001706A9">
            <w:pPr>
              <w:pStyle w:val="Tablelegend"/>
              <w:jc w:val="left"/>
              <w:rPr>
                <w:sz w:val="18"/>
                <w:szCs w:val="18"/>
              </w:rPr>
            </w:pPr>
            <w:r w:rsidRPr="001706A9">
              <w:rPr>
                <w:sz w:val="18"/>
                <w:szCs w:val="18"/>
              </w:rPr>
              <w:tab/>
              <w:t>GOES: G = 7,05 dB et temp. de bruit = 359 K</w:t>
            </w:r>
            <w:proofErr w:type="gramStart"/>
            <w:r w:rsidRPr="001706A9">
              <w:rPr>
                <w:sz w:val="18"/>
                <w:szCs w:val="18"/>
              </w:rPr>
              <w:t>.</w:t>
            </w:r>
            <w:proofErr w:type="gramEnd"/>
            <w:r w:rsidRPr="001706A9">
              <w:rPr>
                <w:sz w:val="18"/>
                <w:szCs w:val="18"/>
              </w:rPr>
              <w:br/>
              <w:t>MSG: G = 3,0 dB et temp. de bruit = 326 K</w:t>
            </w:r>
            <w:proofErr w:type="gramStart"/>
            <w:r w:rsidRPr="001706A9">
              <w:rPr>
                <w:sz w:val="18"/>
                <w:szCs w:val="18"/>
              </w:rPr>
              <w:t>.</w:t>
            </w:r>
            <w:proofErr w:type="gramEnd"/>
            <w:r w:rsidRPr="001706A9">
              <w:rPr>
                <w:sz w:val="18"/>
                <w:szCs w:val="18"/>
              </w:rPr>
              <w:br/>
              <w:t>Sarsat: G = –4,0 dB et temp. de bruit = 1 000 K</w:t>
            </w:r>
            <w:proofErr w:type="gramStart"/>
            <w:r w:rsidRPr="001706A9">
              <w:rPr>
                <w:sz w:val="18"/>
                <w:szCs w:val="18"/>
              </w:rPr>
              <w:t>.</w:t>
            </w:r>
            <w:proofErr w:type="gramEnd"/>
            <w:r w:rsidRPr="001706A9">
              <w:rPr>
                <w:sz w:val="18"/>
                <w:szCs w:val="18"/>
              </w:rPr>
              <w:br/>
              <w:t>Cospas: G = –4,0 dB et temp. de bruit = 1 000 K.</w:t>
            </w:r>
          </w:p>
          <w:p w:rsidR="00E100B6" w:rsidRPr="001706A9" w:rsidRDefault="000A4018" w:rsidP="001706A9">
            <w:pPr>
              <w:pStyle w:val="Tablelegend"/>
              <w:rPr>
                <w:sz w:val="18"/>
                <w:szCs w:val="18"/>
              </w:rPr>
            </w:pPr>
            <w:r w:rsidRPr="001706A9">
              <w:rPr>
                <w:sz w:val="18"/>
                <w:szCs w:val="18"/>
              </w:rPr>
              <w:t>8</w:t>
            </w:r>
            <w:r w:rsidR="00E100B6" w:rsidRPr="001706A9">
              <w:rPr>
                <w:sz w:val="18"/>
                <w:szCs w:val="18"/>
              </w:rPr>
              <w:tab/>
              <w:t>La bande de fréquences 1 544-1 545 MHz est celle attribuée pour les liaisons descendantes pour la détresse et la sécurité.</w:t>
            </w:r>
          </w:p>
          <w:p w:rsidR="00E100B6" w:rsidRPr="001706A9" w:rsidRDefault="00E100B6" w:rsidP="001706A9">
            <w:pPr>
              <w:pStyle w:val="Tablelegend"/>
              <w:rPr>
                <w:sz w:val="18"/>
                <w:szCs w:val="18"/>
              </w:rPr>
            </w:pPr>
            <w:r w:rsidRPr="001706A9">
              <w:rPr>
                <w:sz w:val="18"/>
                <w:szCs w:val="18"/>
              </w:rPr>
              <w:t>9</w:t>
            </w:r>
            <w:r w:rsidRPr="001706A9">
              <w:rPr>
                <w:sz w:val="18"/>
                <w:szCs w:val="18"/>
              </w:rPr>
              <w:tab/>
              <w:t>La p.i.r.e. est calculée à partir de la puissance de l'émetteur du satellite et du gain de l'antenne d'émission. Dans le cas des satellites MSG et GALILEO, on connaît la p.i.r.e. de la balise considérée (par conséquent, la totalité du partage de puissance avec d'autres balises et la température de bruit sont incluses).</w:t>
            </w:r>
          </w:p>
          <w:p w:rsidR="00E100B6" w:rsidRPr="001706A9" w:rsidRDefault="00E100B6" w:rsidP="001706A9">
            <w:pPr>
              <w:pStyle w:val="Tablelegend"/>
              <w:rPr>
                <w:sz w:val="18"/>
                <w:szCs w:val="18"/>
              </w:rPr>
            </w:pPr>
            <w:r w:rsidRPr="001706A9">
              <w:rPr>
                <w:sz w:val="18"/>
                <w:szCs w:val="18"/>
              </w:rPr>
              <w:lastRenderedPageBreak/>
              <w:t>10</w:t>
            </w:r>
            <w:r w:rsidRPr="001706A9">
              <w:rPr>
                <w:sz w:val="18"/>
                <w:szCs w:val="18"/>
              </w:rPr>
              <w:tab/>
              <w:t>L'affaiblissement dû au partage de puissance correspond à la part de la p.i.r.e. d'émission attribuée au signal de cette balise de détresse. «L'affaiblissement dû au partage de puissance» est inclus dans le paramètre «p.i.r.e. d'émission» dans le cas des satellites MSG et GALILEO.</w:t>
            </w:r>
          </w:p>
        </w:tc>
      </w:tr>
      <w:tr w:rsidR="00E100B6" w:rsidRPr="007B16F5" w:rsidTr="000A4018">
        <w:trPr>
          <w:jc w:val="center"/>
        </w:trPr>
        <w:tc>
          <w:tcPr>
            <w:tcW w:w="9594" w:type="dxa"/>
            <w:gridSpan w:val="8"/>
            <w:tcBorders>
              <w:top w:val="nil"/>
              <w:left w:val="nil"/>
              <w:bottom w:val="nil"/>
              <w:right w:val="nil"/>
            </w:tcBorders>
          </w:tcPr>
          <w:p w:rsidR="00E100B6" w:rsidRPr="001706A9" w:rsidRDefault="00E100B6" w:rsidP="001706A9">
            <w:pPr>
              <w:pStyle w:val="Tablelegend"/>
              <w:rPr>
                <w:sz w:val="18"/>
                <w:szCs w:val="18"/>
              </w:rPr>
            </w:pPr>
            <w:r w:rsidRPr="001706A9">
              <w:rPr>
                <w:sz w:val="18"/>
                <w:szCs w:val="18"/>
              </w:rPr>
              <w:lastRenderedPageBreak/>
              <w:t>11</w:t>
            </w:r>
            <w:r w:rsidRPr="001706A9">
              <w:rPr>
                <w:sz w:val="18"/>
                <w:szCs w:val="18"/>
              </w:rPr>
              <w:tab/>
              <w:t>La perte de modulation est la part de la p.i.r.e. d'émission attribuée au répéteur sur 406 MHz à bord du satellite, tel qu'établi par l'indice de modulation de la phase (ne concerne pas le satellite MSG et les satellites MEOSAR, qui ont une conversion de fréquence directe).</w:t>
            </w:r>
          </w:p>
          <w:p w:rsidR="00E100B6" w:rsidRPr="001706A9" w:rsidRDefault="00E100B6" w:rsidP="001706A9">
            <w:pPr>
              <w:pStyle w:val="Tablelegend"/>
              <w:rPr>
                <w:sz w:val="18"/>
                <w:szCs w:val="18"/>
              </w:rPr>
            </w:pPr>
            <w:r w:rsidRPr="001706A9">
              <w:rPr>
                <w:sz w:val="18"/>
                <w:szCs w:val="18"/>
              </w:rPr>
              <w:t>12</w:t>
            </w:r>
            <w:r w:rsidRPr="001706A9">
              <w:rPr>
                <w:sz w:val="18"/>
                <w:szCs w:val="18"/>
              </w:rPr>
              <w:tab/>
              <w:t>L'angle d'élévation de 5° depuis le terminal LUT vers le satellite correspond à la limite nominale de la zone de couverture.</w:t>
            </w:r>
          </w:p>
          <w:p w:rsidR="00E100B6" w:rsidRPr="001706A9" w:rsidRDefault="00E100B6" w:rsidP="001706A9">
            <w:pPr>
              <w:pStyle w:val="Tablelegend"/>
              <w:rPr>
                <w:sz w:val="18"/>
                <w:szCs w:val="18"/>
              </w:rPr>
            </w:pPr>
            <w:r w:rsidRPr="001706A9">
              <w:rPr>
                <w:sz w:val="18"/>
                <w:szCs w:val="18"/>
              </w:rPr>
              <w:t>13</w:t>
            </w:r>
            <w:r w:rsidRPr="001706A9">
              <w:rPr>
                <w:sz w:val="18"/>
                <w:szCs w:val="18"/>
              </w:rPr>
              <w:tab/>
              <w:t>G/T utilise les valeurs nominales pour chaque type de terminal LUT.</w:t>
            </w:r>
          </w:p>
          <w:p w:rsidR="00E100B6" w:rsidRPr="001706A9" w:rsidRDefault="00E100B6" w:rsidP="001706A9">
            <w:pPr>
              <w:pStyle w:val="Tablelegend"/>
              <w:rPr>
                <w:sz w:val="18"/>
                <w:szCs w:val="18"/>
              </w:rPr>
            </w:pPr>
            <w:r w:rsidRPr="001706A9">
              <w:rPr>
                <w:sz w:val="18"/>
                <w:szCs w:val="18"/>
              </w:rPr>
              <w:t>14</w:t>
            </w:r>
            <w:r w:rsidRPr="001706A9">
              <w:rPr>
                <w:sz w:val="18"/>
                <w:szCs w:val="18"/>
              </w:rPr>
              <w:tab/>
              <w:t>Perte de polarisation pour chaque type d'antenne de terminal LUT.</w:t>
            </w:r>
          </w:p>
          <w:p w:rsidR="00E100B6" w:rsidRPr="001706A9" w:rsidRDefault="00E100B6" w:rsidP="001706A9">
            <w:pPr>
              <w:pStyle w:val="Tablelegend"/>
              <w:rPr>
                <w:sz w:val="18"/>
                <w:szCs w:val="18"/>
              </w:rPr>
            </w:pPr>
            <w:r w:rsidRPr="001706A9">
              <w:rPr>
                <w:sz w:val="18"/>
                <w:szCs w:val="18"/>
              </w:rPr>
              <w:t>15</w:t>
            </w:r>
            <w:r w:rsidRPr="001706A9">
              <w:rPr>
                <w:sz w:val="18"/>
                <w:szCs w:val="18"/>
              </w:rPr>
              <w:tab/>
              <w:t>Perte due au pointage de l'antenne du terminal LUT.</w:t>
            </w:r>
          </w:p>
          <w:p w:rsidR="00E100B6" w:rsidRPr="001706A9" w:rsidRDefault="00E100B6" w:rsidP="001706A9">
            <w:pPr>
              <w:pStyle w:val="Tablelegend"/>
              <w:rPr>
                <w:sz w:val="18"/>
                <w:szCs w:val="18"/>
              </w:rPr>
            </w:pPr>
            <w:r w:rsidRPr="001706A9">
              <w:rPr>
                <w:sz w:val="18"/>
                <w:szCs w:val="18"/>
              </w:rPr>
              <w:t>16</w:t>
            </w:r>
            <w:r w:rsidRPr="001706A9">
              <w:rPr>
                <w:sz w:val="18"/>
                <w:szCs w:val="18"/>
              </w:rPr>
              <w:tab/>
              <w:t>Le niveau de la porteuse diminue de 10 dB pendant une courte durée en raison d'une modulation élevée dans d'autres canaux avant que la commande automatique de gain réponde.</w:t>
            </w:r>
          </w:p>
          <w:p w:rsidR="00E100B6" w:rsidRPr="001706A9" w:rsidRDefault="00E100B6" w:rsidP="001706A9">
            <w:pPr>
              <w:pStyle w:val="Tablelegend"/>
              <w:rPr>
                <w:sz w:val="18"/>
                <w:szCs w:val="18"/>
              </w:rPr>
            </w:pPr>
            <w:r w:rsidRPr="001706A9">
              <w:rPr>
                <w:sz w:val="18"/>
                <w:szCs w:val="18"/>
              </w:rPr>
              <w:t>17</w:t>
            </w:r>
            <w:r w:rsidRPr="001706A9">
              <w:rPr>
                <w:sz w:val="18"/>
                <w:szCs w:val="18"/>
              </w:rPr>
              <w:tab/>
              <w:t>Le débit de données est de 400 bits/s pour l'émission de la balise et de 2 400 bits/s pour le PDS.</w:t>
            </w:r>
          </w:p>
          <w:p w:rsidR="00E100B6" w:rsidRPr="001706A9" w:rsidRDefault="00E100B6" w:rsidP="001706A9">
            <w:pPr>
              <w:pStyle w:val="Tablelegend"/>
              <w:rPr>
                <w:sz w:val="18"/>
                <w:szCs w:val="18"/>
              </w:rPr>
            </w:pPr>
            <w:r w:rsidRPr="001706A9">
              <w:rPr>
                <w:sz w:val="18"/>
                <w:szCs w:val="18"/>
              </w:rPr>
              <w:t>18</w:t>
            </w:r>
            <w:r w:rsidRPr="001706A9">
              <w:rPr>
                <w:sz w:val="18"/>
                <w:szCs w:val="18"/>
              </w:rPr>
              <w:tab/>
              <w:t>Perte de modulation des données de la balise, puisqu'une partie de la puissance est retenue à dessein dans la porteuse étant donné que l'indice de modulation est fixé à 1,1 ± 0,1 radian.</w:t>
            </w:r>
          </w:p>
          <w:p w:rsidR="00E100B6" w:rsidRPr="001706A9" w:rsidRDefault="00E100B6" w:rsidP="00E363C6">
            <w:pPr>
              <w:pStyle w:val="Tablelegend"/>
              <w:rPr>
                <w:sz w:val="18"/>
                <w:szCs w:val="18"/>
              </w:rPr>
            </w:pPr>
            <w:r w:rsidRPr="001706A9">
              <w:rPr>
                <w:sz w:val="18"/>
                <w:szCs w:val="18"/>
              </w:rPr>
              <w:t>19</w:t>
            </w:r>
            <w:r w:rsidRPr="001706A9">
              <w:rPr>
                <w:sz w:val="18"/>
                <w:szCs w:val="18"/>
              </w:rPr>
              <w:tab/>
              <w:t>Gain de traitement dû à l'intégration de plusieurs salves de données de la balise au niveau du terminal LUT. Dans le cas de satellites MEOSAR, on prend pour hypothèse une démodulation à salve unique (voir le Document C/S R.012, Annexe J. Il est possible de se procurer gratuitement un exemplaire de ce document sur le site web du secrétariat de Copsas-Sarsat (E</w:t>
            </w:r>
            <w:r w:rsidRPr="001706A9">
              <w:rPr>
                <w:sz w:val="18"/>
                <w:szCs w:val="18"/>
              </w:rPr>
              <w:noBreakHyphen/>
            </w:r>
            <w:r w:rsidRPr="001706A9" w:rsidDel="00BB43F3">
              <w:rPr>
                <w:sz w:val="18"/>
                <w:szCs w:val="18"/>
              </w:rPr>
              <w:t>mail:</w:t>
            </w:r>
            <w:r w:rsidR="00E363C6">
              <w:rPr>
                <w:sz w:val="18"/>
                <w:szCs w:val="18"/>
              </w:rPr>
              <w:t> </w:t>
            </w:r>
            <w:hyperlink r:id="rId25" w:history="1">
              <w:r w:rsidRPr="00E363C6" w:rsidDel="00BB43F3">
                <w:rPr>
                  <w:rStyle w:val="Hyperlink"/>
                  <w:sz w:val="18"/>
                  <w:szCs w:val="18"/>
                </w:rPr>
                <w:t>cospas_sarsat@imso.org</w:t>
              </w:r>
            </w:hyperlink>
            <w:r w:rsidRPr="001706A9">
              <w:rPr>
                <w:sz w:val="18"/>
                <w:szCs w:val="18"/>
              </w:rPr>
              <w:t xml:space="preserve"> http://www.cospas-sarsat.org/)).</w:t>
            </w:r>
          </w:p>
          <w:p w:rsidR="00E100B6" w:rsidRPr="001706A9" w:rsidRDefault="00E100B6" w:rsidP="001706A9">
            <w:pPr>
              <w:pStyle w:val="Tablelegend"/>
              <w:rPr>
                <w:sz w:val="18"/>
                <w:szCs w:val="18"/>
              </w:rPr>
            </w:pPr>
            <w:r w:rsidRPr="001706A9">
              <w:rPr>
                <w:sz w:val="18"/>
                <w:szCs w:val="18"/>
              </w:rPr>
              <w:t>20</w:t>
            </w:r>
            <w:r w:rsidRPr="001706A9">
              <w:rPr>
                <w:sz w:val="18"/>
                <w:szCs w:val="18"/>
              </w:rPr>
              <w:tab/>
              <w:t>Le TEB du canal utilisé par les répéteurs est de 5,0 × 10</w:t>
            </w:r>
            <w:r w:rsidRPr="001706A9">
              <w:rPr>
                <w:sz w:val="18"/>
                <w:szCs w:val="18"/>
                <w:vertAlign w:val="superscript"/>
              </w:rPr>
              <w:t>–5</w:t>
            </w:r>
            <w:r w:rsidRPr="001706A9">
              <w:rPr>
                <w:sz w:val="18"/>
                <w:szCs w:val="18"/>
              </w:rPr>
              <w:t>, comme indiqué dans la Recommandation UIT-R M.1478, tandis qu'il est de 1,0 × 10</w:t>
            </w:r>
            <w:r w:rsidRPr="00D259B9">
              <w:rPr>
                <w:sz w:val="18"/>
                <w:szCs w:val="18"/>
                <w:vertAlign w:val="superscript"/>
              </w:rPr>
              <w:t>–6</w:t>
            </w:r>
            <w:r w:rsidRPr="001706A9">
              <w:rPr>
                <w:sz w:val="18"/>
                <w:szCs w:val="18"/>
              </w:rPr>
              <w:t xml:space="preserve"> pour le canal du PDS.</w:t>
            </w:r>
          </w:p>
          <w:p w:rsidR="00E100B6" w:rsidRPr="001706A9" w:rsidRDefault="00E100B6" w:rsidP="001706A9">
            <w:pPr>
              <w:pStyle w:val="Tablelegend"/>
              <w:rPr>
                <w:sz w:val="18"/>
                <w:szCs w:val="18"/>
              </w:rPr>
            </w:pPr>
            <w:r w:rsidRPr="001706A9">
              <w:rPr>
                <w:sz w:val="18"/>
                <w:szCs w:val="18"/>
              </w:rPr>
              <w:t>21</w:t>
            </w:r>
            <w:r w:rsidRPr="001706A9">
              <w:rPr>
                <w:sz w:val="18"/>
                <w:szCs w:val="18"/>
              </w:rPr>
              <w:tab/>
              <w:t>La marge correspond au signal supplémentaire restant qui peut être utilisé en cas de brouillage.</w:t>
            </w:r>
          </w:p>
        </w:tc>
      </w:tr>
    </w:tbl>
    <w:p w:rsidR="00E100B6" w:rsidRPr="00C5340E" w:rsidRDefault="00E100B6" w:rsidP="00D259B9">
      <w:pPr>
        <w:pStyle w:val="Tablefin"/>
        <w:rPr>
          <w:lang w:val="fr-CH"/>
        </w:rPr>
      </w:pPr>
    </w:p>
    <w:p w:rsidR="00E100B6" w:rsidRDefault="00E100B6" w:rsidP="00E100B6"/>
    <w:p w:rsidR="00E100B6" w:rsidRDefault="00E100B6" w:rsidP="00E100B6">
      <w:pPr>
        <w:jc w:val="center"/>
      </w:pPr>
      <w:r>
        <w:t>______________</w:t>
      </w:r>
    </w:p>
    <w:p w:rsidR="00934ED7" w:rsidRPr="00756B4D" w:rsidRDefault="00934ED7" w:rsidP="00530208">
      <w:pPr>
        <w:pStyle w:val="RecNo"/>
        <w:spacing w:before="0"/>
      </w:pPr>
    </w:p>
    <w:sectPr w:rsidR="00934ED7" w:rsidRPr="00756B4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C1E" w:rsidRDefault="00315C1E">
      <w:r>
        <w:separator/>
      </w:r>
    </w:p>
  </w:endnote>
  <w:endnote w:type="continuationSeparator" w:id="0">
    <w:p w:rsidR="00315C1E" w:rsidRDefault="00315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C1E" w:rsidRDefault="00315C1E">
      <w:r>
        <w:separator/>
      </w:r>
    </w:p>
  </w:footnote>
  <w:footnote w:type="continuationSeparator" w:id="0">
    <w:p w:rsidR="00315C1E" w:rsidRDefault="00315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C1E" w:rsidRDefault="00315C1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C1E" w:rsidRDefault="00315C1E" w:rsidP="00C668C8">
    <w:pPr>
      <w:pStyle w:val="Header"/>
      <w:ind w:right="360" w:firstLine="360"/>
    </w:pPr>
    <w:r>
      <w:rPr>
        <w:noProof/>
        <w:lang w:val="en-US" w:eastAsia="zh-CN"/>
      </w:rPr>
      <w:drawing>
        <wp:anchor distT="0" distB="0" distL="114300" distR="114300" simplePos="0" relativeHeight="251657728" behindDoc="1" locked="0" layoutInCell="1" allowOverlap="1" wp14:anchorId="376E8E8A" wp14:editId="275F1E3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C1E" w:rsidRPr="00837CB5" w:rsidRDefault="00315C1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47EFA">
      <w:rPr>
        <w:rStyle w:val="PageNumber"/>
        <w:b/>
        <w:bCs/>
        <w:noProof/>
      </w:rPr>
      <w:t>6</w:t>
    </w:r>
    <w:r>
      <w:rPr>
        <w:rStyle w:val="PageNumber"/>
        <w:b/>
        <w:bCs/>
      </w:rPr>
      <w:fldChar w:fldCharType="end"/>
    </w:r>
    <w:r w:rsidRPr="00837CB5">
      <w:tab/>
    </w:r>
    <w:fldSimple w:instr=" DOCPROPERTY &quot;Header&quot; \* MERGEFORMAT ">
      <w:r w:rsidR="00A47EFA" w:rsidRPr="00A47E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47EFA">
      <w:rPr>
        <w:b/>
        <w:bCs/>
        <w:noProof/>
      </w:rPr>
      <w:t>UIT-R  M.1731-1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C1E" w:rsidRDefault="00315C1E">
    <w:pPr>
      <w:pStyle w:val="Header"/>
    </w:pPr>
    <w:r>
      <w:tab/>
    </w:r>
    <w:fldSimple w:instr=" DOCPROPERTY &quot;Header&quot; \* MERGEFORMAT ">
      <w:r w:rsidR="00A47EFA" w:rsidRPr="00A47E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47EFA">
      <w:rPr>
        <w:b/>
        <w:bCs/>
        <w:noProof/>
      </w:rPr>
      <w:t>UIT-R  M.1731-1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47EF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DC6F04"/>
    <w:lvl w:ilvl="0">
      <w:start w:val="1"/>
      <w:numFmt w:val="decimal"/>
      <w:lvlText w:val="%1."/>
      <w:lvlJc w:val="left"/>
      <w:pPr>
        <w:tabs>
          <w:tab w:val="num" w:pos="1492"/>
        </w:tabs>
        <w:ind w:left="1492" w:hanging="360"/>
      </w:pPr>
    </w:lvl>
  </w:abstractNum>
  <w:abstractNum w:abstractNumId="1">
    <w:nsid w:val="FFFFFF7D"/>
    <w:multiLevelType w:val="singleLevel"/>
    <w:tmpl w:val="B520FDE6"/>
    <w:lvl w:ilvl="0">
      <w:start w:val="1"/>
      <w:numFmt w:val="decimal"/>
      <w:lvlText w:val="%1."/>
      <w:lvlJc w:val="left"/>
      <w:pPr>
        <w:tabs>
          <w:tab w:val="num" w:pos="1209"/>
        </w:tabs>
        <w:ind w:left="1209" w:hanging="360"/>
      </w:pPr>
    </w:lvl>
  </w:abstractNum>
  <w:abstractNum w:abstractNumId="2">
    <w:nsid w:val="FFFFFF7E"/>
    <w:multiLevelType w:val="singleLevel"/>
    <w:tmpl w:val="77A4451E"/>
    <w:lvl w:ilvl="0">
      <w:start w:val="1"/>
      <w:numFmt w:val="decimal"/>
      <w:lvlText w:val="%1."/>
      <w:lvlJc w:val="left"/>
      <w:pPr>
        <w:tabs>
          <w:tab w:val="num" w:pos="926"/>
        </w:tabs>
        <w:ind w:left="926" w:hanging="360"/>
      </w:pPr>
    </w:lvl>
  </w:abstractNum>
  <w:abstractNum w:abstractNumId="3">
    <w:nsid w:val="FFFFFF7F"/>
    <w:multiLevelType w:val="singleLevel"/>
    <w:tmpl w:val="26E6C160"/>
    <w:lvl w:ilvl="0">
      <w:start w:val="1"/>
      <w:numFmt w:val="decimal"/>
      <w:lvlText w:val="%1."/>
      <w:lvlJc w:val="left"/>
      <w:pPr>
        <w:tabs>
          <w:tab w:val="num" w:pos="643"/>
        </w:tabs>
        <w:ind w:left="643" w:hanging="360"/>
      </w:pPr>
    </w:lvl>
  </w:abstractNum>
  <w:abstractNum w:abstractNumId="4">
    <w:nsid w:val="FFFFFF80"/>
    <w:multiLevelType w:val="singleLevel"/>
    <w:tmpl w:val="34F4F4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9690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D83E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FCA9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3A5DD8"/>
    <w:lvl w:ilvl="0">
      <w:start w:val="1"/>
      <w:numFmt w:val="decimal"/>
      <w:lvlText w:val="%1."/>
      <w:lvlJc w:val="left"/>
      <w:pPr>
        <w:tabs>
          <w:tab w:val="num" w:pos="360"/>
        </w:tabs>
        <w:ind w:left="360" w:hanging="360"/>
      </w:pPr>
    </w:lvl>
  </w:abstractNum>
  <w:abstractNum w:abstractNumId="9">
    <w:nsid w:val="FFFFFF89"/>
    <w:multiLevelType w:val="singleLevel"/>
    <w:tmpl w:val="798A389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96612"/>
    <w:rsid w:val="000A0A78"/>
    <w:rsid w:val="000A4018"/>
    <w:rsid w:val="000B7683"/>
    <w:rsid w:val="00102934"/>
    <w:rsid w:val="00123FD5"/>
    <w:rsid w:val="00125B6D"/>
    <w:rsid w:val="00126AF2"/>
    <w:rsid w:val="00147110"/>
    <w:rsid w:val="00155A9E"/>
    <w:rsid w:val="00162C90"/>
    <w:rsid w:val="001706A9"/>
    <w:rsid w:val="00202D10"/>
    <w:rsid w:val="002058CE"/>
    <w:rsid w:val="002165F1"/>
    <w:rsid w:val="00227626"/>
    <w:rsid w:val="002355C8"/>
    <w:rsid w:val="0024017F"/>
    <w:rsid w:val="00276D21"/>
    <w:rsid w:val="00296D7F"/>
    <w:rsid w:val="002B3CF6"/>
    <w:rsid w:val="002C768A"/>
    <w:rsid w:val="002D76C4"/>
    <w:rsid w:val="00315C1E"/>
    <w:rsid w:val="003615D5"/>
    <w:rsid w:val="00363367"/>
    <w:rsid w:val="003E0582"/>
    <w:rsid w:val="0040367A"/>
    <w:rsid w:val="00420DFD"/>
    <w:rsid w:val="0046137A"/>
    <w:rsid w:val="00470E28"/>
    <w:rsid w:val="004934C5"/>
    <w:rsid w:val="004A4D65"/>
    <w:rsid w:val="004C52B5"/>
    <w:rsid w:val="00522C14"/>
    <w:rsid w:val="005258F8"/>
    <w:rsid w:val="00530208"/>
    <w:rsid w:val="00540BFB"/>
    <w:rsid w:val="00556548"/>
    <w:rsid w:val="00567DC0"/>
    <w:rsid w:val="00586EF8"/>
    <w:rsid w:val="00592F9F"/>
    <w:rsid w:val="00593B96"/>
    <w:rsid w:val="005B03CA"/>
    <w:rsid w:val="005B49AB"/>
    <w:rsid w:val="005B50E7"/>
    <w:rsid w:val="005B65B9"/>
    <w:rsid w:val="005E6DCC"/>
    <w:rsid w:val="005E7B4F"/>
    <w:rsid w:val="0060611D"/>
    <w:rsid w:val="00607D68"/>
    <w:rsid w:val="006149B1"/>
    <w:rsid w:val="00614CC6"/>
    <w:rsid w:val="00631023"/>
    <w:rsid w:val="00647E80"/>
    <w:rsid w:val="00680D2B"/>
    <w:rsid w:val="00681B32"/>
    <w:rsid w:val="00682E1F"/>
    <w:rsid w:val="006C7827"/>
    <w:rsid w:val="006E2037"/>
    <w:rsid w:val="006F154D"/>
    <w:rsid w:val="00712870"/>
    <w:rsid w:val="00731BD8"/>
    <w:rsid w:val="00743D85"/>
    <w:rsid w:val="00753CF4"/>
    <w:rsid w:val="007565CC"/>
    <w:rsid w:val="00756B4D"/>
    <w:rsid w:val="00763B9A"/>
    <w:rsid w:val="00776E56"/>
    <w:rsid w:val="00783AC3"/>
    <w:rsid w:val="007A308E"/>
    <w:rsid w:val="007A6AA8"/>
    <w:rsid w:val="008310C9"/>
    <w:rsid w:val="00837CB5"/>
    <w:rsid w:val="00872472"/>
    <w:rsid w:val="00876832"/>
    <w:rsid w:val="008C7848"/>
    <w:rsid w:val="00917AF2"/>
    <w:rsid w:val="0092418A"/>
    <w:rsid w:val="00934ED7"/>
    <w:rsid w:val="009454F8"/>
    <w:rsid w:val="009543C3"/>
    <w:rsid w:val="00966E1B"/>
    <w:rsid w:val="00987C75"/>
    <w:rsid w:val="009A08C8"/>
    <w:rsid w:val="009B5551"/>
    <w:rsid w:val="009D58A6"/>
    <w:rsid w:val="009F2D2C"/>
    <w:rsid w:val="00A443C2"/>
    <w:rsid w:val="00A47EFA"/>
    <w:rsid w:val="00A52DB0"/>
    <w:rsid w:val="00A6617B"/>
    <w:rsid w:val="00A71FE5"/>
    <w:rsid w:val="00AA3AD8"/>
    <w:rsid w:val="00AB0DC8"/>
    <w:rsid w:val="00AB2DA1"/>
    <w:rsid w:val="00AB52D1"/>
    <w:rsid w:val="00AD267B"/>
    <w:rsid w:val="00B033C8"/>
    <w:rsid w:val="00B33425"/>
    <w:rsid w:val="00B44E24"/>
    <w:rsid w:val="00B54ECC"/>
    <w:rsid w:val="00B714F3"/>
    <w:rsid w:val="00BC0651"/>
    <w:rsid w:val="00BC5D77"/>
    <w:rsid w:val="00BE5C81"/>
    <w:rsid w:val="00BF487A"/>
    <w:rsid w:val="00C221D9"/>
    <w:rsid w:val="00C362C3"/>
    <w:rsid w:val="00C46BD9"/>
    <w:rsid w:val="00C5340E"/>
    <w:rsid w:val="00C55258"/>
    <w:rsid w:val="00C668C8"/>
    <w:rsid w:val="00C73560"/>
    <w:rsid w:val="00C854EA"/>
    <w:rsid w:val="00C87B99"/>
    <w:rsid w:val="00CB0F14"/>
    <w:rsid w:val="00CD2625"/>
    <w:rsid w:val="00CD659B"/>
    <w:rsid w:val="00CD7DC8"/>
    <w:rsid w:val="00D017C0"/>
    <w:rsid w:val="00D259B9"/>
    <w:rsid w:val="00D31EB8"/>
    <w:rsid w:val="00D70C4E"/>
    <w:rsid w:val="00DA6F8F"/>
    <w:rsid w:val="00DF4176"/>
    <w:rsid w:val="00E02402"/>
    <w:rsid w:val="00E100B6"/>
    <w:rsid w:val="00E17240"/>
    <w:rsid w:val="00E3355A"/>
    <w:rsid w:val="00E363C6"/>
    <w:rsid w:val="00E44C45"/>
    <w:rsid w:val="00E44CBB"/>
    <w:rsid w:val="00E9076F"/>
    <w:rsid w:val="00EA6E8E"/>
    <w:rsid w:val="00EC626B"/>
    <w:rsid w:val="00EE16CB"/>
    <w:rsid w:val="00EE57AA"/>
    <w:rsid w:val="00F30C9B"/>
    <w:rsid w:val="00F316C4"/>
    <w:rsid w:val="00F336CC"/>
    <w:rsid w:val="00F354B1"/>
    <w:rsid w:val="00F50991"/>
    <w:rsid w:val="00F54FBD"/>
    <w:rsid w:val="00FB0E4E"/>
    <w:rsid w:val="00FD35C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100B6"/>
    <w:rPr>
      <w:sz w:val="24"/>
      <w:lang w:val="fr-FR" w:eastAsia="en-US"/>
    </w:r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E100B6"/>
    <w:rPr>
      <w:sz w:val="22"/>
      <w:lang w:val="fr-FR" w:eastAsia="en-US"/>
    </w:rPr>
  </w:style>
  <w:style w:type="paragraph" w:customStyle="1" w:styleId="Equation">
    <w:name w:val="Equation"/>
    <w:basedOn w:val="Normal"/>
    <w:link w:val="EquationChar"/>
    <w:rsid w:val="00AB2DA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E100B6"/>
    <w:rPr>
      <w:sz w:val="24"/>
      <w:lang w:val="fr-FR" w:eastAsia="en-US"/>
    </w:r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character" w:customStyle="1" w:styleId="FiguretitleChar">
    <w:name w:val="Figure_title Char"/>
    <w:basedOn w:val="DefaultParagraphFont"/>
    <w:link w:val="Figuretitle"/>
    <w:locked/>
    <w:rsid w:val="00E100B6"/>
    <w:rPr>
      <w:rFonts w:ascii="Times New Roman Bold" w:hAnsi="Times New Roman Bold"/>
      <w:b/>
      <w:sz w:val="18"/>
      <w:lang w:val="fr-FR" w:eastAsia="en-US"/>
    </w:rPr>
  </w:style>
  <w:style w:type="character" w:customStyle="1" w:styleId="FigureNoChar">
    <w:name w:val="Figure_No Char"/>
    <w:basedOn w:val="DefaultParagraphFont"/>
    <w:link w:val="FigureNo"/>
    <w:locked/>
    <w:rsid w:val="00E100B6"/>
    <w:rPr>
      <w:caps/>
      <w:sz w:val="18"/>
      <w:lang w:val="fr-FR" w:eastAsia="en-US"/>
    </w:r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basedOn w:val="Normal"/>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styleId="EndnoteReference">
    <w:name w:val="endnote reference"/>
    <w:basedOn w:val="DefaultParagraphFont"/>
    <w:rsid w:val="00E100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100B6"/>
    <w:rPr>
      <w:sz w:val="24"/>
      <w:lang w:val="fr-FR" w:eastAsia="en-US"/>
    </w:r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E100B6"/>
    <w:rPr>
      <w:sz w:val="22"/>
      <w:lang w:val="fr-FR" w:eastAsia="en-US"/>
    </w:rPr>
  </w:style>
  <w:style w:type="paragraph" w:customStyle="1" w:styleId="Equation">
    <w:name w:val="Equation"/>
    <w:basedOn w:val="Normal"/>
    <w:link w:val="EquationChar"/>
    <w:rsid w:val="00AB2DA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E100B6"/>
    <w:rPr>
      <w:sz w:val="24"/>
      <w:lang w:val="fr-FR" w:eastAsia="en-US"/>
    </w:r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character" w:customStyle="1" w:styleId="FiguretitleChar">
    <w:name w:val="Figure_title Char"/>
    <w:basedOn w:val="DefaultParagraphFont"/>
    <w:link w:val="Figuretitle"/>
    <w:locked/>
    <w:rsid w:val="00E100B6"/>
    <w:rPr>
      <w:rFonts w:ascii="Times New Roman Bold" w:hAnsi="Times New Roman Bold"/>
      <w:b/>
      <w:sz w:val="18"/>
      <w:lang w:val="fr-FR" w:eastAsia="en-US"/>
    </w:rPr>
  </w:style>
  <w:style w:type="character" w:customStyle="1" w:styleId="FigureNoChar">
    <w:name w:val="Figure_No Char"/>
    <w:basedOn w:val="DefaultParagraphFont"/>
    <w:link w:val="FigureNo"/>
    <w:locked/>
    <w:rsid w:val="00E100B6"/>
    <w:rPr>
      <w:caps/>
      <w:sz w:val="18"/>
      <w:lang w:val="fr-FR" w:eastAsia="en-US"/>
    </w:r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basedOn w:val="Normal"/>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styleId="EndnoteReference">
    <w:name w:val="endnote reference"/>
    <w:basedOn w:val="DefaultParagraphFont"/>
    <w:rsid w:val="00E100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mailto:cospas_sarsat@imso.org"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yperlink" Target="mailto:cospas_sarsat@imso.or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136</TotalTime>
  <Pages>23</Pages>
  <Words>8369</Words>
  <Characters>42133</Characters>
  <Application>Microsoft Office Word</Application>
  <DocSecurity>0</DocSecurity>
  <Lines>351</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50402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cp:lastModifiedBy>
  <cp:revision>35</cp:revision>
  <cp:lastPrinted>2011-03-31T09:19:00Z</cp:lastPrinted>
  <dcterms:created xsi:type="dcterms:W3CDTF">2011-03-31T08:59:00Z</dcterms:created>
  <dcterms:modified xsi:type="dcterms:W3CDTF">2011-04-14T14:12:00Z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