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D7122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D71221">
              <w:rPr>
                <w:rFonts w:ascii="Tahoma" w:hAnsi="Tahoma" w:cs="Tahoma"/>
                <w:b/>
                <w:bCs/>
                <w:iCs/>
                <w:color w:val="243285"/>
                <w:sz w:val="36"/>
                <w:szCs w:val="36"/>
              </w:rPr>
              <w:t>1731-1</w:t>
            </w:r>
          </w:p>
          <w:p w:rsidR="00FE79FE" w:rsidRPr="004F65E4" w:rsidRDefault="00FE79FE" w:rsidP="00D7122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71221">
              <w:rPr>
                <w:rFonts w:ascii="Tahoma" w:hAnsi="Tahoma" w:cs="Tahoma"/>
                <w:b/>
                <w:bCs/>
                <w:iCs/>
                <w:color w:val="243285"/>
                <w:szCs w:val="24"/>
              </w:rPr>
              <w:t>12</w:t>
            </w:r>
            <w:r w:rsidRPr="004F65E4">
              <w:rPr>
                <w:rFonts w:ascii="Tahoma" w:hAnsi="Tahoma" w:cs="Tahoma"/>
                <w:b/>
                <w:bCs/>
                <w:iCs/>
                <w:color w:val="243285"/>
                <w:szCs w:val="24"/>
              </w:rPr>
              <w:t>/</w:t>
            </w:r>
            <w:r w:rsidR="00D71221">
              <w:rPr>
                <w:rFonts w:ascii="Tahoma" w:hAnsi="Tahoma" w:cs="Tahoma"/>
                <w:b/>
                <w:bCs/>
                <w:iCs/>
                <w:color w:val="243285"/>
                <w:szCs w:val="24"/>
              </w:rPr>
              <w:t>2010</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D71221" w:rsidP="005D0454">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Protection criteria for Cospas-Sarsat local user terminals in the band 1 544-1 545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Default="00FD15CF" w:rsidP="00FD15CF">
            <w:pPr>
              <w:spacing w:before="80" w:line="280" w:lineRule="exact"/>
              <w:ind w:right="640"/>
              <w:rPr>
                <w:rFonts w:ascii="Tahoma" w:hAnsi="Tahoma" w:cs="Tahoma"/>
                <w:b/>
                <w:bCs/>
                <w:iCs/>
                <w:color w:val="243285"/>
                <w:sz w:val="32"/>
                <w:szCs w:val="32"/>
                <w:lang w:val="es-ES_tradnl"/>
              </w:rPr>
            </w:pPr>
          </w:p>
          <w:p w:rsidR="00FD15CF" w:rsidRDefault="00FD15CF" w:rsidP="00FD15CF">
            <w:pPr>
              <w:spacing w:before="80" w:after="180" w:line="360" w:lineRule="exact"/>
              <w:ind w:right="720"/>
              <w:rPr>
                <w:rFonts w:ascii="Tahoma" w:hAnsi="Tahoma" w:cs="Tahoma"/>
                <w:b/>
                <w:bCs/>
                <w:iCs/>
                <w:color w:val="243285"/>
                <w:sz w:val="36"/>
                <w:szCs w:val="36"/>
                <w:lang w:val="es-ES_tradnl"/>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0"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F06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10</w:t>
      </w:r>
    </w:p>
    <w:p w:rsidR="00470E28" w:rsidRDefault="00470E28" w:rsidP="00906589">
      <w:pPr>
        <w:jc w:val="center"/>
        <w:rPr>
          <w:sz w:val="22"/>
          <w:lang w:val="en-US"/>
        </w:rPr>
      </w:pPr>
    </w:p>
    <w:p w:rsidR="00586EF8" w:rsidRPr="00470E28" w:rsidRDefault="00586EF8" w:rsidP="002F06B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D71221" w:rsidRDefault="00D71221" w:rsidP="00D71221">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1731-1</w:t>
      </w:r>
      <w:r w:rsidRPr="00A902CD">
        <w:rPr>
          <w:rStyle w:val="FootnoteReference"/>
          <w:lang w:val="en-US"/>
        </w:rPr>
        <w:footnoteReference w:customMarkFollows="1" w:id="1"/>
        <w:t>*</w:t>
      </w:r>
    </w:p>
    <w:p w:rsidR="0067766E" w:rsidRDefault="0067766E" w:rsidP="0067766E">
      <w:pPr>
        <w:pStyle w:val="Rectitle"/>
        <w:rPr>
          <w:lang w:val="en-US"/>
        </w:rPr>
      </w:pPr>
      <w:r w:rsidRPr="00A902CD">
        <w:rPr>
          <w:lang w:val="en-US"/>
        </w:rPr>
        <w:t>Protection criteria for Cos</w:t>
      </w:r>
      <w:r>
        <w:rPr>
          <w:lang w:val="en-US"/>
        </w:rPr>
        <w:t>pas-Sarsat local user terminals</w:t>
      </w:r>
      <w:r w:rsidRPr="00A902CD">
        <w:rPr>
          <w:lang w:val="en-US"/>
        </w:rPr>
        <w:br/>
        <w:t>in the band 1 544-1 545 MHz</w:t>
      </w:r>
      <w:bookmarkStart w:id="3" w:name="Revision_history"/>
    </w:p>
    <w:p w:rsidR="0067766E" w:rsidRDefault="0067766E" w:rsidP="0067766E">
      <w:pPr>
        <w:pStyle w:val="Recdate"/>
        <w:rPr>
          <w:lang w:val="en-US"/>
        </w:rPr>
      </w:pPr>
    </w:p>
    <w:p w:rsidR="0067766E" w:rsidRPr="00796E84" w:rsidRDefault="0067766E" w:rsidP="0067766E">
      <w:pPr>
        <w:pStyle w:val="Recdate"/>
        <w:rPr>
          <w:lang w:val="en-US"/>
        </w:rPr>
      </w:pPr>
      <w:r>
        <w:rPr>
          <w:lang w:val="en-US"/>
        </w:rPr>
        <w:t>(2005-2010)</w:t>
      </w:r>
    </w:p>
    <w:bookmarkEnd w:id="3"/>
    <w:p w:rsidR="00BD5D3D" w:rsidRDefault="00BD5D3D" w:rsidP="00BD5D3D">
      <w:pPr>
        <w:rPr>
          <w:lang w:val="en-US"/>
        </w:rPr>
      </w:pPr>
    </w:p>
    <w:p w:rsidR="0067766E" w:rsidRPr="00CF6CD8" w:rsidRDefault="0067766E" w:rsidP="0067766E">
      <w:pPr>
        <w:pStyle w:val="HeadingSum"/>
        <w:rPr>
          <w:sz w:val="24"/>
          <w:lang w:val="en-US"/>
        </w:rPr>
      </w:pPr>
      <w:r w:rsidRPr="00CF6CD8">
        <w:rPr>
          <w:sz w:val="24"/>
          <w:lang w:val="en-US"/>
        </w:rPr>
        <w:t>Scope</w:t>
      </w:r>
    </w:p>
    <w:p w:rsidR="0067766E" w:rsidRPr="00CF6CD8" w:rsidRDefault="0067766E" w:rsidP="0067766E">
      <w:pPr>
        <w:pStyle w:val="Summary"/>
        <w:rPr>
          <w:sz w:val="24"/>
          <w:lang w:val="en-US"/>
        </w:rPr>
      </w:pPr>
      <w:r w:rsidRPr="00CF6CD8">
        <w:rPr>
          <w:sz w:val="24"/>
          <w:lang w:val="en-US"/>
        </w:rPr>
        <w:t>This Recommendation provides protection criteria for Cospas-Sarsat local user terminals that receive 1 544-1 545 MHz downlinks from satellites in geostationary and low-Earth orbits. The Cospas-Sarsat program receives and processes signals from emergency position indicating radio beacons (EPIRBs) and other distress beacons operating on 406 MHz. In some cases the signals are delivered to ground stations via a downlink operating in the 1 544-1 545 MHz band.</w:t>
      </w:r>
    </w:p>
    <w:p w:rsidR="00BD5D3D" w:rsidRDefault="00BD5D3D" w:rsidP="00BD5D3D">
      <w:pPr>
        <w:rPr>
          <w:lang w:val="en-US"/>
        </w:rPr>
      </w:pPr>
    </w:p>
    <w:p w:rsidR="0067766E" w:rsidRPr="00A902CD" w:rsidRDefault="0067766E" w:rsidP="0067766E">
      <w:pPr>
        <w:pStyle w:val="Normalaftertitle"/>
        <w:rPr>
          <w:lang w:val="en-US"/>
        </w:rPr>
      </w:pPr>
      <w:r w:rsidRPr="00A902CD">
        <w:rPr>
          <w:lang w:val="en-US"/>
        </w:rPr>
        <w:t>The ITU Radiocommunication Assembly,</w:t>
      </w:r>
    </w:p>
    <w:p w:rsidR="0067766E" w:rsidRPr="00A902CD" w:rsidRDefault="0067766E" w:rsidP="0067766E">
      <w:pPr>
        <w:pStyle w:val="Call"/>
        <w:rPr>
          <w:lang w:val="en-US"/>
        </w:rPr>
      </w:pPr>
      <w:r w:rsidRPr="00A902CD">
        <w:rPr>
          <w:lang w:val="en-US"/>
        </w:rPr>
        <w:t>considering</w:t>
      </w:r>
    </w:p>
    <w:p w:rsidR="0067766E" w:rsidRPr="00A902CD" w:rsidRDefault="0067766E" w:rsidP="0067766E">
      <w:pPr>
        <w:rPr>
          <w:lang w:val="en-US"/>
        </w:rPr>
      </w:pPr>
      <w:r w:rsidRPr="00A902CD">
        <w:rPr>
          <w:lang w:val="en-US"/>
        </w:rPr>
        <w:t>a)</w:t>
      </w:r>
      <w:r w:rsidRPr="00A902CD">
        <w:rPr>
          <w:lang w:val="en-US"/>
        </w:rPr>
        <w:tab/>
        <w:t>that Recommendation ITU</w:t>
      </w:r>
      <w:r w:rsidRPr="00A902CD">
        <w:rPr>
          <w:lang w:val="en-US"/>
        </w:rPr>
        <w:noBreakHyphen/>
        <w:t>R SM.1535 calls for the protection of safety services from unwanted emissions;</w:t>
      </w:r>
    </w:p>
    <w:p w:rsidR="0067766E" w:rsidRPr="00A902CD" w:rsidRDefault="0067766E" w:rsidP="0067766E">
      <w:pPr>
        <w:rPr>
          <w:lang w:val="en-US"/>
        </w:rPr>
      </w:pPr>
      <w:r w:rsidRPr="00A902CD">
        <w:rPr>
          <w:lang w:val="en-US"/>
        </w:rPr>
        <w:t>b)</w:t>
      </w:r>
      <w:r w:rsidRPr="00A902CD">
        <w:rPr>
          <w:lang w:val="en-US"/>
        </w:rPr>
        <w:tab/>
        <w:t>that the Cospas-Sarsat global search and rescue satellite-aided system operates within the band 1 544-1 545 MHz which is limited by No. 5.356</w:t>
      </w:r>
      <w:r>
        <w:rPr>
          <w:lang w:val="en-US"/>
        </w:rPr>
        <w:t xml:space="preserve"> of the </w:t>
      </w:r>
      <w:r w:rsidRPr="00A902CD">
        <w:rPr>
          <w:lang w:val="en-US"/>
        </w:rPr>
        <w:t xml:space="preserve">Radio Regulations (RR)  to distress and safety, space-to-Earth </w:t>
      </w:r>
      <w:r>
        <w:rPr>
          <w:lang w:val="en-US"/>
        </w:rPr>
        <w:t>radio</w:t>
      </w:r>
      <w:r w:rsidRPr="00A902CD">
        <w:rPr>
          <w:lang w:val="en-US"/>
        </w:rPr>
        <w:t>communications;</w:t>
      </w:r>
    </w:p>
    <w:p w:rsidR="0067766E" w:rsidRPr="00A902CD" w:rsidRDefault="0067766E" w:rsidP="0067766E">
      <w:pPr>
        <w:rPr>
          <w:lang w:val="en-US"/>
        </w:rPr>
      </w:pPr>
      <w:r w:rsidRPr="00A902CD">
        <w:rPr>
          <w:lang w:val="en-US"/>
        </w:rPr>
        <w:t>c)</w:t>
      </w:r>
      <w:r w:rsidRPr="00A902CD">
        <w:rPr>
          <w:lang w:val="en-US"/>
        </w:rPr>
        <w:tab/>
        <w:t>that harmful interference to safety services can cause loss of life and property;</w:t>
      </w:r>
    </w:p>
    <w:p w:rsidR="0067766E" w:rsidRPr="00A902CD" w:rsidRDefault="0067766E" w:rsidP="0067766E">
      <w:pPr>
        <w:rPr>
          <w:lang w:val="en-US"/>
        </w:rPr>
      </w:pPr>
      <w:r w:rsidRPr="00A902CD">
        <w:rPr>
          <w:lang w:val="en-US"/>
        </w:rPr>
        <w:t>d)</w:t>
      </w:r>
      <w:r w:rsidRPr="00A902CD">
        <w:rPr>
          <w:lang w:val="en-US"/>
        </w:rPr>
        <w:tab/>
        <w:t>that Cospas-Sarsat geostationary Earth orbit local user terminals (GEOLUTs) receive in the band 1 544-1 545 MHz emergency position indicating radio beacons (EPIRB</w:t>
      </w:r>
      <w:r>
        <w:rPr>
          <w:lang w:val="en-US"/>
        </w:rPr>
        <w:t>)</w:t>
      </w:r>
      <w:r w:rsidRPr="00A902CD">
        <w:rPr>
          <w:lang w:val="en-US"/>
        </w:rPr>
        <w:t xml:space="preserve"> signals relayed from geostationary </w:t>
      </w:r>
      <w:r>
        <w:rPr>
          <w:lang w:val="en-US"/>
        </w:rPr>
        <w:t>orbiting</w:t>
      </w:r>
      <w:r w:rsidRPr="00A902CD">
        <w:rPr>
          <w:lang w:val="en-US"/>
        </w:rPr>
        <w:t xml:space="preserve"> and environmental satellites (GOES) and Meteo-Sat second generation (MSG) satellites;</w:t>
      </w:r>
    </w:p>
    <w:p w:rsidR="0067766E" w:rsidRPr="00A902CD" w:rsidRDefault="0067766E" w:rsidP="0067766E">
      <w:pPr>
        <w:rPr>
          <w:lang w:val="en-US"/>
        </w:rPr>
      </w:pPr>
      <w:r w:rsidRPr="00A902CD">
        <w:rPr>
          <w:lang w:val="en-US"/>
        </w:rPr>
        <w:t>e)</w:t>
      </w:r>
      <w:r w:rsidRPr="00A902CD">
        <w:rPr>
          <w:lang w:val="en-US"/>
        </w:rPr>
        <w:tab/>
        <w:t>that Cospas-Sarsat low-Earth orbit local user terminals (LEOLUTs) receive in the band 1 544-1 545 MHz EPIRB signals relayed from search and rescue repeaters (SARR) on Cospas and Sarsat satellites;</w:t>
      </w:r>
    </w:p>
    <w:p w:rsidR="0067766E" w:rsidRDefault="0067766E" w:rsidP="0067766E">
      <w:pPr>
        <w:rPr>
          <w:lang w:val="en-US"/>
        </w:rPr>
      </w:pPr>
      <w:r w:rsidRPr="00A902CD">
        <w:rPr>
          <w:lang w:val="en-US"/>
        </w:rPr>
        <w:t>f)</w:t>
      </w:r>
      <w:r w:rsidRPr="00A902CD">
        <w:rPr>
          <w:lang w:val="en-US"/>
        </w:rPr>
        <w:tab/>
        <w:t>that Cospas-Sarsat LEOLUTs receive in the band 1 544-1 545 MHz a global processed data stream (PDS) of EPIRB data processed by search and rescue processors (SARPs) on Cospas and Sarsat satellites</w:t>
      </w:r>
      <w:r>
        <w:rPr>
          <w:lang w:val="en-US"/>
        </w:rPr>
        <w:t>;</w:t>
      </w:r>
    </w:p>
    <w:p w:rsidR="0067766E" w:rsidRPr="00EC28DA" w:rsidRDefault="0067766E" w:rsidP="00B61132">
      <w:r w:rsidRPr="00EC28DA">
        <w:t>g)</w:t>
      </w:r>
      <w:r w:rsidRPr="00EC28DA">
        <w:tab/>
        <w:t>that Cospas-Sarsat medium</w:t>
      </w:r>
      <w:r>
        <w:t>-</w:t>
      </w:r>
      <w:r w:rsidRPr="00EC28DA">
        <w:t>Earth orbit local user terminals (MEOLUTs) receive in the band 1 544-1 545 MHz EPIRB signals relayed from medium</w:t>
      </w:r>
      <w:r>
        <w:t>-</w:t>
      </w:r>
      <w:r w:rsidRPr="00EC28DA">
        <w:t>Earth orbiting navigation satellites (GALILEO);</w:t>
      </w:r>
    </w:p>
    <w:p w:rsidR="0067766E" w:rsidRPr="00A902CD" w:rsidRDefault="0067766E" w:rsidP="0067766E">
      <w:pPr>
        <w:rPr>
          <w:lang w:val="en-US"/>
        </w:rPr>
      </w:pPr>
      <w:r w:rsidRPr="00EC28DA">
        <w:t>h)</w:t>
      </w:r>
      <w:r w:rsidRPr="00EC28DA">
        <w:tab/>
        <w:t xml:space="preserve">that Annex 6 contains Cospas-Sarsat link budgets for </w:t>
      </w:r>
      <w:r>
        <w:t>low-Earth orbit (</w:t>
      </w:r>
      <w:r w:rsidRPr="00EC28DA">
        <w:t>LEO</w:t>
      </w:r>
      <w:r>
        <w:t>)</w:t>
      </w:r>
      <w:r w:rsidRPr="00EC28DA">
        <w:t xml:space="preserve">, </w:t>
      </w:r>
      <w:r>
        <w:t>medium-Earth orbit (</w:t>
      </w:r>
      <w:r w:rsidRPr="00EC28DA">
        <w:t>MEO</w:t>
      </w:r>
      <w:r>
        <w:t>)</w:t>
      </w:r>
      <w:r w:rsidRPr="00EC28DA">
        <w:t xml:space="preserve"> and </w:t>
      </w:r>
      <w:r>
        <w:t>geostationary orbit (</w:t>
      </w:r>
      <w:r w:rsidRPr="00EC28DA">
        <w:t>GEO</w:t>
      </w:r>
      <w:r>
        <w:t>)</w:t>
      </w:r>
      <w:r w:rsidRPr="00EC28DA">
        <w:t xml:space="preserve"> operations using near to worst</w:t>
      </w:r>
      <w:r>
        <w:t>-</w:t>
      </w:r>
      <w:r w:rsidRPr="00EC28DA">
        <w:t xml:space="preserve">case values referred </w:t>
      </w:r>
      <w:r>
        <w:t xml:space="preserve">to </w:t>
      </w:r>
      <w:r w:rsidRPr="00EC28DA">
        <w:t>in this Annex as “low</w:t>
      </w:r>
      <w:r>
        <w:t>-</w:t>
      </w:r>
      <w:r w:rsidRPr="00EC28DA">
        <w:t>level case”,</w:t>
      </w:r>
    </w:p>
    <w:p w:rsidR="0067766E" w:rsidRPr="00A902CD" w:rsidRDefault="0067766E" w:rsidP="0067766E">
      <w:pPr>
        <w:pStyle w:val="Call"/>
        <w:rPr>
          <w:lang w:val="en-US"/>
        </w:rPr>
      </w:pPr>
      <w:r w:rsidRPr="00A902CD">
        <w:rPr>
          <w:lang w:val="en-US"/>
        </w:rPr>
        <w:lastRenderedPageBreak/>
        <w:t>recommends</w:t>
      </w:r>
    </w:p>
    <w:p w:rsidR="0067766E" w:rsidRPr="00A902CD" w:rsidRDefault="0067766E" w:rsidP="0067766E">
      <w:pPr>
        <w:rPr>
          <w:lang w:val="en-US"/>
        </w:rPr>
      </w:pPr>
      <w:r w:rsidRPr="00A902CD">
        <w:rPr>
          <w:b/>
          <w:lang w:val="en-US"/>
        </w:rPr>
        <w:t>1</w:t>
      </w:r>
      <w:r w:rsidRPr="00A902CD">
        <w:rPr>
          <w:lang w:val="en-US"/>
        </w:rPr>
        <w:tab/>
        <w:t>that the analysis of interference to Cospas-Sarsat GEOLUTs that operate with GOES satellites should be based on Annex 1;</w:t>
      </w:r>
    </w:p>
    <w:p w:rsidR="0067766E" w:rsidRPr="00A902CD" w:rsidRDefault="0067766E" w:rsidP="0067766E">
      <w:pPr>
        <w:rPr>
          <w:lang w:val="en-US"/>
        </w:rPr>
      </w:pPr>
      <w:r w:rsidRPr="00A902CD">
        <w:rPr>
          <w:b/>
          <w:lang w:val="en-US"/>
        </w:rPr>
        <w:t>2</w:t>
      </w:r>
      <w:r w:rsidRPr="00A902CD">
        <w:rPr>
          <w:lang w:val="en-US"/>
        </w:rPr>
        <w:tab/>
      </w:r>
      <w:r w:rsidR="00B61132">
        <w:rPr>
          <w:lang w:val="en-US"/>
        </w:rPr>
        <w:t xml:space="preserve">that </w:t>
      </w:r>
      <w:r w:rsidRPr="00A902CD">
        <w:rPr>
          <w:lang w:val="en-US"/>
        </w:rPr>
        <w:t>the analysis of interference to Cospas-Sarsat LEOLUTs receiving global EPIRB PDS data should be based on Annex 2;</w:t>
      </w:r>
    </w:p>
    <w:p w:rsidR="0067766E" w:rsidRPr="00A902CD" w:rsidRDefault="0067766E" w:rsidP="0067766E">
      <w:pPr>
        <w:rPr>
          <w:lang w:val="en-US"/>
        </w:rPr>
      </w:pPr>
      <w:r w:rsidRPr="00A902CD">
        <w:rPr>
          <w:b/>
          <w:lang w:val="en-US"/>
        </w:rPr>
        <w:t>3</w:t>
      </w:r>
      <w:r w:rsidRPr="00A902CD">
        <w:rPr>
          <w:lang w:val="en-US"/>
        </w:rPr>
        <w:tab/>
      </w:r>
      <w:r w:rsidR="00B61132">
        <w:rPr>
          <w:lang w:val="en-US"/>
        </w:rPr>
        <w:t xml:space="preserve">that </w:t>
      </w:r>
      <w:r w:rsidRPr="00A902CD">
        <w:rPr>
          <w:lang w:val="en-US"/>
        </w:rPr>
        <w:t>the analysis of interference to Cospas-Sarsat LEOLUTs receiving 406 MHz EPIRB signals relayed by Cospas and Sarsat low-Earth orbiting satellites should be based on Annex 3;</w:t>
      </w:r>
    </w:p>
    <w:p w:rsidR="0067766E" w:rsidRDefault="0067766E" w:rsidP="0067766E">
      <w:pPr>
        <w:rPr>
          <w:lang w:val="en-US"/>
        </w:rPr>
      </w:pPr>
      <w:r w:rsidRPr="00A902CD">
        <w:rPr>
          <w:b/>
          <w:bCs/>
          <w:lang w:val="en-US"/>
        </w:rPr>
        <w:t>4</w:t>
      </w:r>
      <w:r w:rsidRPr="00A902CD">
        <w:rPr>
          <w:lang w:val="en-US"/>
        </w:rPr>
        <w:tab/>
      </w:r>
      <w:r w:rsidR="00B61132">
        <w:rPr>
          <w:lang w:val="en-US"/>
        </w:rPr>
        <w:t xml:space="preserve">that </w:t>
      </w:r>
      <w:r w:rsidRPr="00A902CD">
        <w:rPr>
          <w:lang w:val="en-US"/>
        </w:rPr>
        <w:t>the analysis of interference to Cospas-Sarsat GEOLUTs that operate with MSG satell</w:t>
      </w:r>
      <w:r w:rsidR="00B61132">
        <w:rPr>
          <w:lang w:val="en-US"/>
        </w:rPr>
        <w:t>ites should be based on Annex 4;</w:t>
      </w:r>
    </w:p>
    <w:p w:rsidR="00B61132" w:rsidRDefault="00B61132" w:rsidP="0067766E">
      <w:pPr>
        <w:rPr>
          <w:lang w:val="en-US"/>
        </w:rPr>
      </w:pPr>
      <w:r w:rsidRPr="00EC28DA">
        <w:rPr>
          <w:b/>
          <w:bCs/>
        </w:rPr>
        <w:t>5</w:t>
      </w:r>
      <w:r w:rsidRPr="00EC28DA">
        <w:tab/>
        <w:t>that the analysis of interference to Cospas-Sarsat MEOLUTs that operate with GALILEO satellites should be based on Annex 5</w:t>
      </w:r>
      <w:r>
        <w:t>.</w:t>
      </w:r>
    </w:p>
    <w:p w:rsidR="0067766E" w:rsidRDefault="0067766E" w:rsidP="0067766E">
      <w:pPr>
        <w:rPr>
          <w:lang w:val="en-US"/>
        </w:rPr>
      </w:pPr>
    </w:p>
    <w:p w:rsidR="00BD5D3D" w:rsidRDefault="00BD5D3D" w:rsidP="0067766E">
      <w:pPr>
        <w:rPr>
          <w:lang w:val="en-US"/>
        </w:rPr>
      </w:pPr>
    </w:p>
    <w:p w:rsidR="00BD5D3D" w:rsidRDefault="00BD5D3D" w:rsidP="0067766E">
      <w:pPr>
        <w:rPr>
          <w:lang w:val="en-US"/>
        </w:rPr>
      </w:pPr>
    </w:p>
    <w:p w:rsidR="00BD5D3D" w:rsidRDefault="00BD5D3D" w:rsidP="0067766E">
      <w:pPr>
        <w:rPr>
          <w:lang w:val="en-US"/>
        </w:rPr>
      </w:pPr>
    </w:p>
    <w:p w:rsidR="00BD5D3D" w:rsidRDefault="00BD5D3D" w:rsidP="0067766E">
      <w:pPr>
        <w:rPr>
          <w:lang w:val="en-US"/>
        </w:rPr>
      </w:pPr>
    </w:p>
    <w:p w:rsidR="00BD5D3D" w:rsidRDefault="00BD5D3D" w:rsidP="0067766E">
      <w:pPr>
        <w:rPr>
          <w:lang w:val="en-US"/>
        </w:rPr>
      </w:pPr>
    </w:p>
    <w:p w:rsidR="00BD5D3D" w:rsidRPr="00A902CD" w:rsidRDefault="00BD5D3D" w:rsidP="0067766E">
      <w:pPr>
        <w:rPr>
          <w:lang w:val="en-US"/>
        </w:rPr>
      </w:pPr>
    </w:p>
    <w:p w:rsidR="0067766E" w:rsidRPr="00A902CD" w:rsidRDefault="0067766E" w:rsidP="0067766E">
      <w:pPr>
        <w:pStyle w:val="AnnexNoTitle"/>
        <w:rPr>
          <w:lang w:val="en-US"/>
        </w:rPr>
      </w:pPr>
      <w:bookmarkStart w:id="4" w:name="_Toc115521325"/>
      <w:r w:rsidRPr="00A902CD">
        <w:rPr>
          <w:lang w:val="en-US"/>
        </w:rPr>
        <w:t>Annex 1</w:t>
      </w:r>
      <w:r w:rsidRPr="00A902CD">
        <w:rPr>
          <w:lang w:val="en-US"/>
        </w:rPr>
        <w:br/>
      </w:r>
      <w:r w:rsidRPr="00A902CD">
        <w:rPr>
          <w:lang w:val="en-US"/>
        </w:rPr>
        <w:br/>
        <w:t>Protection criteria in the 1 544-1 545 MHz band for Cospas-Sarsat GEOLUTS</w:t>
      </w:r>
      <w:r>
        <w:rPr>
          <w:lang w:val="en-US"/>
        </w:rPr>
        <w:br/>
      </w:r>
      <w:r w:rsidRPr="00A902CD">
        <w:rPr>
          <w:bCs/>
          <w:spacing w:val="-3"/>
          <w:lang w:val="en-US"/>
        </w:rPr>
        <w:t>that receive</w:t>
      </w:r>
      <w:r w:rsidRPr="00A902CD">
        <w:rPr>
          <w:bCs/>
          <w:caps/>
          <w:spacing w:val="-3"/>
          <w:lang w:val="en-US"/>
        </w:rPr>
        <w:t xml:space="preserve"> EPIRB </w:t>
      </w:r>
      <w:r w:rsidRPr="00A902CD">
        <w:rPr>
          <w:bCs/>
          <w:spacing w:val="-3"/>
          <w:lang w:val="en-US"/>
        </w:rPr>
        <w:t>signals relayed through</w:t>
      </w:r>
      <w:r w:rsidRPr="00A902CD">
        <w:rPr>
          <w:bCs/>
          <w:caps/>
          <w:spacing w:val="-3"/>
          <w:lang w:val="en-US"/>
        </w:rPr>
        <w:t xml:space="preserve"> GOES </w:t>
      </w:r>
      <w:r w:rsidRPr="00A902CD">
        <w:rPr>
          <w:bCs/>
          <w:spacing w:val="-3"/>
          <w:lang w:val="en-US"/>
        </w:rPr>
        <w:t>satellites</w:t>
      </w:r>
      <w:bookmarkEnd w:id="4"/>
    </w:p>
    <w:p w:rsidR="0067766E" w:rsidRPr="00A902CD" w:rsidRDefault="0067766E" w:rsidP="0067766E">
      <w:pPr>
        <w:pStyle w:val="Heading2"/>
        <w:rPr>
          <w:lang w:val="en-US"/>
        </w:rPr>
      </w:pPr>
      <w:bookmarkStart w:id="5" w:name="_Toc115521326"/>
      <w:r w:rsidRPr="00A902CD">
        <w:rPr>
          <w:caps/>
          <w:lang w:val="en-US"/>
        </w:rPr>
        <w:t>1.1</w:t>
      </w:r>
      <w:r w:rsidRPr="00A902CD">
        <w:rPr>
          <w:caps/>
          <w:lang w:val="en-US"/>
        </w:rPr>
        <w:tab/>
      </w:r>
      <w:r w:rsidRPr="00A902CD">
        <w:rPr>
          <w:lang w:val="en-US"/>
        </w:rPr>
        <w:t>Introduction</w:t>
      </w:r>
      <w:bookmarkEnd w:id="5"/>
    </w:p>
    <w:p w:rsidR="0067766E" w:rsidRPr="00A902CD" w:rsidRDefault="0067766E" w:rsidP="0067766E">
      <w:pPr>
        <w:rPr>
          <w:lang w:val="en-US"/>
        </w:rPr>
      </w:pPr>
      <w:r w:rsidRPr="00A902CD">
        <w:rPr>
          <w:lang w:val="en-US"/>
        </w:rPr>
        <w:t xml:space="preserve">Cospas-Sarsat search and rescue repeaters are onboard GOES. These repeaters receive signals from 406 MHz EPIRBs and relay the signals to Cospas-Sarsat GEOLUTs on downlink frequencies in the 1 544-1 545 MHz band. In accordance with the RR, the 1 544-1 545 MHz band is allocated to the mobile-satellite service (MSS), space-to-Earth, and is specifically limited by RR No. 5.356 to distress and safety communications. The analysis provided in this Annex establishes interference protection criteria for GEOLUTs that receive the GOES 1 544-1 545 MHz downlink. </w:t>
      </w:r>
    </w:p>
    <w:p w:rsidR="0067766E" w:rsidRPr="00A902CD" w:rsidRDefault="0067766E" w:rsidP="0067766E">
      <w:pPr>
        <w:pStyle w:val="Heading2"/>
        <w:rPr>
          <w:lang w:val="en-US"/>
        </w:rPr>
      </w:pPr>
      <w:bookmarkStart w:id="6" w:name="_Toc115521327"/>
      <w:r w:rsidRPr="00A902CD">
        <w:rPr>
          <w:lang w:val="en-US"/>
        </w:rPr>
        <w:t>1.2</w:t>
      </w:r>
      <w:r w:rsidRPr="00A902CD">
        <w:rPr>
          <w:lang w:val="en-US"/>
        </w:rPr>
        <w:tab/>
        <w:t>Minimum acceptable performance for detection of EPIRB signals relayed through the GOES satellite</w:t>
      </w:r>
      <w:bookmarkEnd w:id="6"/>
    </w:p>
    <w:p w:rsidR="0067766E" w:rsidRPr="00A902CD" w:rsidRDefault="0067766E" w:rsidP="0067766E">
      <w:pPr>
        <w:rPr>
          <w:lang w:val="en-US"/>
        </w:rPr>
      </w:pPr>
      <w:r w:rsidRPr="00A902CD">
        <w:rPr>
          <w:lang w:val="en-US"/>
        </w:rPr>
        <w:t>To reliably detect 406 MHz distress beacons using GOES 406 MHz satellite repeaters, the bit-error rate (BER) of the channel must not exceed 5 </w:t>
      </w:r>
      <w:r>
        <w:rPr>
          <w:lang w:val="en-US"/>
        </w:rPr>
        <w:sym w:font="Symbol" w:char="F0B4"/>
      </w:r>
      <w:r w:rsidRPr="00A902CD">
        <w:rPr>
          <w:lang w:val="en-US"/>
        </w:rPr>
        <w:t> 10</w:t>
      </w:r>
      <w:r w:rsidRPr="00A902CD">
        <w:rPr>
          <w:vertAlign w:val="superscript"/>
          <w:lang w:val="en-US"/>
        </w:rPr>
        <w:t>−5</w:t>
      </w:r>
      <w:r w:rsidRPr="00A902CD">
        <w:rPr>
          <w:lang w:val="en-US"/>
        </w:rPr>
        <w:t xml:space="preserve">. </w:t>
      </w:r>
    </w:p>
    <w:p w:rsidR="0067766E" w:rsidRPr="00A902CD" w:rsidRDefault="0067766E" w:rsidP="0067766E">
      <w:pPr>
        <w:pStyle w:val="Heading2"/>
        <w:rPr>
          <w:lang w:val="en-US"/>
        </w:rPr>
      </w:pPr>
      <w:bookmarkStart w:id="7" w:name="_Toc115521328"/>
      <w:r w:rsidRPr="00A902CD">
        <w:rPr>
          <w:caps/>
          <w:lang w:val="en-US"/>
        </w:rPr>
        <w:t>1.3</w:t>
      </w:r>
      <w:r w:rsidRPr="00A902CD">
        <w:rPr>
          <w:caps/>
          <w:lang w:val="en-US"/>
        </w:rPr>
        <w:tab/>
      </w:r>
      <w:r w:rsidRPr="00A902CD">
        <w:rPr>
          <w:lang w:val="en-US"/>
        </w:rPr>
        <w:t>Analysis of interference spectral power flux-density (spfd)</w:t>
      </w:r>
      <w:bookmarkEnd w:id="7"/>
    </w:p>
    <w:p w:rsidR="0067766E" w:rsidRDefault="0067766E" w:rsidP="0067766E">
      <w:pPr>
        <w:rPr>
          <w:lang w:val="en-US"/>
        </w:rPr>
      </w:pPr>
      <w:r w:rsidRPr="00A902CD">
        <w:rPr>
          <w:lang w:val="en-US"/>
        </w:rPr>
        <w:t>The BER of a communications channel is derived from the ratio of the energy contained in each data bit</w:t>
      </w:r>
      <w:r>
        <w:rPr>
          <w:lang w:val="en-US"/>
        </w:rPr>
        <w:t>,</w:t>
      </w:r>
      <w:r w:rsidRPr="00A902CD">
        <w:rPr>
          <w:lang w:val="en-US"/>
        </w:rPr>
        <w:t xml:space="preserve"> </w:t>
      </w:r>
      <w:r w:rsidRPr="00A902CD">
        <w:rPr>
          <w:i/>
          <w:iCs/>
          <w:lang w:val="en-US"/>
        </w:rPr>
        <w:t>E</w:t>
      </w:r>
      <w:r w:rsidRPr="00A902CD">
        <w:rPr>
          <w:i/>
          <w:iCs/>
          <w:vertAlign w:val="subscript"/>
          <w:lang w:val="en-US"/>
        </w:rPr>
        <w:t>b</w:t>
      </w:r>
      <w:r>
        <w:rPr>
          <w:lang w:val="en-US"/>
        </w:rPr>
        <w:t>,</w:t>
      </w:r>
      <w:r w:rsidRPr="00A902CD">
        <w:rPr>
          <w:lang w:val="en-US"/>
        </w:rPr>
        <w:t xml:space="preserve"> to the noise density. The total noise density is comprised of the noise developed by Cospas-Sarsat equipment</w:t>
      </w:r>
      <w:r>
        <w:rPr>
          <w:lang w:val="en-US"/>
        </w:rPr>
        <w:t>,</w:t>
      </w:r>
      <w:r w:rsidRPr="00A902CD">
        <w:rPr>
          <w:lang w:val="en-US"/>
        </w:rPr>
        <w:t xml:space="preserve"> </w:t>
      </w:r>
      <w:r w:rsidRPr="00A902CD">
        <w:rPr>
          <w:i/>
          <w:iCs/>
          <w:lang w:val="en-US"/>
        </w:rPr>
        <w:t>N</w:t>
      </w:r>
      <w:r w:rsidRPr="00A902CD">
        <w:rPr>
          <w:vertAlign w:val="subscript"/>
          <w:lang w:val="en-US"/>
        </w:rPr>
        <w:t>0</w:t>
      </w:r>
      <w:r>
        <w:rPr>
          <w:lang w:val="en-US"/>
        </w:rPr>
        <w:t>,</w:t>
      </w:r>
      <w:r w:rsidRPr="00A902CD">
        <w:rPr>
          <w:lang w:val="en-US"/>
        </w:rPr>
        <w:t xml:space="preserve"> and noise caused by interference from other systems</w:t>
      </w:r>
      <w:r>
        <w:rPr>
          <w:lang w:val="en-US"/>
        </w:rPr>
        <w:t>,</w:t>
      </w:r>
      <w:r w:rsidRPr="00A902CD">
        <w:rPr>
          <w:lang w:val="en-US"/>
        </w:rPr>
        <w:t xml:space="preserve"> </w:t>
      </w:r>
      <w:r w:rsidRPr="00A902CD">
        <w:rPr>
          <w:i/>
          <w:iCs/>
          <w:lang w:val="en-US"/>
        </w:rPr>
        <w:t>I</w:t>
      </w:r>
      <w:r w:rsidRPr="00A902CD">
        <w:rPr>
          <w:vertAlign w:val="subscript"/>
          <w:lang w:val="en-US"/>
        </w:rPr>
        <w:t>0</w:t>
      </w:r>
      <w:r w:rsidRPr="00A902CD">
        <w:rPr>
          <w:lang w:val="en-US"/>
        </w:rPr>
        <w:t>. Figure 1 depicts the GOES 406 MHz SARR channel with interference on the downlink.</w:t>
      </w:r>
    </w:p>
    <w:p w:rsidR="00B61132" w:rsidRDefault="00B61132" w:rsidP="00B61132">
      <w:pPr>
        <w:pStyle w:val="FigureNo"/>
        <w:rPr>
          <w:lang w:val="en-US"/>
        </w:rPr>
      </w:pPr>
      <w:r>
        <w:rPr>
          <w:lang w:val="en-US"/>
        </w:rPr>
        <w:lastRenderedPageBreak/>
        <w:t>FIGURE 1</w:t>
      </w:r>
    </w:p>
    <w:p w:rsidR="00B61132" w:rsidRDefault="00B61132" w:rsidP="00B61132">
      <w:pPr>
        <w:pStyle w:val="Figuretitle"/>
        <w:rPr>
          <w:lang w:val="en-US"/>
        </w:rPr>
      </w:pPr>
      <w:r>
        <w:rPr>
          <w:lang w:val="en-US"/>
        </w:rPr>
        <w:t>GOES SARR with interference on the downlink</w:t>
      </w:r>
    </w:p>
    <w:p w:rsidR="00B61132" w:rsidRPr="00B61132" w:rsidRDefault="00B61132" w:rsidP="00B61132">
      <w:pPr>
        <w:pStyle w:val="Blanc"/>
      </w:pPr>
    </w:p>
    <w:p w:rsidR="00B61132" w:rsidRPr="00B61132" w:rsidRDefault="007F7962" w:rsidP="00B61132">
      <w:pPr>
        <w:pStyle w:val="Figure"/>
        <w:rPr>
          <w:lang w:val="en-US"/>
        </w:rPr>
      </w:pPr>
      <w:r w:rsidRPr="00B720BA">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6pt;height:266.4pt;mso-position-horizontal:absolute">
            <v:imagedata r:id="rId13" o:title=""/>
          </v:shape>
        </w:pict>
      </w:r>
    </w:p>
    <w:p w:rsidR="0067766E" w:rsidRPr="00A902CD" w:rsidRDefault="0067766E" w:rsidP="00B61132">
      <w:pPr>
        <w:rPr>
          <w:lang w:val="en-US"/>
        </w:rPr>
      </w:pPr>
      <w:r w:rsidRPr="00A902CD">
        <w:rPr>
          <w:lang w:val="en-US"/>
        </w:rPr>
        <w:t>To achieve a BER of 5 </w:t>
      </w:r>
      <w:r>
        <w:rPr>
          <w:lang w:val="en-US"/>
        </w:rPr>
        <w:sym w:font="Symbol" w:char="F0B4"/>
      </w:r>
      <w:r w:rsidRPr="00A902CD">
        <w:rPr>
          <w:lang w:val="en-US"/>
        </w:rPr>
        <w:t> 10</w:t>
      </w:r>
      <w:r w:rsidRPr="00A902CD">
        <w:rPr>
          <w:vertAlign w:val="superscript"/>
          <w:lang w:val="en-US"/>
        </w:rPr>
        <w:t>−5</w:t>
      </w:r>
      <w:r w:rsidRPr="00A902CD">
        <w:rPr>
          <w:lang w:val="en-US"/>
        </w:rPr>
        <w:t>, the ratio of the energy per bit to noise plus interference density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xml:space="preserve">)) at the GEOLUT demodulator must equal or exceed 8.8 dB. This analysis determines the maximum amount of broadband noise-like interference specified as an spfd referenced to the input to the GEOLUT antenna that could be accommodated without degrading the overall link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below 8.8 dB.</w:t>
      </w:r>
    </w:p>
    <w:p w:rsidR="0067766E" w:rsidRPr="00A902CD" w:rsidRDefault="0067766E" w:rsidP="0067766E">
      <w:pPr>
        <w:rPr>
          <w:lang w:val="en-US"/>
        </w:rPr>
      </w:pPr>
      <w:r w:rsidRPr="00A902CD">
        <w:rPr>
          <w:lang w:val="en-US"/>
        </w:rPr>
        <w:t xml:space="preserve">As seen in Fig. 1, 406 MHz distress beacon signals are received by the GOES SARR and phase modulated onto a 1 544.5 MHz downlink carrier for detection and processing by GEOLUTs. The antenna gain and system noise temperature for a GOES GEOLUT are 33.3 dB and 165.96 K, respectively. </w:t>
      </w:r>
    </w:p>
    <w:p w:rsidR="0067766E" w:rsidRPr="00A902CD" w:rsidRDefault="0067766E" w:rsidP="0067766E">
      <w:pPr>
        <w:rPr>
          <w:lang w:val="en-US"/>
        </w:rPr>
      </w:pPr>
      <w:r w:rsidRPr="00A902CD">
        <w:rPr>
          <w:lang w:val="en-US"/>
        </w:rPr>
        <w:t xml:space="preserve">The EPIRB signal has an elevation angle of 5° with respect to the spacecraft. When no external sources of interference are present, the overall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xml:space="preserve"> is 31.1</w:t>
      </w:r>
      <w:r w:rsidRPr="00A902CD">
        <w:rPr>
          <w:i/>
          <w:lang w:val="en-US"/>
        </w:rPr>
        <w:t> </w:t>
      </w:r>
      <w:r w:rsidRPr="00A902CD">
        <w:rPr>
          <w:lang w:val="en-US"/>
        </w:rPr>
        <w:t>dB</w:t>
      </w:r>
      <w:r w:rsidRPr="00A902CD">
        <w:rPr>
          <w:lang w:val="en-US"/>
        </w:rPr>
        <w:noBreakHyphen/>
        <w:t>Hz, which equates to an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xml:space="preserve"> of 5.1 dB. Accounting for implementation and beacon data demodulation losses and processing gains at the GEOLUT, results in an effective ratio of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xml:space="preserve"> of 10.1 dB. Since the channel requires an overall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bscript"/>
          <w:lang w:val="en-US"/>
        </w:rPr>
        <w:t xml:space="preserve"> </w:t>
      </w:r>
      <w:r w:rsidRPr="00A902CD">
        <w:rPr>
          <w:lang w:val="en-US"/>
        </w:rPr>
        <w:t>of at least 8.8 dB to reliably meet minimum performance, the accumulation of broadband interference on the downlink that reduces the overall carrier-to-noise plus interference density ratio by more than 1.3 dB cannot be accommodated.</w:t>
      </w:r>
    </w:p>
    <w:p w:rsidR="0067766E" w:rsidRPr="00A902CD" w:rsidRDefault="0067766E" w:rsidP="0067766E">
      <w:pPr>
        <w:rPr>
          <w:lang w:val="en-US"/>
        </w:rPr>
      </w:pPr>
      <w:r w:rsidRPr="00A902CD">
        <w:rPr>
          <w:lang w:val="en-US"/>
        </w:rPr>
        <w:t xml:space="preserve">Since the overall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xml:space="preserve"> in the absence of interference equates to 31.1 dB</w:t>
      </w:r>
      <w:r w:rsidRPr="00A902CD">
        <w:rPr>
          <w:lang w:val="en-US"/>
        </w:rPr>
        <w:noBreakHyphen/>
        <w:t>Hz, broadband noise-like interference on the downlink that degrades it by 1.3 dB, would result in an overall carrier-to-noise plus interference density ratio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of:</w:t>
      </w:r>
    </w:p>
    <w:p w:rsidR="00B61132" w:rsidRDefault="00B61132" w:rsidP="00B61132">
      <w:pPr>
        <w:pStyle w:val="Blanc"/>
      </w:pPr>
    </w:p>
    <w:p w:rsidR="0067766E" w:rsidRPr="00A902CD" w:rsidRDefault="0067766E" w:rsidP="00B61132">
      <w:pPr>
        <w:pStyle w:val="Equation"/>
        <w:tabs>
          <w:tab w:val="clear" w:pos="4820"/>
          <w:tab w:val="left" w:pos="2835"/>
          <w:tab w:val="left" w:pos="4649"/>
        </w:tabs>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00B61132">
        <w:rPr>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 1.3 dB</w:t>
      </w:r>
    </w:p>
    <w:p w:rsidR="0067766E" w:rsidRPr="00A902CD" w:rsidRDefault="0067766E" w:rsidP="00B61132">
      <w:pPr>
        <w:pStyle w:val="Equation"/>
        <w:tabs>
          <w:tab w:val="clear" w:pos="4820"/>
          <w:tab w:val="left" w:pos="2835"/>
          <w:tab w:val="left" w:pos="4649"/>
        </w:tabs>
        <w:rPr>
          <w:lang w:val="en-US"/>
        </w:rPr>
      </w:pPr>
      <w:r w:rsidRPr="00A902CD">
        <w:rPr>
          <w:lang w:val="en-US"/>
        </w:rPr>
        <w:tab/>
      </w:r>
      <w:r w:rsidRPr="00A902CD">
        <w:rPr>
          <w:lang w:val="en-US"/>
        </w:rPr>
        <w:tab/>
      </w:r>
      <w:r w:rsidR="00B61132">
        <w:rPr>
          <w:lang w:val="en-US"/>
        </w:rPr>
        <w:tab/>
      </w:r>
      <w:r w:rsidRPr="00A902CD">
        <w:rPr>
          <w:lang w:val="en-US"/>
        </w:rPr>
        <w:t>= 31.1 dB</w:t>
      </w:r>
      <w:r w:rsidRPr="00A902CD">
        <w:rPr>
          <w:lang w:val="en-US"/>
        </w:rPr>
        <w:noBreakHyphen/>
        <w:t>Hz – 1.3 dB</w:t>
      </w:r>
    </w:p>
    <w:p w:rsidR="0067766E" w:rsidRPr="00A902CD" w:rsidRDefault="0067766E" w:rsidP="00B61132">
      <w:pPr>
        <w:pStyle w:val="Equation"/>
        <w:tabs>
          <w:tab w:val="clear" w:pos="4820"/>
          <w:tab w:val="left" w:pos="2835"/>
          <w:tab w:val="left" w:pos="4649"/>
        </w:tabs>
        <w:rPr>
          <w:lang w:val="en-US"/>
        </w:rPr>
      </w:pPr>
      <w:r w:rsidRPr="00A902CD">
        <w:rPr>
          <w:lang w:val="en-US"/>
        </w:rPr>
        <w:tab/>
      </w:r>
      <w:r w:rsidRPr="00A902CD">
        <w:rPr>
          <w:lang w:val="en-US"/>
        </w:rPr>
        <w:tab/>
      </w:r>
      <w:r w:rsidR="00B61132">
        <w:rPr>
          <w:lang w:val="en-US"/>
        </w:rPr>
        <w:tab/>
      </w:r>
      <w:r w:rsidRPr="00A902CD">
        <w:rPr>
          <w:lang w:val="en-US"/>
        </w:rPr>
        <w:t>= 29.8 dB</w:t>
      </w:r>
      <w:r w:rsidRPr="00A902CD">
        <w:rPr>
          <w:lang w:val="en-US"/>
        </w:rPr>
        <w:noBreakHyphen/>
        <w:t>Hz</w:t>
      </w:r>
    </w:p>
    <w:p w:rsidR="0067766E" w:rsidRPr="00A902CD" w:rsidRDefault="0067766E" w:rsidP="00B61132">
      <w:pPr>
        <w:keepNext/>
        <w:rPr>
          <w:lang w:val="en-US"/>
        </w:rPr>
      </w:pPr>
      <w:r w:rsidRPr="00A902CD">
        <w:rPr>
          <w:lang w:val="en-US"/>
        </w:rPr>
        <w:lastRenderedPageBreak/>
        <w:t>The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is calculated from the carrier-to-noise plus interference density ratios of the uplink and downlink as indicated below:</w:t>
      </w:r>
    </w:p>
    <w:p w:rsidR="0067766E" w:rsidRPr="00A902CD" w:rsidRDefault="0067766E" w:rsidP="0067766E">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lang w:val="en-US"/>
        </w:rPr>
        <w:t xml:space="preserve">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67766E" w:rsidRPr="00A902CD" w:rsidRDefault="0067766E" w:rsidP="0067766E">
      <w:pPr>
        <w:rPr>
          <w:lang w:val="en-US"/>
        </w:rPr>
      </w:pPr>
      <w:r w:rsidRPr="00A902CD">
        <w:rPr>
          <w:lang w:val="en-US"/>
        </w:rPr>
        <w:t>Since this analysis only concerns downlink interference, the above equation simplifies to:</w:t>
      </w:r>
    </w:p>
    <w:p w:rsidR="0067766E" w:rsidRPr="00452CEE" w:rsidRDefault="0067766E" w:rsidP="0067766E">
      <w:pPr>
        <w:pStyle w:val="Blanc"/>
        <w:rPr>
          <w:lang w:val="en-US"/>
        </w:rPr>
      </w:pPr>
    </w:p>
    <w:p w:rsidR="0067766E" w:rsidRPr="00A902CD" w:rsidRDefault="0067766E" w:rsidP="0067766E">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lang w:val="en-US"/>
        </w:rPr>
        <w:t xml:space="preserve">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67766E" w:rsidRDefault="0067766E" w:rsidP="0067766E">
      <w:pPr>
        <w:pStyle w:val="Blanc"/>
      </w:pPr>
    </w:p>
    <w:p w:rsidR="0067766E" w:rsidRPr="00A902CD" w:rsidRDefault="0067766E" w:rsidP="0067766E">
      <w:pPr>
        <w:rPr>
          <w:lang w:val="en-US"/>
        </w:rPr>
      </w:pPr>
      <w:r w:rsidRPr="00A902CD">
        <w:rPr>
          <w:lang w:val="en-US"/>
        </w:rPr>
        <w:t>Substituting 29.8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and 31.3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lang w:val="en-US"/>
        </w:rPr>
        <w:t xml:space="preserve"> results in a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of 35.1 dB</w:t>
      </w:r>
      <w:r w:rsidRPr="00A902CD">
        <w:rPr>
          <w:lang w:val="en-US"/>
        </w:rPr>
        <w:noBreakHyphen/>
        <w:t>Hz (see below):</w:t>
      </w:r>
    </w:p>
    <w:p w:rsidR="0067766E" w:rsidRDefault="0067766E" w:rsidP="0067766E">
      <w:pPr>
        <w:pStyle w:val="Blanc"/>
      </w:pPr>
    </w:p>
    <w:p w:rsidR="0067766E" w:rsidRPr="00A902CD" w:rsidRDefault="0067766E" w:rsidP="0067766E">
      <w:pPr>
        <w:pStyle w:val="Equation"/>
        <w:rPr>
          <w:vertAlign w:val="superscript"/>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lang w:val="en-US"/>
        </w:rPr>
        <w:t xml:space="preserve">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vertAlign w:val="superscript"/>
          <w:lang w:val="en-US"/>
        </w:rPr>
        <w:t>−1</w:t>
      </w:r>
      <w:r w:rsidRPr="00A902CD">
        <w:rPr>
          <w:lang w:val="en-US"/>
        </w:rPr>
        <w:t>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vertAlign w:val="superscript"/>
          <w:lang w:val="en-US"/>
        </w:rPr>
        <w:t>−1</w:t>
      </w:r>
      <w:r w:rsidRPr="00A902CD">
        <w:rPr>
          <w:lang w:val="en-US"/>
        </w:rPr>
        <w:t>)</w:t>
      </w:r>
      <w:r w:rsidRPr="00A902CD">
        <w:rPr>
          <w:vertAlign w:val="superscript"/>
          <w:lang w:val="en-US"/>
        </w:rPr>
        <w:t>−1</w:t>
      </w:r>
    </w:p>
    <w:p w:rsidR="0067766E" w:rsidRDefault="0067766E" w:rsidP="0067766E">
      <w:pPr>
        <w:pStyle w:val="Blanc"/>
      </w:pPr>
    </w:p>
    <w:p w:rsidR="0067766E" w:rsidRPr="00A902CD" w:rsidRDefault="0067766E" w:rsidP="0067766E">
      <w:pPr>
        <w:rPr>
          <w:lang w:val="en-US"/>
        </w:rPr>
      </w:pPr>
      <w:r w:rsidRPr="00A902CD">
        <w:rPr>
          <w:lang w:val="en-US"/>
        </w:rPr>
        <w:t>or</w:t>
      </w: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 xml:space="preserve">–29.8/10 </w:t>
      </w:r>
      <w:r w:rsidRPr="00A902CD">
        <w:rPr>
          <w:lang w:val="en-US"/>
        </w:rPr>
        <w:t>– 10</w:t>
      </w:r>
      <w:r w:rsidRPr="00A902CD">
        <w:rPr>
          <w:vertAlign w:val="superscript"/>
          <w:lang w:val="en-US"/>
        </w:rPr>
        <w:t>–31.3/10</w:t>
      </w:r>
      <w:r w:rsidRPr="00A902CD">
        <w:rPr>
          <w:lang w:val="en-US"/>
        </w:rPr>
        <w:t>)</w:t>
      </w:r>
      <w:r w:rsidRPr="00A902CD">
        <w:rPr>
          <w:vertAlign w:val="superscript"/>
          <w:lang w:val="en-US"/>
        </w:rPr>
        <w:t>–1</w:t>
      </w:r>
      <w:r w:rsidRPr="00A902CD">
        <w:rPr>
          <w:lang w:val="en-US"/>
        </w:rPr>
        <w:t>)</w:t>
      </w:r>
    </w:p>
    <w:p w:rsidR="0067766E" w:rsidRPr="00A902CD" w:rsidRDefault="0067766E" w:rsidP="0067766E">
      <w:pPr>
        <w:rPr>
          <w:lang w:val="en-US"/>
        </w:rPr>
      </w:pPr>
      <w:r w:rsidRPr="00A902CD">
        <w:rPr>
          <w:lang w:val="en-US"/>
        </w:rPr>
        <w:t>then</w:t>
      </w: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lang w:val="en-US"/>
        </w:rPr>
        <w:t xml:space="preserve"> = 35.1 dB</w:t>
      </w:r>
      <w:r w:rsidRPr="00A902CD">
        <w:rPr>
          <w:lang w:val="en-US"/>
        </w:rPr>
        <w:noBreakHyphen/>
        <w:t>Hz</w:t>
      </w:r>
    </w:p>
    <w:p w:rsidR="0067766E" w:rsidRDefault="0067766E" w:rsidP="0067766E">
      <w:pPr>
        <w:pStyle w:val="Blanc"/>
      </w:pPr>
    </w:p>
    <w:p w:rsidR="0067766E" w:rsidRPr="00A902CD" w:rsidRDefault="0067766E" w:rsidP="0067766E">
      <w:pPr>
        <w:rPr>
          <w:lang w:val="en-US"/>
        </w:rPr>
      </w:pPr>
      <w:r w:rsidRPr="00A902CD">
        <w:rPr>
          <w:lang w:val="en-US"/>
        </w:rPr>
        <w:t xml:space="preserve">The noise power spectral-density of the downlink without interference at the input to the LNA is </w:t>
      </w:r>
      <w:r w:rsidRPr="00A902CD">
        <w:rPr>
          <w:i/>
          <w:iCs/>
          <w:lang w:val="en-US"/>
        </w:rPr>
        <w:t>N</w:t>
      </w:r>
      <w:r w:rsidRPr="00A902CD">
        <w:rPr>
          <w:vertAlign w:val="subscript"/>
          <w:lang w:val="en-US"/>
        </w:rPr>
        <w:t>0</w:t>
      </w:r>
      <w:r w:rsidRPr="00A902CD">
        <w:rPr>
          <w:lang w:val="en-US"/>
        </w:rPr>
        <w:t xml:space="preserve"> = </w:t>
      </w:r>
      <w:r w:rsidRPr="00A902CD">
        <w:rPr>
          <w:i/>
          <w:iCs/>
          <w:lang w:val="en-US"/>
        </w:rPr>
        <w:t>k</w:t>
      </w:r>
      <w:r>
        <w:rPr>
          <w:i/>
          <w:iCs/>
          <w:lang w:val="en-US"/>
        </w:rPr>
        <w:t> </w:t>
      </w:r>
      <w:r w:rsidRPr="00A902CD">
        <w:rPr>
          <w:i/>
          <w:iCs/>
          <w:lang w:val="en-US"/>
        </w:rPr>
        <w:t>T</w:t>
      </w:r>
      <w:r w:rsidRPr="00A902CD">
        <w:rPr>
          <w:lang w:val="en-US"/>
        </w:rPr>
        <w:t xml:space="preserve">, where </w:t>
      </w:r>
      <w:r w:rsidRPr="00A902CD">
        <w:rPr>
          <w:i/>
          <w:iCs/>
          <w:lang w:val="en-US"/>
        </w:rPr>
        <w:t>k</w:t>
      </w:r>
      <w:r w:rsidRPr="00A902CD">
        <w:rPr>
          <w:lang w:val="en-US"/>
        </w:rPr>
        <w:t xml:space="preserve"> is Boltzmann’s constant. Therefore, </w:t>
      </w:r>
      <w:r w:rsidRPr="00A902CD">
        <w:rPr>
          <w:i/>
          <w:iCs/>
          <w:lang w:val="en-US"/>
        </w:rPr>
        <w:t>N</w:t>
      </w:r>
      <w:r w:rsidRPr="00A902CD">
        <w:rPr>
          <w:vertAlign w:val="subscript"/>
          <w:lang w:val="en-US"/>
        </w:rPr>
        <w:t>0 </w:t>
      </w:r>
      <w:r w:rsidRPr="00A902CD">
        <w:rPr>
          <w:lang w:val="en-US"/>
        </w:rPr>
        <w:t>= –228.6 + 22.2 = –206.4 dB(W/Hz).</w:t>
      </w:r>
    </w:p>
    <w:p w:rsidR="0067766E" w:rsidRPr="00A902CD" w:rsidRDefault="0067766E" w:rsidP="0067766E">
      <w:pPr>
        <w:rPr>
          <w:lang w:val="en-US"/>
        </w:rPr>
      </w:pPr>
      <w:r w:rsidRPr="00A902CD">
        <w:rPr>
          <w:lang w:val="en-US"/>
        </w:rPr>
        <w:t>The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equals 43.8 dB and (</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equals –206.4 dB(W/Hz), so the value of C</w:t>
      </w:r>
      <w:r>
        <w:rPr>
          <w:iCs/>
          <w:vertAlign w:val="subscript"/>
          <w:lang w:val="en-US"/>
        </w:rPr>
        <w:sym w:font="Symbol" w:char="F0AF"/>
      </w:r>
      <w:r w:rsidRPr="00A902CD">
        <w:rPr>
          <w:vertAlign w:val="subscript"/>
          <w:lang w:val="en-US"/>
        </w:rPr>
        <w:t xml:space="preserve"> </w:t>
      </w:r>
      <w:r w:rsidRPr="00A902CD">
        <w:rPr>
          <w:lang w:val="en-US"/>
        </w:rPr>
        <w:t>is −162.6</w:t>
      </w:r>
      <w:r w:rsidRPr="00A902CD">
        <w:rPr>
          <w:i/>
          <w:lang w:val="en-US"/>
        </w:rPr>
        <w:t> </w:t>
      </w:r>
      <w:r w:rsidRPr="00A902CD">
        <w:rPr>
          <w:iCs/>
          <w:lang w:val="en-US"/>
        </w:rPr>
        <w:t>dBW</w:t>
      </w:r>
      <w:r w:rsidRPr="00A902CD">
        <w:rPr>
          <w:lang w:val="en-US"/>
        </w:rPr>
        <w:t>.</w:t>
      </w:r>
    </w:p>
    <w:p w:rsidR="0067766E" w:rsidRPr="00A902CD" w:rsidRDefault="0067766E" w:rsidP="0067766E">
      <w:pPr>
        <w:rPr>
          <w:lang w:val="en-US"/>
        </w:rPr>
      </w:pPr>
      <w:r w:rsidRPr="00A902CD">
        <w:rPr>
          <w:lang w:val="en-US"/>
        </w:rPr>
        <w:t xml:space="preserve">The maximum permissible interference power spectral-density in the downlink from the aggregate of all interfering emitters, </w:t>
      </w:r>
      <w:r w:rsidRPr="00A902CD">
        <w:rPr>
          <w:i/>
          <w:iCs/>
          <w:lang w:val="en-US"/>
        </w:rPr>
        <w:t>I</w:t>
      </w:r>
      <w:r w:rsidRPr="00A902CD">
        <w:rPr>
          <w:vertAlign w:val="subscript"/>
          <w:lang w:val="en-US"/>
        </w:rPr>
        <w:t>0</w:t>
      </w:r>
      <w:r w:rsidRPr="00A902CD">
        <w:rPr>
          <w:lang w:val="en-US"/>
        </w:rPr>
        <w:t>(max), measured at the input to the GEOLUT receiver LNA over the 1 544.5 MHz </w:t>
      </w:r>
      <w:r>
        <w:rPr>
          <w:lang w:val="en-US"/>
        </w:rPr>
        <w:sym w:font="Symbol" w:char="F0B1"/>
      </w:r>
      <w:r w:rsidRPr="00A902CD">
        <w:rPr>
          <w:lang w:val="en-US"/>
        </w:rPr>
        <w:t> 100 kHz band is:</w:t>
      </w:r>
    </w:p>
    <w:p w:rsidR="0067766E" w:rsidRDefault="0067766E" w:rsidP="0067766E">
      <w:pPr>
        <w:pStyle w:val="Blanc"/>
      </w:pP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(max)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w:t>
      </w:r>
      <w:r w:rsidRPr="00A902CD">
        <w:rPr>
          <w:i/>
          <w:iCs/>
          <w:vertAlign w:val="superscript"/>
          <w:lang w:val="en-US"/>
        </w:rPr>
        <w:t>C</w:t>
      </w:r>
      <w:r w:rsidRPr="00913312">
        <w:rPr>
          <w:iCs/>
          <w:position w:val="-4"/>
          <w:szCs w:val="24"/>
          <w:vertAlign w:val="superscript"/>
          <w:lang w:val="en-US"/>
        </w:rPr>
        <w:sym w:font="Symbol" w:char="F0AF"/>
      </w:r>
      <w:r w:rsidRPr="00A902CD">
        <w:rPr>
          <w:i/>
          <w:iCs/>
          <w:vertAlign w:val="superscript"/>
          <w:lang w:val="en-US"/>
        </w:rPr>
        <w:t> </w:t>
      </w:r>
      <w:r w:rsidRPr="00A902CD">
        <w:rPr>
          <w:vertAlign w:val="superscript"/>
          <w:lang w:val="en-US"/>
        </w:rPr>
        <w:t>– (</w:t>
      </w:r>
      <w:r w:rsidRPr="00A902CD">
        <w:rPr>
          <w:i/>
          <w:iCs/>
          <w:vertAlign w:val="superscript"/>
          <w:lang w:val="en-US"/>
        </w:rPr>
        <w:t>C</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 xml:space="preserve"> +</w:t>
      </w:r>
      <w:r w:rsidRPr="00A902CD">
        <w:rPr>
          <w:i/>
          <w:iCs/>
          <w:vertAlign w:val="superscript"/>
          <w:lang w:val="en-US"/>
        </w:rPr>
        <w:t xml:space="preserve"> I</w:t>
      </w:r>
      <w:r w:rsidRPr="00A902CD">
        <w:rPr>
          <w:sz w:val="20"/>
          <w:vertAlign w:val="superscript"/>
          <w:lang w:val="en-US"/>
        </w:rPr>
        <w:t>0</w:t>
      </w:r>
      <w:r w:rsidRPr="00A902CD">
        <w:rPr>
          <w:vertAlign w:val="superscript"/>
          <w:lang w:val="en-US"/>
        </w:rPr>
        <w:t>)</w:t>
      </w:r>
      <w:r w:rsidRPr="00913312">
        <w:rPr>
          <w:iCs/>
          <w:position w:val="-4"/>
          <w:szCs w:val="24"/>
          <w:vertAlign w:val="superscript"/>
          <w:lang w:val="en-US"/>
        </w:rPr>
        <w:sym w:font="Symbol" w:char="F0AF"/>
      </w:r>
      <w:r w:rsidRPr="00A902CD">
        <w:rPr>
          <w:vertAlign w:val="superscript"/>
          <w:lang w:val="en-US"/>
        </w:rPr>
        <w:t>))/10</w:t>
      </w:r>
      <w:r w:rsidRPr="00A902CD">
        <w:rPr>
          <w:lang w:val="en-US"/>
        </w:rPr>
        <w:t> – 10</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w:t>
      </w:r>
      <w:r w:rsidRPr="00913312">
        <w:rPr>
          <w:iCs/>
          <w:position w:val="-4"/>
          <w:szCs w:val="24"/>
          <w:vertAlign w:val="superscript"/>
          <w:lang w:val="en-US"/>
        </w:rPr>
        <w:sym w:font="Symbol" w:char="F0AF"/>
      </w:r>
      <w:r w:rsidRPr="00A902CD">
        <w:rPr>
          <w:vertAlign w:val="superscript"/>
          <w:lang w:val="en-US"/>
        </w:rPr>
        <w:t>/10</w:t>
      </w:r>
      <w:r w:rsidRPr="00A902CD">
        <w:rPr>
          <w:lang w:val="en-US"/>
        </w:rPr>
        <w:t>)</w:t>
      </w:r>
    </w:p>
    <w:p w:rsidR="0067766E" w:rsidRPr="00A902CD" w:rsidRDefault="0067766E" w:rsidP="0067766E">
      <w:pPr>
        <w:rPr>
          <w:lang w:val="en-US"/>
        </w:rPr>
      </w:pPr>
      <w:r w:rsidRPr="00A902CD">
        <w:rPr>
          <w:lang w:val="en-US"/>
        </w:rPr>
        <w:t>or</w:t>
      </w:r>
    </w:p>
    <w:p w:rsidR="0067766E" w:rsidRDefault="0067766E" w:rsidP="0067766E">
      <w:pPr>
        <w:pStyle w:val="Blanc"/>
      </w:pP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(max)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(–162.6 – 35.1)/10</w:t>
      </w:r>
      <w:r w:rsidRPr="00A902CD">
        <w:rPr>
          <w:lang w:val="en-US"/>
        </w:rPr>
        <w:t> – 10</w:t>
      </w:r>
      <w:r w:rsidRPr="00A902CD">
        <w:rPr>
          <w:vertAlign w:val="superscript"/>
          <w:lang w:val="en-US"/>
        </w:rPr>
        <w:t>–206.4/10</w:t>
      </w:r>
      <w:r w:rsidRPr="00A902CD">
        <w:rPr>
          <w:lang w:val="en-US"/>
        </w:rPr>
        <w:t>)</w:t>
      </w:r>
    </w:p>
    <w:p w:rsidR="0067766E" w:rsidRPr="00A902CD" w:rsidRDefault="0067766E" w:rsidP="0067766E">
      <w:pPr>
        <w:rPr>
          <w:lang w:val="en-US"/>
        </w:rPr>
      </w:pPr>
      <w:r w:rsidRPr="00A902CD">
        <w:rPr>
          <w:lang w:val="en-US"/>
        </w:rPr>
        <w:t>then</w:t>
      </w: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(max) = –198.3 dB(W/Hz)</w:t>
      </w:r>
    </w:p>
    <w:p w:rsidR="00B61132" w:rsidRDefault="00B61132" w:rsidP="00B61132">
      <w:pPr>
        <w:pStyle w:val="Blanc"/>
      </w:pPr>
    </w:p>
    <w:p w:rsidR="0067766E" w:rsidRPr="00A902CD" w:rsidRDefault="0067766E" w:rsidP="0067766E">
      <w:pPr>
        <w:rPr>
          <w:lang w:val="en-US"/>
        </w:rPr>
      </w:pPr>
      <w:r w:rsidRPr="00A902CD">
        <w:rPr>
          <w:lang w:val="en-US"/>
        </w:rPr>
        <w:t>It is desirable to characterize the protection criteria in terms of the spfd interference threshold specified in dB(W/(m</w:t>
      </w:r>
      <w:r w:rsidRPr="00A902CD">
        <w:rPr>
          <w:vertAlign w:val="superscript"/>
          <w:lang w:val="en-US"/>
        </w:rPr>
        <w:t>2</w:t>
      </w:r>
      <w:r w:rsidRPr="00A902CD">
        <w:rPr>
          <w:lang w:val="en-US"/>
        </w:rPr>
        <w:t xml:space="preserve"> ∙ Hz)) at the input to the GEOLUT antenna. The effective aperture of an antenna, </w:t>
      </w:r>
      <w:r w:rsidRPr="00A902CD">
        <w:rPr>
          <w:i/>
          <w:iCs/>
          <w:lang w:val="en-US"/>
        </w:rPr>
        <w:t>A</w:t>
      </w:r>
      <w:r w:rsidRPr="00A902CD">
        <w:rPr>
          <w:i/>
          <w:iCs/>
          <w:vertAlign w:val="subscript"/>
          <w:lang w:val="en-US"/>
        </w:rPr>
        <w:t>e</w:t>
      </w:r>
      <w:r w:rsidRPr="00A902CD">
        <w:rPr>
          <w:lang w:val="en-US"/>
        </w:rPr>
        <w:t>, having a gain of</w:t>
      </w:r>
      <w:r w:rsidRPr="00A902CD">
        <w:rPr>
          <w:i/>
          <w:iCs/>
          <w:lang w:val="en-US"/>
        </w:rPr>
        <w:t xml:space="preserve"> G</w:t>
      </w:r>
      <w:r w:rsidRPr="00A902CD">
        <w:rPr>
          <w:lang w:val="en-US"/>
        </w:rPr>
        <w:t xml:space="preserve"> is </w:t>
      </w:r>
      <w:r w:rsidRPr="00A902CD">
        <w:rPr>
          <w:i/>
          <w:iCs/>
          <w:lang w:val="en-US"/>
        </w:rPr>
        <w:t>A</w:t>
      </w:r>
      <w:r w:rsidRPr="00A902CD">
        <w:rPr>
          <w:i/>
          <w:iCs/>
          <w:vertAlign w:val="subscript"/>
          <w:lang w:val="en-US"/>
        </w:rPr>
        <w:t>e</w:t>
      </w:r>
      <w:r w:rsidRPr="00A902CD">
        <w:rPr>
          <w:lang w:val="en-US"/>
        </w:rPr>
        <w:t> = </w:t>
      </w:r>
      <w:r w:rsidRPr="00A902CD">
        <w:rPr>
          <w:i/>
          <w:iCs/>
          <w:lang w:val="en-US"/>
        </w:rPr>
        <w:t>G</w:t>
      </w:r>
      <w:r>
        <w:rPr>
          <w:rFonts w:ascii="Symbol" w:hAnsi="Symbol"/>
        </w:rPr>
        <w:t></w:t>
      </w:r>
      <w:r w:rsidRPr="00A902CD">
        <w:rPr>
          <w:vertAlign w:val="superscript"/>
          <w:lang w:val="en-US"/>
        </w:rPr>
        <w:t>2</w:t>
      </w:r>
      <w:r w:rsidRPr="00A902CD">
        <w:rPr>
          <w:lang w:val="en-US"/>
        </w:rPr>
        <w:t>/4</w:t>
      </w:r>
      <w:r>
        <w:rPr>
          <w:rFonts w:ascii="Symbol" w:hAnsi="Symbol"/>
        </w:rPr>
        <w:t></w:t>
      </w:r>
      <w:r>
        <w:rPr>
          <w:rFonts w:ascii="Symbol" w:hAnsi="Symbol"/>
        </w:rPr>
        <w:t></w:t>
      </w:r>
      <w:r w:rsidRPr="00A902CD">
        <w:rPr>
          <w:lang w:val="en-US"/>
        </w:rPr>
        <w:t xml:space="preserve"> The GEOLUT antenna has a gain of 33.3 dB, therefore, the effective aperture is 6.42 m</w:t>
      </w:r>
      <w:r w:rsidRPr="00A902CD">
        <w:rPr>
          <w:vertAlign w:val="superscript"/>
          <w:lang w:val="en-US"/>
        </w:rPr>
        <w:t>2</w:t>
      </w:r>
      <w:r w:rsidRPr="00A902CD">
        <w:rPr>
          <w:lang w:val="en-US"/>
        </w:rPr>
        <w:t>. The maximum acceptable aggregate interference specified as an spfd is:</w:t>
      </w:r>
    </w:p>
    <w:p w:rsidR="0067766E" w:rsidRPr="00A902CD" w:rsidRDefault="0067766E" w:rsidP="0067766E">
      <w:pPr>
        <w:pStyle w:val="Equation"/>
        <w:rPr>
          <w:vertAlign w:val="subscript"/>
          <w:lang w:val="en-US"/>
        </w:rPr>
      </w:pPr>
      <w:r w:rsidRPr="00A902CD">
        <w:rPr>
          <w:lang w:val="en-US"/>
        </w:rPr>
        <w:tab/>
      </w:r>
      <w:r w:rsidRPr="00A902CD">
        <w:rPr>
          <w:lang w:val="en-US"/>
        </w:rPr>
        <w:tab/>
        <w:t xml:space="preserve">spfd = </w:t>
      </w:r>
      <w:r w:rsidRPr="00A902CD">
        <w:rPr>
          <w:i/>
          <w:iCs/>
          <w:lang w:val="en-US"/>
        </w:rPr>
        <w:t>I</w:t>
      </w:r>
      <w:r w:rsidRPr="00A902CD">
        <w:rPr>
          <w:vertAlign w:val="subscript"/>
          <w:lang w:val="en-US"/>
        </w:rPr>
        <w:t>0</w:t>
      </w:r>
      <w:r w:rsidRPr="00A902CD">
        <w:rPr>
          <w:lang w:val="en-US"/>
        </w:rPr>
        <w:t xml:space="preserve">(max) – </w:t>
      </w:r>
      <w:r w:rsidRPr="00A902CD">
        <w:rPr>
          <w:i/>
          <w:iCs/>
          <w:lang w:val="en-US"/>
        </w:rPr>
        <w:t>L</w:t>
      </w:r>
      <w:r w:rsidRPr="00A902CD">
        <w:rPr>
          <w:i/>
          <w:iCs/>
          <w:vertAlign w:val="subscript"/>
          <w:lang w:val="en-US"/>
        </w:rPr>
        <w:t>Line</w:t>
      </w:r>
      <w:r w:rsidRPr="00A902CD">
        <w:rPr>
          <w:lang w:val="en-US"/>
        </w:rPr>
        <w:t xml:space="preserve"> – </w:t>
      </w:r>
      <w:r w:rsidRPr="00A902CD">
        <w:rPr>
          <w:i/>
          <w:iCs/>
          <w:lang w:val="en-US"/>
        </w:rPr>
        <w:t>A</w:t>
      </w:r>
      <w:r w:rsidRPr="00A902CD">
        <w:rPr>
          <w:i/>
          <w:iCs/>
          <w:vertAlign w:val="subscript"/>
          <w:lang w:val="en-US"/>
        </w:rPr>
        <w:t>e</w:t>
      </w:r>
    </w:p>
    <w:p w:rsidR="0067766E" w:rsidRPr="00A902CD" w:rsidRDefault="0067766E" w:rsidP="0067766E">
      <w:pPr>
        <w:rPr>
          <w:lang w:val="en-US"/>
        </w:rPr>
      </w:pPr>
      <w:r w:rsidRPr="00A902CD">
        <w:rPr>
          <w:lang w:val="en-US"/>
        </w:rPr>
        <w:t xml:space="preserve">Assuming </w:t>
      </w:r>
      <w:r w:rsidRPr="00A902CD">
        <w:rPr>
          <w:i/>
          <w:iCs/>
          <w:lang w:val="en-US"/>
        </w:rPr>
        <w:t>L</w:t>
      </w:r>
      <w:r w:rsidRPr="00A902CD">
        <w:rPr>
          <w:i/>
          <w:iCs/>
          <w:vertAlign w:val="subscript"/>
          <w:lang w:val="en-US"/>
        </w:rPr>
        <w:t>Line</w:t>
      </w:r>
      <w:r w:rsidRPr="00A902CD">
        <w:rPr>
          <w:lang w:val="en-US"/>
        </w:rPr>
        <w:t xml:space="preserve"> = 0.</w:t>
      </w:r>
    </w:p>
    <w:p w:rsidR="0067766E" w:rsidRPr="00A902CD" w:rsidRDefault="0067766E" w:rsidP="0067766E">
      <w:pPr>
        <w:pStyle w:val="Equation"/>
        <w:rPr>
          <w:lang w:val="en-US"/>
        </w:rPr>
      </w:pPr>
      <w:r w:rsidRPr="00A902CD">
        <w:rPr>
          <w:lang w:val="en-US"/>
        </w:rPr>
        <w:tab/>
      </w:r>
      <w:r w:rsidRPr="00A902CD">
        <w:rPr>
          <w:lang w:val="en-US"/>
        </w:rPr>
        <w:tab/>
        <w:t>spfd = –198.3</w:t>
      </w:r>
      <w:r w:rsidRPr="00A902CD">
        <w:rPr>
          <w:i/>
          <w:lang w:val="en-US"/>
        </w:rPr>
        <w:t xml:space="preserve"> </w:t>
      </w:r>
      <w:r w:rsidRPr="00A902CD">
        <w:rPr>
          <w:lang w:val="en-US"/>
        </w:rPr>
        <w:t>– 0 – 10</w:t>
      </w:r>
      <w:r>
        <w:rPr>
          <w:lang w:val="en-US"/>
        </w:rPr>
        <w:t xml:space="preserve"> </w:t>
      </w:r>
      <w:r w:rsidRPr="00A902CD">
        <w:rPr>
          <w:lang w:val="en-US"/>
        </w:rPr>
        <w:t>log</w:t>
      </w:r>
      <w:r>
        <w:rPr>
          <w:lang w:val="en-US"/>
        </w:rPr>
        <w:t xml:space="preserve"> </w:t>
      </w:r>
      <w:r w:rsidRPr="00A902CD">
        <w:rPr>
          <w:lang w:val="en-US"/>
        </w:rPr>
        <w:t xml:space="preserve">(6.42) </w:t>
      </w:r>
    </w:p>
    <w:p w:rsidR="0067766E" w:rsidRPr="00A902CD" w:rsidRDefault="0067766E" w:rsidP="0067766E">
      <w:pPr>
        <w:pStyle w:val="Equation"/>
        <w:rPr>
          <w:lang w:val="en-US"/>
        </w:rPr>
      </w:pPr>
      <w:r w:rsidRPr="00A902CD">
        <w:rPr>
          <w:lang w:val="en-US"/>
        </w:rPr>
        <w:tab/>
      </w:r>
      <w:r w:rsidRPr="00A902CD">
        <w:rPr>
          <w:lang w:val="en-US"/>
        </w:rPr>
        <w:tab/>
        <w:t xml:space="preserve">   </w:t>
      </w:r>
      <w:r w:rsidR="00B61132">
        <w:rPr>
          <w:lang w:val="en-US"/>
        </w:rPr>
        <w:t xml:space="preserve">  </w:t>
      </w:r>
      <w:r w:rsidRPr="00A902CD">
        <w:rPr>
          <w:lang w:val="en-US"/>
        </w:rPr>
        <w:t>= –206.4 dB(W/(m</w:t>
      </w:r>
      <w:r w:rsidRPr="00A902CD">
        <w:rPr>
          <w:vertAlign w:val="superscript"/>
          <w:lang w:val="en-US"/>
        </w:rPr>
        <w:t>2</w:t>
      </w:r>
      <w:r w:rsidRPr="00A902CD">
        <w:rPr>
          <w:lang w:val="en-US"/>
        </w:rPr>
        <w:t> ∙ Hz))</w:t>
      </w:r>
    </w:p>
    <w:p w:rsidR="0067766E" w:rsidRPr="00A902CD" w:rsidRDefault="0067766E" w:rsidP="0067766E">
      <w:pPr>
        <w:rPr>
          <w:lang w:val="en-US"/>
        </w:rPr>
      </w:pPr>
      <w:r w:rsidRPr="00A902CD">
        <w:rPr>
          <w:lang w:val="en-US"/>
        </w:rPr>
        <w:t>The maximum level of broadband noise-like interference in the 1 544.5 MHz </w:t>
      </w:r>
      <w:r>
        <w:rPr>
          <w:lang w:val="en-US"/>
        </w:rPr>
        <w:sym w:font="Symbol" w:char="F0B1"/>
      </w:r>
      <w:r w:rsidRPr="00A902CD">
        <w:rPr>
          <w:lang w:val="en-US"/>
        </w:rPr>
        <w:t> 100 kHz GEOLUT channel shall not exceed –206.4 dB(W/(m</w:t>
      </w:r>
      <w:r w:rsidRPr="00A902CD">
        <w:rPr>
          <w:vertAlign w:val="superscript"/>
          <w:lang w:val="en-US"/>
        </w:rPr>
        <w:t>2</w:t>
      </w:r>
      <w:r w:rsidRPr="00A902CD">
        <w:rPr>
          <w:lang w:val="en-US"/>
        </w:rPr>
        <w:t> ∙ Hz)).</w:t>
      </w:r>
    </w:p>
    <w:p w:rsidR="0067766E" w:rsidRPr="00A902CD" w:rsidRDefault="0067766E" w:rsidP="0067766E">
      <w:pPr>
        <w:pStyle w:val="Heading2"/>
        <w:rPr>
          <w:lang w:val="en-US"/>
        </w:rPr>
      </w:pPr>
      <w:bookmarkStart w:id="8" w:name="_Toc115521329"/>
      <w:r w:rsidRPr="00A902CD">
        <w:rPr>
          <w:lang w:val="en-US"/>
        </w:rPr>
        <w:lastRenderedPageBreak/>
        <w:t>1.4</w:t>
      </w:r>
      <w:r w:rsidRPr="00A902CD">
        <w:rPr>
          <w:lang w:val="en-US"/>
        </w:rPr>
        <w:tab/>
        <w:t>Procedure for computing level of interference to the GOES 406 MHz SARR channel downlink</w:t>
      </w:r>
      <w:bookmarkEnd w:id="8"/>
    </w:p>
    <w:p w:rsidR="0067766E" w:rsidRPr="00A902CD" w:rsidRDefault="0067766E" w:rsidP="0067766E">
      <w:pPr>
        <w:rPr>
          <w:lang w:val="en-US"/>
        </w:rPr>
      </w:pPr>
      <w:r w:rsidRPr="00A902CD">
        <w:rPr>
          <w:lang w:val="en-US"/>
        </w:rPr>
        <w:t>Interference to Cospas-Sarsat is most often a result of out-of-band emissions from services in adjacent or near adjacent bands such as MSS space-to-Earth allocations.</w:t>
      </w:r>
    </w:p>
    <w:p w:rsidR="0067766E" w:rsidRPr="00A902CD" w:rsidRDefault="0067766E" w:rsidP="0067766E">
      <w:pPr>
        <w:keepLines/>
        <w:rPr>
          <w:lang w:val="en-US"/>
        </w:rPr>
      </w:pPr>
      <w:r w:rsidRPr="00A902CD">
        <w:rPr>
          <w:lang w:val="en-US"/>
        </w:rPr>
        <w:t>The emission bandwidth must be examined to determine if energy is transmitted in the frequency range 1 544.5 MHz </w:t>
      </w:r>
      <w:r>
        <w:sym w:font="Symbol" w:char="F0B1"/>
      </w:r>
      <w:r w:rsidRPr="00A902CD">
        <w:rPr>
          <w:lang w:val="en-US"/>
        </w:rPr>
        <w:t> 100 kHz. Particular care must be taken when analysing the impact of mobile systems (e.g. non-geostationary satellites and airborne transmitters) to take into account the effects of the Doppler shift generated by their movement.</w:t>
      </w:r>
    </w:p>
    <w:p w:rsidR="0067766E" w:rsidRPr="00A902CD" w:rsidRDefault="0067766E" w:rsidP="0067766E">
      <w:pPr>
        <w:rPr>
          <w:lang w:val="en-US"/>
        </w:rPr>
      </w:pPr>
      <w:r w:rsidRPr="00A902CD">
        <w:rPr>
          <w:lang w:val="en-US"/>
        </w:rPr>
        <w:t>Compute the level of interference from all sources that transmit energy in the band expressed as an spfd level at the GEOLUT antenna. The aggregate level for all interfering sources must not exceed −206.4 dB(W/(m</w:t>
      </w:r>
      <w:r w:rsidRPr="00A902CD">
        <w:rPr>
          <w:vertAlign w:val="superscript"/>
          <w:lang w:val="en-US"/>
        </w:rPr>
        <w:t>2</w:t>
      </w:r>
      <w:r w:rsidRPr="00A902CD">
        <w:rPr>
          <w:lang w:val="en-US"/>
        </w:rPr>
        <w:t> ∙ Hz)) anywhere in this range.</w:t>
      </w:r>
    </w:p>
    <w:p w:rsidR="0067766E" w:rsidRPr="00A902CD" w:rsidRDefault="0067766E" w:rsidP="0067766E">
      <w:pPr>
        <w:rPr>
          <w:lang w:val="en-US"/>
        </w:rPr>
      </w:pPr>
      <w:r w:rsidRPr="00A902CD">
        <w:rPr>
          <w:lang w:val="en-US"/>
        </w:rPr>
        <w:t>The above level is based on a GEOLUT antenna on-axis gain of 33.3 dBi. Depending upon the systems, involved antenna discrimination, polarization, and other engineering considerations should be used in establishing the impact of the interference.</w:t>
      </w:r>
    </w:p>
    <w:p w:rsidR="00BD5D3D" w:rsidRDefault="00BD5D3D" w:rsidP="0067766E">
      <w:pPr>
        <w:rPr>
          <w:lang w:val="en-US"/>
        </w:rPr>
      </w:pPr>
    </w:p>
    <w:p w:rsidR="0067766E" w:rsidRPr="00A902CD" w:rsidRDefault="0067766E" w:rsidP="0067766E">
      <w:pPr>
        <w:pStyle w:val="AnnexNoTitle"/>
        <w:rPr>
          <w:lang w:val="en-US"/>
        </w:rPr>
      </w:pPr>
      <w:bookmarkStart w:id="9" w:name="_Toc115521330"/>
      <w:r w:rsidRPr="00A902CD">
        <w:rPr>
          <w:lang w:val="en-US"/>
        </w:rPr>
        <w:t>Annex 2</w:t>
      </w:r>
      <w:r w:rsidRPr="00A902CD">
        <w:rPr>
          <w:lang w:val="en-US"/>
        </w:rPr>
        <w:br/>
      </w:r>
      <w:r w:rsidRPr="00A902CD">
        <w:rPr>
          <w:lang w:val="en-US"/>
        </w:rPr>
        <w:br/>
        <w:t>Interference protection criteria in the 1 544-1 545 MHz band for LEOLUTs that receive SARP 2.4 kbit/s processed data from Cospas and Sarsat satellites</w:t>
      </w:r>
      <w:bookmarkEnd w:id="9"/>
    </w:p>
    <w:p w:rsidR="0067766E" w:rsidRPr="00A902CD" w:rsidRDefault="0067766E" w:rsidP="0067766E">
      <w:pPr>
        <w:pStyle w:val="Heading1"/>
        <w:rPr>
          <w:lang w:val="en-US"/>
        </w:rPr>
      </w:pPr>
      <w:bookmarkStart w:id="10" w:name="_Toc115521331"/>
      <w:r w:rsidRPr="00A902CD">
        <w:rPr>
          <w:lang w:val="en-US"/>
        </w:rPr>
        <w:t>1</w:t>
      </w:r>
      <w:r w:rsidRPr="00A902CD">
        <w:rPr>
          <w:lang w:val="en-US"/>
        </w:rPr>
        <w:tab/>
        <w:t>General</w:t>
      </w:r>
      <w:bookmarkEnd w:id="10"/>
    </w:p>
    <w:p w:rsidR="0067766E" w:rsidRPr="00A902CD" w:rsidRDefault="0067766E" w:rsidP="0067766E">
      <w:pPr>
        <w:rPr>
          <w:lang w:val="en-US"/>
        </w:rPr>
      </w:pPr>
      <w:r w:rsidRPr="00A902CD">
        <w:rPr>
          <w:lang w:val="en-US"/>
        </w:rPr>
        <w:t>The Cospas and Sarsat SARP 2.4 kbit/s channel is located at 1 544.5 MHz </w:t>
      </w:r>
      <w:r>
        <w:sym w:font="Symbol" w:char="F0B1"/>
      </w:r>
      <w:r w:rsidRPr="00A902CD">
        <w:rPr>
          <w:lang w:val="en-US"/>
        </w:rPr>
        <w:t xml:space="preserve"> 5 kHz on the LEOSAR payload downlinks. Because of the frequency spreading caused by the modulation process and the Doppler shift resulting from the movement of the satellite, the 2.4 kbit/s SARP channel is received at LEOLUTs over a frequency range of 1 544.5 MHz </w:t>
      </w:r>
      <w:r>
        <w:sym w:font="Symbol" w:char="F0B1"/>
      </w:r>
      <w:r w:rsidRPr="00A902CD">
        <w:rPr>
          <w:lang w:val="en-US"/>
        </w:rPr>
        <w:t xml:space="preserve"> 50 kHz.</w:t>
      </w:r>
    </w:p>
    <w:p w:rsidR="0067766E" w:rsidRPr="00A902CD" w:rsidRDefault="0067766E" w:rsidP="0067766E">
      <w:pPr>
        <w:rPr>
          <w:lang w:val="en-US"/>
        </w:rPr>
      </w:pPr>
      <w:r w:rsidRPr="00A902CD">
        <w:rPr>
          <w:lang w:val="en-US"/>
        </w:rPr>
        <w:t>Table 1 provides recommended downlink power budgets for Cospas and Sarsat SARP channels that were developed to assist administrations design LEOLUTs for use in the Cospas-Sarsat system. The link budget shows that the Cospas SARP channel has a more robust communications link than the Sarsat SARP service; therefore, protection requirements suitable for the Sarsat SARP channel would also provide adequate protection for the Cospas SARP service.</w:t>
      </w:r>
    </w:p>
    <w:p w:rsidR="0067766E" w:rsidRPr="00A902CD" w:rsidRDefault="0067766E" w:rsidP="0067766E">
      <w:pPr>
        <w:pStyle w:val="Heading1"/>
        <w:rPr>
          <w:lang w:val="en-US"/>
        </w:rPr>
      </w:pPr>
      <w:bookmarkStart w:id="11" w:name="_Toc115521332"/>
      <w:r w:rsidRPr="00A902CD">
        <w:rPr>
          <w:lang w:val="en-US"/>
        </w:rPr>
        <w:t>2</w:t>
      </w:r>
      <w:r w:rsidRPr="00A902CD">
        <w:rPr>
          <w:lang w:val="en-US"/>
        </w:rPr>
        <w:tab/>
        <w:t>Minimum acceptable performance for 2.4 kbit/s PDS data in the SARP channel</w:t>
      </w:r>
      <w:bookmarkEnd w:id="11"/>
    </w:p>
    <w:p w:rsidR="0067766E" w:rsidRPr="00A902CD" w:rsidRDefault="0067766E" w:rsidP="0067766E">
      <w:pPr>
        <w:rPr>
          <w:lang w:val="en-US"/>
        </w:rPr>
      </w:pPr>
      <w:r w:rsidRPr="00A902CD">
        <w:rPr>
          <w:lang w:val="en-US"/>
        </w:rPr>
        <w:t xml:space="preserve">In order to reliably detect and locate 406 MHz distress beacons, the </w:t>
      </w:r>
      <w:r>
        <w:rPr>
          <w:lang w:val="en-US"/>
        </w:rPr>
        <w:t>BER</w:t>
      </w:r>
      <w:r w:rsidRPr="00A902CD">
        <w:rPr>
          <w:lang w:val="en-US"/>
        </w:rPr>
        <w:t xml:space="preserve"> of the SARP channel downlink must not exceed 1 × 10</w:t>
      </w:r>
      <w:r w:rsidRPr="00A902CD">
        <w:rPr>
          <w:vertAlign w:val="superscript"/>
          <w:lang w:val="en-US"/>
        </w:rPr>
        <w:t>–6</w:t>
      </w:r>
      <w:r w:rsidRPr="00A902CD">
        <w:rPr>
          <w:lang w:val="en-US"/>
        </w:rPr>
        <w:t xml:space="preserve"> (see Table 1).</w:t>
      </w:r>
    </w:p>
    <w:p w:rsidR="0067766E" w:rsidRPr="00A902CD" w:rsidRDefault="0067766E" w:rsidP="0067766E">
      <w:pPr>
        <w:pStyle w:val="Heading1"/>
        <w:rPr>
          <w:lang w:val="en-US"/>
        </w:rPr>
      </w:pPr>
      <w:bookmarkStart w:id="12" w:name="_Toc115521333"/>
      <w:r w:rsidRPr="00A902CD">
        <w:rPr>
          <w:lang w:val="en-US"/>
        </w:rPr>
        <w:t>3</w:t>
      </w:r>
      <w:r w:rsidRPr="00A902CD">
        <w:rPr>
          <w:lang w:val="en-US"/>
        </w:rPr>
        <w:tab/>
        <w:t>Analysis of spfd that causes interference</w:t>
      </w:r>
      <w:bookmarkEnd w:id="12"/>
    </w:p>
    <w:p w:rsidR="0067766E" w:rsidRPr="00A902CD" w:rsidRDefault="0067766E" w:rsidP="0067766E">
      <w:pPr>
        <w:rPr>
          <w:lang w:val="en-US"/>
        </w:rPr>
      </w:pPr>
      <w:r w:rsidRPr="00A902CD">
        <w:rPr>
          <w:lang w:val="en-US"/>
        </w:rPr>
        <w:t>The BER of a communications channel is derived from the ratio of the energy contained in each data bit</w:t>
      </w:r>
      <w:r>
        <w:rPr>
          <w:lang w:val="en-US"/>
        </w:rPr>
        <w:t>,</w:t>
      </w:r>
      <w:r w:rsidRPr="00A902CD">
        <w:rPr>
          <w:lang w:val="en-US"/>
        </w:rPr>
        <w:t xml:space="preserve"> </w:t>
      </w:r>
      <w:r w:rsidRPr="00A902CD">
        <w:rPr>
          <w:i/>
          <w:iCs/>
          <w:lang w:val="en-US"/>
        </w:rPr>
        <w:t>E</w:t>
      </w:r>
      <w:r w:rsidRPr="00A902CD">
        <w:rPr>
          <w:i/>
          <w:iCs/>
          <w:vertAlign w:val="subscript"/>
          <w:lang w:val="en-US"/>
        </w:rPr>
        <w:t>b</w:t>
      </w:r>
      <w:r>
        <w:rPr>
          <w:lang w:val="en-US"/>
        </w:rPr>
        <w:t>,</w:t>
      </w:r>
      <w:r w:rsidRPr="00A902CD">
        <w:rPr>
          <w:lang w:val="en-US"/>
        </w:rPr>
        <w:t xml:space="preserve"> to the noise density. The total noise density is comprised of the noise developed by Cospas-Sarsat equipment</w:t>
      </w:r>
      <w:r>
        <w:rPr>
          <w:lang w:val="en-US"/>
        </w:rPr>
        <w:t>,</w:t>
      </w:r>
      <w:r w:rsidRPr="00A902CD">
        <w:rPr>
          <w:lang w:val="en-US"/>
        </w:rPr>
        <w:t xml:space="preserve"> </w:t>
      </w:r>
      <w:r w:rsidRPr="00A902CD">
        <w:rPr>
          <w:i/>
          <w:iCs/>
          <w:lang w:val="en-US"/>
        </w:rPr>
        <w:t>N</w:t>
      </w:r>
      <w:r w:rsidRPr="00A902CD">
        <w:rPr>
          <w:vertAlign w:val="subscript"/>
          <w:lang w:val="en-US"/>
        </w:rPr>
        <w:t>0</w:t>
      </w:r>
      <w:r>
        <w:rPr>
          <w:lang w:val="en-US"/>
        </w:rPr>
        <w:t>,</w:t>
      </w:r>
      <w:r w:rsidRPr="00A902CD">
        <w:rPr>
          <w:lang w:val="en-US"/>
        </w:rPr>
        <w:t xml:space="preserve"> and noise caused by interference from other systems</w:t>
      </w:r>
      <w:r>
        <w:rPr>
          <w:lang w:val="en-US"/>
        </w:rPr>
        <w:t>,</w:t>
      </w:r>
      <w:r w:rsidRPr="00A902CD">
        <w:rPr>
          <w:lang w:val="en-US"/>
        </w:rPr>
        <w:t xml:space="preserve"> </w:t>
      </w:r>
      <w:r w:rsidRPr="00A902CD">
        <w:rPr>
          <w:i/>
          <w:iCs/>
          <w:lang w:val="en-US"/>
        </w:rPr>
        <w:t>I</w:t>
      </w:r>
      <w:r w:rsidRPr="00A902CD">
        <w:rPr>
          <w:vertAlign w:val="subscript"/>
          <w:lang w:val="en-US"/>
        </w:rPr>
        <w:t>0</w:t>
      </w:r>
      <w:r w:rsidRPr="00A902CD">
        <w:rPr>
          <w:lang w:val="en-US"/>
        </w:rPr>
        <w:t>.</w:t>
      </w:r>
    </w:p>
    <w:p w:rsidR="0067766E" w:rsidRDefault="0067766E" w:rsidP="0067766E">
      <w:pPr>
        <w:rPr>
          <w:lang w:val="en-US"/>
        </w:rPr>
      </w:pPr>
      <w:r w:rsidRPr="00A902CD">
        <w:rPr>
          <w:lang w:val="en-US"/>
        </w:rPr>
        <w:t>This analysis will establish the level of interference, expressed as an spfd at the LEOLUT antenna, that would degrade the BER of the SARP channel downlink to one bit error in every million (1 </w:t>
      </w:r>
      <w:r>
        <w:rPr>
          <w:lang w:val="en-US"/>
        </w:rPr>
        <w:sym w:font="Symbol" w:char="F0B4"/>
      </w:r>
      <w:r w:rsidRPr="00A902CD">
        <w:rPr>
          <w:lang w:val="en-US"/>
        </w:rPr>
        <w:t> 10</w:t>
      </w:r>
      <w:r w:rsidRPr="00A902CD">
        <w:rPr>
          <w:vertAlign w:val="superscript"/>
          <w:lang w:val="en-US"/>
        </w:rPr>
        <w:t>−6</w:t>
      </w:r>
      <w:r w:rsidRPr="00A902CD">
        <w:rPr>
          <w:lang w:val="en-US"/>
        </w:rPr>
        <w:t>).</w:t>
      </w:r>
    </w:p>
    <w:p w:rsidR="0067766E" w:rsidRPr="00A902CD" w:rsidRDefault="0067766E" w:rsidP="0067766E">
      <w:pPr>
        <w:pStyle w:val="TableNo"/>
        <w:rPr>
          <w:lang w:val="en-US"/>
        </w:rPr>
      </w:pPr>
      <w:r w:rsidRPr="00A902CD">
        <w:rPr>
          <w:lang w:val="en-US"/>
        </w:rPr>
        <w:lastRenderedPageBreak/>
        <w:t>TABLE 1</w:t>
      </w:r>
    </w:p>
    <w:p w:rsidR="0067766E" w:rsidRPr="00A902CD" w:rsidRDefault="0067766E" w:rsidP="0067766E">
      <w:pPr>
        <w:pStyle w:val="Tabletitle"/>
        <w:rPr>
          <w:lang w:val="en-US"/>
        </w:rPr>
      </w:pPr>
      <w:r w:rsidRPr="00A902CD">
        <w:rPr>
          <w:lang w:val="en-US"/>
        </w:rPr>
        <w:t>Downlink power budget parameters for the Cospas and Sarsat PDS of the SARP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1701"/>
        <w:gridCol w:w="1701"/>
        <w:gridCol w:w="2268"/>
      </w:tblGrid>
      <w:tr w:rsidR="00B61132" w:rsidTr="00B61132">
        <w:trPr>
          <w:jc w:val="center"/>
        </w:trPr>
        <w:tc>
          <w:tcPr>
            <w:tcW w:w="3969" w:type="dxa"/>
          </w:tcPr>
          <w:p w:rsidR="00B61132" w:rsidRDefault="00B61132" w:rsidP="00BB31F1">
            <w:pPr>
              <w:pStyle w:val="Tablehead"/>
            </w:pPr>
            <w:r>
              <w:t>Parameter</w:t>
            </w:r>
          </w:p>
        </w:tc>
        <w:tc>
          <w:tcPr>
            <w:tcW w:w="1701" w:type="dxa"/>
          </w:tcPr>
          <w:p w:rsidR="00B61132" w:rsidRDefault="00B61132" w:rsidP="00BB31F1">
            <w:pPr>
              <w:pStyle w:val="Tablehead"/>
            </w:pPr>
            <w:r>
              <w:t>Cospas</w:t>
            </w:r>
            <w:r>
              <w:br/>
              <w:t>nominal</w:t>
            </w:r>
          </w:p>
        </w:tc>
        <w:tc>
          <w:tcPr>
            <w:tcW w:w="1701" w:type="dxa"/>
          </w:tcPr>
          <w:p w:rsidR="00B61132" w:rsidRDefault="00B61132" w:rsidP="00BB31F1">
            <w:pPr>
              <w:pStyle w:val="Tablehead"/>
            </w:pPr>
            <w:r>
              <w:t>Sarsat</w:t>
            </w:r>
            <w:r>
              <w:br/>
              <w:t>nominal</w:t>
            </w:r>
          </w:p>
        </w:tc>
        <w:tc>
          <w:tcPr>
            <w:tcW w:w="2268" w:type="dxa"/>
            <w:tcBorders>
              <w:bottom w:val="single" w:sz="4" w:space="0" w:color="auto"/>
            </w:tcBorders>
          </w:tcPr>
          <w:p w:rsidR="00B61132" w:rsidRDefault="00B61132" w:rsidP="00BB31F1">
            <w:pPr>
              <w:pStyle w:val="Tablehead"/>
            </w:pPr>
            <w:r>
              <w:t>Source</w:t>
            </w:r>
          </w:p>
        </w:tc>
      </w:tr>
      <w:tr w:rsidR="00B61132" w:rsidTr="00B61132">
        <w:trPr>
          <w:jc w:val="center"/>
        </w:trPr>
        <w:tc>
          <w:tcPr>
            <w:tcW w:w="3969" w:type="dxa"/>
          </w:tcPr>
          <w:p w:rsidR="00B61132" w:rsidRDefault="00B61132" w:rsidP="00BB31F1">
            <w:pPr>
              <w:pStyle w:val="Tabletext"/>
            </w:pPr>
            <w:r>
              <w:t>Carrier frequency (MHz)</w:t>
            </w:r>
          </w:p>
        </w:tc>
        <w:tc>
          <w:tcPr>
            <w:tcW w:w="3402" w:type="dxa"/>
            <w:gridSpan w:val="2"/>
          </w:tcPr>
          <w:p w:rsidR="00B61132" w:rsidRDefault="00B61132" w:rsidP="00B61132">
            <w:pPr>
              <w:pStyle w:val="Tabletext"/>
              <w:jc w:val="center"/>
            </w:pPr>
            <w:r>
              <w:t>1 544.5</w:t>
            </w:r>
          </w:p>
        </w:tc>
        <w:tc>
          <w:tcPr>
            <w:tcW w:w="2268" w:type="dxa"/>
            <w:tcBorders>
              <w:bottom w:val="nil"/>
            </w:tcBorders>
          </w:tcPr>
          <w:p w:rsidR="00B61132" w:rsidRDefault="00B61132" w:rsidP="00BB31F1">
            <w:pPr>
              <w:pStyle w:val="Tabletext"/>
            </w:pPr>
          </w:p>
        </w:tc>
      </w:tr>
      <w:tr w:rsidR="00B61132" w:rsidTr="00B61132">
        <w:trPr>
          <w:jc w:val="center"/>
        </w:trPr>
        <w:tc>
          <w:tcPr>
            <w:tcW w:w="3969" w:type="dxa"/>
          </w:tcPr>
          <w:p w:rsidR="00B61132" w:rsidRDefault="00B61132" w:rsidP="00BB31F1">
            <w:pPr>
              <w:pStyle w:val="Tabletext"/>
            </w:pPr>
            <w:r>
              <w:t>Polarization (left hand circular)</w:t>
            </w:r>
          </w:p>
        </w:tc>
        <w:tc>
          <w:tcPr>
            <w:tcW w:w="3402" w:type="dxa"/>
            <w:gridSpan w:val="2"/>
          </w:tcPr>
          <w:p w:rsidR="00B61132" w:rsidRDefault="00B61132" w:rsidP="00BB31F1">
            <w:pPr>
              <w:pStyle w:val="Tabletext"/>
              <w:jc w:val="center"/>
            </w:pPr>
            <w:r>
              <w:t>LHCP</w:t>
            </w:r>
          </w:p>
        </w:tc>
        <w:tc>
          <w:tcPr>
            <w:tcW w:w="2268" w:type="dxa"/>
            <w:tcBorders>
              <w:top w:val="nil"/>
              <w:bottom w:val="nil"/>
            </w:tcBorders>
          </w:tcPr>
          <w:p w:rsidR="00B61132" w:rsidRDefault="00B61132" w:rsidP="00BB31F1">
            <w:pPr>
              <w:pStyle w:val="Tabletext"/>
            </w:pPr>
          </w:p>
        </w:tc>
      </w:tr>
      <w:tr w:rsidR="00B61132" w:rsidTr="00B61132">
        <w:trPr>
          <w:jc w:val="center"/>
        </w:trPr>
        <w:tc>
          <w:tcPr>
            <w:tcW w:w="3969" w:type="dxa"/>
          </w:tcPr>
          <w:p w:rsidR="00B61132" w:rsidRDefault="00B61132" w:rsidP="00BB31F1">
            <w:pPr>
              <w:pStyle w:val="Tabletext"/>
            </w:pPr>
            <w:r>
              <w:t>Elevation angle (degrees)</w:t>
            </w:r>
          </w:p>
        </w:tc>
        <w:tc>
          <w:tcPr>
            <w:tcW w:w="3402" w:type="dxa"/>
            <w:gridSpan w:val="2"/>
          </w:tcPr>
          <w:p w:rsidR="00B61132" w:rsidRDefault="00B61132" w:rsidP="00BB31F1">
            <w:pPr>
              <w:pStyle w:val="Tabletext"/>
              <w:jc w:val="center"/>
            </w:pPr>
            <w:r>
              <w:t>5</w:t>
            </w:r>
          </w:p>
        </w:tc>
        <w:tc>
          <w:tcPr>
            <w:tcW w:w="2268" w:type="dxa"/>
            <w:tcBorders>
              <w:top w:val="nil"/>
              <w:bottom w:val="nil"/>
            </w:tcBorders>
          </w:tcPr>
          <w:p w:rsidR="00B61132" w:rsidRDefault="00B61132" w:rsidP="00BB31F1">
            <w:pPr>
              <w:pStyle w:val="Tabletext"/>
            </w:pPr>
          </w:p>
        </w:tc>
      </w:tr>
      <w:tr w:rsidR="00B61132" w:rsidTr="00B61132">
        <w:trPr>
          <w:jc w:val="center"/>
        </w:trPr>
        <w:tc>
          <w:tcPr>
            <w:tcW w:w="3969" w:type="dxa"/>
          </w:tcPr>
          <w:p w:rsidR="00B61132" w:rsidRDefault="00B61132" w:rsidP="00BB31F1">
            <w:pPr>
              <w:pStyle w:val="Tabletext"/>
            </w:pPr>
            <w:r>
              <w:t>Satellite altitude (km)</w:t>
            </w:r>
          </w:p>
        </w:tc>
        <w:tc>
          <w:tcPr>
            <w:tcW w:w="1701" w:type="dxa"/>
          </w:tcPr>
          <w:p w:rsidR="00B61132" w:rsidRDefault="00B61132" w:rsidP="00BB31F1">
            <w:pPr>
              <w:pStyle w:val="Tabletext"/>
              <w:jc w:val="center"/>
            </w:pPr>
            <w:r>
              <w:t>1 000</w:t>
            </w:r>
          </w:p>
        </w:tc>
        <w:tc>
          <w:tcPr>
            <w:tcW w:w="1701" w:type="dxa"/>
          </w:tcPr>
          <w:p w:rsidR="00B61132" w:rsidRDefault="00B61132" w:rsidP="00BB31F1">
            <w:pPr>
              <w:pStyle w:val="Tabletext"/>
              <w:jc w:val="center"/>
            </w:pPr>
            <w:r>
              <w:t>850</w:t>
            </w:r>
          </w:p>
        </w:tc>
        <w:tc>
          <w:tcPr>
            <w:tcW w:w="2268" w:type="dxa"/>
            <w:tcBorders>
              <w:top w:val="nil"/>
              <w:bottom w:val="nil"/>
            </w:tcBorders>
          </w:tcPr>
          <w:p w:rsidR="00B61132" w:rsidRDefault="00B61132" w:rsidP="00BB31F1">
            <w:pPr>
              <w:pStyle w:val="Tabletext"/>
            </w:pPr>
          </w:p>
        </w:tc>
      </w:tr>
      <w:tr w:rsidR="00B61132" w:rsidTr="00B61132">
        <w:trPr>
          <w:jc w:val="center"/>
        </w:trPr>
        <w:tc>
          <w:tcPr>
            <w:tcW w:w="3969" w:type="dxa"/>
          </w:tcPr>
          <w:p w:rsidR="00B61132" w:rsidRDefault="00B61132" w:rsidP="00BB31F1">
            <w:pPr>
              <w:pStyle w:val="Tabletext"/>
              <w:rPr>
                <w:vertAlign w:val="superscript"/>
              </w:rPr>
            </w:pPr>
            <w:r>
              <w:t>Satellite e.i.r.p.</w:t>
            </w:r>
            <w:r>
              <w:rPr>
                <w:vertAlign w:val="superscript"/>
              </w:rPr>
              <w:t>(1)</w:t>
            </w:r>
            <w:r w:rsidRPr="00B61132">
              <w:t xml:space="preserve"> </w:t>
            </w:r>
            <w:r>
              <w:t>(dBW)</w:t>
            </w:r>
          </w:p>
        </w:tc>
        <w:tc>
          <w:tcPr>
            <w:tcW w:w="1701" w:type="dxa"/>
          </w:tcPr>
          <w:p w:rsidR="00B61132" w:rsidRDefault="00B61132" w:rsidP="00BB31F1">
            <w:pPr>
              <w:pStyle w:val="Tabletext"/>
              <w:jc w:val="center"/>
            </w:pPr>
            <w:r>
              <w:t>6.2</w:t>
            </w:r>
          </w:p>
        </w:tc>
        <w:tc>
          <w:tcPr>
            <w:tcW w:w="1701" w:type="dxa"/>
          </w:tcPr>
          <w:p w:rsidR="00B61132" w:rsidRDefault="00B61132" w:rsidP="00BB31F1">
            <w:pPr>
              <w:pStyle w:val="Tabletext"/>
              <w:jc w:val="center"/>
            </w:pPr>
            <w:r>
              <w:t>7.1</w:t>
            </w:r>
          </w:p>
        </w:tc>
        <w:tc>
          <w:tcPr>
            <w:tcW w:w="2268" w:type="dxa"/>
            <w:tcBorders>
              <w:top w:val="nil"/>
            </w:tcBorders>
          </w:tcPr>
          <w:p w:rsidR="00B61132" w:rsidRDefault="00B61132" w:rsidP="00BB31F1">
            <w:pPr>
              <w:pStyle w:val="Tabletext"/>
            </w:pPr>
          </w:p>
        </w:tc>
      </w:tr>
      <w:tr w:rsidR="00B61132" w:rsidTr="007F7962">
        <w:trPr>
          <w:jc w:val="center"/>
        </w:trPr>
        <w:tc>
          <w:tcPr>
            <w:tcW w:w="3969" w:type="dxa"/>
            <w:vAlign w:val="center"/>
          </w:tcPr>
          <w:p w:rsidR="00B61132" w:rsidRDefault="00B61132" w:rsidP="00BB31F1">
            <w:pPr>
              <w:pStyle w:val="Tabletext"/>
            </w:pPr>
            <w:r>
              <w:t>Slant range @ 5° (km)</w:t>
            </w:r>
          </w:p>
        </w:tc>
        <w:tc>
          <w:tcPr>
            <w:tcW w:w="1701" w:type="dxa"/>
            <w:vAlign w:val="center"/>
          </w:tcPr>
          <w:p w:rsidR="00B61132" w:rsidRDefault="00B61132" w:rsidP="00BB31F1">
            <w:pPr>
              <w:pStyle w:val="Tabletext"/>
              <w:jc w:val="center"/>
            </w:pPr>
            <w:r>
              <w:t>3 200</w:t>
            </w:r>
          </w:p>
        </w:tc>
        <w:tc>
          <w:tcPr>
            <w:tcW w:w="1701" w:type="dxa"/>
            <w:vAlign w:val="center"/>
          </w:tcPr>
          <w:p w:rsidR="00B61132" w:rsidRDefault="00B61132" w:rsidP="00BB31F1">
            <w:pPr>
              <w:pStyle w:val="Tabletext"/>
              <w:jc w:val="center"/>
            </w:pPr>
            <w:r>
              <w:t>2 900</w:t>
            </w:r>
          </w:p>
        </w:tc>
        <w:tc>
          <w:tcPr>
            <w:tcW w:w="2268" w:type="dxa"/>
          </w:tcPr>
          <w:p w:rsidR="00B61132" w:rsidRDefault="00B61132" w:rsidP="00BB31F1">
            <w:pPr>
              <w:pStyle w:val="Tabletext"/>
              <w:jc w:val="left"/>
            </w:pPr>
            <w:r>
              <w:t>Calculated from geometry</w:t>
            </w:r>
          </w:p>
        </w:tc>
      </w:tr>
      <w:tr w:rsidR="00B61132" w:rsidTr="007F7962">
        <w:trPr>
          <w:jc w:val="center"/>
        </w:trPr>
        <w:tc>
          <w:tcPr>
            <w:tcW w:w="3969" w:type="dxa"/>
            <w:vAlign w:val="center"/>
          </w:tcPr>
          <w:p w:rsidR="00B61132" w:rsidRPr="00A902CD" w:rsidRDefault="00B61132" w:rsidP="00BB31F1">
            <w:pPr>
              <w:pStyle w:val="Tabletext"/>
              <w:rPr>
                <w:lang w:val="en-US"/>
              </w:rPr>
            </w:pPr>
            <w:r w:rsidRPr="00A902CD">
              <w:rPr>
                <w:lang w:val="en-US"/>
              </w:rPr>
              <w:t>Free-space path loss (</w:t>
            </w:r>
            <w:r w:rsidRPr="00A902CD">
              <w:rPr>
                <w:i/>
                <w:iCs/>
                <w:lang w:val="en-US"/>
              </w:rPr>
              <w:t>L</w:t>
            </w:r>
            <w:r w:rsidRPr="00913312">
              <w:rPr>
                <w:i/>
                <w:iCs/>
                <w:szCs w:val="22"/>
                <w:vertAlign w:val="subscript"/>
                <w:lang w:val="en-US"/>
              </w:rPr>
              <w:t>p</w:t>
            </w:r>
            <w:r w:rsidRPr="00A902CD">
              <w:rPr>
                <w:lang w:val="en-US"/>
              </w:rPr>
              <w:t>)</w:t>
            </w:r>
            <w:r>
              <w:rPr>
                <w:lang w:val="en-US"/>
              </w:rPr>
              <w:t xml:space="preserve"> </w:t>
            </w:r>
            <w:r>
              <w:t>(dB)</w:t>
            </w:r>
          </w:p>
        </w:tc>
        <w:tc>
          <w:tcPr>
            <w:tcW w:w="1701" w:type="dxa"/>
            <w:vAlign w:val="center"/>
          </w:tcPr>
          <w:p w:rsidR="00B61132" w:rsidRDefault="00B61132" w:rsidP="00BB31F1">
            <w:pPr>
              <w:pStyle w:val="Tabletext"/>
              <w:jc w:val="center"/>
            </w:pPr>
            <w:r>
              <w:t>166.3</w:t>
            </w:r>
          </w:p>
        </w:tc>
        <w:tc>
          <w:tcPr>
            <w:tcW w:w="1701" w:type="dxa"/>
            <w:vAlign w:val="center"/>
          </w:tcPr>
          <w:p w:rsidR="00B61132" w:rsidRDefault="00B61132" w:rsidP="00BB31F1">
            <w:pPr>
              <w:pStyle w:val="Tabletext"/>
              <w:jc w:val="center"/>
            </w:pPr>
            <w:r>
              <w:t>165.5</w:t>
            </w:r>
          </w:p>
        </w:tc>
        <w:tc>
          <w:tcPr>
            <w:tcW w:w="2268" w:type="dxa"/>
          </w:tcPr>
          <w:p w:rsidR="00B61132" w:rsidRDefault="00B61132" w:rsidP="00BB31F1">
            <w:pPr>
              <w:pStyle w:val="Tabletext"/>
              <w:jc w:val="left"/>
            </w:pPr>
            <w:r>
              <w:t>Calculated standard formula</w:t>
            </w:r>
          </w:p>
        </w:tc>
      </w:tr>
      <w:tr w:rsidR="00B61132" w:rsidTr="00B61132">
        <w:trPr>
          <w:jc w:val="center"/>
        </w:trPr>
        <w:tc>
          <w:tcPr>
            <w:tcW w:w="3969" w:type="dxa"/>
          </w:tcPr>
          <w:p w:rsidR="00B61132" w:rsidRPr="00A902CD" w:rsidRDefault="00B61132" w:rsidP="00BB31F1">
            <w:pPr>
              <w:pStyle w:val="Tabletext"/>
              <w:rPr>
                <w:lang w:val="en-US"/>
              </w:rPr>
            </w:pPr>
            <w:r w:rsidRPr="00A902CD">
              <w:rPr>
                <w:lang w:val="en-US"/>
              </w:rPr>
              <w:t>Short-term fading loss (</w:t>
            </w:r>
            <w:r w:rsidRPr="00A902CD">
              <w:rPr>
                <w:i/>
                <w:iCs/>
                <w:lang w:val="en-US"/>
              </w:rPr>
              <w:t>L</w:t>
            </w:r>
            <w:r w:rsidRPr="00913312">
              <w:rPr>
                <w:i/>
                <w:iCs/>
                <w:szCs w:val="22"/>
                <w:vertAlign w:val="subscript"/>
                <w:lang w:val="en-US"/>
              </w:rPr>
              <w:t>f</w:t>
            </w:r>
            <w:r w:rsidRPr="00A902CD">
              <w:rPr>
                <w:lang w:val="en-US"/>
              </w:rPr>
              <w:t>)</w:t>
            </w:r>
            <w:r>
              <w:rPr>
                <w:lang w:val="en-US"/>
              </w:rPr>
              <w:t xml:space="preserve"> </w:t>
            </w:r>
            <w:r>
              <w:t>(dB)</w:t>
            </w:r>
          </w:p>
        </w:tc>
        <w:tc>
          <w:tcPr>
            <w:tcW w:w="3402" w:type="dxa"/>
            <w:gridSpan w:val="2"/>
          </w:tcPr>
          <w:p w:rsidR="00B61132" w:rsidRDefault="00B61132" w:rsidP="00BB31F1">
            <w:pPr>
              <w:pStyle w:val="Tabletext"/>
              <w:jc w:val="center"/>
            </w:pPr>
            <w:r>
              <w:t>10</w:t>
            </w:r>
          </w:p>
        </w:tc>
        <w:tc>
          <w:tcPr>
            <w:tcW w:w="2268" w:type="dxa"/>
          </w:tcPr>
          <w:p w:rsidR="00B61132" w:rsidRDefault="00B61132" w:rsidP="00BB31F1">
            <w:pPr>
              <w:pStyle w:val="Tabletext"/>
              <w:jc w:val="left"/>
            </w:pPr>
          </w:p>
        </w:tc>
      </w:tr>
      <w:tr w:rsidR="00B61132" w:rsidRPr="00A902CD" w:rsidTr="007F7962">
        <w:trPr>
          <w:jc w:val="center"/>
        </w:trPr>
        <w:tc>
          <w:tcPr>
            <w:tcW w:w="3969" w:type="dxa"/>
            <w:vAlign w:val="center"/>
          </w:tcPr>
          <w:p w:rsidR="00B61132" w:rsidRDefault="00B61132" w:rsidP="00BB31F1">
            <w:pPr>
              <w:pStyle w:val="Tabletext"/>
            </w:pPr>
            <w:r>
              <w:t>Other losses (</w:t>
            </w:r>
            <w:r>
              <w:rPr>
                <w:i/>
                <w:iCs/>
              </w:rPr>
              <w:t>L</w:t>
            </w:r>
            <w:r w:rsidRPr="00913312">
              <w:rPr>
                <w:i/>
                <w:iCs/>
                <w:szCs w:val="22"/>
                <w:vertAlign w:val="subscript"/>
              </w:rPr>
              <w:t>o</w:t>
            </w:r>
            <w:r>
              <w:t>) (dB)</w:t>
            </w:r>
          </w:p>
        </w:tc>
        <w:tc>
          <w:tcPr>
            <w:tcW w:w="3402" w:type="dxa"/>
            <w:gridSpan w:val="2"/>
            <w:vAlign w:val="center"/>
          </w:tcPr>
          <w:p w:rsidR="00B61132" w:rsidRDefault="00B61132" w:rsidP="00BB31F1">
            <w:pPr>
              <w:pStyle w:val="Tabletext"/>
              <w:jc w:val="center"/>
            </w:pPr>
            <w:r>
              <w:t>3.6</w:t>
            </w:r>
            <w:r>
              <w:rPr>
                <w:vertAlign w:val="superscript"/>
              </w:rPr>
              <w:t>(2)</w:t>
            </w:r>
          </w:p>
        </w:tc>
        <w:tc>
          <w:tcPr>
            <w:tcW w:w="2268" w:type="dxa"/>
          </w:tcPr>
          <w:p w:rsidR="00B61132" w:rsidRPr="00A902CD" w:rsidRDefault="00B61132" w:rsidP="00BB31F1">
            <w:pPr>
              <w:pStyle w:val="Tabletext"/>
              <w:jc w:val="left"/>
              <w:rPr>
                <w:lang w:val="en-US"/>
              </w:rPr>
            </w:pPr>
            <w:r w:rsidRPr="00A902CD">
              <w:rPr>
                <w:lang w:val="en-US"/>
              </w:rPr>
              <w:t>LUT-design and</w:t>
            </w:r>
            <w:r w:rsidRPr="00A902CD">
              <w:rPr>
                <w:lang w:val="en-US"/>
              </w:rPr>
              <w:br/>
              <w:t>site-dependent</w:t>
            </w:r>
          </w:p>
        </w:tc>
      </w:tr>
      <w:tr w:rsidR="00B61132" w:rsidTr="007F7962">
        <w:trPr>
          <w:jc w:val="center"/>
        </w:trPr>
        <w:tc>
          <w:tcPr>
            <w:tcW w:w="3969" w:type="dxa"/>
            <w:vAlign w:val="center"/>
          </w:tcPr>
          <w:p w:rsidR="00B61132" w:rsidRDefault="00B61132" w:rsidP="00B61132">
            <w:pPr>
              <w:pStyle w:val="Tabletext"/>
            </w:pPr>
            <w:r>
              <w:t>Antenna (</w:t>
            </w:r>
            <w:r>
              <w:rPr>
                <w:i/>
                <w:iCs/>
              </w:rPr>
              <w:t>G</w:t>
            </w:r>
            <w:r>
              <w:t>/</w:t>
            </w:r>
            <w:r>
              <w:rPr>
                <w:i/>
                <w:iCs/>
              </w:rPr>
              <w:t>T</w:t>
            </w:r>
            <w:r>
              <w:t>)</w:t>
            </w:r>
            <w:r>
              <w:rPr>
                <w:vertAlign w:val="superscript"/>
              </w:rPr>
              <w:t>(3)</w:t>
            </w:r>
            <w:r w:rsidRPr="00B61132">
              <w:t xml:space="preserve"> </w:t>
            </w:r>
            <w:r>
              <w:t>(dB/K)</w:t>
            </w:r>
          </w:p>
        </w:tc>
        <w:tc>
          <w:tcPr>
            <w:tcW w:w="3402" w:type="dxa"/>
            <w:gridSpan w:val="2"/>
            <w:vAlign w:val="center"/>
          </w:tcPr>
          <w:p w:rsidR="00B61132" w:rsidRDefault="00B61132" w:rsidP="00BB31F1">
            <w:pPr>
              <w:pStyle w:val="Tabletext"/>
              <w:jc w:val="center"/>
            </w:pPr>
            <w:r>
              <w:t>4.3</w:t>
            </w:r>
          </w:p>
        </w:tc>
        <w:tc>
          <w:tcPr>
            <w:tcW w:w="2268" w:type="dxa"/>
          </w:tcPr>
          <w:p w:rsidR="00B61132" w:rsidRDefault="00B61132" w:rsidP="00BB31F1">
            <w:pPr>
              <w:pStyle w:val="Tabletext"/>
              <w:jc w:val="left"/>
            </w:pPr>
            <w:r>
              <w:rPr>
                <w:i/>
                <w:iCs/>
              </w:rPr>
              <w:t>G</w:t>
            </w:r>
            <w:r>
              <w:t xml:space="preserve"> = 26.7 dB, </w:t>
            </w:r>
            <w:r>
              <w:br/>
            </w:r>
            <w:r>
              <w:rPr>
                <w:i/>
                <w:iCs/>
              </w:rPr>
              <w:t>T</w:t>
            </w:r>
            <w:r>
              <w:t xml:space="preserve"> = 22.4 dB(K)</w:t>
            </w:r>
          </w:p>
        </w:tc>
      </w:tr>
      <w:tr w:rsidR="00B61132" w:rsidTr="00B61132">
        <w:trPr>
          <w:jc w:val="center"/>
        </w:trPr>
        <w:tc>
          <w:tcPr>
            <w:tcW w:w="3969" w:type="dxa"/>
          </w:tcPr>
          <w:p w:rsidR="00B61132" w:rsidRPr="00B61132" w:rsidRDefault="00B61132" w:rsidP="00B61132">
            <w:pPr>
              <w:pStyle w:val="Tabletext"/>
            </w:pPr>
            <w:r>
              <w:t xml:space="preserve">Boltzmann’s constant, </w:t>
            </w:r>
            <w:r>
              <w:rPr>
                <w:i/>
                <w:iCs/>
              </w:rPr>
              <w:t>k</w:t>
            </w:r>
            <w:r>
              <w:t xml:space="preserve"> (dB(W/(K </w:t>
            </w:r>
            <w:r>
              <w:sym w:font="Symbol" w:char="F0D7"/>
            </w:r>
            <w:r>
              <w:t xml:space="preserve"> Hz))</w:t>
            </w:r>
          </w:p>
        </w:tc>
        <w:tc>
          <w:tcPr>
            <w:tcW w:w="3402" w:type="dxa"/>
            <w:gridSpan w:val="2"/>
          </w:tcPr>
          <w:p w:rsidR="00B61132" w:rsidRDefault="00B61132" w:rsidP="00BB31F1">
            <w:pPr>
              <w:pStyle w:val="Tabletext"/>
              <w:jc w:val="center"/>
            </w:pPr>
            <w:r>
              <w:t>–228.6</w:t>
            </w:r>
          </w:p>
        </w:tc>
        <w:tc>
          <w:tcPr>
            <w:tcW w:w="2268" w:type="dxa"/>
            <w:tcBorders>
              <w:bottom w:val="single" w:sz="4" w:space="0" w:color="auto"/>
            </w:tcBorders>
          </w:tcPr>
          <w:p w:rsidR="00B61132" w:rsidRDefault="00B61132" w:rsidP="00BB31F1">
            <w:pPr>
              <w:pStyle w:val="Tabletext"/>
              <w:jc w:val="left"/>
            </w:pPr>
            <w:r>
              <w:t>Physical constant</w:t>
            </w:r>
          </w:p>
        </w:tc>
      </w:tr>
      <w:tr w:rsidR="00B61132" w:rsidTr="00B61132">
        <w:trPr>
          <w:jc w:val="center"/>
        </w:trPr>
        <w:tc>
          <w:tcPr>
            <w:tcW w:w="3969" w:type="dxa"/>
          </w:tcPr>
          <w:p w:rsidR="00B61132" w:rsidRPr="00B61132" w:rsidRDefault="00B61132" w:rsidP="00BB31F1">
            <w:pPr>
              <w:pStyle w:val="Tabletext"/>
              <w:rPr>
                <w:lang w:val="en-US"/>
              </w:rPr>
            </w:pPr>
            <w:r w:rsidRPr="00A902CD">
              <w:rPr>
                <w:lang w:val="en-US"/>
              </w:rPr>
              <w:t>Data rate factor @ 2.4 kbit/s</w:t>
            </w:r>
            <w:r>
              <w:rPr>
                <w:lang w:val="en-US"/>
              </w:rPr>
              <w:t>,</w:t>
            </w:r>
            <w:r w:rsidRPr="00A902CD">
              <w:rPr>
                <w:lang w:val="en-US"/>
              </w:rPr>
              <w:t xml:space="preserve"> </w:t>
            </w:r>
            <w:r w:rsidRPr="00A902CD">
              <w:rPr>
                <w:i/>
                <w:iCs/>
                <w:lang w:val="en-US"/>
              </w:rPr>
              <w:t>r</w:t>
            </w:r>
            <w:r>
              <w:rPr>
                <w:lang w:val="en-US"/>
              </w:rPr>
              <w:t xml:space="preserve"> </w:t>
            </w:r>
            <w:r>
              <w:t>(dB</w:t>
            </w:r>
            <w:r>
              <w:noBreakHyphen/>
              <w:t>Hz)</w:t>
            </w:r>
          </w:p>
        </w:tc>
        <w:tc>
          <w:tcPr>
            <w:tcW w:w="3402" w:type="dxa"/>
            <w:gridSpan w:val="2"/>
          </w:tcPr>
          <w:p w:rsidR="00B61132" w:rsidRDefault="00B61132" w:rsidP="00BB31F1">
            <w:pPr>
              <w:pStyle w:val="Tabletext"/>
              <w:jc w:val="center"/>
            </w:pPr>
            <w:r>
              <w:t>33.8</w:t>
            </w:r>
          </w:p>
        </w:tc>
        <w:tc>
          <w:tcPr>
            <w:tcW w:w="2268" w:type="dxa"/>
            <w:tcBorders>
              <w:bottom w:val="nil"/>
            </w:tcBorders>
          </w:tcPr>
          <w:p w:rsidR="00B61132" w:rsidRDefault="00B61132" w:rsidP="00BB31F1">
            <w:pPr>
              <w:pStyle w:val="Tabletext"/>
              <w:jc w:val="left"/>
            </w:pPr>
          </w:p>
        </w:tc>
      </w:tr>
      <w:tr w:rsidR="00B61132" w:rsidTr="00B61132">
        <w:trPr>
          <w:jc w:val="center"/>
        </w:trPr>
        <w:tc>
          <w:tcPr>
            <w:tcW w:w="3969" w:type="dxa"/>
          </w:tcPr>
          <w:p w:rsidR="00B61132" w:rsidRDefault="00B61132" w:rsidP="00BB31F1">
            <w:pPr>
              <w:pStyle w:val="Tabletext"/>
            </w:pPr>
            <w:r>
              <w:t>Modulation loss (dB)</w:t>
            </w:r>
          </w:p>
        </w:tc>
        <w:tc>
          <w:tcPr>
            <w:tcW w:w="1701" w:type="dxa"/>
          </w:tcPr>
          <w:p w:rsidR="00B61132" w:rsidRDefault="00B61132" w:rsidP="00BB31F1">
            <w:pPr>
              <w:pStyle w:val="Tabletext"/>
              <w:jc w:val="center"/>
            </w:pPr>
            <w:r>
              <w:t>–12.1</w:t>
            </w:r>
          </w:p>
        </w:tc>
        <w:tc>
          <w:tcPr>
            <w:tcW w:w="1701" w:type="dxa"/>
          </w:tcPr>
          <w:p w:rsidR="00B61132" w:rsidRDefault="00B61132" w:rsidP="00BB31F1">
            <w:pPr>
              <w:pStyle w:val="Tabletext"/>
              <w:jc w:val="center"/>
            </w:pPr>
            <w:r>
              <w:t>–14.1</w:t>
            </w:r>
          </w:p>
        </w:tc>
        <w:tc>
          <w:tcPr>
            <w:tcW w:w="2268" w:type="dxa"/>
            <w:tcBorders>
              <w:top w:val="nil"/>
              <w:bottom w:val="nil"/>
            </w:tcBorders>
          </w:tcPr>
          <w:p w:rsidR="00B61132" w:rsidRDefault="00B61132" w:rsidP="00BB31F1">
            <w:pPr>
              <w:pStyle w:val="Tabletext"/>
              <w:jc w:val="left"/>
            </w:pPr>
          </w:p>
        </w:tc>
      </w:tr>
      <w:tr w:rsidR="007F7962" w:rsidTr="00FB030F">
        <w:trPr>
          <w:jc w:val="center"/>
        </w:trPr>
        <w:tc>
          <w:tcPr>
            <w:tcW w:w="3969" w:type="dxa"/>
          </w:tcPr>
          <w:p w:rsidR="007F7962" w:rsidRDefault="007F7962" w:rsidP="00BB31F1">
            <w:pPr>
              <w:pStyle w:val="Tabletext"/>
            </w:pPr>
            <w:r>
              <w:t>Desired maximum BER</w:t>
            </w:r>
          </w:p>
        </w:tc>
        <w:tc>
          <w:tcPr>
            <w:tcW w:w="3402" w:type="dxa"/>
            <w:gridSpan w:val="2"/>
          </w:tcPr>
          <w:p w:rsidR="007F7962" w:rsidRDefault="007F7962" w:rsidP="007F7962">
            <w:pPr>
              <w:pStyle w:val="Tabletext"/>
              <w:jc w:val="center"/>
            </w:pPr>
            <w:r>
              <w:t>10</w:t>
            </w:r>
            <w:r>
              <w:rPr>
                <w:vertAlign w:val="superscript"/>
              </w:rPr>
              <w:t>–6</w:t>
            </w:r>
          </w:p>
        </w:tc>
        <w:tc>
          <w:tcPr>
            <w:tcW w:w="2268" w:type="dxa"/>
            <w:tcBorders>
              <w:top w:val="nil"/>
            </w:tcBorders>
          </w:tcPr>
          <w:p w:rsidR="007F7962" w:rsidRDefault="007F7962" w:rsidP="00BB31F1">
            <w:pPr>
              <w:pStyle w:val="Tabletext"/>
              <w:jc w:val="left"/>
            </w:pPr>
          </w:p>
        </w:tc>
      </w:tr>
      <w:tr w:rsidR="00B61132" w:rsidTr="007F7962">
        <w:trPr>
          <w:jc w:val="center"/>
        </w:trPr>
        <w:tc>
          <w:tcPr>
            <w:tcW w:w="3969" w:type="dxa"/>
            <w:vAlign w:val="center"/>
          </w:tcPr>
          <w:p w:rsidR="00B61132" w:rsidRDefault="00B61132" w:rsidP="00BB31F1">
            <w:pPr>
              <w:pStyle w:val="Tabletext"/>
            </w:pPr>
            <w:r>
              <w:t>Calculated (</w:t>
            </w:r>
            <w:r>
              <w:rPr>
                <w:i/>
                <w:iCs/>
              </w:rPr>
              <w:t>E</w:t>
            </w:r>
            <w:r>
              <w:rPr>
                <w:i/>
                <w:iCs/>
                <w:vertAlign w:val="subscript"/>
              </w:rPr>
              <w:t>b</w:t>
            </w:r>
            <w:r>
              <w:t>/</w:t>
            </w:r>
            <w:r>
              <w:rPr>
                <w:i/>
                <w:iCs/>
              </w:rPr>
              <w:t>N</w:t>
            </w:r>
            <w:r>
              <w:rPr>
                <w:vertAlign w:val="subscript"/>
              </w:rPr>
              <w:t>0</w:t>
            </w:r>
            <w:r>
              <w:t>) (dB)</w:t>
            </w:r>
          </w:p>
        </w:tc>
        <w:tc>
          <w:tcPr>
            <w:tcW w:w="1701" w:type="dxa"/>
            <w:vAlign w:val="center"/>
          </w:tcPr>
          <w:p w:rsidR="00B61132" w:rsidRDefault="00B61132" w:rsidP="00BB31F1">
            <w:pPr>
              <w:pStyle w:val="Tabletext"/>
              <w:jc w:val="center"/>
            </w:pPr>
            <w:r>
              <w:t>13.3</w:t>
            </w:r>
          </w:p>
        </w:tc>
        <w:tc>
          <w:tcPr>
            <w:tcW w:w="1701" w:type="dxa"/>
            <w:vAlign w:val="center"/>
          </w:tcPr>
          <w:p w:rsidR="00B61132" w:rsidRDefault="00B61132" w:rsidP="00BB31F1">
            <w:pPr>
              <w:pStyle w:val="Tabletext"/>
              <w:jc w:val="center"/>
            </w:pPr>
            <w:r>
              <w:t>13.0</w:t>
            </w:r>
          </w:p>
        </w:tc>
        <w:tc>
          <w:tcPr>
            <w:tcW w:w="2268" w:type="dxa"/>
          </w:tcPr>
          <w:p w:rsidR="00B61132" w:rsidRDefault="00B61132" w:rsidP="00BB31F1">
            <w:pPr>
              <w:pStyle w:val="Tabletext"/>
              <w:jc w:val="left"/>
            </w:pPr>
            <w:r>
              <w:t>Using above parameters</w:t>
            </w:r>
          </w:p>
        </w:tc>
      </w:tr>
      <w:tr w:rsidR="00B61132" w:rsidRPr="00A902CD" w:rsidTr="007F7962">
        <w:trPr>
          <w:jc w:val="center"/>
        </w:trPr>
        <w:tc>
          <w:tcPr>
            <w:tcW w:w="3969" w:type="dxa"/>
          </w:tcPr>
          <w:p w:rsidR="00B61132" w:rsidRPr="00A902CD" w:rsidRDefault="00B61132" w:rsidP="00BB31F1">
            <w:pPr>
              <w:pStyle w:val="Tabletext"/>
              <w:jc w:val="left"/>
              <w:rPr>
                <w:lang w:val="en-US"/>
              </w:rPr>
            </w:pPr>
            <w:r w:rsidRPr="00A902CD">
              <w:rPr>
                <w:lang w:val="en-US"/>
              </w:rPr>
              <w:t>Theoretical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w:t>
            </w:r>
            <w:r>
              <w:rPr>
                <w:lang w:val="en-US"/>
              </w:rPr>
              <w:t>-</w:t>
            </w:r>
            <w:r w:rsidRPr="00A902CD">
              <w:rPr>
                <w:lang w:val="en-US"/>
              </w:rPr>
              <w:t xml:space="preserve">th for BER </w:t>
            </w:r>
            <w:r w:rsidRPr="00A902CD">
              <w:rPr>
                <w:lang w:val="en-US"/>
              </w:rPr>
              <w:br/>
              <w:t>of 10</w:t>
            </w:r>
            <w:r w:rsidRPr="00A902CD">
              <w:rPr>
                <w:vertAlign w:val="superscript"/>
                <w:lang w:val="en-US"/>
              </w:rPr>
              <w:t>−6</w:t>
            </w:r>
            <w:r w:rsidRPr="00B61132">
              <w:rPr>
                <w:lang w:val="en-US"/>
              </w:rPr>
              <w:t xml:space="preserve"> </w:t>
            </w:r>
            <w:r>
              <w:t>(dB)</w:t>
            </w:r>
          </w:p>
        </w:tc>
        <w:tc>
          <w:tcPr>
            <w:tcW w:w="3402" w:type="dxa"/>
            <w:gridSpan w:val="2"/>
            <w:vAlign w:val="center"/>
          </w:tcPr>
          <w:p w:rsidR="00B61132" w:rsidRDefault="00B61132" w:rsidP="00BB31F1">
            <w:pPr>
              <w:pStyle w:val="Tabletext"/>
              <w:jc w:val="center"/>
            </w:pPr>
            <w:r>
              <w:t>10.6</w:t>
            </w:r>
          </w:p>
        </w:tc>
        <w:tc>
          <w:tcPr>
            <w:tcW w:w="2268" w:type="dxa"/>
            <w:vAlign w:val="center"/>
          </w:tcPr>
          <w:p w:rsidR="00B61132" w:rsidRPr="00A902CD" w:rsidRDefault="00B61132" w:rsidP="00BB31F1">
            <w:pPr>
              <w:pStyle w:val="Tabletext"/>
              <w:jc w:val="left"/>
              <w:rPr>
                <w:lang w:val="en-US"/>
              </w:rPr>
            </w:pP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 xml:space="preserve">0 </w:t>
            </w:r>
            <w:r w:rsidRPr="00A902CD">
              <w:rPr>
                <w:lang w:val="en-US"/>
              </w:rPr>
              <w:t>for required BER</w:t>
            </w:r>
          </w:p>
        </w:tc>
      </w:tr>
      <w:tr w:rsidR="00B61132" w:rsidTr="00B61132">
        <w:trPr>
          <w:jc w:val="center"/>
        </w:trPr>
        <w:tc>
          <w:tcPr>
            <w:tcW w:w="3969" w:type="dxa"/>
            <w:tcBorders>
              <w:bottom w:val="single" w:sz="4" w:space="0" w:color="auto"/>
            </w:tcBorders>
          </w:tcPr>
          <w:p w:rsidR="00B61132" w:rsidRDefault="00B61132" w:rsidP="00BB31F1">
            <w:pPr>
              <w:pStyle w:val="Tabletext"/>
            </w:pPr>
            <w:r>
              <w:t>PDS link margin (dB)</w:t>
            </w:r>
          </w:p>
        </w:tc>
        <w:tc>
          <w:tcPr>
            <w:tcW w:w="1701" w:type="dxa"/>
            <w:tcBorders>
              <w:bottom w:val="single" w:sz="4" w:space="0" w:color="auto"/>
            </w:tcBorders>
          </w:tcPr>
          <w:p w:rsidR="00B61132" w:rsidRDefault="00B61132" w:rsidP="00BB31F1">
            <w:pPr>
              <w:pStyle w:val="Tabletext"/>
              <w:jc w:val="center"/>
            </w:pPr>
            <w:r>
              <w:t>2.7</w:t>
            </w:r>
          </w:p>
        </w:tc>
        <w:tc>
          <w:tcPr>
            <w:tcW w:w="1701" w:type="dxa"/>
            <w:tcBorders>
              <w:bottom w:val="single" w:sz="4" w:space="0" w:color="auto"/>
            </w:tcBorders>
          </w:tcPr>
          <w:p w:rsidR="00B61132" w:rsidRDefault="00B61132" w:rsidP="00BB31F1">
            <w:pPr>
              <w:pStyle w:val="Tabletext"/>
              <w:jc w:val="center"/>
            </w:pPr>
            <w:r>
              <w:t>2.4</w:t>
            </w:r>
          </w:p>
        </w:tc>
        <w:tc>
          <w:tcPr>
            <w:tcW w:w="2268" w:type="dxa"/>
            <w:tcBorders>
              <w:bottom w:val="single" w:sz="4" w:space="0" w:color="auto"/>
            </w:tcBorders>
          </w:tcPr>
          <w:p w:rsidR="00B61132" w:rsidRDefault="00B61132" w:rsidP="00BB31F1">
            <w:pPr>
              <w:pStyle w:val="Tabletext"/>
              <w:jc w:val="left"/>
            </w:pPr>
          </w:p>
        </w:tc>
      </w:tr>
      <w:tr w:rsidR="0067766E" w:rsidTr="00B61132">
        <w:trPr>
          <w:jc w:val="center"/>
        </w:trPr>
        <w:tc>
          <w:tcPr>
            <w:tcW w:w="9639" w:type="dxa"/>
            <w:gridSpan w:val="4"/>
            <w:tcBorders>
              <w:top w:val="single" w:sz="4" w:space="0" w:color="auto"/>
              <w:left w:val="nil"/>
              <w:bottom w:val="nil"/>
              <w:right w:val="nil"/>
            </w:tcBorders>
          </w:tcPr>
          <w:p w:rsidR="0067766E" w:rsidRPr="00A902CD" w:rsidRDefault="0067766E" w:rsidP="00BB31F1">
            <w:pPr>
              <w:pStyle w:val="Tablelegend"/>
              <w:tabs>
                <w:tab w:val="clear" w:pos="284"/>
                <w:tab w:val="clear" w:pos="567"/>
                <w:tab w:val="left" w:pos="426"/>
              </w:tabs>
              <w:rPr>
                <w:lang w:val="en-US"/>
              </w:rPr>
            </w:pPr>
            <w:r w:rsidRPr="00A902CD">
              <w:rPr>
                <w:lang w:val="en-US"/>
              </w:rPr>
              <w:t>LUT: local user terminal</w:t>
            </w:r>
          </w:p>
          <w:p w:rsidR="0067766E" w:rsidRPr="00A902CD" w:rsidRDefault="0067766E" w:rsidP="00BB31F1">
            <w:pPr>
              <w:pStyle w:val="Tablelegend"/>
              <w:tabs>
                <w:tab w:val="clear" w:pos="284"/>
                <w:tab w:val="clear" w:pos="567"/>
                <w:tab w:val="left" w:pos="426"/>
              </w:tabs>
              <w:rPr>
                <w:lang w:val="en-US"/>
              </w:rPr>
            </w:pPr>
            <w:r w:rsidRPr="00A902CD">
              <w:rPr>
                <w:vertAlign w:val="superscript"/>
                <w:lang w:val="en-US"/>
              </w:rPr>
              <w:t>(1)</w:t>
            </w:r>
            <w:r w:rsidRPr="00A902CD">
              <w:rPr>
                <w:lang w:val="en-US"/>
              </w:rPr>
              <w:tab/>
              <w:t>Equivalent isotropically radiated power.</w:t>
            </w:r>
          </w:p>
          <w:p w:rsidR="0067766E" w:rsidRPr="00A902CD" w:rsidRDefault="0067766E" w:rsidP="00BB31F1">
            <w:pPr>
              <w:pStyle w:val="Tablelegend"/>
              <w:tabs>
                <w:tab w:val="clear" w:pos="284"/>
                <w:tab w:val="clear" w:pos="567"/>
                <w:tab w:val="left" w:pos="426"/>
              </w:tabs>
              <w:rPr>
                <w:lang w:val="en-US"/>
              </w:rPr>
            </w:pPr>
            <w:r w:rsidRPr="00A902CD">
              <w:rPr>
                <w:vertAlign w:val="superscript"/>
                <w:lang w:val="en-US"/>
              </w:rPr>
              <w:t>(2)</w:t>
            </w:r>
            <w:r w:rsidRPr="00A902CD">
              <w:rPr>
                <w:lang w:val="en-US"/>
              </w:rPr>
              <w:tab/>
              <w:t>Polarization mismatch, antenna pointing and demodulator implementation losses.</w:t>
            </w:r>
          </w:p>
          <w:p w:rsidR="0067766E" w:rsidRDefault="0067766E" w:rsidP="00BB31F1">
            <w:pPr>
              <w:pStyle w:val="Tablelegend"/>
              <w:tabs>
                <w:tab w:val="clear" w:pos="284"/>
                <w:tab w:val="clear" w:pos="567"/>
                <w:tab w:val="left" w:pos="426"/>
              </w:tabs>
            </w:pPr>
            <w:r w:rsidRPr="00A902CD">
              <w:rPr>
                <w:vertAlign w:val="superscript"/>
                <w:lang w:val="en-US"/>
              </w:rPr>
              <w:t>(3)</w:t>
            </w:r>
            <w:r w:rsidRPr="00A902CD">
              <w:rPr>
                <w:lang w:val="en-US"/>
              </w:rPr>
              <w:tab/>
              <w:t>Antenna gain-to-noise temperature ratio, to include radome, if applicable, and cable losses.</w:t>
            </w:r>
            <w:r w:rsidRPr="00A902CD">
              <w:rPr>
                <w:lang w:val="en-US"/>
              </w:rPr>
              <w:br/>
            </w:r>
            <w:r>
              <w:t xml:space="preserve">United States of America LUTs </w:t>
            </w:r>
            <w:r>
              <w:rPr>
                <w:i/>
                <w:iCs/>
              </w:rPr>
              <w:t>G</w:t>
            </w:r>
            <w:r>
              <w:t>/</w:t>
            </w:r>
            <w:r>
              <w:rPr>
                <w:i/>
                <w:iCs/>
              </w:rPr>
              <w:t>T</w:t>
            </w:r>
            <w:r>
              <w:t xml:space="preserve"> = 4.3 dB.</w:t>
            </w:r>
          </w:p>
        </w:tc>
      </w:tr>
    </w:tbl>
    <w:p w:rsidR="0067766E" w:rsidRDefault="0067766E" w:rsidP="0067766E">
      <w:pPr>
        <w:pStyle w:val="Tablefin"/>
      </w:pPr>
    </w:p>
    <w:p w:rsidR="00BD5D3D" w:rsidRDefault="00BD5D3D" w:rsidP="00BD5D3D">
      <w:pPr>
        <w:keepLines/>
        <w:rPr>
          <w:lang w:val="en-US"/>
        </w:rPr>
      </w:pPr>
    </w:p>
    <w:p w:rsidR="0067766E" w:rsidRPr="00A902CD" w:rsidRDefault="0067766E" w:rsidP="00BD5D3D">
      <w:pPr>
        <w:keepLines/>
        <w:rPr>
          <w:lang w:val="en-US"/>
        </w:rPr>
      </w:pPr>
      <w:r w:rsidRPr="00A902CD">
        <w:rPr>
          <w:lang w:val="en-US"/>
        </w:rPr>
        <w:t>Table 1 shows the recommended downlink power budget for the SARP channel. The link budget has been completed using typical LEOLUT parameters. The link budget shows that the required BER of 1 </w:t>
      </w:r>
      <w:r>
        <w:rPr>
          <w:lang w:val="en-US"/>
        </w:rPr>
        <w:sym w:font="Symbol" w:char="F0B4"/>
      </w:r>
      <w:r w:rsidRPr="00A902CD">
        <w:rPr>
          <w:lang w:val="en-US"/>
        </w:rPr>
        <w:t> 10</w:t>
      </w:r>
      <w:r w:rsidRPr="00A902CD">
        <w:rPr>
          <w:vertAlign w:val="superscript"/>
          <w:lang w:val="en-US"/>
        </w:rPr>
        <w:t>−6</w:t>
      </w:r>
      <w:r w:rsidRPr="00A902CD">
        <w:rPr>
          <w:lang w:val="en-US"/>
        </w:rPr>
        <w:t xml:space="preserve"> is achieved with a 2.4 dB margin for tracking Sarsat satellites. The link must maintain a positive margin in order to sustain the required BER. Therefore, the total of all interference cannot be allowed to degrade the link by more than 2.4 dB. In this case, the cumulative interference power spectral-density</w:t>
      </w:r>
      <w:r>
        <w:rPr>
          <w:lang w:val="en-US"/>
        </w:rPr>
        <w:t>,</w:t>
      </w:r>
      <w:r w:rsidRPr="00A902CD">
        <w:rPr>
          <w:lang w:val="en-US"/>
        </w:rPr>
        <w:t xml:space="preserve"> </w:t>
      </w:r>
      <w:r w:rsidRPr="00A902CD">
        <w:rPr>
          <w:i/>
          <w:iCs/>
          <w:lang w:val="en-US"/>
        </w:rPr>
        <w:t>I</w:t>
      </w:r>
      <w:r w:rsidRPr="00A902CD">
        <w:rPr>
          <w:vertAlign w:val="subscript"/>
          <w:lang w:val="en-US"/>
        </w:rPr>
        <w:t>0</w:t>
      </w:r>
      <w:r w:rsidRPr="00A902CD">
        <w:rPr>
          <w:lang w:val="en-US"/>
        </w:rPr>
        <w:t xml:space="preserve"> at the LEOLUT receiver is given by the following equation (numeric quantities):</w:t>
      </w:r>
    </w:p>
    <w:p w:rsidR="0067766E" w:rsidRDefault="0067766E" w:rsidP="0067766E">
      <w:pPr>
        <w:pStyle w:val="Blanc"/>
      </w:pPr>
    </w:p>
    <w:p w:rsidR="0067766E" w:rsidRPr="00A902CD" w:rsidRDefault="0067766E" w:rsidP="0067766E">
      <w:pPr>
        <w:pStyle w:val="Equation"/>
        <w:rPr>
          <w:vertAlign w:val="subscript"/>
          <w:lang w:val="en-US"/>
        </w:rPr>
      </w:pPr>
      <w:r w:rsidRPr="00A902CD">
        <w:rPr>
          <w:lang w:val="en-US"/>
        </w:rPr>
        <w:tab/>
      </w:r>
      <w:r w:rsidRPr="00A902CD">
        <w:rPr>
          <w:lang w:val="en-US"/>
        </w:rPr>
        <w:tab/>
      </w:r>
      <w:r w:rsidRPr="00A902CD">
        <w:rPr>
          <w:i/>
          <w:iCs/>
          <w:lang w:val="en-US"/>
        </w:rPr>
        <w:t>N</w:t>
      </w:r>
      <w:r w:rsidRPr="00A902CD">
        <w:rPr>
          <w:vertAlign w:val="subscript"/>
          <w:lang w:val="en-US"/>
        </w:rPr>
        <w:t xml:space="preserve">0 </w:t>
      </w:r>
      <w:r w:rsidRPr="00A902CD">
        <w:rPr>
          <w:lang w:val="en-US"/>
        </w:rPr>
        <w:t xml:space="preserve">+ </w:t>
      </w:r>
      <w:r w:rsidRPr="00A902CD">
        <w:rPr>
          <w:i/>
          <w:iCs/>
          <w:lang w:val="en-US"/>
        </w:rPr>
        <w:t>I</w:t>
      </w:r>
      <w:r w:rsidRPr="00A902CD">
        <w:rPr>
          <w:vertAlign w:val="subscript"/>
          <w:lang w:val="en-US"/>
        </w:rPr>
        <w:t xml:space="preserve">0 </w:t>
      </w:r>
      <w:r>
        <w:sym w:font="Symbol" w:char="F0A3"/>
      </w:r>
      <w:r w:rsidRPr="00A902CD">
        <w:rPr>
          <w:lang w:val="en-US"/>
        </w:rPr>
        <w:t xml:space="preserve"> 10</w:t>
      </w:r>
      <w:r w:rsidRPr="00A902CD">
        <w:rPr>
          <w:vertAlign w:val="superscript"/>
          <w:lang w:val="en-US"/>
        </w:rPr>
        <w:t>(2.4/10)</w:t>
      </w:r>
      <w:r w:rsidRPr="00A902CD">
        <w:rPr>
          <w:lang w:val="en-US"/>
        </w:rPr>
        <w:t> × </w:t>
      </w:r>
      <w:r w:rsidRPr="00A902CD">
        <w:rPr>
          <w:i/>
          <w:iCs/>
          <w:lang w:val="en-US"/>
        </w:rPr>
        <w:t>N</w:t>
      </w:r>
      <w:r w:rsidRPr="00A902CD">
        <w:rPr>
          <w:vertAlign w:val="subscript"/>
          <w:lang w:val="en-US"/>
        </w:rPr>
        <w:t>0</w:t>
      </w:r>
    </w:p>
    <w:p w:rsidR="0067766E" w:rsidRPr="00A902CD" w:rsidRDefault="0067766E" w:rsidP="00BD5D3D">
      <w:pPr>
        <w:keepNext/>
        <w:rPr>
          <w:lang w:val="en-US"/>
        </w:rPr>
      </w:pPr>
      <w:r w:rsidRPr="00A902CD">
        <w:rPr>
          <w:lang w:val="en-US"/>
        </w:rPr>
        <w:lastRenderedPageBreak/>
        <w:t>or</w:t>
      </w:r>
    </w:p>
    <w:p w:rsidR="00BD5D3D" w:rsidRDefault="00BD5D3D" w:rsidP="00BD5D3D">
      <w:pPr>
        <w:pStyle w:val="Blanc"/>
      </w:pP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w:t>
      </w:r>
      <w:r w:rsidRPr="00A902CD">
        <w:rPr>
          <w:i/>
          <w:iCs/>
          <w:lang w:val="en-US"/>
        </w:rPr>
        <w:t>N</w:t>
      </w:r>
      <w:r w:rsidRPr="00A902CD">
        <w:rPr>
          <w:vertAlign w:val="subscript"/>
          <w:lang w:val="en-US"/>
        </w:rPr>
        <w:t>0</w:t>
      </w:r>
      <w:r w:rsidRPr="00A902CD">
        <w:rPr>
          <w:lang w:val="en-US"/>
        </w:rPr>
        <w:t xml:space="preserve"> </w:t>
      </w:r>
      <w:r>
        <w:sym w:font="Symbol" w:char="F0A3"/>
      </w:r>
      <w:r w:rsidRPr="00A902CD">
        <w:rPr>
          <w:lang w:val="en-US"/>
        </w:rPr>
        <w:t xml:space="preserve"> (10</w:t>
      </w:r>
      <w:r w:rsidRPr="00A902CD">
        <w:rPr>
          <w:vertAlign w:val="superscript"/>
          <w:lang w:val="en-US"/>
        </w:rPr>
        <w:t>(2.4/10)</w:t>
      </w:r>
      <w:r w:rsidRPr="00A902CD">
        <w:rPr>
          <w:lang w:val="en-US"/>
        </w:rPr>
        <w:t xml:space="preserve"> – 1) = </w:t>
      </w:r>
      <w:r w:rsidR="00B61132">
        <w:rPr>
          <w:lang w:val="en-US"/>
        </w:rPr>
        <w:t>0</w:t>
      </w:r>
      <w:r w:rsidRPr="00A902CD">
        <w:rPr>
          <w:lang w:val="en-US"/>
        </w:rPr>
        <w:t>.738 (numeric)</w:t>
      </w:r>
    </w:p>
    <w:p w:rsidR="00BD5D3D" w:rsidRDefault="00BD5D3D" w:rsidP="00BD5D3D">
      <w:pPr>
        <w:pStyle w:val="Blanc"/>
      </w:pPr>
    </w:p>
    <w:p w:rsidR="0067766E" w:rsidRPr="00A902CD" w:rsidRDefault="0067766E" w:rsidP="0067766E">
      <w:pPr>
        <w:rPr>
          <w:lang w:val="en-US"/>
        </w:rPr>
      </w:pPr>
      <w:r w:rsidRPr="00A902CD">
        <w:rPr>
          <w:lang w:val="en-US"/>
        </w:rPr>
        <w:t>then</w:t>
      </w:r>
    </w:p>
    <w:p w:rsidR="0067766E" w:rsidRDefault="0067766E" w:rsidP="0067766E">
      <w:pPr>
        <w:pStyle w:val="Blanc"/>
      </w:pP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w:t>
      </w:r>
      <w:r w:rsidRPr="00A902CD">
        <w:rPr>
          <w:i/>
          <w:iCs/>
          <w:lang w:val="en-US"/>
        </w:rPr>
        <w:t>N</w:t>
      </w:r>
      <w:r w:rsidRPr="00A902CD">
        <w:rPr>
          <w:vertAlign w:val="subscript"/>
          <w:lang w:val="en-US"/>
        </w:rPr>
        <w:t xml:space="preserve">0 </w:t>
      </w:r>
      <w:r w:rsidRPr="00A902CD">
        <w:rPr>
          <w:lang w:val="en-US"/>
        </w:rPr>
        <w:t>= –1.3 dB</w:t>
      </w:r>
    </w:p>
    <w:p w:rsidR="0067766E" w:rsidRDefault="0067766E" w:rsidP="0067766E">
      <w:pPr>
        <w:pStyle w:val="Blanc"/>
      </w:pPr>
    </w:p>
    <w:p w:rsidR="0067766E" w:rsidRPr="00A902CD" w:rsidRDefault="0067766E" w:rsidP="0067766E">
      <w:pPr>
        <w:rPr>
          <w:i/>
          <w:lang w:val="en-US"/>
        </w:rPr>
      </w:pPr>
      <w:r w:rsidRPr="00A902CD">
        <w:rPr>
          <w:lang w:val="en-US"/>
        </w:rPr>
        <w:t xml:space="preserve">The cumulative effect of all interferers, therefore, must not exceed an </w:t>
      </w:r>
      <w:r w:rsidRPr="00A902CD">
        <w:rPr>
          <w:i/>
          <w:iCs/>
          <w:lang w:val="en-US"/>
        </w:rPr>
        <w:t>I</w:t>
      </w:r>
      <w:r w:rsidRPr="00A902CD">
        <w:rPr>
          <w:vertAlign w:val="subscript"/>
          <w:lang w:val="en-US"/>
        </w:rPr>
        <w:t>0</w:t>
      </w:r>
      <w:r w:rsidRPr="00A902CD">
        <w:rPr>
          <w:lang w:val="en-US"/>
        </w:rPr>
        <w:t>/</w:t>
      </w:r>
      <w:r w:rsidRPr="00A902CD">
        <w:rPr>
          <w:i/>
          <w:iCs/>
          <w:lang w:val="en-US"/>
        </w:rPr>
        <w:t>N</w:t>
      </w:r>
      <w:r w:rsidRPr="00A902CD">
        <w:rPr>
          <w:vertAlign w:val="subscript"/>
          <w:lang w:val="en-US"/>
        </w:rPr>
        <w:t xml:space="preserve">0 </w:t>
      </w:r>
      <w:r w:rsidRPr="00A902CD">
        <w:rPr>
          <w:lang w:val="en-US"/>
        </w:rPr>
        <w:t>= –1.3 dB</w:t>
      </w:r>
      <w:r w:rsidR="00B61132">
        <w:rPr>
          <w:lang w:val="en-US"/>
        </w:rPr>
        <w:t>.</w:t>
      </w:r>
    </w:p>
    <w:p w:rsidR="0067766E" w:rsidRPr="00A902CD" w:rsidRDefault="0067766E" w:rsidP="0067766E">
      <w:pPr>
        <w:rPr>
          <w:lang w:val="en-US"/>
        </w:rPr>
      </w:pPr>
      <w:r w:rsidRPr="00A902CD">
        <w:rPr>
          <w:lang w:val="en-US"/>
        </w:rPr>
        <w:t xml:space="preserve">For LEOLUTs with an antenna gain </w:t>
      </w:r>
      <w:r w:rsidRPr="00A902CD">
        <w:rPr>
          <w:i/>
          <w:iCs/>
          <w:lang w:val="en-US"/>
        </w:rPr>
        <w:t>G</w:t>
      </w:r>
      <w:r w:rsidRPr="00A902CD">
        <w:rPr>
          <w:lang w:val="en-US"/>
        </w:rPr>
        <w:t xml:space="preserve"> of 26.7 dB and a system noise temperature</w:t>
      </w:r>
      <w:r>
        <w:rPr>
          <w:lang w:val="en-US"/>
        </w:rPr>
        <w:t>,</w:t>
      </w:r>
      <w:r w:rsidRPr="00A902CD">
        <w:rPr>
          <w:lang w:val="en-US"/>
        </w:rPr>
        <w:t xml:space="preserve"> </w:t>
      </w:r>
      <w:r w:rsidRPr="00A902CD">
        <w:rPr>
          <w:i/>
          <w:iCs/>
          <w:lang w:val="en-US"/>
        </w:rPr>
        <w:t>T</w:t>
      </w:r>
      <w:r>
        <w:rPr>
          <w:lang w:val="en-US"/>
        </w:rPr>
        <w:t>,</w:t>
      </w:r>
      <w:r w:rsidRPr="00A902CD">
        <w:rPr>
          <w:lang w:val="en-US"/>
        </w:rPr>
        <w:t xml:space="preserve"> of 22.4 dBK at the LEOLUT LNA, the noise power spectral-density without interference, </w:t>
      </w:r>
      <w:r w:rsidRPr="00A902CD">
        <w:rPr>
          <w:i/>
          <w:iCs/>
          <w:lang w:val="en-US"/>
        </w:rPr>
        <w:t>N</w:t>
      </w:r>
      <w:r w:rsidRPr="00A902CD">
        <w:rPr>
          <w:vertAlign w:val="subscript"/>
          <w:lang w:val="en-US"/>
        </w:rPr>
        <w:t>0</w:t>
      </w:r>
      <w:r w:rsidRPr="00A902CD">
        <w:rPr>
          <w:lang w:val="en-US"/>
        </w:rPr>
        <w:t>, is the product of Boltzmann’s constant</w:t>
      </w:r>
      <w:r>
        <w:rPr>
          <w:lang w:val="en-US"/>
        </w:rPr>
        <w:t>,</w:t>
      </w:r>
      <w:r w:rsidRPr="00A902CD">
        <w:rPr>
          <w:lang w:val="en-US"/>
        </w:rPr>
        <w:t xml:space="preserve"> </w:t>
      </w:r>
      <w:r w:rsidRPr="00A902CD">
        <w:rPr>
          <w:i/>
          <w:iCs/>
          <w:lang w:val="en-US"/>
        </w:rPr>
        <w:t>k</w:t>
      </w:r>
      <w:r>
        <w:rPr>
          <w:lang w:val="en-US"/>
        </w:rPr>
        <w:t>,</w:t>
      </w:r>
      <w:r w:rsidRPr="00A902CD">
        <w:rPr>
          <w:lang w:val="en-US"/>
        </w:rPr>
        <w:t xml:space="preserve"> and the noise temperature </w:t>
      </w:r>
      <w:r w:rsidRPr="00A902CD">
        <w:rPr>
          <w:i/>
          <w:iCs/>
          <w:lang w:val="en-US"/>
        </w:rPr>
        <w:t>T</w:t>
      </w:r>
      <w:r w:rsidRPr="00A902CD">
        <w:rPr>
          <w:lang w:val="en-US"/>
        </w:rPr>
        <w:t xml:space="preserve">, or </w:t>
      </w:r>
      <w:r w:rsidRPr="00A902CD">
        <w:rPr>
          <w:i/>
          <w:iCs/>
          <w:lang w:val="en-US"/>
        </w:rPr>
        <w:t>N</w:t>
      </w:r>
      <w:r w:rsidRPr="00A902CD">
        <w:rPr>
          <w:vertAlign w:val="subscript"/>
          <w:lang w:val="en-US"/>
        </w:rPr>
        <w:t>0</w:t>
      </w:r>
      <w:r w:rsidRPr="00A902CD">
        <w:rPr>
          <w:lang w:val="en-US"/>
        </w:rPr>
        <w:t xml:space="preserve"> = </w:t>
      </w:r>
      <w:r w:rsidRPr="00A902CD">
        <w:rPr>
          <w:i/>
          <w:iCs/>
          <w:lang w:val="en-US"/>
        </w:rPr>
        <w:t>k</w:t>
      </w:r>
      <w:r>
        <w:rPr>
          <w:i/>
          <w:iCs/>
          <w:lang w:val="en-US"/>
        </w:rPr>
        <w:t> </w:t>
      </w:r>
      <w:r w:rsidRPr="00A902CD">
        <w:rPr>
          <w:i/>
          <w:iCs/>
          <w:lang w:val="en-US"/>
        </w:rPr>
        <w:t>T</w:t>
      </w:r>
      <w:r w:rsidRPr="00A902CD">
        <w:rPr>
          <w:lang w:val="en-US"/>
        </w:rPr>
        <w:t>, and is given in dB form as follows:</w:t>
      </w:r>
    </w:p>
    <w:p w:rsidR="0067766E" w:rsidRDefault="0067766E" w:rsidP="0067766E">
      <w:pPr>
        <w:pStyle w:val="Blanc"/>
      </w:pP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N</w:t>
      </w:r>
      <w:r w:rsidRPr="00A902CD">
        <w:rPr>
          <w:vertAlign w:val="subscript"/>
          <w:lang w:val="en-US"/>
        </w:rPr>
        <w:t xml:space="preserve">0 </w:t>
      </w:r>
      <w:r w:rsidRPr="00A902CD">
        <w:rPr>
          <w:lang w:val="en-US"/>
        </w:rPr>
        <w:t>= –228.6 + 22.4 = –206.2 dB(W/Hz)</w:t>
      </w:r>
    </w:p>
    <w:p w:rsidR="0067766E" w:rsidRDefault="0067766E" w:rsidP="0067766E">
      <w:pPr>
        <w:pStyle w:val="Blanc"/>
      </w:pPr>
    </w:p>
    <w:p w:rsidR="0067766E" w:rsidRPr="00A902CD" w:rsidRDefault="0067766E" w:rsidP="0067766E">
      <w:pPr>
        <w:rPr>
          <w:lang w:val="en-US"/>
        </w:rPr>
      </w:pPr>
      <w:r w:rsidRPr="00A902CD">
        <w:rPr>
          <w:lang w:val="en-US"/>
        </w:rPr>
        <w:t xml:space="preserve">Therefore, the maximum interference power spectral-density from all interfering emitters, </w:t>
      </w:r>
      <w:r w:rsidRPr="00A902CD">
        <w:rPr>
          <w:i/>
          <w:iCs/>
          <w:lang w:val="en-US"/>
        </w:rPr>
        <w:t>I</w:t>
      </w:r>
      <w:r w:rsidRPr="00A902CD">
        <w:rPr>
          <w:vertAlign w:val="subscript"/>
          <w:lang w:val="en-US"/>
        </w:rPr>
        <w:t>0</w:t>
      </w:r>
      <w:r w:rsidRPr="00A902CD">
        <w:rPr>
          <w:lang w:val="en-US"/>
        </w:rPr>
        <w:t>(max), at the LEOLUT LNA within the 1 544.5 MHz </w:t>
      </w:r>
      <w:r>
        <w:sym w:font="Symbol" w:char="F0B1"/>
      </w:r>
      <w:r w:rsidRPr="00A902CD">
        <w:rPr>
          <w:lang w:val="en-US"/>
        </w:rPr>
        <w:t> 50 kHz band must not exceed the following:</w:t>
      </w:r>
    </w:p>
    <w:p w:rsidR="0067766E" w:rsidRDefault="0067766E" w:rsidP="0067766E">
      <w:pPr>
        <w:pStyle w:val="Blanc"/>
      </w:pP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(max) = </w:t>
      </w:r>
      <w:r w:rsidRPr="00A902CD">
        <w:rPr>
          <w:i/>
          <w:iCs/>
          <w:lang w:val="en-US"/>
        </w:rPr>
        <w:t>N</w:t>
      </w:r>
      <w:r w:rsidRPr="00A902CD">
        <w:rPr>
          <w:vertAlign w:val="subscript"/>
          <w:lang w:val="en-US"/>
        </w:rPr>
        <w:t>0</w:t>
      </w:r>
      <w:r w:rsidRPr="00A902CD">
        <w:rPr>
          <w:lang w:val="en-US"/>
        </w:rPr>
        <w:t> – 1.3 = –207.5 dB(W/Hz)</w:t>
      </w:r>
    </w:p>
    <w:p w:rsidR="0067766E" w:rsidRDefault="0067766E" w:rsidP="0067766E">
      <w:pPr>
        <w:pStyle w:val="Blanc"/>
      </w:pPr>
    </w:p>
    <w:p w:rsidR="0067766E" w:rsidRPr="00A902CD" w:rsidRDefault="0067766E" w:rsidP="0067766E">
      <w:pPr>
        <w:rPr>
          <w:lang w:val="en-US"/>
        </w:rPr>
      </w:pPr>
      <w:r w:rsidRPr="00A902CD">
        <w:rPr>
          <w:lang w:val="en-US"/>
        </w:rPr>
        <w:t>It is desirable to characterize the protection criteria in terms of the spfd interference threshold specified in dB(W/m</w:t>
      </w:r>
      <w:r w:rsidRPr="00A902CD">
        <w:rPr>
          <w:vertAlign w:val="superscript"/>
          <w:lang w:val="en-US"/>
        </w:rPr>
        <w:t>2</w:t>
      </w:r>
      <w:r w:rsidRPr="00A902CD">
        <w:rPr>
          <w:lang w:val="en-US"/>
        </w:rPr>
        <w:t xml:space="preserve"> ∙ Hz) at the input to the LEOLUT antenna. The effective aperture of an antenna having a gain </w:t>
      </w:r>
      <w:r w:rsidRPr="00A902CD">
        <w:rPr>
          <w:i/>
          <w:iCs/>
          <w:lang w:val="en-US"/>
        </w:rPr>
        <w:t>G</w:t>
      </w:r>
      <w:r w:rsidRPr="00A902CD">
        <w:rPr>
          <w:lang w:val="en-US"/>
        </w:rPr>
        <w:t xml:space="preserve"> is </w:t>
      </w:r>
      <w:r w:rsidRPr="00A902CD">
        <w:rPr>
          <w:i/>
          <w:iCs/>
          <w:lang w:val="en-US"/>
        </w:rPr>
        <w:t>A</w:t>
      </w:r>
      <w:r w:rsidRPr="00A902CD">
        <w:rPr>
          <w:i/>
          <w:iCs/>
          <w:szCs w:val="24"/>
          <w:vertAlign w:val="subscript"/>
          <w:lang w:val="en-US"/>
        </w:rPr>
        <w:t>e</w:t>
      </w:r>
      <w:r w:rsidRPr="00A902CD">
        <w:rPr>
          <w:i/>
          <w:iCs/>
          <w:lang w:val="en-US"/>
        </w:rPr>
        <w:t xml:space="preserve"> </w:t>
      </w:r>
      <w:r w:rsidRPr="00A902CD">
        <w:rPr>
          <w:lang w:val="en-US"/>
        </w:rPr>
        <w:t xml:space="preserve">= </w:t>
      </w:r>
      <w:r w:rsidRPr="00A902CD">
        <w:rPr>
          <w:i/>
          <w:iCs/>
          <w:lang w:val="en-US"/>
        </w:rPr>
        <w:t>G</w:t>
      </w:r>
      <w:r>
        <w:t>λ</w:t>
      </w:r>
      <w:r w:rsidRPr="00A902CD">
        <w:rPr>
          <w:vertAlign w:val="superscript"/>
          <w:lang w:val="en-US"/>
        </w:rPr>
        <w:t>2</w:t>
      </w:r>
      <w:r w:rsidRPr="00A902CD">
        <w:rPr>
          <w:lang w:val="en-US"/>
        </w:rPr>
        <w:t>/4</w:t>
      </w:r>
      <w:r>
        <w:rPr>
          <w:rFonts w:ascii="Symbol" w:hAnsi="Symbol"/>
        </w:rPr>
        <w:t></w:t>
      </w:r>
      <w:r>
        <w:rPr>
          <w:rFonts w:ascii="Symbol" w:hAnsi="Symbol"/>
        </w:rPr>
        <w:t></w:t>
      </w:r>
      <w:r w:rsidRPr="00A902CD">
        <w:rPr>
          <w:lang w:val="en-US"/>
        </w:rPr>
        <w:t xml:space="preserve">. The LEOLUT antenna gain of 26.7 dB results in </w:t>
      </w:r>
      <w:r w:rsidRPr="00A902CD">
        <w:rPr>
          <w:i/>
          <w:iCs/>
          <w:lang w:val="en-US"/>
        </w:rPr>
        <w:t>A</w:t>
      </w:r>
      <w:r w:rsidRPr="00A902CD">
        <w:rPr>
          <w:i/>
          <w:iCs/>
          <w:szCs w:val="24"/>
          <w:vertAlign w:val="subscript"/>
          <w:lang w:val="en-US"/>
        </w:rPr>
        <w:t>e</w:t>
      </w:r>
      <w:r w:rsidRPr="00A902CD">
        <w:rPr>
          <w:lang w:val="en-US"/>
        </w:rPr>
        <w:t> = 1.4 m</w:t>
      </w:r>
      <w:r w:rsidRPr="00A902CD">
        <w:rPr>
          <w:vertAlign w:val="superscript"/>
          <w:lang w:val="en-US"/>
        </w:rPr>
        <w:t>2</w:t>
      </w:r>
      <w:r w:rsidRPr="00A902CD">
        <w:rPr>
          <w:lang w:val="en-US"/>
        </w:rPr>
        <w:t>. Therefore, the maximum level of all interference on the downlink is:</w:t>
      </w:r>
    </w:p>
    <w:p w:rsidR="0067766E" w:rsidRDefault="0067766E" w:rsidP="0067766E">
      <w:pPr>
        <w:pStyle w:val="Blanc"/>
      </w:pPr>
    </w:p>
    <w:p w:rsidR="0067766E" w:rsidRPr="00A902CD" w:rsidRDefault="0067766E" w:rsidP="0067766E">
      <w:pPr>
        <w:pStyle w:val="Equation"/>
        <w:rPr>
          <w:lang w:val="en-US"/>
        </w:rPr>
      </w:pPr>
      <w:r w:rsidRPr="00A902CD">
        <w:rPr>
          <w:lang w:val="en-US"/>
        </w:rPr>
        <w:tab/>
      </w:r>
      <w:r w:rsidRPr="00A902CD">
        <w:rPr>
          <w:lang w:val="en-US"/>
        </w:rPr>
        <w:tab/>
        <w:t>spfd = </w:t>
      </w:r>
      <w:r w:rsidRPr="00A902CD">
        <w:rPr>
          <w:i/>
          <w:iCs/>
          <w:lang w:val="en-US"/>
        </w:rPr>
        <w:t>I</w:t>
      </w:r>
      <w:r w:rsidRPr="00A902CD">
        <w:rPr>
          <w:vertAlign w:val="subscript"/>
          <w:lang w:val="en-US"/>
        </w:rPr>
        <w:t>0</w:t>
      </w:r>
      <w:r w:rsidRPr="00A902CD">
        <w:rPr>
          <w:lang w:val="en-US"/>
        </w:rPr>
        <w:t>/</w:t>
      </w:r>
      <w:r w:rsidRPr="00A902CD">
        <w:rPr>
          <w:i/>
          <w:iCs/>
          <w:lang w:val="en-US"/>
        </w:rPr>
        <w:t>A</w:t>
      </w:r>
      <w:r w:rsidRPr="00A902CD">
        <w:rPr>
          <w:i/>
          <w:iCs/>
          <w:szCs w:val="24"/>
          <w:vertAlign w:val="subscript"/>
          <w:lang w:val="en-US"/>
        </w:rPr>
        <w:t>e</w:t>
      </w:r>
      <w:r w:rsidRPr="00A902CD">
        <w:rPr>
          <w:lang w:val="en-US"/>
        </w:rPr>
        <w:t> = –207.5 – 10</w:t>
      </w:r>
      <w:r>
        <w:rPr>
          <w:lang w:val="en-US"/>
        </w:rPr>
        <w:t> </w:t>
      </w:r>
      <w:r w:rsidRPr="00A902CD">
        <w:rPr>
          <w:lang w:val="en-US"/>
        </w:rPr>
        <w:t>log</w:t>
      </w:r>
      <w:r>
        <w:rPr>
          <w:lang w:val="en-US"/>
        </w:rPr>
        <w:t> </w:t>
      </w:r>
      <w:r w:rsidRPr="00A902CD">
        <w:rPr>
          <w:lang w:val="en-US"/>
        </w:rPr>
        <w:t>(1.4)</w:t>
      </w:r>
    </w:p>
    <w:p w:rsidR="0067766E" w:rsidRPr="00A902CD" w:rsidRDefault="0067766E" w:rsidP="0067766E">
      <w:pPr>
        <w:pStyle w:val="Equation"/>
        <w:rPr>
          <w:lang w:val="en-US"/>
        </w:rPr>
      </w:pPr>
      <w:r w:rsidRPr="00A902CD">
        <w:rPr>
          <w:lang w:val="en-US"/>
        </w:rPr>
        <w:tab/>
      </w:r>
      <w:r w:rsidRPr="00A902CD">
        <w:rPr>
          <w:lang w:val="en-US"/>
        </w:rPr>
        <w:tab/>
        <w:t>= –209.0 dB(W/(m</w:t>
      </w:r>
      <w:r w:rsidRPr="00A902CD">
        <w:rPr>
          <w:vertAlign w:val="superscript"/>
          <w:lang w:val="en-US"/>
        </w:rPr>
        <w:t>2</w:t>
      </w:r>
      <w:r w:rsidRPr="00A902CD">
        <w:rPr>
          <w:lang w:val="en-US"/>
        </w:rPr>
        <w:t> ∙ Hz))</w:t>
      </w:r>
    </w:p>
    <w:p w:rsidR="0067766E" w:rsidRDefault="0067766E" w:rsidP="0067766E">
      <w:pPr>
        <w:pStyle w:val="Blanc"/>
      </w:pPr>
    </w:p>
    <w:p w:rsidR="0067766E" w:rsidRPr="00A902CD" w:rsidRDefault="0067766E" w:rsidP="0067766E">
      <w:pPr>
        <w:rPr>
          <w:lang w:val="en-US"/>
        </w:rPr>
      </w:pPr>
      <w:r w:rsidRPr="00A902CD">
        <w:rPr>
          <w:lang w:val="en-US"/>
        </w:rPr>
        <w:t>The maximum level of broadband noise-like interference in the 1 544.5 MHz </w:t>
      </w:r>
      <w:r>
        <w:rPr>
          <w:lang w:val="en-US"/>
        </w:rPr>
        <w:sym w:font="Symbol" w:char="F0B1"/>
      </w:r>
      <w:r w:rsidRPr="00A902CD">
        <w:rPr>
          <w:lang w:val="en-US"/>
        </w:rPr>
        <w:t> 50 kHz band channel should not exceed –209.0 dB(W/(m</w:t>
      </w:r>
      <w:r w:rsidRPr="00A902CD">
        <w:rPr>
          <w:vertAlign w:val="superscript"/>
          <w:lang w:val="en-US"/>
        </w:rPr>
        <w:t>2</w:t>
      </w:r>
      <w:r w:rsidRPr="00A902CD">
        <w:rPr>
          <w:lang w:val="en-US"/>
        </w:rPr>
        <w:t> ∙ Hz)).</w:t>
      </w:r>
    </w:p>
    <w:p w:rsidR="0067766E" w:rsidRPr="00A902CD" w:rsidRDefault="0067766E" w:rsidP="0067766E">
      <w:pPr>
        <w:pStyle w:val="Heading1"/>
        <w:rPr>
          <w:lang w:val="en-US"/>
        </w:rPr>
      </w:pPr>
      <w:bookmarkStart w:id="13" w:name="_Toc115521334"/>
      <w:r w:rsidRPr="00A902CD">
        <w:rPr>
          <w:lang w:val="en-US"/>
        </w:rPr>
        <w:t>4</w:t>
      </w:r>
      <w:r w:rsidRPr="00A902CD">
        <w:rPr>
          <w:lang w:val="en-US"/>
        </w:rPr>
        <w:tab/>
        <w:t>Procedure for computing level of interference to the LEOSAR SARP channel</w:t>
      </w:r>
      <w:bookmarkEnd w:id="13"/>
    </w:p>
    <w:p w:rsidR="0067766E" w:rsidRPr="00A902CD" w:rsidRDefault="0067766E" w:rsidP="0067766E">
      <w:pPr>
        <w:rPr>
          <w:lang w:val="en-US"/>
        </w:rPr>
      </w:pPr>
      <w:r w:rsidRPr="00A902CD">
        <w:rPr>
          <w:lang w:val="en-US"/>
        </w:rPr>
        <w:t>Interference to Cospas-Sarsat is most often a result of out-of-band emissions from services in adjacent or near adjacent bands such as MSS space-to-Earth allocations.</w:t>
      </w:r>
    </w:p>
    <w:p w:rsidR="0067766E" w:rsidRPr="00A902CD" w:rsidRDefault="0067766E" w:rsidP="0067766E">
      <w:pPr>
        <w:rPr>
          <w:lang w:val="en-US"/>
        </w:rPr>
      </w:pPr>
      <w:r w:rsidRPr="00A902CD">
        <w:rPr>
          <w:lang w:val="en-US"/>
        </w:rPr>
        <w:t>The emission bandwidth must be examined to determine if energy is transmitted in the frequency range 1 544.5 MHz </w:t>
      </w:r>
      <w:r>
        <w:rPr>
          <w:lang w:val="en-US"/>
        </w:rPr>
        <w:sym w:font="Symbol" w:char="F0B1"/>
      </w:r>
      <w:r w:rsidRPr="00A902CD">
        <w:rPr>
          <w:lang w:val="en-US"/>
        </w:rPr>
        <w:t> 50 kHz. Particular care must be taken when analysing the impact of mobile systems (e.g. non-geostationary satellites and airborne transmitters) to take into account their Doppler effect generated by their movement.</w:t>
      </w:r>
    </w:p>
    <w:p w:rsidR="0067766E" w:rsidRPr="00A902CD" w:rsidRDefault="0067766E" w:rsidP="0067766E">
      <w:pPr>
        <w:rPr>
          <w:lang w:val="en-US"/>
        </w:rPr>
      </w:pPr>
      <w:r w:rsidRPr="00A902CD">
        <w:rPr>
          <w:lang w:val="en-US"/>
        </w:rPr>
        <w:t>Compute the spfd level at the LEOLUT antenna. The aggregate level of all sources of interference must not exceed –209.0 dB(W/(m</w:t>
      </w:r>
      <w:r w:rsidRPr="00A902CD">
        <w:rPr>
          <w:vertAlign w:val="superscript"/>
          <w:lang w:val="en-US"/>
        </w:rPr>
        <w:t>2</w:t>
      </w:r>
      <w:r w:rsidRPr="00A902CD">
        <w:rPr>
          <w:lang w:val="en-US"/>
        </w:rPr>
        <w:t> ∙ Hz)) in any portion of the 1 544.5 MHz </w:t>
      </w:r>
      <w:r>
        <w:rPr>
          <w:lang w:val="en-US"/>
        </w:rPr>
        <w:sym w:font="Symbol" w:char="F0B1"/>
      </w:r>
      <w:r w:rsidRPr="00A902CD">
        <w:rPr>
          <w:lang w:val="en-US"/>
        </w:rPr>
        <w:t> 50 kHz range.</w:t>
      </w:r>
    </w:p>
    <w:p w:rsidR="0067766E" w:rsidRPr="00A902CD" w:rsidRDefault="0067766E" w:rsidP="0067766E">
      <w:pPr>
        <w:pStyle w:val="AnnexNoTitle"/>
        <w:rPr>
          <w:lang w:val="en-US"/>
        </w:rPr>
      </w:pPr>
      <w:bookmarkStart w:id="14" w:name="_Toc115521335"/>
      <w:r w:rsidRPr="00A902CD">
        <w:rPr>
          <w:lang w:val="en-US"/>
        </w:rPr>
        <w:lastRenderedPageBreak/>
        <w:t>Annex 3</w:t>
      </w:r>
      <w:r w:rsidRPr="00A902CD">
        <w:rPr>
          <w:lang w:val="en-US"/>
        </w:rPr>
        <w:br/>
      </w:r>
      <w:r w:rsidRPr="00A902CD">
        <w:rPr>
          <w:lang w:val="en-US"/>
        </w:rPr>
        <w:br/>
      </w:r>
      <w:r w:rsidRPr="00A902CD">
        <w:rPr>
          <w:caps/>
          <w:lang w:val="en-US"/>
        </w:rPr>
        <w:t>P</w:t>
      </w:r>
      <w:r w:rsidRPr="00A902CD">
        <w:rPr>
          <w:lang w:val="en-US"/>
        </w:rPr>
        <w:t xml:space="preserve">rotection criteria in the </w:t>
      </w:r>
      <w:r w:rsidRPr="00A902CD">
        <w:rPr>
          <w:caps/>
          <w:lang w:val="en-US"/>
        </w:rPr>
        <w:t>1 544-1 545 MH</w:t>
      </w:r>
      <w:r w:rsidRPr="00A902CD">
        <w:rPr>
          <w:lang w:val="en-US"/>
        </w:rPr>
        <w:t>z</w:t>
      </w:r>
      <w:r w:rsidRPr="00A902CD">
        <w:rPr>
          <w:caps/>
          <w:lang w:val="en-US"/>
        </w:rPr>
        <w:t xml:space="preserve"> </w:t>
      </w:r>
      <w:r w:rsidRPr="00A902CD">
        <w:rPr>
          <w:lang w:val="en-US"/>
        </w:rPr>
        <w:t xml:space="preserve">band for </w:t>
      </w:r>
      <w:r w:rsidRPr="00A902CD">
        <w:rPr>
          <w:caps/>
          <w:lang w:val="en-US"/>
        </w:rPr>
        <w:t>s</w:t>
      </w:r>
      <w:r w:rsidRPr="00A902CD">
        <w:rPr>
          <w:lang w:val="en-US"/>
        </w:rPr>
        <w:t>arsat</w:t>
      </w:r>
      <w:r w:rsidRPr="00A902CD">
        <w:rPr>
          <w:caps/>
          <w:lang w:val="en-US"/>
        </w:rPr>
        <w:t xml:space="preserve"> 406 mh</w:t>
      </w:r>
      <w:r w:rsidRPr="00A902CD">
        <w:rPr>
          <w:lang w:val="en-US"/>
        </w:rPr>
        <w:t>z</w:t>
      </w:r>
      <w:r w:rsidRPr="00A902CD">
        <w:rPr>
          <w:caps/>
          <w:lang w:val="en-US"/>
        </w:rPr>
        <w:t xml:space="preserve"> </w:t>
      </w:r>
      <w:r w:rsidRPr="00A902CD">
        <w:rPr>
          <w:lang w:val="en-US"/>
        </w:rPr>
        <w:t>repeater</w:t>
      </w:r>
      <w:r>
        <w:rPr>
          <w:caps/>
          <w:lang w:val="en-US"/>
        </w:rPr>
        <w:br/>
      </w:r>
      <w:r w:rsidRPr="00A902CD">
        <w:rPr>
          <w:caps/>
          <w:lang w:val="en-US"/>
        </w:rPr>
        <w:t xml:space="preserve">(SARR) </w:t>
      </w:r>
      <w:r w:rsidRPr="00A902CD">
        <w:rPr>
          <w:lang w:val="en-US"/>
        </w:rPr>
        <w:t>services against interference from broadband emissions</w:t>
      </w:r>
      <w:bookmarkEnd w:id="14"/>
    </w:p>
    <w:p w:rsidR="0067766E" w:rsidRPr="00A902CD" w:rsidRDefault="0067766E" w:rsidP="0067766E">
      <w:pPr>
        <w:pStyle w:val="Heading1"/>
        <w:rPr>
          <w:lang w:val="en-US"/>
        </w:rPr>
      </w:pPr>
      <w:bookmarkStart w:id="15" w:name="_Toc115521336"/>
      <w:r w:rsidRPr="00A902CD">
        <w:rPr>
          <w:lang w:val="en-US"/>
        </w:rPr>
        <w:t>1</w:t>
      </w:r>
      <w:r w:rsidRPr="00A902CD">
        <w:rPr>
          <w:lang w:val="en-US"/>
        </w:rPr>
        <w:tab/>
        <w:t>General</w:t>
      </w:r>
      <w:bookmarkEnd w:id="15"/>
    </w:p>
    <w:p w:rsidR="0067766E" w:rsidRPr="00A902CD" w:rsidRDefault="0067766E" w:rsidP="0067766E">
      <w:pPr>
        <w:rPr>
          <w:lang w:val="en-US"/>
        </w:rPr>
      </w:pPr>
      <w:r w:rsidRPr="00A902CD">
        <w:rPr>
          <w:lang w:val="en-US"/>
        </w:rPr>
        <w:t>The Sarsat 406 MHz SARR channel occupies approximately 100 kHz of spectrum starting 120 kHz above and below the 1 544.5 MHz carrier. However, due to the allowable frequency drift caused by the ageing of the satellite transmitter, the Doppler shift caused by the movement of the Sarsat satellite, a minimum guardband, and the spreading of the signal caused by the modulation process, LEOLUTs require 220 kHz of spectrum beginning 80 kHz above and below the 1 544.5 MHz carrier to process the 406 MHz SARR channel.</w:t>
      </w:r>
    </w:p>
    <w:p w:rsidR="0067766E" w:rsidRDefault="0067766E" w:rsidP="0067766E">
      <w:pPr>
        <w:rPr>
          <w:lang w:val="en-US"/>
        </w:rPr>
      </w:pPr>
      <w:r w:rsidRPr="00A902CD">
        <w:rPr>
          <w:lang w:val="en-US"/>
        </w:rPr>
        <w:t>The frequency occupied by the SARR channel is depicted in Fig. 2.</w:t>
      </w:r>
    </w:p>
    <w:p w:rsidR="00B61132" w:rsidRDefault="00B61132" w:rsidP="00B61132">
      <w:pPr>
        <w:pStyle w:val="FigureNo"/>
        <w:rPr>
          <w:lang w:val="en-US"/>
        </w:rPr>
      </w:pPr>
      <w:r>
        <w:rPr>
          <w:lang w:val="en-US"/>
        </w:rPr>
        <w:t>FIGURE 2</w:t>
      </w:r>
    </w:p>
    <w:p w:rsidR="00B61132" w:rsidRDefault="00B61132" w:rsidP="00B61132">
      <w:pPr>
        <w:pStyle w:val="Figuretitle"/>
        <w:rPr>
          <w:lang w:val="en-US"/>
        </w:rPr>
      </w:pPr>
      <w:r>
        <w:rPr>
          <w:lang w:val="en-US"/>
        </w:rPr>
        <w:t>Sarsat 1 544.5 MHz dowlink signal spectrum</w:t>
      </w:r>
    </w:p>
    <w:p w:rsidR="00B61132" w:rsidRPr="00B61132" w:rsidRDefault="007F7962" w:rsidP="00B61132">
      <w:pPr>
        <w:pStyle w:val="Figure"/>
        <w:rPr>
          <w:lang w:val="en-US"/>
        </w:rPr>
      </w:pPr>
      <w:r w:rsidRPr="00B720BA">
        <w:rPr>
          <w:lang w:val="en-US"/>
        </w:rPr>
        <w:pict>
          <v:shape id="_x0000_i1026" type="#_x0000_t75" style="width:396.6pt;height:243pt">
            <v:imagedata r:id="rId14" o:title=""/>
          </v:shape>
        </w:pict>
      </w:r>
    </w:p>
    <w:p w:rsidR="0067766E" w:rsidRPr="00A902CD" w:rsidRDefault="0067766E" w:rsidP="0067766E">
      <w:pPr>
        <w:pStyle w:val="Heading1"/>
        <w:rPr>
          <w:lang w:val="en-US"/>
        </w:rPr>
      </w:pPr>
      <w:bookmarkStart w:id="16" w:name="_Toc115521337"/>
      <w:r w:rsidRPr="00A902CD">
        <w:rPr>
          <w:lang w:val="en-US"/>
        </w:rPr>
        <w:t>2</w:t>
      </w:r>
      <w:r w:rsidRPr="00A902CD">
        <w:rPr>
          <w:lang w:val="en-US"/>
        </w:rPr>
        <w:tab/>
        <w:t>Minimum acceptable performance for detection of EPIRB signals relayed through the SARSAT 406 MHz SARR channel</w:t>
      </w:r>
      <w:bookmarkEnd w:id="16"/>
    </w:p>
    <w:p w:rsidR="0067766E" w:rsidRPr="00A902CD" w:rsidRDefault="0067766E" w:rsidP="0067766E">
      <w:pPr>
        <w:rPr>
          <w:lang w:val="en-US"/>
        </w:rPr>
      </w:pPr>
      <w:r w:rsidRPr="00A902CD">
        <w:rPr>
          <w:lang w:val="en-US"/>
        </w:rPr>
        <w:t>To reliably detect and locate 406 MHz distress beacons using Sarsat 406 MHz satellite repeaters, the BER of the Sarsat 406 MHz SARR channel must not exceed 5 </w:t>
      </w:r>
      <w:r>
        <w:rPr>
          <w:lang w:val="en-US"/>
        </w:rPr>
        <w:sym w:font="Symbol" w:char="F0B4"/>
      </w:r>
      <w:r w:rsidRPr="00A902CD">
        <w:rPr>
          <w:lang w:val="en-US"/>
        </w:rPr>
        <w:t> 10</w:t>
      </w:r>
      <w:r w:rsidRPr="00A902CD">
        <w:rPr>
          <w:vertAlign w:val="superscript"/>
          <w:lang w:val="en-US"/>
        </w:rPr>
        <w:t>−5</w:t>
      </w:r>
      <w:r w:rsidRPr="00A902CD">
        <w:rPr>
          <w:lang w:val="en-US"/>
        </w:rPr>
        <w:t>.</w:t>
      </w:r>
    </w:p>
    <w:p w:rsidR="0067766E" w:rsidRPr="00A902CD" w:rsidRDefault="0067766E" w:rsidP="0067766E">
      <w:pPr>
        <w:pStyle w:val="Heading1"/>
        <w:rPr>
          <w:caps/>
          <w:lang w:val="en-US"/>
        </w:rPr>
      </w:pPr>
      <w:bookmarkStart w:id="17" w:name="_Toc115521338"/>
      <w:r w:rsidRPr="00A902CD">
        <w:rPr>
          <w:caps/>
          <w:lang w:val="en-US"/>
        </w:rPr>
        <w:t>3</w:t>
      </w:r>
      <w:r w:rsidRPr="00A902CD">
        <w:rPr>
          <w:caps/>
          <w:lang w:val="en-US"/>
        </w:rPr>
        <w:tab/>
      </w:r>
      <w:r w:rsidRPr="00A902CD">
        <w:rPr>
          <w:lang w:val="en-US"/>
        </w:rPr>
        <w:t>Analysis of interference spfd</w:t>
      </w:r>
      <w:bookmarkEnd w:id="17"/>
    </w:p>
    <w:p w:rsidR="0067766E" w:rsidRDefault="0067766E" w:rsidP="0067766E">
      <w:pPr>
        <w:rPr>
          <w:lang w:val="en-US"/>
        </w:rPr>
      </w:pPr>
      <w:r w:rsidRPr="00A902CD">
        <w:rPr>
          <w:lang w:val="en-US"/>
        </w:rPr>
        <w:t>The BER of a communications channel is derived from the ratio of the energy contained in each data bit</w:t>
      </w:r>
      <w:r>
        <w:rPr>
          <w:lang w:val="en-US"/>
        </w:rPr>
        <w:t>,</w:t>
      </w:r>
      <w:r w:rsidRPr="00A902CD">
        <w:rPr>
          <w:lang w:val="en-US"/>
        </w:rPr>
        <w:t xml:space="preserve"> </w:t>
      </w:r>
      <w:r w:rsidRPr="00A902CD">
        <w:rPr>
          <w:i/>
          <w:iCs/>
          <w:lang w:val="en-US"/>
        </w:rPr>
        <w:t>E</w:t>
      </w:r>
      <w:r w:rsidRPr="00A902CD">
        <w:rPr>
          <w:i/>
          <w:iCs/>
          <w:vertAlign w:val="subscript"/>
          <w:lang w:val="en-US"/>
        </w:rPr>
        <w:t>b</w:t>
      </w:r>
      <w:r>
        <w:rPr>
          <w:lang w:val="en-US"/>
        </w:rPr>
        <w:t>,</w:t>
      </w:r>
      <w:r w:rsidRPr="00A902CD">
        <w:rPr>
          <w:lang w:val="en-US"/>
        </w:rPr>
        <w:t xml:space="preserve"> to the noise density. The total noise density is comprised of the noise developed by Cospas-Sarsat equipment</w:t>
      </w:r>
      <w:r>
        <w:rPr>
          <w:lang w:val="en-US"/>
        </w:rPr>
        <w:t>,</w:t>
      </w:r>
      <w:r w:rsidRPr="00A902CD">
        <w:rPr>
          <w:lang w:val="en-US"/>
        </w:rPr>
        <w:t xml:space="preserve"> </w:t>
      </w:r>
      <w:r w:rsidRPr="00A902CD">
        <w:rPr>
          <w:i/>
          <w:iCs/>
          <w:lang w:val="en-US"/>
        </w:rPr>
        <w:t>N</w:t>
      </w:r>
      <w:r w:rsidRPr="00A902CD">
        <w:rPr>
          <w:vertAlign w:val="subscript"/>
          <w:lang w:val="en-US"/>
        </w:rPr>
        <w:t>0</w:t>
      </w:r>
      <w:r>
        <w:rPr>
          <w:lang w:val="en-US"/>
        </w:rPr>
        <w:t>,</w:t>
      </w:r>
      <w:r w:rsidRPr="00A902CD">
        <w:rPr>
          <w:lang w:val="en-US"/>
        </w:rPr>
        <w:t xml:space="preserve"> and noise caused by interference from other systems</w:t>
      </w:r>
      <w:r>
        <w:rPr>
          <w:lang w:val="en-US"/>
        </w:rPr>
        <w:t>,</w:t>
      </w:r>
      <w:r w:rsidRPr="00A902CD">
        <w:rPr>
          <w:lang w:val="en-US"/>
        </w:rPr>
        <w:t xml:space="preserve"> </w:t>
      </w:r>
      <w:r w:rsidRPr="00A902CD">
        <w:rPr>
          <w:i/>
          <w:iCs/>
          <w:lang w:val="en-US"/>
        </w:rPr>
        <w:t>I</w:t>
      </w:r>
      <w:r w:rsidRPr="00A902CD">
        <w:rPr>
          <w:vertAlign w:val="subscript"/>
          <w:lang w:val="en-US"/>
        </w:rPr>
        <w:t>0</w:t>
      </w:r>
      <w:r w:rsidRPr="00A902CD">
        <w:rPr>
          <w:lang w:val="en-US"/>
        </w:rPr>
        <w:t>. Figure 3 depicts the 406 MHz SARR channel with interference on the downlink.</w:t>
      </w:r>
    </w:p>
    <w:p w:rsidR="00B61132" w:rsidRDefault="00B61132" w:rsidP="00B61132">
      <w:pPr>
        <w:pStyle w:val="FigureNo"/>
        <w:rPr>
          <w:lang w:val="en-US"/>
        </w:rPr>
      </w:pPr>
      <w:r>
        <w:rPr>
          <w:lang w:val="en-US"/>
        </w:rPr>
        <w:lastRenderedPageBreak/>
        <w:t>FIGURE 3</w:t>
      </w:r>
    </w:p>
    <w:p w:rsidR="00B61132" w:rsidRDefault="00B61132" w:rsidP="00B61132">
      <w:pPr>
        <w:pStyle w:val="Figuretitle"/>
        <w:rPr>
          <w:lang w:val="en-US"/>
        </w:rPr>
      </w:pPr>
      <w:r>
        <w:rPr>
          <w:lang w:val="en-US"/>
        </w:rPr>
        <w:t>Sarsat 406</w:t>
      </w:r>
      <w:r w:rsidR="00141723">
        <w:rPr>
          <w:lang w:val="en-US"/>
        </w:rPr>
        <w:t xml:space="preserve"> MHz SARR with interference on the downlink</w:t>
      </w:r>
    </w:p>
    <w:p w:rsidR="007F7962" w:rsidRPr="007F7962" w:rsidRDefault="007F7962" w:rsidP="007F7962">
      <w:pPr>
        <w:pStyle w:val="Blanc"/>
      </w:pPr>
    </w:p>
    <w:p w:rsidR="00141723" w:rsidRPr="00141723" w:rsidRDefault="007F7962" w:rsidP="00141723">
      <w:pPr>
        <w:pStyle w:val="Figure"/>
        <w:rPr>
          <w:lang w:val="en-US"/>
        </w:rPr>
      </w:pPr>
      <w:r w:rsidRPr="00B720BA">
        <w:rPr>
          <w:lang w:val="en-US"/>
        </w:rPr>
        <w:pict>
          <v:shape id="_x0000_i1027" type="#_x0000_t75" style="width:466.8pt;height:256.8pt">
            <v:imagedata r:id="rId15" o:title=""/>
          </v:shape>
        </w:pict>
      </w:r>
    </w:p>
    <w:p w:rsidR="0067766E" w:rsidRPr="00A902CD" w:rsidRDefault="0067766E" w:rsidP="0067766E">
      <w:pPr>
        <w:rPr>
          <w:lang w:val="en-US"/>
        </w:rPr>
      </w:pPr>
      <w:r w:rsidRPr="00A902CD">
        <w:rPr>
          <w:lang w:val="en-US"/>
        </w:rPr>
        <w:t>To achieve a BER of 5 </w:t>
      </w:r>
      <w:r>
        <w:rPr>
          <w:lang w:val="en-US"/>
        </w:rPr>
        <w:sym w:font="Symbol" w:char="F0B4"/>
      </w:r>
      <w:r w:rsidRPr="00A902CD">
        <w:rPr>
          <w:lang w:val="en-US"/>
        </w:rPr>
        <w:t> 10</w:t>
      </w:r>
      <w:r w:rsidRPr="00A902CD">
        <w:rPr>
          <w:vertAlign w:val="superscript"/>
          <w:lang w:val="en-US"/>
        </w:rPr>
        <w:t>–5</w:t>
      </w:r>
      <w:r w:rsidRPr="00A902CD">
        <w:rPr>
          <w:lang w:val="en-US"/>
        </w:rPr>
        <w:t>, the ratio of the energy per bit to noise plus interference density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xml:space="preserve">)) at the LEOLUT demodulator must equal or exceed 8.8 dB. This analysis determines the maximum amount of broadband noise-like interference specified as an spfd referenced at the input to the LEOLUT antenna that could be accommodated without degrading the overall link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below 8.8 dB.</w:t>
      </w:r>
    </w:p>
    <w:p w:rsidR="0067766E" w:rsidRPr="00A902CD" w:rsidRDefault="0067766E" w:rsidP="0067766E">
      <w:pPr>
        <w:rPr>
          <w:lang w:val="en-US"/>
        </w:rPr>
      </w:pPr>
      <w:r w:rsidRPr="00A902CD">
        <w:rPr>
          <w:lang w:val="en-US"/>
        </w:rPr>
        <w:t>The 406 MHz SARR channel in Fig. 3 is phase modulated onto a 1 544.5 MHz downlink carrier for detection and processing by LEOLUTs. The antenna gain and system noise temperature for a LEOLUT is 26.7 dB and 173.8 K, respectively.</w:t>
      </w:r>
    </w:p>
    <w:p w:rsidR="0067766E" w:rsidRPr="00A902CD" w:rsidRDefault="0067766E" w:rsidP="0067766E">
      <w:pPr>
        <w:rPr>
          <w:lang w:val="en-US"/>
        </w:rPr>
      </w:pPr>
      <w:r w:rsidRPr="00A902CD">
        <w:rPr>
          <w:lang w:val="en-US"/>
        </w:rPr>
        <w:t xml:space="preserve">The EPIRB signal has an elevation angle of 5° with respect to the spacecraft. When no external sources of interference are present, the overall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xml:space="preserve"> is 38.8 dB</w:t>
      </w:r>
      <w:r w:rsidRPr="00A902CD">
        <w:rPr>
          <w:lang w:val="en-US"/>
        </w:rPr>
        <w:noBreakHyphen/>
        <w:t>Hz, which equates to an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xml:space="preserve"> of 12.8 dB. Accounting for implementation and beacon data demodulation losses and processing gains, the effective ratio of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 xml:space="preserve">0 </w:t>
      </w:r>
      <w:r w:rsidRPr="00A902CD">
        <w:rPr>
          <w:lang w:val="en-US"/>
        </w:rPr>
        <w:t xml:space="preserve">is 10.8 dB. Since the channel requires an overall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of at least 8.8 dB to reliably meet the minimum performance, any broadband interference on the downlink that reduces the overall carrier to noise plus interference density ratio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by more than 2.0 dB cannot be accommodated.</w:t>
      </w:r>
    </w:p>
    <w:p w:rsidR="0067766E" w:rsidRPr="00A902CD" w:rsidRDefault="0067766E" w:rsidP="0067766E">
      <w:pPr>
        <w:rPr>
          <w:lang w:val="en-US"/>
        </w:rPr>
      </w:pPr>
      <w:r w:rsidRPr="00A902CD">
        <w:rPr>
          <w:lang w:val="en-US"/>
        </w:rPr>
        <w:t xml:space="preserve">The overall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xml:space="preserve"> in the absence of interference equates to 38.8 dB</w:t>
      </w:r>
      <w:r w:rsidRPr="00A902CD">
        <w:rPr>
          <w:lang w:val="en-US"/>
        </w:rPr>
        <w:noBreakHyphen/>
        <w:t>Hz, so broadband noise-like interference on the downlink that degrades it by 2.0 dB, would result in a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of:</w:t>
      </w:r>
    </w:p>
    <w:p w:rsidR="0067766E" w:rsidRDefault="0067766E" w:rsidP="0067766E">
      <w:pPr>
        <w:pStyle w:val="Blanc"/>
      </w:pPr>
    </w:p>
    <w:p w:rsidR="0067766E" w:rsidRPr="00A902CD" w:rsidRDefault="0067766E" w:rsidP="00141723">
      <w:pPr>
        <w:pStyle w:val="Equation"/>
        <w:tabs>
          <w:tab w:val="clear" w:pos="4820"/>
          <w:tab w:val="left" w:pos="2835"/>
          <w:tab w:val="left" w:pos="4649"/>
        </w:tabs>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00141723">
        <w:rPr>
          <w:i/>
          <w:iCs/>
          <w:vertAlign w:val="subscript"/>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 2.0 dB</w:t>
      </w:r>
    </w:p>
    <w:p w:rsidR="0067766E" w:rsidRPr="00A902CD" w:rsidRDefault="0067766E" w:rsidP="00141723">
      <w:pPr>
        <w:pStyle w:val="Equation"/>
        <w:tabs>
          <w:tab w:val="clear" w:pos="4820"/>
          <w:tab w:val="left" w:pos="2835"/>
          <w:tab w:val="left" w:pos="4649"/>
        </w:tabs>
        <w:rPr>
          <w:lang w:val="en-US"/>
        </w:rPr>
      </w:pPr>
      <w:r w:rsidRPr="00A902CD">
        <w:rPr>
          <w:lang w:val="en-US"/>
        </w:rPr>
        <w:tab/>
      </w:r>
      <w:r w:rsidRPr="00A902CD">
        <w:rPr>
          <w:lang w:val="en-US"/>
        </w:rPr>
        <w:tab/>
      </w:r>
      <w:r w:rsidR="00141723">
        <w:rPr>
          <w:lang w:val="en-US"/>
        </w:rPr>
        <w:tab/>
      </w:r>
      <w:r w:rsidRPr="00A902CD">
        <w:rPr>
          <w:lang w:val="en-US"/>
        </w:rPr>
        <w:t>= 38.8 dB</w:t>
      </w:r>
      <w:r w:rsidRPr="00A902CD">
        <w:rPr>
          <w:lang w:val="en-US"/>
        </w:rPr>
        <w:noBreakHyphen/>
        <w:t>Hz – 2.0 dB</w:t>
      </w:r>
    </w:p>
    <w:p w:rsidR="0067766E" w:rsidRPr="00A902CD" w:rsidRDefault="0067766E" w:rsidP="00141723">
      <w:pPr>
        <w:pStyle w:val="Equation"/>
        <w:tabs>
          <w:tab w:val="clear" w:pos="4820"/>
          <w:tab w:val="left" w:pos="2835"/>
          <w:tab w:val="left" w:pos="4649"/>
        </w:tabs>
        <w:rPr>
          <w:lang w:val="en-US"/>
        </w:rPr>
      </w:pPr>
      <w:r w:rsidRPr="00A902CD">
        <w:rPr>
          <w:lang w:val="en-US"/>
        </w:rPr>
        <w:tab/>
      </w:r>
      <w:r w:rsidRPr="00A902CD">
        <w:rPr>
          <w:lang w:val="en-US"/>
        </w:rPr>
        <w:tab/>
      </w:r>
      <w:r w:rsidR="00141723">
        <w:rPr>
          <w:lang w:val="en-US"/>
        </w:rPr>
        <w:tab/>
      </w:r>
      <w:r w:rsidRPr="00A902CD">
        <w:rPr>
          <w:lang w:val="en-US"/>
        </w:rPr>
        <w:t>= 36.8 dB</w:t>
      </w:r>
      <w:r w:rsidRPr="00A902CD">
        <w:rPr>
          <w:lang w:val="en-US"/>
        </w:rPr>
        <w:noBreakHyphen/>
        <w:t>Hz</w:t>
      </w:r>
    </w:p>
    <w:p w:rsidR="0067766E" w:rsidRDefault="0067766E" w:rsidP="0067766E">
      <w:pPr>
        <w:pStyle w:val="Blanc"/>
      </w:pPr>
    </w:p>
    <w:p w:rsidR="0067766E" w:rsidRPr="00A902CD" w:rsidRDefault="0067766E" w:rsidP="0067766E">
      <w:pPr>
        <w:rPr>
          <w:lang w:val="en-US"/>
        </w:rPr>
      </w:pPr>
      <w:r w:rsidRPr="00A902CD">
        <w:rPr>
          <w:lang w:val="en-US"/>
        </w:rPr>
        <w:t>The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can be calculated from the carrier to noise plus interference density ratios of the uplink and downlink as indicated below:</w:t>
      </w:r>
    </w:p>
    <w:p w:rsidR="00BD5D3D" w:rsidRDefault="00BD5D3D" w:rsidP="00BD5D3D">
      <w:pPr>
        <w:pStyle w:val="Blanc"/>
      </w:pPr>
    </w:p>
    <w:p w:rsidR="0067766E" w:rsidRPr="00A902CD" w:rsidRDefault="0067766E" w:rsidP="0067766E">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i/>
          <w:iCs/>
          <w:lang w:val="en-US"/>
        </w:rPr>
        <w:t xml:space="preserve">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67766E" w:rsidRPr="00A902CD" w:rsidRDefault="0067766E" w:rsidP="0067766E">
      <w:pPr>
        <w:rPr>
          <w:lang w:val="en-US"/>
        </w:rPr>
      </w:pPr>
      <w:r w:rsidRPr="00A902CD">
        <w:rPr>
          <w:lang w:val="en-US"/>
        </w:rPr>
        <w:lastRenderedPageBreak/>
        <w:t>Because this analysis only concerns downlink interference, the above equation simplifies as follows:</w:t>
      </w:r>
    </w:p>
    <w:p w:rsidR="0067766E" w:rsidRPr="00A902CD" w:rsidRDefault="0067766E" w:rsidP="0067766E">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i/>
          <w:iCs/>
          <w:lang w:val="en-US"/>
        </w:rPr>
        <w:t xml:space="preserve">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BD5D3D" w:rsidRDefault="00BD5D3D" w:rsidP="00BD5D3D">
      <w:pPr>
        <w:pStyle w:val="Blanc"/>
      </w:pPr>
    </w:p>
    <w:p w:rsidR="0067766E" w:rsidRPr="00A902CD" w:rsidRDefault="0067766E" w:rsidP="0067766E">
      <w:pPr>
        <w:rPr>
          <w:lang w:val="en-US"/>
        </w:rPr>
      </w:pPr>
      <w:r w:rsidRPr="00A902CD">
        <w:rPr>
          <w:lang w:val="en-US"/>
        </w:rPr>
        <w:t>Substituting 36.8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i/>
          <w:iCs/>
          <w:lang w:val="en-US"/>
        </w:rPr>
        <w:t xml:space="preserve"> </w:t>
      </w:r>
      <w:r w:rsidRPr="00A902CD">
        <w:rPr>
          <w:lang w:val="en-US"/>
        </w:rPr>
        <w:t>and 41.3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lang w:val="en-US"/>
        </w:rPr>
        <w:t xml:space="preserve"> results in a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lang w:val="en-US"/>
        </w:rPr>
        <w:t xml:space="preserve"> of 38.7 dB</w:t>
      </w:r>
      <w:r w:rsidRPr="00A902CD">
        <w:rPr>
          <w:lang w:val="en-US"/>
        </w:rPr>
        <w:noBreakHyphen/>
        <w:t>Hz (see below):</w:t>
      </w:r>
    </w:p>
    <w:p w:rsidR="00BD5D3D" w:rsidRDefault="00BD5D3D" w:rsidP="00BD5D3D">
      <w:pPr>
        <w:pStyle w:val="Blanc"/>
      </w:pPr>
    </w:p>
    <w:p w:rsidR="0067766E" w:rsidRPr="00A902CD" w:rsidRDefault="0067766E" w:rsidP="0067766E">
      <w:pPr>
        <w:pStyle w:val="Equation"/>
        <w:rPr>
          <w:vertAlign w:val="superscript"/>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bookmarkStart w:id="18" w:name="OLE_LINK1"/>
      <w:r w:rsidRPr="006222D2">
        <w:rPr>
          <w:iCs/>
          <w:vertAlign w:val="subscript"/>
          <w:lang w:val="en-US"/>
        </w:rPr>
        <w:sym w:font="Symbol" w:char="F0AF"/>
      </w:r>
      <w:r w:rsidRPr="00A902CD">
        <w:rPr>
          <w:lang w:val="en-US"/>
        </w:rPr>
        <w:t xml:space="preserve"> </w:t>
      </w:r>
      <w:bookmarkEnd w:id="18"/>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vertAlign w:val="superscript"/>
          <w:lang w:val="en-US"/>
        </w:rPr>
        <w:t>–1</w:t>
      </w:r>
      <w:r w:rsidRPr="00A902CD">
        <w:rPr>
          <w:lang w:val="en-US"/>
        </w:rPr>
        <w:t>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vertAlign w:val="superscript"/>
          <w:lang w:val="en-US"/>
        </w:rPr>
        <w:t>–1</w:t>
      </w:r>
      <w:r w:rsidRPr="00A902CD">
        <w:rPr>
          <w:lang w:val="en-US"/>
        </w:rPr>
        <w:t>)</w:t>
      </w:r>
      <w:r w:rsidRPr="00A902CD">
        <w:rPr>
          <w:vertAlign w:val="superscript"/>
          <w:lang w:val="en-US"/>
        </w:rPr>
        <w:t>–1</w:t>
      </w:r>
    </w:p>
    <w:p w:rsidR="0067766E" w:rsidRPr="00A902CD" w:rsidRDefault="0067766E" w:rsidP="0067766E">
      <w:pPr>
        <w:rPr>
          <w:lang w:val="en-US"/>
        </w:rPr>
      </w:pPr>
      <w:r w:rsidRPr="00A902CD">
        <w:rPr>
          <w:lang w:val="en-US"/>
        </w:rPr>
        <w:t>or</w:t>
      </w: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 xml:space="preserve">–36.8/10 </w:t>
      </w:r>
      <w:r w:rsidRPr="00A902CD">
        <w:rPr>
          <w:lang w:val="en-US"/>
        </w:rPr>
        <w:t>– 10</w:t>
      </w:r>
      <w:r w:rsidRPr="00A902CD">
        <w:rPr>
          <w:vertAlign w:val="superscript"/>
          <w:lang w:val="en-US"/>
        </w:rPr>
        <w:t>–41.3/10</w:t>
      </w:r>
      <w:r w:rsidRPr="00A902CD">
        <w:rPr>
          <w:lang w:val="en-US"/>
        </w:rPr>
        <w:t>)</w:t>
      </w:r>
      <w:r w:rsidRPr="00A902CD">
        <w:rPr>
          <w:vertAlign w:val="superscript"/>
          <w:lang w:val="en-US"/>
        </w:rPr>
        <w:t>–1</w:t>
      </w:r>
      <w:r w:rsidRPr="00A902CD">
        <w:rPr>
          <w:lang w:val="en-US"/>
        </w:rPr>
        <w:t>)</w:t>
      </w:r>
    </w:p>
    <w:p w:rsidR="0067766E" w:rsidRPr="00A902CD" w:rsidRDefault="0067766E" w:rsidP="0067766E">
      <w:pPr>
        <w:rPr>
          <w:lang w:val="en-US"/>
        </w:rPr>
      </w:pPr>
      <w:r w:rsidRPr="00A902CD">
        <w:rPr>
          <w:lang w:val="en-US"/>
        </w:rPr>
        <w:t>then</w:t>
      </w: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38.7 dB</w:t>
      </w:r>
      <w:r w:rsidRPr="00A902CD">
        <w:rPr>
          <w:lang w:val="en-US"/>
        </w:rPr>
        <w:noBreakHyphen/>
        <w:t>Hz</w:t>
      </w:r>
    </w:p>
    <w:p w:rsidR="00BD5D3D" w:rsidRDefault="00BD5D3D" w:rsidP="00BD5D3D">
      <w:pPr>
        <w:pStyle w:val="Blanc"/>
      </w:pPr>
    </w:p>
    <w:p w:rsidR="0067766E" w:rsidRPr="00A902CD" w:rsidRDefault="0067766E" w:rsidP="0067766E">
      <w:pPr>
        <w:rPr>
          <w:lang w:val="en-US"/>
        </w:rPr>
      </w:pPr>
      <w:r w:rsidRPr="00A902CD">
        <w:rPr>
          <w:lang w:val="en-US"/>
        </w:rPr>
        <w:t xml:space="preserve">The downlink noise power spectral-density in the absence of interference and as referenced at the input to the LNA is </w:t>
      </w:r>
      <w:r w:rsidRPr="00A902CD">
        <w:rPr>
          <w:i/>
          <w:iCs/>
          <w:lang w:val="en-US"/>
        </w:rPr>
        <w:t>N</w:t>
      </w:r>
      <w:r w:rsidRPr="00A902CD">
        <w:rPr>
          <w:vertAlign w:val="subscript"/>
          <w:lang w:val="en-US"/>
        </w:rPr>
        <w:t xml:space="preserve">0 </w:t>
      </w:r>
      <w:r w:rsidRPr="00A902CD">
        <w:rPr>
          <w:lang w:val="en-US"/>
        </w:rPr>
        <w:t xml:space="preserve">= </w:t>
      </w:r>
      <w:r w:rsidRPr="00A902CD">
        <w:rPr>
          <w:i/>
          <w:iCs/>
          <w:lang w:val="en-US"/>
        </w:rPr>
        <w:t>k</w:t>
      </w:r>
      <w:r>
        <w:rPr>
          <w:i/>
          <w:iCs/>
          <w:lang w:val="en-US"/>
        </w:rPr>
        <w:t> </w:t>
      </w:r>
      <w:r w:rsidRPr="00A902CD">
        <w:rPr>
          <w:i/>
          <w:iCs/>
          <w:lang w:val="en-US"/>
        </w:rPr>
        <w:t>T</w:t>
      </w:r>
      <w:r w:rsidRPr="00A902CD">
        <w:rPr>
          <w:lang w:val="en-US"/>
        </w:rPr>
        <w:t xml:space="preserve">, where </w:t>
      </w:r>
      <w:r w:rsidRPr="00A902CD">
        <w:rPr>
          <w:i/>
          <w:iCs/>
          <w:lang w:val="en-US"/>
        </w:rPr>
        <w:t>k</w:t>
      </w:r>
      <w:r w:rsidRPr="00A902CD">
        <w:rPr>
          <w:lang w:val="en-US"/>
        </w:rPr>
        <w:t xml:space="preserve"> is Boltzmann’s constant. Therefore, </w:t>
      </w:r>
      <w:r w:rsidRPr="00A902CD">
        <w:rPr>
          <w:i/>
          <w:iCs/>
          <w:lang w:val="en-US"/>
        </w:rPr>
        <w:t>N</w:t>
      </w:r>
      <w:r w:rsidRPr="00A902CD">
        <w:rPr>
          <w:vertAlign w:val="subscript"/>
          <w:lang w:val="en-US"/>
        </w:rPr>
        <w:t>0 </w:t>
      </w:r>
      <w:r w:rsidRPr="00A902CD">
        <w:rPr>
          <w:lang w:val="en-US"/>
        </w:rPr>
        <w:t>= −228.6 + 22.4 = −206.2 dB(W/Hz).</w:t>
      </w:r>
    </w:p>
    <w:p w:rsidR="0067766E" w:rsidRPr="00A902CD" w:rsidRDefault="0067766E" w:rsidP="0067766E">
      <w:pPr>
        <w:rPr>
          <w:lang w:val="en-US"/>
        </w:rPr>
      </w:pPr>
      <w:r w:rsidRPr="00A902CD">
        <w:rPr>
          <w:lang w:val="en-US"/>
        </w:rPr>
        <w:t>Since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equals 42.5 dB and (</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xml:space="preserve">equals –206.2 dB(W/Hz), the value of </w:t>
      </w:r>
      <w:r w:rsidRPr="00A902CD">
        <w:rPr>
          <w:i/>
          <w:iCs/>
          <w:lang w:val="en-US"/>
        </w:rPr>
        <w:t>C</w:t>
      </w:r>
      <w:r>
        <w:rPr>
          <w:iCs/>
          <w:vertAlign w:val="subscript"/>
          <w:lang w:val="en-US"/>
        </w:rPr>
        <w:sym w:font="Symbol" w:char="F0AF"/>
      </w:r>
      <w:r w:rsidRPr="00A902CD">
        <w:rPr>
          <w:i/>
          <w:iCs/>
          <w:vertAlign w:val="subscript"/>
          <w:lang w:val="en-US"/>
        </w:rPr>
        <w:t xml:space="preserve"> </w:t>
      </w:r>
      <w:r w:rsidRPr="00A902CD">
        <w:rPr>
          <w:lang w:val="en-US"/>
        </w:rPr>
        <w:t>is −163.7 dBW.</w:t>
      </w:r>
    </w:p>
    <w:p w:rsidR="0067766E" w:rsidRPr="00A902CD" w:rsidRDefault="0067766E" w:rsidP="0067766E">
      <w:pPr>
        <w:rPr>
          <w:lang w:val="en-US"/>
        </w:rPr>
      </w:pPr>
      <w:r w:rsidRPr="00A902CD">
        <w:rPr>
          <w:lang w:val="en-US"/>
        </w:rPr>
        <w:t xml:space="preserve">The maximum permissible interference power spectral-density in the downlink from the aggregate of all interfering emitters, </w:t>
      </w:r>
      <w:r w:rsidRPr="00A902CD">
        <w:rPr>
          <w:i/>
          <w:iCs/>
          <w:lang w:val="en-US"/>
        </w:rPr>
        <w:t>I</w:t>
      </w:r>
      <w:r w:rsidRPr="00A902CD">
        <w:rPr>
          <w:vertAlign w:val="subscript"/>
          <w:lang w:val="en-US"/>
        </w:rPr>
        <w:t>0</w:t>
      </w:r>
      <w:r w:rsidRPr="00A902CD">
        <w:rPr>
          <w:lang w:val="en-US"/>
        </w:rPr>
        <w:t>(max), measured at the input to the LEOLUT receiver LNA in the 1 544-1 545 MHz band used for the downlink of the 406 MHz SARR channel is given as follows:</w:t>
      </w:r>
    </w:p>
    <w:p w:rsidR="00BD5D3D" w:rsidRDefault="00BD5D3D" w:rsidP="00BD5D3D">
      <w:pPr>
        <w:pStyle w:val="Blanc"/>
      </w:pP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(max)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w:t>
      </w:r>
      <w:r w:rsidRPr="00A902CD">
        <w:rPr>
          <w:i/>
          <w:iCs/>
          <w:vertAlign w:val="superscript"/>
          <w:lang w:val="en-US"/>
        </w:rPr>
        <w:t>C</w:t>
      </w:r>
      <w:r w:rsidRPr="006222D2">
        <w:rPr>
          <w:iCs/>
          <w:position w:val="-4"/>
          <w:szCs w:val="24"/>
          <w:vertAlign w:val="superscript"/>
          <w:lang w:val="en-US"/>
        </w:rPr>
        <w:sym w:font="Symbol" w:char="F0AF"/>
      </w:r>
      <w:r w:rsidRPr="00A902CD">
        <w:rPr>
          <w:vertAlign w:val="superscript"/>
          <w:lang w:val="en-US"/>
        </w:rPr>
        <w:t>–(</w:t>
      </w:r>
      <w:r w:rsidRPr="00A902CD">
        <w:rPr>
          <w:i/>
          <w:iCs/>
          <w:vertAlign w:val="superscript"/>
          <w:lang w:val="en-US"/>
        </w:rPr>
        <w:t>C</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 xml:space="preserve"> + </w:t>
      </w:r>
      <w:r w:rsidRPr="00A902CD">
        <w:rPr>
          <w:i/>
          <w:iCs/>
          <w:vertAlign w:val="superscript"/>
          <w:lang w:val="en-US"/>
        </w:rPr>
        <w:t>I</w:t>
      </w:r>
      <w:r w:rsidRPr="00A902CD">
        <w:rPr>
          <w:sz w:val="20"/>
          <w:vertAlign w:val="superscript"/>
          <w:lang w:val="en-US"/>
        </w:rPr>
        <w:t>0</w:t>
      </w:r>
      <w:r w:rsidRPr="00A902CD">
        <w:rPr>
          <w:vertAlign w:val="superscript"/>
          <w:lang w:val="en-US"/>
        </w:rPr>
        <w:t>)</w:t>
      </w:r>
      <w:r w:rsidRPr="006222D2">
        <w:rPr>
          <w:iCs/>
          <w:position w:val="-4"/>
          <w:szCs w:val="24"/>
          <w:vertAlign w:val="superscript"/>
          <w:lang w:val="en-US"/>
        </w:rPr>
        <w:sym w:font="Symbol" w:char="F0AF"/>
      </w:r>
      <w:r w:rsidRPr="00A902CD">
        <w:rPr>
          <w:vertAlign w:val="superscript"/>
          <w:lang w:val="en-US"/>
        </w:rPr>
        <w:t>))/10</w:t>
      </w:r>
      <w:r w:rsidRPr="00A902CD">
        <w:rPr>
          <w:lang w:val="en-US"/>
        </w:rPr>
        <w:t> – 10</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w:t>
      </w:r>
      <w:r w:rsidRPr="006222D2">
        <w:rPr>
          <w:iCs/>
          <w:position w:val="-4"/>
          <w:szCs w:val="24"/>
          <w:vertAlign w:val="superscript"/>
          <w:lang w:val="en-US"/>
        </w:rPr>
        <w:sym w:font="Symbol" w:char="F0AF"/>
      </w:r>
      <w:r w:rsidRPr="00A902CD">
        <w:rPr>
          <w:vertAlign w:val="superscript"/>
          <w:lang w:val="en-US"/>
        </w:rPr>
        <w:t>/10</w:t>
      </w:r>
      <w:r w:rsidRPr="00A902CD">
        <w:rPr>
          <w:lang w:val="en-US"/>
        </w:rPr>
        <w:t>)</w:t>
      </w:r>
    </w:p>
    <w:p w:rsidR="0067766E" w:rsidRPr="00A902CD" w:rsidRDefault="0067766E" w:rsidP="0067766E">
      <w:pPr>
        <w:rPr>
          <w:lang w:val="en-US"/>
        </w:rPr>
      </w:pPr>
      <w:r w:rsidRPr="00A902CD">
        <w:rPr>
          <w:lang w:val="en-US"/>
        </w:rPr>
        <w:t>or</w:t>
      </w: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(max)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(–163.7–38.7)/10</w:t>
      </w:r>
      <w:r w:rsidRPr="00A902CD">
        <w:rPr>
          <w:lang w:val="en-US"/>
        </w:rPr>
        <w:t> – 10</w:t>
      </w:r>
      <w:r w:rsidRPr="00A902CD">
        <w:rPr>
          <w:vertAlign w:val="superscript"/>
          <w:lang w:val="en-US"/>
        </w:rPr>
        <w:t>–206.2/10</w:t>
      </w:r>
      <w:r w:rsidRPr="00A902CD">
        <w:rPr>
          <w:lang w:val="en-US"/>
        </w:rPr>
        <w:t>)</w:t>
      </w:r>
    </w:p>
    <w:p w:rsidR="0067766E" w:rsidRPr="00A902CD" w:rsidRDefault="0067766E" w:rsidP="0067766E">
      <w:pPr>
        <w:rPr>
          <w:lang w:val="en-US"/>
        </w:rPr>
      </w:pPr>
      <w:r w:rsidRPr="00A902CD">
        <w:rPr>
          <w:lang w:val="en-US"/>
        </w:rPr>
        <w:t>then</w:t>
      </w: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(max) = –204.7 dB(W/Hz)</w:t>
      </w:r>
    </w:p>
    <w:p w:rsidR="00BD5D3D" w:rsidRDefault="00BD5D3D" w:rsidP="00BD5D3D">
      <w:pPr>
        <w:pStyle w:val="Blanc"/>
      </w:pPr>
    </w:p>
    <w:p w:rsidR="0067766E" w:rsidRPr="00A902CD" w:rsidRDefault="0067766E" w:rsidP="0067766E">
      <w:pPr>
        <w:rPr>
          <w:lang w:val="en-US"/>
        </w:rPr>
      </w:pPr>
      <w:r w:rsidRPr="00A902CD">
        <w:rPr>
          <w:lang w:val="en-US"/>
        </w:rPr>
        <w:t>It is desirable to characterize the protection criteria in terms of the spfd interference threshold specified in dB(W/m</w:t>
      </w:r>
      <w:r w:rsidRPr="00A902CD">
        <w:rPr>
          <w:vertAlign w:val="superscript"/>
          <w:lang w:val="en-US"/>
        </w:rPr>
        <w:t>2</w:t>
      </w:r>
      <w:r w:rsidRPr="00A902CD">
        <w:rPr>
          <w:lang w:val="en-US"/>
        </w:rPr>
        <w:t> ∙ Hz) at the LEOLUT antenna input. The effective aperture of an antenna</w:t>
      </w:r>
      <w:r>
        <w:rPr>
          <w:lang w:val="en-US"/>
        </w:rPr>
        <w:t>,</w:t>
      </w:r>
      <w:r w:rsidRPr="00A902CD">
        <w:rPr>
          <w:lang w:val="en-US"/>
        </w:rPr>
        <w:t xml:space="preserve"> </w:t>
      </w:r>
      <w:r w:rsidRPr="00A902CD">
        <w:rPr>
          <w:i/>
          <w:iCs/>
          <w:lang w:val="en-US"/>
        </w:rPr>
        <w:t>A</w:t>
      </w:r>
      <w:r w:rsidRPr="00A902CD">
        <w:rPr>
          <w:i/>
          <w:iCs/>
          <w:vertAlign w:val="subscript"/>
          <w:lang w:val="en-US"/>
        </w:rPr>
        <w:t>e</w:t>
      </w:r>
      <w:r>
        <w:rPr>
          <w:lang w:val="en-US"/>
        </w:rPr>
        <w:t>,</w:t>
      </w:r>
      <w:r w:rsidRPr="00A902CD">
        <w:rPr>
          <w:lang w:val="en-US"/>
        </w:rPr>
        <w:t xml:space="preserve"> having a gain of </w:t>
      </w:r>
      <w:r w:rsidRPr="00A902CD">
        <w:rPr>
          <w:i/>
          <w:iCs/>
          <w:lang w:val="en-US"/>
        </w:rPr>
        <w:t>G</w:t>
      </w:r>
      <w:r w:rsidRPr="00A902CD">
        <w:rPr>
          <w:lang w:val="en-US"/>
        </w:rPr>
        <w:t xml:space="preserve"> is </w:t>
      </w:r>
      <w:r w:rsidRPr="00A902CD">
        <w:rPr>
          <w:i/>
          <w:iCs/>
          <w:lang w:val="en-US"/>
        </w:rPr>
        <w:t>A</w:t>
      </w:r>
      <w:r w:rsidRPr="00A902CD">
        <w:rPr>
          <w:i/>
          <w:iCs/>
          <w:vertAlign w:val="subscript"/>
          <w:lang w:val="en-US"/>
        </w:rPr>
        <w:t>e</w:t>
      </w:r>
      <w:r w:rsidRPr="00A902CD">
        <w:rPr>
          <w:lang w:val="en-US"/>
        </w:rPr>
        <w:t> = </w:t>
      </w:r>
      <w:r w:rsidRPr="00A902CD">
        <w:rPr>
          <w:i/>
          <w:iCs/>
          <w:lang w:val="en-US"/>
        </w:rPr>
        <w:t>G</w:t>
      </w:r>
      <w:r>
        <w:rPr>
          <w:rFonts w:ascii="Symbol" w:hAnsi="Symbol"/>
        </w:rPr>
        <w:t></w:t>
      </w:r>
      <w:r w:rsidRPr="00A902CD">
        <w:rPr>
          <w:vertAlign w:val="superscript"/>
          <w:lang w:val="en-US"/>
        </w:rPr>
        <w:t>2</w:t>
      </w:r>
      <w:r w:rsidRPr="00A902CD">
        <w:rPr>
          <w:lang w:val="en-US"/>
        </w:rPr>
        <w:t>/4</w:t>
      </w:r>
      <w:r>
        <w:rPr>
          <w:rFonts w:ascii="Symbol" w:hAnsi="Symbol"/>
        </w:rPr>
        <w:t></w:t>
      </w:r>
      <w:r>
        <w:rPr>
          <w:rFonts w:ascii="Symbol" w:hAnsi="Symbol"/>
        </w:rPr>
        <w:t></w:t>
      </w:r>
      <w:r w:rsidRPr="00A902CD">
        <w:rPr>
          <w:lang w:val="en-US"/>
        </w:rPr>
        <w:t xml:space="preserve"> For LEOLUT antennas with a gain of 26.7 dB, the effective aperture is 1.4 m</w:t>
      </w:r>
      <w:r w:rsidRPr="00A902CD">
        <w:rPr>
          <w:vertAlign w:val="superscript"/>
          <w:lang w:val="en-US"/>
        </w:rPr>
        <w:t>2</w:t>
      </w:r>
      <w:r w:rsidRPr="00A902CD">
        <w:rPr>
          <w:lang w:val="en-US"/>
        </w:rPr>
        <w:t>. Therefore, the maximum acceptable aggregate interference specified as an spfd is:</w:t>
      </w:r>
    </w:p>
    <w:p w:rsidR="0067766E" w:rsidRPr="00A902CD" w:rsidRDefault="0067766E" w:rsidP="0067766E">
      <w:pPr>
        <w:pStyle w:val="Equation"/>
        <w:rPr>
          <w:i/>
          <w:iCs/>
          <w:vertAlign w:val="subscript"/>
          <w:lang w:val="en-US"/>
        </w:rPr>
      </w:pPr>
      <w:r w:rsidRPr="00A902CD">
        <w:rPr>
          <w:lang w:val="en-US"/>
        </w:rPr>
        <w:tab/>
      </w:r>
      <w:r w:rsidRPr="00A902CD">
        <w:rPr>
          <w:lang w:val="en-US"/>
        </w:rPr>
        <w:tab/>
        <w:t xml:space="preserve">spfd = </w:t>
      </w:r>
      <w:r w:rsidRPr="00A902CD">
        <w:rPr>
          <w:i/>
          <w:iCs/>
          <w:lang w:val="en-US"/>
        </w:rPr>
        <w:t>I</w:t>
      </w:r>
      <w:r w:rsidRPr="00A902CD">
        <w:rPr>
          <w:vertAlign w:val="subscript"/>
          <w:lang w:val="en-US"/>
        </w:rPr>
        <w:t>0</w:t>
      </w:r>
      <w:r w:rsidRPr="00A902CD">
        <w:rPr>
          <w:lang w:val="en-US"/>
        </w:rPr>
        <w:t xml:space="preserve">(max) – </w:t>
      </w:r>
      <w:r w:rsidRPr="00A902CD">
        <w:rPr>
          <w:i/>
          <w:iCs/>
          <w:lang w:val="en-US"/>
        </w:rPr>
        <w:t>L</w:t>
      </w:r>
      <w:r w:rsidRPr="00A902CD">
        <w:rPr>
          <w:i/>
          <w:iCs/>
          <w:vertAlign w:val="subscript"/>
          <w:lang w:val="en-US"/>
        </w:rPr>
        <w:t>Line</w:t>
      </w:r>
      <w:r w:rsidRPr="00A902CD">
        <w:rPr>
          <w:lang w:val="en-US"/>
        </w:rPr>
        <w:t xml:space="preserve"> – </w:t>
      </w:r>
      <w:r w:rsidRPr="00A902CD">
        <w:rPr>
          <w:i/>
          <w:iCs/>
          <w:lang w:val="en-US"/>
        </w:rPr>
        <w:t>A</w:t>
      </w:r>
      <w:r w:rsidRPr="00A902CD">
        <w:rPr>
          <w:i/>
          <w:iCs/>
          <w:vertAlign w:val="subscript"/>
          <w:lang w:val="en-US"/>
        </w:rPr>
        <w:t>e</w:t>
      </w:r>
    </w:p>
    <w:p w:rsidR="00BD5D3D" w:rsidRDefault="00BD5D3D" w:rsidP="00BD5D3D">
      <w:pPr>
        <w:pStyle w:val="Blanc"/>
      </w:pPr>
    </w:p>
    <w:p w:rsidR="0067766E" w:rsidRPr="00A902CD" w:rsidRDefault="0067766E" w:rsidP="0067766E">
      <w:pPr>
        <w:rPr>
          <w:lang w:val="en-US"/>
        </w:rPr>
      </w:pPr>
      <w:r w:rsidRPr="00A902CD">
        <w:rPr>
          <w:lang w:val="en-US"/>
        </w:rPr>
        <w:t xml:space="preserve">Assuming </w:t>
      </w:r>
      <w:r w:rsidRPr="00A902CD">
        <w:rPr>
          <w:i/>
          <w:iCs/>
          <w:lang w:val="en-US"/>
        </w:rPr>
        <w:t>L</w:t>
      </w:r>
      <w:r w:rsidRPr="00A902CD">
        <w:rPr>
          <w:i/>
          <w:iCs/>
          <w:vertAlign w:val="subscript"/>
          <w:lang w:val="en-US"/>
        </w:rPr>
        <w:t>Line</w:t>
      </w:r>
      <w:r w:rsidRPr="00A902CD">
        <w:rPr>
          <w:lang w:val="en-US"/>
        </w:rPr>
        <w:t xml:space="preserve"> = 0.</w:t>
      </w:r>
    </w:p>
    <w:p w:rsidR="00BD5D3D" w:rsidRDefault="00BD5D3D" w:rsidP="00BD5D3D">
      <w:pPr>
        <w:pStyle w:val="Blanc"/>
      </w:pPr>
    </w:p>
    <w:p w:rsidR="0067766E" w:rsidRPr="00A902CD" w:rsidRDefault="0067766E" w:rsidP="0067766E">
      <w:pPr>
        <w:pStyle w:val="Equation"/>
        <w:rPr>
          <w:lang w:val="en-US"/>
        </w:rPr>
      </w:pPr>
      <w:r w:rsidRPr="00A902CD">
        <w:rPr>
          <w:lang w:val="en-US"/>
        </w:rPr>
        <w:tab/>
      </w:r>
      <w:r w:rsidRPr="00A902CD">
        <w:rPr>
          <w:lang w:val="en-US"/>
        </w:rPr>
        <w:tab/>
        <w:t xml:space="preserve">spfd = </w:t>
      </w:r>
      <w:r w:rsidRPr="00A902CD">
        <w:rPr>
          <w:i/>
          <w:lang w:val="en-US"/>
        </w:rPr>
        <w:t>–</w:t>
      </w:r>
      <w:r w:rsidRPr="00A902CD">
        <w:rPr>
          <w:lang w:val="en-US"/>
        </w:rPr>
        <w:t>204.7 – 0 – 10</w:t>
      </w:r>
      <w:r>
        <w:rPr>
          <w:lang w:val="en-US"/>
        </w:rPr>
        <w:t xml:space="preserve"> </w:t>
      </w:r>
      <w:r w:rsidRPr="00A902CD">
        <w:rPr>
          <w:lang w:val="en-US"/>
        </w:rPr>
        <w:t>log</w:t>
      </w:r>
      <w:r>
        <w:rPr>
          <w:lang w:val="en-US"/>
        </w:rPr>
        <w:t xml:space="preserve"> </w:t>
      </w:r>
      <w:r w:rsidRPr="00A902CD">
        <w:rPr>
          <w:lang w:val="en-US"/>
        </w:rPr>
        <w:t>(1.4) = –206.2 dB(W/(m</w:t>
      </w:r>
      <w:r w:rsidRPr="00A902CD">
        <w:rPr>
          <w:vertAlign w:val="superscript"/>
          <w:lang w:val="en-US"/>
        </w:rPr>
        <w:t>2</w:t>
      </w:r>
      <w:r w:rsidRPr="00A902CD">
        <w:rPr>
          <w:lang w:val="en-US"/>
        </w:rPr>
        <w:t> ∙ Hz))</w:t>
      </w:r>
    </w:p>
    <w:p w:rsidR="00BD5D3D" w:rsidRDefault="00BD5D3D" w:rsidP="00BD5D3D">
      <w:pPr>
        <w:pStyle w:val="Blanc"/>
      </w:pPr>
    </w:p>
    <w:p w:rsidR="0067766E" w:rsidRPr="00A902CD" w:rsidRDefault="0067766E" w:rsidP="0067766E">
      <w:pPr>
        <w:rPr>
          <w:lang w:val="en-US"/>
        </w:rPr>
      </w:pPr>
      <w:r w:rsidRPr="00A902CD">
        <w:rPr>
          <w:lang w:val="en-US"/>
        </w:rPr>
        <w:t>The maximum level of broadband noise-like interference in the bands processed by LEOLUTs for the 406 MHz SARR channel shall not exceed –206.2 dB(W/(m</w:t>
      </w:r>
      <w:r w:rsidRPr="00A902CD">
        <w:rPr>
          <w:vertAlign w:val="superscript"/>
          <w:lang w:val="en-US"/>
        </w:rPr>
        <w:t>2</w:t>
      </w:r>
      <w:r w:rsidRPr="00A902CD">
        <w:rPr>
          <w:lang w:val="en-US"/>
        </w:rPr>
        <w:t> ∙ Hz)).</w:t>
      </w:r>
    </w:p>
    <w:p w:rsidR="0067766E" w:rsidRPr="00A902CD" w:rsidRDefault="0067766E" w:rsidP="0067766E">
      <w:pPr>
        <w:pStyle w:val="Heading1"/>
        <w:rPr>
          <w:lang w:val="en-US"/>
        </w:rPr>
      </w:pPr>
      <w:bookmarkStart w:id="19" w:name="_Toc115521339"/>
      <w:r w:rsidRPr="00A902CD">
        <w:rPr>
          <w:lang w:val="en-US"/>
        </w:rPr>
        <w:lastRenderedPageBreak/>
        <w:t>4</w:t>
      </w:r>
      <w:r w:rsidRPr="00A902CD">
        <w:rPr>
          <w:lang w:val="en-US"/>
        </w:rPr>
        <w:tab/>
        <w:t>Procedure for computing the level of 1 544-1 545 MHz interference into LEOLUTs receiving the 406 MHz SARR channel</w:t>
      </w:r>
      <w:bookmarkEnd w:id="19"/>
    </w:p>
    <w:p w:rsidR="0067766E" w:rsidRPr="00A902CD" w:rsidRDefault="0067766E" w:rsidP="0067766E">
      <w:pPr>
        <w:rPr>
          <w:lang w:val="en-US"/>
        </w:rPr>
      </w:pPr>
      <w:r w:rsidRPr="00A902CD">
        <w:rPr>
          <w:lang w:val="en-US"/>
        </w:rPr>
        <w:t xml:space="preserve">The emission bandwidth must be examined to determine if energy is transmitted in the frequency ranges processed by LEOLUTs for 406 MHz SARR channel (i.e. 1 544.58-1 544.80 MHz and 1 544.42-1 544.20 MHz). Particular care must be taken when analysing the impact of mobile systems (e.g. non-geostationary satellites and airborne transmitters) to take into account effects of the Doppler shift generated by their movement. </w:t>
      </w:r>
    </w:p>
    <w:p w:rsidR="0067766E" w:rsidRPr="00A902CD" w:rsidRDefault="0067766E" w:rsidP="0067766E">
      <w:pPr>
        <w:rPr>
          <w:lang w:val="en-US"/>
        </w:rPr>
      </w:pPr>
      <w:r w:rsidRPr="00A902CD">
        <w:rPr>
          <w:lang w:val="en-US"/>
        </w:rPr>
        <w:t>Compute the level of interference from all sources that transmit energy in the band expressed as an spfd level at the LEOLUT antenna. The aggregate level for all interfering sources must not exceed −206.2 dB(W/(m</w:t>
      </w:r>
      <w:r w:rsidRPr="00A902CD">
        <w:rPr>
          <w:vertAlign w:val="superscript"/>
          <w:lang w:val="en-US"/>
        </w:rPr>
        <w:t>2</w:t>
      </w:r>
      <w:r w:rsidRPr="00A902CD">
        <w:rPr>
          <w:lang w:val="en-US"/>
        </w:rPr>
        <w:t> ∙ Hz)) anywhere in this range.</w:t>
      </w:r>
    </w:p>
    <w:p w:rsidR="0067766E" w:rsidRPr="00A902CD" w:rsidRDefault="0067766E" w:rsidP="0067766E">
      <w:pPr>
        <w:rPr>
          <w:lang w:val="en-US"/>
        </w:rPr>
      </w:pPr>
      <w:r w:rsidRPr="00A902CD">
        <w:rPr>
          <w:lang w:val="en-US"/>
        </w:rPr>
        <w:t>The above level was determined using a</w:t>
      </w:r>
      <w:r>
        <w:rPr>
          <w:lang w:val="en-US"/>
        </w:rPr>
        <w:t>n</w:t>
      </w:r>
      <w:r w:rsidRPr="00A902CD">
        <w:rPr>
          <w:lang w:val="en-US"/>
        </w:rPr>
        <w:t xml:space="preserve"> LHCP LEOLUT antenna with an on-axis gain of 26.7 dBi. Polarization discrimination and other engineering considerations regarding the systems involved should be used in establishing the impact of the interference.</w:t>
      </w:r>
    </w:p>
    <w:p w:rsidR="0067766E" w:rsidRDefault="0067766E" w:rsidP="0067766E">
      <w:pPr>
        <w:rPr>
          <w:lang w:val="en-US"/>
        </w:rPr>
      </w:pPr>
    </w:p>
    <w:p w:rsidR="0067766E" w:rsidRPr="00A902CD" w:rsidRDefault="0067766E" w:rsidP="0067766E">
      <w:pPr>
        <w:rPr>
          <w:lang w:val="en-US"/>
        </w:rPr>
      </w:pPr>
    </w:p>
    <w:p w:rsidR="0067766E" w:rsidRPr="00A902CD" w:rsidRDefault="0067766E" w:rsidP="0067766E">
      <w:pPr>
        <w:pStyle w:val="AnnexNoTitle"/>
        <w:rPr>
          <w:lang w:val="en-US"/>
        </w:rPr>
      </w:pPr>
      <w:bookmarkStart w:id="20" w:name="_Toc115521340"/>
      <w:r w:rsidRPr="00A902CD">
        <w:rPr>
          <w:lang w:val="en-US"/>
        </w:rPr>
        <w:t>Annex 4</w:t>
      </w:r>
      <w:r w:rsidRPr="00A902CD">
        <w:rPr>
          <w:lang w:val="en-US"/>
        </w:rPr>
        <w:br/>
      </w:r>
      <w:r w:rsidRPr="00A902CD">
        <w:rPr>
          <w:lang w:val="en-US"/>
        </w:rPr>
        <w:br/>
        <w:t xml:space="preserve">Protection criteria in the 1 544-1 545 MHz band for Cospas-Sarsat GEOLUTS </w:t>
      </w:r>
      <w:r w:rsidRPr="00A902CD">
        <w:rPr>
          <w:bCs/>
          <w:spacing w:val="-3"/>
          <w:lang w:val="en-US"/>
        </w:rPr>
        <w:t>that receive</w:t>
      </w:r>
      <w:r w:rsidRPr="00A902CD">
        <w:rPr>
          <w:bCs/>
          <w:caps/>
          <w:spacing w:val="-3"/>
          <w:lang w:val="en-US"/>
        </w:rPr>
        <w:t xml:space="preserve"> EPIRB </w:t>
      </w:r>
      <w:r w:rsidRPr="00A902CD">
        <w:rPr>
          <w:bCs/>
          <w:spacing w:val="-3"/>
          <w:lang w:val="en-US"/>
        </w:rPr>
        <w:t>signals relayed through</w:t>
      </w:r>
      <w:r w:rsidRPr="00A902CD">
        <w:rPr>
          <w:bCs/>
          <w:caps/>
          <w:spacing w:val="-3"/>
          <w:lang w:val="en-US"/>
        </w:rPr>
        <w:t xml:space="preserve"> MSG </w:t>
      </w:r>
      <w:r w:rsidRPr="00A902CD">
        <w:rPr>
          <w:bCs/>
          <w:spacing w:val="-3"/>
          <w:lang w:val="en-US"/>
        </w:rPr>
        <w:t>satellites</w:t>
      </w:r>
      <w:bookmarkEnd w:id="20"/>
    </w:p>
    <w:p w:rsidR="0067766E" w:rsidRPr="00A902CD" w:rsidRDefault="0067766E" w:rsidP="0067766E">
      <w:pPr>
        <w:pStyle w:val="Heading1"/>
        <w:rPr>
          <w:lang w:val="en-US"/>
        </w:rPr>
      </w:pPr>
      <w:bookmarkStart w:id="21" w:name="_Toc115521341"/>
      <w:r w:rsidRPr="00A902CD">
        <w:rPr>
          <w:caps/>
          <w:lang w:val="en-US"/>
        </w:rPr>
        <w:t>1</w:t>
      </w:r>
      <w:r w:rsidRPr="00A902CD">
        <w:rPr>
          <w:caps/>
          <w:lang w:val="en-US"/>
        </w:rPr>
        <w:tab/>
      </w:r>
      <w:r w:rsidRPr="00A902CD">
        <w:rPr>
          <w:lang w:val="en-US"/>
        </w:rPr>
        <w:t>Introduction</w:t>
      </w:r>
      <w:bookmarkEnd w:id="21"/>
    </w:p>
    <w:p w:rsidR="0067766E" w:rsidRPr="00A902CD" w:rsidRDefault="0067766E" w:rsidP="0067766E">
      <w:pPr>
        <w:rPr>
          <w:lang w:val="en-US"/>
        </w:rPr>
      </w:pPr>
      <w:r w:rsidRPr="00A902CD">
        <w:rPr>
          <w:lang w:val="en-US"/>
        </w:rPr>
        <w:t>Cospas-Sarsat search and rescue repeaters are on board MSG satellites. These repeaters receive signals from 406 MHz EPIRBs and relay the signals to Cospas-Sarsat GEOLUTs on downlink frequencies in the 1 544-1 545 MHz band. In accordance with the RR, the 1 544-1 545 MHz band is allocated to the MSS, space-to-Earth, and is specifically limited by RR No. 5.356 to distress and safety communications. The analysis provided in this Annex establishes interference protection criteria for GEOLUTs that receive the MSG 1 544</w:t>
      </w:r>
      <w:r w:rsidRPr="00A902CD">
        <w:rPr>
          <w:lang w:val="en-US"/>
        </w:rPr>
        <w:noBreakHyphen/>
        <w:t xml:space="preserve">1 545 MHz downlink. </w:t>
      </w:r>
    </w:p>
    <w:p w:rsidR="0067766E" w:rsidRPr="00A902CD" w:rsidRDefault="0067766E" w:rsidP="0067766E">
      <w:pPr>
        <w:pStyle w:val="Heading1"/>
        <w:rPr>
          <w:lang w:val="en-US"/>
        </w:rPr>
      </w:pPr>
      <w:bookmarkStart w:id="22" w:name="_Toc115521342"/>
      <w:r w:rsidRPr="00A902CD">
        <w:rPr>
          <w:lang w:val="en-US"/>
        </w:rPr>
        <w:t>2</w:t>
      </w:r>
      <w:r w:rsidRPr="00A902CD">
        <w:rPr>
          <w:lang w:val="en-US"/>
        </w:rPr>
        <w:tab/>
        <w:t>Minimum acceptable performance for detection of EPIRB signals relayed through the MSG satellite</w:t>
      </w:r>
      <w:bookmarkEnd w:id="22"/>
    </w:p>
    <w:p w:rsidR="0067766E" w:rsidRPr="00A902CD" w:rsidRDefault="0067766E" w:rsidP="0067766E">
      <w:pPr>
        <w:rPr>
          <w:lang w:val="en-US"/>
        </w:rPr>
      </w:pPr>
      <w:r w:rsidRPr="00A902CD">
        <w:rPr>
          <w:lang w:val="en-US"/>
        </w:rPr>
        <w:t>To reliably detect 406 MHz distress beacons using MSG 406 MHz satellite repeaters, the BER of the channel must not exceed 5 </w:t>
      </w:r>
      <w:r>
        <w:rPr>
          <w:lang w:val="en-US"/>
        </w:rPr>
        <w:sym w:font="Symbol" w:char="F0B4"/>
      </w:r>
      <w:r w:rsidRPr="00A902CD">
        <w:rPr>
          <w:lang w:val="en-US"/>
        </w:rPr>
        <w:t> 10</w:t>
      </w:r>
      <w:r w:rsidRPr="00A902CD">
        <w:rPr>
          <w:vertAlign w:val="superscript"/>
          <w:lang w:val="en-US"/>
        </w:rPr>
        <w:t>−5</w:t>
      </w:r>
      <w:r w:rsidRPr="00A902CD">
        <w:rPr>
          <w:lang w:val="en-US"/>
        </w:rPr>
        <w:t xml:space="preserve">. </w:t>
      </w:r>
    </w:p>
    <w:p w:rsidR="0067766E" w:rsidRPr="00A902CD" w:rsidRDefault="0067766E" w:rsidP="0067766E">
      <w:pPr>
        <w:pStyle w:val="Heading1"/>
        <w:rPr>
          <w:lang w:val="en-US"/>
        </w:rPr>
      </w:pPr>
      <w:bookmarkStart w:id="23" w:name="_Toc115521343"/>
      <w:r w:rsidRPr="00A902CD">
        <w:rPr>
          <w:caps/>
          <w:lang w:val="en-US"/>
        </w:rPr>
        <w:t>3</w:t>
      </w:r>
      <w:r w:rsidRPr="00A902CD">
        <w:rPr>
          <w:caps/>
          <w:lang w:val="en-US"/>
        </w:rPr>
        <w:tab/>
      </w:r>
      <w:r w:rsidRPr="00A902CD">
        <w:rPr>
          <w:lang w:val="en-US"/>
        </w:rPr>
        <w:t>Analysis of interference spfd</w:t>
      </w:r>
      <w:bookmarkEnd w:id="23"/>
    </w:p>
    <w:p w:rsidR="0067766E" w:rsidRPr="00A902CD" w:rsidRDefault="0067766E" w:rsidP="0067766E">
      <w:pPr>
        <w:rPr>
          <w:lang w:val="en-US"/>
        </w:rPr>
      </w:pPr>
      <w:r w:rsidRPr="00A902CD">
        <w:rPr>
          <w:lang w:val="en-US"/>
        </w:rPr>
        <w:t>The BER of a communications channel is derived from the ratio of the energy contained in each data bit</w:t>
      </w:r>
      <w:r>
        <w:rPr>
          <w:lang w:val="en-US"/>
        </w:rPr>
        <w:t>,</w:t>
      </w:r>
      <w:r w:rsidRPr="00A902CD">
        <w:rPr>
          <w:lang w:val="en-US"/>
        </w:rPr>
        <w:t xml:space="preserve"> </w:t>
      </w:r>
      <w:r w:rsidRPr="00A902CD">
        <w:rPr>
          <w:i/>
          <w:iCs/>
          <w:lang w:val="en-US"/>
        </w:rPr>
        <w:t>E</w:t>
      </w:r>
      <w:r w:rsidRPr="00A902CD">
        <w:rPr>
          <w:i/>
          <w:iCs/>
          <w:vertAlign w:val="subscript"/>
          <w:lang w:val="en-US"/>
        </w:rPr>
        <w:t>b</w:t>
      </w:r>
      <w:r>
        <w:rPr>
          <w:lang w:val="en-US"/>
        </w:rPr>
        <w:t>,</w:t>
      </w:r>
      <w:r w:rsidRPr="00A902CD">
        <w:rPr>
          <w:lang w:val="en-US"/>
        </w:rPr>
        <w:t xml:space="preserve"> to the noise density. The total noise density is comprised of the noise developed by Cospas-Sarsat equipment</w:t>
      </w:r>
      <w:r>
        <w:rPr>
          <w:lang w:val="en-US"/>
        </w:rPr>
        <w:t>,</w:t>
      </w:r>
      <w:r w:rsidRPr="00A902CD">
        <w:rPr>
          <w:lang w:val="en-US"/>
        </w:rPr>
        <w:t xml:space="preserve"> </w:t>
      </w:r>
      <w:r w:rsidRPr="00A902CD">
        <w:rPr>
          <w:i/>
          <w:iCs/>
          <w:lang w:val="en-US"/>
        </w:rPr>
        <w:t>N</w:t>
      </w:r>
      <w:r w:rsidRPr="00A902CD">
        <w:rPr>
          <w:vertAlign w:val="subscript"/>
          <w:lang w:val="en-US"/>
        </w:rPr>
        <w:t>0</w:t>
      </w:r>
      <w:r>
        <w:rPr>
          <w:lang w:val="en-US"/>
        </w:rPr>
        <w:t>,</w:t>
      </w:r>
      <w:r w:rsidRPr="00A902CD">
        <w:rPr>
          <w:lang w:val="en-US"/>
        </w:rPr>
        <w:t xml:space="preserve"> and noise caused by interference from other systems</w:t>
      </w:r>
      <w:r>
        <w:rPr>
          <w:lang w:val="en-US"/>
        </w:rPr>
        <w:t>,</w:t>
      </w:r>
      <w:r w:rsidRPr="00A902CD">
        <w:rPr>
          <w:lang w:val="en-US"/>
        </w:rPr>
        <w:t xml:space="preserve"> </w:t>
      </w:r>
      <w:r w:rsidRPr="00A902CD">
        <w:rPr>
          <w:i/>
          <w:iCs/>
          <w:lang w:val="en-US"/>
        </w:rPr>
        <w:t>I</w:t>
      </w:r>
      <w:r w:rsidRPr="00A902CD">
        <w:rPr>
          <w:vertAlign w:val="subscript"/>
          <w:lang w:val="en-US"/>
        </w:rPr>
        <w:t>0</w:t>
      </w:r>
      <w:r w:rsidRPr="00A902CD">
        <w:rPr>
          <w:lang w:val="en-US"/>
        </w:rPr>
        <w:t>. Figure 4 depicts the MSG 406 MHz SARR channel with interference on the downlink.</w:t>
      </w:r>
    </w:p>
    <w:p w:rsidR="0067766E" w:rsidRPr="00A902CD" w:rsidRDefault="0067766E" w:rsidP="0067766E">
      <w:pPr>
        <w:rPr>
          <w:lang w:val="en-US"/>
        </w:rPr>
      </w:pPr>
      <w:r w:rsidRPr="00A902CD">
        <w:rPr>
          <w:lang w:val="en-US"/>
        </w:rPr>
        <w:t>To achieve a BER of 5 </w:t>
      </w:r>
      <w:r>
        <w:rPr>
          <w:lang w:val="en-US"/>
        </w:rPr>
        <w:sym w:font="Symbol" w:char="F0B4"/>
      </w:r>
      <w:r w:rsidRPr="00A902CD">
        <w:rPr>
          <w:lang w:val="en-US"/>
        </w:rPr>
        <w:t> 10</w:t>
      </w:r>
      <w:r>
        <w:rPr>
          <w:vertAlign w:val="superscript"/>
          <w:lang w:val="en-US"/>
        </w:rPr>
        <w:t>–</w:t>
      </w:r>
      <w:r w:rsidRPr="00A902CD">
        <w:rPr>
          <w:vertAlign w:val="superscript"/>
          <w:lang w:val="en-US"/>
        </w:rPr>
        <w:t>5</w:t>
      </w:r>
      <w:r w:rsidRPr="00A902CD">
        <w:rPr>
          <w:lang w:val="en-US"/>
        </w:rPr>
        <w:t>, the ratio of the energy per bit to noise plus interference density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xml:space="preserve">)) at the GEOLUT demodulator must equal or exceed 8.8 dB. This analysis determines the maximum amount of broadband noise-like interference specified as an spfd referenced to the input to the GEOLUT antenna that could be accommodated without degrading the overall link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below 8.8 dB.</w:t>
      </w:r>
    </w:p>
    <w:p w:rsidR="0067766E" w:rsidRDefault="0067766E" w:rsidP="0067766E">
      <w:pPr>
        <w:rPr>
          <w:lang w:val="en-US"/>
        </w:rPr>
      </w:pPr>
      <w:r w:rsidRPr="00A902CD">
        <w:rPr>
          <w:lang w:val="en-US"/>
        </w:rPr>
        <w:lastRenderedPageBreak/>
        <w:t>As seen in Fig. 4, 406 MHz distress beacon signals are received by the MSG SARR and translated to a downlink of 1 544.5 MHz </w:t>
      </w:r>
      <w:r>
        <w:rPr>
          <w:lang w:val="en-US"/>
        </w:rPr>
        <w:sym w:font="Symbol" w:char="F0B1"/>
      </w:r>
      <w:r w:rsidRPr="00A902CD">
        <w:rPr>
          <w:lang w:val="en-US"/>
        </w:rPr>
        <w:t> 100 kHz for detection and processing by GEOLUTs. The antenna gain and system noise temperature for an MSG GEOLUT are 35.7 dB and 105.0 K</w:t>
      </w:r>
      <w:r>
        <w:rPr>
          <w:lang w:val="en-US"/>
        </w:rPr>
        <w:t>,</w:t>
      </w:r>
      <w:r w:rsidR="00141723">
        <w:rPr>
          <w:lang w:val="en-US"/>
        </w:rPr>
        <w:t xml:space="preserve"> respectively.</w:t>
      </w:r>
    </w:p>
    <w:p w:rsidR="00141723" w:rsidRDefault="00141723" w:rsidP="00141723">
      <w:pPr>
        <w:pStyle w:val="FigureNo"/>
        <w:rPr>
          <w:lang w:val="en-US"/>
        </w:rPr>
      </w:pPr>
      <w:r>
        <w:rPr>
          <w:lang w:val="en-US"/>
        </w:rPr>
        <w:t>FIGURE 4</w:t>
      </w:r>
    </w:p>
    <w:p w:rsidR="00141723" w:rsidRDefault="00141723" w:rsidP="00141723">
      <w:pPr>
        <w:pStyle w:val="Figuretitle"/>
        <w:rPr>
          <w:lang w:val="en-US"/>
        </w:rPr>
      </w:pPr>
      <w:r>
        <w:rPr>
          <w:lang w:val="en-US"/>
        </w:rPr>
        <w:t>MSG SARR with interference on the downlink</w:t>
      </w:r>
    </w:p>
    <w:p w:rsidR="007F7962" w:rsidRPr="007F7962" w:rsidRDefault="007F7962" w:rsidP="007F7962">
      <w:pPr>
        <w:pStyle w:val="Blanc"/>
      </w:pPr>
    </w:p>
    <w:p w:rsidR="00141723" w:rsidRPr="00141723" w:rsidRDefault="007F7962" w:rsidP="00141723">
      <w:pPr>
        <w:pStyle w:val="Figure"/>
        <w:rPr>
          <w:lang w:val="en-US"/>
        </w:rPr>
      </w:pPr>
      <w:r w:rsidRPr="00B720BA">
        <w:rPr>
          <w:lang w:val="en-US"/>
        </w:rPr>
        <w:pict>
          <v:shape id="_x0000_i1028" type="#_x0000_t75" style="width:467.4pt;height:256.8pt">
            <v:imagedata r:id="rId16" o:title=""/>
          </v:shape>
        </w:pict>
      </w:r>
    </w:p>
    <w:p w:rsidR="0067766E" w:rsidRPr="00A902CD" w:rsidRDefault="0067766E" w:rsidP="0067766E">
      <w:pPr>
        <w:rPr>
          <w:lang w:val="en-US"/>
        </w:rPr>
      </w:pPr>
      <w:r w:rsidRPr="00A902CD">
        <w:rPr>
          <w:lang w:val="en-US"/>
        </w:rPr>
        <w:t xml:space="preserve">The EPIRB signal has an elevation angle of 5° with respect to the spacecraft. When no external sources of interference are present, the overall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xml:space="preserve"> is 27.4</w:t>
      </w:r>
      <w:r w:rsidRPr="00A902CD">
        <w:rPr>
          <w:i/>
          <w:lang w:val="en-US"/>
        </w:rPr>
        <w:t> </w:t>
      </w:r>
      <w:r w:rsidRPr="00A902CD">
        <w:rPr>
          <w:iCs/>
          <w:lang w:val="en-US"/>
        </w:rPr>
        <w:t>dB</w:t>
      </w:r>
      <w:r w:rsidRPr="00A902CD">
        <w:rPr>
          <w:iCs/>
          <w:lang w:val="en-US"/>
        </w:rPr>
        <w:noBreakHyphen/>
        <w:t>Hz,</w:t>
      </w:r>
      <w:r w:rsidRPr="00A902CD">
        <w:rPr>
          <w:lang w:val="en-US"/>
        </w:rPr>
        <w:t xml:space="preserve"> which equates to an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 xml:space="preserve">0 </w:t>
      </w:r>
      <w:r w:rsidRPr="00A902CD">
        <w:rPr>
          <w:lang w:val="en-US"/>
        </w:rPr>
        <w:t xml:space="preserve">of 1.4 dB. Accounting for implementation and beacon data demodulation losses and processing gains at the GEOLUT, results in an effective ratio of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 xml:space="preserve">0 </w:t>
      </w:r>
      <w:r w:rsidRPr="00A902CD">
        <w:rPr>
          <w:lang w:val="en-US"/>
        </w:rPr>
        <w:t xml:space="preserve">of 8.9 dB. Since the channel requires an overall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bscript"/>
          <w:lang w:val="en-US"/>
        </w:rPr>
        <w:t xml:space="preserve"> </w:t>
      </w:r>
      <w:r w:rsidRPr="00A902CD">
        <w:rPr>
          <w:lang w:val="en-US"/>
        </w:rPr>
        <w:t>of at least 8.8 dB to reliably meet minimum performance, the accumulation of broadband interference on the downlink that reduces the overall carrier to noise plus interference density ratio by more than 0.1 dB cannot be accommodated.</w:t>
      </w:r>
    </w:p>
    <w:p w:rsidR="0067766E" w:rsidRPr="00A902CD" w:rsidRDefault="0067766E" w:rsidP="0067766E">
      <w:pPr>
        <w:rPr>
          <w:lang w:val="en-US"/>
        </w:rPr>
      </w:pPr>
      <w:r w:rsidRPr="00A902CD">
        <w:rPr>
          <w:lang w:val="en-US"/>
        </w:rPr>
        <w:t xml:space="preserve">Since the overall </w:t>
      </w:r>
      <w:r w:rsidRPr="00A902CD">
        <w:rPr>
          <w:i/>
          <w:iCs/>
          <w:lang w:val="en-US"/>
        </w:rPr>
        <w:t>C</w:t>
      </w:r>
      <w:r w:rsidRPr="00A902CD">
        <w:rPr>
          <w:lang w:val="en-US"/>
        </w:rPr>
        <w:t>/</w:t>
      </w:r>
      <w:r w:rsidRPr="00A902CD">
        <w:rPr>
          <w:i/>
          <w:iCs/>
          <w:lang w:val="en-US"/>
        </w:rPr>
        <w:t>N</w:t>
      </w:r>
      <w:r w:rsidRPr="00A902CD">
        <w:rPr>
          <w:vertAlign w:val="subscript"/>
          <w:lang w:val="en-US"/>
        </w:rPr>
        <w:t xml:space="preserve">0 </w:t>
      </w:r>
      <w:r w:rsidRPr="00A902CD">
        <w:rPr>
          <w:lang w:val="en-US"/>
        </w:rPr>
        <w:t>in the absence of interference equates to 27.4 dB</w:t>
      </w:r>
      <w:r w:rsidRPr="00A902CD">
        <w:rPr>
          <w:lang w:val="en-US"/>
        </w:rPr>
        <w:noBreakHyphen/>
        <w:t>Hz, broadband noise-like interference on the downlink that degrades it by 0.1 dB, would result in an overall carrier to noise plus interference density ratio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of:</w:t>
      </w:r>
    </w:p>
    <w:p w:rsidR="00BD5D3D" w:rsidRDefault="00BD5D3D" w:rsidP="00BD5D3D">
      <w:pPr>
        <w:pStyle w:val="Blanc"/>
      </w:pPr>
    </w:p>
    <w:p w:rsidR="0067766E" w:rsidRPr="00A902CD" w:rsidRDefault="0067766E" w:rsidP="00141723">
      <w:pPr>
        <w:pStyle w:val="Equation"/>
        <w:tabs>
          <w:tab w:val="clear" w:pos="4820"/>
          <w:tab w:val="left" w:pos="2835"/>
          <w:tab w:val="left" w:pos="4649"/>
        </w:tabs>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00141723">
        <w:rPr>
          <w:i/>
          <w:iCs/>
          <w:vertAlign w:val="subscript"/>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i/>
          <w:iCs/>
          <w:vertAlign w:val="subscript"/>
          <w:lang w:val="en-US"/>
        </w:rPr>
        <w:t>overall</w:t>
      </w:r>
      <w:r w:rsidRPr="00A902CD">
        <w:rPr>
          <w:i/>
          <w:iCs/>
          <w:lang w:val="en-US"/>
        </w:rPr>
        <w:t xml:space="preserve"> </w:t>
      </w:r>
      <w:r w:rsidRPr="00A902CD">
        <w:rPr>
          <w:lang w:val="en-US"/>
        </w:rPr>
        <w:t>– 0.1 dB</w:t>
      </w:r>
    </w:p>
    <w:p w:rsidR="0067766E" w:rsidRPr="00A902CD" w:rsidRDefault="0067766E" w:rsidP="00141723">
      <w:pPr>
        <w:pStyle w:val="Equation"/>
        <w:tabs>
          <w:tab w:val="clear" w:pos="4820"/>
          <w:tab w:val="left" w:pos="2835"/>
          <w:tab w:val="left" w:pos="4649"/>
        </w:tabs>
        <w:rPr>
          <w:lang w:val="en-US"/>
        </w:rPr>
      </w:pPr>
      <w:r w:rsidRPr="00A902CD">
        <w:rPr>
          <w:lang w:val="en-US"/>
        </w:rPr>
        <w:tab/>
      </w:r>
      <w:r w:rsidRPr="00A902CD">
        <w:rPr>
          <w:lang w:val="en-US"/>
        </w:rPr>
        <w:tab/>
      </w:r>
      <w:r w:rsidR="00141723">
        <w:rPr>
          <w:lang w:val="en-US"/>
        </w:rPr>
        <w:tab/>
      </w:r>
      <w:r w:rsidRPr="00A902CD">
        <w:rPr>
          <w:lang w:val="en-US"/>
        </w:rPr>
        <w:t>= 27.4 dB</w:t>
      </w:r>
      <w:r w:rsidRPr="00A902CD">
        <w:rPr>
          <w:lang w:val="en-US"/>
        </w:rPr>
        <w:noBreakHyphen/>
        <w:t>Hz – 0.1 dB</w:t>
      </w:r>
    </w:p>
    <w:p w:rsidR="0067766E" w:rsidRPr="00A902CD" w:rsidRDefault="0067766E" w:rsidP="00141723">
      <w:pPr>
        <w:pStyle w:val="Equation"/>
        <w:tabs>
          <w:tab w:val="clear" w:pos="4820"/>
          <w:tab w:val="left" w:pos="2835"/>
          <w:tab w:val="left" w:pos="4649"/>
        </w:tabs>
        <w:rPr>
          <w:lang w:val="en-US"/>
        </w:rPr>
      </w:pPr>
      <w:r w:rsidRPr="00A902CD">
        <w:rPr>
          <w:lang w:val="en-US"/>
        </w:rPr>
        <w:tab/>
      </w:r>
      <w:r w:rsidRPr="00A902CD">
        <w:rPr>
          <w:lang w:val="en-US"/>
        </w:rPr>
        <w:tab/>
      </w:r>
      <w:r w:rsidR="00141723">
        <w:rPr>
          <w:lang w:val="en-US"/>
        </w:rPr>
        <w:tab/>
      </w:r>
      <w:r w:rsidRPr="00A902CD">
        <w:rPr>
          <w:lang w:val="en-US"/>
        </w:rPr>
        <w:t>= 27.3 dB</w:t>
      </w:r>
      <w:r w:rsidRPr="00A902CD">
        <w:rPr>
          <w:lang w:val="en-US"/>
        </w:rPr>
        <w:noBreakHyphen/>
        <w:t>Hz</w:t>
      </w:r>
    </w:p>
    <w:p w:rsidR="00BD5D3D" w:rsidRDefault="00BD5D3D" w:rsidP="00BD5D3D">
      <w:pPr>
        <w:pStyle w:val="Blanc"/>
      </w:pPr>
    </w:p>
    <w:p w:rsidR="0067766E" w:rsidRPr="00A902CD" w:rsidRDefault="0067766E" w:rsidP="0067766E">
      <w:pPr>
        <w:rPr>
          <w:lang w:val="en-US"/>
        </w:rPr>
      </w:pPr>
      <w:r w:rsidRPr="00A902CD">
        <w:rPr>
          <w:lang w:val="en-US"/>
        </w:rPr>
        <w:t>The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is calculated from the carrier to noise plus interference density ratios of the uplink and downlink as indicated below:</w:t>
      </w:r>
    </w:p>
    <w:p w:rsidR="00BD5D3D" w:rsidRDefault="00BD5D3D" w:rsidP="00BD5D3D">
      <w:pPr>
        <w:pStyle w:val="Blanc"/>
      </w:pPr>
    </w:p>
    <w:p w:rsidR="0067766E" w:rsidRPr="00A902CD" w:rsidRDefault="0067766E" w:rsidP="0067766E">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i/>
          <w:iCs/>
          <w:lang w:val="en-US"/>
        </w:rPr>
        <w:t xml:space="preserve">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BD5D3D" w:rsidRDefault="00BD5D3D" w:rsidP="00BD5D3D">
      <w:pPr>
        <w:pStyle w:val="Blanc"/>
      </w:pPr>
    </w:p>
    <w:p w:rsidR="0067766E" w:rsidRPr="00A902CD" w:rsidRDefault="0067766E" w:rsidP="0067766E">
      <w:pPr>
        <w:rPr>
          <w:lang w:val="en-US"/>
        </w:rPr>
      </w:pPr>
      <w:r w:rsidRPr="00A902CD">
        <w:rPr>
          <w:lang w:val="en-US"/>
        </w:rPr>
        <w:t>Since this analysis only concerns downlink interference, the above equation simplifies to:</w:t>
      </w:r>
    </w:p>
    <w:p w:rsidR="0067766E" w:rsidRPr="00A902CD" w:rsidRDefault="0067766E" w:rsidP="0067766E">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lang w:val="en-US"/>
        </w:rPr>
        <w:t xml:space="preserve">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67766E" w:rsidRPr="00A902CD" w:rsidRDefault="0067766E" w:rsidP="0067766E">
      <w:pPr>
        <w:rPr>
          <w:lang w:val="en-US"/>
        </w:rPr>
      </w:pPr>
      <w:r w:rsidRPr="00A902CD">
        <w:rPr>
          <w:lang w:val="en-US"/>
        </w:rPr>
        <w:lastRenderedPageBreak/>
        <w:t>Substituting 27.3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i/>
          <w:iCs/>
          <w:lang w:val="en-US"/>
        </w:rPr>
        <w:t xml:space="preserve"> </w:t>
      </w:r>
      <w:r w:rsidRPr="00A902CD">
        <w:rPr>
          <w:lang w:val="en-US"/>
        </w:rPr>
        <w:t>and 28.1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lang w:val="en-US"/>
        </w:rPr>
        <w:t xml:space="preserve"> results in a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of 35.0 dB</w:t>
      </w:r>
      <w:r w:rsidRPr="00A902CD">
        <w:rPr>
          <w:lang w:val="en-US"/>
        </w:rPr>
        <w:noBreakHyphen/>
        <w:t>Hz (see below):</w:t>
      </w:r>
    </w:p>
    <w:p w:rsidR="00BD5D3D" w:rsidRDefault="00BD5D3D" w:rsidP="00BD5D3D">
      <w:pPr>
        <w:pStyle w:val="Blanc"/>
      </w:pPr>
    </w:p>
    <w:p w:rsidR="0067766E" w:rsidRPr="00A902CD" w:rsidRDefault="0067766E" w:rsidP="0067766E">
      <w:pPr>
        <w:pStyle w:val="Equation"/>
        <w:rPr>
          <w:vertAlign w:val="superscript"/>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vertAlign w:val="superscript"/>
          <w:lang w:val="en-US"/>
        </w:rPr>
        <w:t>–1</w:t>
      </w:r>
      <w:r w:rsidRPr="00A902CD">
        <w:rPr>
          <w:lang w:val="en-US"/>
        </w:rPr>
        <w:t>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vertAlign w:val="superscript"/>
          <w:lang w:val="en-US"/>
        </w:rPr>
        <w:t>–1</w:t>
      </w:r>
      <w:r w:rsidRPr="00A902CD">
        <w:rPr>
          <w:lang w:val="en-US"/>
        </w:rPr>
        <w:t>)</w:t>
      </w:r>
      <w:r w:rsidRPr="00A902CD">
        <w:rPr>
          <w:vertAlign w:val="superscript"/>
          <w:lang w:val="en-US"/>
        </w:rPr>
        <w:t>–1</w:t>
      </w:r>
    </w:p>
    <w:p w:rsidR="0067766E" w:rsidRPr="00A902CD" w:rsidRDefault="0067766E" w:rsidP="0067766E">
      <w:pPr>
        <w:rPr>
          <w:lang w:val="en-US"/>
        </w:rPr>
      </w:pPr>
      <w:r w:rsidRPr="00A902CD">
        <w:rPr>
          <w:lang w:val="en-US"/>
        </w:rPr>
        <w:t>or</w:t>
      </w: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 xml:space="preserve">–27.3/10 </w:t>
      </w:r>
      <w:r w:rsidRPr="00A902CD">
        <w:rPr>
          <w:lang w:val="en-US"/>
        </w:rPr>
        <w:t>– 10</w:t>
      </w:r>
      <w:r w:rsidRPr="00A902CD">
        <w:rPr>
          <w:vertAlign w:val="superscript"/>
          <w:lang w:val="en-US"/>
        </w:rPr>
        <w:t>–28.1/10</w:t>
      </w:r>
      <w:r w:rsidRPr="00A902CD">
        <w:rPr>
          <w:lang w:val="en-US"/>
        </w:rPr>
        <w:t>)</w:t>
      </w:r>
      <w:r w:rsidRPr="00A902CD">
        <w:rPr>
          <w:vertAlign w:val="superscript"/>
          <w:lang w:val="en-US"/>
        </w:rPr>
        <w:t>–1</w:t>
      </w:r>
      <w:r w:rsidRPr="00A902CD">
        <w:rPr>
          <w:lang w:val="en-US"/>
        </w:rPr>
        <w:t>)</w:t>
      </w:r>
    </w:p>
    <w:p w:rsidR="0067766E" w:rsidRPr="00A902CD" w:rsidRDefault="0067766E" w:rsidP="0067766E">
      <w:pPr>
        <w:rPr>
          <w:lang w:val="en-US"/>
        </w:rPr>
      </w:pPr>
      <w:r w:rsidRPr="00A902CD">
        <w:rPr>
          <w:lang w:val="en-US"/>
        </w:rPr>
        <w:t>then</w:t>
      </w: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35.0 dB</w:t>
      </w:r>
      <w:r w:rsidRPr="00A902CD">
        <w:rPr>
          <w:lang w:val="en-US"/>
        </w:rPr>
        <w:noBreakHyphen/>
        <w:t>Hz</w:t>
      </w:r>
    </w:p>
    <w:p w:rsidR="00BD5D3D" w:rsidRDefault="00BD5D3D" w:rsidP="00BD5D3D">
      <w:pPr>
        <w:pStyle w:val="Blanc"/>
      </w:pPr>
    </w:p>
    <w:p w:rsidR="0067766E" w:rsidRPr="00A902CD" w:rsidRDefault="0067766E" w:rsidP="0067766E">
      <w:pPr>
        <w:rPr>
          <w:lang w:val="en-US"/>
        </w:rPr>
      </w:pPr>
      <w:r w:rsidRPr="00A902CD">
        <w:rPr>
          <w:lang w:val="en-US"/>
        </w:rPr>
        <w:t xml:space="preserve">The noise power spectral-density of the downlink without interference at the input to the LNA is </w:t>
      </w:r>
      <w:r w:rsidRPr="00A902CD">
        <w:rPr>
          <w:i/>
          <w:iCs/>
          <w:lang w:val="en-US"/>
        </w:rPr>
        <w:t>N</w:t>
      </w:r>
      <w:r w:rsidRPr="00A902CD">
        <w:rPr>
          <w:vertAlign w:val="subscript"/>
          <w:lang w:val="en-US"/>
        </w:rPr>
        <w:t>0 </w:t>
      </w:r>
      <w:r w:rsidRPr="00A902CD">
        <w:rPr>
          <w:lang w:val="en-US"/>
        </w:rPr>
        <w:t>= </w:t>
      </w:r>
      <w:r w:rsidRPr="00A902CD">
        <w:rPr>
          <w:i/>
          <w:iCs/>
          <w:lang w:val="en-US"/>
        </w:rPr>
        <w:t>k</w:t>
      </w:r>
      <w:r>
        <w:rPr>
          <w:i/>
          <w:iCs/>
          <w:lang w:val="en-US"/>
        </w:rPr>
        <w:t xml:space="preserve"> </w:t>
      </w:r>
      <w:r w:rsidRPr="00A902CD">
        <w:rPr>
          <w:i/>
          <w:iCs/>
          <w:lang w:val="en-US"/>
        </w:rPr>
        <w:t>T</w:t>
      </w:r>
      <w:r w:rsidRPr="00A902CD">
        <w:rPr>
          <w:lang w:val="en-US"/>
        </w:rPr>
        <w:t xml:space="preserve">, where </w:t>
      </w:r>
      <w:r w:rsidRPr="00A902CD">
        <w:rPr>
          <w:i/>
          <w:iCs/>
          <w:lang w:val="en-US"/>
        </w:rPr>
        <w:t>k</w:t>
      </w:r>
      <w:r w:rsidRPr="00A902CD">
        <w:rPr>
          <w:lang w:val="en-US"/>
        </w:rPr>
        <w:t xml:space="preserve"> is Boltzmann’s constant. Therefore, </w:t>
      </w:r>
      <w:r w:rsidRPr="00A902CD">
        <w:rPr>
          <w:i/>
          <w:iCs/>
          <w:lang w:val="en-US"/>
        </w:rPr>
        <w:t>N</w:t>
      </w:r>
      <w:r w:rsidRPr="00A902CD">
        <w:rPr>
          <w:vertAlign w:val="subscript"/>
          <w:lang w:val="en-US"/>
        </w:rPr>
        <w:t>0 </w:t>
      </w:r>
      <w:r w:rsidRPr="00A902CD">
        <w:rPr>
          <w:lang w:val="en-US"/>
        </w:rPr>
        <w:t>= −228.6 + 20.2 = −208.4 dB(W/Hz).</w:t>
      </w:r>
    </w:p>
    <w:p w:rsidR="0067766E" w:rsidRPr="00A902CD" w:rsidRDefault="0067766E" w:rsidP="0067766E">
      <w:pPr>
        <w:rPr>
          <w:lang w:val="en-US"/>
        </w:rPr>
      </w:pPr>
      <w:r w:rsidRPr="00A902CD">
        <w:rPr>
          <w:lang w:val="en-US"/>
        </w:rPr>
        <w:t>The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equals 35.5 dB and (</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xml:space="preserve">equals –208.4 dB(W/Hz), so the value of </w:t>
      </w:r>
      <w:r w:rsidRPr="00A902CD">
        <w:rPr>
          <w:i/>
          <w:iCs/>
          <w:lang w:val="en-US"/>
        </w:rPr>
        <w:t>C</w:t>
      </w:r>
      <w:r w:rsidRPr="00004A95">
        <w:rPr>
          <w:iCs/>
          <w:vertAlign w:val="subscript"/>
          <w:lang w:val="en-US"/>
        </w:rPr>
        <w:sym w:font="Symbol" w:char="F0AF"/>
      </w:r>
      <w:r w:rsidRPr="00A902CD">
        <w:rPr>
          <w:i/>
          <w:iCs/>
          <w:vertAlign w:val="subscript"/>
          <w:lang w:val="en-US"/>
        </w:rPr>
        <w:t xml:space="preserve"> </w:t>
      </w:r>
      <w:r w:rsidRPr="00A902CD">
        <w:rPr>
          <w:lang w:val="en-US"/>
        </w:rPr>
        <w:t>is −171.0</w:t>
      </w:r>
      <w:r w:rsidRPr="00A902CD">
        <w:rPr>
          <w:i/>
          <w:lang w:val="en-US"/>
        </w:rPr>
        <w:t> </w:t>
      </w:r>
      <w:r w:rsidRPr="00A902CD">
        <w:rPr>
          <w:iCs/>
          <w:lang w:val="en-US"/>
        </w:rPr>
        <w:t>dBW.</w:t>
      </w:r>
    </w:p>
    <w:p w:rsidR="0067766E" w:rsidRPr="00A902CD" w:rsidRDefault="0067766E" w:rsidP="0067766E">
      <w:pPr>
        <w:rPr>
          <w:lang w:val="en-US"/>
        </w:rPr>
      </w:pPr>
      <w:r w:rsidRPr="00A902CD">
        <w:rPr>
          <w:lang w:val="en-US"/>
        </w:rPr>
        <w:t>The maximum permissible interference power spectral</w:t>
      </w:r>
      <w:r w:rsidRPr="00A902CD">
        <w:rPr>
          <w:lang w:val="en-US"/>
        </w:rPr>
        <w:noBreakHyphen/>
        <w:t xml:space="preserve">density in the downlink from the aggregate of all interfering emitters, </w:t>
      </w:r>
      <w:r w:rsidRPr="00A902CD">
        <w:rPr>
          <w:i/>
          <w:iCs/>
          <w:lang w:val="en-US"/>
        </w:rPr>
        <w:t>I</w:t>
      </w:r>
      <w:r w:rsidRPr="00A902CD">
        <w:rPr>
          <w:vertAlign w:val="subscript"/>
          <w:lang w:val="en-US"/>
        </w:rPr>
        <w:t>0</w:t>
      </w:r>
      <w:r w:rsidRPr="00A902CD">
        <w:rPr>
          <w:lang w:val="en-US"/>
        </w:rPr>
        <w:t>(max), measured at the input to the GEOLUT receiver LNA over the 1 544.5 MHz </w:t>
      </w:r>
      <w:r>
        <w:rPr>
          <w:lang w:val="en-US"/>
        </w:rPr>
        <w:sym w:font="Symbol" w:char="F0B1"/>
      </w:r>
      <w:r w:rsidRPr="00A902CD">
        <w:rPr>
          <w:lang w:val="en-US"/>
        </w:rPr>
        <w:t> 100 kHz band is:</w:t>
      </w:r>
    </w:p>
    <w:p w:rsidR="00BD5D3D" w:rsidRDefault="00BD5D3D" w:rsidP="00BD5D3D">
      <w:pPr>
        <w:pStyle w:val="Blanc"/>
      </w:pP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(max)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w:t>
      </w:r>
      <w:r w:rsidRPr="00A902CD">
        <w:rPr>
          <w:i/>
          <w:iCs/>
          <w:vertAlign w:val="superscript"/>
          <w:lang w:val="en-US"/>
        </w:rPr>
        <w:t>C</w:t>
      </w:r>
      <w:r w:rsidRPr="00004A95">
        <w:rPr>
          <w:iCs/>
          <w:position w:val="-4"/>
          <w:szCs w:val="24"/>
          <w:vertAlign w:val="superscript"/>
          <w:lang w:val="en-US"/>
        </w:rPr>
        <w:sym w:font="Symbol" w:char="F0AF"/>
      </w:r>
      <w:r w:rsidRPr="00A902CD">
        <w:rPr>
          <w:i/>
          <w:iCs/>
          <w:vertAlign w:val="superscript"/>
          <w:lang w:val="en-US"/>
        </w:rPr>
        <w:t> </w:t>
      </w:r>
      <w:r w:rsidRPr="00A902CD">
        <w:rPr>
          <w:vertAlign w:val="superscript"/>
          <w:lang w:val="en-US"/>
        </w:rPr>
        <w:t>– (</w:t>
      </w:r>
      <w:r w:rsidRPr="00A902CD">
        <w:rPr>
          <w:i/>
          <w:iCs/>
          <w:vertAlign w:val="superscript"/>
          <w:lang w:val="en-US"/>
        </w:rPr>
        <w:t>C</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 xml:space="preserve"> + </w:t>
      </w:r>
      <w:r w:rsidRPr="00A902CD">
        <w:rPr>
          <w:i/>
          <w:iCs/>
          <w:vertAlign w:val="superscript"/>
          <w:lang w:val="en-US"/>
        </w:rPr>
        <w:t>I</w:t>
      </w:r>
      <w:r w:rsidRPr="00A902CD">
        <w:rPr>
          <w:sz w:val="20"/>
          <w:vertAlign w:val="superscript"/>
          <w:lang w:val="en-US"/>
        </w:rPr>
        <w:t>0</w:t>
      </w:r>
      <w:r w:rsidRPr="00A902CD">
        <w:rPr>
          <w:vertAlign w:val="superscript"/>
          <w:lang w:val="en-US"/>
        </w:rPr>
        <w:t>)</w:t>
      </w:r>
      <w:r w:rsidRPr="00004A95">
        <w:rPr>
          <w:iCs/>
          <w:position w:val="-4"/>
          <w:szCs w:val="24"/>
          <w:vertAlign w:val="superscript"/>
          <w:lang w:val="en-US"/>
        </w:rPr>
        <w:sym w:font="Symbol" w:char="F0AF"/>
      </w:r>
      <w:r w:rsidRPr="00A902CD">
        <w:rPr>
          <w:vertAlign w:val="superscript"/>
          <w:lang w:val="en-US"/>
        </w:rPr>
        <w:t>))/10</w:t>
      </w:r>
      <w:r w:rsidRPr="00A902CD">
        <w:rPr>
          <w:lang w:val="en-US"/>
        </w:rPr>
        <w:t> – 10</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w:t>
      </w:r>
      <w:r w:rsidRPr="00004A95">
        <w:rPr>
          <w:iCs/>
          <w:position w:val="-4"/>
          <w:szCs w:val="24"/>
          <w:vertAlign w:val="superscript"/>
          <w:lang w:val="en-US"/>
        </w:rPr>
        <w:sym w:font="Symbol" w:char="F0AF"/>
      </w:r>
      <w:r w:rsidRPr="00A902CD">
        <w:rPr>
          <w:vertAlign w:val="superscript"/>
          <w:lang w:val="en-US"/>
        </w:rPr>
        <w:t>/10</w:t>
      </w:r>
      <w:r w:rsidRPr="00A902CD">
        <w:rPr>
          <w:lang w:val="en-US"/>
        </w:rPr>
        <w:t>)</w:t>
      </w:r>
    </w:p>
    <w:p w:rsidR="0067766E" w:rsidRPr="00A902CD" w:rsidRDefault="0067766E" w:rsidP="0067766E">
      <w:pPr>
        <w:rPr>
          <w:lang w:val="en-US"/>
        </w:rPr>
      </w:pPr>
      <w:r w:rsidRPr="00A902CD">
        <w:rPr>
          <w:lang w:val="en-US"/>
        </w:rPr>
        <w:t>or</w:t>
      </w: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(max)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(–171.0 – 35.0)/10</w:t>
      </w:r>
      <w:r w:rsidRPr="00A902CD">
        <w:rPr>
          <w:lang w:val="en-US"/>
        </w:rPr>
        <w:t> – 10</w:t>
      </w:r>
      <w:r w:rsidRPr="00A902CD">
        <w:rPr>
          <w:vertAlign w:val="superscript"/>
          <w:lang w:val="en-US"/>
        </w:rPr>
        <w:t>–208.4/10</w:t>
      </w:r>
      <w:r w:rsidRPr="00A902CD">
        <w:rPr>
          <w:lang w:val="en-US"/>
        </w:rPr>
        <w:t>)</w:t>
      </w:r>
    </w:p>
    <w:p w:rsidR="0067766E" w:rsidRPr="00A902CD" w:rsidRDefault="0067766E" w:rsidP="0067766E">
      <w:pPr>
        <w:rPr>
          <w:lang w:val="en-US"/>
        </w:rPr>
      </w:pPr>
      <w:r w:rsidRPr="00A902CD">
        <w:rPr>
          <w:lang w:val="en-US"/>
        </w:rPr>
        <w:t>then</w:t>
      </w:r>
    </w:p>
    <w:p w:rsidR="0067766E" w:rsidRPr="00A902CD" w:rsidRDefault="0067766E" w:rsidP="0067766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(max) = –209.7 dB(W/Hz)</w:t>
      </w:r>
    </w:p>
    <w:p w:rsidR="00BD5D3D" w:rsidRDefault="00BD5D3D" w:rsidP="00BD5D3D">
      <w:pPr>
        <w:pStyle w:val="Blanc"/>
      </w:pPr>
    </w:p>
    <w:p w:rsidR="0067766E" w:rsidRPr="00A902CD" w:rsidRDefault="0067766E" w:rsidP="0067766E">
      <w:pPr>
        <w:rPr>
          <w:lang w:val="en-US"/>
        </w:rPr>
      </w:pPr>
      <w:r w:rsidRPr="00A902CD">
        <w:rPr>
          <w:lang w:val="en-US"/>
        </w:rPr>
        <w:t>It is desirable to characterize the protection criteria in terms of the spfd interference threshold specified in dB(W/m</w:t>
      </w:r>
      <w:r w:rsidRPr="00A902CD">
        <w:rPr>
          <w:vertAlign w:val="superscript"/>
          <w:lang w:val="en-US"/>
        </w:rPr>
        <w:t>2</w:t>
      </w:r>
      <w:r w:rsidRPr="00A902CD">
        <w:rPr>
          <w:lang w:val="en-US"/>
        </w:rPr>
        <w:t> ∙ Hz) at the input to the GEOLUT antenna. The effective aperture of an antenna</w:t>
      </w:r>
      <w:r>
        <w:rPr>
          <w:lang w:val="en-US"/>
        </w:rPr>
        <w:t>,</w:t>
      </w:r>
      <w:r w:rsidRPr="00A902CD">
        <w:rPr>
          <w:lang w:val="en-US"/>
        </w:rPr>
        <w:t xml:space="preserve"> </w:t>
      </w:r>
      <w:r w:rsidRPr="00A902CD">
        <w:rPr>
          <w:i/>
          <w:iCs/>
          <w:lang w:val="en-US"/>
        </w:rPr>
        <w:t>A</w:t>
      </w:r>
      <w:r w:rsidRPr="00A902CD">
        <w:rPr>
          <w:i/>
          <w:iCs/>
          <w:vertAlign w:val="subscript"/>
          <w:lang w:val="en-US"/>
        </w:rPr>
        <w:t>e</w:t>
      </w:r>
      <w:r>
        <w:rPr>
          <w:lang w:val="en-US"/>
        </w:rPr>
        <w:t>,</w:t>
      </w:r>
      <w:r w:rsidRPr="00A902CD">
        <w:rPr>
          <w:lang w:val="en-US"/>
        </w:rPr>
        <w:t xml:space="preserve"> having a gain of </w:t>
      </w:r>
      <w:r w:rsidRPr="00A902CD">
        <w:rPr>
          <w:i/>
          <w:iCs/>
          <w:lang w:val="en-US"/>
        </w:rPr>
        <w:t>G</w:t>
      </w:r>
      <w:r w:rsidRPr="00A902CD">
        <w:rPr>
          <w:lang w:val="en-US"/>
        </w:rPr>
        <w:t xml:space="preserve"> is </w:t>
      </w:r>
      <w:r w:rsidRPr="00A902CD">
        <w:rPr>
          <w:i/>
          <w:iCs/>
          <w:lang w:val="en-US"/>
        </w:rPr>
        <w:t>A</w:t>
      </w:r>
      <w:r w:rsidRPr="00A902CD">
        <w:rPr>
          <w:i/>
          <w:iCs/>
          <w:vertAlign w:val="subscript"/>
          <w:lang w:val="en-US"/>
        </w:rPr>
        <w:t>e</w:t>
      </w:r>
      <w:r w:rsidRPr="00A902CD">
        <w:rPr>
          <w:i/>
          <w:iCs/>
          <w:lang w:val="en-US"/>
        </w:rPr>
        <w:t> </w:t>
      </w:r>
      <w:r w:rsidRPr="00A902CD">
        <w:rPr>
          <w:lang w:val="en-US"/>
        </w:rPr>
        <w:t>= </w:t>
      </w:r>
      <w:r w:rsidRPr="00A902CD">
        <w:rPr>
          <w:i/>
          <w:iCs/>
          <w:lang w:val="en-US"/>
        </w:rPr>
        <w:t>G</w:t>
      </w:r>
      <w:r>
        <w:rPr>
          <w:rFonts w:ascii="Symbol" w:hAnsi="Symbol"/>
        </w:rPr>
        <w:t></w:t>
      </w:r>
      <w:r w:rsidRPr="00A902CD">
        <w:rPr>
          <w:vertAlign w:val="superscript"/>
          <w:lang w:val="en-US"/>
        </w:rPr>
        <w:t>2</w:t>
      </w:r>
      <w:r w:rsidRPr="00A902CD">
        <w:rPr>
          <w:lang w:val="en-US"/>
        </w:rPr>
        <w:t>/4</w:t>
      </w:r>
      <w:r>
        <w:rPr>
          <w:rFonts w:ascii="Symbol" w:hAnsi="Symbol"/>
        </w:rPr>
        <w:t></w:t>
      </w:r>
      <w:r>
        <w:rPr>
          <w:rFonts w:ascii="Symbol" w:hAnsi="Symbol"/>
        </w:rPr>
        <w:t></w:t>
      </w:r>
      <w:r w:rsidRPr="00A902CD">
        <w:rPr>
          <w:lang w:val="en-US"/>
        </w:rPr>
        <w:t xml:space="preserve"> The GEOLUT antenna has a gain of 35.7 dB, therefore, the effective aperture is 12.0 m</w:t>
      </w:r>
      <w:r w:rsidRPr="00A902CD">
        <w:rPr>
          <w:vertAlign w:val="superscript"/>
          <w:lang w:val="en-US"/>
        </w:rPr>
        <w:t>2</w:t>
      </w:r>
      <w:r w:rsidRPr="00A902CD">
        <w:rPr>
          <w:lang w:val="en-US"/>
        </w:rPr>
        <w:t>. The maximum acceptable aggregate interference specified as an spfd is:</w:t>
      </w:r>
    </w:p>
    <w:p w:rsidR="0067766E" w:rsidRPr="00A902CD" w:rsidRDefault="0067766E" w:rsidP="00141723">
      <w:pPr>
        <w:pStyle w:val="Equation"/>
        <w:tabs>
          <w:tab w:val="clear" w:pos="4820"/>
          <w:tab w:val="left" w:pos="3544"/>
        </w:tabs>
        <w:rPr>
          <w:vertAlign w:val="subscript"/>
          <w:lang w:val="en-US"/>
        </w:rPr>
      </w:pPr>
      <w:r w:rsidRPr="00A902CD">
        <w:rPr>
          <w:lang w:val="en-US"/>
        </w:rPr>
        <w:tab/>
      </w:r>
      <w:r w:rsidRPr="00A902CD">
        <w:rPr>
          <w:lang w:val="en-US"/>
        </w:rPr>
        <w:tab/>
        <w:t xml:space="preserve">spfd = </w:t>
      </w:r>
      <w:r w:rsidRPr="00A902CD">
        <w:rPr>
          <w:i/>
          <w:iCs/>
          <w:lang w:val="en-US"/>
        </w:rPr>
        <w:t>I</w:t>
      </w:r>
      <w:r w:rsidRPr="00A902CD">
        <w:rPr>
          <w:vertAlign w:val="subscript"/>
          <w:lang w:val="en-US"/>
        </w:rPr>
        <w:t>0</w:t>
      </w:r>
      <w:r w:rsidRPr="00A902CD">
        <w:rPr>
          <w:lang w:val="en-US"/>
        </w:rPr>
        <w:t xml:space="preserve">(max) – </w:t>
      </w:r>
      <w:r w:rsidRPr="00A902CD">
        <w:rPr>
          <w:i/>
          <w:iCs/>
          <w:lang w:val="en-US"/>
        </w:rPr>
        <w:t>L</w:t>
      </w:r>
      <w:r w:rsidRPr="00A902CD">
        <w:rPr>
          <w:i/>
          <w:iCs/>
          <w:vertAlign w:val="subscript"/>
          <w:lang w:val="en-US"/>
        </w:rPr>
        <w:t>Line</w:t>
      </w:r>
      <w:r w:rsidRPr="00A902CD">
        <w:rPr>
          <w:i/>
          <w:iCs/>
          <w:lang w:val="en-US"/>
        </w:rPr>
        <w:t xml:space="preserve"> </w:t>
      </w:r>
      <w:r w:rsidRPr="00A902CD">
        <w:rPr>
          <w:lang w:val="en-US"/>
        </w:rPr>
        <w:t xml:space="preserve">– </w:t>
      </w:r>
      <w:r w:rsidRPr="00A902CD">
        <w:rPr>
          <w:i/>
          <w:iCs/>
          <w:lang w:val="en-US"/>
        </w:rPr>
        <w:t>A</w:t>
      </w:r>
      <w:r w:rsidRPr="00A902CD">
        <w:rPr>
          <w:i/>
          <w:iCs/>
          <w:vertAlign w:val="subscript"/>
          <w:lang w:val="en-US"/>
        </w:rPr>
        <w:t>e</w:t>
      </w:r>
    </w:p>
    <w:p w:rsidR="0067766E" w:rsidRPr="00A902CD" w:rsidRDefault="0067766E" w:rsidP="0067766E">
      <w:pPr>
        <w:rPr>
          <w:lang w:val="en-US"/>
        </w:rPr>
      </w:pPr>
      <w:r w:rsidRPr="00A902CD">
        <w:rPr>
          <w:lang w:val="en-US"/>
        </w:rPr>
        <w:t xml:space="preserve">Assuming </w:t>
      </w:r>
      <w:r w:rsidRPr="00A902CD">
        <w:rPr>
          <w:i/>
          <w:iCs/>
          <w:lang w:val="en-US"/>
        </w:rPr>
        <w:t>L</w:t>
      </w:r>
      <w:r w:rsidRPr="00A902CD">
        <w:rPr>
          <w:i/>
          <w:iCs/>
          <w:vertAlign w:val="subscript"/>
          <w:lang w:val="en-US"/>
        </w:rPr>
        <w:t>Line</w:t>
      </w:r>
      <w:r w:rsidR="00141723">
        <w:rPr>
          <w:lang w:val="en-US"/>
        </w:rPr>
        <w:t xml:space="preserve"> = 0:</w:t>
      </w:r>
    </w:p>
    <w:p w:rsidR="0067766E" w:rsidRPr="00A902CD" w:rsidRDefault="0067766E" w:rsidP="00141723">
      <w:pPr>
        <w:pStyle w:val="Equation"/>
        <w:tabs>
          <w:tab w:val="clear" w:pos="4820"/>
          <w:tab w:val="left" w:pos="3544"/>
          <w:tab w:val="left" w:pos="4054"/>
        </w:tabs>
        <w:rPr>
          <w:lang w:val="en-US"/>
        </w:rPr>
      </w:pPr>
      <w:r w:rsidRPr="00A902CD">
        <w:rPr>
          <w:lang w:val="en-US"/>
        </w:rPr>
        <w:tab/>
      </w:r>
      <w:r w:rsidRPr="00A902CD">
        <w:rPr>
          <w:lang w:val="en-US"/>
        </w:rPr>
        <w:tab/>
        <w:t>spfd</w:t>
      </w:r>
      <w:r w:rsidR="00141723">
        <w:rPr>
          <w:lang w:val="en-US"/>
        </w:rPr>
        <w:tab/>
      </w:r>
      <w:r w:rsidRPr="00A902CD">
        <w:rPr>
          <w:lang w:val="en-US"/>
        </w:rPr>
        <w:t>= –209.7</w:t>
      </w:r>
      <w:r w:rsidRPr="00A902CD">
        <w:rPr>
          <w:i/>
          <w:lang w:val="en-US"/>
        </w:rPr>
        <w:t xml:space="preserve"> </w:t>
      </w:r>
      <w:r w:rsidRPr="00A902CD">
        <w:rPr>
          <w:lang w:val="en-US"/>
        </w:rPr>
        <w:t>– 0 – 10</w:t>
      </w:r>
      <w:r>
        <w:rPr>
          <w:lang w:val="en-US"/>
        </w:rPr>
        <w:t xml:space="preserve"> </w:t>
      </w:r>
      <w:r w:rsidRPr="00A902CD">
        <w:rPr>
          <w:lang w:val="en-US"/>
        </w:rPr>
        <w:t>log</w:t>
      </w:r>
      <w:r>
        <w:rPr>
          <w:lang w:val="en-US"/>
        </w:rPr>
        <w:t xml:space="preserve"> </w:t>
      </w:r>
      <w:r w:rsidRPr="00A902CD">
        <w:rPr>
          <w:lang w:val="en-US"/>
        </w:rPr>
        <w:t xml:space="preserve">(12.0) </w:t>
      </w:r>
    </w:p>
    <w:p w:rsidR="0067766E" w:rsidRPr="00A902CD" w:rsidRDefault="0067766E" w:rsidP="00141723">
      <w:pPr>
        <w:pStyle w:val="Equation"/>
        <w:tabs>
          <w:tab w:val="clear" w:pos="4820"/>
          <w:tab w:val="left" w:pos="4054"/>
        </w:tabs>
        <w:rPr>
          <w:lang w:val="en-US"/>
        </w:rPr>
      </w:pPr>
      <w:r w:rsidRPr="00A902CD">
        <w:rPr>
          <w:lang w:val="en-US"/>
        </w:rPr>
        <w:tab/>
      </w:r>
      <w:r w:rsidRPr="00A902CD">
        <w:rPr>
          <w:lang w:val="en-US"/>
        </w:rPr>
        <w:tab/>
        <w:t>= –220.5 dB(W/(m</w:t>
      </w:r>
      <w:r w:rsidRPr="00A902CD">
        <w:rPr>
          <w:vertAlign w:val="superscript"/>
          <w:lang w:val="en-US"/>
        </w:rPr>
        <w:t>2</w:t>
      </w:r>
      <w:r w:rsidRPr="00A902CD">
        <w:rPr>
          <w:lang w:val="en-US"/>
        </w:rPr>
        <w:t> ∙ Hz))</w:t>
      </w:r>
    </w:p>
    <w:p w:rsidR="0067766E" w:rsidRPr="00A902CD" w:rsidRDefault="0067766E" w:rsidP="0067766E">
      <w:pPr>
        <w:rPr>
          <w:lang w:val="en-US"/>
        </w:rPr>
      </w:pPr>
      <w:r w:rsidRPr="00A902CD">
        <w:rPr>
          <w:lang w:val="en-US"/>
        </w:rPr>
        <w:t>The maximum level of broadband noise-like interference in the 1 544.5 MHz </w:t>
      </w:r>
      <w:r>
        <w:sym w:font="Symbol" w:char="F0B1"/>
      </w:r>
      <w:r w:rsidRPr="00A902CD">
        <w:rPr>
          <w:lang w:val="en-US"/>
        </w:rPr>
        <w:t> 100 kHz GEOLUT channel shall not exceed –220.5 dB(W/(m</w:t>
      </w:r>
      <w:r w:rsidRPr="00A902CD">
        <w:rPr>
          <w:vertAlign w:val="superscript"/>
          <w:lang w:val="en-US"/>
        </w:rPr>
        <w:t>2</w:t>
      </w:r>
      <w:r w:rsidRPr="00A902CD">
        <w:rPr>
          <w:lang w:val="en-US"/>
        </w:rPr>
        <w:t> ∙ Hz)).</w:t>
      </w:r>
    </w:p>
    <w:p w:rsidR="0067766E" w:rsidRPr="00A902CD" w:rsidRDefault="0067766E" w:rsidP="0067766E">
      <w:pPr>
        <w:pStyle w:val="Heading1"/>
        <w:rPr>
          <w:lang w:val="en-US"/>
        </w:rPr>
      </w:pPr>
      <w:bookmarkStart w:id="24" w:name="_Toc115521344"/>
      <w:r w:rsidRPr="00A902CD">
        <w:rPr>
          <w:lang w:val="en-US"/>
        </w:rPr>
        <w:t>4</w:t>
      </w:r>
      <w:r w:rsidRPr="00A902CD">
        <w:rPr>
          <w:lang w:val="en-US"/>
        </w:rPr>
        <w:tab/>
        <w:t>Procedure for computing level of interference to the MSG 406 MHz SARR channel downlink</w:t>
      </w:r>
      <w:bookmarkEnd w:id="24"/>
    </w:p>
    <w:p w:rsidR="0067766E" w:rsidRPr="00A902CD" w:rsidRDefault="0067766E" w:rsidP="0067766E">
      <w:pPr>
        <w:rPr>
          <w:lang w:val="en-US"/>
        </w:rPr>
      </w:pPr>
      <w:r w:rsidRPr="00A902CD">
        <w:rPr>
          <w:lang w:val="en-US"/>
        </w:rPr>
        <w:t>Interference to Cospas-Sarsat is most often a result of out-of-band emissions from services in adjacent or near adjacent bands such as MSS space-to-Earth allocations.</w:t>
      </w:r>
    </w:p>
    <w:p w:rsidR="0067766E" w:rsidRPr="00A902CD" w:rsidRDefault="0067766E" w:rsidP="0067766E">
      <w:pPr>
        <w:rPr>
          <w:lang w:val="en-US"/>
        </w:rPr>
      </w:pPr>
      <w:r w:rsidRPr="00A902CD">
        <w:rPr>
          <w:lang w:val="en-US"/>
        </w:rPr>
        <w:t>The emission bandwidth must be examined to determine if energy is transmitted in the frequency range 1 544.5 MHz </w:t>
      </w:r>
      <w:r>
        <w:sym w:font="Symbol" w:char="F0B1"/>
      </w:r>
      <w:r w:rsidRPr="00A902CD">
        <w:rPr>
          <w:lang w:val="en-US"/>
        </w:rPr>
        <w:t> 100 kHz. Particular care must be taken when analysing the impact of mobile systems (e.g. non-geostationary satellites and airborne transmitters) to take into account the effects of the Doppler shift generated by their movement.</w:t>
      </w:r>
    </w:p>
    <w:p w:rsidR="0067766E" w:rsidRPr="00A902CD" w:rsidRDefault="0067766E" w:rsidP="0067766E">
      <w:pPr>
        <w:rPr>
          <w:lang w:val="en-US"/>
        </w:rPr>
      </w:pPr>
      <w:r w:rsidRPr="00A902CD">
        <w:rPr>
          <w:lang w:val="en-US"/>
        </w:rPr>
        <w:lastRenderedPageBreak/>
        <w:t>Compute the level of interference from all sources that transmit energy in the band expressed as an spfd level at the GEOLUT antenna. The aggregate level for all interfering sources must not exceed −220.5 dB(W/(m</w:t>
      </w:r>
      <w:r w:rsidRPr="00A902CD">
        <w:rPr>
          <w:vertAlign w:val="superscript"/>
          <w:lang w:val="en-US"/>
        </w:rPr>
        <w:t>2</w:t>
      </w:r>
      <w:r w:rsidRPr="00A902CD">
        <w:rPr>
          <w:lang w:val="en-US"/>
        </w:rPr>
        <w:t> ∙ Hz)) anywhere in this range.</w:t>
      </w:r>
    </w:p>
    <w:p w:rsidR="00934ED7" w:rsidRDefault="0067766E" w:rsidP="0067766E">
      <w:pPr>
        <w:rPr>
          <w:lang w:val="en-US"/>
        </w:rPr>
      </w:pPr>
      <w:r w:rsidRPr="00A902CD">
        <w:rPr>
          <w:lang w:val="en-US"/>
        </w:rPr>
        <w:t>The above level is based on a GEOLUT antenna on-axis gain of 35.7 dBi. Depending upon the systems involved antenna discrimination, polarization, and other engineering considerations should be used in establishing the impact of the interference.</w:t>
      </w:r>
    </w:p>
    <w:p w:rsidR="00BD5D3D" w:rsidRDefault="00BD5D3D" w:rsidP="0067766E">
      <w:pPr>
        <w:rPr>
          <w:lang w:val="en-US"/>
        </w:rPr>
      </w:pPr>
    </w:p>
    <w:p w:rsidR="00141723" w:rsidRPr="00A651E1" w:rsidRDefault="00141723" w:rsidP="00141723">
      <w:pPr>
        <w:pStyle w:val="AnnexNoTitle"/>
      </w:pPr>
      <w:r w:rsidRPr="005A23A1">
        <w:t>Annex 5</w:t>
      </w:r>
      <w:r>
        <w:br/>
      </w:r>
      <w:r>
        <w:br/>
      </w:r>
      <w:r w:rsidRPr="005A23A1">
        <w:t>Protection criteria in the 1</w:t>
      </w:r>
      <w:r w:rsidRPr="008F53C2">
        <w:t> </w:t>
      </w:r>
      <w:r w:rsidRPr="005A23A1">
        <w:t>544-1</w:t>
      </w:r>
      <w:r w:rsidRPr="008F53C2">
        <w:t> </w:t>
      </w:r>
      <w:r w:rsidRPr="005A23A1">
        <w:t>545</w:t>
      </w:r>
      <w:r w:rsidRPr="008F53C2">
        <w:t> </w:t>
      </w:r>
      <w:r w:rsidRPr="005A23A1">
        <w:t>MHz band for Cospas-Sarsat</w:t>
      </w:r>
      <w:r>
        <w:br/>
      </w:r>
      <w:r w:rsidRPr="005A23A1">
        <w:t>MEOLUTS that receive signals from distress radio beacons</w:t>
      </w:r>
      <w:r>
        <w:br/>
      </w:r>
      <w:r w:rsidRPr="005A23A1">
        <w:t>operating at 406 MHz relayed through GALILEO satellites</w:t>
      </w:r>
    </w:p>
    <w:p w:rsidR="00141723" w:rsidRPr="00EC28DA" w:rsidRDefault="00141723" w:rsidP="00141723">
      <w:pPr>
        <w:pStyle w:val="Heading1"/>
      </w:pPr>
      <w:r w:rsidRPr="00EC28DA">
        <w:rPr>
          <w:caps/>
        </w:rPr>
        <w:t>1</w:t>
      </w:r>
      <w:r w:rsidRPr="00EC28DA">
        <w:rPr>
          <w:caps/>
        </w:rPr>
        <w:tab/>
      </w:r>
      <w:r w:rsidRPr="00EC28DA">
        <w:t>Introduction</w:t>
      </w:r>
    </w:p>
    <w:p w:rsidR="00141723" w:rsidRPr="00EC28DA" w:rsidRDefault="00141723" w:rsidP="00141723">
      <w:pPr>
        <w:rPr>
          <w:szCs w:val="24"/>
        </w:rPr>
      </w:pPr>
      <w:r w:rsidRPr="00EC28DA">
        <w:t>Cospas-Sarsat search and rescue repeaters are on board GALILEO satellites. These repeaters receive signals from 406 MHz distress beacons and relay the signals to Cospas-Sarsat MEOLUTs on downlink frequencies in the 1 544-1 545 MHz band. The analysis provided in this Annex establishes interference protection criteria for MEOLUTs that receive the GALILEO 1 544</w:t>
      </w:r>
      <w:r w:rsidRPr="00EC28DA">
        <w:noBreakHyphen/>
        <w:t xml:space="preserve">1 545 MHz downlink. </w:t>
      </w:r>
    </w:p>
    <w:p w:rsidR="00141723" w:rsidRPr="00EC28DA" w:rsidRDefault="00141723" w:rsidP="00141723">
      <w:pPr>
        <w:pStyle w:val="Heading1"/>
      </w:pPr>
      <w:r w:rsidRPr="00EC28DA">
        <w:t>2</w:t>
      </w:r>
      <w:r w:rsidRPr="00EC28DA">
        <w:tab/>
        <w:t>Minimum acceptable performance for detection of 406 MHz distress beacon signals relayed through GALILEO satellites</w:t>
      </w:r>
    </w:p>
    <w:p w:rsidR="00141723" w:rsidRPr="00EC28DA" w:rsidRDefault="00141723" w:rsidP="00141723">
      <w:pPr>
        <w:rPr>
          <w:szCs w:val="24"/>
        </w:rPr>
      </w:pPr>
      <w:r w:rsidRPr="00EC28DA">
        <w:t xml:space="preserve">To reliably detect 406 MHz distress beacons using GALILEO 406 MHz satellite repeaters, </w:t>
      </w:r>
      <w:r>
        <w:br/>
      </w:r>
      <w:r w:rsidRPr="00EC28DA">
        <w:t xml:space="preserve">the BER of the channel must not exceed </w:t>
      </w:r>
      <w:r w:rsidRPr="00EC28DA">
        <w:rPr>
          <w:bCs/>
        </w:rPr>
        <w:t>5 </w:t>
      </w:r>
      <w:r w:rsidRPr="00EC28DA">
        <w:rPr>
          <w:bCs/>
          <w:szCs w:val="24"/>
        </w:rPr>
        <w:sym w:font="Symbol" w:char="F0B4"/>
      </w:r>
      <w:r w:rsidRPr="00EC28DA">
        <w:rPr>
          <w:bCs/>
        </w:rPr>
        <w:t> 10</w:t>
      </w:r>
      <w:r w:rsidRPr="00EC28DA">
        <w:rPr>
          <w:bCs/>
          <w:vertAlign w:val="superscript"/>
        </w:rPr>
        <w:t>−5</w:t>
      </w:r>
      <w:r w:rsidRPr="00EC28DA">
        <w:t>.</w:t>
      </w:r>
    </w:p>
    <w:p w:rsidR="00141723" w:rsidRPr="00EC28DA" w:rsidRDefault="00141723" w:rsidP="00141723">
      <w:pPr>
        <w:pStyle w:val="Heading1"/>
      </w:pPr>
      <w:r w:rsidRPr="00EC28DA">
        <w:rPr>
          <w:caps/>
        </w:rPr>
        <w:t>3</w:t>
      </w:r>
      <w:r w:rsidRPr="00EC28DA">
        <w:rPr>
          <w:caps/>
        </w:rPr>
        <w:tab/>
      </w:r>
      <w:r w:rsidRPr="00EC28DA">
        <w:t>Analysis of interference spfd</w:t>
      </w:r>
    </w:p>
    <w:p w:rsidR="00141723" w:rsidRPr="00EC28DA" w:rsidRDefault="00141723" w:rsidP="00141723">
      <w:pPr>
        <w:rPr>
          <w:szCs w:val="24"/>
        </w:rPr>
      </w:pPr>
      <w:r w:rsidRPr="00EC28DA">
        <w:t xml:space="preserve">The BER of a communication channel is derived from the ratio of the energy contained in each data bit, </w:t>
      </w:r>
      <w:r w:rsidRPr="00EC28DA">
        <w:rPr>
          <w:i/>
          <w:iCs/>
        </w:rPr>
        <w:t>E</w:t>
      </w:r>
      <w:r w:rsidRPr="00EC28DA">
        <w:rPr>
          <w:i/>
          <w:iCs/>
          <w:vertAlign w:val="subscript"/>
        </w:rPr>
        <w:t>b</w:t>
      </w:r>
      <w:r w:rsidRPr="00EC28DA">
        <w:t xml:space="preserve">, to the noise density. The total noise density is </w:t>
      </w:r>
      <w:r>
        <w:t>composed of the thermal noise</w:t>
      </w:r>
      <w:r w:rsidRPr="00EC28DA">
        <w:t xml:space="preserve">, </w:t>
      </w:r>
      <w:r w:rsidRPr="00EC28DA">
        <w:rPr>
          <w:i/>
          <w:iCs/>
        </w:rPr>
        <w:t>N</w:t>
      </w:r>
      <w:r w:rsidRPr="00EC28DA">
        <w:rPr>
          <w:vertAlign w:val="subscript"/>
        </w:rPr>
        <w:t>0</w:t>
      </w:r>
      <w:r w:rsidRPr="00EC28DA">
        <w:t xml:space="preserve">, and noise caused by interference from other systems, </w:t>
      </w:r>
      <w:r w:rsidRPr="00EC28DA">
        <w:rPr>
          <w:i/>
          <w:iCs/>
        </w:rPr>
        <w:t>I</w:t>
      </w:r>
      <w:r w:rsidRPr="00EC28DA">
        <w:rPr>
          <w:vertAlign w:val="subscript"/>
        </w:rPr>
        <w:t>0</w:t>
      </w:r>
      <w:r w:rsidRPr="00EC28DA">
        <w:t>. Figure </w:t>
      </w:r>
      <w:r>
        <w:t>5</w:t>
      </w:r>
      <w:r w:rsidRPr="00EC28DA">
        <w:t xml:space="preserve"> depicts the GALILEO 406 MHz SAR payload channel with interference on the downlink.</w:t>
      </w:r>
    </w:p>
    <w:p w:rsidR="00141723" w:rsidRDefault="00141723" w:rsidP="00141723">
      <w:r w:rsidRPr="00EC28DA">
        <w:t>To achieve a BER of 5 </w:t>
      </w:r>
      <w:r w:rsidRPr="00EC28DA">
        <w:rPr>
          <w:szCs w:val="24"/>
        </w:rPr>
        <w:sym w:font="Symbol" w:char="F0B4"/>
      </w:r>
      <w:r w:rsidRPr="00EC28DA">
        <w:t> 10</w:t>
      </w:r>
      <w:r w:rsidRPr="00EC28DA">
        <w:rPr>
          <w:vertAlign w:val="superscript"/>
        </w:rPr>
        <w:t>−5</w:t>
      </w:r>
      <w:r w:rsidRPr="00EC28DA">
        <w:t>, the ratio of the energy per bit to noise plus interference density (</w:t>
      </w:r>
      <w:r w:rsidRPr="00EC28DA">
        <w:rPr>
          <w:i/>
          <w:iCs/>
        </w:rPr>
        <w:t>E</w:t>
      </w:r>
      <w:r w:rsidRPr="00EC28DA">
        <w:rPr>
          <w:i/>
          <w:iCs/>
          <w:vertAlign w:val="subscript"/>
        </w:rPr>
        <w:t>b</w:t>
      </w:r>
      <w:r w:rsidRPr="00EC28DA">
        <w:t>/(</w:t>
      </w:r>
      <w:r w:rsidRPr="00EC28DA">
        <w:rPr>
          <w:i/>
          <w:iCs/>
        </w:rPr>
        <w:t>N</w:t>
      </w:r>
      <w:r w:rsidRPr="00EC28DA">
        <w:rPr>
          <w:vertAlign w:val="subscript"/>
        </w:rPr>
        <w:t>0</w:t>
      </w:r>
      <w:r w:rsidRPr="00EC28DA">
        <w:t> + </w:t>
      </w:r>
      <w:r w:rsidRPr="00EC28DA">
        <w:rPr>
          <w:i/>
          <w:iCs/>
        </w:rPr>
        <w:t>I</w:t>
      </w:r>
      <w:r w:rsidRPr="00EC28DA">
        <w:rPr>
          <w:vertAlign w:val="subscript"/>
        </w:rPr>
        <w:t>0</w:t>
      </w:r>
      <w:r w:rsidRPr="00EC28DA">
        <w:t xml:space="preserve">)) at the MEOLUT demodulator must equal or exceed 8.8 dB. This analysis determines the maximum </w:t>
      </w:r>
      <w:bookmarkStart w:id="25" w:name="OLE_LINK2"/>
      <w:r w:rsidRPr="00EC28DA">
        <w:t>amount of broadband noise-like interference specified as a spfd referenced to the input to the MEOLUT antenna, that could be accommodated without degrading the overall link</w:t>
      </w:r>
      <w:bookmarkEnd w:id="25"/>
      <w:r w:rsidRPr="00EC28DA">
        <w:t xml:space="preserve"> </w:t>
      </w:r>
      <w:r w:rsidRPr="00EC28DA">
        <w:rPr>
          <w:i/>
          <w:iCs/>
        </w:rPr>
        <w:t>E</w:t>
      </w:r>
      <w:r w:rsidRPr="00EC28DA">
        <w:rPr>
          <w:i/>
          <w:iCs/>
          <w:vertAlign w:val="subscript"/>
        </w:rPr>
        <w:t>b</w:t>
      </w:r>
      <w:r w:rsidRPr="00EC28DA">
        <w:t>/(</w:t>
      </w:r>
      <w:r w:rsidRPr="00EC28DA">
        <w:rPr>
          <w:i/>
          <w:iCs/>
        </w:rPr>
        <w:t>N</w:t>
      </w:r>
      <w:r w:rsidRPr="00EC28DA">
        <w:rPr>
          <w:vertAlign w:val="subscript"/>
        </w:rPr>
        <w:t>0</w:t>
      </w:r>
      <w:r w:rsidRPr="00EC28DA">
        <w:t> + </w:t>
      </w:r>
      <w:r w:rsidRPr="00EC28DA">
        <w:rPr>
          <w:i/>
          <w:iCs/>
        </w:rPr>
        <w:t>I</w:t>
      </w:r>
      <w:r w:rsidRPr="00EC28DA">
        <w:rPr>
          <w:vertAlign w:val="subscript"/>
        </w:rPr>
        <w:t>0</w:t>
      </w:r>
      <w:r w:rsidRPr="00EC28DA">
        <w:t>) below 8.8 dB.</w:t>
      </w:r>
    </w:p>
    <w:p w:rsidR="00141723" w:rsidRPr="00EC28DA" w:rsidRDefault="00141723" w:rsidP="00141723">
      <w:r w:rsidRPr="00EC28DA">
        <w:t xml:space="preserve">The overall required </w:t>
      </w:r>
      <w:r w:rsidRPr="00EC28DA">
        <w:rPr>
          <w:i/>
          <w:iCs/>
        </w:rPr>
        <w:t>C</w:t>
      </w:r>
      <w:r w:rsidRPr="00EC28DA">
        <w:t>/(</w:t>
      </w:r>
      <w:r w:rsidRPr="00EC28DA">
        <w:rPr>
          <w:i/>
          <w:iCs/>
        </w:rPr>
        <w:t>N</w:t>
      </w:r>
      <w:r w:rsidRPr="00EC28DA">
        <w:rPr>
          <w:vertAlign w:val="subscript"/>
        </w:rPr>
        <w:t>0</w:t>
      </w:r>
      <w:r w:rsidRPr="00EC28DA">
        <w:t> + </w:t>
      </w:r>
      <w:r w:rsidRPr="00EC28DA">
        <w:rPr>
          <w:i/>
          <w:iCs/>
        </w:rPr>
        <w:t>I</w:t>
      </w:r>
      <w:r w:rsidRPr="00EC28DA">
        <w:rPr>
          <w:vertAlign w:val="subscript"/>
        </w:rPr>
        <w:t>0</w:t>
      </w:r>
      <w:r w:rsidRPr="00EC28DA">
        <w:t>) at 400 bit/s (26 dB/s) is:</w:t>
      </w:r>
    </w:p>
    <w:p w:rsidR="00BD5D3D" w:rsidRDefault="00BD5D3D" w:rsidP="00BD5D3D">
      <w:pPr>
        <w:pStyle w:val="Blanc"/>
      </w:pPr>
    </w:p>
    <w:p w:rsidR="00141723" w:rsidRPr="00970BCB" w:rsidRDefault="00141723" w:rsidP="00141723">
      <w:pPr>
        <w:pStyle w:val="Equation"/>
        <w:rPr>
          <w:lang w:val="nb-NO" w:eastAsia="zh-CN"/>
        </w:rPr>
      </w:pPr>
      <w:r w:rsidRPr="00EC28DA">
        <w:rPr>
          <w:lang w:eastAsia="zh-CN"/>
        </w:rPr>
        <w:tab/>
      </w:r>
      <w:r w:rsidRPr="00EC28DA">
        <w:rPr>
          <w:lang w:eastAsia="zh-CN"/>
        </w:rPr>
        <w:tab/>
      </w:r>
      <w:r w:rsidRPr="005A23A1">
        <w:rPr>
          <w:lang w:val="nb-NO" w:eastAsia="zh-CN"/>
        </w:rPr>
        <w:t xml:space="preserve">Overall </w:t>
      </w:r>
      <w:r w:rsidRPr="005A23A1">
        <w:rPr>
          <w:i/>
          <w:iCs/>
          <w:lang w:val="nb-NO" w:eastAsia="zh-CN"/>
        </w:rPr>
        <w:t>C</w:t>
      </w:r>
      <w:r w:rsidRPr="005A23A1">
        <w:rPr>
          <w:lang w:val="nb-NO" w:eastAsia="zh-CN"/>
        </w:rPr>
        <w:t>/(</w:t>
      </w:r>
      <w:r w:rsidRPr="005A23A1">
        <w:rPr>
          <w:i/>
          <w:iCs/>
          <w:lang w:val="nb-NO" w:eastAsia="zh-CN"/>
        </w:rPr>
        <w:t>N</w:t>
      </w:r>
      <w:r w:rsidRPr="005A23A1">
        <w:rPr>
          <w:vertAlign w:val="subscript"/>
          <w:lang w:val="nb-NO" w:eastAsia="zh-CN"/>
        </w:rPr>
        <w:t>0</w:t>
      </w:r>
      <w:r>
        <w:rPr>
          <w:lang w:val="nb-NO" w:eastAsia="zh-CN"/>
        </w:rPr>
        <w:t> </w:t>
      </w:r>
      <w:r w:rsidRPr="005A23A1">
        <w:rPr>
          <w:lang w:val="nb-NO" w:eastAsia="zh-CN"/>
        </w:rPr>
        <w:t>+</w:t>
      </w:r>
      <w:r>
        <w:rPr>
          <w:lang w:val="nb-NO" w:eastAsia="zh-CN"/>
        </w:rPr>
        <w:t> </w:t>
      </w:r>
      <w:r w:rsidRPr="005A23A1">
        <w:rPr>
          <w:i/>
          <w:iCs/>
          <w:lang w:val="nb-NO" w:eastAsia="zh-CN"/>
        </w:rPr>
        <w:t>I</w:t>
      </w:r>
      <w:r w:rsidRPr="005A23A1">
        <w:rPr>
          <w:vertAlign w:val="subscript"/>
          <w:lang w:val="nb-NO" w:eastAsia="zh-CN"/>
        </w:rPr>
        <w:t>0</w:t>
      </w:r>
      <w:r w:rsidRPr="005A23A1">
        <w:rPr>
          <w:lang w:val="nb-NO" w:eastAsia="zh-CN"/>
        </w:rPr>
        <w:t>) = 8.8 + 10</w:t>
      </w:r>
      <w:r>
        <w:rPr>
          <w:lang w:val="nb-NO" w:eastAsia="zh-CN"/>
        </w:rPr>
        <w:t xml:space="preserve"> </w:t>
      </w:r>
      <w:r w:rsidRPr="005A23A1">
        <w:rPr>
          <w:lang w:val="nb-NO" w:eastAsia="zh-CN"/>
        </w:rPr>
        <w:t>log10(400) = 34.8</w:t>
      </w:r>
      <w:r>
        <w:rPr>
          <w:lang w:val="nb-NO" w:eastAsia="zh-CN"/>
        </w:rPr>
        <w:t> </w:t>
      </w:r>
      <w:r w:rsidRPr="005A23A1">
        <w:rPr>
          <w:lang w:val="nb-NO" w:eastAsia="zh-CN"/>
        </w:rPr>
        <w:t>dB-Hz</w:t>
      </w:r>
    </w:p>
    <w:p w:rsidR="00BD5D3D" w:rsidRDefault="00BD5D3D" w:rsidP="00BD5D3D">
      <w:pPr>
        <w:pStyle w:val="Blanc"/>
      </w:pPr>
    </w:p>
    <w:p w:rsidR="00141723" w:rsidRPr="00EC28DA" w:rsidRDefault="00141723" w:rsidP="00141723">
      <w:r w:rsidRPr="00EC28DA">
        <w:t>As seen in</w:t>
      </w:r>
      <w:r>
        <w:t xml:space="preserve"> Fig</w:t>
      </w:r>
      <w:r>
        <w:rPr>
          <w:u w:val="single"/>
        </w:rPr>
        <w:t>.</w:t>
      </w:r>
      <w:r>
        <w:t xml:space="preserve"> 5</w:t>
      </w:r>
      <w:r w:rsidRPr="00EC28DA">
        <w:t>, 406 MHz distress beacon signals are received by the GALILEO SAR payload and translated to a downlink of 1</w:t>
      </w:r>
      <w:r>
        <w:t xml:space="preserve"> </w:t>
      </w:r>
      <w:r w:rsidRPr="00EC28DA">
        <w:t xml:space="preserve">544.1 MHz </w:t>
      </w:r>
      <w:r w:rsidRPr="00EC28DA">
        <w:rPr>
          <w:szCs w:val="24"/>
        </w:rPr>
        <w:sym w:font="Symbol" w:char="F0B1"/>
      </w:r>
      <w:r w:rsidRPr="00EC28DA">
        <w:t xml:space="preserve"> 100 kHz for detection and processing by MEOLUTs. The antenna gain and system noise temperature for a SAR/Galileo MEOLUT are 27 dBi and 253 K (24 dB</w:t>
      </w:r>
      <w:r>
        <w:t>(</w:t>
      </w:r>
      <w:r w:rsidRPr="00EC28DA">
        <w:t>K)</w:t>
      </w:r>
      <w:r>
        <w:t>)</w:t>
      </w:r>
      <w:r w:rsidRPr="00EC28DA">
        <w:t xml:space="preserve">, respectively. The corresponding </w:t>
      </w:r>
      <w:r w:rsidRPr="00EC28DA">
        <w:rPr>
          <w:i/>
          <w:iCs/>
        </w:rPr>
        <w:t>G</w:t>
      </w:r>
      <w:r w:rsidRPr="00EC28DA">
        <w:t>/</w:t>
      </w:r>
      <w:r w:rsidRPr="00EC28DA">
        <w:rPr>
          <w:i/>
          <w:iCs/>
        </w:rPr>
        <w:t>T</w:t>
      </w:r>
      <w:r w:rsidRPr="00EC28DA">
        <w:t xml:space="preserve"> is 3 dB/K.</w:t>
      </w:r>
    </w:p>
    <w:p w:rsidR="00141723" w:rsidRPr="00A651E1" w:rsidRDefault="00141723" w:rsidP="00141723">
      <w:pPr>
        <w:pStyle w:val="FigureNo"/>
      </w:pPr>
      <w:bookmarkStart w:id="26" w:name="_Ref222480835"/>
      <w:r w:rsidRPr="005A23A1">
        <w:lastRenderedPageBreak/>
        <w:t>Figure 5</w:t>
      </w:r>
      <w:bookmarkEnd w:id="26"/>
    </w:p>
    <w:p w:rsidR="00141723" w:rsidRDefault="00141723" w:rsidP="00141723">
      <w:pPr>
        <w:pStyle w:val="Figuretitle"/>
      </w:pPr>
      <w:r w:rsidRPr="005A23A1">
        <w:t>GALILEO SAR repeater link scenario</w:t>
      </w:r>
    </w:p>
    <w:p w:rsidR="007F7962" w:rsidRPr="007F7962" w:rsidRDefault="007F7962" w:rsidP="007F7962">
      <w:pPr>
        <w:pStyle w:val="Blanc"/>
      </w:pPr>
    </w:p>
    <w:p w:rsidR="00141723" w:rsidRPr="00141723" w:rsidRDefault="007F7962" w:rsidP="00141723">
      <w:pPr>
        <w:pStyle w:val="Figure"/>
      </w:pPr>
      <w:r>
        <w:pict>
          <v:shape id="_x0000_i1029" type="#_x0000_t75" style="width:462.6pt;height:300.6pt">
            <v:imagedata r:id="rId17" o:title=""/>
          </v:shape>
        </w:pict>
      </w:r>
    </w:p>
    <w:p w:rsidR="00141723" w:rsidRPr="00EC28DA" w:rsidRDefault="00141723" w:rsidP="00141723">
      <w:r w:rsidRPr="00EC28DA">
        <w:t xml:space="preserve">The beacon signal has an elevation angle of 5° with respect to the spacecraft. When no external sources of interference are present, and according to Annex 6 (calculation of Cospas-Sarsat link budgets), the overall </w:t>
      </w:r>
      <w:r w:rsidRPr="00EC28DA">
        <w:rPr>
          <w:i/>
          <w:iCs/>
        </w:rPr>
        <w:t>C</w:t>
      </w:r>
      <w:r w:rsidRPr="00EC28DA">
        <w:t>/</w:t>
      </w:r>
      <w:r w:rsidRPr="00EC28DA">
        <w:rPr>
          <w:i/>
          <w:iCs/>
        </w:rPr>
        <w:t>N</w:t>
      </w:r>
      <w:r w:rsidRPr="00EC28DA">
        <w:rPr>
          <w:vertAlign w:val="subscript"/>
        </w:rPr>
        <w:t>0</w:t>
      </w:r>
      <w:r w:rsidRPr="00EC28DA">
        <w:t xml:space="preserve"> is 35.4</w:t>
      </w:r>
      <w:r w:rsidRPr="00EC28DA">
        <w:rPr>
          <w:i/>
        </w:rPr>
        <w:t> </w:t>
      </w:r>
      <w:r w:rsidRPr="00EC28DA">
        <w:rPr>
          <w:iCs/>
        </w:rPr>
        <w:t>dB</w:t>
      </w:r>
      <w:r w:rsidRPr="00EC28DA">
        <w:rPr>
          <w:iCs/>
        </w:rPr>
        <w:noBreakHyphen/>
        <w:t>Hz,</w:t>
      </w:r>
      <w:r w:rsidRPr="00EC28DA">
        <w:t xml:space="preserve"> which for 400 bit/s equates to an </w:t>
      </w:r>
      <w:r w:rsidRPr="00EC28DA">
        <w:rPr>
          <w:i/>
          <w:iCs/>
        </w:rPr>
        <w:t>E</w:t>
      </w:r>
      <w:r w:rsidRPr="00EC28DA">
        <w:rPr>
          <w:i/>
          <w:iCs/>
          <w:vertAlign w:val="subscript"/>
        </w:rPr>
        <w:t>b</w:t>
      </w:r>
      <w:r w:rsidRPr="00EC28DA">
        <w:t>/</w:t>
      </w:r>
      <w:r w:rsidRPr="00EC28DA">
        <w:rPr>
          <w:i/>
          <w:iCs/>
        </w:rPr>
        <w:t>N</w:t>
      </w:r>
      <w:r w:rsidRPr="00EC28DA">
        <w:rPr>
          <w:vertAlign w:val="subscript"/>
        </w:rPr>
        <w:t xml:space="preserve">0 </w:t>
      </w:r>
      <w:r w:rsidRPr="00EC28DA">
        <w:t xml:space="preserve">of 9.4 dB (35.4 dB-Hz – 26 dB/s). Accounting for implementation losses (0.5 dB), beacon data modulation losses (1.0 dB) and processing gain (2.0 dB) at the MEOLUT, results in an effective ratio of </w:t>
      </w:r>
      <w:r w:rsidRPr="00EC28DA">
        <w:rPr>
          <w:i/>
          <w:iCs/>
        </w:rPr>
        <w:t>E</w:t>
      </w:r>
      <w:r w:rsidRPr="00EC28DA">
        <w:rPr>
          <w:i/>
          <w:iCs/>
          <w:vertAlign w:val="subscript"/>
        </w:rPr>
        <w:t>b</w:t>
      </w:r>
      <w:r w:rsidRPr="00EC28DA">
        <w:t>/</w:t>
      </w:r>
      <w:r w:rsidRPr="00EC28DA">
        <w:rPr>
          <w:i/>
          <w:iCs/>
        </w:rPr>
        <w:t>N</w:t>
      </w:r>
      <w:r w:rsidRPr="00EC28DA">
        <w:rPr>
          <w:vertAlign w:val="subscript"/>
        </w:rPr>
        <w:t xml:space="preserve">0 </w:t>
      </w:r>
      <w:r w:rsidRPr="00EC28DA">
        <w:t xml:space="preserve">of 9.9 dB. Since the channel requires an overall </w:t>
      </w:r>
      <w:r w:rsidRPr="00EC28DA">
        <w:rPr>
          <w:i/>
          <w:iCs/>
        </w:rPr>
        <w:t>E</w:t>
      </w:r>
      <w:r w:rsidRPr="00EC28DA">
        <w:rPr>
          <w:i/>
          <w:iCs/>
          <w:vertAlign w:val="subscript"/>
        </w:rPr>
        <w:t>b</w:t>
      </w:r>
      <w:r w:rsidRPr="00EC28DA">
        <w:t>/(</w:t>
      </w:r>
      <w:r w:rsidRPr="00EC28DA">
        <w:rPr>
          <w:i/>
          <w:iCs/>
        </w:rPr>
        <w:t>N</w:t>
      </w:r>
      <w:r w:rsidRPr="00EC28DA">
        <w:rPr>
          <w:vertAlign w:val="subscript"/>
        </w:rPr>
        <w:t>0</w:t>
      </w:r>
      <w:r w:rsidRPr="00EC28DA">
        <w:t xml:space="preserve"> + </w:t>
      </w:r>
      <w:r w:rsidRPr="00EC28DA">
        <w:rPr>
          <w:i/>
          <w:iCs/>
        </w:rPr>
        <w:t>I</w:t>
      </w:r>
      <w:r w:rsidRPr="00EC28DA">
        <w:rPr>
          <w:vertAlign w:val="subscript"/>
        </w:rPr>
        <w:t>0</w:t>
      </w:r>
      <w:r w:rsidRPr="00EC28DA">
        <w:t>)</w:t>
      </w:r>
      <w:r w:rsidRPr="00EC28DA">
        <w:rPr>
          <w:vertAlign w:val="subscript"/>
        </w:rPr>
        <w:t xml:space="preserve"> </w:t>
      </w:r>
      <w:r w:rsidRPr="00EC28DA">
        <w:t>of at least 8.8 dB to reliably meet minimum performance, the accumulation of broadband interference on the downlink that reduces the overall carrier</w:t>
      </w:r>
      <w:r>
        <w:t>-</w:t>
      </w:r>
      <w:r w:rsidRPr="00EC28DA">
        <w:t>to</w:t>
      </w:r>
      <w:r>
        <w:t>-</w:t>
      </w:r>
      <w:r w:rsidRPr="00EC28DA">
        <w:t>noise plus interference density ratio by more than 1.1 dB cannot be accommodated.</w:t>
      </w:r>
    </w:p>
    <w:p w:rsidR="00141723" w:rsidRPr="00EC28DA" w:rsidRDefault="00141723" w:rsidP="00141723">
      <w:r w:rsidRPr="00EC28DA">
        <w:t xml:space="preserve">Since the overall </w:t>
      </w:r>
      <w:r w:rsidRPr="00EC28DA">
        <w:rPr>
          <w:i/>
          <w:iCs/>
        </w:rPr>
        <w:t>C</w:t>
      </w:r>
      <w:r w:rsidRPr="00EC28DA">
        <w:t>/</w:t>
      </w:r>
      <w:r w:rsidRPr="00EC28DA">
        <w:rPr>
          <w:i/>
          <w:iCs/>
        </w:rPr>
        <w:t>N</w:t>
      </w:r>
      <w:r w:rsidRPr="00EC28DA">
        <w:rPr>
          <w:vertAlign w:val="subscript"/>
        </w:rPr>
        <w:t xml:space="preserve">0 </w:t>
      </w:r>
      <w:r w:rsidRPr="00EC28DA">
        <w:t>in the absence of interference equates to 35.4 dB</w:t>
      </w:r>
      <w:r w:rsidRPr="00EC28DA">
        <w:noBreakHyphen/>
        <w:t>Hz, broadband noise-like interference on the downlink that degrades it by 1.1 dB, would result in an overall carrier</w:t>
      </w:r>
      <w:r>
        <w:t>-</w:t>
      </w:r>
      <w:r w:rsidRPr="00EC28DA">
        <w:t>to</w:t>
      </w:r>
      <w:r>
        <w:t>-</w:t>
      </w:r>
      <w:r w:rsidRPr="00EC28DA">
        <w:t>noise plus interference density ratio (</w:t>
      </w:r>
      <w:r w:rsidRPr="00EC28DA">
        <w:rPr>
          <w:i/>
          <w:iCs/>
        </w:rPr>
        <w:t>C</w:t>
      </w:r>
      <w:r w:rsidRPr="00EC28DA">
        <w:t>/(</w:t>
      </w:r>
      <w:r w:rsidRPr="00EC28DA">
        <w:rPr>
          <w:i/>
          <w:iCs/>
        </w:rPr>
        <w:t>N</w:t>
      </w:r>
      <w:r w:rsidRPr="00EC28DA">
        <w:rPr>
          <w:vertAlign w:val="subscript"/>
        </w:rPr>
        <w:t>0</w:t>
      </w:r>
      <w:r w:rsidRPr="00EC28DA">
        <w:t xml:space="preserve"> + </w:t>
      </w:r>
      <w:r w:rsidRPr="00EC28DA">
        <w:rPr>
          <w:i/>
          <w:iCs/>
        </w:rPr>
        <w:t>I</w:t>
      </w:r>
      <w:r w:rsidRPr="00EC28DA">
        <w:rPr>
          <w:vertAlign w:val="subscript"/>
        </w:rPr>
        <w:t>0</w:t>
      </w:r>
      <w:r w:rsidRPr="00EC28DA">
        <w:t>))</w:t>
      </w:r>
      <w:r w:rsidRPr="00EC28DA">
        <w:rPr>
          <w:i/>
          <w:iCs/>
          <w:vertAlign w:val="subscript"/>
        </w:rPr>
        <w:t>overall</w:t>
      </w:r>
      <w:r w:rsidRPr="00141723">
        <w:t xml:space="preserve"> </w:t>
      </w:r>
      <w:r w:rsidRPr="005A23A1">
        <w:rPr>
          <w:lang w:val="nb-NO"/>
        </w:rPr>
        <w:t xml:space="preserve"> </w:t>
      </w:r>
      <w:r w:rsidRPr="00EC28DA">
        <w:t>of</w:t>
      </w:r>
      <w:r>
        <w:t xml:space="preserve"> 34.3 dB-Hz.</w:t>
      </w:r>
    </w:p>
    <w:p w:rsidR="00141723" w:rsidRPr="00EC28DA" w:rsidRDefault="00141723" w:rsidP="00141723">
      <w:r w:rsidRPr="00EC28DA">
        <w:t>The (</w:t>
      </w:r>
      <w:r w:rsidRPr="00EC28DA">
        <w:rPr>
          <w:i/>
          <w:iCs/>
        </w:rPr>
        <w:t>C</w:t>
      </w:r>
      <w:r w:rsidRPr="00EC28DA">
        <w:t>/(</w:t>
      </w:r>
      <w:r w:rsidRPr="00EC28DA">
        <w:rPr>
          <w:i/>
          <w:iCs/>
        </w:rPr>
        <w:t>N</w:t>
      </w:r>
      <w:r w:rsidRPr="00EC28DA">
        <w:rPr>
          <w:vertAlign w:val="subscript"/>
        </w:rPr>
        <w:t>0</w:t>
      </w:r>
      <w:r w:rsidRPr="00EC28DA">
        <w:t xml:space="preserve"> + </w:t>
      </w:r>
      <w:r w:rsidRPr="00EC28DA">
        <w:rPr>
          <w:i/>
          <w:iCs/>
        </w:rPr>
        <w:t>I</w:t>
      </w:r>
      <w:r w:rsidRPr="00EC28DA">
        <w:rPr>
          <w:vertAlign w:val="subscript"/>
        </w:rPr>
        <w:t>0</w:t>
      </w:r>
      <w:r w:rsidRPr="00EC28DA">
        <w:t>))</w:t>
      </w:r>
      <w:r w:rsidRPr="00EC28DA">
        <w:rPr>
          <w:i/>
          <w:iCs/>
          <w:vertAlign w:val="subscript"/>
        </w:rPr>
        <w:t>overall</w:t>
      </w:r>
      <w:r w:rsidRPr="00EC28DA">
        <w:t xml:space="preserve"> is calculated from the carrier</w:t>
      </w:r>
      <w:r>
        <w:t>-</w:t>
      </w:r>
      <w:r w:rsidRPr="00EC28DA">
        <w:t>to</w:t>
      </w:r>
      <w:r>
        <w:t>-</w:t>
      </w:r>
      <w:r w:rsidRPr="00EC28DA">
        <w:t>noise plus interference density ratios of the uplink and downlink as indicated below:</w:t>
      </w:r>
    </w:p>
    <w:p w:rsidR="00BD5D3D" w:rsidRDefault="00BD5D3D" w:rsidP="00BD5D3D">
      <w:pPr>
        <w:pStyle w:val="Blanc"/>
      </w:pPr>
    </w:p>
    <w:p w:rsidR="00141723" w:rsidRPr="00970BCB" w:rsidRDefault="00141723" w:rsidP="00141723">
      <w:pPr>
        <w:pStyle w:val="Equation"/>
        <w:rPr>
          <w:lang w:val="nb-NO"/>
        </w:rPr>
      </w:pPr>
      <w:r w:rsidRPr="00EC28DA">
        <w:tab/>
      </w:r>
      <w:r w:rsidRPr="00EC28DA">
        <w:tab/>
      </w:r>
      <w:r w:rsidRPr="005A23A1">
        <w:rPr>
          <w:lang w:val="nb-NO"/>
        </w:rPr>
        <w:t>(</w:t>
      </w:r>
      <w:r w:rsidRPr="005A23A1">
        <w:rPr>
          <w:i/>
          <w:iCs/>
          <w:lang w:val="nb-NO"/>
        </w:rPr>
        <w:t>C</w:t>
      </w:r>
      <w:r w:rsidRPr="005A23A1">
        <w:rPr>
          <w:lang w:val="nb-NO"/>
        </w:rPr>
        <w:t>/(</w:t>
      </w:r>
      <w:r w:rsidRPr="005A23A1">
        <w:rPr>
          <w:i/>
          <w:iCs/>
          <w:lang w:val="nb-NO"/>
        </w:rPr>
        <w:t>N</w:t>
      </w:r>
      <w:r w:rsidRPr="005A23A1">
        <w:rPr>
          <w:vertAlign w:val="subscript"/>
          <w:lang w:val="nb-NO"/>
        </w:rPr>
        <w:t>0</w:t>
      </w:r>
      <w:r w:rsidRPr="005A23A1">
        <w:rPr>
          <w:lang w:val="nb-NO"/>
        </w:rPr>
        <w:t xml:space="preserve"> + </w:t>
      </w:r>
      <w:r w:rsidRPr="005A23A1">
        <w:rPr>
          <w:i/>
          <w:iCs/>
          <w:lang w:val="nb-NO"/>
        </w:rPr>
        <w:t>I</w:t>
      </w:r>
      <w:r w:rsidRPr="005A23A1">
        <w:rPr>
          <w:vertAlign w:val="subscript"/>
          <w:lang w:val="nb-NO"/>
        </w:rPr>
        <w:t>0</w:t>
      </w:r>
      <w:r w:rsidRPr="005A23A1">
        <w:rPr>
          <w:lang w:val="nb-NO"/>
        </w:rPr>
        <w:t>))</w:t>
      </w:r>
      <w:r w:rsidRPr="005A23A1">
        <w:rPr>
          <w:i/>
          <w:iCs/>
          <w:vertAlign w:val="subscript"/>
          <w:lang w:val="nb-NO"/>
        </w:rPr>
        <w:t xml:space="preserve">overall </w:t>
      </w:r>
      <w:r w:rsidRPr="005A23A1">
        <w:rPr>
          <w:lang w:val="nb-NO"/>
        </w:rPr>
        <w:t xml:space="preserve"> = ((</w:t>
      </w:r>
      <w:r w:rsidRPr="005A23A1">
        <w:rPr>
          <w:i/>
          <w:iCs/>
          <w:lang w:val="nb-NO"/>
        </w:rPr>
        <w:t>C</w:t>
      </w:r>
      <w:r w:rsidRPr="005A23A1">
        <w:rPr>
          <w:lang w:val="nb-NO"/>
        </w:rPr>
        <w:t>/(</w:t>
      </w:r>
      <w:r w:rsidRPr="005A23A1">
        <w:rPr>
          <w:i/>
          <w:iCs/>
          <w:lang w:val="nb-NO"/>
        </w:rPr>
        <w:t>N</w:t>
      </w:r>
      <w:r w:rsidRPr="005A23A1">
        <w:rPr>
          <w:vertAlign w:val="subscript"/>
          <w:lang w:val="nb-NO"/>
        </w:rPr>
        <w:t>0</w:t>
      </w:r>
      <w:r w:rsidRPr="005A23A1">
        <w:rPr>
          <w:lang w:val="nb-NO"/>
        </w:rPr>
        <w:t xml:space="preserve"> + </w:t>
      </w:r>
      <w:r w:rsidRPr="005A23A1">
        <w:rPr>
          <w:i/>
          <w:iCs/>
          <w:lang w:val="nb-NO"/>
        </w:rPr>
        <w:t>I</w:t>
      </w:r>
      <w:r w:rsidRPr="005A23A1">
        <w:rPr>
          <w:vertAlign w:val="subscript"/>
          <w:lang w:val="nb-NO"/>
        </w:rPr>
        <w:t>0</w:t>
      </w:r>
      <w:r w:rsidRPr="005A23A1">
        <w:rPr>
          <w:lang w:val="nb-NO"/>
        </w:rPr>
        <w:t>))</w:t>
      </w:r>
      <w:r>
        <w:rPr>
          <w:vertAlign w:val="superscript"/>
          <w:lang w:val="nb-NO"/>
        </w:rPr>
        <w:t>−</w:t>
      </w:r>
      <w:r w:rsidRPr="005A23A1">
        <w:rPr>
          <w:vertAlign w:val="superscript"/>
          <w:lang w:val="nb-NO"/>
        </w:rPr>
        <w:t>1</w:t>
      </w:r>
      <w:r w:rsidRPr="00EC28DA">
        <w:rPr>
          <w:iCs/>
          <w:szCs w:val="24"/>
          <w:vertAlign w:val="subscript"/>
        </w:rPr>
        <w:sym w:font="Symbol" w:char="F0AD"/>
      </w:r>
      <w:r w:rsidRPr="005A23A1">
        <w:rPr>
          <w:i/>
          <w:iCs/>
          <w:lang w:val="nb-NO"/>
        </w:rPr>
        <w:t xml:space="preserve"> </w:t>
      </w:r>
      <w:r w:rsidRPr="005A23A1">
        <w:rPr>
          <w:lang w:val="nb-NO"/>
        </w:rPr>
        <w:t>+ (</w:t>
      </w:r>
      <w:r w:rsidRPr="005A23A1">
        <w:rPr>
          <w:i/>
          <w:iCs/>
          <w:lang w:val="nb-NO"/>
        </w:rPr>
        <w:t>C</w:t>
      </w:r>
      <w:r w:rsidRPr="005A23A1">
        <w:rPr>
          <w:lang w:val="nb-NO"/>
        </w:rPr>
        <w:t>/(</w:t>
      </w:r>
      <w:r w:rsidRPr="005A23A1">
        <w:rPr>
          <w:i/>
          <w:iCs/>
          <w:lang w:val="nb-NO"/>
        </w:rPr>
        <w:t>N</w:t>
      </w:r>
      <w:r w:rsidRPr="005A23A1">
        <w:rPr>
          <w:vertAlign w:val="subscript"/>
          <w:lang w:val="nb-NO"/>
        </w:rPr>
        <w:t>0</w:t>
      </w:r>
      <w:r w:rsidRPr="005A23A1">
        <w:rPr>
          <w:lang w:val="nb-NO"/>
        </w:rPr>
        <w:t xml:space="preserve"> + </w:t>
      </w:r>
      <w:r w:rsidRPr="005A23A1">
        <w:rPr>
          <w:i/>
          <w:iCs/>
          <w:lang w:val="nb-NO"/>
        </w:rPr>
        <w:t>I</w:t>
      </w:r>
      <w:r w:rsidRPr="005A23A1">
        <w:rPr>
          <w:vertAlign w:val="subscript"/>
          <w:lang w:val="nb-NO"/>
        </w:rPr>
        <w:t>0</w:t>
      </w:r>
      <w:r w:rsidRPr="005A23A1">
        <w:rPr>
          <w:lang w:val="nb-NO"/>
        </w:rPr>
        <w:t>))</w:t>
      </w:r>
      <w:r>
        <w:rPr>
          <w:vertAlign w:val="superscript"/>
          <w:lang w:val="nb-NO"/>
        </w:rPr>
        <w:t>−</w:t>
      </w:r>
      <w:r w:rsidRPr="005A23A1">
        <w:rPr>
          <w:vertAlign w:val="superscript"/>
          <w:lang w:val="nb-NO"/>
        </w:rPr>
        <w:t>1</w:t>
      </w:r>
      <w:r w:rsidRPr="00EC28DA">
        <w:rPr>
          <w:iCs/>
          <w:szCs w:val="24"/>
          <w:vertAlign w:val="subscript"/>
        </w:rPr>
        <w:sym w:font="Symbol" w:char="F0AF"/>
      </w:r>
      <w:r w:rsidRPr="005A23A1">
        <w:rPr>
          <w:lang w:val="nb-NO"/>
        </w:rPr>
        <w:t>)</w:t>
      </w:r>
      <w:r>
        <w:rPr>
          <w:vertAlign w:val="superscript"/>
          <w:lang w:val="nb-NO"/>
        </w:rPr>
        <w:t>−</w:t>
      </w:r>
      <w:r w:rsidRPr="005A23A1">
        <w:rPr>
          <w:vertAlign w:val="superscript"/>
          <w:lang w:val="nb-NO"/>
        </w:rPr>
        <w:t>1</w:t>
      </w:r>
    </w:p>
    <w:p w:rsidR="00BD5D3D" w:rsidRDefault="00BD5D3D" w:rsidP="00BD5D3D">
      <w:pPr>
        <w:pStyle w:val="Blanc"/>
      </w:pPr>
    </w:p>
    <w:p w:rsidR="00141723" w:rsidRPr="00EC28DA" w:rsidRDefault="00141723" w:rsidP="00141723">
      <w:r w:rsidRPr="00EC28DA">
        <w:t>Since this analysis only concerns downlink interference, the above equation simplifies to:</w:t>
      </w:r>
    </w:p>
    <w:p w:rsidR="00BD5D3D" w:rsidRDefault="00BD5D3D" w:rsidP="00BD5D3D">
      <w:pPr>
        <w:pStyle w:val="Blanc"/>
      </w:pPr>
    </w:p>
    <w:p w:rsidR="00141723" w:rsidRPr="00EC28DA" w:rsidRDefault="00141723" w:rsidP="00141723">
      <w:pPr>
        <w:pStyle w:val="Equation"/>
      </w:pPr>
      <w:r w:rsidRPr="00EC28DA">
        <w:tab/>
      </w:r>
      <w:r w:rsidRPr="00EC28DA">
        <w:tab/>
        <w:t>(</w:t>
      </w:r>
      <w:r w:rsidRPr="00EC28DA">
        <w:rPr>
          <w:i/>
          <w:iCs/>
        </w:rPr>
        <w:t>C</w:t>
      </w:r>
      <w:r w:rsidRPr="00EC28DA">
        <w:t>/(</w:t>
      </w:r>
      <w:r w:rsidRPr="00EC28DA">
        <w:rPr>
          <w:i/>
          <w:iCs/>
        </w:rPr>
        <w:t>N</w:t>
      </w:r>
      <w:r w:rsidRPr="00EC28DA">
        <w:rPr>
          <w:vertAlign w:val="subscript"/>
        </w:rPr>
        <w:t>0</w:t>
      </w:r>
      <w:r w:rsidRPr="00EC28DA">
        <w:t xml:space="preserve"> + </w:t>
      </w:r>
      <w:r w:rsidRPr="00EC28DA">
        <w:rPr>
          <w:i/>
          <w:iCs/>
        </w:rPr>
        <w:t>I</w:t>
      </w:r>
      <w:r w:rsidRPr="00EC28DA">
        <w:rPr>
          <w:vertAlign w:val="subscript"/>
        </w:rPr>
        <w:t>0</w:t>
      </w:r>
      <w:r w:rsidRPr="00EC28DA">
        <w:t>))</w:t>
      </w:r>
      <w:r w:rsidRPr="00EC28DA">
        <w:rPr>
          <w:i/>
          <w:iCs/>
          <w:vertAlign w:val="subscript"/>
        </w:rPr>
        <w:t xml:space="preserve">overall </w:t>
      </w:r>
      <w:r w:rsidRPr="005A23A1">
        <w:rPr>
          <w:lang w:val="nb-NO"/>
        </w:rPr>
        <w:t xml:space="preserve"> </w:t>
      </w:r>
      <w:r w:rsidRPr="00EC28DA">
        <w:t>= ((</w:t>
      </w:r>
      <w:r w:rsidRPr="00EC28DA">
        <w:rPr>
          <w:i/>
          <w:iCs/>
        </w:rPr>
        <w:t>C</w:t>
      </w:r>
      <w:r w:rsidRPr="00EC28DA">
        <w:t>/</w:t>
      </w:r>
      <w:r w:rsidRPr="00EC28DA">
        <w:rPr>
          <w:i/>
          <w:iCs/>
        </w:rPr>
        <w:t>N</w:t>
      </w:r>
      <w:r w:rsidRPr="00EC28DA">
        <w:rPr>
          <w:vertAlign w:val="subscript"/>
        </w:rPr>
        <w:t>0</w:t>
      </w:r>
      <w:r w:rsidRPr="00EC28DA">
        <w:t>)</w:t>
      </w:r>
      <w:r w:rsidRPr="00EC28DA">
        <w:rPr>
          <w:vertAlign w:val="superscript"/>
        </w:rPr>
        <w:t>−1</w:t>
      </w:r>
      <w:r w:rsidRPr="00EC28DA">
        <w:rPr>
          <w:iCs/>
          <w:szCs w:val="24"/>
          <w:vertAlign w:val="subscript"/>
        </w:rPr>
        <w:sym w:font="Symbol" w:char="F0AD"/>
      </w:r>
      <w:r w:rsidRPr="00EC28DA">
        <w:t xml:space="preserve"> + (</w:t>
      </w:r>
      <w:r w:rsidRPr="00EC28DA">
        <w:rPr>
          <w:i/>
          <w:iCs/>
        </w:rPr>
        <w:t>C</w:t>
      </w:r>
      <w:r w:rsidRPr="00EC28DA">
        <w:t>/(</w:t>
      </w:r>
      <w:r w:rsidRPr="00EC28DA">
        <w:rPr>
          <w:i/>
          <w:iCs/>
        </w:rPr>
        <w:t>N</w:t>
      </w:r>
      <w:r w:rsidRPr="00EC28DA">
        <w:rPr>
          <w:vertAlign w:val="subscript"/>
        </w:rPr>
        <w:t>0</w:t>
      </w:r>
      <w:r w:rsidRPr="00EC28DA">
        <w:t xml:space="preserve"> + </w:t>
      </w:r>
      <w:r w:rsidRPr="00EC28DA">
        <w:rPr>
          <w:i/>
          <w:iCs/>
        </w:rPr>
        <w:t>I</w:t>
      </w:r>
      <w:r w:rsidRPr="00EC28DA">
        <w:rPr>
          <w:vertAlign w:val="subscript"/>
        </w:rPr>
        <w:t>0</w:t>
      </w:r>
      <w:r w:rsidRPr="00EC28DA">
        <w:t>))</w:t>
      </w:r>
      <w:r w:rsidRPr="00EC28DA">
        <w:rPr>
          <w:vertAlign w:val="superscript"/>
        </w:rPr>
        <w:t>−1</w:t>
      </w:r>
      <w:r w:rsidRPr="00EC28DA">
        <w:rPr>
          <w:iCs/>
          <w:szCs w:val="24"/>
          <w:vertAlign w:val="subscript"/>
        </w:rPr>
        <w:sym w:font="Symbol" w:char="F0AF"/>
      </w:r>
      <w:r w:rsidRPr="00EC28DA">
        <w:t>)</w:t>
      </w:r>
      <w:r w:rsidRPr="00EC28DA">
        <w:rPr>
          <w:vertAlign w:val="superscript"/>
        </w:rPr>
        <w:t>−1</w:t>
      </w:r>
    </w:p>
    <w:p w:rsidR="00BD5D3D" w:rsidRDefault="00BD5D3D" w:rsidP="00BD5D3D">
      <w:pPr>
        <w:pStyle w:val="Blanc"/>
      </w:pPr>
    </w:p>
    <w:p w:rsidR="00141723" w:rsidRPr="00EC28DA" w:rsidRDefault="00141723" w:rsidP="00141723">
      <w:r w:rsidRPr="00EC28DA">
        <w:t>Substituting 34.3 dB</w:t>
      </w:r>
      <w:r w:rsidRPr="00EC28DA">
        <w:noBreakHyphen/>
        <w:t>Hz for (</w:t>
      </w:r>
      <w:r w:rsidRPr="00EC28DA">
        <w:rPr>
          <w:i/>
          <w:iCs/>
        </w:rPr>
        <w:t>C</w:t>
      </w:r>
      <w:r w:rsidRPr="00EC28DA">
        <w:t>/(</w:t>
      </w:r>
      <w:r w:rsidRPr="00EC28DA">
        <w:rPr>
          <w:i/>
          <w:iCs/>
        </w:rPr>
        <w:t>N</w:t>
      </w:r>
      <w:r w:rsidRPr="00EC28DA">
        <w:rPr>
          <w:vertAlign w:val="subscript"/>
        </w:rPr>
        <w:t>0</w:t>
      </w:r>
      <w:r w:rsidRPr="00EC28DA">
        <w:t xml:space="preserve"> + </w:t>
      </w:r>
      <w:r w:rsidRPr="00EC28DA">
        <w:rPr>
          <w:i/>
          <w:iCs/>
        </w:rPr>
        <w:t>I</w:t>
      </w:r>
      <w:r w:rsidRPr="00EC28DA">
        <w:rPr>
          <w:vertAlign w:val="subscript"/>
        </w:rPr>
        <w:t>0</w:t>
      </w:r>
      <w:r w:rsidRPr="00EC28DA">
        <w:t>))</w:t>
      </w:r>
      <w:r w:rsidRPr="00EC28DA">
        <w:rPr>
          <w:i/>
          <w:iCs/>
          <w:vertAlign w:val="subscript"/>
        </w:rPr>
        <w:t>overall</w:t>
      </w:r>
      <w:r w:rsidRPr="00EC28DA">
        <w:rPr>
          <w:i/>
          <w:iCs/>
        </w:rPr>
        <w:t xml:space="preserve"> </w:t>
      </w:r>
      <w:r w:rsidRPr="005A23A1">
        <w:rPr>
          <w:lang w:val="nb-NO"/>
        </w:rPr>
        <w:t xml:space="preserve"> </w:t>
      </w:r>
      <w:r w:rsidRPr="00EC28DA">
        <w:t>and 35.7 dB</w:t>
      </w:r>
      <w:r w:rsidRPr="00EC28DA">
        <w:noBreakHyphen/>
        <w:t>Hz for (</w:t>
      </w:r>
      <w:r w:rsidRPr="00EC28DA">
        <w:rPr>
          <w:i/>
          <w:iCs/>
        </w:rPr>
        <w:t>C</w:t>
      </w:r>
      <w:r w:rsidRPr="00EC28DA">
        <w:t>/</w:t>
      </w:r>
      <w:r w:rsidRPr="00EC28DA">
        <w:rPr>
          <w:i/>
          <w:iCs/>
        </w:rPr>
        <w:t>N</w:t>
      </w:r>
      <w:r w:rsidRPr="00EC28DA">
        <w:rPr>
          <w:vertAlign w:val="subscript"/>
        </w:rPr>
        <w:t>0</w:t>
      </w:r>
      <w:r w:rsidRPr="00EC28DA">
        <w:t>)</w:t>
      </w:r>
      <w:r w:rsidRPr="00EC28DA">
        <w:rPr>
          <w:iCs/>
          <w:szCs w:val="24"/>
          <w:vertAlign w:val="subscript"/>
        </w:rPr>
        <w:sym w:font="Symbol" w:char="F0AD"/>
      </w:r>
      <w:r w:rsidRPr="00EC28DA">
        <w:t xml:space="preserve"> results in a (</w:t>
      </w:r>
      <w:r w:rsidRPr="00EC28DA">
        <w:rPr>
          <w:i/>
          <w:iCs/>
        </w:rPr>
        <w:t>C</w:t>
      </w:r>
      <w:r w:rsidRPr="00EC28DA">
        <w:t>/(</w:t>
      </w:r>
      <w:r w:rsidRPr="00EC28DA">
        <w:rPr>
          <w:i/>
          <w:iCs/>
        </w:rPr>
        <w:t>N</w:t>
      </w:r>
      <w:r w:rsidRPr="00EC28DA">
        <w:rPr>
          <w:vertAlign w:val="subscript"/>
        </w:rPr>
        <w:t>0</w:t>
      </w:r>
      <w:r w:rsidRPr="00EC28DA">
        <w:t xml:space="preserve"> + </w:t>
      </w:r>
      <w:r w:rsidRPr="00EC28DA">
        <w:rPr>
          <w:i/>
          <w:iCs/>
        </w:rPr>
        <w:t>I</w:t>
      </w:r>
      <w:r w:rsidRPr="00EC28DA">
        <w:rPr>
          <w:vertAlign w:val="subscript"/>
        </w:rPr>
        <w:t>0</w:t>
      </w:r>
      <w:r w:rsidRPr="00EC28DA">
        <w:t>))</w:t>
      </w:r>
      <w:r w:rsidRPr="00EC28DA">
        <w:rPr>
          <w:iCs/>
          <w:szCs w:val="24"/>
          <w:vertAlign w:val="subscript"/>
        </w:rPr>
        <w:sym w:font="Symbol" w:char="F0AF"/>
      </w:r>
      <w:r w:rsidRPr="00EC28DA">
        <w:rPr>
          <w:i/>
          <w:iCs/>
        </w:rPr>
        <w:t xml:space="preserve"> </w:t>
      </w:r>
      <w:r w:rsidRPr="00EC28DA">
        <w:t>of 39.9 dB</w:t>
      </w:r>
      <w:r w:rsidRPr="00EC28DA">
        <w:noBreakHyphen/>
        <w:t>Hz (see below):</w:t>
      </w:r>
    </w:p>
    <w:p w:rsidR="00141723" w:rsidRPr="00970BCB" w:rsidRDefault="00141723" w:rsidP="00141723">
      <w:pPr>
        <w:pStyle w:val="Equation"/>
        <w:rPr>
          <w:vertAlign w:val="superscript"/>
          <w:lang w:val="pt-PT"/>
        </w:rPr>
      </w:pPr>
      <w:r w:rsidRPr="00EC28DA">
        <w:tab/>
      </w:r>
      <w:r w:rsidRPr="00EC28DA">
        <w:tab/>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 xml:space="preserve"> + </w:t>
      </w:r>
      <w:r w:rsidRPr="005A23A1">
        <w:rPr>
          <w:i/>
          <w:iCs/>
          <w:lang w:val="pt-PT"/>
        </w:rPr>
        <w:t>I</w:t>
      </w:r>
      <w:r w:rsidRPr="005A23A1">
        <w:rPr>
          <w:vertAlign w:val="subscript"/>
          <w:lang w:val="pt-PT"/>
        </w:rPr>
        <w:t>0</w:t>
      </w:r>
      <w:r w:rsidRPr="005A23A1">
        <w:rPr>
          <w:lang w:val="pt-PT"/>
        </w:rPr>
        <w:t>)</w:t>
      </w:r>
      <w:r w:rsidRPr="00EC28DA">
        <w:rPr>
          <w:iCs/>
          <w:szCs w:val="24"/>
          <w:vertAlign w:val="subscript"/>
        </w:rPr>
        <w:sym w:font="Symbol" w:char="F0AF"/>
      </w:r>
      <w:r w:rsidRPr="005A23A1">
        <w:rPr>
          <w:i/>
          <w:iCs/>
          <w:lang w:val="pt-PT"/>
        </w:rPr>
        <w:t xml:space="preserve"> </w:t>
      </w:r>
      <w:r w:rsidRPr="005A23A1">
        <w:rPr>
          <w:lang w:val="pt-PT"/>
        </w:rPr>
        <w:t>= ((</w:t>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 xml:space="preserve"> + </w:t>
      </w:r>
      <w:r w:rsidRPr="005A23A1">
        <w:rPr>
          <w:i/>
          <w:iCs/>
          <w:lang w:val="pt-PT"/>
        </w:rPr>
        <w:t>I</w:t>
      </w:r>
      <w:r w:rsidRPr="005A23A1">
        <w:rPr>
          <w:vertAlign w:val="subscript"/>
          <w:lang w:val="pt-PT"/>
        </w:rPr>
        <w:t>0</w:t>
      </w:r>
      <w:r w:rsidRPr="005A23A1">
        <w:rPr>
          <w:lang w:val="pt-PT"/>
        </w:rPr>
        <w:t>))</w:t>
      </w:r>
      <w:r w:rsidRPr="005A23A1">
        <w:rPr>
          <w:i/>
          <w:iCs/>
          <w:vertAlign w:val="subscript"/>
          <w:lang w:val="pt-PT"/>
        </w:rPr>
        <w:t xml:space="preserve">overall </w:t>
      </w:r>
      <w:r>
        <w:rPr>
          <w:vertAlign w:val="superscript"/>
          <w:lang w:val="pt-PT"/>
        </w:rPr>
        <w:t>−</w:t>
      </w:r>
      <w:r w:rsidRPr="005A23A1">
        <w:rPr>
          <w:vertAlign w:val="superscript"/>
          <w:lang w:val="pt-PT"/>
        </w:rPr>
        <w:t>1</w:t>
      </w:r>
      <w:r w:rsidRPr="005A23A1">
        <w:rPr>
          <w:lang w:val="pt-PT"/>
        </w:rPr>
        <w:t xml:space="preserve"> </w:t>
      </w:r>
      <w:r>
        <w:rPr>
          <w:lang w:val="pt-PT"/>
        </w:rPr>
        <w:t>−</w:t>
      </w:r>
      <w:r w:rsidRPr="005A23A1">
        <w:rPr>
          <w:lang w:val="pt-PT"/>
        </w:rPr>
        <w:t xml:space="preserve"> (</w:t>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w:t>
      </w:r>
      <w:r w:rsidRPr="00EC28DA">
        <w:rPr>
          <w:iCs/>
          <w:szCs w:val="24"/>
          <w:vertAlign w:val="subscript"/>
        </w:rPr>
        <w:sym w:font="Symbol" w:char="F0AD"/>
      </w:r>
      <w:r>
        <w:rPr>
          <w:vertAlign w:val="superscript"/>
          <w:lang w:val="pt-PT"/>
        </w:rPr>
        <w:t>−</w:t>
      </w:r>
      <w:r w:rsidRPr="005A23A1">
        <w:rPr>
          <w:vertAlign w:val="superscript"/>
          <w:lang w:val="pt-PT"/>
        </w:rPr>
        <w:t>1</w:t>
      </w:r>
      <w:r w:rsidRPr="005A23A1">
        <w:rPr>
          <w:lang w:val="pt-PT"/>
        </w:rPr>
        <w:t>)</w:t>
      </w:r>
      <w:r>
        <w:rPr>
          <w:vertAlign w:val="superscript"/>
          <w:lang w:val="pt-PT"/>
        </w:rPr>
        <w:t>−</w:t>
      </w:r>
      <w:r w:rsidRPr="005A23A1">
        <w:rPr>
          <w:vertAlign w:val="superscript"/>
          <w:lang w:val="pt-PT"/>
        </w:rPr>
        <w:t>1</w:t>
      </w:r>
    </w:p>
    <w:p w:rsidR="00141723" w:rsidRPr="00EC28DA" w:rsidRDefault="00141723" w:rsidP="00141723">
      <w:r w:rsidRPr="00EC28DA">
        <w:lastRenderedPageBreak/>
        <w:t>or</w:t>
      </w:r>
    </w:p>
    <w:p w:rsidR="00141723" w:rsidRPr="00EC28DA" w:rsidRDefault="00141723" w:rsidP="00141723">
      <w:pPr>
        <w:pStyle w:val="Equation"/>
      </w:pPr>
      <w:r w:rsidRPr="00EC28DA">
        <w:tab/>
      </w:r>
      <w:r w:rsidRPr="00EC28DA">
        <w:tab/>
      </w:r>
      <w:r w:rsidRPr="00EC28DA">
        <w:rPr>
          <w:i/>
          <w:iCs/>
        </w:rPr>
        <w:t>C</w:t>
      </w:r>
      <w:r w:rsidRPr="00EC28DA">
        <w:t>/(</w:t>
      </w:r>
      <w:r w:rsidRPr="00EC28DA">
        <w:rPr>
          <w:i/>
          <w:iCs/>
        </w:rPr>
        <w:t>N</w:t>
      </w:r>
      <w:r w:rsidRPr="00EC28DA">
        <w:rPr>
          <w:vertAlign w:val="subscript"/>
        </w:rPr>
        <w:t>0</w:t>
      </w:r>
      <w:r w:rsidRPr="00EC28DA">
        <w:t xml:space="preserve"> + </w:t>
      </w:r>
      <w:r w:rsidRPr="00EC28DA">
        <w:rPr>
          <w:i/>
          <w:iCs/>
        </w:rPr>
        <w:t>I</w:t>
      </w:r>
      <w:r w:rsidRPr="00EC28DA">
        <w:rPr>
          <w:vertAlign w:val="subscript"/>
        </w:rPr>
        <w:t>0</w:t>
      </w:r>
      <w:r w:rsidRPr="00EC28DA">
        <w:t>)</w:t>
      </w:r>
      <w:r w:rsidRPr="00EC28DA">
        <w:rPr>
          <w:iCs/>
          <w:szCs w:val="24"/>
          <w:vertAlign w:val="subscript"/>
        </w:rPr>
        <w:sym w:font="Symbol" w:char="F0AF"/>
      </w:r>
      <w:r w:rsidRPr="00EC28DA">
        <w:rPr>
          <w:i/>
          <w:iCs/>
        </w:rPr>
        <w:t xml:space="preserve"> </w:t>
      </w:r>
      <w:r w:rsidRPr="00EC28DA">
        <w:t>= 10 log ((10</w:t>
      </w:r>
      <w:r w:rsidRPr="00EC28DA">
        <w:rPr>
          <w:vertAlign w:val="superscript"/>
        </w:rPr>
        <w:t>−</w:t>
      </w:r>
      <w:r w:rsidRPr="00EC28DA">
        <w:rPr>
          <w:b/>
          <w:vertAlign w:val="superscript"/>
        </w:rPr>
        <w:t>34.3</w:t>
      </w:r>
      <w:r w:rsidRPr="00EC28DA">
        <w:rPr>
          <w:vertAlign w:val="superscript"/>
        </w:rPr>
        <w:t xml:space="preserve">/10 </w:t>
      </w:r>
      <w:r w:rsidRPr="00EC28DA">
        <w:t>− 10</w:t>
      </w:r>
      <w:r w:rsidRPr="00EC28DA">
        <w:rPr>
          <w:vertAlign w:val="superscript"/>
        </w:rPr>
        <w:t>−</w:t>
      </w:r>
      <w:r w:rsidRPr="00EC28DA">
        <w:rPr>
          <w:b/>
          <w:vertAlign w:val="superscript"/>
        </w:rPr>
        <w:t>35.7</w:t>
      </w:r>
      <w:r w:rsidRPr="00EC28DA">
        <w:rPr>
          <w:vertAlign w:val="superscript"/>
        </w:rPr>
        <w:t>/10</w:t>
      </w:r>
      <w:r w:rsidRPr="00EC28DA">
        <w:t>)</w:t>
      </w:r>
      <w:r w:rsidRPr="00EC28DA">
        <w:rPr>
          <w:vertAlign w:val="superscript"/>
        </w:rPr>
        <w:t>−1</w:t>
      </w:r>
      <w:r w:rsidRPr="00EC28DA">
        <w:t>)</w:t>
      </w:r>
    </w:p>
    <w:p w:rsidR="00141723" w:rsidRPr="00EC28DA" w:rsidRDefault="00141723" w:rsidP="00141723">
      <w:r w:rsidRPr="00EC28DA">
        <w:t>then</w:t>
      </w:r>
    </w:p>
    <w:p w:rsidR="00141723" w:rsidRPr="00EC28DA" w:rsidRDefault="00141723" w:rsidP="00141723">
      <w:pPr>
        <w:pStyle w:val="Equation"/>
      </w:pPr>
      <w:r w:rsidRPr="00EC28DA">
        <w:tab/>
      </w:r>
      <w:r w:rsidRPr="00EC28DA">
        <w:tab/>
      </w:r>
      <w:r w:rsidRPr="00EC28DA">
        <w:rPr>
          <w:i/>
          <w:iCs/>
        </w:rPr>
        <w:t>C</w:t>
      </w:r>
      <w:r w:rsidRPr="00EC28DA">
        <w:t>/(</w:t>
      </w:r>
      <w:r w:rsidRPr="00EC28DA">
        <w:rPr>
          <w:i/>
          <w:iCs/>
        </w:rPr>
        <w:t>N</w:t>
      </w:r>
      <w:r w:rsidRPr="00EC28DA">
        <w:rPr>
          <w:vertAlign w:val="subscript"/>
        </w:rPr>
        <w:t>0</w:t>
      </w:r>
      <w:r w:rsidRPr="00EC28DA">
        <w:t xml:space="preserve"> + </w:t>
      </w:r>
      <w:r w:rsidRPr="00EC28DA">
        <w:rPr>
          <w:i/>
          <w:iCs/>
        </w:rPr>
        <w:t>I</w:t>
      </w:r>
      <w:r w:rsidRPr="00EC28DA">
        <w:rPr>
          <w:vertAlign w:val="subscript"/>
        </w:rPr>
        <w:t>0</w:t>
      </w:r>
      <w:r w:rsidRPr="00EC28DA">
        <w:t>)</w:t>
      </w:r>
      <w:r w:rsidRPr="00EC28DA">
        <w:rPr>
          <w:iCs/>
          <w:szCs w:val="24"/>
          <w:vertAlign w:val="subscript"/>
        </w:rPr>
        <w:sym w:font="Symbol" w:char="F0AF"/>
      </w:r>
      <w:r w:rsidRPr="00EC28DA">
        <w:rPr>
          <w:i/>
          <w:iCs/>
        </w:rPr>
        <w:t xml:space="preserve"> </w:t>
      </w:r>
      <w:r w:rsidRPr="00EC28DA">
        <w:t>= 39.9 dB</w:t>
      </w:r>
      <w:r w:rsidRPr="00EC28DA">
        <w:noBreakHyphen/>
        <w:t>Hz</w:t>
      </w:r>
    </w:p>
    <w:p w:rsidR="00BD5D3D" w:rsidRDefault="00BD5D3D" w:rsidP="00BD5D3D">
      <w:pPr>
        <w:pStyle w:val="Blanc"/>
      </w:pPr>
    </w:p>
    <w:p w:rsidR="00141723" w:rsidRPr="00EC28DA" w:rsidRDefault="00141723" w:rsidP="00141723">
      <w:r w:rsidRPr="00EC28DA">
        <w:t xml:space="preserve">The noise power spectral density of the downlink without interference at the input to the LNA is </w:t>
      </w:r>
      <w:r w:rsidRPr="00EC28DA">
        <w:rPr>
          <w:i/>
          <w:iCs/>
        </w:rPr>
        <w:t>N</w:t>
      </w:r>
      <w:r w:rsidRPr="00EC28DA">
        <w:rPr>
          <w:vertAlign w:val="subscript"/>
        </w:rPr>
        <w:t>0 </w:t>
      </w:r>
      <w:r w:rsidRPr="00EC28DA">
        <w:t xml:space="preserve">= </w:t>
      </w:r>
      <w:r w:rsidRPr="00EC28DA">
        <w:rPr>
          <w:i/>
          <w:iCs/>
        </w:rPr>
        <w:t>k T</w:t>
      </w:r>
      <w:r w:rsidRPr="00EC28DA">
        <w:t xml:space="preserve">, where </w:t>
      </w:r>
      <w:r w:rsidRPr="00EC28DA">
        <w:rPr>
          <w:i/>
          <w:iCs/>
        </w:rPr>
        <w:t>k</w:t>
      </w:r>
      <w:r w:rsidRPr="00EC28DA">
        <w:t xml:space="preserve"> is Boltzmann’s constant. Therefore, </w:t>
      </w:r>
      <w:r w:rsidRPr="00EC28DA">
        <w:rPr>
          <w:i/>
          <w:iCs/>
        </w:rPr>
        <w:t>N</w:t>
      </w:r>
      <w:r w:rsidRPr="00EC28DA">
        <w:rPr>
          <w:vertAlign w:val="subscript"/>
        </w:rPr>
        <w:t xml:space="preserve">0 </w:t>
      </w:r>
      <w:r w:rsidRPr="00EC28DA">
        <w:t>= −228.6 + 24 = −204.6 dB(W/Hz).</w:t>
      </w:r>
    </w:p>
    <w:p w:rsidR="00141723" w:rsidRPr="00EC28DA" w:rsidRDefault="00141723" w:rsidP="00141723">
      <w:pPr>
        <w:rPr>
          <w:iCs/>
        </w:rPr>
      </w:pPr>
      <w:r w:rsidRPr="00EC28DA">
        <w:t>The (</w:t>
      </w:r>
      <w:r w:rsidRPr="00EC28DA">
        <w:rPr>
          <w:i/>
          <w:iCs/>
        </w:rPr>
        <w:t>C</w:t>
      </w:r>
      <w:r w:rsidRPr="00EC28DA">
        <w:t>/</w:t>
      </w:r>
      <w:r w:rsidRPr="00EC28DA">
        <w:rPr>
          <w:i/>
          <w:iCs/>
        </w:rPr>
        <w:t>N</w:t>
      </w:r>
      <w:r w:rsidRPr="00EC28DA">
        <w:rPr>
          <w:vertAlign w:val="subscript"/>
        </w:rPr>
        <w:t>0</w:t>
      </w:r>
      <w:r w:rsidRPr="00EC28DA">
        <w:t>)</w:t>
      </w:r>
      <w:r w:rsidRPr="00EC28DA">
        <w:rPr>
          <w:iCs/>
          <w:szCs w:val="24"/>
          <w:vertAlign w:val="subscript"/>
        </w:rPr>
        <w:sym w:font="Symbol" w:char="F0AF"/>
      </w:r>
      <w:r w:rsidRPr="00EC28DA">
        <w:rPr>
          <w:i/>
          <w:iCs/>
        </w:rPr>
        <w:t xml:space="preserve"> </w:t>
      </w:r>
      <w:r w:rsidRPr="00EC28DA">
        <w:t>equals 46.7 dB and (</w:t>
      </w:r>
      <w:r w:rsidRPr="00EC28DA">
        <w:rPr>
          <w:i/>
          <w:iCs/>
        </w:rPr>
        <w:t>N</w:t>
      </w:r>
      <w:r w:rsidRPr="00EC28DA">
        <w:rPr>
          <w:vertAlign w:val="subscript"/>
        </w:rPr>
        <w:t>0</w:t>
      </w:r>
      <w:r w:rsidRPr="00EC28DA">
        <w:t>)</w:t>
      </w:r>
      <w:r w:rsidRPr="00EC28DA">
        <w:rPr>
          <w:iCs/>
          <w:szCs w:val="24"/>
          <w:vertAlign w:val="subscript"/>
        </w:rPr>
        <w:sym w:font="Symbol" w:char="F0AF"/>
      </w:r>
      <w:r w:rsidRPr="00EC28DA">
        <w:rPr>
          <w:i/>
          <w:iCs/>
        </w:rPr>
        <w:t xml:space="preserve"> </w:t>
      </w:r>
      <w:r w:rsidRPr="00EC28DA">
        <w:t xml:space="preserve">equals −204.6 dB(W/Hz), so the value of </w:t>
      </w:r>
      <w:r w:rsidRPr="00EC28DA">
        <w:rPr>
          <w:i/>
          <w:iCs/>
        </w:rPr>
        <w:t>C</w:t>
      </w:r>
      <w:r w:rsidRPr="00EC28DA">
        <w:rPr>
          <w:iCs/>
          <w:szCs w:val="24"/>
          <w:vertAlign w:val="subscript"/>
        </w:rPr>
        <w:sym w:font="Symbol" w:char="F0AF"/>
      </w:r>
      <w:r w:rsidRPr="00EC28DA">
        <w:rPr>
          <w:i/>
          <w:iCs/>
          <w:vertAlign w:val="subscript"/>
        </w:rPr>
        <w:t xml:space="preserve"> </w:t>
      </w:r>
      <w:r w:rsidRPr="00EC28DA">
        <w:t>is −157.9 </w:t>
      </w:r>
      <w:r w:rsidRPr="00EC28DA">
        <w:rPr>
          <w:iCs/>
        </w:rPr>
        <w:t>dBW.</w:t>
      </w:r>
    </w:p>
    <w:p w:rsidR="00141723" w:rsidRPr="00EC28DA" w:rsidRDefault="00141723" w:rsidP="00141723">
      <w:r w:rsidRPr="00EC28DA">
        <w:t xml:space="preserve">The maximum permissible interference power spectral density in the downlink from the aggregate of all interfering emitters, </w:t>
      </w:r>
      <w:r w:rsidRPr="00EC28DA">
        <w:rPr>
          <w:i/>
          <w:iCs/>
        </w:rPr>
        <w:t>I</w:t>
      </w:r>
      <w:r w:rsidRPr="00EC28DA">
        <w:rPr>
          <w:vertAlign w:val="subscript"/>
        </w:rPr>
        <w:t>0</w:t>
      </w:r>
      <w:r w:rsidRPr="00EC28DA">
        <w:t xml:space="preserve">(max), measured at the input to the MEOLUT receiver LNA over the 1 544.1 MHz </w:t>
      </w:r>
      <w:r w:rsidRPr="00EC28DA">
        <w:rPr>
          <w:szCs w:val="24"/>
        </w:rPr>
        <w:sym w:font="Symbol" w:char="F0B1"/>
      </w:r>
      <w:r w:rsidRPr="00EC28DA">
        <w:t xml:space="preserve"> 100 kHz band is:</w:t>
      </w:r>
    </w:p>
    <w:p w:rsidR="00141723" w:rsidRPr="00970BCB" w:rsidRDefault="00141723" w:rsidP="00141723">
      <w:pPr>
        <w:pStyle w:val="Equation"/>
        <w:rPr>
          <w:lang w:val="pt-PT"/>
        </w:rPr>
      </w:pPr>
      <w:r w:rsidRPr="00EC28DA">
        <w:tab/>
      </w:r>
      <w:r w:rsidRPr="00EC28DA">
        <w:tab/>
      </w:r>
      <w:r w:rsidRPr="005A23A1">
        <w:rPr>
          <w:i/>
          <w:iCs/>
          <w:lang w:val="pt-PT"/>
        </w:rPr>
        <w:t>I</w:t>
      </w:r>
      <w:r w:rsidRPr="005A23A1">
        <w:rPr>
          <w:vertAlign w:val="subscript"/>
          <w:lang w:val="pt-PT"/>
        </w:rPr>
        <w:t>0</w:t>
      </w:r>
      <w:r w:rsidRPr="005A23A1">
        <w:rPr>
          <w:lang w:val="pt-PT"/>
        </w:rPr>
        <w:t>(max) = 10 log (10</w:t>
      </w:r>
      <w:r w:rsidRPr="005A23A1">
        <w:rPr>
          <w:vertAlign w:val="superscript"/>
          <w:lang w:val="pt-PT"/>
        </w:rPr>
        <w:t>(</w:t>
      </w:r>
      <w:r w:rsidRPr="005A23A1">
        <w:rPr>
          <w:i/>
          <w:iCs/>
          <w:vertAlign w:val="superscript"/>
          <w:lang w:val="pt-PT"/>
        </w:rPr>
        <w:t>C</w:t>
      </w:r>
      <w:r w:rsidRPr="00EC28DA">
        <w:rPr>
          <w:iCs/>
          <w:position w:val="-4"/>
          <w:szCs w:val="24"/>
          <w:vertAlign w:val="superscript"/>
        </w:rPr>
        <w:sym w:font="Symbol" w:char="F0AF"/>
      </w:r>
      <w:r w:rsidRPr="005A23A1">
        <w:rPr>
          <w:i/>
          <w:iCs/>
          <w:vertAlign w:val="superscript"/>
          <w:lang w:val="pt-PT"/>
        </w:rPr>
        <w:t xml:space="preserve"> </w:t>
      </w:r>
      <w:r>
        <w:rPr>
          <w:vertAlign w:val="superscript"/>
          <w:lang w:val="pt-PT"/>
        </w:rPr>
        <w:t>−</w:t>
      </w:r>
      <w:r w:rsidRPr="005A23A1">
        <w:rPr>
          <w:vertAlign w:val="superscript"/>
          <w:lang w:val="pt-PT"/>
        </w:rPr>
        <w:t xml:space="preserve"> (</w:t>
      </w:r>
      <w:r w:rsidRPr="005A23A1">
        <w:rPr>
          <w:i/>
          <w:iCs/>
          <w:vertAlign w:val="superscript"/>
          <w:lang w:val="pt-PT"/>
        </w:rPr>
        <w:t>C</w:t>
      </w:r>
      <w:r w:rsidRPr="005A23A1">
        <w:rPr>
          <w:vertAlign w:val="superscript"/>
          <w:lang w:val="pt-PT"/>
        </w:rPr>
        <w:t>/(</w:t>
      </w:r>
      <w:r w:rsidRPr="005A23A1">
        <w:rPr>
          <w:i/>
          <w:iCs/>
          <w:vertAlign w:val="superscript"/>
          <w:lang w:val="pt-PT"/>
        </w:rPr>
        <w:t>N</w:t>
      </w:r>
      <w:r w:rsidRPr="005A23A1">
        <w:rPr>
          <w:sz w:val="20"/>
          <w:vertAlign w:val="superscript"/>
          <w:lang w:val="pt-PT"/>
        </w:rPr>
        <w:t>0</w:t>
      </w:r>
      <w:r w:rsidRPr="005A23A1">
        <w:rPr>
          <w:vertAlign w:val="superscript"/>
          <w:lang w:val="pt-PT"/>
        </w:rPr>
        <w:t xml:space="preserve"> + </w:t>
      </w:r>
      <w:r w:rsidRPr="005A23A1">
        <w:rPr>
          <w:i/>
          <w:iCs/>
          <w:vertAlign w:val="superscript"/>
          <w:lang w:val="pt-PT"/>
        </w:rPr>
        <w:t>I</w:t>
      </w:r>
      <w:r w:rsidRPr="005A23A1">
        <w:rPr>
          <w:sz w:val="20"/>
          <w:vertAlign w:val="superscript"/>
          <w:lang w:val="pt-PT"/>
        </w:rPr>
        <w:t>0</w:t>
      </w:r>
      <w:r w:rsidRPr="005A23A1">
        <w:rPr>
          <w:vertAlign w:val="superscript"/>
          <w:lang w:val="pt-PT"/>
        </w:rPr>
        <w:t>)</w:t>
      </w:r>
      <w:r w:rsidRPr="00EC28DA">
        <w:rPr>
          <w:iCs/>
          <w:position w:val="-4"/>
          <w:szCs w:val="24"/>
          <w:vertAlign w:val="superscript"/>
        </w:rPr>
        <w:sym w:font="Symbol" w:char="F0AF"/>
      </w:r>
      <w:r w:rsidRPr="005A23A1">
        <w:rPr>
          <w:vertAlign w:val="superscript"/>
          <w:lang w:val="pt-PT"/>
        </w:rPr>
        <w:t>))/10</w:t>
      </w:r>
      <w:r w:rsidRPr="005A23A1">
        <w:rPr>
          <w:lang w:val="pt-PT"/>
        </w:rPr>
        <w:t xml:space="preserve"> </w:t>
      </w:r>
      <w:r>
        <w:rPr>
          <w:lang w:val="pt-PT"/>
        </w:rPr>
        <w:t>−</w:t>
      </w:r>
      <w:r w:rsidRPr="005A23A1">
        <w:rPr>
          <w:lang w:val="pt-PT"/>
        </w:rPr>
        <w:t xml:space="preserve"> 10</w:t>
      </w:r>
      <w:r w:rsidRPr="005A23A1">
        <w:rPr>
          <w:vertAlign w:val="superscript"/>
          <w:lang w:val="pt-PT"/>
        </w:rPr>
        <w:t>(</w:t>
      </w:r>
      <w:r w:rsidRPr="005A23A1">
        <w:rPr>
          <w:i/>
          <w:iCs/>
          <w:vertAlign w:val="superscript"/>
          <w:lang w:val="pt-PT"/>
        </w:rPr>
        <w:t>N</w:t>
      </w:r>
      <w:r w:rsidRPr="005A23A1">
        <w:rPr>
          <w:sz w:val="20"/>
          <w:vertAlign w:val="superscript"/>
          <w:lang w:val="pt-PT"/>
        </w:rPr>
        <w:t>0</w:t>
      </w:r>
      <w:r w:rsidRPr="005A23A1">
        <w:rPr>
          <w:vertAlign w:val="superscript"/>
          <w:lang w:val="pt-PT"/>
        </w:rPr>
        <w:t>)</w:t>
      </w:r>
      <w:r w:rsidRPr="00EC28DA">
        <w:rPr>
          <w:iCs/>
          <w:position w:val="-4"/>
          <w:szCs w:val="24"/>
          <w:vertAlign w:val="superscript"/>
        </w:rPr>
        <w:sym w:font="Symbol" w:char="F0AF"/>
      </w:r>
      <w:r w:rsidRPr="005A23A1">
        <w:rPr>
          <w:vertAlign w:val="superscript"/>
          <w:lang w:val="pt-PT"/>
        </w:rPr>
        <w:t>/10</w:t>
      </w:r>
      <w:r w:rsidRPr="005A23A1">
        <w:rPr>
          <w:lang w:val="pt-PT"/>
        </w:rPr>
        <w:t>)</w:t>
      </w:r>
    </w:p>
    <w:p w:rsidR="00141723" w:rsidRPr="00EC28DA" w:rsidRDefault="00141723" w:rsidP="00141723">
      <w:r w:rsidRPr="00EC28DA">
        <w:t>or</w:t>
      </w:r>
    </w:p>
    <w:p w:rsidR="00141723" w:rsidRPr="00EC28DA" w:rsidRDefault="00141723" w:rsidP="00141723">
      <w:pPr>
        <w:pStyle w:val="Equation"/>
      </w:pPr>
      <w:r w:rsidRPr="00EC28DA">
        <w:tab/>
      </w:r>
      <w:r w:rsidRPr="00EC28DA">
        <w:tab/>
      </w:r>
      <w:r w:rsidRPr="00EC28DA">
        <w:rPr>
          <w:i/>
          <w:iCs/>
        </w:rPr>
        <w:t>I</w:t>
      </w:r>
      <w:r w:rsidRPr="00EC28DA">
        <w:rPr>
          <w:vertAlign w:val="subscript"/>
        </w:rPr>
        <w:t>0</w:t>
      </w:r>
      <w:r w:rsidRPr="00EC28DA">
        <w:t>(max) = 10 log (10</w:t>
      </w:r>
      <w:r w:rsidRPr="00EC28DA">
        <w:rPr>
          <w:vertAlign w:val="superscript"/>
        </w:rPr>
        <w:t>(</w:t>
      </w:r>
      <w:r w:rsidRPr="007F7962">
        <w:rPr>
          <w:bCs/>
          <w:vertAlign w:val="superscript"/>
        </w:rPr>
        <w:t>−157.9 − 39.9</w:t>
      </w:r>
      <w:r w:rsidRPr="00EC28DA">
        <w:rPr>
          <w:vertAlign w:val="superscript"/>
        </w:rPr>
        <w:t>)/10</w:t>
      </w:r>
      <w:r w:rsidRPr="00EC28DA">
        <w:t xml:space="preserve"> − 10</w:t>
      </w:r>
      <w:r w:rsidRPr="007F7962">
        <w:rPr>
          <w:bCs/>
          <w:vertAlign w:val="superscript"/>
        </w:rPr>
        <w:t>−204.6</w:t>
      </w:r>
      <w:r w:rsidRPr="00EC28DA">
        <w:rPr>
          <w:vertAlign w:val="superscript"/>
        </w:rPr>
        <w:t>/10</w:t>
      </w:r>
      <w:r w:rsidRPr="00EC28DA">
        <w:t>)</w:t>
      </w:r>
    </w:p>
    <w:p w:rsidR="00141723" w:rsidRDefault="00141723" w:rsidP="00141723">
      <w:r w:rsidRPr="00EC28DA">
        <w:t>then</w:t>
      </w:r>
    </w:p>
    <w:p w:rsidR="00141723" w:rsidRDefault="00141723" w:rsidP="00141723">
      <w:pPr>
        <w:pStyle w:val="Equation"/>
      </w:pPr>
      <w:r>
        <w:rPr>
          <w:i/>
          <w:iCs/>
        </w:rPr>
        <w:tab/>
      </w:r>
      <w:r>
        <w:rPr>
          <w:i/>
          <w:iCs/>
        </w:rPr>
        <w:tab/>
      </w:r>
      <w:r w:rsidRPr="00EC28DA">
        <w:rPr>
          <w:i/>
          <w:iCs/>
        </w:rPr>
        <w:t>I</w:t>
      </w:r>
      <w:r w:rsidRPr="00EC28DA">
        <w:rPr>
          <w:vertAlign w:val="subscript"/>
        </w:rPr>
        <w:t>0</w:t>
      </w:r>
      <w:r w:rsidRPr="00EC28DA">
        <w:t>(max) = −198.8 dB(W/Hz)</w:t>
      </w:r>
    </w:p>
    <w:p w:rsidR="00BD5D3D" w:rsidRDefault="00BD5D3D" w:rsidP="00BD5D3D">
      <w:pPr>
        <w:pStyle w:val="Blanc"/>
      </w:pPr>
    </w:p>
    <w:p w:rsidR="00141723" w:rsidRPr="00EC28DA" w:rsidRDefault="00141723" w:rsidP="007F7962">
      <w:r>
        <w:t>I</w:t>
      </w:r>
      <w:r w:rsidRPr="00EC28DA">
        <w:t>t is desirable to characterize the protection criteria in terms of the spfd interference threshold specified in dB(W/m</w:t>
      </w:r>
      <w:r w:rsidRPr="00EC28DA">
        <w:rPr>
          <w:vertAlign w:val="superscript"/>
        </w:rPr>
        <w:t>2</w:t>
      </w:r>
      <w:r w:rsidRPr="00EC28DA">
        <w:t> ∙ Hz) at the input to the MEOLUT antenna. The effective aperture of an</w:t>
      </w:r>
      <w:r>
        <w:t> </w:t>
      </w:r>
      <w:r w:rsidRPr="00EC28DA">
        <w:t xml:space="preserve">antenna, </w:t>
      </w:r>
      <w:r w:rsidRPr="00EC28DA">
        <w:rPr>
          <w:i/>
          <w:iCs/>
        </w:rPr>
        <w:t>A</w:t>
      </w:r>
      <w:r w:rsidRPr="00EC28DA">
        <w:rPr>
          <w:i/>
          <w:iCs/>
          <w:vertAlign w:val="subscript"/>
        </w:rPr>
        <w:t>e</w:t>
      </w:r>
      <w:r w:rsidRPr="00EC28DA">
        <w:t xml:space="preserve">, having a gain of </w:t>
      </w:r>
      <w:r w:rsidRPr="00EC28DA">
        <w:rPr>
          <w:i/>
          <w:iCs/>
        </w:rPr>
        <w:t>G</w:t>
      </w:r>
      <w:r w:rsidRPr="00EC28DA">
        <w:t xml:space="preserve"> is </w:t>
      </w:r>
      <w:r w:rsidRPr="00EC28DA">
        <w:rPr>
          <w:i/>
          <w:iCs/>
        </w:rPr>
        <w:t>A</w:t>
      </w:r>
      <w:r w:rsidRPr="00EC28DA">
        <w:rPr>
          <w:i/>
          <w:iCs/>
          <w:vertAlign w:val="subscript"/>
        </w:rPr>
        <w:t>e</w:t>
      </w:r>
      <w:r w:rsidRPr="00EC28DA">
        <w:rPr>
          <w:i/>
          <w:iCs/>
        </w:rPr>
        <w:t xml:space="preserve"> </w:t>
      </w:r>
      <w:r w:rsidRPr="00EC28DA">
        <w:t xml:space="preserve">= </w:t>
      </w:r>
      <w:r w:rsidRPr="00EC28DA">
        <w:rPr>
          <w:i/>
          <w:iCs/>
        </w:rPr>
        <w:t>G</w:t>
      </w:r>
      <w:r w:rsidRPr="00EC28DA">
        <w:rPr>
          <w:rFonts w:ascii="Symbol" w:hAnsi="Symbol"/>
        </w:rPr>
        <w:t></w:t>
      </w:r>
      <w:r w:rsidRPr="00EC28DA">
        <w:rPr>
          <w:vertAlign w:val="superscript"/>
        </w:rPr>
        <w:t>2</w:t>
      </w:r>
      <w:r w:rsidRPr="00EC28DA">
        <w:t>/4</w:t>
      </w:r>
      <w:r w:rsidRPr="00EC28DA">
        <w:rPr>
          <w:rFonts w:ascii="Symbol" w:hAnsi="Symbol"/>
        </w:rPr>
        <w:t></w:t>
      </w:r>
      <w:r w:rsidRPr="00EC28DA">
        <w:rPr>
          <w:rFonts w:ascii="Symbol" w:hAnsi="Symbol"/>
        </w:rPr>
        <w:t></w:t>
      </w:r>
      <w:r w:rsidRPr="00EC28DA">
        <w:t xml:space="preserve"> The MEOLUT antenna has a gain of 27 dBi, therefore, the effective aperture is 1.5 m</w:t>
      </w:r>
      <w:r w:rsidRPr="00EC28DA">
        <w:rPr>
          <w:vertAlign w:val="superscript"/>
        </w:rPr>
        <w:t>2</w:t>
      </w:r>
      <w:r w:rsidRPr="00EC28DA">
        <w:t>. The maximum acceptable aggregate interference specified as a spfd is:</w:t>
      </w:r>
    </w:p>
    <w:p w:rsidR="00141723" w:rsidRPr="00EC28DA" w:rsidRDefault="00141723" w:rsidP="00141723">
      <w:pPr>
        <w:pStyle w:val="Equation"/>
        <w:rPr>
          <w:vertAlign w:val="subscript"/>
        </w:rPr>
      </w:pPr>
      <w:r w:rsidRPr="00EC28DA">
        <w:tab/>
      </w:r>
      <w:r w:rsidRPr="00EC28DA">
        <w:tab/>
        <w:t xml:space="preserve">spfd = </w:t>
      </w:r>
      <w:r w:rsidRPr="00EC28DA">
        <w:rPr>
          <w:i/>
          <w:iCs/>
        </w:rPr>
        <w:t>I</w:t>
      </w:r>
      <w:r w:rsidRPr="00EC28DA">
        <w:rPr>
          <w:vertAlign w:val="subscript"/>
        </w:rPr>
        <w:t>0</w:t>
      </w:r>
      <w:r w:rsidRPr="00EC28DA">
        <w:t xml:space="preserve">(max) − </w:t>
      </w:r>
      <w:r w:rsidRPr="00EC28DA">
        <w:rPr>
          <w:i/>
          <w:iCs/>
        </w:rPr>
        <w:t>L</w:t>
      </w:r>
      <w:r w:rsidRPr="00EC28DA">
        <w:rPr>
          <w:i/>
          <w:iCs/>
          <w:vertAlign w:val="subscript"/>
        </w:rPr>
        <w:t>Line</w:t>
      </w:r>
      <w:r w:rsidRPr="00EC28DA">
        <w:rPr>
          <w:i/>
          <w:iCs/>
        </w:rPr>
        <w:t xml:space="preserve"> </w:t>
      </w:r>
      <w:r w:rsidRPr="00EC28DA">
        <w:t xml:space="preserve"> − </w:t>
      </w:r>
      <w:r w:rsidRPr="00EC28DA">
        <w:rPr>
          <w:i/>
          <w:iCs/>
        </w:rPr>
        <w:t>A</w:t>
      </w:r>
      <w:r w:rsidRPr="00EC28DA">
        <w:rPr>
          <w:i/>
          <w:iCs/>
          <w:vertAlign w:val="subscript"/>
        </w:rPr>
        <w:t>e</w:t>
      </w:r>
    </w:p>
    <w:p w:rsidR="00141723" w:rsidRPr="00EC28DA" w:rsidRDefault="00141723" w:rsidP="00141723">
      <w:r w:rsidRPr="00EC28DA">
        <w:t xml:space="preserve">Assuming </w:t>
      </w:r>
      <w:r w:rsidRPr="00EC28DA">
        <w:rPr>
          <w:i/>
          <w:iCs/>
        </w:rPr>
        <w:t>L</w:t>
      </w:r>
      <w:r w:rsidRPr="00EC28DA">
        <w:rPr>
          <w:i/>
          <w:iCs/>
          <w:vertAlign w:val="subscript"/>
        </w:rPr>
        <w:t>Line</w:t>
      </w:r>
      <w:r w:rsidRPr="00EC28DA">
        <w:t xml:space="preserve"> = 0:</w:t>
      </w:r>
    </w:p>
    <w:p w:rsidR="00141723" w:rsidRDefault="00141723" w:rsidP="00141723">
      <w:pPr>
        <w:pStyle w:val="Equation"/>
      </w:pPr>
      <w:r>
        <w:tab/>
      </w:r>
      <w:r>
        <w:tab/>
      </w:r>
      <w:r w:rsidRPr="00EC28DA">
        <w:t>spfd = −200.6 dB(W/(m</w:t>
      </w:r>
      <w:r w:rsidRPr="00EC28DA">
        <w:rPr>
          <w:vertAlign w:val="superscript"/>
        </w:rPr>
        <w:t>2</w:t>
      </w:r>
      <w:r>
        <w:t> </w:t>
      </w:r>
      <w:r w:rsidRPr="00EC28DA">
        <w:t>∙</w:t>
      </w:r>
      <w:r>
        <w:t> </w:t>
      </w:r>
      <w:r w:rsidRPr="00EC28DA">
        <w:t>Hz))</w:t>
      </w:r>
    </w:p>
    <w:p w:rsidR="00141723" w:rsidRPr="00EC28DA" w:rsidRDefault="00141723" w:rsidP="00141723">
      <w:pPr>
        <w:rPr>
          <w:bCs/>
        </w:rPr>
      </w:pPr>
      <w:r w:rsidRPr="005A23A1">
        <w:rPr>
          <w:bCs/>
        </w:rPr>
        <w:t>T</w:t>
      </w:r>
      <w:r w:rsidRPr="00EC28DA">
        <w:t>he maximum level of broadband noise-like interference in the 1 544.1 MHz </w:t>
      </w:r>
      <w:r w:rsidRPr="00EC28DA">
        <w:rPr>
          <w:szCs w:val="24"/>
        </w:rPr>
        <w:sym w:font="Symbol" w:char="F0B1"/>
      </w:r>
      <w:r w:rsidRPr="00EC28DA">
        <w:t xml:space="preserve"> 100 kHz SAR/Galileo MEOLUT channel shall not exceed </w:t>
      </w:r>
      <w:r w:rsidRPr="00EC28DA">
        <w:rPr>
          <w:bCs/>
        </w:rPr>
        <w:t>−200.6 dB(W/(</w:t>
      </w:r>
      <w:r w:rsidRPr="00200FAB">
        <w:t>m</w:t>
      </w:r>
      <w:r w:rsidRPr="00200FAB">
        <w:rPr>
          <w:vertAlign w:val="superscript"/>
        </w:rPr>
        <w:t>2</w:t>
      </w:r>
      <w:r>
        <w:t> </w:t>
      </w:r>
      <w:r w:rsidRPr="00EC28DA">
        <w:t>∙</w:t>
      </w:r>
      <w:r>
        <w:t> </w:t>
      </w:r>
      <w:r w:rsidRPr="00200FAB">
        <w:t>Hz</w:t>
      </w:r>
      <w:r w:rsidRPr="00EC28DA">
        <w:rPr>
          <w:bCs/>
        </w:rPr>
        <w:t>)).</w:t>
      </w:r>
    </w:p>
    <w:p w:rsidR="00141723" w:rsidRPr="00EC28DA" w:rsidRDefault="00141723" w:rsidP="00141723">
      <w:pPr>
        <w:pStyle w:val="Heading1"/>
      </w:pPr>
      <w:r w:rsidRPr="009D121B">
        <w:t>4</w:t>
      </w:r>
      <w:r w:rsidRPr="009D121B">
        <w:tab/>
        <w:t>Procedure for computing level of interference to the GALILEO</w:t>
      </w:r>
      <w:r w:rsidRPr="00EC28DA">
        <w:t xml:space="preserve"> 406 MHz SAR payload channel downlink</w:t>
      </w:r>
    </w:p>
    <w:p w:rsidR="00141723" w:rsidRPr="00EC28DA" w:rsidRDefault="00141723" w:rsidP="00141723">
      <w:pPr>
        <w:rPr>
          <w:szCs w:val="24"/>
        </w:rPr>
      </w:pPr>
      <w:r w:rsidRPr="00EC28DA">
        <w:t>Interference to Cospas-Sarsat is most often a result of out-of-band emissions from services in adjacent or near adjacent bands.</w:t>
      </w:r>
    </w:p>
    <w:p w:rsidR="00141723" w:rsidRPr="00EC28DA" w:rsidRDefault="00141723" w:rsidP="00141723">
      <w:r w:rsidRPr="00EC28DA">
        <w:t>The emission bandwidth must be examined to determine if energy is transmitted in the frequency range 1</w:t>
      </w:r>
      <w:r>
        <w:t> </w:t>
      </w:r>
      <w:r w:rsidRPr="00EC28DA">
        <w:t>544.1 MHz </w:t>
      </w:r>
      <w:r w:rsidRPr="00EC28DA">
        <w:rPr>
          <w:szCs w:val="24"/>
        </w:rPr>
        <w:sym w:font="Symbol" w:char="F0B1"/>
      </w:r>
      <w:r w:rsidRPr="00EC28DA">
        <w:t> 100 kHz. Particular care must be taken when analysing the impact of mobile systems (e.g. non-geostationary satellites and airborne transmitters) to take into account the effects of the Doppler shift generated by their movement.</w:t>
      </w:r>
    </w:p>
    <w:p w:rsidR="00141723" w:rsidRPr="00EC28DA" w:rsidRDefault="00141723" w:rsidP="00141723">
      <w:r w:rsidRPr="00EC28DA">
        <w:t>Compute the level of interference from all sources that transmit energy in the band expressed as an</w:t>
      </w:r>
      <w:r>
        <w:t> </w:t>
      </w:r>
      <w:r w:rsidRPr="00EC28DA">
        <w:t>spfd level at the MEOLUT antenna. The aggregate level for all interfering sources must not exceed −200.6 dB(W/(m</w:t>
      </w:r>
      <w:r w:rsidRPr="00EC28DA">
        <w:rPr>
          <w:vertAlign w:val="superscript"/>
        </w:rPr>
        <w:t>2</w:t>
      </w:r>
      <w:r>
        <w:t> </w:t>
      </w:r>
      <w:r w:rsidRPr="00EC28DA">
        <w:t>∙</w:t>
      </w:r>
      <w:r>
        <w:t> </w:t>
      </w:r>
      <w:r w:rsidRPr="00EC28DA">
        <w:t>Hz)) anywhere in this range.</w:t>
      </w:r>
    </w:p>
    <w:p w:rsidR="00141723" w:rsidRPr="00EC28DA" w:rsidRDefault="00141723" w:rsidP="00141723">
      <w:r w:rsidRPr="00EC28DA">
        <w:t>The above level is based on a MEOLUT antenna on-axis gain of 27 dBi. Depending upon the systems involved antenna discrimination, polarization, and other engineering considerations should be used in establishing the impact of the interference.</w:t>
      </w:r>
    </w:p>
    <w:p w:rsidR="007F7962" w:rsidRDefault="00141723" w:rsidP="007F7962">
      <w:pPr>
        <w:pStyle w:val="AnnexNoTitle"/>
      </w:pPr>
      <w:r w:rsidRPr="005A23A1">
        <w:lastRenderedPageBreak/>
        <w:t>Annex 6</w:t>
      </w:r>
    </w:p>
    <w:p w:rsidR="007F7962" w:rsidRDefault="007F7962" w:rsidP="007F7962">
      <w:pPr>
        <w:pStyle w:val="TableNo"/>
      </w:pPr>
      <w:r>
        <w:t>TABLE 2</w:t>
      </w:r>
    </w:p>
    <w:p w:rsidR="00141723" w:rsidRDefault="00141723" w:rsidP="007F7962">
      <w:pPr>
        <w:pStyle w:val="Tabletitle"/>
      </w:pPr>
      <w:r w:rsidRPr="005A23A1">
        <w:t>Cospas-Sarsat link budgets</w:t>
      </w:r>
    </w:p>
    <w:tbl>
      <w:tblPr>
        <w:tblW w:w="9638"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3"/>
        <w:gridCol w:w="679"/>
        <w:gridCol w:w="1021"/>
        <w:gridCol w:w="1021"/>
        <w:gridCol w:w="1021"/>
        <w:gridCol w:w="1021"/>
        <w:gridCol w:w="1021"/>
        <w:gridCol w:w="1021"/>
      </w:tblGrid>
      <w:tr w:rsidR="00141723" w:rsidRPr="00EC28DA" w:rsidTr="00141723">
        <w:trPr>
          <w:jc w:val="center"/>
        </w:trPr>
        <w:tc>
          <w:tcPr>
            <w:tcW w:w="2833" w:type="dxa"/>
            <w:vMerge w:val="restart"/>
            <w:tcBorders>
              <w:top w:val="nil"/>
              <w:left w:val="nil"/>
              <w:right w:val="nil"/>
            </w:tcBorders>
          </w:tcPr>
          <w:p w:rsidR="00141723" w:rsidRPr="00EC28DA" w:rsidRDefault="00141723" w:rsidP="007F7962">
            <w:pPr>
              <w:pStyle w:val="Tablehead"/>
              <w:spacing w:before="60" w:after="60"/>
              <w:ind w:left="-57" w:right="-57"/>
              <w:rPr>
                <w:sz w:val="18"/>
                <w:szCs w:val="18"/>
              </w:rPr>
            </w:pPr>
          </w:p>
        </w:tc>
        <w:tc>
          <w:tcPr>
            <w:tcW w:w="679" w:type="dxa"/>
            <w:vMerge w:val="restart"/>
            <w:tcBorders>
              <w:top w:val="nil"/>
              <w:left w:val="nil"/>
            </w:tcBorders>
          </w:tcPr>
          <w:p w:rsidR="00141723" w:rsidRPr="00EC28DA" w:rsidRDefault="00141723" w:rsidP="007F7962">
            <w:pPr>
              <w:pStyle w:val="Tablehead"/>
              <w:spacing w:before="60" w:after="60"/>
              <w:ind w:left="-57" w:right="-57"/>
              <w:rPr>
                <w:sz w:val="18"/>
                <w:szCs w:val="18"/>
              </w:rPr>
            </w:pPr>
          </w:p>
        </w:tc>
        <w:tc>
          <w:tcPr>
            <w:tcW w:w="3063" w:type="dxa"/>
            <w:gridSpan w:val="3"/>
          </w:tcPr>
          <w:p w:rsidR="00141723" w:rsidRPr="00EC28DA" w:rsidRDefault="00141723" w:rsidP="007F7962">
            <w:pPr>
              <w:pStyle w:val="Tablehead"/>
              <w:spacing w:before="60" w:after="60"/>
              <w:ind w:left="-57" w:right="-57"/>
              <w:rPr>
                <w:sz w:val="18"/>
                <w:szCs w:val="18"/>
              </w:rPr>
            </w:pPr>
            <w:r w:rsidRPr="00EC28DA">
              <w:rPr>
                <w:sz w:val="18"/>
                <w:szCs w:val="18"/>
              </w:rPr>
              <w:t>LEOSAR</w:t>
            </w:r>
          </w:p>
        </w:tc>
        <w:tc>
          <w:tcPr>
            <w:tcW w:w="2042" w:type="dxa"/>
            <w:gridSpan w:val="2"/>
          </w:tcPr>
          <w:p w:rsidR="00141723" w:rsidRPr="00EC28DA" w:rsidRDefault="00141723" w:rsidP="007F7962">
            <w:pPr>
              <w:pStyle w:val="Tablehead"/>
              <w:spacing w:before="60" w:after="60"/>
              <w:ind w:left="-57" w:right="-57"/>
              <w:rPr>
                <w:sz w:val="18"/>
                <w:szCs w:val="18"/>
              </w:rPr>
            </w:pPr>
            <w:r w:rsidRPr="00EC28DA">
              <w:rPr>
                <w:sz w:val="18"/>
                <w:szCs w:val="18"/>
              </w:rPr>
              <w:t>GEOSAR</w:t>
            </w:r>
          </w:p>
        </w:tc>
        <w:tc>
          <w:tcPr>
            <w:tcW w:w="1021" w:type="dxa"/>
          </w:tcPr>
          <w:p w:rsidR="00141723" w:rsidRPr="00EC28DA" w:rsidRDefault="00141723" w:rsidP="007F7962">
            <w:pPr>
              <w:pStyle w:val="Tablehead"/>
              <w:spacing w:before="60" w:after="60"/>
              <w:ind w:left="-57" w:right="-57"/>
              <w:rPr>
                <w:sz w:val="18"/>
                <w:szCs w:val="18"/>
              </w:rPr>
            </w:pPr>
            <w:r w:rsidRPr="00EC28DA">
              <w:rPr>
                <w:sz w:val="18"/>
                <w:szCs w:val="18"/>
              </w:rPr>
              <w:t>MEOSAR</w:t>
            </w:r>
          </w:p>
        </w:tc>
      </w:tr>
      <w:tr w:rsidR="00141723" w:rsidRPr="00EC28DA" w:rsidTr="00141723">
        <w:trPr>
          <w:jc w:val="center"/>
        </w:trPr>
        <w:tc>
          <w:tcPr>
            <w:tcW w:w="2833" w:type="dxa"/>
            <w:vMerge/>
            <w:tcBorders>
              <w:left w:val="nil"/>
              <w:right w:val="nil"/>
            </w:tcBorders>
          </w:tcPr>
          <w:p w:rsidR="00141723" w:rsidRPr="00EC28DA" w:rsidRDefault="00141723" w:rsidP="007F7962">
            <w:pPr>
              <w:pStyle w:val="Tablehead"/>
              <w:spacing w:before="60" w:after="60"/>
              <w:ind w:left="-57" w:right="-57"/>
              <w:rPr>
                <w:sz w:val="18"/>
                <w:szCs w:val="18"/>
              </w:rPr>
            </w:pPr>
          </w:p>
        </w:tc>
        <w:tc>
          <w:tcPr>
            <w:tcW w:w="679" w:type="dxa"/>
            <w:vMerge/>
            <w:tcBorders>
              <w:left w:val="nil"/>
            </w:tcBorders>
          </w:tcPr>
          <w:p w:rsidR="00141723" w:rsidRPr="00EC28DA" w:rsidRDefault="00141723" w:rsidP="007F7962">
            <w:pPr>
              <w:pStyle w:val="Tablehead"/>
              <w:spacing w:before="60" w:after="60"/>
              <w:ind w:left="-57" w:right="-57"/>
              <w:rPr>
                <w:sz w:val="18"/>
                <w:szCs w:val="18"/>
              </w:rPr>
            </w:pPr>
          </w:p>
        </w:tc>
        <w:tc>
          <w:tcPr>
            <w:tcW w:w="1021" w:type="dxa"/>
          </w:tcPr>
          <w:p w:rsidR="00141723" w:rsidRPr="00EC28DA" w:rsidRDefault="00141723" w:rsidP="007F7962">
            <w:pPr>
              <w:pStyle w:val="Tablehead"/>
              <w:spacing w:before="60" w:after="60"/>
              <w:ind w:left="-57" w:right="-57"/>
              <w:rPr>
                <w:sz w:val="18"/>
                <w:szCs w:val="18"/>
              </w:rPr>
            </w:pPr>
            <w:r w:rsidRPr="00EC28DA">
              <w:rPr>
                <w:sz w:val="18"/>
                <w:szCs w:val="18"/>
              </w:rPr>
              <w:t>Sarsat PDS</w:t>
            </w:r>
          </w:p>
        </w:tc>
        <w:tc>
          <w:tcPr>
            <w:tcW w:w="1021" w:type="dxa"/>
          </w:tcPr>
          <w:p w:rsidR="00141723" w:rsidRPr="00EC28DA" w:rsidRDefault="00141723" w:rsidP="007F7962">
            <w:pPr>
              <w:pStyle w:val="Tablehead"/>
              <w:spacing w:before="60" w:after="60"/>
              <w:ind w:left="-57" w:right="-57"/>
              <w:rPr>
                <w:sz w:val="18"/>
                <w:szCs w:val="18"/>
              </w:rPr>
            </w:pPr>
            <w:r w:rsidRPr="00EC28DA">
              <w:rPr>
                <w:sz w:val="18"/>
                <w:szCs w:val="18"/>
              </w:rPr>
              <w:t>Sarsat SARR</w:t>
            </w:r>
          </w:p>
        </w:tc>
        <w:tc>
          <w:tcPr>
            <w:tcW w:w="1021" w:type="dxa"/>
          </w:tcPr>
          <w:p w:rsidR="00141723" w:rsidRPr="00EC28DA" w:rsidRDefault="00141723" w:rsidP="007F7962">
            <w:pPr>
              <w:pStyle w:val="Tablehead"/>
              <w:spacing w:before="60" w:after="60"/>
              <w:ind w:left="-57" w:right="-57"/>
              <w:rPr>
                <w:sz w:val="18"/>
                <w:szCs w:val="18"/>
              </w:rPr>
            </w:pPr>
            <w:r w:rsidRPr="00EC28DA">
              <w:rPr>
                <w:sz w:val="18"/>
                <w:szCs w:val="18"/>
              </w:rPr>
              <w:t>Cospas SARR</w:t>
            </w:r>
          </w:p>
        </w:tc>
        <w:tc>
          <w:tcPr>
            <w:tcW w:w="1021" w:type="dxa"/>
          </w:tcPr>
          <w:p w:rsidR="00141723" w:rsidRPr="00EC28DA" w:rsidRDefault="00141723" w:rsidP="007F7962">
            <w:pPr>
              <w:pStyle w:val="Tablehead"/>
              <w:spacing w:before="60" w:after="60"/>
              <w:ind w:left="-57" w:right="-57"/>
              <w:rPr>
                <w:sz w:val="18"/>
                <w:szCs w:val="18"/>
              </w:rPr>
            </w:pPr>
            <w:r w:rsidRPr="00EC28DA">
              <w:rPr>
                <w:sz w:val="18"/>
                <w:szCs w:val="18"/>
              </w:rPr>
              <w:t>GOES SARR</w:t>
            </w:r>
          </w:p>
        </w:tc>
        <w:tc>
          <w:tcPr>
            <w:tcW w:w="1021" w:type="dxa"/>
          </w:tcPr>
          <w:p w:rsidR="00141723" w:rsidRPr="00EC28DA" w:rsidRDefault="00141723" w:rsidP="007F7962">
            <w:pPr>
              <w:pStyle w:val="Tablehead"/>
              <w:spacing w:before="60" w:after="60"/>
              <w:ind w:left="-57" w:right="-57"/>
              <w:rPr>
                <w:sz w:val="18"/>
                <w:szCs w:val="18"/>
              </w:rPr>
            </w:pPr>
            <w:r w:rsidRPr="00EC28DA">
              <w:rPr>
                <w:sz w:val="18"/>
                <w:szCs w:val="18"/>
              </w:rPr>
              <w:t>MSG SARR</w:t>
            </w:r>
          </w:p>
        </w:tc>
        <w:tc>
          <w:tcPr>
            <w:tcW w:w="1021" w:type="dxa"/>
          </w:tcPr>
          <w:p w:rsidR="00141723" w:rsidRPr="00EC28DA" w:rsidRDefault="00141723" w:rsidP="007F7962">
            <w:pPr>
              <w:pStyle w:val="Tablehead"/>
              <w:spacing w:before="60" w:after="60"/>
              <w:ind w:left="-57" w:right="-57"/>
              <w:rPr>
                <w:sz w:val="18"/>
                <w:szCs w:val="18"/>
              </w:rPr>
            </w:pPr>
            <w:r w:rsidRPr="00EC28DA">
              <w:rPr>
                <w:sz w:val="18"/>
                <w:szCs w:val="18"/>
              </w:rPr>
              <w:t xml:space="preserve">GALILEO </w:t>
            </w:r>
            <w:r w:rsidRPr="00EC28DA">
              <w:rPr>
                <w:sz w:val="18"/>
                <w:szCs w:val="18"/>
              </w:rPr>
              <w:br/>
              <w:t>SARR</w:t>
            </w:r>
          </w:p>
        </w:tc>
      </w:tr>
      <w:tr w:rsidR="00141723" w:rsidRPr="00EC28DA" w:rsidTr="00141723">
        <w:trPr>
          <w:jc w:val="center"/>
        </w:trPr>
        <w:tc>
          <w:tcPr>
            <w:tcW w:w="2833" w:type="dxa"/>
          </w:tcPr>
          <w:p w:rsidR="00141723" w:rsidRPr="00EC28DA" w:rsidRDefault="00141723" w:rsidP="007F7962">
            <w:pPr>
              <w:pStyle w:val="Tablehead"/>
              <w:spacing w:before="60" w:after="60"/>
              <w:rPr>
                <w:sz w:val="18"/>
                <w:szCs w:val="18"/>
              </w:rPr>
            </w:pPr>
            <w:r w:rsidRPr="00EC28DA">
              <w:rPr>
                <w:sz w:val="18"/>
                <w:szCs w:val="18"/>
              </w:rPr>
              <w:t>Parameter, unit</w:t>
            </w:r>
          </w:p>
        </w:tc>
        <w:tc>
          <w:tcPr>
            <w:tcW w:w="679" w:type="dxa"/>
            <w:tcBorders>
              <w:bottom w:val="single" w:sz="4" w:space="0" w:color="auto"/>
            </w:tcBorders>
          </w:tcPr>
          <w:p w:rsidR="00141723" w:rsidRPr="00EC28DA" w:rsidRDefault="00141723" w:rsidP="007F7962">
            <w:pPr>
              <w:pStyle w:val="Tablehead"/>
              <w:spacing w:before="60" w:after="60"/>
              <w:rPr>
                <w:sz w:val="18"/>
                <w:szCs w:val="18"/>
              </w:rPr>
            </w:pPr>
            <w:r w:rsidRPr="00EC28DA">
              <w:rPr>
                <w:sz w:val="18"/>
                <w:szCs w:val="18"/>
              </w:rPr>
              <w:t xml:space="preserve">See </w:t>
            </w:r>
            <w:r w:rsidR="007F7962" w:rsidRPr="00EC28DA">
              <w:rPr>
                <w:sz w:val="18"/>
                <w:szCs w:val="18"/>
              </w:rPr>
              <w:t>N</w:t>
            </w:r>
            <w:r w:rsidRPr="00EC28DA">
              <w:rPr>
                <w:sz w:val="18"/>
                <w:szCs w:val="18"/>
              </w:rPr>
              <w:t>ote</w:t>
            </w:r>
          </w:p>
        </w:tc>
        <w:tc>
          <w:tcPr>
            <w:tcW w:w="1021" w:type="dxa"/>
            <w:tcBorders>
              <w:bottom w:val="single" w:sz="4" w:space="0" w:color="auto"/>
            </w:tcBorders>
          </w:tcPr>
          <w:p w:rsidR="00141723" w:rsidRPr="00EC28DA" w:rsidRDefault="00141723"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c>
          <w:tcPr>
            <w:tcW w:w="1021" w:type="dxa"/>
            <w:tcBorders>
              <w:bottom w:val="single" w:sz="4" w:space="0" w:color="auto"/>
            </w:tcBorders>
          </w:tcPr>
          <w:p w:rsidR="00141723" w:rsidRPr="00EC28DA" w:rsidRDefault="00141723"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c>
          <w:tcPr>
            <w:tcW w:w="1021" w:type="dxa"/>
            <w:tcBorders>
              <w:bottom w:val="single" w:sz="4" w:space="0" w:color="auto"/>
            </w:tcBorders>
          </w:tcPr>
          <w:p w:rsidR="00141723" w:rsidRPr="00EC28DA" w:rsidRDefault="00141723"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c>
          <w:tcPr>
            <w:tcW w:w="1021" w:type="dxa"/>
            <w:tcBorders>
              <w:bottom w:val="single" w:sz="4" w:space="0" w:color="auto"/>
            </w:tcBorders>
          </w:tcPr>
          <w:p w:rsidR="00141723" w:rsidRPr="00EC28DA" w:rsidRDefault="00141723"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c>
          <w:tcPr>
            <w:tcW w:w="1021" w:type="dxa"/>
            <w:tcBorders>
              <w:bottom w:val="single" w:sz="4" w:space="0" w:color="auto"/>
            </w:tcBorders>
          </w:tcPr>
          <w:p w:rsidR="00141723" w:rsidRPr="00EC28DA" w:rsidRDefault="00141723"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c>
          <w:tcPr>
            <w:tcW w:w="1021" w:type="dxa"/>
            <w:tcBorders>
              <w:bottom w:val="single" w:sz="4" w:space="0" w:color="auto"/>
            </w:tcBorders>
          </w:tcPr>
          <w:p w:rsidR="00141723" w:rsidRPr="00EC28DA" w:rsidRDefault="00141723"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r>
      <w:tr w:rsidR="00141723" w:rsidRPr="00EC28DA" w:rsidTr="00141723">
        <w:trPr>
          <w:jc w:val="center"/>
        </w:trPr>
        <w:tc>
          <w:tcPr>
            <w:tcW w:w="2833" w:type="dxa"/>
          </w:tcPr>
          <w:p w:rsidR="00141723" w:rsidRPr="00141723" w:rsidRDefault="00141723" w:rsidP="00141723">
            <w:pPr>
              <w:pStyle w:val="Tabletext"/>
              <w:keepNext/>
              <w:keepLines/>
              <w:jc w:val="left"/>
              <w:rPr>
                <w:b/>
                <w:sz w:val="18"/>
                <w:szCs w:val="18"/>
              </w:rPr>
            </w:pPr>
            <w:r w:rsidRPr="00141723">
              <w:rPr>
                <w:b/>
                <w:sz w:val="18"/>
                <w:szCs w:val="18"/>
              </w:rPr>
              <w:t>EPIRB to spacecraft uplink</w:t>
            </w:r>
          </w:p>
        </w:tc>
        <w:tc>
          <w:tcPr>
            <w:tcW w:w="679" w:type="dxa"/>
            <w:tcBorders>
              <w:right w:val="nil"/>
            </w:tcBorders>
          </w:tcPr>
          <w:p w:rsidR="00141723" w:rsidRPr="00EC28DA" w:rsidRDefault="00141723" w:rsidP="00141723">
            <w:pPr>
              <w:pStyle w:val="Tabletext"/>
              <w:jc w:val="center"/>
              <w:rPr>
                <w:sz w:val="18"/>
                <w:szCs w:val="18"/>
              </w:rPr>
            </w:pPr>
          </w:p>
        </w:tc>
        <w:tc>
          <w:tcPr>
            <w:tcW w:w="1021" w:type="dxa"/>
            <w:tcBorders>
              <w:left w:val="nil"/>
              <w:right w:val="nil"/>
            </w:tcBorders>
          </w:tcPr>
          <w:p w:rsidR="00141723" w:rsidRPr="00EC28DA" w:rsidRDefault="00141723" w:rsidP="00141723">
            <w:pPr>
              <w:pStyle w:val="Tabletext"/>
              <w:jc w:val="center"/>
              <w:rPr>
                <w:sz w:val="18"/>
                <w:szCs w:val="18"/>
              </w:rPr>
            </w:pPr>
          </w:p>
        </w:tc>
        <w:tc>
          <w:tcPr>
            <w:tcW w:w="1021" w:type="dxa"/>
            <w:tcBorders>
              <w:left w:val="nil"/>
              <w:right w:val="nil"/>
            </w:tcBorders>
          </w:tcPr>
          <w:p w:rsidR="00141723" w:rsidRPr="00EC28DA" w:rsidRDefault="00141723" w:rsidP="00141723">
            <w:pPr>
              <w:pStyle w:val="Tabletext"/>
              <w:jc w:val="center"/>
              <w:rPr>
                <w:sz w:val="18"/>
                <w:szCs w:val="18"/>
              </w:rPr>
            </w:pPr>
          </w:p>
        </w:tc>
        <w:tc>
          <w:tcPr>
            <w:tcW w:w="1021" w:type="dxa"/>
            <w:tcBorders>
              <w:left w:val="nil"/>
              <w:right w:val="nil"/>
            </w:tcBorders>
          </w:tcPr>
          <w:p w:rsidR="00141723" w:rsidRPr="00EC28DA" w:rsidRDefault="00141723" w:rsidP="00141723">
            <w:pPr>
              <w:pStyle w:val="Tabletext"/>
              <w:jc w:val="center"/>
              <w:rPr>
                <w:sz w:val="18"/>
                <w:szCs w:val="18"/>
              </w:rPr>
            </w:pPr>
          </w:p>
        </w:tc>
        <w:tc>
          <w:tcPr>
            <w:tcW w:w="1021" w:type="dxa"/>
            <w:tcBorders>
              <w:left w:val="nil"/>
              <w:right w:val="nil"/>
            </w:tcBorders>
          </w:tcPr>
          <w:p w:rsidR="00141723" w:rsidRPr="00EC28DA" w:rsidRDefault="00141723" w:rsidP="00141723">
            <w:pPr>
              <w:pStyle w:val="Tabletext"/>
              <w:jc w:val="center"/>
              <w:rPr>
                <w:sz w:val="18"/>
                <w:szCs w:val="18"/>
              </w:rPr>
            </w:pPr>
          </w:p>
        </w:tc>
        <w:tc>
          <w:tcPr>
            <w:tcW w:w="1021" w:type="dxa"/>
            <w:tcBorders>
              <w:left w:val="nil"/>
              <w:right w:val="nil"/>
            </w:tcBorders>
          </w:tcPr>
          <w:p w:rsidR="00141723" w:rsidRPr="00EC28DA" w:rsidRDefault="00141723" w:rsidP="00141723">
            <w:pPr>
              <w:pStyle w:val="Tabletext"/>
              <w:jc w:val="center"/>
              <w:rPr>
                <w:sz w:val="18"/>
                <w:szCs w:val="18"/>
              </w:rPr>
            </w:pPr>
          </w:p>
        </w:tc>
        <w:tc>
          <w:tcPr>
            <w:tcW w:w="1021" w:type="dxa"/>
            <w:tcBorders>
              <w:left w:val="nil"/>
            </w:tcBorders>
          </w:tcPr>
          <w:p w:rsidR="00141723" w:rsidRPr="00EC28DA" w:rsidRDefault="00141723" w:rsidP="00141723">
            <w:pPr>
              <w:pStyle w:val="Tabletext"/>
              <w:jc w:val="center"/>
              <w:rPr>
                <w:sz w:val="18"/>
                <w:szCs w:val="18"/>
              </w:rPr>
            </w:pPr>
          </w:p>
        </w:tc>
      </w:tr>
      <w:tr w:rsidR="00141723" w:rsidRPr="00EC28DA" w:rsidTr="00841680">
        <w:trPr>
          <w:jc w:val="center"/>
        </w:trPr>
        <w:tc>
          <w:tcPr>
            <w:tcW w:w="2833" w:type="dxa"/>
          </w:tcPr>
          <w:p w:rsidR="00141723" w:rsidRPr="00141723" w:rsidRDefault="00141723" w:rsidP="00141723">
            <w:pPr>
              <w:pStyle w:val="Tabletext"/>
              <w:jc w:val="left"/>
              <w:rPr>
                <w:sz w:val="18"/>
                <w:szCs w:val="18"/>
              </w:rPr>
            </w:pPr>
            <w:r w:rsidRPr="00141723">
              <w:rPr>
                <w:sz w:val="18"/>
                <w:szCs w:val="18"/>
              </w:rPr>
              <w:t xml:space="preserve">SAR frequency bandwidth </w:t>
            </w:r>
            <w:r>
              <w:rPr>
                <w:sz w:val="18"/>
                <w:szCs w:val="18"/>
              </w:rPr>
              <w:t>(</w:t>
            </w:r>
            <w:r w:rsidRPr="00141723">
              <w:rPr>
                <w:sz w:val="18"/>
                <w:szCs w:val="18"/>
              </w:rPr>
              <w:t>kHz</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1</w:t>
            </w:r>
          </w:p>
        </w:tc>
        <w:tc>
          <w:tcPr>
            <w:tcW w:w="1021" w:type="dxa"/>
          </w:tcPr>
          <w:p w:rsidR="00141723" w:rsidRPr="00EC28DA" w:rsidRDefault="00141723" w:rsidP="00141723">
            <w:pPr>
              <w:pStyle w:val="Tabletext"/>
              <w:jc w:val="center"/>
              <w:rPr>
                <w:sz w:val="18"/>
                <w:szCs w:val="18"/>
              </w:rPr>
            </w:pPr>
          </w:p>
        </w:tc>
        <w:tc>
          <w:tcPr>
            <w:tcW w:w="3063" w:type="dxa"/>
            <w:gridSpan w:val="3"/>
          </w:tcPr>
          <w:p w:rsidR="00141723" w:rsidRPr="00EC28DA" w:rsidRDefault="00141723" w:rsidP="00141723">
            <w:pPr>
              <w:pStyle w:val="Tabletext"/>
              <w:jc w:val="center"/>
              <w:rPr>
                <w:sz w:val="18"/>
                <w:szCs w:val="18"/>
              </w:rPr>
            </w:pPr>
            <w:r w:rsidRPr="00EC28DA">
              <w:rPr>
                <w:sz w:val="18"/>
                <w:szCs w:val="18"/>
              </w:rPr>
              <w:t>80.0</w:t>
            </w:r>
          </w:p>
        </w:tc>
        <w:tc>
          <w:tcPr>
            <w:tcW w:w="1021" w:type="dxa"/>
          </w:tcPr>
          <w:p w:rsidR="00141723" w:rsidRPr="00EC28DA" w:rsidRDefault="00141723" w:rsidP="00141723">
            <w:pPr>
              <w:pStyle w:val="Tabletext"/>
              <w:jc w:val="center"/>
              <w:rPr>
                <w:sz w:val="18"/>
                <w:szCs w:val="18"/>
              </w:rPr>
            </w:pPr>
            <w:r w:rsidRPr="00EC28DA">
              <w:rPr>
                <w:sz w:val="18"/>
                <w:szCs w:val="18"/>
              </w:rPr>
              <w:t>100.0</w:t>
            </w:r>
          </w:p>
        </w:tc>
        <w:tc>
          <w:tcPr>
            <w:tcW w:w="1021" w:type="dxa"/>
          </w:tcPr>
          <w:p w:rsidR="00141723" w:rsidRPr="00EC28DA" w:rsidRDefault="00141723" w:rsidP="00141723">
            <w:pPr>
              <w:pStyle w:val="Tabletext"/>
              <w:jc w:val="center"/>
              <w:rPr>
                <w:sz w:val="18"/>
                <w:szCs w:val="18"/>
              </w:rPr>
            </w:pPr>
            <w:r w:rsidRPr="00EC28DA">
              <w:rPr>
                <w:sz w:val="18"/>
                <w:szCs w:val="18"/>
              </w:rPr>
              <w:t>80.0</w:t>
            </w:r>
          </w:p>
        </w:tc>
      </w:tr>
      <w:tr w:rsidR="00141723" w:rsidRPr="00EC28DA" w:rsidTr="00E82B86">
        <w:trPr>
          <w:jc w:val="center"/>
        </w:trPr>
        <w:tc>
          <w:tcPr>
            <w:tcW w:w="2833" w:type="dxa"/>
          </w:tcPr>
          <w:p w:rsidR="00141723" w:rsidRPr="00141723" w:rsidRDefault="00141723" w:rsidP="00141723">
            <w:pPr>
              <w:pStyle w:val="Tabletext"/>
              <w:jc w:val="left"/>
              <w:rPr>
                <w:sz w:val="18"/>
                <w:szCs w:val="18"/>
              </w:rPr>
            </w:pPr>
            <w:r w:rsidRPr="00141723">
              <w:rPr>
                <w:sz w:val="18"/>
                <w:szCs w:val="18"/>
              </w:rPr>
              <w:t>Data rate, Rb</w:t>
            </w:r>
            <w:r>
              <w:rPr>
                <w:sz w:val="18"/>
                <w:szCs w:val="18"/>
              </w:rPr>
              <w:t xml:space="preserve"> (</w:t>
            </w:r>
            <w:r w:rsidRPr="00141723">
              <w:rPr>
                <w:sz w:val="18"/>
                <w:szCs w:val="18"/>
              </w:rPr>
              <w:t>Hz</w:t>
            </w:r>
            <w:r>
              <w:rPr>
                <w:sz w:val="18"/>
                <w:szCs w:val="18"/>
              </w:rPr>
              <w:t>)</w:t>
            </w:r>
          </w:p>
        </w:tc>
        <w:tc>
          <w:tcPr>
            <w:tcW w:w="679"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5105" w:type="dxa"/>
            <w:gridSpan w:val="5"/>
          </w:tcPr>
          <w:p w:rsidR="00141723" w:rsidRPr="00EC28DA" w:rsidRDefault="00141723" w:rsidP="00141723">
            <w:pPr>
              <w:pStyle w:val="Tabletext"/>
              <w:jc w:val="center"/>
              <w:rPr>
                <w:sz w:val="18"/>
                <w:szCs w:val="18"/>
              </w:rPr>
            </w:pPr>
            <w:r w:rsidRPr="00EC28DA">
              <w:rPr>
                <w:sz w:val="18"/>
                <w:szCs w:val="18"/>
              </w:rPr>
              <w:t>400.0</w:t>
            </w:r>
          </w:p>
        </w:tc>
      </w:tr>
      <w:tr w:rsidR="00141723" w:rsidRPr="00EC28DA" w:rsidTr="001E4969">
        <w:trPr>
          <w:jc w:val="center"/>
        </w:trPr>
        <w:tc>
          <w:tcPr>
            <w:tcW w:w="2833" w:type="dxa"/>
          </w:tcPr>
          <w:p w:rsidR="00141723" w:rsidRPr="00141723" w:rsidRDefault="00141723" w:rsidP="00141723">
            <w:pPr>
              <w:pStyle w:val="Tabletext"/>
              <w:jc w:val="left"/>
              <w:rPr>
                <w:sz w:val="18"/>
                <w:szCs w:val="18"/>
              </w:rPr>
            </w:pPr>
            <w:r w:rsidRPr="00141723">
              <w:rPr>
                <w:sz w:val="18"/>
                <w:szCs w:val="18"/>
              </w:rPr>
              <w:t>Frequency</w:t>
            </w:r>
            <w:r>
              <w:rPr>
                <w:sz w:val="18"/>
                <w:szCs w:val="18"/>
              </w:rPr>
              <w:t xml:space="preserve"> (</w:t>
            </w:r>
            <w:r w:rsidRPr="00141723">
              <w:rPr>
                <w:sz w:val="18"/>
                <w:szCs w:val="18"/>
              </w:rPr>
              <w:t>MHz</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2</w:t>
            </w:r>
          </w:p>
        </w:tc>
        <w:tc>
          <w:tcPr>
            <w:tcW w:w="1021" w:type="dxa"/>
          </w:tcPr>
          <w:p w:rsidR="00141723" w:rsidRPr="00EC28DA" w:rsidRDefault="00141723" w:rsidP="00141723">
            <w:pPr>
              <w:pStyle w:val="Tabletext"/>
              <w:jc w:val="center"/>
              <w:rPr>
                <w:sz w:val="18"/>
                <w:szCs w:val="18"/>
              </w:rPr>
            </w:pPr>
          </w:p>
        </w:tc>
        <w:tc>
          <w:tcPr>
            <w:tcW w:w="5105" w:type="dxa"/>
            <w:gridSpan w:val="5"/>
          </w:tcPr>
          <w:p w:rsidR="00141723" w:rsidRPr="00EC28DA" w:rsidRDefault="00141723" w:rsidP="00141723">
            <w:pPr>
              <w:pStyle w:val="Tabletext"/>
              <w:jc w:val="center"/>
              <w:rPr>
                <w:sz w:val="18"/>
                <w:szCs w:val="18"/>
              </w:rPr>
            </w:pPr>
            <w:r w:rsidRPr="00EC28DA">
              <w:rPr>
                <w:sz w:val="18"/>
                <w:szCs w:val="18"/>
              </w:rPr>
              <w:t>406.05</w:t>
            </w:r>
          </w:p>
        </w:tc>
      </w:tr>
      <w:tr w:rsidR="00141723" w:rsidRPr="00EC28DA" w:rsidTr="007D2DAB">
        <w:trPr>
          <w:jc w:val="center"/>
        </w:trPr>
        <w:tc>
          <w:tcPr>
            <w:tcW w:w="2833" w:type="dxa"/>
          </w:tcPr>
          <w:p w:rsidR="00141723" w:rsidRPr="00141723" w:rsidRDefault="00141723" w:rsidP="00141723">
            <w:pPr>
              <w:pStyle w:val="Tabletext"/>
              <w:jc w:val="left"/>
              <w:rPr>
                <w:sz w:val="18"/>
                <w:szCs w:val="18"/>
              </w:rPr>
            </w:pPr>
            <w:r w:rsidRPr="00141723">
              <w:rPr>
                <w:sz w:val="18"/>
                <w:szCs w:val="18"/>
              </w:rPr>
              <w:t>Transmit power</w:t>
            </w:r>
            <w:r>
              <w:rPr>
                <w:sz w:val="18"/>
                <w:szCs w:val="18"/>
              </w:rPr>
              <w:t xml:space="preserve"> (</w:t>
            </w:r>
            <w:r w:rsidRPr="00141723">
              <w:rPr>
                <w:sz w:val="18"/>
                <w:szCs w:val="18"/>
              </w:rPr>
              <w:t>dBW</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3</w:t>
            </w:r>
          </w:p>
        </w:tc>
        <w:tc>
          <w:tcPr>
            <w:tcW w:w="1021" w:type="dxa"/>
          </w:tcPr>
          <w:p w:rsidR="00141723" w:rsidRPr="00EC28DA" w:rsidRDefault="00141723" w:rsidP="00141723">
            <w:pPr>
              <w:pStyle w:val="Tabletext"/>
              <w:jc w:val="center"/>
              <w:rPr>
                <w:sz w:val="18"/>
                <w:szCs w:val="18"/>
              </w:rPr>
            </w:pPr>
          </w:p>
        </w:tc>
        <w:tc>
          <w:tcPr>
            <w:tcW w:w="5105" w:type="dxa"/>
            <w:gridSpan w:val="5"/>
          </w:tcPr>
          <w:p w:rsidR="00141723" w:rsidRPr="00EC28DA" w:rsidRDefault="00141723" w:rsidP="00141723">
            <w:pPr>
              <w:pStyle w:val="Tabletext"/>
              <w:jc w:val="center"/>
              <w:rPr>
                <w:sz w:val="18"/>
                <w:szCs w:val="18"/>
              </w:rPr>
            </w:pPr>
            <w:r w:rsidRPr="00EC28DA">
              <w:rPr>
                <w:sz w:val="18"/>
                <w:szCs w:val="18"/>
              </w:rPr>
              <w:t>5.0</w:t>
            </w:r>
          </w:p>
        </w:tc>
      </w:tr>
      <w:tr w:rsidR="00141723" w:rsidRPr="00EC28DA" w:rsidTr="006A63F7">
        <w:trPr>
          <w:jc w:val="center"/>
        </w:trPr>
        <w:tc>
          <w:tcPr>
            <w:tcW w:w="2833" w:type="dxa"/>
          </w:tcPr>
          <w:p w:rsidR="00141723" w:rsidRPr="00141723" w:rsidRDefault="00141723" w:rsidP="00141723">
            <w:pPr>
              <w:pStyle w:val="Tabletext"/>
              <w:jc w:val="left"/>
              <w:rPr>
                <w:sz w:val="18"/>
                <w:szCs w:val="18"/>
              </w:rPr>
            </w:pPr>
            <w:r w:rsidRPr="00141723">
              <w:rPr>
                <w:sz w:val="18"/>
                <w:szCs w:val="18"/>
              </w:rPr>
              <w:t>Tx antenna gain</w:t>
            </w:r>
            <w:r>
              <w:rPr>
                <w:sz w:val="18"/>
                <w:szCs w:val="18"/>
              </w:rPr>
              <w:t xml:space="preserve"> (</w:t>
            </w:r>
            <w:r w:rsidRPr="00141723">
              <w:rPr>
                <w:sz w:val="18"/>
                <w:szCs w:val="18"/>
              </w:rPr>
              <w:t>dBi</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4</w:t>
            </w:r>
          </w:p>
        </w:tc>
        <w:tc>
          <w:tcPr>
            <w:tcW w:w="1021" w:type="dxa"/>
          </w:tcPr>
          <w:p w:rsidR="00141723" w:rsidRPr="00EC28DA" w:rsidRDefault="00141723" w:rsidP="00141723">
            <w:pPr>
              <w:pStyle w:val="Tabletext"/>
              <w:jc w:val="center"/>
              <w:rPr>
                <w:sz w:val="18"/>
                <w:szCs w:val="18"/>
              </w:rPr>
            </w:pPr>
          </w:p>
        </w:tc>
        <w:tc>
          <w:tcPr>
            <w:tcW w:w="5105" w:type="dxa"/>
            <w:gridSpan w:val="5"/>
          </w:tcPr>
          <w:p w:rsidR="00141723" w:rsidRPr="00EC28DA" w:rsidRDefault="00141723" w:rsidP="00141723">
            <w:pPr>
              <w:pStyle w:val="Tabletext"/>
              <w:jc w:val="center"/>
              <w:rPr>
                <w:sz w:val="18"/>
                <w:szCs w:val="18"/>
              </w:rPr>
            </w:pPr>
            <w:r w:rsidRPr="00EC28DA">
              <w:rPr>
                <w:sz w:val="18"/>
                <w:szCs w:val="18"/>
              </w:rPr>
              <w:t>–2.0</w:t>
            </w:r>
          </w:p>
        </w:tc>
      </w:tr>
      <w:tr w:rsidR="00141723" w:rsidRPr="00EC28DA" w:rsidTr="000A4D94">
        <w:trPr>
          <w:jc w:val="center"/>
        </w:trPr>
        <w:tc>
          <w:tcPr>
            <w:tcW w:w="2833" w:type="dxa"/>
          </w:tcPr>
          <w:p w:rsidR="00141723" w:rsidRPr="00141723" w:rsidRDefault="00141723" w:rsidP="00141723">
            <w:pPr>
              <w:pStyle w:val="Tabletext"/>
              <w:jc w:val="left"/>
              <w:rPr>
                <w:sz w:val="18"/>
                <w:szCs w:val="18"/>
              </w:rPr>
            </w:pPr>
            <w:r w:rsidRPr="00141723">
              <w:rPr>
                <w:sz w:val="18"/>
                <w:szCs w:val="18"/>
              </w:rPr>
              <w:t>e.i.r.p.</w:t>
            </w:r>
            <w:r>
              <w:rPr>
                <w:sz w:val="18"/>
                <w:szCs w:val="18"/>
              </w:rPr>
              <w:t xml:space="preserve"> (</w:t>
            </w:r>
            <w:r w:rsidRPr="00141723">
              <w:rPr>
                <w:sz w:val="18"/>
                <w:szCs w:val="18"/>
              </w:rPr>
              <w:t>dBW</w:t>
            </w:r>
            <w:r>
              <w:rPr>
                <w:sz w:val="18"/>
                <w:szCs w:val="18"/>
              </w:rPr>
              <w:t>)</w:t>
            </w:r>
          </w:p>
        </w:tc>
        <w:tc>
          <w:tcPr>
            <w:tcW w:w="679"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5105" w:type="dxa"/>
            <w:gridSpan w:val="5"/>
          </w:tcPr>
          <w:p w:rsidR="00141723" w:rsidRPr="00EC28DA" w:rsidRDefault="00141723" w:rsidP="00141723">
            <w:pPr>
              <w:pStyle w:val="Tabletext"/>
              <w:jc w:val="center"/>
              <w:rPr>
                <w:sz w:val="18"/>
                <w:szCs w:val="18"/>
              </w:rPr>
            </w:pPr>
            <w:r w:rsidRPr="00EC28DA">
              <w:rPr>
                <w:sz w:val="18"/>
                <w:szCs w:val="18"/>
              </w:rPr>
              <w:t>3.0</w:t>
            </w:r>
          </w:p>
        </w:tc>
      </w:tr>
      <w:tr w:rsidR="00141723" w:rsidRPr="00EC28DA" w:rsidTr="00391F07">
        <w:trPr>
          <w:jc w:val="center"/>
        </w:trPr>
        <w:tc>
          <w:tcPr>
            <w:tcW w:w="2833" w:type="dxa"/>
          </w:tcPr>
          <w:p w:rsidR="00141723" w:rsidRPr="00141723" w:rsidRDefault="00141723" w:rsidP="00141723">
            <w:pPr>
              <w:pStyle w:val="Tabletext"/>
              <w:jc w:val="left"/>
              <w:rPr>
                <w:sz w:val="18"/>
                <w:szCs w:val="18"/>
              </w:rPr>
            </w:pPr>
            <w:r w:rsidRPr="00141723">
              <w:rPr>
                <w:sz w:val="18"/>
                <w:szCs w:val="18"/>
              </w:rPr>
              <w:t>Elevation angle</w:t>
            </w:r>
            <w:r>
              <w:rPr>
                <w:sz w:val="18"/>
                <w:szCs w:val="18"/>
              </w:rPr>
              <w:t xml:space="preserve"> (degrees)</w:t>
            </w:r>
          </w:p>
        </w:tc>
        <w:tc>
          <w:tcPr>
            <w:tcW w:w="679" w:type="dxa"/>
          </w:tcPr>
          <w:p w:rsidR="00141723" w:rsidRPr="00EC28DA" w:rsidRDefault="00141723" w:rsidP="00141723">
            <w:pPr>
              <w:pStyle w:val="Tabletext"/>
              <w:jc w:val="center"/>
              <w:rPr>
                <w:sz w:val="18"/>
                <w:szCs w:val="18"/>
              </w:rPr>
            </w:pPr>
            <w:r w:rsidRPr="00EC28DA">
              <w:rPr>
                <w:sz w:val="18"/>
                <w:szCs w:val="18"/>
              </w:rPr>
              <w:t>5</w:t>
            </w:r>
          </w:p>
        </w:tc>
        <w:tc>
          <w:tcPr>
            <w:tcW w:w="1021" w:type="dxa"/>
          </w:tcPr>
          <w:p w:rsidR="00141723" w:rsidRPr="00EC28DA" w:rsidRDefault="00141723" w:rsidP="00141723">
            <w:pPr>
              <w:pStyle w:val="Tabletext"/>
              <w:jc w:val="center"/>
              <w:rPr>
                <w:sz w:val="18"/>
                <w:szCs w:val="18"/>
              </w:rPr>
            </w:pPr>
          </w:p>
        </w:tc>
        <w:tc>
          <w:tcPr>
            <w:tcW w:w="5105" w:type="dxa"/>
            <w:gridSpan w:val="5"/>
          </w:tcPr>
          <w:p w:rsidR="00141723" w:rsidRPr="00EC28DA" w:rsidRDefault="00141723" w:rsidP="00141723">
            <w:pPr>
              <w:pStyle w:val="Tabletext"/>
              <w:jc w:val="center"/>
              <w:rPr>
                <w:sz w:val="18"/>
                <w:szCs w:val="18"/>
              </w:rPr>
            </w:pPr>
            <w:r w:rsidRPr="00EC28DA">
              <w:rPr>
                <w:sz w:val="18"/>
                <w:szCs w:val="18"/>
              </w:rPr>
              <w:t>5.0</w:t>
            </w:r>
          </w:p>
        </w:tc>
      </w:tr>
      <w:tr w:rsidR="00141723" w:rsidRPr="00EC28DA" w:rsidTr="0024664C">
        <w:trPr>
          <w:jc w:val="center"/>
        </w:trPr>
        <w:tc>
          <w:tcPr>
            <w:tcW w:w="2833" w:type="dxa"/>
          </w:tcPr>
          <w:p w:rsidR="00141723" w:rsidRPr="00141723" w:rsidRDefault="00141723" w:rsidP="00141723">
            <w:pPr>
              <w:pStyle w:val="Tabletext"/>
              <w:jc w:val="left"/>
              <w:rPr>
                <w:sz w:val="18"/>
                <w:szCs w:val="18"/>
              </w:rPr>
            </w:pPr>
            <w:r w:rsidRPr="00141723">
              <w:rPr>
                <w:sz w:val="18"/>
                <w:szCs w:val="18"/>
              </w:rPr>
              <w:t>Path distance</w:t>
            </w:r>
            <w:r>
              <w:rPr>
                <w:sz w:val="18"/>
                <w:szCs w:val="18"/>
              </w:rPr>
              <w:t xml:space="preserve"> (</w:t>
            </w:r>
            <w:r w:rsidRPr="00141723">
              <w:rPr>
                <w:sz w:val="18"/>
                <w:szCs w:val="18"/>
              </w:rPr>
              <w:t>km</w:t>
            </w:r>
            <w:r>
              <w:rPr>
                <w:sz w:val="18"/>
                <w:szCs w:val="18"/>
              </w:rPr>
              <w:t>)</w:t>
            </w:r>
          </w:p>
        </w:tc>
        <w:tc>
          <w:tcPr>
            <w:tcW w:w="679"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2 900.0</w:t>
            </w:r>
          </w:p>
        </w:tc>
        <w:tc>
          <w:tcPr>
            <w:tcW w:w="1021" w:type="dxa"/>
          </w:tcPr>
          <w:p w:rsidR="00141723" w:rsidRPr="00EC28DA" w:rsidRDefault="00141723" w:rsidP="00141723">
            <w:pPr>
              <w:pStyle w:val="Tabletext"/>
              <w:jc w:val="center"/>
              <w:rPr>
                <w:sz w:val="18"/>
                <w:szCs w:val="18"/>
              </w:rPr>
            </w:pPr>
            <w:r w:rsidRPr="00EC28DA">
              <w:rPr>
                <w:sz w:val="18"/>
                <w:szCs w:val="18"/>
              </w:rPr>
              <w:t>3 200.0</w:t>
            </w:r>
          </w:p>
        </w:tc>
        <w:tc>
          <w:tcPr>
            <w:tcW w:w="2042" w:type="dxa"/>
            <w:gridSpan w:val="2"/>
          </w:tcPr>
          <w:p w:rsidR="00141723" w:rsidRPr="00EC28DA" w:rsidRDefault="00141723" w:rsidP="00141723">
            <w:pPr>
              <w:pStyle w:val="Tabletext"/>
              <w:jc w:val="center"/>
              <w:rPr>
                <w:sz w:val="18"/>
                <w:szCs w:val="18"/>
              </w:rPr>
            </w:pPr>
            <w:r w:rsidRPr="00EC28DA">
              <w:rPr>
                <w:sz w:val="18"/>
                <w:szCs w:val="18"/>
              </w:rPr>
              <w:t>41 126.3</w:t>
            </w:r>
          </w:p>
        </w:tc>
        <w:tc>
          <w:tcPr>
            <w:tcW w:w="1021" w:type="dxa"/>
          </w:tcPr>
          <w:p w:rsidR="00141723" w:rsidRPr="00EC28DA" w:rsidRDefault="00141723" w:rsidP="00141723">
            <w:pPr>
              <w:pStyle w:val="Tabletext"/>
              <w:jc w:val="center"/>
              <w:rPr>
                <w:sz w:val="18"/>
                <w:szCs w:val="18"/>
              </w:rPr>
            </w:pPr>
            <w:r w:rsidRPr="00EC28DA">
              <w:rPr>
                <w:sz w:val="18"/>
                <w:szCs w:val="18"/>
              </w:rPr>
              <w:t>28 354.4</w:t>
            </w:r>
          </w:p>
        </w:tc>
      </w:tr>
      <w:tr w:rsidR="00141723" w:rsidRPr="00EC28DA" w:rsidTr="002D4CD7">
        <w:trPr>
          <w:jc w:val="center"/>
        </w:trPr>
        <w:tc>
          <w:tcPr>
            <w:tcW w:w="2833" w:type="dxa"/>
          </w:tcPr>
          <w:p w:rsidR="00141723" w:rsidRPr="00141723" w:rsidRDefault="00141723" w:rsidP="00141723">
            <w:pPr>
              <w:pStyle w:val="Tabletext"/>
              <w:jc w:val="left"/>
              <w:rPr>
                <w:sz w:val="18"/>
                <w:szCs w:val="18"/>
              </w:rPr>
            </w:pPr>
            <w:r w:rsidRPr="00141723">
              <w:rPr>
                <w:sz w:val="18"/>
                <w:szCs w:val="18"/>
              </w:rPr>
              <w:t>Path loss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153.8</w:t>
            </w:r>
          </w:p>
        </w:tc>
        <w:tc>
          <w:tcPr>
            <w:tcW w:w="1021" w:type="dxa"/>
          </w:tcPr>
          <w:p w:rsidR="00141723" w:rsidRPr="00EC28DA" w:rsidRDefault="00141723" w:rsidP="00141723">
            <w:pPr>
              <w:pStyle w:val="Tabletext"/>
              <w:jc w:val="center"/>
              <w:rPr>
                <w:sz w:val="18"/>
                <w:szCs w:val="18"/>
              </w:rPr>
            </w:pPr>
            <w:r w:rsidRPr="00EC28DA">
              <w:rPr>
                <w:sz w:val="18"/>
                <w:szCs w:val="18"/>
              </w:rPr>
              <w:t>154.7</w:t>
            </w:r>
          </w:p>
        </w:tc>
        <w:tc>
          <w:tcPr>
            <w:tcW w:w="2042" w:type="dxa"/>
            <w:gridSpan w:val="2"/>
          </w:tcPr>
          <w:p w:rsidR="00141723" w:rsidRPr="00EC28DA" w:rsidRDefault="00141723" w:rsidP="00141723">
            <w:pPr>
              <w:pStyle w:val="Tabletext"/>
              <w:jc w:val="center"/>
              <w:rPr>
                <w:sz w:val="18"/>
                <w:szCs w:val="18"/>
              </w:rPr>
            </w:pPr>
            <w:r w:rsidRPr="00EC28DA">
              <w:rPr>
                <w:sz w:val="18"/>
                <w:szCs w:val="18"/>
              </w:rPr>
              <w:t>176.9</w:t>
            </w:r>
          </w:p>
        </w:tc>
        <w:tc>
          <w:tcPr>
            <w:tcW w:w="1021" w:type="dxa"/>
          </w:tcPr>
          <w:p w:rsidR="00141723" w:rsidRPr="00EC28DA" w:rsidRDefault="00141723" w:rsidP="00141723">
            <w:pPr>
              <w:pStyle w:val="Tabletext"/>
              <w:jc w:val="center"/>
              <w:rPr>
                <w:sz w:val="18"/>
                <w:szCs w:val="18"/>
              </w:rPr>
            </w:pPr>
            <w:r w:rsidRPr="00EC28DA">
              <w:rPr>
                <w:sz w:val="18"/>
                <w:szCs w:val="18"/>
              </w:rPr>
              <w:t>173.7</w:t>
            </w:r>
          </w:p>
        </w:tc>
      </w:tr>
      <w:tr w:rsidR="00141723" w:rsidRPr="00EC28DA" w:rsidTr="00141723">
        <w:trPr>
          <w:jc w:val="center"/>
        </w:trPr>
        <w:tc>
          <w:tcPr>
            <w:tcW w:w="2833" w:type="dxa"/>
          </w:tcPr>
          <w:p w:rsidR="00141723" w:rsidRPr="00141723" w:rsidRDefault="00141723" w:rsidP="00141723">
            <w:pPr>
              <w:pStyle w:val="Tabletext"/>
              <w:jc w:val="left"/>
              <w:rPr>
                <w:sz w:val="18"/>
                <w:szCs w:val="18"/>
              </w:rPr>
            </w:pPr>
            <w:r w:rsidRPr="00141723">
              <w:rPr>
                <w:sz w:val="18"/>
                <w:szCs w:val="18"/>
              </w:rPr>
              <w:t>Polarization loss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6</w:t>
            </w: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4.9</w:t>
            </w:r>
          </w:p>
        </w:tc>
        <w:tc>
          <w:tcPr>
            <w:tcW w:w="1021" w:type="dxa"/>
          </w:tcPr>
          <w:p w:rsidR="00141723" w:rsidRPr="00EC28DA" w:rsidRDefault="00141723" w:rsidP="00141723">
            <w:pPr>
              <w:pStyle w:val="Tabletext"/>
              <w:jc w:val="center"/>
              <w:rPr>
                <w:sz w:val="18"/>
                <w:szCs w:val="18"/>
              </w:rPr>
            </w:pPr>
            <w:r w:rsidRPr="00EC28DA">
              <w:rPr>
                <w:sz w:val="18"/>
                <w:szCs w:val="18"/>
              </w:rPr>
              <w:t>4.5</w:t>
            </w:r>
          </w:p>
        </w:tc>
        <w:tc>
          <w:tcPr>
            <w:tcW w:w="1021" w:type="dxa"/>
          </w:tcPr>
          <w:p w:rsidR="00141723" w:rsidRPr="00EC28DA" w:rsidRDefault="00141723" w:rsidP="00141723">
            <w:pPr>
              <w:pStyle w:val="Tabletext"/>
              <w:jc w:val="center"/>
              <w:rPr>
                <w:sz w:val="18"/>
                <w:szCs w:val="18"/>
              </w:rPr>
            </w:pPr>
            <w:r w:rsidRPr="00EC28DA">
              <w:rPr>
                <w:sz w:val="18"/>
                <w:szCs w:val="18"/>
              </w:rPr>
              <w:t>4.0</w:t>
            </w:r>
          </w:p>
        </w:tc>
      </w:tr>
      <w:tr w:rsidR="00141723" w:rsidRPr="00EC28DA" w:rsidTr="00AE72E1">
        <w:trPr>
          <w:jc w:val="center"/>
        </w:trPr>
        <w:tc>
          <w:tcPr>
            <w:tcW w:w="2833" w:type="dxa"/>
          </w:tcPr>
          <w:p w:rsidR="00141723" w:rsidRPr="00141723" w:rsidRDefault="00141723" w:rsidP="00141723">
            <w:pPr>
              <w:pStyle w:val="Tabletext"/>
              <w:jc w:val="left"/>
              <w:rPr>
                <w:sz w:val="18"/>
                <w:szCs w:val="18"/>
              </w:rPr>
            </w:pPr>
            <w:r w:rsidRPr="00141723">
              <w:rPr>
                <w:sz w:val="18"/>
                <w:szCs w:val="18"/>
              </w:rPr>
              <w:t>Fading loss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6a</w:t>
            </w:r>
          </w:p>
        </w:tc>
        <w:tc>
          <w:tcPr>
            <w:tcW w:w="1021" w:type="dxa"/>
          </w:tcPr>
          <w:p w:rsidR="00141723" w:rsidRPr="00EC28DA" w:rsidRDefault="00141723" w:rsidP="00141723">
            <w:pPr>
              <w:pStyle w:val="Tabletext"/>
              <w:jc w:val="center"/>
              <w:rPr>
                <w:sz w:val="18"/>
                <w:szCs w:val="18"/>
              </w:rPr>
            </w:pPr>
          </w:p>
        </w:tc>
        <w:tc>
          <w:tcPr>
            <w:tcW w:w="2042" w:type="dxa"/>
            <w:gridSpan w:val="2"/>
          </w:tcPr>
          <w:p w:rsidR="00141723" w:rsidRPr="00EC28DA" w:rsidRDefault="00141723" w:rsidP="00141723">
            <w:pPr>
              <w:pStyle w:val="Tabletext"/>
              <w:jc w:val="center"/>
              <w:rPr>
                <w:sz w:val="18"/>
                <w:szCs w:val="18"/>
              </w:rPr>
            </w:pPr>
            <w:r w:rsidRPr="00EC28DA">
              <w:rPr>
                <w:sz w:val="18"/>
                <w:szCs w:val="18"/>
              </w:rPr>
              <w:t>2.5</w:t>
            </w: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2.5</w:t>
            </w:r>
          </w:p>
        </w:tc>
      </w:tr>
      <w:tr w:rsidR="00141723" w:rsidRPr="00EC28DA" w:rsidTr="007F01DD">
        <w:trPr>
          <w:jc w:val="center"/>
        </w:trPr>
        <w:tc>
          <w:tcPr>
            <w:tcW w:w="2833" w:type="dxa"/>
          </w:tcPr>
          <w:p w:rsidR="00141723" w:rsidRPr="00141723" w:rsidRDefault="00141723" w:rsidP="00141723">
            <w:pPr>
              <w:pStyle w:val="Tabletext"/>
              <w:jc w:val="left"/>
              <w:rPr>
                <w:sz w:val="18"/>
                <w:szCs w:val="18"/>
              </w:rPr>
            </w:pPr>
            <w:r w:rsidRPr="00141723">
              <w:rPr>
                <w:i/>
                <w:iCs/>
                <w:sz w:val="18"/>
                <w:szCs w:val="18"/>
              </w:rPr>
              <w:t>G</w:t>
            </w:r>
            <w:r w:rsidRPr="00141723">
              <w:rPr>
                <w:sz w:val="18"/>
                <w:szCs w:val="18"/>
              </w:rPr>
              <w:t>/</w:t>
            </w:r>
            <w:r w:rsidRPr="00141723">
              <w:rPr>
                <w:i/>
                <w:iCs/>
                <w:sz w:val="18"/>
                <w:szCs w:val="18"/>
              </w:rPr>
              <w:t>T</w:t>
            </w:r>
            <w:r w:rsidRPr="00141723">
              <w:rPr>
                <w:sz w:val="18"/>
                <w:szCs w:val="18"/>
              </w:rPr>
              <w:t xml:space="preserve"> of satellite Rx antenna</w:t>
            </w:r>
            <w:r>
              <w:rPr>
                <w:sz w:val="18"/>
                <w:szCs w:val="18"/>
              </w:rPr>
              <w:t xml:space="preserve"> (</w:t>
            </w:r>
            <w:r w:rsidRPr="00141723">
              <w:rPr>
                <w:sz w:val="18"/>
                <w:szCs w:val="18"/>
              </w:rPr>
              <w:t>dB/K</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7</w:t>
            </w:r>
          </w:p>
        </w:tc>
        <w:tc>
          <w:tcPr>
            <w:tcW w:w="1021" w:type="dxa"/>
          </w:tcPr>
          <w:p w:rsidR="00141723" w:rsidRPr="00EC28DA" w:rsidRDefault="00141723" w:rsidP="00141723">
            <w:pPr>
              <w:pStyle w:val="Tabletext"/>
              <w:jc w:val="center"/>
              <w:rPr>
                <w:sz w:val="18"/>
                <w:szCs w:val="18"/>
              </w:rPr>
            </w:pPr>
          </w:p>
        </w:tc>
        <w:tc>
          <w:tcPr>
            <w:tcW w:w="2042" w:type="dxa"/>
            <w:gridSpan w:val="2"/>
          </w:tcPr>
          <w:p w:rsidR="00141723" w:rsidRPr="00EC28DA" w:rsidRDefault="00141723" w:rsidP="00141723">
            <w:pPr>
              <w:pStyle w:val="Tabletext"/>
              <w:jc w:val="center"/>
              <w:rPr>
                <w:sz w:val="18"/>
                <w:szCs w:val="18"/>
              </w:rPr>
            </w:pPr>
            <w:r w:rsidRPr="00EC28DA">
              <w:rPr>
                <w:sz w:val="18"/>
                <w:szCs w:val="18"/>
              </w:rPr>
              <w:t>–34.0</w:t>
            </w:r>
          </w:p>
        </w:tc>
        <w:tc>
          <w:tcPr>
            <w:tcW w:w="1021" w:type="dxa"/>
          </w:tcPr>
          <w:p w:rsidR="00141723" w:rsidRPr="00EC28DA" w:rsidRDefault="00141723" w:rsidP="00141723">
            <w:pPr>
              <w:pStyle w:val="Tabletext"/>
              <w:jc w:val="center"/>
              <w:rPr>
                <w:sz w:val="18"/>
                <w:szCs w:val="18"/>
              </w:rPr>
            </w:pPr>
            <w:r w:rsidRPr="00EC28DA">
              <w:rPr>
                <w:sz w:val="18"/>
                <w:szCs w:val="18"/>
              </w:rPr>
              <w:t>–18.5</w:t>
            </w:r>
          </w:p>
        </w:tc>
        <w:tc>
          <w:tcPr>
            <w:tcW w:w="1021" w:type="dxa"/>
          </w:tcPr>
          <w:p w:rsidR="00141723" w:rsidRPr="00EC28DA" w:rsidRDefault="00141723" w:rsidP="00141723">
            <w:pPr>
              <w:pStyle w:val="Tabletext"/>
              <w:jc w:val="center"/>
              <w:rPr>
                <w:sz w:val="18"/>
                <w:szCs w:val="18"/>
              </w:rPr>
            </w:pPr>
            <w:r w:rsidRPr="00EC28DA">
              <w:rPr>
                <w:sz w:val="18"/>
                <w:szCs w:val="18"/>
              </w:rPr>
              <w:t>–22.1</w:t>
            </w:r>
          </w:p>
        </w:tc>
        <w:tc>
          <w:tcPr>
            <w:tcW w:w="1021" w:type="dxa"/>
          </w:tcPr>
          <w:p w:rsidR="00141723" w:rsidRPr="00EC28DA" w:rsidRDefault="00141723" w:rsidP="00141723">
            <w:pPr>
              <w:pStyle w:val="Tabletext"/>
              <w:jc w:val="center"/>
              <w:rPr>
                <w:sz w:val="18"/>
                <w:szCs w:val="18"/>
              </w:rPr>
            </w:pPr>
            <w:r w:rsidRPr="00EC28DA">
              <w:rPr>
                <w:sz w:val="18"/>
                <w:szCs w:val="18"/>
              </w:rPr>
              <w:t>–15.7</w:t>
            </w:r>
          </w:p>
        </w:tc>
      </w:tr>
      <w:tr w:rsidR="00141723" w:rsidRPr="00EC28DA" w:rsidTr="00A63826">
        <w:trPr>
          <w:jc w:val="center"/>
        </w:trPr>
        <w:tc>
          <w:tcPr>
            <w:tcW w:w="2833" w:type="dxa"/>
          </w:tcPr>
          <w:p w:rsidR="00141723" w:rsidRPr="00141723" w:rsidRDefault="00141723" w:rsidP="00141723">
            <w:pPr>
              <w:pStyle w:val="Tabletext"/>
              <w:jc w:val="left"/>
              <w:rPr>
                <w:sz w:val="18"/>
                <w:szCs w:val="18"/>
              </w:rPr>
            </w:pPr>
            <w:r w:rsidRPr="00141723">
              <w:rPr>
                <w:sz w:val="18"/>
                <w:szCs w:val="18"/>
              </w:rPr>
              <w:t>Boltzmann's constant</w:t>
            </w:r>
            <w:r>
              <w:rPr>
                <w:sz w:val="18"/>
                <w:szCs w:val="18"/>
              </w:rPr>
              <w:t xml:space="preserve"> (</w:t>
            </w:r>
            <w:r w:rsidRPr="00141723">
              <w:rPr>
                <w:sz w:val="18"/>
                <w:szCs w:val="18"/>
              </w:rPr>
              <w:t>dB(J/K)</w:t>
            </w:r>
            <w:r>
              <w:rPr>
                <w:sz w:val="18"/>
                <w:szCs w:val="18"/>
              </w:rPr>
              <w:t>)</w:t>
            </w:r>
          </w:p>
        </w:tc>
        <w:tc>
          <w:tcPr>
            <w:tcW w:w="679"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5105" w:type="dxa"/>
            <w:gridSpan w:val="5"/>
          </w:tcPr>
          <w:p w:rsidR="00141723" w:rsidRPr="00EC28DA" w:rsidRDefault="00141723" w:rsidP="00141723">
            <w:pPr>
              <w:pStyle w:val="Tabletext"/>
              <w:jc w:val="center"/>
              <w:rPr>
                <w:sz w:val="18"/>
                <w:szCs w:val="18"/>
              </w:rPr>
            </w:pPr>
            <w:r w:rsidRPr="00EC28DA">
              <w:rPr>
                <w:sz w:val="18"/>
                <w:szCs w:val="18"/>
              </w:rPr>
              <w:t>–228.6</w:t>
            </w:r>
          </w:p>
        </w:tc>
      </w:tr>
      <w:tr w:rsidR="00141723" w:rsidRPr="00EC28DA" w:rsidTr="00141723">
        <w:trPr>
          <w:jc w:val="center"/>
        </w:trPr>
        <w:tc>
          <w:tcPr>
            <w:tcW w:w="2833" w:type="dxa"/>
          </w:tcPr>
          <w:p w:rsidR="00141723" w:rsidRPr="00141723" w:rsidRDefault="00141723" w:rsidP="00141723">
            <w:pPr>
              <w:pStyle w:val="Tabletext"/>
              <w:jc w:val="left"/>
              <w:rPr>
                <w:sz w:val="18"/>
                <w:szCs w:val="18"/>
              </w:rPr>
            </w:pPr>
            <w:r w:rsidRPr="00141723">
              <w:rPr>
                <w:sz w:val="18"/>
                <w:szCs w:val="18"/>
              </w:rPr>
              <w:t xml:space="preserve">Uplink </w:t>
            </w:r>
            <w:r w:rsidRPr="00141723">
              <w:rPr>
                <w:i/>
                <w:iCs/>
              </w:rPr>
              <w:t>C</w:t>
            </w:r>
            <w:r w:rsidRPr="00141723">
              <w:t>/</w:t>
            </w:r>
            <w:r w:rsidRPr="00141723">
              <w:rPr>
                <w:i/>
                <w:iCs/>
              </w:rPr>
              <w:t>N</w:t>
            </w:r>
            <w:r w:rsidRPr="00141723">
              <w:rPr>
                <w:vertAlign w:val="subscript"/>
              </w:rPr>
              <w:t>0</w:t>
            </w:r>
            <w:r>
              <w:rPr>
                <w:sz w:val="18"/>
                <w:szCs w:val="18"/>
              </w:rPr>
              <w:t xml:space="preserve"> (</w:t>
            </w:r>
            <w:r w:rsidRPr="00141723">
              <w:rPr>
                <w:sz w:val="18"/>
                <w:szCs w:val="18"/>
              </w:rPr>
              <w:t>dBHz</w:t>
            </w:r>
            <w:r>
              <w:rPr>
                <w:sz w:val="18"/>
                <w:szCs w:val="18"/>
              </w:rPr>
              <w:t>)</w:t>
            </w:r>
          </w:p>
        </w:tc>
        <w:tc>
          <w:tcPr>
            <w:tcW w:w="679" w:type="dxa"/>
            <w:tcBorders>
              <w:bottom w:val="single" w:sz="4" w:space="0" w:color="auto"/>
            </w:tcBorders>
          </w:tcPr>
          <w:p w:rsidR="00141723" w:rsidRPr="00EC28DA" w:rsidRDefault="00141723" w:rsidP="00141723">
            <w:pPr>
              <w:pStyle w:val="Tabletext"/>
              <w:jc w:val="center"/>
              <w:rPr>
                <w:sz w:val="18"/>
                <w:szCs w:val="18"/>
              </w:rPr>
            </w:pPr>
          </w:p>
        </w:tc>
        <w:tc>
          <w:tcPr>
            <w:tcW w:w="1021" w:type="dxa"/>
            <w:tcBorders>
              <w:bottom w:val="single" w:sz="4" w:space="0" w:color="auto"/>
            </w:tcBorders>
          </w:tcPr>
          <w:p w:rsidR="00141723" w:rsidRPr="00EC28DA" w:rsidRDefault="00141723" w:rsidP="00141723">
            <w:pPr>
              <w:pStyle w:val="Tabletext"/>
              <w:jc w:val="center"/>
              <w:rPr>
                <w:sz w:val="18"/>
                <w:szCs w:val="18"/>
              </w:rPr>
            </w:pPr>
          </w:p>
        </w:tc>
        <w:tc>
          <w:tcPr>
            <w:tcW w:w="1021"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41.3</w:t>
            </w:r>
          </w:p>
        </w:tc>
        <w:tc>
          <w:tcPr>
            <w:tcW w:w="1021"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40.4</w:t>
            </w:r>
          </w:p>
        </w:tc>
        <w:tc>
          <w:tcPr>
            <w:tcW w:w="1021"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31.3</w:t>
            </w:r>
          </w:p>
        </w:tc>
        <w:tc>
          <w:tcPr>
            <w:tcW w:w="1021"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28.1</w:t>
            </w:r>
          </w:p>
        </w:tc>
        <w:tc>
          <w:tcPr>
            <w:tcW w:w="1021"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35.7</w:t>
            </w:r>
          </w:p>
        </w:tc>
      </w:tr>
      <w:tr w:rsidR="00141723" w:rsidRPr="00EC28DA" w:rsidTr="00141723">
        <w:trPr>
          <w:jc w:val="center"/>
        </w:trPr>
        <w:tc>
          <w:tcPr>
            <w:tcW w:w="2833" w:type="dxa"/>
          </w:tcPr>
          <w:p w:rsidR="00141723" w:rsidRPr="00141723" w:rsidRDefault="00141723" w:rsidP="00141723">
            <w:pPr>
              <w:pStyle w:val="Tabletext"/>
              <w:keepNext/>
              <w:keepLines/>
              <w:jc w:val="left"/>
              <w:rPr>
                <w:b/>
                <w:sz w:val="18"/>
                <w:szCs w:val="18"/>
              </w:rPr>
            </w:pPr>
            <w:r w:rsidRPr="00141723">
              <w:rPr>
                <w:b/>
                <w:sz w:val="18"/>
                <w:szCs w:val="18"/>
              </w:rPr>
              <w:t>Space-to-Earth downlink</w:t>
            </w:r>
          </w:p>
        </w:tc>
        <w:tc>
          <w:tcPr>
            <w:tcW w:w="679" w:type="dxa"/>
            <w:tcBorders>
              <w:right w:val="nil"/>
            </w:tcBorders>
          </w:tcPr>
          <w:p w:rsidR="00141723" w:rsidRPr="00EC28DA" w:rsidRDefault="00141723" w:rsidP="00141723">
            <w:pPr>
              <w:pStyle w:val="Tabletext"/>
              <w:jc w:val="center"/>
              <w:rPr>
                <w:sz w:val="18"/>
                <w:szCs w:val="18"/>
              </w:rPr>
            </w:pPr>
          </w:p>
        </w:tc>
        <w:tc>
          <w:tcPr>
            <w:tcW w:w="1021" w:type="dxa"/>
            <w:tcBorders>
              <w:left w:val="nil"/>
              <w:right w:val="nil"/>
            </w:tcBorders>
          </w:tcPr>
          <w:p w:rsidR="00141723" w:rsidRPr="00EC28DA" w:rsidRDefault="00141723" w:rsidP="00141723">
            <w:pPr>
              <w:pStyle w:val="Tabletext"/>
              <w:jc w:val="center"/>
              <w:rPr>
                <w:sz w:val="18"/>
                <w:szCs w:val="18"/>
              </w:rPr>
            </w:pPr>
          </w:p>
        </w:tc>
        <w:tc>
          <w:tcPr>
            <w:tcW w:w="1021" w:type="dxa"/>
            <w:tcBorders>
              <w:left w:val="nil"/>
              <w:right w:val="nil"/>
            </w:tcBorders>
          </w:tcPr>
          <w:p w:rsidR="00141723" w:rsidRPr="00EC28DA" w:rsidRDefault="00141723" w:rsidP="00141723">
            <w:pPr>
              <w:pStyle w:val="Tabletext"/>
              <w:jc w:val="center"/>
              <w:rPr>
                <w:sz w:val="18"/>
                <w:szCs w:val="18"/>
              </w:rPr>
            </w:pPr>
          </w:p>
        </w:tc>
        <w:tc>
          <w:tcPr>
            <w:tcW w:w="1021" w:type="dxa"/>
            <w:tcBorders>
              <w:left w:val="nil"/>
              <w:right w:val="nil"/>
            </w:tcBorders>
          </w:tcPr>
          <w:p w:rsidR="00141723" w:rsidRPr="00EC28DA" w:rsidRDefault="00141723" w:rsidP="00141723">
            <w:pPr>
              <w:pStyle w:val="Tabletext"/>
              <w:jc w:val="center"/>
              <w:rPr>
                <w:sz w:val="18"/>
                <w:szCs w:val="18"/>
              </w:rPr>
            </w:pPr>
          </w:p>
        </w:tc>
        <w:tc>
          <w:tcPr>
            <w:tcW w:w="1021" w:type="dxa"/>
            <w:tcBorders>
              <w:left w:val="nil"/>
              <w:right w:val="nil"/>
            </w:tcBorders>
          </w:tcPr>
          <w:p w:rsidR="00141723" w:rsidRPr="00EC28DA" w:rsidRDefault="00141723" w:rsidP="00141723">
            <w:pPr>
              <w:pStyle w:val="Tabletext"/>
              <w:jc w:val="center"/>
              <w:rPr>
                <w:sz w:val="18"/>
                <w:szCs w:val="18"/>
              </w:rPr>
            </w:pPr>
          </w:p>
        </w:tc>
        <w:tc>
          <w:tcPr>
            <w:tcW w:w="1021" w:type="dxa"/>
            <w:tcBorders>
              <w:left w:val="nil"/>
              <w:right w:val="nil"/>
            </w:tcBorders>
          </w:tcPr>
          <w:p w:rsidR="00141723" w:rsidRPr="00EC28DA" w:rsidRDefault="00141723" w:rsidP="00141723">
            <w:pPr>
              <w:pStyle w:val="Tabletext"/>
              <w:jc w:val="center"/>
              <w:rPr>
                <w:sz w:val="18"/>
                <w:szCs w:val="18"/>
              </w:rPr>
            </w:pPr>
          </w:p>
        </w:tc>
        <w:tc>
          <w:tcPr>
            <w:tcW w:w="1021" w:type="dxa"/>
            <w:tcBorders>
              <w:left w:val="nil"/>
            </w:tcBorders>
          </w:tcPr>
          <w:p w:rsidR="00141723" w:rsidRPr="00EC28DA" w:rsidRDefault="00141723" w:rsidP="00141723">
            <w:pPr>
              <w:pStyle w:val="Tabletext"/>
              <w:jc w:val="center"/>
              <w:rPr>
                <w:sz w:val="18"/>
                <w:szCs w:val="18"/>
              </w:rPr>
            </w:pPr>
          </w:p>
        </w:tc>
      </w:tr>
      <w:tr w:rsidR="00141723" w:rsidRPr="00EC28DA" w:rsidTr="007F7962">
        <w:trPr>
          <w:jc w:val="center"/>
        </w:trPr>
        <w:tc>
          <w:tcPr>
            <w:tcW w:w="2833" w:type="dxa"/>
            <w:vAlign w:val="center"/>
          </w:tcPr>
          <w:p w:rsidR="00141723" w:rsidRPr="00141723" w:rsidRDefault="00141723" w:rsidP="00141723">
            <w:pPr>
              <w:pStyle w:val="Tabletext"/>
              <w:jc w:val="left"/>
              <w:rPr>
                <w:sz w:val="18"/>
                <w:szCs w:val="18"/>
              </w:rPr>
            </w:pPr>
            <w:r w:rsidRPr="00141723">
              <w:rPr>
                <w:sz w:val="18"/>
                <w:szCs w:val="18"/>
              </w:rPr>
              <w:t>Downlink frequency</w:t>
            </w:r>
            <w:r>
              <w:rPr>
                <w:sz w:val="18"/>
                <w:szCs w:val="18"/>
              </w:rPr>
              <w:t xml:space="preserve"> (</w:t>
            </w:r>
            <w:r w:rsidRPr="00141723">
              <w:rPr>
                <w:sz w:val="18"/>
                <w:szCs w:val="18"/>
              </w:rPr>
              <w:t>MHz</w:t>
            </w:r>
            <w:r>
              <w:rPr>
                <w:sz w:val="18"/>
                <w:szCs w:val="18"/>
              </w:rPr>
              <w:t>)</w:t>
            </w:r>
          </w:p>
        </w:tc>
        <w:tc>
          <w:tcPr>
            <w:tcW w:w="679" w:type="dxa"/>
            <w:vAlign w:val="center"/>
          </w:tcPr>
          <w:p w:rsidR="00141723" w:rsidRPr="00EC28DA" w:rsidRDefault="00141723" w:rsidP="00141723">
            <w:pPr>
              <w:pStyle w:val="Tabletext"/>
              <w:jc w:val="center"/>
              <w:rPr>
                <w:sz w:val="18"/>
                <w:szCs w:val="18"/>
              </w:rPr>
            </w:pPr>
            <w:r w:rsidRPr="00EC28DA">
              <w:rPr>
                <w:sz w:val="18"/>
                <w:szCs w:val="18"/>
              </w:rPr>
              <w:t>8</w:t>
            </w:r>
          </w:p>
        </w:tc>
        <w:tc>
          <w:tcPr>
            <w:tcW w:w="1021" w:type="dxa"/>
            <w:vAlign w:val="center"/>
          </w:tcPr>
          <w:p w:rsidR="00141723" w:rsidRPr="00141723" w:rsidRDefault="00141723" w:rsidP="00141723">
            <w:pPr>
              <w:pStyle w:val="Tabletext"/>
              <w:keepNext/>
              <w:keepLines/>
              <w:jc w:val="center"/>
              <w:rPr>
                <w:sz w:val="18"/>
              </w:rPr>
            </w:pPr>
            <w:r w:rsidRPr="00141723">
              <w:rPr>
                <w:sz w:val="18"/>
              </w:rPr>
              <w:t>1 544.5</w:t>
            </w:r>
          </w:p>
        </w:tc>
        <w:tc>
          <w:tcPr>
            <w:tcW w:w="3063" w:type="dxa"/>
            <w:gridSpan w:val="3"/>
            <w:vAlign w:val="center"/>
          </w:tcPr>
          <w:p w:rsidR="00141723" w:rsidRPr="00141723" w:rsidRDefault="00141723" w:rsidP="00141723">
            <w:pPr>
              <w:pStyle w:val="Tabletext"/>
              <w:keepNext/>
              <w:keepLines/>
              <w:jc w:val="center"/>
              <w:rPr>
                <w:sz w:val="18"/>
              </w:rPr>
            </w:pPr>
            <w:r w:rsidRPr="00141723">
              <w:rPr>
                <w:sz w:val="18"/>
              </w:rPr>
              <w:t>1 544.5 ± 40 kHz</w:t>
            </w:r>
          </w:p>
        </w:tc>
        <w:tc>
          <w:tcPr>
            <w:tcW w:w="1021" w:type="dxa"/>
          </w:tcPr>
          <w:p w:rsidR="00141723" w:rsidRPr="00141723" w:rsidRDefault="00141723" w:rsidP="00141723">
            <w:pPr>
              <w:pStyle w:val="Tabletext"/>
              <w:keepNext/>
              <w:keepLines/>
              <w:jc w:val="center"/>
              <w:rPr>
                <w:sz w:val="18"/>
              </w:rPr>
            </w:pPr>
            <w:r w:rsidRPr="00141723">
              <w:rPr>
                <w:sz w:val="18"/>
              </w:rPr>
              <w:t xml:space="preserve">1 544.5± </w:t>
            </w:r>
            <w:r w:rsidRPr="00141723">
              <w:rPr>
                <w:sz w:val="18"/>
              </w:rPr>
              <w:br/>
              <w:t>50 kHz</w:t>
            </w:r>
          </w:p>
        </w:tc>
        <w:tc>
          <w:tcPr>
            <w:tcW w:w="1021" w:type="dxa"/>
          </w:tcPr>
          <w:p w:rsidR="00141723" w:rsidRPr="00141723" w:rsidRDefault="00141723" w:rsidP="00141723">
            <w:pPr>
              <w:pStyle w:val="Tabletext"/>
              <w:keepNext/>
              <w:keepLines/>
              <w:jc w:val="center"/>
              <w:rPr>
                <w:sz w:val="18"/>
              </w:rPr>
            </w:pPr>
            <w:r w:rsidRPr="00141723">
              <w:rPr>
                <w:sz w:val="18"/>
              </w:rPr>
              <w:t xml:space="preserve">1 544.1± </w:t>
            </w:r>
            <w:r w:rsidRPr="00141723">
              <w:rPr>
                <w:sz w:val="18"/>
              </w:rPr>
              <w:br/>
              <w:t>40 kHz</w:t>
            </w:r>
          </w:p>
        </w:tc>
      </w:tr>
      <w:tr w:rsidR="00141723" w:rsidRPr="00EC28DA" w:rsidTr="00C15085">
        <w:trPr>
          <w:jc w:val="center"/>
        </w:trPr>
        <w:tc>
          <w:tcPr>
            <w:tcW w:w="2833" w:type="dxa"/>
          </w:tcPr>
          <w:p w:rsidR="00141723" w:rsidRPr="00141723" w:rsidRDefault="00141723" w:rsidP="00141723">
            <w:pPr>
              <w:pStyle w:val="Tabletext"/>
              <w:jc w:val="left"/>
              <w:rPr>
                <w:sz w:val="18"/>
                <w:szCs w:val="18"/>
              </w:rPr>
            </w:pPr>
            <w:r w:rsidRPr="00141723">
              <w:rPr>
                <w:sz w:val="18"/>
                <w:szCs w:val="18"/>
              </w:rPr>
              <w:t>Transmit e.i.r.p.</w:t>
            </w:r>
            <w:r>
              <w:rPr>
                <w:sz w:val="18"/>
                <w:szCs w:val="18"/>
              </w:rPr>
              <w:t xml:space="preserve"> (</w:t>
            </w:r>
            <w:r w:rsidRPr="00141723">
              <w:rPr>
                <w:sz w:val="18"/>
                <w:szCs w:val="18"/>
              </w:rPr>
              <w:t>dBW</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9</w:t>
            </w:r>
          </w:p>
        </w:tc>
        <w:tc>
          <w:tcPr>
            <w:tcW w:w="2042" w:type="dxa"/>
            <w:gridSpan w:val="2"/>
          </w:tcPr>
          <w:p w:rsidR="00141723" w:rsidRPr="00EC28DA" w:rsidRDefault="00141723" w:rsidP="00141723">
            <w:pPr>
              <w:pStyle w:val="Tabletext"/>
              <w:jc w:val="center"/>
              <w:rPr>
                <w:sz w:val="18"/>
                <w:szCs w:val="18"/>
              </w:rPr>
            </w:pPr>
            <w:r w:rsidRPr="00EC28DA">
              <w:rPr>
                <w:sz w:val="18"/>
                <w:szCs w:val="18"/>
              </w:rPr>
              <w:t>7.1</w:t>
            </w:r>
          </w:p>
        </w:tc>
        <w:tc>
          <w:tcPr>
            <w:tcW w:w="1021" w:type="dxa"/>
          </w:tcPr>
          <w:p w:rsidR="00141723" w:rsidRPr="00EC28DA" w:rsidRDefault="00141723" w:rsidP="00141723">
            <w:pPr>
              <w:pStyle w:val="Tabletext"/>
              <w:jc w:val="center"/>
              <w:rPr>
                <w:sz w:val="18"/>
                <w:szCs w:val="18"/>
              </w:rPr>
            </w:pPr>
            <w:r w:rsidRPr="00EC28DA">
              <w:rPr>
                <w:sz w:val="18"/>
                <w:szCs w:val="18"/>
              </w:rPr>
              <w:t>6.2</w:t>
            </w:r>
          </w:p>
        </w:tc>
        <w:tc>
          <w:tcPr>
            <w:tcW w:w="1021" w:type="dxa"/>
          </w:tcPr>
          <w:p w:rsidR="00141723" w:rsidRPr="00EC28DA" w:rsidRDefault="00141723" w:rsidP="00141723">
            <w:pPr>
              <w:pStyle w:val="Tabletext"/>
              <w:jc w:val="center"/>
              <w:rPr>
                <w:sz w:val="18"/>
                <w:szCs w:val="18"/>
              </w:rPr>
            </w:pPr>
            <w:r w:rsidRPr="00EC28DA">
              <w:rPr>
                <w:sz w:val="18"/>
                <w:szCs w:val="18"/>
              </w:rPr>
              <w:t>15.0</w:t>
            </w:r>
          </w:p>
        </w:tc>
        <w:tc>
          <w:tcPr>
            <w:tcW w:w="1021" w:type="dxa"/>
          </w:tcPr>
          <w:p w:rsidR="00141723" w:rsidRPr="00EC28DA" w:rsidRDefault="00141723" w:rsidP="00141723">
            <w:pPr>
              <w:pStyle w:val="Tabletext"/>
              <w:jc w:val="center"/>
              <w:rPr>
                <w:sz w:val="18"/>
                <w:szCs w:val="18"/>
              </w:rPr>
            </w:pPr>
            <w:r w:rsidRPr="00EC28DA">
              <w:rPr>
                <w:sz w:val="18"/>
                <w:szCs w:val="18"/>
              </w:rPr>
              <w:t>–18.9</w:t>
            </w:r>
          </w:p>
        </w:tc>
        <w:tc>
          <w:tcPr>
            <w:tcW w:w="1021" w:type="dxa"/>
          </w:tcPr>
          <w:p w:rsidR="00141723" w:rsidRPr="00EC28DA" w:rsidRDefault="00141723" w:rsidP="00141723">
            <w:pPr>
              <w:pStyle w:val="Tabletext"/>
              <w:jc w:val="center"/>
              <w:rPr>
                <w:sz w:val="18"/>
                <w:szCs w:val="18"/>
              </w:rPr>
            </w:pPr>
            <w:r w:rsidRPr="00EC28DA">
              <w:rPr>
                <w:sz w:val="18"/>
                <w:szCs w:val="18"/>
              </w:rPr>
              <w:t>1.6</w:t>
            </w:r>
          </w:p>
        </w:tc>
      </w:tr>
      <w:tr w:rsidR="00141723" w:rsidRPr="00EC28DA" w:rsidTr="00141723">
        <w:trPr>
          <w:jc w:val="center"/>
        </w:trPr>
        <w:tc>
          <w:tcPr>
            <w:tcW w:w="2833" w:type="dxa"/>
          </w:tcPr>
          <w:p w:rsidR="00141723" w:rsidRPr="00141723" w:rsidRDefault="00141723" w:rsidP="00141723">
            <w:pPr>
              <w:pStyle w:val="Tabletext"/>
              <w:jc w:val="left"/>
              <w:rPr>
                <w:sz w:val="18"/>
                <w:szCs w:val="18"/>
              </w:rPr>
            </w:pPr>
            <w:r w:rsidRPr="00141723">
              <w:rPr>
                <w:sz w:val="18"/>
                <w:szCs w:val="18"/>
              </w:rPr>
              <w:t>Power sharing loss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10</w:t>
            </w: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15.3</w:t>
            </w:r>
          </w:p>
        </w:tc>
        <w:tc>
          <w:tcPr>
            <w:tcW w:w="1021" w:type="dxa"/>
          </w:tcPr>
          <w:p w:rsidR="00141723" w:rsidRPr="00EC28DA" w:rsidRDefault="00141723" w:rsidP="00141723">
            <w:pPr>
              <w:pStyle w:val="Tabletext"/>
              <w:jc w:val="center"/>
              <w:rPr>
                <w:sz w:val="18"/>
                <w:szCs w:val="18"/>
              </w:rPr>
            </w:pPr>
            <w:r w:rsidRPr="00EC28DA">
              <w:rPr>
                <w:sz w:val="18"/>
                <w:szCs w:val="18"/>
              </w:rPr>
              <w:t>15.5</w:t>
            </w:r>
          </w:p>
        </w:tc>
        <w:tc>
          <w:tcPr>
            <w:tcW w:w="1021" w:type="dxa"/>
          </w:tcPr>
          <w:p w:rsidR="00141723" w:rsidRPr="00EC28DA" w:rsidRDefault="00141723" w:rsidP="00141723">
            <w:pPr>
              <w:pStyle w:val="Tabletext"/>
              <w:jc w:val="center"/>
              <w:rPr>
                <w:sz w:val="18"/>
                <w:szCs w:val="18"/>
              </w:rPr>
            </w:pPr>
            <w:r w:rsidRPr="00EC28DA">
              <w:rPr>
                <w:sz w:val="18"/>
                <w:szCs w:val="18"/>
              </w:rPr>
              <w:t>18.3</w:t>
            </w: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w:t>
            </w:r>
          </w:p>
        </w:tc>
      </w:tr>
      <w:tr w:rsidR="00141723" w:rsidRPr="00EC28DA" w:rsidTr="007F7094">
        <w:trPr>
          <w:jc w:val="center"/>
        </w:trPr>
        <w:tc>
          <w:tcPr>
            <w:tcW w:w="2833" w:type="dxa"/>
          </w:tcPr>
          <w:p w:rsidR="00141723" w:rsidRPr="00141723" w:rsidRDefault="00141723" w:rsidP="00141723">
            <w:pPr>
              <w:pStyle w:val="Tabletext"/>
              <w:jc w:val="left"/>
              <w:rPr>
                <w:sz w:val="18"/>
                <w:szCs w:val="18"/>
              </w:rPr>
            </w:pPr>
            <w:r w:rsidRPr="00141723">
              <w:rPr>
                <w:sz w:val="18"/>
                <w:szCs w:val="18"/>
              </w:rPr>
              <w:t>Modulation loss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11</w:t>
            </w:r>
          </w:p>
        </w:tc>
        <w:tc>
          <w:tcPr>
            <w:tcW w:w="2042" w:type="dxa"/>
            <w:gridSpan w:val="2"/>
          </w:tcPr>
          <w:p w:rsidR="00141723" w:rsidRPr="00EC28DA" w:rsidRDefault="00141723" w:rsidP="00141723">
            <w:pPr>
              <w:pStyle w:val="Tabletext"/>
              <w:jc w:val="center"/>
              <w:rPr>
                <w:sz w:val="18"/>
                <w:szCs w:val="18"/>
              </w:rPr>
            </w:pPr>
            <w:r w:rsidRPr="00EC28DA">
              <w:rPr>
                <w:sz w:val="18"/>
                <w:szCs w:val="18"/>
              </w:rPr>
              <w:t>14.1</w:t>
            </w:r>
          </w:p>
        </w:tc>
        <w:tc>
          <w:tcPr>
            <w:tcW w:w="1021" w:type="dxa"/>
          </w:tcPr>
          <w:p w:rsidR="00141723" w:rsidRPr="00EC28DA" w:rsidRDefault="00141723" w:rsidP="00141723">
            <w:pPr>
              <w:pStyle w:val="Tabletext"/>
              <w:jc w:val="center"/>
              <w:rPr>
                <w:sz w:val="18"/>
                <w:szCs w:val="18"/>
              </w:rPr>
            </w:pPr>
            <w:r w:rsidRPr="00EC28DA">
              <w:rPr>
                <w:sz w:val="18"/>
                <w:szCs w:val="18"/>
              </w:rPr>
              <w:t>6.0</w:t>
            </w:r>
          </w:p>
        </w:tc>
        <w:tc>
          <w:tcPr>
            <w:tcW w:w="1021" w:type="dxa"/>
          </w:tcPr>
          <w:p w:rsidR="00141723" w:rsidRPr="00EC28DA" w:rsidRDefault="00141723" w:rsidP="00141723">
            <w:pPr>
              <w:pStyle w:val="Tabletext"/>
              <w:jc w:val="center"/>
              <w:rPr>
                <w:sz w:val="18"/>
                <w:szCs w:val="18"/>
              </w:rPr>
            </w:pPr>
            <w:r w:rsidRPr="00EC28DA">
              <w:rPr>
                <w:sz w:val="18"/>
                <w:szCs w:val="18"/>
              </w:rPr>
              <w:t>3.54</w:t>
            </w: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w:t>
            </w:r>
          </w:p>
        </w:tc>
      </w:tr>
      <w:tr w:rsidR="00141723" w:rsidRPr="00EC28DA" w:rsidTr="008D6A60">
        <w:trPr>
          <w:jc w:val="center"/>
        </w:trPr>
        <w:tc>
          <w:tcPr>
            <w:tcW w:w="2833" w:type="dxa"/>
          </w:tcPr>
          <w:p w:rsidR="00141723" w:rsidRPr="00141723" w:rsidRDefault="00141723" w:rsidP="00141723">
            <w:pPr>
              <w:pStyle w:val="Tabletext"/>
              <w:jc w:val="left"/>
              <w:rPr>
                <w:sz w:val="18"/>
                <w:szCs w:val="18"/>
              </w:rPr>
            </w:pPr>
            <w:r w:rsidRPr="00141723">
              <w:rPr>
                <w:sz w:val="18"/>
                <w:szCs w:val="18"/>
              </w:rPr>
              <w:t>Elevation angle</w:t>
            </w:r>
            <w:r>
              <w:rPr>
                <w:sz w:val="18"/>
                <w:szCs w:val="18"/>
              </w:rPr>
              <w:t xml:space="preserve"> (degrees)</w:t>
            </w:r>
          </w:p>
        </w:tc>
        <w:tc>
          <w:tcPr>
            <w:tcW w:w="679" w:type="dxa"/>
          </w:tcPr>
          <w:p w:rsidR="00141723" w:rsidRPr="00EC28DA" w:rsidRDefault="00141723" w:rsidP="00141723">
            <w:pPr>
              <w:pStyle w:val="Tabletext"/>
              <w:jc w:val="center"/>
              <w:rPr>
                <w:sz w:val="18"/>
                <w:szCs w:val="18"/>
              </w:rPr>
            </w:pPr>
            <w:r w:rsidRPr="00EC28DA">
              <w:rPr>
                <w:sz w:val="18"/>
                <w:szCs w:val="18"/>
              </w:rPr>
              <w:t>12</w:t>
            </w:r>
          </w:p>
        </w:tc>
        <w:tc>
          <w:tcPr>
            <w:tcW w:w="6126" w:type="dxa"/>
            <w:gridSpan w:val="6"/>
          </w:tcPr>
          <w:p w:rsidR="00141723" w:rsidRPr="00EC28DA" w:rsidRDefault="00141723" w:rsidP="00141723">
            <w:pPr>
              <w:pStyle w:val="Tabletext"/>
              <w:jc w:val="center"/>
              <w:rPr>
                <w:sz w:val="18"/>
                <w:szCs w:val="18"/>
              </w:rPr>
            </w:pPr>
            <w:r w:rsidRPr="00EC28DA">
              <w:rPr>
                <w:sz w:val="18"/>
                <w:szCs w:val="18"/>
              </w:rPr>
              <w:t>5.0</w:t>
            </w:r>
          </w:p>
        </w:tc>
      </w:tr>
      <w:tr w:rsidR="00141723" w:rsidRPr="00EC28DA" w:rsidTr="00FF38F2">
        <w:trPr>
          <w:jc w:val="center"/>
        </w:trPr>
        <w:tc>
          <w:tcPr>
            <w:tcW w:w="2833" w:type="dxa"/>
          </w:tcPr>
          <w:p w:rsidR="00141723" w:rsidRPr="00141723" w:rsidRDefault="00141723" w:rsidP="00141723">
            <w:pPr>
              <w:pStyle w:val="Tabletext"/>
              <w:jc w:val="left"/>
              <w:rPr>
                <w:sz w:val="18"/>
                <w:szCs w:val="18"/>
              </w:rPr>
            </w:pPr>
            <w:r w:rsidRPr="00141723">
              <w:rPr>
                <w:sz w:val="18"/>
                <w:szCs w:val="18"/>
              </w:rPr>
              <w:t>Path distance</w:t>
            </w:r>
            <w:r>
              <w:rPr>
                <w:sz w:val="18"/>
                <w:szCs w:val="18"/>
              </w:rPr>
              <w:t xml:space="preserve"> (</w:t>
            </w:r>
            <w:r w:rsidRPr="00141723">
              <w:rPr>
                <w:sz w:val="18"/>
                <w:szCs w:val="18"/>
              </w:rPr>
              <w:t>km</w:t>
            </w:r>
            <w:r>
              <w:rPr>
                <w:sz w:val="18"/>
                <w:szCs w:val="18"/>
              </w:rPr>
              <w:t>)</w:t>
            </w:r>
          </w:p>
        </w:tc>
        <w:tc>
          <w:tcPr>
            <w:tcW w:w="679" w:type="dxa"/>
          </w:tcPr>
          <w:p w:rsidR="00141723" w:rsidRPr="00EC28DA" w:rsidRDefault="00141723" w:rsidP="00141723">
            <w:pPr>
              <w:pStyle w:val="Tabletext"/>
              <w:jc w:val="center"/>
              <w:rPr>
                <w:sz w:val="18"/>
                <w:szCs w:val="18"/>
              </w:rPr>
            </w:pPr>
          </w:p>
        </w:tc>
        <w:tc>
          <w:tcPr>
            <w:tcW w:w="2042" w:type="dxa"/>
            <w:gridSpan w:val="2"/>
          </w:tcPr>
          <w:p w:rsidR="00141723" w:rsidRPr="00EC28DA" w:rsidRDefault="00141723" w:rsidP="00141723">
            <w:pPr>
              <w:pStyle w:val="Tabletext"/>
              <w:jc w:val="center"/>
              <w:rPr>
                <w:sz w:val="18"/>
                <w:szCs w:val="18"/>
              </w:rPr>
            </w:pPr>
            <w:r w:rsidRPr="00EC28DA">
              <w:rPr>
                <w:sz w:val="18"/>
                <w:szCs w:val="18"/>
              </w:rPr>
              <w:t>2</w:t>
            </w:r>
            <w:r>
              <w:rPr>
                <w:sz w:val="18"/>
                <w:szCs w:val="18"/>
              </w:rPr>
              <w:t xml:space="preserve"> </w:t>
            </w:r>
            <w:r w:rsidRPr="00EC28DA">
              <w:rPr>
                <w:sz w:val="18"/>
                <w:szCs w:val="18"/>
              </w:rPr>
              <w:t>900.0</w:t>
            </w:r>
          </w:p>
        </w:tc>
        <w:tc>
          <w:tcPr>
            <w:tcW w:w="1021" w:type="dxa"/>
          </w:tcPr>
          <w:p w:rsidR="00141723" w:rsidRPr="00EC28DA" w:rsidRDefault="00141723" w:rsidP="00141723">
            <w:pPr>
              <w:pStyle w:val="Tabletext"/>
              <w:jc w:val="center"/>
              <w:rPr>
                <w:sz w:val="18"/>
                <w:szCs w:val="18"/>
              </w:rPr>
            </w:pPr>
            <w:r w:rsidRPr="00EC28DA">
              <w:rPr>
                <w:sz w:val="18"/>
                <w:szCs w:val="18"/>
              </w:rPr>
              <w:t>3 200.0</w:t>
            </w:r>
          </w:p>
        </w:tc>
        <w:tc>
          <w:tcPr>
            <w:tcW w:w="2042" w:type="dxa"/>
            <w:gridSpan w:val="2"/>
          </w:tcPr>
          <w:p w:rsidR="00141723" w:rsidRPr="00EC28DA" w:rsidRDefault="00141723" w:rsidP="00141723">
            <w:pPr>
              <w:pStyle w:val="Tabletext"/>
              <w:jc w:val="center"/>
              <w:rPr>
                <w:sz w:val="18"/>
                <w:szCs w:val="18"/>
              </w:rPr>
            </w:pPr>
            <w:r w:rsidRPr="00EC28DA">
              <w:rPr>
                <w:sz w:val="18"/>
                <w:szCs w:val="18"/>
              </w:rPr>
              <w:t>41 126.3</w:t>
            </w:r>
          </w:p>
        </w:tc>
        <w:tc>
          <w:tcPr>
            <w:tcW w:w="1021" w:type="dxa"/>
          </w:tcPr>
          <w:p w:rsidR="00141723" w:rsidRPr="00EC28DA" w:rsidRDefault="00141723" w:rsidP="00141723">
            <w:pPr>
              <w:pStyle w:val="Tabletext"/>
              <w:jc w:val="center"/>
              <w:rPr>
                <w:sz w:val="18"/>
                <w:szCs w:val="18"/>
              </w:rPr>
            </w:pPr>
            <w:r w:rsidRPr="00EC28DA">
              <w:rPr>
                <w:sz w:val="18"/>
                <w:szCs w:val="18"/>
              </w:rPr>
              <w:t>28 354.4</w:t>
            </w:r>
          </w:p>
        </w:tc>
      </w:tr>
      <w:tr w:rsidR="00141723" w:rsidRPr="00EC28DA" w:rsidTr="00BD0FB7">
        <w:trPr>
          <w:jc w:val="center"/>
        </w:trPr>
        <w:tc>
          <w:tcPr>
            <w:tcW w:w="2833" w:type="dxa"/>
          </w:tcPr>
          <w:p w:rsidR="00141723" w:rsidRPr="00141723" w:rsidRDefault="00141723" w:rsidP="00141723">
            <w:pPr>
              <w:pStyle w:val="Tabletext"/>
              <w:jc w:val="left"/>
              <w:rPr>
                <w:sz w:val="18"/>
                <w:szCs w:val="18"/>
              </w:rPr>
            </w:pPr>
            <w:r w:rsidRPr="00141723">
              <w:rPr>
                <w:sz w:val="18"/>
                <w:szCs w:val="18"/>
              </w:rPr>
              <w:t>Path loss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p>
        </w:tc>
        <w:tc>
          <w:tcPr>
            <w:tcW w:w="2042" w:type="dxa"/>
            <w:gridSpan w:val="2"/>
          </w:tcPr>
          <w:p w:rsidR="00141723" w:rsidRPr="00EC28DA" w:rsidRDefault="00141723" w:rsidP="00141723">
            <w:pPr>
              <w:pStyle w:val="Tabletext"/>
              <w:jc w:val="center"/>
              <w:rPr>
                <w:sz w:val="18"/>
                <w:szCs w:val="18"/>
              </w:rPr>
            </w:pPr>
            <w:r w:rsidRPr="00EC28DA">
              <w:rPr>
                <w:sz w:val="18"/>
                <w:szCs w:val="18"/>
              </w:rPr>
              <w:t>165.5</w:t>
            </w:r>
          </w:p>
        </w:tc>
        <w:tc>
          <w:tcPr>
            <w:tcW w:w="1021" w:type="dxa"/>
          </w:tcPr>
          <w:p w:rsidR="00141723" w:rsidRPr="00EC28DA" w:rsidRDefault="00141723" w:rsidP="00141723">
            <w:pPr>
              <w:pStyle w:val="Tabletext"/>
              <w:jc w:val="center"/>
              <w:rPr>
                <w:sz w:val="18"/>
                <w:szCs w:val="18"/>
              </w:rPr>
            </w:pPr>
            <w:r w:rsidRPr="00EC28DA">
              <w:rPr>
                <w:sz w:val="18"/>
                <w:szCs w:val="18"/>
              </w:rPr>
              <w:t>166.4</w:t>
            </w:r>
          </w:p>
        </w:tc>
        <w:tc>
          <w:tcPr>
            <w:tcW w:w="2042" w:type="dxa"/>
            <w:gridSpan w:val="2"/>
          </w:tcPr>
          <w:p w:rsidR="00141723" w:rsidRPr="00EC28DA" w:rsidRDefault="00141723" w:rsidP="00141723">
            <w:pPr>
              <w:pStyle w:val="Tabletext"/>
              <w:jc w:val="center"/>
              <w:rPr>
                <w:sz w:val="18"/>
                <w:szCs w:val="18"/>
              </w:rPr>
            </w:pPr>
            <w:r w:rsidRPr="00EC28DA">
              <w:rPr>
                <w:sz w:val="18"/>
                <w:szCs w:val="18"/>
              </w:rPr>
              <w:t>188.46</w:t>
            </w:r>
          </w:p>
        </w:tc>
        <w:tc>
          <w:tcPr>
            <w:tcW w:w="1021" w:type="dxa"/>
          </w:tcPr>
          <w:p w:rsidR="00141723" w:rsidRPr="00EC28DA" w:rsidRDefault="00141723" w:rsidP="00141723">
            <w:pPr>
              <w:pStyle w:val="Tabletext"/>
              <w:jc w:val="center"/>
              <w:rPr>
                <w:sz w:val="18"/>
                <w:szCs w:val="18"/>
              </w:rPr>
            </w:pPr>
            <w:r w:rsidRPr="00EC28DA">
              <w:rPr>
                <w:sz w:val="18"/>
                <w:szCs w:val="18"/>
              </w:rPr>
              <w:t>185.3</w:t>
            </w:r>
          </w:p>
        </w:tc>
      </w:tr>
      <w:tr w:rsidR="00141723" w:rsidRPr="00EC28DA" w:rsidTr="006F4212">
        <w:trPr>
          <w:jc w:val="center"/>
        </w:trPr>
        <w:tc>
          <w:tcPr>
            <w:tcW w:w="2833" w:type="dxa"/>
          </w:tcPr>
          <w:p w:rsidR="00141723" w:rsidRPr="00141723" w:rsidRDefault="00141723" w:rsidP="00141723">
            <w:pPr>
              <w:pStyle w:val="Tabletext"/>
              <w:jc w:val="left"/>
              <w:rPr>
                <w:sz w:val="18"/>
                <w:szCs w:val="18"/>
              </w:rPr>
            </w:pPr>
            <w:r w:rsidRPr="00141723">
              <w:rPr>
                <w:i/>
                <w:iCs/>
                <w:sz w:val="18"/>
                <w:szCs w:val="18"/>
              </w:rPr>
              <w:t>G</w:t>
            </w:r>
            <w:r w:rsidRPr="00141723">
              <w:rPr>
                <w:sz w:val="18"/>
                <w:szCs w:val="18"/>
              </w:rPr>
              <w:t>/</w:t>
            </w:r>
            <w:r w:rsidRPr="00141723">
              <w:rPr>
                <w:i/>
                <w:iCs/>
                <w:sz w:val="18"/>
                <w:szCs w:val="18"/>
              </w:rPr>
              <w:t>T</w:t>
            </w:r>
            <w:r w:rsidRPr="00141723">
              <w:rPr>
                <w:sz w:val="18"/>
                <w:szCs w:val="18"/>
              </w:rPr>
              <w:t xml:space="preserve"> of LUT Rx antenna</w:t>
            </w:r>
            <w:r>
              <w:rPr>
                <w:sz w:val="18"/>
                <w:szCs w:val="18"/>
              </w:rPr>
              <w:t xml:space="preserve"> (</w:t>
            </w:r>
            <w:r w:rsidRPr="00141723">
              <w:rPr>
                <w:sz w:val="18"/>
                <w:szCs w:val="18"/>
              </w:rPr>
              <w:t>dB/K</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13</w:t>
            </w:r>
          </w:p>
        </w:tc>
        <w:tc>
          <w:tcPr>
            <w:tcW w:w="3063" w:type="dxa"/>
            <w:gridSpan w:val="3"/>
          </w:tcPr>
          <w:p w:rsidR="00141723" w:rsidRPr="00EC28DA" w:rsidRDefault="00141723" w:rsidP="00141723">
            <w:pPr>
              <w:pStyle w:val="Tabletext"/>
              <w:jc w:val="center"/>
              <w:rPr>
                <w:sz w:val="18"/>
                <w:szCs w:val="18"/>
              </w:rPr>
            </w:pPr>
            <w:r w:rsidRPr="00EC28DA">
              <w:rPr>
                <w:sz w:val="18"/>
                <w:szCs w:val="18"/>
              </w:rPr>
              <w:t>4.3</w:t>
            </w:r>
          </w:p>
        </w:tc>
        <w:tc>
          <w:tcPr>
            <w:tcW w:w="1021" w:type="dxa"/>
          </w:tcPr>
          <w:p w:rsidR="00141723" w:rsidRPr="00EC28DA" w:rsidRDefault="00141723" w:rsidP="00141723">
            <w:pPr>
              <w:pStyle w:val="Tabletext"/>
              <w:jc w:val="center"/>
              <w:rPr>
                <w:sz w:val="18"/>
                <w:szCs w:val="18"/>
              </w:rPr>
            </w:pPr>
            <w:r w:rsidRPr="00EC28DA">
              <w:rPr>
                <w:sz w:val="18"/>
                <w:szCs w:val="18"/>
              </w:rPr>
              <w:t>11.0</w:t>
            </w:r>
          </w:p>
        </w:tc>
        <w:tc>
          <w:tcPr>
            <w:tcW w:w="1021" w:type="dxa"/>
          </w:tcPr>
          <w:p w:rsidR="00141723" w:rsidRPr="00EC28DA" w:rsidRDefault="00141723" w:rsidP="00141723">
            <w:pPr>
              <w:pStyle w:val="Tabletext"/>
              <w:jc w:val="center"/>
              <w:rPr>
                <w:sz w:val="18"/>
                <w:szCs w:val="18"/>
              </w:rPr>
            </w:pPr>
            <w:r w:rsidRPr="00EC28DA">
              <w:rPr>
                <w:sz w:val="18"/>
                <w:szCs w:val="18"/>
              </w:rPr>
              <w:t>15.5</w:t>
            </w:r>
          </w:p>
        </w:tc>
        <w:tc>
          <w:tcPr>
            <w:tcW w:w="1021" w:type="dxa"/>
          </w:tcPr>
          <w:p w:rsidR="00141723" w:rsidRPr="00EC28DA" w:rsidRDefault="00141723" w:rsidP="00141723">
            <w:pPr>
              <w:pStyle w:val="Tabletext"/>
              <w:jc w:val="center"/>
              <w:rPr>
                <w:sz w:val="18"/>
                <w:szCs w:val="18"/>
              </w:rPr>
            </w:pPr>
            <w:r w:rsidRPr="00EC28DA">
              <w:rPr>
                <w:sz w:val="18"/>
                <w:szCs w:val="18"/>
              </w:rPr>
              <w:t>3.0</w:t>
            </w:r>
          </w:p>
        </w:tc>
      </w:tr>
      <w:tr w:rsidR="00141723" w:rsidRPr="00EC28DA" w:rsidTr="00141723">
        <w:trPr>
          <w:jc w:val="center"/>
        </w:trPr>
        <w:tc>
          <w:tcPr>
            <w:tcW w:w="2833" w:type="dxa"/>
          </w:tcPr>
          <w:p w:rsidR="00141723" w:rsidRPr="00141723" w:rsidRDefault="00141723" w:rsidP="00141723">
            <w:pPr>
              <w:pStyle w:val="Tabletext"/>
              <w:jc w:val="left"/>
              <w:rPr>
                <w:sz w:val="18"/>
                <w:szCs w:val="18"/>
              </w:rPr>
            </w:pPr>
            <w:r w:rsidRPr="00141723">
              <w:rPr>
                <w:sz w:val="18"/>
                <w:szCs w:val="18"/>
              </w:rPr>
              <w:t>Polarization loss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14</w:t>
            </w: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0.35</w:t>
            </w:r>
          </w:p>
        </w:tc>
        <w:tc>
          <w:tcPr>
            <w:tcW w:w="1021" w:type="dxa"/>
          </w:tcPr>
          <w:p w:rsidR="00141723" w:rsidRPr="00EC28DA" w:rsidRDefault="00141723" w:rsidP="00141723">
            <w:pPr>
              <w:pStyle w:val="Tabletext"/>
              <w:jc w:val="center"/>
              <w:rPr>
                <w:sz w:val="18"/>
                <w:szCs w:val="18"/>
              </w:rPr>
            </w:pPr>
            <w:r w:rsidRPr="00EC28DA">
              <w:rPr>
                <w:sz w:val="18"/>
                <w:szCs w:val="18"/>
              </w:rPr>
              <w:t>0.2</w:t>
            </w:r>
          </w:p>
        </w:tc>
        <w:tc>
          <w:tcPr>
            <w:tcW w:w="1021" w:type="dxa"/>
          </w:tcPr>
          <w:p w:rsidR="00141723" w:rsidRPr="00EC28DA" w:rsidRDefault="00141723" w:rsidP="00141723">
            <w:pPr>
              <w:pStyle w:val="Tabletext"/>
              <w:jc w:val="center"/>
              <w:rPr>
                <w:sz w:val="18"/>
                <w:szCs w:val="18"/>
              </w:rPr>
            </w:pPr>
            <w:r w:rsidRPr="00EC28DA">
              <w:rPr>
                <w:sz w:val="18"/>
                <w:szCs w:val="18"/>
              </w:rPr>
              <w:t>0.2</w:t>
            </w:r>
          </w:p>
        </w:tc>
      </w:tr>
      <w:tr w:rsidR="00141723" w:rsidRPr="00EC28DA" w:rsidTr="00C63CD4">
        <w:trPr>
          <w:jc w:val="center"/>
        </w:trPr>
        <w:tc>
          <w:tcPr>
            <w:tcW w:w="2833" w:type="dxa"/>
          </w:tcPr>
          <w:p w:rsidR="00141723" w:rsidRPr="00141723" w:rsidRDefault="00141723" w:rsidP="00141723">
            <w:pPr>
              <w:pStyle w:val="Tabletext"/>
              <w:jc w:val="left"/>
              <w:rPr>
                <w:sz w:val="18"/>
                <w:szCs w:val="18"/>
              </w:rPr>
            </w:pPr>
            <w:r w:rsidRPr="00141723">
              <w:rPr>
                <w:sz w:val="18"/>
                <w:szCs w:val="18"/>
              </w:rPr>
              <w:t>Other losses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p>
        </w:tc>
        <w:tc>
          <w:tcPr>
            <w:tcW w:w="3063" w:type="dxa"/>
            <w:gridSpan w:val="3"/>
          </w:tcPr>
          <w:p w:rsidR="00141723" w:rsidRPr="00EC28DA" w:rsidRDefault="00141723" w:rsidP="00141723">
            <w:pPr>
              <w:pStyle w:val="Tabletext"/>
              <w:jc w:val="center"/>
              <w:rPr>
                <w:sz w:val="18"/>
                <w:szCs w:val="18"/>
              </w:rPr>
            </w:pPr>
            <w:r w:rsidRPr="00EC28DA">
              <w:rPr>
                <w:sz w:val="18"/>
                <w:szCs w:val="18"/>
              </w:rPr>
              <w:t>2.6</w:t>
            </w: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1.0</w:t>
            </w:r>
          </w:p>
        </w:tc>
      </w:tr>
      <w:tr w:rsidR="00141723" w:rsidRPr="00EC28DA" w:rsidTr="00141723">
        <w:trPr>
          <w:jc w:val="center"/>
        </w:trPr>
        <w:tc>
          <w:tcPr>
            <w:tcW w:w="2833" w:type="dxa"/>
          </w:tcPr>
          <w:p w:rsidR="00141723" w:rsidRPr="00141723" w:rsidRDefault="00141723" w:rsidP="00141723">
            <w:pPr>
              <w:pStyle w:val="Tabletext"/>
              <w:jc w:val="left"/>
              <w:rPr>
                <w:sz w:val="18"/>
                <w:szCs w:val="18"/>
              </w:rPr>
            </w:pPr>
            <w:r w:rsidRPr="00141723">
              <w:rPr>
                <w:sz w:val="18"/>
                <w:szCs w:val="18"/>
              </w:rPr>
              <w:t>Pointing loss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15</w:t>
            </w: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0.20</w:t>
            </w:r>
          </w:p>
        </w:tc>
        <w:tc>
          <w:tcPr>
            <w:tcW w:w="1021" w:type="dxa"/>
          </w:tcPr>
          <w:p w:rsidR="00141723" w:rsidRPr="00EC28DA" w:rsidRDefault="00141723" w:rsidP="00141723">
            <w:pPr>
              <w:pStyle w:val="Tabletext"/>
              <w:jc w:val="center"/>
              <w:rPr>
                <w:sz w:val="18"/>
                <w:szCs w:val="18"/>
              </w:rPr>
            </w:pPr>
            <w:r w:rsidRPr="00EC28DA">
              <w:rPr>
                <w:sz w:val="18"/>
                <w:szCs w:val="18"/>
              </w:rPr>
              <w:t>1.0</w:t>
            </w:r>
          </w:p>
        </w:tc>
        <w:tc>
          <w:tcPr>
            <w:tcW w:w="1021" w:type="dxa"/>
          </w:tcPr>
          <w:p w:rsidR="00141723" w:rsidRPr="00EC28DA" w:rsidRDefault="00141723" w:rsidP="00141723">
            <w:pPr>
              <w:pStyle w:val="Tabletext"/>
              <w:jc w:val="center"/>
              <w:rPr>
                <w:sz w:val="18"/>
                <w:szCs w:val="18"/>
              </w:rPr>
            </w:pPr>
            <w:r w:rsidRPr="00EC28DA">
              <w:rPr>
                <w:sz w:val="18"/>
                <w:szCs w:val="18"/>
              </w:rPr>
              <w:t>0.1</w:t>
            </w:r>
          </w:p>
        </w:tc>
      </w:tr>
      <w:tr w:rsidR="00141723" w:rsidRPr="00EC28DA" w:rsidTr="00141723">
        <w:trPr>
          <w:jc w:val="center"/>
        </w:trPr>
        <w:tc>
          <w:tcPr>
            <w:tcW w:w="2833" w:type="dxa"/>
          </w:tcPr>
          <w:p w:rsidR="00141723" w:rsidRPr="00141723" w:rsidRDefault="00141723" w:rsidP="00141723">
            <w:pPr>
              <w:pStyle w:val="Tabletext"/>
              <w:jc w:val="left"/>
              <w:rPr>
                <w:sz w:val="18"/>
                <w:szCs w:val="18"/>
              </w:rPr>
            </w:pPr>
            <w:r w:rsidRPr="00141723">
              <w:rPr>
                <w:sz w:val="18"/>
                <w:szCs w:val="18"/>
              </w:rPr>
              <w:t>Short term fading loss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16</w:t>
            </w:r>
          </w:p>
        </w:tc>
        <w:tc>
          <w:tcPr>
            <w:tcW w:w="1021" w:type="dxa"/>
          </w:tcPr>
          <w:p w:rsidR="00141723" w:rsidRPr="00EC28DA" w:rsidRDefault="00141723" w:rsidP="00141723">
            <w:pPr>
              <w:pStyle w:val="Tabletext"/>
              <w:jc w:val="center"/>
              <w:rPr>
                <w:sz w:val="18"/>
                <w:szCs w:val="18"/>
              </w:rPr>
            </w:pPr>
            <w:r w:rsidRPr="00EC28DA">
              <w:rPr>
                <w:sz w:val="18"/>
                <w:szCs w:val="18"/>
              </w:rPr>
              <w:t>10.0</w:t>
            </w: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r>
      <w:tr w:rsidR="00141723" w:rsidRPr="00EC28DA" w:rsidTr="00141723">
        <w:trPr>
          <w:jc w:val="center"/>
        </w:trPr>
        <w:tc>
          <w:tcPr>
            <w:tcW w:w="2833" w:type="dxa"/>
          </w:tcPr>
          <w:p w:rsidR="00141723" w:rsidRPr="00141723" w:rsidRDefault="00141723" w:rsidP="00141723">
            <w:pPr>
              <w:pStyle w:val="Tabletext"/>
              <w:jc w:val="left"/>
              <w:rPr>
                <w:sz w:val="18"/>
                <w:szCs w:val="18"/>
              </w:rPr>
            </w:pPr>
            <w:r w:rsidRPr="00141723">
              <w:rPr>
                <w:sz w:val="18"/>
                <w:szCs w:val="18"/>
              </w:rPr>
              <w:t xml:space="preserve">Downlink </w:t>
            </w:r>
            <w:r w:rsidRPr="00141723">
              <w:rPr>
                <w:i/>
                <w:iCs/>
              </w:rPr>
              <w:t>C</w:t>
            </w:r>
            <w:r w:rsidRPr="00141723">
              <w:t>/</w:t>
            </w:r>
            <w:r w:rsidRPr="00141723">
              <w:rPr>
                <w:i/>
                <w:iCs/>
              </w:rPr>
              <w:t>N</w:t>
            </w:r>
            <w:r w:rsidRPr="00141723">
              <w:rPr>
                <w:vertAlign w:val="subscript"/>
              </w:rPr>
              <w:t>0</w:t>
            </w:r>
            <w:r>
              <w:rPr>
                <w:sz w:val="18"/>
                <w:szCs w:val="18"/>
              </w:rPr>
              <w:t xml:space="preserve"> (</w:t>
            </w:r>
            <w:r w:rsidRPr="00141723">
              <w:rPr>
                <w:sz w:val="18"/>
                <w:szCs w:val="18"/>
              </w:rPr>
              <w:t>dBHz</w:t>
            </w:r>
            <w:r>
              <w:rPr>
                <w:sz w:val="18"/>
                <w:szCs w:val="18"/>
              </w:rPr>
              <w:t>)</w:t>
            </w:r>
          </w:p>
        </w:tc>
        <w:tc>
          <w:tcPr>
            <w:tcW w:w="679"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47.8</w:t>
            </w:r>
          </w:p>
        </w:tc>
        <w:tc>
          <w:tcPr>
            <w:tcW w:w="1021" w:type="dxa"/>
          </w:tcPr>
          <w:p w:rsidR="00141723" w:rsidRPr="00EC28DA" w:rsidRDefault="00141723" w:rsidP="00141723">
            <w:pPr>
              <w:pStyle w:val="Tabletext"/>
              <w:jc w:val="center"/>
              <w:rPr>
                <w:sz w:val="18"/>
                <w:szCs w:val="18"/>
              </w:rPr>
            </w:pPr>
            <w:r w:rsidRPr="00EC28DA">
              <w:rPr>
                <w:sz w:val="18"/>
                <w:szCs w:val="18"/>
              </w:rPr>
              <w:t>42.5</w:t>
            </w:r>
          </w:p>
        </w:tc>
        <w:tc>
          <w:tcPr>
            <w:tcW w:w="1021" w:type="dxa"/>
          </w:tcPr>
          <w:p w:rsidR="00141723" w:rsidRPr="00EC28DA" w:rsidRDefault="00141723" w:rsidP="00141723">
            <w:pPr>
              <w:pStyle w:val="Tabletext"/>
              <w:jc w:val="center"/>
              <w:rPr>
                <w:sz w:val="18"/>
                <w:szCs w:val="18"/>
              </w:rPr>
            </w:pPr>
            <w:r w:rsidRPr="00EC28DA">
              <w:rPr>
                <w:sz w:val="18"/>
                <w:szCs w:val="18"/>
              </w:rPr>
              <w:t>48.6</w:t>
            </w:r>
          </w:p>
        </w:tc>
        <w:tc>
          <w:tcPr>
            <w:tcW w:w="1021" w:type="dxa"/>
          </w:tcPr>
          <w:p w:rsidR="00141723" w:rsidRPr="00EC28DA" w:rsidRDefault="00141723" w:rsidP="00141723">
            <w:pPr>
              <w:pStyle w:val="Tabletext"/>
              <w:jc w:val="center"/>
              <w:rPr>
                <w:sz w:val="18"/>
                <w:szCs w:val="18"/>
              </w:rPr>
            </w:pPr>
            <w:r w:rsidRPr="00EC28DA">
              <w:rPr>
                <w:sz w:val="18"/>
                <w:szCs w:val="18"/>
              </w:rPr>
              <w:t>43.8</w:t>
            </w:r>
          </w:p>
        </w:tc>
        <w:tc>
          <w:tcPr>
            <w:tcW w:w="1021" w:type="dxa"/>
          </w:tcPr>
          <w:p w:rsidR="00141723" w:rsidRPr="00EC28DA" w:rsidRDefault="00141723" w:rsidP="00141723">
            <w:pPr>
              <w:pStyle w:val="Tabletext"/>
              <w:jc w:val="center"/>
              <w:rPr>
                <w:sz w:val="18"/>
                <w:szCs w:val="18"/>
              </w:rPr>
            </w:pPr>
            <w:r w:rsidRPr="00EC28DA">
              <w:rPr>
                <w:sz w:val="18"/>
                <w:szCs w:val="18"/>
              </w:rPr>
              <w:t>35.5</w:t>
            </w:r>
          </w:p>
        </w:tc>
        <w:tc>
          <w:tcPr>
            <w:tcW w:w="1021" w:type="dxa"/>
          </w:tcPr>
          <w:p w:rsidR="00141723" w:rsidRPr="00EC28DA" w:rsidRDefault="00141723" w:rsidP="00141723">
            <w:pPr>
              <w:pStyle w:val="Tabletext"/>
              <w:jc w:val="center"/>
              <w:rPr>
                <w:sz w:val="18"/>
                <w:szCs w:val="18"/>
              </w:rPr>
            </w:pPr>
            <w:r w:rsidRPr="00EC28DA">
              <w:rPr>
                <w:sz w:val="18"/>
                <w:szCs w:val="18"/>
              </w:rPr>
              <w:t>46.7</w:t>
            </w:r>
          </w:p>
        </w:tc>
      </w:tr>
      <w:tr w:rsidR="00141723" w:rsidRPr="00EC28DA" w:rsidTr="00141723">
        <w:trPr>
          <w:jc w:val="center"/>
        </w:trPr>
        <w:tc>
          <w:tcPr>
            <w:tcW w:w="2833" w:type="dxa"/>
          </w:tcPr>
          <w:p w:rsidR="00141723" w:rsidRPr="00141723" w:rsidRDefault="00141723" w:rsidP="00141723">
            <w:pPr>
              <w:pStyle w:val="Tabletext"/>
              <w:jc w:val="left"/>
              <w:rPr>
                <w:sz w:val="18"/>
                <w:szCs w:val="18"/>
              </w:rPr>
            </w:pPr>
            <w:r w:rsidRPr="00141723">
              <w:rPr>
                <w:sz w:val="18"/>
                <w:szCs w:val="18"/>
              </w:rPr>
              <w:t xml:space="preserve">Overall </w:t>
            </w:r>
            <w:r w:rsidRPr="00141723">
              <w:rPr>
                <w:i/>
                <w:iCs/>
              </w:rPr>
              <w:t>C</w:t>
            </w:r>
            <w:r w:rsidRPr="00141723">
              <w:t>/</w:t>
            </w:r>
            <w:r w:rsidRPr="00141723">
              <w:rPr>
                <w:i/>
                <w:iCs/>
              </w:rPr>
              <w:t>N</w:t>
            </w:r>
            <w:r w:rsidRPr="00141723">
              <w:rPr>
                <w:vertAlign w:val="subscript"/>
              </w:rPr>
              <w:t>0</w:t>
            </w:r>
            <w:r>
              <w:rPr>
                <w:sz w:val="18"/>
                <w:szCs w:val="18"/>
              </w:rPr>
              <w:t xml:space="preserve"> (</w:t>
            </w:r>
            <w:r w:rsidRPr="00141723">
              <w:rPr>
                <w:sz w:val="18"/>
                <w:szCs w:val="18"/>
              </w:rPr>
              <w:t>dBHz</w:t>
            </w:r>
            <w:r>
              <w:rPr>
                <w:sz w:val="18"/>
                <w:szCs w:val="18"/>
              </w:rPr>
              <w:t>)</w:t>
            </w:r>
          </w:p>
        </w:tc>
        <w:tc>
          <w:tcPr>
            <w:tcW w:w="679"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38.8</w:t>
            </w:r>
          </w:p>
        </w:tc>
        <w:tc>
          <w:tcPr>
            <w:tcW w:w="1021" w:type="dxa"/>
          </w:tcPr>
          <w:p w:rsidR="00141723" w:rsidRPr="00EC28DA" w:rsidRDefault="00141723" w:rsidP="00141723">
            <w:pPr>
              <w:pStyle w:val="Tabletext"/>
              <w:jc w:val="center"/>
              <w:rPr>
                <w:sz w:val="18"/>
                <w:szCs w:val="18"/>
              </w:rPr>
            </w:pPr>
            <w:r w:rsidRPr="00EC28DA">
              <w:rPr>
                <w:sz w:val="18"/>
                <w:szCs w:val="18"/>
              </w:rPr>
              <w:t>39.8</w:t>
            </w:r>
          </w:p>
        </w:tc>
        <w:tc>
          <w:tcPr>
            <w:tcW w:w="1021" w:type="dxa"/>
          </w:tcPr>
          <w:p w:rsidR="00141723" w:rsidRPr="00EC28DA" w:rsidRDefault="00141723" w:rsidP="00141723">
            <w:pPr>
              <w:pStyle w:val="Tabletext"/>
              <w:jc w:val="center"/>
              <w:rPr>
                <w:sz w:val="18"/>
                <w:szCs w:val="18"/>
              </w:rPr>
            </w:pPr>
            <w:r w:rsidRPr="00EC28DA">
              <w:rPr>
                <w:sz w:val="18"/>
                <w:szCs w:val="18"/>
              </w:rPr>
              <w:t>31.1</w:t>
            </w:r>
          </w:p>
        </w:tc>
        <w:tc>
          <w:tcPr>
            <w:tcW w:w="1021" w:type="dxa"/>
          </w:tcPr>
          <w:p w:rsidR="00141723" w:rsidRPr="00EC28DA" w:rsidRDefault="00141723" w:rsidP="00141723">
            <w:pPr>
              <w:pStyle w:val="Tabletext"/>
              <w:jc w:val="center"/>
              <w:rPr>
                <w:sz w:val="18"/>
                <w:szCs w:val="18"/>
              </w:rPr>
            </w:pPr>
            <w:r w:rsidRPr="00EC28DA">
              <w:rPr>
                <w:sz w:val="18"/>
                <w:szCs w:val="18"/>
              </w:rPr>
              <w:t>27.4</w:t>
            </w:r>
          </w:p>
        </w:tc>
        <w:tc>
          <w:tcPr>
            <w:tcW w:w="1021" w:type="dxa"/>
          </w:tcPr>
          <w:p w:rsidR="00141723" w:rsidRPr="00EC28DA" w:rsidRDefault="00141723" w:rsidP="00141723">
            <w:pPr>
              <w:pStyle w:val="Tabletext"/>
              <w:jc w:val="center"/>
              <w:rPr>
                <w:sz w:val="18"/>
                <w:szCs w:val="18"/>
              </w:rPr>
            </w:pPr>
            <w:r w:rsidRPr="00EC28DA">
              <w:rPr>
                <w:sz w:val="18"/>
                <w:szCs w:val="18"/>
              </w:rPr>
              <w:t>35.4</w:t>
            </w:r>
          </w:p>
        </w:tc>
      </w:tr>
      <w:tr w:rsidR="00141723" w:rsidRPr="00EC28DA" w:rsidTr="003A3CB5">
        <w:trPr>
          <w:jc w:val="center"/>
        </w:trPr>
        <w:tc>
          <w:tcPr>
            <w:tcW w:w="2833" w:type="dxa"/>
          </w:tcPr>
          <w:p w:rsidR="00141723" w:rsidRPr="00141723" w:rsidRDefault="00141723" w:rsidP="00141723">
            <w:pPr>
              <w:pStyle w:val="Tabletext"/>
              <w:jc w:val="left"/>
              <w:rPr>
                <w:sz w:val="18"/>
                <w:szCs w:val="18"/>
              </w:rPr>
            </w:pPr>
            <w:r w:rsidRPr="00141723">
              <w:rPr>
                <w:sz w:val="18"/>
                <w:szCs w:val="18"/>
              </w:rPr>
              <w:t>Data rate, Rb</w:t>
            </w:r>
            <w:r>
              <w:rPr>
                <w:sz w:val="18"/>
                <w:szCs w:val="18"/>
              </w:rPr>
              <w:t xml:space="preserve"> (</w:t>
            </w:r>
            <w:r w:rsidRPr="00141723">
              <w:rPr>
                <w:sz w:val="18"/>
                <w:szCs w:val="18"/>
              </w:rPr>
              <w:t>dBHz</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17</w:t>
            </w:r>
          </w:p>
        </w:tc>
        <w:tc>
          <w:tcPr>
            <w:tcW w:w="1021" w:type="dxa"/>
          </w:tcPr>
          <w:p w:rsidR="00141723" w:rsidRPr="00EC28DA" w:rsidRDefault="00141723" w:rsidP="00141723">
            <w:pPr>
              <w:pStyle w:val="Tabletext"/>
              <w:jc w:val="center"/>
              <w:rPr>
                <w:sz w:val="18"/>
                <w:szCs w:val="18"/>
              </w:rPr>
            </w:pPr>
            <w:r w:rsidRPr="00EC28DA">
              <w:rPr>
                <w:sz w:val="18"/>
                <w:szCs w:val="18"/>
              </w:rPr>
              <w:t>33.8</w:t>
            </w:r>
          </w:p>
        </w:tc>
        <w:tc>
          <w:tcPr>
            <w:tcW w:w="5105" w:type="dxa"/>
            <w:gridSpan w:val="5"/>
          </w:tcPr>
          <w:p w:rsidR="00141723" w:rsidRPr="00EC28DA" w:rsidRDefault="00141723" w:rsidP="00141723">
            <w:pPr>
              <w:pStyle w:val="Tabletext"/>
              <w:jc w:val="center"/>
              <w:rPr>
                <w:sz w:val="18"/>
                <w:szCs w:val="18"/>
              </w:rPr>
            </w:pPr>
            <w:r w:rsidRPr="00EC28DA">
              <w:rPr>
                <w:sz w:val="18"/>
                <w:szCs w:val="18"/>
              </w:rPr>
              <w:t>26.0</w:t>
            </w:r>
          </w:p>
        </w:tc>
      </w:tr>
      <w:tr w:rsidR="00141723" w:rsidRPr="00EC28DA" w:rsidTr="00141723">
        <w:trPr>
          <w:jc w:val="center"/>
        </w:trPr>
        <w:tc>
          <w:tcPr>
            <w:tcW w:w="2833" w:type="dxa"/>
          </w:tcPr>
          <w:p w:rsidR="00141723" w:rsidRPr="00141723" w:rsidRDefault="00141723" w:rsidP="00141723">
            <w:pPr>
              <w:pStyle w:val="Tabletext"/>
              <w:jc w:val="left"/>
              <w:rPr>
                <w:sz w:val="18"/>
                <w:szCs w:val="18"/>
              </w:rPr>
            </w:pPr>
            <w:r w:rsidRPr="00141723">
              <w:rPr>
                <w:i/>
                <w:iCs/>
              </w:rPr>
              <w:t>E</w:t>
            </w:r>
            <w:r w:rsidRPr="00141723">
              <w:rPr>
                <w:i/>
                <w:iCs/>
                <w:sz w:val="24"/>
                <w:szCs w:val="24"/>
                <w:vertAlign w:val="subscript"/>
              </w:rPr>
              <w:t>b</w:t>
            </w:r>
            <w:r w:rsidRPr="00141723">
              <w:rPr>
                <w:sz w:val="18"/>
                <w:szCs w:val="18"/>
              </w:rPr>
              <w:t>/</w:t>
            </w:r>
            <w:r w:rsidRPr="00141723">
              <w:rPr>
                <w:i/>
                <w:iCs/>
              </w:rPr>
              <w:t>N</w:t>
            </w:r>
            <w:r w:rsidRPr="00141723">
              <w:rPr>
                <w:vertAlign w:val="subscript"/>
              </w:rPr>
              <w:t>0</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14.0</w:t>
            </w:r>
          </w:p>
        </w:tc>
        <w:tc>
          <w:tcPr>
            <w:tcW w:w="1021" w:type="dxa"/>
          </w:tcPr>
          <w:p w:rsidR="00141723" w:rsidRPr="00EC28DA" w:rsidRDefault="00141723" w:rsidP="00141723">
            <w:pPr>
              <w:pStyle w:val="Tabletext"/>
              <w:jc w:val="center"/>
              <w:rPr>
                <w:sz w:val="18"/>
                <w:szCs w:val="18"/>
              </w:rPr>
            </w:pPr>
            <w:r w:rsidRPr="00EC28DA">
              <w:rPr>
                <w:sz w:val="18"/>
                <w:szCs w:val="18"/>
              </w:rPr>
              <w:t>12.8</w:t>
            </w:r>
          </w:p>
        </w:tc>
        <w:tc>
          <w:tcPr>
            <w:tcW w:w="1021" w:type="dxa"/>
          </w:tcPr>
          <w:p w:rsidR="00141723" w:rsidRPr="00EC28DA" w:rsidRDefault="00141723" w:rsidP="00141723">
            <w:pPr>
              <w:pStyle w:val="Tabletext"/>
              <w:jc w:val="center"/>
              <w:rPr>
                <w:sz w:val="18"/>
                <w:szCs w:val="18"/>
              </w:rPr>
            </w:pPr>
            <w:r w:rsidRPr="00EC28DA">
              <w:rPr>
                <w:sz w:val="18"/>
                <w:szCs w:val="18"/>
              </w:rPr>
              <w:t>13.8</w:t>
            </w:r>
          </w:p>
        </w:tc>
        <w:tc>
          <w:tcPr>
            <w:tcW w:w="1021" w:type="dxa"/>
          </w:tcPr>
          <w:p w:rsidR="00141723" w:rsidRPr="00EC28DA" w:rsidRDefault="00141723" w:rsidP="00141723">
            <w:pPr>
              <w:pStyle w:val="Tabletext"/>
              <w:jc w:val="center"/>
              <w:rPr>
                <w:sz w:val="18"/>
                <w:szCs w:val="18"/>
              </w:rPr>
            </w:pPr>
            <w:r w:rsidRPr="00EC28DA">
              <w:rPr>
                <w:sz w:val="18"/>
                <w:szCs w:val="18"/>
              </w:rPr>
              <w:t>5.1</w:t>
            </w:r>
          </w:p>
        </w:tc>
        <w:tc>
          <w:tcPr>
            <w:tcW w:w="1021" w:type="dxa"/>
          </w:tcPr>
          <w:p w:rsidR="00141723" w:rsidRPr="00EC28DA" w:rsidRDefault="00141723" w:rsidP="00141723">
            <w:pPr>
              <w:pStyle w:val="Tabletext"/>
              <w:jc w:val="center"/>
              <w:rPr>
                <w:sz w:val="18"/>
                <w:szCs w:val="18"/>
              </w:rPr>
            </w:pPr>
            <w:r w:rsidRPr="00EC28DA">
              <w:rPr>
                <w:sz w:val="18"/>
                <w:szCs w:val="18"/>
              </w:rPr>
              <w:t>1.4</w:t>
            </w:r>
          </w:p>
        </w:tc>
        <w:tc>
          <w:tcPr>
            <w:tcW w:w="1021" w:type="dxa"/>
          </w:tcPr>
          <w:p w:rsidR="00141723" w:rsidRPr="00EC28DA" w:rsidRDefault="00141723" w:rsidP="00141723">
            <w:pPr>
              <w:pStyle w:val="Tabletext"/>
              <w:jc w:val="center"/>
              <w:rPr>
                <w:sz w:val="18"/>
                <w:szCs w:val="18"/>
              </w:rPr>
            </w:pPr>
            <w:r w:rsidRPr="00EC28DA">
              <w:rPr>
                <w:sz w:val="18"/>
                <w:szCs w:val="18"/>
              </w:rPr>
              <w:t>9.4</w:t>
            </w:r>
          </w:p>
        </w:tc>
      </w:tr>
      <w:tr w:rsidR="00141723" w:rsidRPr="00EC28DA" w:rsidTr="00B976D4">
        <w:trPr>
          <w:jc w:val="center"/>
        </w:trPr>
        <w:tc>
          <w:tcPr>
            <w:tcW w:w="2833" w:type="dxa"/>
          </w:tcPr>
          <w:p w:rsidR="00141723" w:rsidRPr="00141723" w:rsidRDefault="00141723" w:rsidP="00141723">
            <w:pPr>
              <w:pStyle w:val="Tabletext"/>
              <w:jc w:val="left"/>
              <w:rPr>
                <w:sz w:val="18"/>
                <w:szCs w:val="18"/>
              </w:rPr>
            </w:pPr>
            <w:r w:rsidRPr="00141723">
              <w:rPr>
                <w:sz w:val="18"/>
                <w:szCs w:val="18"/>
              </w:rPr>
              <w:t>Implementation loss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p>
        </w:tc>
        <w:tc>
          <w:tcPr>
            <w:tcW w:w="4084" w:type="dxa"/>
            <w:gridSpan w:val="4"/>
          </w:tcPr>
          <w:p w:rsidR="00141723" w:rsidRPr="00EC28DA" w:rsidRDefault="00141723" w:rsidP="00141723">
            <w:pPr>
              <w:pStyle w:val="Tabletext"/>
              <w:jc w:val="center"/>
              <w:rPr>
                <w:sz w:val="18"/>
                <w:szCs w:val="18"/>
              </w:rPr>
            </w:pPr>
            <w:r w:rsidRPr="00EC28DA">
              <w:rPr>
                <w:sz w:val="18"/>
                <w:szCs w:val="18"/>
              </w:rPr>
              <w:t>1.0</w:t>
            </w:r>
          </w:p>
        </w:tc>
        <w:tc>
          <w:tcPr>
            <w:tcW w:w="2042" w:type="dxa"/>
            <w:gridSpan w:val="2"/>
          </w:tcPr>
          <w:p w:rsidR="00141723" w:rsidRPr="00EC28DA" w:rsidRDefault="00141723" w:rsidP="00141723">
            <w:pPr>
              <w:pStyle w:val="Tabletext"/>
              <w:jc w:val="center"/>
              <w:rPr>
                <w:sz w:val="18"/>
                <w:szCs w:val="18"/>
              </w:rPr>
            </w:pPr>
            <w:r w:rsidRPr="00EC28DA">
              <w:rPr>
                <w:sz w:val="18"/>
                <w:szCs w:val="18"/>
              </w:rPr>
              <w:t>0.5</w:t>
            </w:r>
          </w:p>
        </w:tc>
      </w:tr>
      <w:tr w:rsidR="00141723" w:rsidRPr="00EC28DA" w:rsidTr="007F7962">
        <w:trPr>
          <w:jc w:val="center"/>
        </w:trPr>
        <w:tc>
          <w:tcPr>
            <w:tcW w:w="2833" w:type="dxa"/>
            <w:vAlign w:val="center"/>
          </w:tcPr>
          <w:p w:rsidR="00141723" w:rsidRPr="00141723" w:rsidRDefault="00141723" w:rsidP="00141723">
            <w:pPr>
              <w:pStyle w:val="Tabletext"/>
              <w:jc w:val="left"/>
              <w:rPr>
                <w:sz w:val="18"/>
                <w:szCs w:val="18"/>
              </w:rPr>
            </w:pPr>
            <w:r w:rsidRPr="00141723">
              <w:rPr>
                <w:sz w:val="18"/>
                <w:szCs w:val="18"/>
              </w:rPr>
              <w:t xml:space="preserve">Bcn data modulation loss, </w:t>
            </w:r>
            <w:r w:rsidRPr="00141723">
              <w:rPr>
                <w:sz w:val="18"/>
                <w:szCs w:val="18"/>
              </w:rPr>
              <w:br/>
              <w:t>b</w:t>
            </w:r>
            <w:r>
              <w:rPr>
                <w:sz w:val="18"/>
                <w:szCs w:val="18"/>
              </w:rPr>
              <w:t> </w:t>
            </w:r>
            <w:r w:rsidRPr="00141723">
              <w:rPr>
                <w:sz w:val="18"/>
                <w:szCs w:val="18"/>
              </w:rPr>
              <w:t>=</w:t>
            </w:r>
            <w:r>
              <w:rPr>
                <w:sz w:val="18"/>
                <w:szCs w:val="18"/>
              </w:rPr>
              <w:t> </w:t>
            </w:r>
            <w:r w:rsidRPr="00141723">
              <w:rPr>
                <w:sz w:val="18"/>
                <w:szCs w:val="18"/>
              </w:rPr>
              <w:t>1.1 rad</w:t>
            </w:r>
            <w:r>
              <w:rPr>
                <w:sz w:val="18"/>
                <w:szCs w:val="18"/>
              </w:rPr>
              <w:t xml:space="preserve"> (</w:t>
            </w:r>
            <w:r w:rsidRPr="00141723">
              <w:rPr>
                <w:sz w:val="18"/>
                <w:szCs w:val="18"/>
              </w:rPr>
              <w:t>dB</w:t>
            </w:r>
            <w:r>
              <w:rPr>
                <w:sz w:val="18"/>
                <w:szCs w:val="18"/>
              </w:rPr>
              <w:t>)</w:t>
            </w:r>
          </w:p>
        </w:tc>
        <w:tc>
          <w:tcPr>
            <w:tcW w:w="679" w:type="dxa"/>
            <w:vAlign w:val="center"/>
          </w:tcPr>
          <w:p w:rsidR="00141723" w:rsidRPr="00EC28DA" w:rsidRDefault="00141723" w:rsidP="00141723">
            <w:pPr>
              <w:pStyle w:val="Tabletext"/>
              <w:jc w:val="center"/>
              <w:rPr>
                <w:sz w:val="18"/>
                <w:szCs w:val="18"/>
              </w:rPr>
            </w:pPr>
            <w:r w:rsidRPr="00EC28DA">
              <w:rPr>
                <w:sz w:val="18"/>
                <w:szCs w:val="18"/>
              </w:rPr>
              <w:t>18</w:t>
            </w:r>
          </w:p>
        </w:tc>
        <w:tc>
          <w:tcPr>
            <w:tcW w:w="1021" w:type="dxa"/>
            <w:vAlign w:val="center"/>
          </w:tcPr>
          <w:p w:rsidR="00141723" w:rsidRPr="00EC28DA" w:rsidRDefault="00141723" w:rsidP="00141723">
            <w:pPr>
              <w:pStyle w:val="Tabletext"/>
              <w:jc w:val="center"/>
              <w:rPr>
                <w:sz w:val="18"/>
                <w:szCs w:val="18"/>
              </w:rPr>
            </w:pPr>
          </w:p>
        </w:tc>
        <w:tc>
          <w:tcPr>
            <w:tcW w:w="5105" w:type="dxa"/>
            <w:gridSpan w:val="5"/>
            <w:vAlign w:val="center"/>
          </w:tcPr>
          <w:p w:rsidR="00141723" w:rsidRPr="00EC28DA" w:rsidRDefault="00141723" w:rsidP="00141723">
            <w:pPr>
              <w:pStyle w:val="Tabletext"/>
              <w:jc w:val="center"/>
              <w:rPr>
                <w:sz w:val="18"/>
                <w:szCs w:val="18"/>
              </w:rPr>
            </w:pPr>
            <w:r w:rsidRPr="00EC28DA">
              <w:rPr>
                <w:sz w:val="18"/>
                <w:szCs w:val="18"/>
              </w:rPr>
              <w:t>1.0</w:t>
            </w:r>
          </w:p>
        </w:tc>
      </w:tr>
      <w:tr w:rsidR="00141723" w:rsidRPr="00EC28DA" w:rsidTr="007E513E">
        <w:trPr>
          <w:jc w:val="center"/>
        </w:trPr>
        <w:tc>
          <w:tcPr>
            <w:tcW w:w="2833" w:type="dxa"/>
          </w:tcPr>
          <w:p w:rsidR="00141723" w:rsidRPr="00141723" w:rsidRDefault="00141723" w:rsidP="00141723">
            <w:pPr>
              <w:pStyle w:val="Tabletext"/>
              <w:jc w:val="left"/>
              <w:rPr>
                <w:sz w:val="18"/>
                <w:szCs w:val="18"/>
              </w:rPr>
            </w:pPr>
            <w:r w:rsidRPr="00141723">
              <w:rPr>
                <w:sz w:val="18"/>
                <w:szCs w:val="18"/>
              </w:rPr>
              <w:t>Coding gain</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p>
        </w:tc>
        <w:tc>
          <w:tcPr>
            <w:tcW w:w="4084" w:type="dxa"/>
            <w:gridSpan w:val="4"/>
          </w:tcPr>
          <w:p w:rsidR="00141723" w:rsidRPr="00EC28DA" w:rsidRDefault="00141723" w:rsidP="00141723">
            <w:pPr>
              <w:pStyle w:val="Tabletext"/>
              <w:jc w:val="center"/>
              <w:rPr>
                <w:sz w:val="18"/>
                <w:szCs w:val="18"/>
              </w:rPr>
            </w:pPr>
            <w:r w:rsidRPr="00EC28DA">
              <w:rPr>
                <w:sz w:val="18"/>
                <w:szCs w:val="18"/>
              </w:rPr>
              <w:t>0.0</w:t>
            </w:r>
          </w:p>
        </w:tc>
        <w:tc>
          <w:tcPr>
            <w:tcW w:w="2042" w:type="dxa"/>
            <w:gridSpan w:val="2"/>
          </w:tcPr>
          <w:p w:rsidR="00141723" w:rsidRPr="00EC28DA" w:rsidRDefault="00141723" w:rsidP="00141723">
            <w:pPr>
              <w:pStyle w:val="Tabletext"/>
              <w:jc w:val="center"/>
              <w:rPr>
                <w:sz w:val="18"/>
                <w:szCs w:val="18"/>
              </w:rPr>
            </w:pPr>
            <w:r w:rsidRPr="00EC28DA">
              <w:rPr>
                <w:sz w:val="18"/>
                <w:szCs w:val="18"/>
              </w:rPr>
              <w:t>2.0</w:t>
            </w:r>
          </w:p>
        </w:tc>
      </w:tr>
      <w:tr w:rsidR="00141723" w:rsidRPr="00EC28DA" w:rsidTr="0038470C">
        <w:trPr>
          <w:jc w:val="center"/>
        </w:trPr>
        <w:tc>
          <w:tcPr>
            <w:tcW w:w="2833" w:type="dxa"/>
          </w:tcPr>
          <w:p w:rsidR="00141723" w:rsidRPr="00141723" w:rsidRDefault="00141723" w:rsidP="00141723">
            <w:pPr>
              <w:pStyle w:val="Tabletext"/>
              <w:jc w:val="left"/>
              <w:rPr>
                <w:sz w:val="18"/>
                <w:szCs w:val="18"/>
              </w:rPr>
            </w:pPr>
            <w:r w:rsidRPr="00141723">
              <w:rPr>
                <w:sz w:val="18"/>
                <w:szCs w:val="18"/>
              </w:rPr>
              <w:t>Processing gain (5 bursts)</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r w:rsidRPr="00EC28DA">
              <w:rPr>
                <w:sz w:val="18"/>
                <w:szCs w:val="18"/>
              </w:rPr>
              <w:t>19</w:t>
            </w: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p>
        </w:tc>
        <w:tc>
          <w:tcPr>
            <w:tcW w:w="2042" w:type="dxa"/>
            <w:gridSpan w:val="2"/>
          </w:tcPr>
          <w:p w:rsidR="00141723" w:rsidRPr="00EC28DA" w:rsidRDefault="00141723" w:rsidP="00141723">
            <w:pPr>
              <w:pStyle w:val="Tabletext"/>
              <w:jc w:val="center"/>
              <w:rPr>
                <w:sz w:val="18"/>
                <w:szCs w:val="18"/>
              </w:rPr>
            </w:pPr>
            <w:r w:rsidRPr="00EC28DA">
              <w:rPr>
                <w:sz w:val="18"/>
                <w:szCs w:val="18"/>
              </w:rPr>
              <w:t>7.0</w:t>
            </w:r>
          </w:p>
        </w:tc>
        <w:tc>
          <w:tcPr>
            <w:tcW w:w="1021" w:type="dxa"/>
          </w:tcPr>
          <w:p w:rsidR="00141723" w:rsidRPr="00EC28DA" w:rsidRDefault="00141723" w:rsidP="00141723">
            <w:pPr>
              <w:pStyle w:val="Tabletext"/>
              <w:jc w:val="center"/>
              <w:rPr>
                <w:sz w:val="18"/>
                <w:szCs w:val="18"/>
              </w:rPr>
            </w:pPr>
            <w:r w:rsidRPr="00EC28DA">
              <w:rPr>
                <w:sz w:val="18"/>
                <w:szCs w:val="18"/>
              </w:rPr>
              <w:t>0.0</w:t>
            </w:r>
          </w:p>
        </w:tc>
      </w:tr>
    </w:tbl>
    <w:p w:rsidR="007F7962" w:rsidRPr="007F7962" w:rsidRDefault="007F7962" w:rsidP="007F7962">
      <w:pPr>
        <w:pStyle w:val="Tablefin"/>
        <w:rPr>
          <w:sz w:val="2"/>
        </w:rPr>
      </w:pPr>
    </w:p>
    <w:p w:rsidR="007F7962" w:rsidRDefault="007F7962" w:rsidP="007F7962">
      <w:pPr>
        <w:pStyle w:val="TableNo"/>
      </w:pPr>
      <w:r w:rsidRPr="007F7962">
        <w:lastRenderedPageBreak/>
        <w:t>TABLE 2</w:t>
      </w:r>
      <w:r>
        <w:t xml:space="preserve"> (</w:t>
      </w:r>
      <w:r w:rsidRPr="007F7962">
        <w:rPr>
          <w:i/>
          <w:iCs/>
        </w:rPr>
        <w:t>end</w:t>
      </w:r>
      <w:r>
        <w:t>)</w:t>
      </w:r>
    </w:p>
    <w:tbl>
      <w:tblPr>
        <w:tblW w:w="9638"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3"/>
        <w:gridCol w:w="679"/>
        <w:gridCol w:w="1021"/>
        <w:gridCol w:w="1021"/>
        <w:gridCol w:w="1021"/>
        <w:gridCol w:w="1021"/>
        <w:gridCol w:w="1021"/>
        <w:gridCol w:w="1021"/>
      </w:tblGrid>
      <w:tr w:rsidR="00BD5D3D" w:rsidRPr="00EC28DA" w:rsidTr="00BB31F1">
        <w:trPr>
          <w:jc w:val="center"/>
        </w:trPr>
        <w:tc>
          <w:tcPr>
            <w:tcW w:w="2833" w:type="dxa"/>
            <w:vMerge w:val="restart"/>
            <w:tcBorders>
              <w:top w:val="nil"/>
              <w:left w:val="nil"/>
              <w:right w:val="nil"/>
            </w:tcBorders>
          </w:tcPr>
          <w:p w:rsidR="00BD5D3D" w:rsidRPr="00EC28DA" w:rsidRDefault="00BD5D3D" w:rsidP="007F7962">
            <w:pPr>
              <w:pStyle w:val="Tablehead"/>
              <w:spacing w:before="60" w:after="60"/>
              <w:ind w:left="-57" w:right="-57"/>
              <w:rPr>
                <w:sz w:val="18"/>
                <w:szCs w:val="18"/>
              </w:rPr>
            </w:pPr>
          </w:p>
        </w:tc>
        <w:tc>
          <w:tcPr>
            <w:tcW w:w="679" w:type="dxa"/>
            <w:vMerge w:val="restart"/>
            <w:tcBorders>
              <w:top w:val="nil"/>
              <w:left w:val="nil"/>
            </w:tcBorders>
          </w:tcPr>
          <w:p w:rsidR="00BD5D3D" w:rsidRPr="00EC28DA" w:rsidRDefault="00BD5D3D" w:rsidP="007F7962">
            <w:pPr>
              <w:pStyle w:val="Tablehead"/>
              <w:spacing w:before="60" w:after="60"/>
              <w:ind w:left="-57" w:right="-57"/>
              <w:rPr>
                <w:sz w:val="18"/>
                <w:szCs w:val="18"/>
              </w:rPr>
            </w:pPr>
          </w:p>
        </w:tc>
        <w:tc>
          <w:tcPr>
            <w:tcW w:w="3063" w:type="dxa"/>
            <w:gridSpan w:val="3"/>
          </w:tcPr>
          <w:p w:rsidR="00BD5D3D" w:rsidRPr="00EC28DA" w:rsidRDefault="00BD5D3D" w:rsidP="007F7962">
            <w:pPr>
              <w:pStyle w:val="Tablehead"/>
              <w:spacing w:before="60" w:after="60"/>
              <w:ind w:left="-57" w:right="-57"/>
              <w:rPr>
                <w:sz w:val="18"/>
                <w:szCs w:val="18"/>
              </w:rPr>
            </w:pPr>
            <w:r w:rsidRPr="00EC28DA">
              <w:rPr>
                <w:sz w:val="18"/>
                <w:szCs w:val="18"/>
              </w:rPr>
              <w:t>LEOSAR</w:t>
            </w:r>
          </w:p>
        </w:tc>
        <w:tc>
          <w:tcPr>
            <w:tcW w:w="2042" w:type="dxa"/>
            <w:gridSpan w:val="2"/>
          </w:tcPr>
          <w:p w:rsidR="00BD5D3D" w:rsidRPr="00EC28DA" w:rsidRDefault="00BD5D3D" w:rsidP="007F7962">
            <w:pPr>
              <w:pStyle w:val="Tablehead"/>
              <w:spacing w:before="60" w:after="60"/>
              <w:ind w:left="-57" w:right="-57"/>
              <w:rPr>
                <w:sz w:val="18"/>
                <w:szCs w:val="18"/>
              </w:rPr>
            </w:pPr>
            <w:r w:rsidRPr="00EC28DA">
              <w:rPr>
                <w:sz w:val="18"/>
                <w:szCs w:val="18"/>
              </w:rPr>
              <w:t>GEOSAR</w:t>
            </w:r>
          </w:p>
        </w:tc>
        <w:tc>
          <w:tcPr>
            <w:tcW w:w="1021" w:type="dxa"/>
          </w:tcPr>
          <w:p w:rsidR="00BD5D3D" w:rsidRPr="00EC28DA" w:rsidRDefault="00BD5D3D" w:rsidP="007F7962">
            <w:pPr>
              <w:pStyle w:val="Tablehead"/>
              <w:spacing w:before="60" w:after="60"/>
              <w:ind w:left="-57" w:right="-57"/>
              <w:rPr>
                <w:sz w:val="18"/>
                <w:szCs w:val="18"/>
              </w:rPr>
            </w:pPr>
            <w:r w:rsidRPr="00EC28DA">
              <w:rPr>
                <w:sz w:val="18"/>
                <w:szCs w:val="18"/>
              </w:rPr>
              <w:t>MEOSAR</w:t>
            </w:r>
          </w:p>
        </w:tc>
      </w:tr>
      <w:tr w:rsidR="00BD5D3D" w:rsidRPr="00EC28DA" w:rsidTr="00BB31F1">
        <w:trPr>
          <w:jc w:val="center"/>
        </w:trPr>
        <w:tc>
          <w:tcPr>
            <w:tcW w:w="2833" w:type="dxa"/>
            <w:vMerge/>
            <w:tcBorders>
              <w:left w:val="nil"/>
              <w:right w:val="nil"/>
            </w:tcBorders>
          </w:tcPr>
          <w:p w:rsidR="00BD5D3D" w:rsidRPr="00EC28DA" w:rsidRDefault="00BD5D3D" w:rsidP="007F7962">
            <w:pPr>
              <w:pStyle w:val="Tablehead"/>
              <w:spacing w:before="60" w:after="60"/>
              <w:ind w:left="-57" w:right="-57"/>
              <w:rPr>
                <w:sz w:val="18"/>
                <w:szCs w:val="18"/>
              </w:rPr>
            </w:pPr>
          </w:p>
        </w:tc>
        <w:tc>
          <w:tcPr>
            <w:tcW w:w="679" w:type="dxa"/>
            <w:vMerge/>
            <w:tcBorders>
              <w:left w:val="nil"/>
            </w:tcBorders>
          </w:tcPr>
          <w:p w:rsidR="00BD5D3D" w:rsidRPr="00EC28DA" w:rsidRDefault="00BD5D3D" w:rsidP="007F7962">
            <w:pPr>
              <w:pStyle w:val="Tablehead"/>
              <w:spacing w:before="60" w:after="60"/>
              <w:ind w:left="-57" w:right="-57"/>
              <w:rPr>
                <w:sz w:val="18"/>
                <w:szCs w:val="18"/>
              </w:rPr>
            </w:pPr>
          </w:p>
        </w:tc>
        <w:tc>
          <w:tcPr>
            <w:tcW w:w="1021" w:type="dxa"/>
          </w:tcPr>
          <w:p w:rsidR="00BD5D3D" w:rsidRPr="00EC28DA" w:rsidRDefault="00BD5D3D" w:rsidP="007F7962">
            <w:pPr>
              <w:pStyle w:val="Tablehead"/>
              <w:spacing w:before="60" w:after="60"/>
              <w:ind w:left="-57" w:right="-57"/>
              <w:rPr>
                <w:sz w:val="18"/>
                <w:szCs w:val="18"/>
              </w:rPr>
            </w:pPr>
            <w:r w:rsidRPr="00EC28DA">
              <w:rPr>
                <w:sz w:val="18"/>
                <w:szCs w:val="18"/>
              </w:rPr>
              <w:t>Sarsat PDS</w:t>
            </w:r>
          </w:p>
        </w:tc>
        <w:tc>
          <w:tcPr>
            <w:tcW w:w="1021" w:type="dxa"/>
          </w:tcPr>
          <w:p w:rsidR="00BD5D3D" w:rsidRPr="00EC28DA" w:rsidRDefault="00BD5D3D" w:rsidP="007F7962">
            <w:pPr>
              <w:pStyle w:val="Tablehead"/>
              <w:spacing w:before="60" w:after="60"/>
              <w:ind w:left="-57" w:right="-57"/>
              <w:rPr>
                <w:sz w:val="18"/>
                <w:szCs w:val="18"/>
              </w:rPr>
            </w:pPr>
            <w:r w:rsidRPr="00EC28DA">
              <w:rPr>
                <w:sz w:val="18"/>
                <w:szCs w:val="18"/>
              </w:rPr>
              <w:t>Sarsat SARR</w:t>
            </w:r>
          </w:p>
        </w:tc>
        <w:tc>
          <w:tcPr>
            <w:tcW w:w="1021" w:type="dxa"/>
          </w:tcPr>
          <w:p w:rsidR="00BD5D3D" w:rsidRPr="00EC28DA" w:rsidRDefault="00BD5D3D" w:rsidP="007F7962">
            <w:pPr>
              <w:pStyle w:val="Tablehead"/>
              <w:spacing w:before="60" w:after="60"/>
              <w:ind w:left="-57" w:right="-57"/>
              <w:rPr>
                <w:sz w:val="18"/>
                <w:szCs w:val="18"/>
              </w:rPr>
            </w:pPr>
            <w:r w:rsidRPr="00EC28DA">
              <w:rPr>
                <w:sz w:val="18"/>
                <w:szCs w:val="18"/>
              </w:rPr>
              <w:t>Cospas SARR</w:t>
            </w:r>
          </w:p>
        </w:tc>
        <w:tc>
          <w:tcPr>
            <w:tcW w:w="1021" w:type="dxa"/>
          </w:tcPr>
          <w:p w:rsidR="00BD5D3D" w:rsidRPr="00EC28DA" w:rsidRDefault="00BD5D3D" w:rsidP="007F7962">
            <w:pPr>
              <w:pStyle w:val="Tablehead"/>
              <w:spacing w:before="60" w:after="60"/>
              <w:ind w:left="-57" w:right="-57"/>
              <w:rPr>
                <w:sz w:val="18"/>
                <w:szCs w:val="18"/>
              </w:rPr>
            </w:pPr>
            <w:r w:rsidRPr="00EC28DA">
              <w:rPr>
                <w:sz w:val="18"/>
                <w:szCs w:val="18"/>
              </w:rPr>
              <w:t>GOES SARR</w:t>
            </w:r>
          </w:p>
        </w:tc>
        <w:tc>
          <w:tcPr>
            <w:tcW w:w="1021" w:type="dxa"/>
          </w:tcPr>
          <w:p w:rsidR="00BD5D3D" w:rsidRPr="00EC28DA" w:rsidRDefault="00BD5D3D" w:rsidP="007F7962">
            <w:pPr>
              <w:pStyle w:val="Tablehead"/>
              <w:spacing w:before="60" w:after="60"/>
              <w:ind w:left="-57" w:right="-57"/>
              <w:rPr>
                <w:sz w:val="18"/>
                <w:szCs w:val="18"/>
              </w:rPr>
            </w:pPr>
            <w:r w:rsidRPr="00EC28DA">
              <w:rPr>
                <w:sz w:val="18"/>
                <w:szCs w:val="18"/>
              </w:rPr>
              <w:t>MSG SARR</w:t>
            </w:r>
          </w:p>
        </w:tc>
        <w:tc>
          <w:tcPr>
            <w:tcW w:w="1021" w:type="dxa"/>
          </w:tcPr>
          <w:p w:rsidR="00BD5D3D" w:rsidRPr="00EC28DA" w:rsidRDefault="00BD5D3D" w:rsidP="007F7962">
            <w:pPr>
              <w:pStyle w:val="Tablehead"/>
              <w:spacing w:before="60" w:after="60"/>
              <w:ind w:left="-57" w:right="-57"/>
              <w:rPr>
                <w:sz w:val="18"/>
                <w:szCs w:val="18"/>
              </w:rPr>
            </w:pPr>
            <w:r w:rsidRPr="00EC28DA">
              <w:rPr>
                <w:sz w:val="18"/>
                <w:szCs w:val="18"/>
              </w:rPr>
              <w:t xml:space="preserve">GALILEO </w:t>
            </w:r>
            <w:r w:rsidRPr="00EC28DA">
              <w:rPr>
                <w:sz w:val="18"/>
                <w:szCs w:val="18"/>
              </w:rPr>
              <w:br/>
              <w:t>SARR</w:t>
            </w:r>
          </w:p>
        </w:tc>
      </w:tr>
      <w:tr w:rsidR="00BD5D3D" w:rsidRPr="00EC28DA" w:rsidTr="00BB31F1">
        <w:trPr>
          <w:jc w:val="center"/>
        </w:trPr>
        <w:tc>
          <w:tcPr>
            <w:tcW w:w="2833" w:type="dxa"/>
          </w:tcPr>
          <w:p w:rsidR="00BD5D3D" w:rsidRPr="00EC28DA" w:rsidRDefault="00BD5D3D" w:rsidP="007F7962">
            <w:pPr>
              <w:pStyle w:val="Tablehead"/>
              <w:spacing w:before="60" w:after="60"/>
              <w:rPr>
                <w:sz w:val="18"/>
                <w:szCs w:val="18"/>
              </w:rPr>
            </w:pPr>
            <w:r w:rsidRPr="00EC28DA">
              <w:rPr>
                <w:sz w:val="18"/>
                <w:szCs w:val="18"/>
              </w:rPr>
              <w:t>Parameter, unit</w:t>
            </w:r>
          </w:p>
        </w:tc>
        <w:tc>
          <w:tcPr>
            <w:tcW w:w="679" w:type="dxa"/>
            <w:tcBorders>
              <w:bottom w:val="single" w:sz="4" w:space="0" w:color="auto"/>
            </w:tcBorders>
          </w:tcPr>
          <w:p w:rsidR="00BD5D3D" w:rsidRPr="00EC28DA" w:rsidRDefault="00BD5D3D" w:rsidP="007F7962">
            <w:pPr>
              <w:pStyle w:val="Tablehead"/>
              <w:spacing w:before="60" w:after="60"/>
              <w:rPr>
                <w:sz w:val="18"/>
                <w:szCs w:val="18"/>
              </w:rPr>
            </w:pPr>
            <w:r w:rsidRPr="00EC28DA">
              <w:rPr>
                <w:sz w:val="18"/>
                <w:szCs w:val="18"/>
              </w:rPr>
              <w:t xml:space="preserve">See </w:t>
            </w:r>
            <w:r w:rsidR="007F7962" w:rsidRPr="00EC28DA">
              <w:rPr>
                <w:sz w:val="18"/>
                <w:szCs w:val="18"/>
              </w:rPr>
              <w:t>N</w:t>
            </w:r>
            <w:r w:rsidRPr="00EC28DA">
              <w:rPr>
                <w:sz w:val="18"/>
                <w:szCs w:val="18"/>
              </w:rPr>
              <w:t>ote</w:t>
            </w:r>
          </w:p>
        </w:tc>
        <w:tc>
          <w:tcPr>
            <w:tcW w:w="1021" w:type="dxa"/>
            <w:tcBorders>
              <w:bottom w:val="single" w:sz="4" w:space="0" w:color="auto"/>
            </w:tcBorders>
          </w:tcPr>
          <w:p w:rsidR="00BD5D3D" w:rsidRPr="00EC28DA" w:rsidRDefault="00BD5D3D"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c>
          <w:tcPr>
            <w:tcW w:w="1021" w:type="dxa"/>
            <w:tcBorders>
              <w:bottom w:val="single" w:sz="4" w:space="0" w:color="auto"/>
            </w:tcBorders>
          </w:tcPr>
          <w:p w:rsidR="00BD5D3D" w:rsidRPr="00EC28DA" w:rsidRDefault="00BD5D3D"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c>
          <w:tcPr>
            <w:tcW w:w="1021" w:type="dxa"/>
            <w:tcBorders>
              <w:bottom w:val="single" w:sz="4" w:space="0" w:color="auto"/>
            </w:tcBorders>
          </w:tcPr>
          <w:p w:rsidR="00BD5D3D" w:rsidRPr="00EC28DA" w:rsidRDefault="00BD5D3D"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c>
          <w:tcPr>
            <w:tcW w:w="1021" w:type="dxa"/>
            <w:tcBorders>
              <w:bottom w:val="single" w:sz="4" w:space="0" w:color="auto"/>
            </w:tcBorders>
          </w:tcPr>
          <w:p w:rsidR="00BD5D3D" w:rsidRPr="00EC28DA" w:rsidRDefault="00BD5D3D"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c>
          <w:tcPr>
            <w:tcW w:w="1021" w:type="dxa"/>
            <w:tcBorders>
              <w:bottom w:val="single" w:sz="4" w:space="0" w:color="auto"/>
            </w:tcBorders>
          </w:tcPr>
          <w:p w:rsidR="00BD5D3D" w:rsidRPr="00EC28DA" w:rsidRDefault="00BD5D3D"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c>
          <w:tcPr>
            <w:tcW w:w="1021" w:type="dxa"/>
            <w:tcBorders>
              <w:bottom w:val="single" w:sz="4" w:space="0" w:color="auto"/>
            </w:tcBorders>
          </w:tcPr>
          <w:p w:rsidR="00BD5D3D" w:rsidRPr="00EC28DA" w:rsidRDefault="00BD5D3D" w:rsidP="007F7962">
            <w:pPr>
              <w:pStyle w:val="Tablehead"/>
              <w:spacing w:before="60" w:after="60"/>
              <w:rPr>
                <w:sz w:val="18"/>
                <w:szCs w:val="18"/>
              </w:rPr>
            </w:pPr>
            <w:r w:rsidRPr="00EC28DA">
              <w:rPr>
                <w:sz w:val="18"/>
                <w:szCs w:val="18"/>
              </w:rPr>
              <w:t>Low</w:t>
            </w:r>
            <w:r>
              <w:rPr>
                <w:sz w:val="18"/>
                <w:szCs w:val="18"/>
              </w:rPr>
              <w:t>-</w:t>
            </w:r>
            <w:r w:rsidRPr="00EC28DA">
              <w:rPr>
                <w:sz w:val="18"/>
                <w:szCs w:val="18"/>
              </w:rPr>
              <w:t>level case</w:t>
            </w:r>
          </w:p>
        </w:tc>
      </w:tr>
      <w:tr w:rsidR="00BD5D3D" w:rsidRPr="00EC28DA" w:rsidTr="00BD5D3D">
        <w:trPr>
          <w:jc w:val="center"/>
        </w:trPr>
        <w:tc>
          <w:tcPr>
            <w:tcW w:w="2833" w:type="dxa"/>
            <w:tcBorders>
              <w:top w:val="single" w:sz="4" w:space="0" w:color="auto"/>
              <w:left w:val="single" w:sz="4" w:space="0" w:color="auto"/>
              <w:bottom w:val="single" w:sz="4" w:space="0" w:color="auto"/>
              <w:right w:val="single" w:sz="4" w:space="0" w:color="auto"/>
            </w:tcBorders>
          </w:tcPr>
          <w:p w:rsidR="00BD5D3D" w:rsidRPr="00BD5D3D" w:rsidRDefault="00BD5D3D" w:rsidP="007F7962">
            <w:pPr>
              <w:pStyle w:val="Tablehead"/>
              <w:spacing w:before="40" w:after="40"/>
              <w:rPr>
                <w:sz w:val="18"/>
                <w:szCs w:val="18"/>
              </w:rPr>
            </w:pPr>
            <w:r w:rsidRPr="00BD5D3D">
              <w:rPr>
                <w:sz w:val="18"/>
                <w:szCs w:val="18"/>
              </w:rPr>
              <w:t>Space-to-Earth downlink</w:t>
            </w:r>
          </w:p>
        </w:tc>
        <w:tc>
          <w:tcPr>
            <w:tcW w:w="679" w:type="dxa"/>
            <w:tcBorders>
              <w:top w:val="single" w:sz="4" w:space="0" w:color="auto"/>
              <w:left w:val="single" w:sz="4" w:space="0" w:color="auto"/>
              <w:bottom w:val="single" w:sz="4" w:space="0" w:color="auto"/>
              <w:right w:val="single" w:sz="4" w:space="0" w:color="auto"/>
            </w:tcBorders>
          </w:tcPr>
          <w:p w:rsidR="00BD5D3D" w:rsidRPr="00EC28DA" w:rsidRDefault="00BD5D3D" w:rsidP="007F7962">
            <w:pPr>
              <w:pStyle w:val="Tablehead"/>
              <w:spacing w:before="40" w:after="40"/>
              <w:rPr>
                <w:sz w:val="18"/>
                <w:szCs w:val="18"/>
              </w:rPr>
            </w:pPr>
          </w:p>
        </w:tc>
        <w:tc>
          <w:tcPr>
            <w:tcW w:w="1021" w:type="dxa"/>
            <w:tcBorders>
              <w:top w:val="single" w:sz="4" w:space="0" w:color="auto"/>
              <w:left w:val="single" w:sz="4" w:space="0" w:color="auto"/>
              <w:bottom w:val="single" w:sz="4" w:space="0" w:color="auto"/>
              <w:right w:val="single" w:sz="4" w:space="0" w:color="auto"/>
            </w:tcBorders>
          </w:tcPr>
          <w:p w:rsidR="00BD5D3D" w:rsidRPr="00EC28DA" w:rsidRDefault="00BD5D3D" w:rsidP="007F7962">
            <w:pPr>
              <w:pStyle w:val="Tablehead"/>
              <w:spacing w:before="40" w:after="40"/>
              <w:rPr>
                <w:sz w:val="18"/>
                <w:szCs w:val="18"/>
              </w:rPr>
            </w:pPr>
          </w:p>
        </w:tc>
        <w:tc>
          <w:tcPr>
            <w:tcW w:w="1021" w:type="dxa"/>
            <w:tcBorders>
              <w:top w:val="single" w:sz="4" w:space="0" w:color="auto"/>
              <w:left w:val="single" w:sz="4" w:space="0" w:color="auto"/>
              <w:bottom w:val="single" w:sz="4" w:space="0" w:color="auto"/>
              <w:right w:val="single" w:sz="4" w:space="0" w:color="auto"/>
            </w:tcBorders>
          </w:tcPr>
          <w:p w:rsidR="00BD5D3D" w:rsidRPr="00EC28DA" w:rsidRDefault="00BD5D3D" w:rsidP="007F7962">
            <w:pPr>
              <w:pStyle w:val="Tablehead"/>
              <w:spacing w:before="40" w:after="40"/>
              <w:rPr>
                <w:sz w:val="18"/>
                <w:szCs w:val="18"/>
              </w:rPr>
            </w:pPr>
          </w:p>
        </w:tc>
        <w:tc>
          <w:tcPr>
            <w:tcW w:w="1021" w:type="dxa"/>
            <w:tcBorders>
              <w:top w:val="single" w:sz="4" w:space="0" w:color="auto"/>
              <w:left w:val="single" w:sz="4" w:space="0" w:color="auto"/>
              <w:bottom w:val="single" w:sz="4" w:space="0" w:color="auto"/>
              <w:right w:val="single" w:sz="4" w:space="0" w:color="auto"/>
            </w:tcBorders>
          </w:tcPr>
          <w:p w:rsidR="00BD5D3D" w:rsidRPr="00EC28DA" w:rsidRDefault="00BD5D3D" w:rsidP="007F7962">
            <w:pPr>
              <w:pStyle w:val="Tablehead"/>
              <w:spacing w:before="40" w:after="40"/>
              <w:rPr>
                <w:sz w:val="18"/>
                <w:szCs w:val="18"/>
              </w:rPr>
            </w:pPr>
          </w:p>
        </w:tc>
        <w:tc>
          <w:tcPr>
            <w:tcW w:w="1021" w:type="dxa"/>
            <w:tcBorders>
              <w:top w:val="single" w:sz="4" w:space="0" w:color="auto"/>
              <w:left w:val="single" w:sz="4" w:space="0" w:color="auto"/>
              <w:bottom w:val="single" w:sz="4" w:space="0" w:color="auto"/>
              <w:right w:val="single" w:sz="4" w:space="0" w:color="auto"/>
            </w:tcBorders>
          </w:tcPr>
          <w:p w:rsidR="00BD5D3D" w:rsidRPr="00EC28DA" w:rsidRDefault="00BD5D3D" w:rsidP="007F7962">
            <w:pPr>
              <w:pStyle w:val="Tablehead"/>
              <w:spacing w:before="40" w:after="40"/>
              <w:rPr>
                <w:sz w:val="18"/>
                <w:szCs w:val="18"/>
              </w:rPr>
            </w:pPr>
          </w:p>
        </w:tc>
        <w:tc>
          <w:tcPr>
            <w:tcW w:w="1021" w:type="dxa"/>
            <w:tcBorders>
              <w:top w:val="single" w:sz="4" w:space="0" w:color="auto"/>
              <w:left w:val="single" w:sz="4" w:space="0" w:color="auto"/>
              <w:bottom w:val="single" w:sz="4" w:space="0" w:color="auto"/>
              <w:right w:val="single" w:sz="4" w:space="0" w:color="auto"/>
            </w:tcBorders>
          </w:tcPr>
          <w:p w:rsidR="00BD5D3D" w:rsidRPr="00EC28DA" w:rsidRDefault="00BD5D3D" w:rsidP="007F7962">
            <w:pPr>
              <w:pStyle w:val="Tablehead"/>
              <w:spacing w:before="40" w:after="40"/>
              <w:rPr>
                <w:sz w:val="18"/>
                <w:szCs w:val="18"/>
              </w:rPr>
            </w:pPr>
          </w:p>
        </w:tc>
        <w:tc>
          <w:tcPr>
            <w:tcW w:w="1021" w:type="dxa"/>
            <w:tcBorders>
              <w:top w:val="single" w:sz="4" w:space="0" w:color="auto"/>
              <w:left w:val="single" w:sz="4" w:space="0" w:color="auto"/>
              <w:bottom w:val="single" w:sz="4" w:space="0" w:color="auto"/>
              <w:right w:val="single" w:sz="4" w:space="0" w:color="auto"/>
            </w:tcBorders>
          </w:tcPr>
          <w:p w:rsidR="00BD5D3D" w:rsidRPr="00EC28DA" w:rsidRDefault="00BD5D3D" w:rsidP="007F7962">
            <w:pPr>
              <w:pStyle w:val="Tablehead"/>
              <w:spacing w:before="40" w:after="40"/>
              <w:rPr>
                <w:sz w:val="18"/>
                <w:szCs w:val="18"/>
              </w:rPr>
            </w:pPr>
          </w:p>
        </w:tc>
      </w:tr>
      <w:tr w:rsidR="00141723" w:rsidRPr="00EC28DA" w:rsidTr="00141723">
        <w:trPr>
          <w:jc w:val="center"/>
        </w:trPr>
        <w:tc>
          <w:tcPr>
            <w:tcW w:w="2833" w:type="dxa"/>
          </w:tcPr>
          <w:p w:rsidR="00141723" w:rsidRPr="00141723" w:rsidRDefault="00141723" w:rsidP="00BD5D3D">
            <w:pPr>
              <w:pStyle w:val="Tabletext"/>
              <w:jc w:val="left"/>
              <w:rPr>
                <w:sz w:val="18"/>
                <w:szCs w:val="18"/>
              </w:rPr>
            </w:pPr>
            <w:r w:rsidRPr="00141723">
              <w:rPr>
                <w:sz w:val="18"/>
                <w:szCs w:val="18"/>
              </w:rPr>
              <w:t xml:space="preserve">Available </w:t>
            </w:r>
            <w:r w:rsidRPr="00141723">
              <w:rPr>
                <w:i/>
                <w:iCs/>
                <w:sz w:val="18"/>
                <w:szCs w:val="18"/>
              </w:rPr>
              <w:t>E</w:t>
            </w:r>
            <w:r w:rsidRPr="00141723">
              <w:rPr>
                <w:i/>
                <w:iCs/>
                <w:sz w:val="24"/>
                <w:szCs w:val="24"/>
                <w:vertAlign w:val="subscript"/>
              </w:rPr>
              <w:t>b</w:t>
            </w:r>
            <w:r w:rsidRPr="00141723">
              <w:rPr>
                <w:sz w:val="18"/>
                <w:szCs w:val="18"/>
              </w:rPr>
              <w:t>/</w:t>
            </w:r>
            <w:r w:rsidRPr="00141723">
              <w:rPr>
                <w:i/>
                <w:iCs/>
              </w:rPr>
              <w:t>N</w:t>
            </w:r>
            <w:r w:rsidRPr="00141723">
              <w:rPr>
                <w:vertAlign w:val="subscript"/>
              </w:rPr>
              <w:t>0</w:t>
            </w:r>
            <w:r>
              <w:rPr>
                <w:sz w:val="18"/>
                <w:szCs w:val="18"/>
              </w:rPr>
              <w:t xml:space="preserve"> (</w:t>
            </w:r>
            <w:r w:rsidRPr="00141723">
              <w:rPr>
                <w:sz w:val="18"/>
                <w:szCs w:val="18"/>
              </w:rPr>
              <w:t>dB</w:t>
            </w:r>
            <w:r>
              <w:rPr>
                <w:sz w:val="18"/>
                <w:szCs w:val="18"/>
              </w:rPr>
              <w:t>)</w:t>
            </w:r>
          </w:p>
        </w:tc>
        <w:tc>
          <w:tcPr>
            <w:tcW w:w="679" w:type="dxa"/>
          </w:tcPr>
          <w:p w:rsidR="00141723" w:rsidRPr="00EC28DA" w:rsidRDefault="00141723" w:rsidP="00141723">
            <w:pPr>
              <w:pStyle w:val="Tabletext"/>
              <w:jc w:val="center"/>
              <w:rPr>
                <w:sz w:val="18"/>
                <w:szCs w:val="18"/>
              </w:rPr>
            </w:pPr>
          </w:p>
        </w:tc>
        <w:tc>
          <w:tcPr>
            <w:tcW w:w="1021" w:type="dxa"/>
          </w:tcPr>
          <w:p w:rsidR="00141723" w:rsidRPr="00EC28DA" w:rsidRDefault="00141723" w:rsidP="00141723">
            <w:pPr>
              <w:pStyle w:val="Tabletext"/>
              <w:jc w:val="center"/>
              <w:rPr>
                <w:sz w:val="18"/>
                <w:szCs w:val="18"/>
              </w:rPr>
            </w:pPr>
            <w:r w:rsidRPr="00EC28DA">
              <w:rPr>
                <w:sz w:val="18"/>
                <w:szCs w:val="18"/>
              </w:rPr>
              <w:t>13.0</w:t>
            </w:r>
          </w:p>
        </w:tc>
        <w:tc>
          <w:tcPr>
            <w:tcW w:w="1021" w:type="dxa"/>
          </w:tcPr>
          <w:p w:rsidR="00141723" w:rsidRPr="00EC28DA" w:rsidRDefault="00141723" w:rsidP="00141723">
            <w:pPr>
              <w:pStyle w:val="Tabletext"/>
              <w:jc w:val="center"/>
              <w:rPr>
                <w:sz w:val="18"/>
                <w:szCs w:val="18"/>
              </w:rPr>
            </w:pPr>
            <w:r w:rsidRPr="00EC28DA">
              <w:rPr>
                <w:sz w:val="18"/>
                <w:szCs w:val="18"/>
              </w:rPr>
              <w:t>10.8</w:t>
            </w:r>
          </w:p>
        </w:tc>
        <w:tc>
          <w:tcPr>
            <w:tcW w:w="1021" w:type="dxa"/>
          </w:tcPr>
          <w:p w:rsidR="00141723" w:rsidRPr="00EC28DA" w:rsidRDefault="00141723" w:rsidP="00141723">
            <w:pPr>
              <w:pStyle w:val="Tabletext"/>
              <w:jc w:val="center"/>
              <w:rPr>
                <w:sz w:val="18"/>
                <w:szCs w:val="18"/>
              </w:rPr>
            </w:pPr>
            <w:r w:rsidRPr="00EC28DA">
              <w:rPr>
                <w:sz w:val="18"/>
                <w:szCs w:val="18"/>
              </w:rPr>
              <w:t>11.8</w:t>
            </w:r>
          </w:p>
        </w:tc>
        <w:tc>
          <w:tcPr>
            <w:tcW w:w="1021" w:type="dxa"/>
          </w:tcPr>
          <w:p w:rsidR="00141723" w:rsidRPr="00EC28DA" w:rsidRDefault="00141723" w:rsidP="00141723">
            <w:pPr>
              <w:pStyle w:val="Tabletext"/>
              <w:jc w:val="center"/>
              <w:rPr>
                <w:sz w:val="18"/>
                <w:szCs w:val="18"/>
              </w:rPr>
            </w:pPr>
            <w:r w:rsidRPr="00EC28DA">
              <w:rPr>
                <w:sz w:val="18"/>
                <w:szCs w:val="18"/>
              </w:rPr>
              <w:t>10.1</w:t>
            </w:r>
          </w:p>
        </w:tc>
        <w:tc>
          <w:tcPr>
            <w:tcW w:w="1021" w:type="dxa"/>
          </w:tcPr>
          <w:p w:rsidR="00141723" w:rsidRPr="00EC28DA" w:rsidRDefault="00141723" w:rsidP="00141723">
            <w:pPr>
              <w:pStyle w:val="Tabletext"/>
              <w:jc w:val="center"/>
              <w:rPr>
                <w:sz w:val="18"/>
                <w:szCs w:val="18"/>
              </w:rPr>
            </w:pPr>
            <w:r w:rsidRPr="00EC28DA">
              <w:rPr>
                <w:sz w:val="18"/>
                <w:szCs w:val="18"/>
              </w:rPr>
              <w:t>8.9</w:t>
            </w:r>
          </w:p>
        </w:tc>
        <w:tc>
          <w:tcPr>
            <w:tcW w:w="1021" w:type="dxa"/>
          </w:tcPr>
          <w:p w:rsidR="00141723" w:rsidRPr="00EC28DA" w:rsidRDefault="00141723" w:rsidP="00141723">
            <w:pPr>
              <w:pStyle w:val="Tabletext"/>
              <w:jc w:val="center"/>
              <w:rPr>
                <w:sz w:val="18"/>
                <w:szCs w:val="18"/>
              </w:rPr>
            </w:pPr>
            <w:r w:rsidRPr="00EC28DA">
              <w:rPr>
                <w:sz w:val="18"/>
                <w:szCs w:val="18"/>
              </w:rPr>
              <w:t>9.9</w:t>
            </w:r>
          </w:p>
        </w:tc>
      </w:tr>
      <w:tr w:rsidR="00141723" w:rsidRPr="00EC28DA" w:rsidTr="007F7962">
        <w:trPr>
          <w:jc w:val="center"/>
        </w:trPr>
        <w:tc>
          <w:tcPr>
            <w:tcW w:w="2833" w:type="dxa"/>
          </w:tcPr>
          <w:p w:rsidR="00141723" w:rsidRPr="00141723" w:rsidRDefault="00141723" w:rsidP="00141723">
            <w:pPr>
              <w:pStyle w:val="Tabletext"/>
              <w:jc w:val="left"/>
              <w:rPr>
                <w:sz w:val="18"/>
                <w:szCs w:val="18"/>
              </w:rPr>
            </w:pPr>
            <w:r w:rsidRPr="00141723">
              <w:rPr>
                <w:sz w:val="18"/>
                <w:szCs w:val="18"/>
              </w:rPr>
              <w:t xml:space="preserve">Theoretical </w:t>
            </w:r>
            <w:r w:rsidRPr="00141723">
              <w:rPr>
                <w:i/>
                <w:iCs/>
                <w:sz w:val="18"/>
                <w:szCs w:val="18"/>
              </w:rPr>
              <w:t>E</w:t>
            </w:r>
            <w:r w:rsidRPr="00141723">
              <w:rPr>
                <w:i/>
                <w:iCs/>
                <w:sz w:val="24"/>
                <w:szCs w:val="24"/>
                <w:vertAlign w:val="subscript"/>
              </w:rPr>
              <w:t>b</w:t>
            </w:r>
            <w:r w:rsidRPr="00141723">
              <w:rPr>
                <w:sz w:val="18"/>
                <w:szCs w:val="18"/>
              </w:rPr>
              <w:t>/</w:t>
            </w:r>
            <w:r w:rsidRPr="00141723">
              <w:rPr>
                <w:i/>
                <w:iCs/>
              </w:rPr>
              <w:t>N</w:t>
            </w:r>
            <w:r w:rsidRPr="00141723">
              <w:rPr>
                <w:vertAlign w:val="subscript"/>
              </w:rPr>
              <w:t>0</w:t>
            </w:r>
            <w:r w:rsidRPr="00141723">
              <w:rPr>
                <w:sz w:val="18"/>
                <w:szCs w:val="18"/>
              </w:rPr>
              <w:t xml:space="preserve"> for 10</w:t>
            </w:r>
            <w:r w:rsidRPr="00141723">
              <w:rPr>
                <w:bCs/>
                <w:vertAlign w:val="superscript"/>
              </w:rPr>
              <w:t>−</w:t>
            </w:r>
            <w:r w:rsidRPr="00141723">
              <w:rPr>
                <w:sz w:val="18"/>
                <w:szCs w:val="18"/>
                <w:vertAlign w:val="superscript"/>
              </w:rPr>
              <w:t>6</w:t>
            </w:r>
            <w:r w:rsidRPr="00141723">
              <w:rPr>
                <w:sz w:val="18"/>
                <w:szCs w:val="18"/>
              </w:rPr>
              <w:t xml:space="preserve"> and 5</w:t>
            </w:r>
            <w:r w:rsidRPr="00141723">
              <w:rPr>
                <w:bCs/>
              </w:rPr>
              <w:t> </w:t>
            </w:r>
            <w:r w:rsidRPr="00141723">
              <w:rPr>
                <w:bCs/>
                <w:szCs w:val="24"/>
              </w:rPr>
              <w:sym w:font="Symbol" w:char="F0B4"/>
            </w:r>
            <w:r w:rsidRPr="007F7962">
              <w:rPr>
                <w:bCs/>
                <w:sz w:val="18"/>
              </w:rPr>
              <w:t> 10</w:t>
            </w:r>
            <w:r w:rsidRPr="007F7962">
              <w:rPr>
                <w:bCs/>
                <w:sz w:val="18"/>
                <w:vertAlign w:val="superscript"/>
              </w:rPr>
              <w:t xml:space="preserve">−5 </w:t>
            </w:r>
            <w:r w:rsidRPr="007F7962">
              <w:rPr>
                <w:sz w:val="18"/>
                <w:szCs w:val="18"/>
              </w:rPr>
              <w:t>BERs (dB)</w:t>
            </w:r>
          </w:p>
        </w:tc>
        <w:tc>
          <w:tcPr>
            <w:tcW w:w="679" w:type="dxa"/>
            <w:vAlign w:val="center"/>
          </w:tcPr>
          <w:p w:rsidR="00141723" w:rsidRPr="00EC28DA" w:rsidRDefault="00141723" w:rsidP="00141723">
            <w:pPr>
              <w:pStyle w:val="Tabletext"/>
              <w:jc w:val="center"/>
              <w:rPr>
                <w:sz w:val="18"/>
                <w:szCs w:val="18"/>
              </w:rPr>
            </w:pPr>
            <w:r w:rsidRPr="00EC28DA">
              <w:rPr>
                <w:sz w:val="18"/>
                <w:szCs w:val="18"/>
              </w:rPr>
              <w:t>20</w:t>
            </w:r>
          </w:p>
        </w:tc>
        <w:tc>
          <w:tcPr>
            <w:tcW w:w="1021" w:type="dxa"/>
            <w:vAlign w:val="center"/>
          </w:tcPr>
          <w:p w:rsidR="00141723" w:rsidRPr="00EC28DA" w:rsidRDefault="00141723" w:rsidP="00141723">
            <w:pPr>
              <w:pStyle w:val="Tabletext"/>
              <w:jc w:val="center"/>
              <w:rPr>
                <w:sz w:val="18"/>
                <w:szCs w:val="18"/>
              </w:rPr>
            </w:pPr>
            <w:r w:rsidRPr="00EC28DA">
              <w:rPr>
                <w:sz w:val="18"/>
                <w:szCs w:val="18"/>
              </w:rPr>
              <w:t>10.6</w:t>
            </w:r>
          </w:p>
        </w:tc>
        <w:tc>
          <w:tcPr>
            <w:tcW w:w="5105" w:type="dxa"/>
            <w:gridSpan w:val="5"/>
            <w:vAlign w:val="center"/>
          </w:tcPr>
          <w:p w:rsidR="00141723" w:rsidRPr="00EC28DA" w:rsidRDefault="00141723" w:rsidP="00141723">
            <w:pPr>
              <w:pStyle w:val="Tabletext"/>
              <w:jc w:val="center"/>
              <w:rPr>
                <w:sz w:val="18"/>
                <w:szCs w:val="18"/>
              </w:rPr>
            </w:pPr>
            <w:r w:rsidRPr="00EC28DA">
              <w:rPr>
                <w:sz w:val="18"/>
                <w:szCs w:val="18"/>
              </w:rPr>
              <w:t>8.8</w:t>
            </w:r>
          </w:p>
        </w:tc>
      </w:tr>
      <w:tr w:rsidR="00141723" w:rsidRPr="00EC28DA" w:rsidTr="00141723">
        <w:trPr>
          <w:jc w:val="center"/>
        </w:trPr>
        <w:tc>
          <w:tcPr>
            <w:tcW w:w="2833" w:type="dxa"/>
            <w:tcBorders>
              <w:bottom w:val="single" w:sz="4" w:space="0" w:color="auto"/>
            </w:tcBorders>
          </w:tcPr>
          <w:p w:rsidR="00141723" w:rsidRPr="00141723" w:rsidRDefault="00141723" w:rsidP="00141723">
            <w:pPr>
              <w:pStyle w:val="Tabletext"/>
              <w:jc w:val="left"/>
              <w:rPr>
                <w:sz w:val="18"/>
                <w:szCs w:val="18"/>
              </w:rPr>
            </w:pPr>
            <w:r w:rsidRPr="00141723">
              <w:rPr>
                <w:sz w:val="18"/>
                <w:szCs w:val="18"/>
              </w:rPr>
              <w:t>Margin</w:t>
            </w:r>
            <w:r>
              <w:rPr>
                <w:sz w:val="18"/>
                <w:szCs w:val="18"/>
              </w:rPr>
              <w:t xml:space="preserve"> (</w:t>
            </w:r>
            <w:r w:rsidRPr="00141723">
              <w:rPr>
                <w:sz w:val="18"/>
                <w:szCs w:val="18"/>
              </w:rPr>
              <w:t>dB</w:t>
            </w:r>
            <w:r>
              <w:rPr>
                <w:sz w:val="18"/>
                <w:szCs w:val="18"/>
              </w:rPr>
              <w:t>)</w:t>
            </w:r>
          </w:p>
        </w:tc>
        <w:tc>
          <w:tcPr>
            <w:tcW w:w="679"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21</w:t>
            </w:r>
          </w:p>
        </w:tc>
        <w:tc>
          <w:tcPr>
            <w:tcW w:w="1021"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2.4</w:t>
            </w:r>
          </w:p>
        </w:tc>
        <w:tc>
          <w:tcPr>
            <w:tcW w:w="1021"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2.0</w:t>
            </w:r>
          </w:p>
        </w:tc>
        <w:tc>
          <w:tcPr>
            <w:tcW w:w="1021"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3.0</w:t>
            </w:r>
          </w:p>
        </w:tc>
        <w:tc>
          <w:tcPr>
            <w:tcW w:w="1021"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1.3</w:t>
            </w:r>
          </w:p>
        </w:tc>
        <w:tc>
          <w:tcPr>
            <w:tcW w:w="1021"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0.1</w:t>
            </w:r>
          </w:p>
        </w:tc>
        <w:tc>
          <w:tcPr>
            <w:tcW w:w="1021" w:type="dxa"/>
            <w:tcBorders>
              <w:bottom w:val="single" w:sz="4" w:space="0" w:color="auto"/>
            </w:tcBorders>
          </w:tcPr>
          <w:p w:rsidR="00141723" w:rsidRPr="00EC28DA" w:rsidRDefault="00141723" w:rsidP="00141723">
            <w:pPr>
              <w:pStyle w:val="Tabletext"/>
              <w:jc w:val="center"/>
              <w:rPr>
                <w:sz w:val="18"/>
                <w:szCs w:val="18"/>
              </w:rPr>
            </w:pPr>
            <w:r w:rsidRPr="00EC28DA">
              <w:rPr>
                <w:sz w:val="18"/>
                <w:szCs w:val="18"/>
              </w:rPr>
              <w:t>1.1</w:t>
            </w:r>
          </w:p>
        </w:tc>
      </w:tr>
      <w:tr w:rsidR="00141723" w:rsidRPr="00EC28DA" w:rsidTr="00141723">
        <w:trPr>
          <w:jc w:val="center"/>
        </w:trPr>
        <w:tc>
          <w:tcPr>
            <w:tcW w:w="9638" w:type="dxa"/>
            <w:gridSpan w:val="8"/>
            <w:tcBorders>
              <w:left w:val="nil"/>
              <w:bottom w:val="nil"/>
              <w:right w:val="nil"/>
            </w:tcBorders>
          </w:tcPr>
          <w:p w:rsidR="00141723" w:rsidRDefault="00141723" w:rsidP="00141723">
            <w:pPr>
              <w:pStyle w:val="Tablelegend"/>
              <w:rPr>
                <w:sz w:val="18"/>
              </w:rPr>
            </w:pPr>
            <w:r>
              <w:rPr>
                <w:i/>
                <w:iCs/>
                <w:sz w:val="18"/>
              </w:rPr>
              <w:t>Notes relating to Table 2</w:t>
            </w:r>
            <w:r w:rsidRPr="00141723">
              <w:rPr>
                <w:sz w:val="18"/>
              </w:rPr>
              <w:t>:</w:t>
            </w:r>
          </w:p>
          <w:p w:rsidR="00141723" w:rsidRPr="00141723" w:rsidRDefault="00141723" w:rsidP="007F7962">
            <w:pPr>
              <w:pStyle w:val="Tablelegend"/>
              <w:spacing w:before="60"/>
              <w:rPr>
                <w:sz w:val="18"/>
              </w:rPr>
            </w:pPr>
            <w:r w:rsidRPr="00141723">
              <w:rPr>
                <w:sz w:val="18"/>
              </w:rPr>
              <w:t>1</w:t>
            </w:r>
            <w:r w:rsidRPr="00141723">
              <w:rPr>
                <w:sz w:val="18"/>
              </w:rPr>
              <w:tab/>
              <w:t xml:space="preserve">Nominal 1 dB bandwidth of satellite receiver, centred at 406.05 MHz. </w:t>
            </w:r>
          </w:p>
          <w:p w:rsidR="00141723" w:rsidRPr="00141723" w:rsidRDefault="00141723" w:rsidP="007F7962">
            <w:pPr>
              <w:pStyle w:val="Tablelegend"/>
              <w:spacing w:before="60"/>
              <w:rPr>
                <w:sz w:val="18"/>
              </w:rPr>
            </w:pPr>
            <w:r w:rsidRPr="00141723">
              <w:rPr>
                <w:sz w:val="18"/>
              </w:rPr>
              <w:t>2</w:t>
            </w:r>
            <w:r w:rsidRPr="00141723">
              <w:rPr>
                <w:sz w:val="18"/>
              </w:rPr>
              <w:tab/>
              <w:t>Beacon frequencies are within the range 406.022 to 406.079 MHz.</w:t>
            </w:r>
          </w:p>
          <w:p w:rsidR="00141723" w:rsidRPr="00141723" w:rsidRDefault="00141723" w:rsidP="007F7962">
            <w:pPr>
              <w:pStyle w:val="Tablelegend"/>
              <w:spacing w:before="60"/>
              <w:rPr>
                <w:sz w:val="18"/>
              </w:rPr>
            </w:pPr>
            <w:r w:rsidRPr="00141723">
              <w:rPr>
                <w:sz w:val="18"/>
              </w:rPr>
              <w:t>3</w:t>
            </w:r>
            <w:r w:rsidRPr="00141723">
              <w:rPr>
                <w:sz w:val="18"/>
              </w:rPr>
              <w:tab/>
              <w:t>A beacon transmitter can range from 5 to 9 dBW, so this weak beacon (5d BW) beacon is used for the link budget calculation, while two additional nominal 406 MHz beacons are also assumed to be transmitting bursts simultaneously, each at 40 degree elevations to the satellite, with 7 dBW, 0 dB antenna gain, 1 dB emission loss, so 6 dBW e.i.r.p. uplink (this additional beacon loading affects the power sharing value of the satellite transmitter).</w:t>
            </w:r>
          </w:p>
          <w:p w:rsidR="00141723" w:rsidRPr="00141723" w:rsidRDefault="00141723" w:rsidP="007F7962">
            <w:pPr>
              <w:pStyle w:val="Tablelegend"/>
              <w:spacing w:before="60"/>
              <w:rPr>
                <w:sz w:val="18"/>
              </w:rPr>
            </w:pPr>
            <w:r w:rsidRPr="00141723">
              <w:rPr>
                <w:sz w:val="18"/>
              </w:rPr>
              <w:t>4</w:t>
            </w:r>
            <w:r w:rsidRPr="00141723">
              <w:rPr>
                <w:sz w:val="18"/>
              </w:rPr>
              <w:tab/>
              <w:t>Transmit antenna is linearly polarized.</w:t>
            </w:r>
          </w:p>
          <w:p w:rsidR="00141723" w:rsidRPr="00141723" w:rsidRDefault="00141723" w:rsidP="007F7962">
            <w:pPr>
              <w:pStyle w:val="Tablelegend"/>
              <w:spacing w:before="60"/>
              <w:rPr>
                <w:sz w:val="18"/>
              </w:rPr>
            </w:pPr>
            <w:r w:rsidRPr="00141723">
              <w:rPr>
                <w:sz w:val="18"/>
              </w:rPr>
              <w:t>5</w:t>
            </w:r>
            <w:r w:rsidRPr="00141723">
              <w:rPr>
                <w:sz w:val="18"/>
              </w:rPr>
              <w:tab/>
              <w:t>The 5</w:t>
            </w:r>
            <w:r w:rsidR="007F7962">
              <w:rPr>
                <w:sz w:val="18"/>
              </w:rPr>
              <w:t>°</w:t>
            </w:r>
            <w:r w:rsidRPr="00141723">
              <w:rPr>
                <w:sz w:val="18"/>
              </w:rPr>
              <w:t xml:space="preserve"> elevation from the beacon to the satellite is the nominal edge of coverage, and the nominal altitude of the GEOSAR satellites is </w:t>
            </w:r>
            <w:r w:rsidRPr="00141723">
              <w:rPr>
                <w:sz w:val="18"/>
                <w:szCs w:val="24"/>
              </w:rPr>
              <w:t xml:space="preserve">35 786 km, </w:t>
            </w:r>
            <w:r w:rsidRPr="00141723">
              <w:rPr>
                <w:sz w:val="18"/>
              </w:rPr>
              <w:t>850 km for Sarsat satellites (ranges from 830 to 870 km) and 1 000 km for Cospas satellites.</w:t>
            </w:r>
          </w:p>
          <w:p w:rsidR="00141723" w:rsidRPr="00141723" w:rsidRDefault="00141723" w:rsidP="007F7962">
            <w:pPr>
              <w:pStyle w:val="Tablelegend"/>
              <w:spacing w:before="60"/>
              <w:rPr>
                <w:sz w:val="18"/>
              </w:rPr>
            </w:pPr>
            <w:r w:rsidRPr="00141723">
              <w:rPr>
                <w:sz w:val="18"/>
              </w:rPr>
              <w:t>6</w:t>
            </w:r>
            <w:r w:rsidRPr="00141723">
              <w:rPr>
                <w:sz w:val="18"/>
              </w:rPr>
              <w:tab/>
              <w:t xml:space="preserve">Polarization loss due to linear polarization of the beacon antenna and fading of the uplink signal. Polarization loss of the LEOSAR link is included in the antenna gain, and is therefore reflected in the </w:t>
            </w:r>
            <w:r w:rsidRPr="00141723">
              <w:rPr>
                <w:i/>
                <w:iCs/>
                <w:sz w:val="18"/>
              </w:rPr>
              <w:t>G</w:t>
            </w:r>
            <w:r w:rsidRPr="00141723">
              <w:rPr>
                <w:sz w:val="18"/>
              </w:rPr>
              <w:t>/</w:t>
            </w:r>
            <w:r w:rsidRPr="00141723">
              <w:rPr>
                <w:i/>
                <w:iCs/>
                <w:sz w:val="18"/>
              </w:rPr>
              <w:t>T</w:t>
            </w:r>
            <w:r w:rsidRPr="00141723">
              <w:rPr>
                <w:sz w:val="18"/>
              </w:rPr>
              <w:t xml:space="preserve"> of the satellite Rx antenna.</w:t>
            </w:r>
          </w:p>
          <w:p w:rsidR="00141723" w:rsidRPr="00141723" w:rsidRDefault="00141723" w:rsidP="007F7962">
            <w:pPr>
              <w:pStyle w:val="Tablelegend"/>
              <w:spacing w:before="60"/>
              <w:ind w:left="567" w:hanging="567"/>
              <w:rPr>
                <w:sz w:val="18"/>
              </w:rPr>
            </w:pPr>
            <w:r>
              <w:rPr>
                <w:sz w:val="18"/>
              </w:rPr>
              <w:tab/>
            </w:r>
            <w:r w:rsidRPr="00141723">
              <w:rPr>
                <w:sz w:val="18"/>
              </w:rPr>
              <w:t>6a</w:t>
            </w:r>
            <w:r w:rsidRPr="00141723">
              <w:rPr>
                <w:sz w:val="18"/>
              </w:rPr>
              <w:tab/>
              <w:t xml:space="preserve">Allowance of 2.5 dB for fading of the signal (dominated by scintillation) is provided for the link (see </w:t>
            </w:r>
            <w:r w:rsidRPr="00141723" w:rsidDel="00A03447">
              <w:rPr>
                <w:sz w:val="18"/>
              </w:rPr>
              <w:t>D</w:t>
            </w:r>
            <w:r w:rsidRPr="00141723">
              <w:rPr>
                <w:sz w:val="18"/>
              </w:rPr>
              <w:t xml:space="preserve">ocument C/S R.012, Annex J. A </w:t>
            </w:r>
            <w:r w:rsidRPr="00141723" w:rsidDel="00C04ACE">
              <w:rPr>
                <w:sz w:val="18"/>
              </w:rPr>
              <w:t>copy of this document</w:t>
            </w:r>
            <w:r w:rsidRPr="00141723">
              <w:rPr>
                <w:sz w:val="18"/>
              </w:rPr>
              <w:t xml:space="preserve"> can be obtained free of charge from the Cospas-Sarsat secretariat website </w:t>
            </w:r>
            <w:r w:rsidRPr="00141723">
              <w:rPr>
                <w:sz w:val="18"/>
              </w:rPr>
              <w:br/>
              <w:t>(E</w:t>
            </w:r>
            <w:r w:rsidRPr="00141723">
              <w:rPr>
                <w:sz w:val="18"/>
              </w:rPr>
              <w:noBreakHyphen/>
            </w:r>
            <w:r w:rsidRPr="00141723" w:rsidDel="00BB43F3">
              <w:rPr>
                <w:sz w:val="18"/>
                <w:szCs w:val="15"/>
              </w:rPr>
              <w:t>mail:</w:t>
            </w:r>
            <w:r w:rsidRPr="00141723">
              <w:rPr>
                <w:sz w:val="18"/>
                <w:szCs w:val="15"/>
              </w:rPr>
              <w:t xml:space="preserve"> </w:t>
            </w:r>
            <w:hyperlink r:id="rId18" w:history="1">
              <w:r w:rsidRPr="00141723" w:rsidDel="00BB43F3">
                <w:rPr>
                  <w:rStyle w:val="Hyperlink"/>
                  <w:sz w:val="18"/>
                </w:rPr>
                <w:t>cospas_sarsat@imso.org</w:t>
              </w:r>
            </w:hyperlink>
            <w:r w:rsidRPr="00141723">
              <w:rPr>
                <w:sz w:val="18"/>
              </w:rPr>
              <w:t xml:space="preserve"> http://www.cospas-sarsat.org/)).</w:t>
            </w:r>
          </w:p>
          <w:p w:rsidR="00141723" w:rsidRPr="00141723" w:rsidRDefault="00141723" w:rsidP="007F7962">
            <w:pPr>
              <w:pStyle w:val="Tablelegend"/>
              <w:spacing w:before="60"/>
              <w:rPr>
                <w:sz w:val="18"/>
              </w:rPr>
            </w:pPr>
            <w:r w:rsidRPr="00141723">
              <w:rPr>
                <w:sz w:val="18"/>
              </w:rPr>
              <w:t>7</w:t>
            </w:r>
            <w:r w:rsidRPr="00141723">
              <w:rPr>
                <w:sz w:val="18"/>
              </w:rPr>
              <w:tab/>
            </w:r>
            <w:r w:rsidRPr="00141723">
              <w:rPr>
                <w:i/>
                <w:iCs/>
                <w:sz w:val="18"/>
              </w:rPr>
              <w:t>G</w:t>
            </w:r>
            <w:r w:rsidRPr="00141723">
              <w:rPr>
                <w:sz w:val="18"/>
              </w:rPr>
              <w:t>/</w:t>
            </w:r>
            <w:r w:rsidRPr="00141723">
              <w:rPr>
                <w:i/>
                <w:iCs/>
                <w:sz w:val="18"/>
              </w:rPr>
              <w:t>T</w:t>
            </w:r>
            <w:r w:rsidRPr="00141723">
              <w:rPr>
                <w:sz w:val="18"/>
              </w:rPr>
              <w:t xml:space="preserve"> of the satellite 406 MHz</w:t>
            </w:r>
            <w:r w:rsidRPr="00141723">
              <w:rPr>
                <w:sz w:val="18"/>
                <w:szCs w:val="24"/>
              </w:rPr>
              <w:t xml:space="preserve"> receiver referenced to the LNA input</w:t>
            </w:r>
            <w:r w:rsidRPr="00141723">
              <w:rPr>
                <w:sz w:val="18"/>
              </w:rPr>
              <w:t>, where nominal gain and noise temperatures are:</w:t>
            </w:r>
          </w:p>
          <w:p w:rsidR="00141723" w:rsidRPr="00141723" w:rsidRDefault="00141723" w:rsidP="007F7962">
            <w:pPr>
              <w:pStyle w:val="Tablelegend"/>
              <w:spacing w:before="60"/>
              <w:rPr>
                <w:sz w:val="18"/>
              </w:rPr>
            </w:pPr>
            <w:r w:rsidRPr="00141723">
              <w:rPr>
                <w:sz w:val="18"/>
              </w:rPr>
              <w:tab/>
              <w:t xml:space="preserve">GOES: G = 7.05 dB and noise temp </w:t>
            </w:r>
            <w:r w:rsidRPr="00141723">
              <w:rPr>
                <w:sz w:val="18"/>
                <w:szCs w:val="24"/>
              </w:rPr>
              <w:t>= 359 K</w:t>
            </w:r>
            <w:r>
              <w:rPr>
                <w:sz w:val="18"/>
              </w:rPr>
              <w:t>.</w:t>
            </w:r>
          </w:p>
          <w:p w:rsidR="00141723" w:rsidRPr="00141723" w:rsidRDefault="00141723" w:rsidP="007F7962">
            <w:pPr>
              <w:pStyle w:val="Tablelegend"/>
              <w:spacing w:before="60"/>
              <w:rPr>
                <w:sz w:val="18"/>
              </w:rPr>
            </w:pPr>
            <w:r w:rsidRPr="00141723">
              <w:rPr>
                <w:sz w:val="18"/>
              </w:rPr>
              <w:tab/>
              <w:t xml:space="preserve">MSG: G = </w:t>
            </w:r>
            <w:r w:rsidRPr="00141723">
              <w:rPr>
                <w:sz w:val="18"/>
                <w:szCs w:val="24"/>
              </w:rPr>
              <w:t xml:space="preserve">3.0 dB </w:t>
            </w:r>
            <w:r w:rsidRPr="00141723">
              <w:rPr>
                <w:sz w:val="18"/>
              </w:rPr>
              <w:t xml:space="preserve">and noise temp = </w:t>
            </w:r>
            <w:r w:rsidRPr="00141723">
              <w:rPr>
                <w:sz w:val="18"/>
                <w:szCs w:val="24"/>
              </w:rPr>
              <w:t>326 K</w:t>
            </w:r>
            <w:r>
              <w:rPr>
                <w:sz w:val="18"/>
              </w:rPr>
              <w:t>.</w:t>
            </w:r>
          </w:p>
          <w:p w:rsidR="00141723" w:rsidRPr="00141723" w:rsidRDefault="00141723" w:rsidP="007F7962">
            <w:pPr>
              <w:pStyle w:val="Tablelegend"/>
              <w:spacing w:before="60"/>
              <w:rPr>
                <w:sz w:val="18"/>
              </w:rPr>
            </w:pPr>
            <w:r w:rsidRPr="00141723">
              <w:rPr>
                <w:sz w:val="18"/>
              </w:rPr>
              <w:tab/>
              <w:t>Sarsat: G = –4.0 dB and noise temp = 1 000</w:t>
            </w:r>
            <w:r w:rsidRPr="00141723">
              <w:rPr>
                <w:sz w:val="18"/>
                <w:szCs w:val="24"/>
              </w:rPr>
              <w:t> </w:t>
            </w:r>
            <w:r w:rsidRPr="00141723">
              <w:rPr>
                <w:sz w:val="18"/>
              </w:rPr>
              <w:t xml:space="preserve">K. </w:t>
            </w:r>
          </w:p>
          <w:p w:rsidR="00141723" w:rsidRPr="00141723" w:rsidRDefault="00141723" w:rsidP="007F7962">
            <w:pPr>
              <w:pStyle w:val="Tablelegend"/>
              <w:spacing w:before="60"/>
              <w:rPr>
                <w:sz w:val="18"/>
              </w:rPr>
            </w:pPr>
            <w:r w:rsidRPr="00141723">
              <w:rPr>
                <w:sz w:val="18"/>
              </w:rPr>
              <w:tab/>
              <w:t>Cospas: G = –4.0 dB and noise temp = 1 000</w:t>
            </w:r>
            <w:r w:rsidRPr="00141723">
              <w:rPr>
                <w:sz w:val="18"/>
                <w:szCs w:val="24"/>
              </w:rPr>
              <w:t> </w:t>
            </w:r>
            <w:r w:rsidRPr="00141723">
              <w:rPr>
                <w:sz w:val="18"/>
              </w:rPr>
              <w:t>K.</w:t>
            </w:r>
          </w:p>
          <w:p w:rsidR="00141723" w:rsidRPr="00141723" w:rsidRDefault="00141723" w:rsidP="007F7962">
            <w:pPr>
              <w:pStyle w:val="Tablelegend"/>
              <w:spacing w:before="60"/>
              <w:rPr>
                <w:sz w:val="18"/>
              </w:rPr>
            </w:pPr>
            <w:r w:rsidRPr="00141723">
              <w:rPr>
                <w:sz w:val="18"/>
              </w:rPr>
              <w:t>8</w:t>
            </w:r>
            <w:r w:rsidRPr="00141723">
              <w:rPr>
                <w:sz w:val="18"/>
              </w:rPr>
              <w:tab/>
              <w:t>Downlink frequency band allocated for distress and safety is 1 544-1 545 MHz.</w:t>
            </w:r>
          </w:p>
          <w:p w:rsidR="00141723" w:rsidRPr="00141723" w:rsidRDefault="00141723" w:rsidP="007F7962">
            <w:pPr>
              <w:pStyle w:val="Tablelegend"/>
              <w:spacing w:before="60"/>
              <w:rPr>
                <w:sz w:val="18"/>
              </w:rPr>
            </w:pPr>
            <w:r w:rsidRPr="00141723">
              <w:rPr>
                <w:sz w:val="18"/>
              </w:rPr>
              <w:t>9</w:t>
            </w:r>
            <w:r w:rsidRPr="00141723">
              <w:rPr>
                <w:sz w:val="18"/>
              </w:rPr>
              <w:tab/>
              <w:t>e.i.r.p. is based on satellite transmitter power and transmit antenna gain. In the cases of MSG and Galileo the e.i.r.p. for the observed beacon is given (hence all power sharing with other beacons and thermal noise is included).</w:t>
            </w:r>
          </w:p>
          <w:p w:rsidR="00141723" w:rsidRPr="00141723" w:rsidRDefault="00141723" w:rsidP="007F7962">
            <w:pPr>
              <w:pStyle w:val="Tablelegend"/>
              <w:spacing w:before="60"/>
              <w:rPr>
                <w:sz w:val="18"/>
              </w:rPr>
            </w:pPr>
            <w:r w:rsidRPr="00141723">
              <w:rPr>
                <w:sz w:val="18"/>
              </w:rPr>
              <w:t>10</w:t>
            </w:r>
            <w:r w:rsidRPr="00141723">
              <w:rPr>
                <w:sz w:val="18"/>
              </w:rPr>
              <w:tab/>
              <w:t>Power sharing loss is the fraction of the transmit e.i.r.p. allocated for this one distress beacon signal</w:t>
            </w:r>
            <w:r w:rsidR="00C90D2B">
              <w:rPr>
                <w:sz w:val="18"/>
              </w:rPr>
              <w:t xml:space="preserve">. </w:t>
            </w:r>
            <w:r w:rsidRPr="00141723">
              <w:rPr>
                <w:sz w:val="18"/>
              </w:rPr>
              <w:t>The “Power sharing loss” has been included in the item “Transmit e.i.r.p.” in cases of MSG and GALILEO.</w:t>
            </w:r>
          </w:p>
          <w:p w:rsidR="00141723" w:rsidRPr="00141723" w:rsidRDefault="00141723" w:rsidP="007F7962">
            <w:pPr>
              <w:pStyle w:val="Tablelegend"/>
              <w:spacing w:before="60"/>
              <w:rPr>
                <w:sz w:val="18"/>
              </w:rPr>
            </w:pPr>
            <w:r w:rsidRPr="00141723">
              <w:rPr>
                <w:sz w:val="18"/>
              </w:rPr>
              <w:t>11</w:t>
            </w:r>
            <w:r w:rsidRPr="00141723">
              <w:rPr>
                <w:sz w:val="18"/>
              </w:rPr>
              <w:tab/>
              <w:t>Modulation loss is the fraction of the transmit e.i.r.p. allocated to the 406 MHz repeater band on the satellite, as set by the phase modulation index (not applicable for MSG satellite and MEOSAR satellites, which have direct frequency translation).</w:t>
            </w:r>
          </w:p>
          <w:p w:rsidR="00141723" w:rsidRPr="00141723" w:rsidRDefault="00141723" w:rsidP="007F7962">
            <w:pPr>
              <w:pStyle w:val="Tablelegend"/>
              <w:spacing w:before="60"/>
              <w:rPr>
                <w:sz w:val="18"/>
              </w:rPr>
            </w:pPr>
            <w:r w:rsidRPr="00141723">
              <w:rPr>
                <w:sz w:val="18"/>
              </w:rPr>
              <w:t>12</w:t>
            </w:r>
            <w:r w:rsidRPr="00141723">
              <w:rPr>
                <w:sz w:val="18"/>
              </w:rPr>
              <w:tab/>
              <w:t>5</w:t>
            </w:r>
            <w:r>
              <w:rPr>
                <w:sz w:val="18"/>
              </w:rPr>
              <w:t>°</w:t>
            </w:r>
            <w:r w:rsidRPr="00141723">
              <w:rPr>
                <w:sz w:val="18"/>
              </w:rPr>
              <w:t xml:space="preserve"> elevation angle from the LUT to the satellite is the nominal edge of coverage.</w:t>
            </w:r>
          </w:p>
          <w:p w:rsidR="00141723" w:rsidRPr="00141723" w:rsidRDefault="00141723" w:rsidP="007F7962">
            <w:pPr>
              <w:pStyle w:val="Tablelegend"/>
              <w:spacing w:before="60"/>
              <w:rPr>
                <w:sz w:val="18"/>
              </w:rPr>
            </w:pPr>
            <w:r w:rsidRPr="00141723">
              <w:rPr>
                <w:sz w:val="18"/>
              </w:rPr>
              <w:t>13</w:t>
            </w:r>
            <w:r w:rsidRPr="00141723">
              <w:rPr>
                <w:sz w:val="18"/>
              </w:rPr>
              <w:tab/>
            </w:r>
            <w:r w:rsidRPr="00141723">
              <w:rPr>
                <w:i/>
                <w:iCs/>
                <w:sz w:val="18"/>
              </w:rPr>
              <w:t>G</w:t>
            </w:r>
            <w:r w:rsidRPr="00141723">
              <w:rPr>
                <w:sz w:val="18"/>
              </w:rPr>
              <w:t>/</w:t>
            </w:r>
            <w:r w:rsidRPr="00141723">
              <w:rPr>
                <w:i/>
                <w:iCs/>
                <w:sz w:val="18"/>
              </w:rPr>
              <w:t>T</w:t>
            </w:r>
            <w:r w:rsidRPr="00141723">
              <w:rPr>
                <w:sz w:val="18"/>
              </w:rPr>
              <w:t xml:space="preserve"> uses nominal values for each type of LUT.</w:t>
            </w:r>
          </w:p>
          <w:p w:rsidR="00141723" w:rsidRPr="00141723" w:rsidRDefault="00141723" w:rsidP="007F7962">
            <w:pPr>
              <w:pStyle w:val="Tablelegend"/>
              <w:spacing w:before="60"/>
              <w:rPr>
                <w:sz w:val="18"/>
              </w:rPr>
            </w:pPr>
            <w:r w:rsidRPr="00141723">
              <w:rPr>
                <w:sz w:val="18"/>
              </w:rPr>
              <w:t>14</w:t>
            </w:r>
            <w:r w:rsidRPr="00141723">
              <w:rPr>
                <w:sz w:val="18"/>
              </w:rPr>
              <w:tab/>
              <w:t>Polarization loss for each type of LUT antenna.</w:t>
            </w:r>
          </w:p>
          <w:p w:rsidR="00141723" w:rsidRPr="00141723" w:rsidRDefault="00141723" w:rsidP="007F7962">
            <w:pPr>
              <w:pStyle w:val="Tablelegend"/>
              <w:spacing w:before="60"/>
              <w:rPr>
                <w:sz w:val="18"/>
              </w:rPr>
            </w:pPr>
            <w:r w:rsidRPr="00141723">
              <w:rPr>
                <w:sz w:val="18"/>
              </w:rPr>
              <w:t>15</w:t>
            </w:r>
            <w:r w:rsidRPr="00141723">
              <w:rPr>
                <w:sz w:val="18"/>
              </w:rPr>
              <w:tab/>
              <w:t>Pointing loss due to LUT antenna pointing.</w:t>
            </w:r>
          </w:p>
          <w:p w:rsidR="00141723" w:rsidRPr="00141723" w:rsidRDefault="00141723" w:rsidP="007F7962">
            <w:pPr>
              <w:pStyle w:val="Tablelegend"/>
              <w:spacing w:before="60"/>
              <w:rPr>
                <w:sz w:val="18"/>
              </w:rPr>
            </w:pPr>
            <w:r w:rsidRPr="00141723">
              <w:rPr>
                <w:sz w:val="18"/>
              </w:rPr>
              <w:t>16</w:t>
            </w:r>
            <w:r w:rsidRPr="00141723">
              <w:rPr>
                <w:sz w:val="18"/>
              </w:rPr>
              <w:tab/>
              <w:t>Short duration 10 dB drops in the carrier level due to high modulation in other channels before the AGC responds.</w:t>
            </w:r>
          </w:p>
          <w:p w:rsidR="00141723" w:rsidRPr="00141723" w:rsidRDefault="00141723" w:rsidP="007F7962">
            <w:pPr>
              <w:pStyle w:val="Tablelegend"/>
              <w:spacing w:before="60"/>
              <w:rPr>
                <w:sz w:val="18"/>
              </w:rPr>
            </w:pPr>
            <w:r w:rsidRPr="00141723">
              <w:rPr>
                <w:sz w:val="18"/>
              </w:rPr>
              <w:t>17</w:t>
            </w:r>
            <w:r w:rsidRPr="00141723">
              <w:rPr>
                <w:sz w:val="18"/>
              </w:rPr>
              <w:tab/>
              <w:t>Data rate is 400 bit/s for the beacon emission and 2 400 bit/s for the PDS.</w:t>
            </w:r>
          </w:p>
          <w:p w:rsidR="00141723" w:rsidRPr="00141723" w:rsidRDefault="00141723" w:rsidP="007F7962">
            <w:pPr>
              <w:pStyle w:val="Tablelegend"/>
              <w:spacing w:before="60"/>
              <w:rPr>
                <w:sz w:val="18"/>
              </w:rPr>
            </w:pPr>
            <w:r w:rsidRPr="00141723">
              <w:rPr>
                <w:sz w:val="18"/>
              </w:rPr>
              <w:t>18</w:t>
            </w:r>
            <w:r w:rsidRPr="00141723">
              <w:rPr>
                <w:sz w:val="18"/>
              </w:rPr>
              <w:tab/>
              <w:t>Beacon data modulation loss, since some power is intentionally retained in the carrier, as the modulation index is set to 1.1</w:t>
            </w:r>
            <w:r>
              <w:rPr>
                <w:sz w:val="18"/>
              </w:rPr>
              <w:t> </w:t>
            </w:r>
            <w:r w:rsidRPr="00141723">
              <w:rPr>
                <w:sz w:val="18"/>
              </w:rPr>
              <w:t>±</w:t>
            </w:r>
            <w:r>
              <w:rPr>
                <w:sz w:val="18"/>
              </w:rPr>
              <w:t> </w:t>
            </w:r>
            <w:r w:rsidRPr="00141723">
              <w:rPr>
                <w:sz w:val="18"/>
              </w:rPr>
              <w:t>0.1 radians.</w:t>
            </w:r>
          </w:p>
          <w:p w:rsidR="00141723" w:rsidRPr="00141723" w:rsidRDefault="00141723" w:rsidP="007F7962">
            <w:pPr>
              <w:pStyle w:val="Tablelegend"/>
              <w:spacing w:before="60"/>
              <w:rPr>
                <w:sz w:val="18"/>
              </w:rPr>
            </w:pPr>
            <w:r w:rsidRPr="00141723">
              <w:rPr>
                <w:sz w:val="18"/>
              </w:rPr>
              <w:t>19</w:t>
            </w:r>
            <w:r w:rsidRPr="00141723">
              <w:rPr>
                <w:sz w:val="18"/>
              </w:rPr>
              <w:tab/>
              <w:t xml:space="preserve">Processing gain due to the integration of several beacon bursts at the LUT. For MEOSAR single burst demodulation is assumed (see </w:t>
            </w:r>
            <w:r w:rsidRPr="00141723" w:rsidDel="00A03447">
              <w:rPr>
                <w:sz w:val="18"/>
              </w:rPr>
              <w:t>D</w:t>
            </w:r>
            <w:r w:rsidRPr="00141723">
              <w:rPr>
                <w:sz w:val="18"/>
              </w:rPr>
              <w:t xml:space="preserve">ocument C/S R.012, Annex J. A </w:t>
            </w:r>
            <w:r w:rsidRPr="00141723" w:rsidDel="00C04ACE">
              <w:rPr>
                <w:sz w:val="18"/>
              </w:rPr>
              <w:t>copy of this document</w:t>
            </w:r>
            <w:r w:rsidRPr="00141723">
              <w:rPr>
                <w:sz w:val="18"/>
              </w:rPr>
              <w:t xml:space="preserve"> can be obtained free of charge from the Cospas-Sarsat secretariat website (</w:t>
            </w:r>
            <w:r w:rsidRPr="00141723">
              <w:rPr>
                <w:sz w:val="18"/>
                <w:szCs w:val="15"/>
              </w:rPr>
              <w:t>E</w:t>
            </w:r>
            <w:r w:rsidRPr="00141723" w:rsidDel="00BB43F3">
              <w:rPr>
                <w:sz w:val="18"/>
                <w:szCs w:val="15"/>
              </w:rPr>
              <w:t>-mail:</w:t>
            </w:r>
            <w:r w:rsidRPr="00141723" w:rsidDel="00BB43F3">
              <w:rPr>
                <w:sz w:val="18"/>
              </w:rPr>
              <w:t xml:space="preserve"> </w:t>
            </w:r>
            <w:hyperlink r:id="rId19" w:history="1">
              <w:r w:rsidRPr="00141723" w:rsidDel="00BB43F3">
                <w:rPr>
                  <w:rStyle w:val="Hyperlink"/>
                  <w:sz w:val="18"/>
                </w:rPr>
                <w:t>cospas_sarsat@imso.org</w:t>
              </w:r>
            </w:hyperlink>
            <w:r w:rsidRPr="00141723">
              <w:rPr>
                <w:sz w:val="18"/>
              </w:rPr>
              <w:t xml:space="preserve"> http://www.cospas-sarsat.org/)).</w:t>
            </w:r>
          </w:p>
          <w:p w:rsidR="00141723" w:rsidRPr="00141723" w:rsidRDefault="00141723" w:rsidP="007F7962">
            <w:pPr>
              <w:pStyle w:val="Tablelegend"/>
              <w:spacing w:before="60"/>
              <w:rPr>
                <w:sz w:val="18"/>
              </w:rPr>
            </w:pPr>
            <w:r w:rsidRPr="00141723">
              <w:rPr>
                <w:sz w:val="18"/>
              </w:rPr>
              <w:t>20</w:t>
            </w:r>
            <w:r w:rsidRPr="00141723">
              <w:rPr>
                <w:sz w:val="18"/>
              </w:rPr>
              <w:tab/>
              <w:t xml:space="preserve">BER for repeater band is 5.0 </w:t>
            </w:r>
            <w:r w:rsidRPr="00141723">
              <w:rPr>
                <w:rFonts w:ascii="Times" w:hAnsi="Times"/>
                <w:sz w:val="18"/>
              </w:rPr>
              <w:t>×</w:t>
            </w:r>
            <w:r w:rsidRPr="00141723">
              <w:rPr>
                <w:sz w:val="18"/>
              </w:rPr>
              <w:t xml:space="preserve"> 10</w:t>
            </w:r>
            <w:r w:rsidRPr="00141723">
              <w:rPr>
                <w:sz w:val="18"/>
                <w:vertAlign w:val="superscript"/>
              </w:rPr>
              <w:t>–5</w:t>
            </w:r>
            <w:r w:rsidRPr="00141723">
              <w:rPr>
                <w:sz w:val="18"/>
              </w:rPr>
              <w:t>, as stated in Recommendation ITU</w:t>
            </w:r>
            <w:r w:rsidRPr="00141723">
              <w:rPr>
                <w:sz w:val="18"/>
              </w:rPr>
              <w:noBreakHyphen/>
              <w:t>R M.1478, whereas for the PDS channel it is 1.0 × 10</w:t>
            </w:r>
            <w:r w:rsidRPr="00141723">
              <w:rPr>
                <w:sz w:val="18"/>
                <w:vertAlign w:val="superscript"/>
              </w:rPr>
              <w:t>–6</w:t>
            </w:r>
            <w:r w:rsidRPr="00141723">
              <w:rPr>
                <w:sz w:val="18"/>
              </w:rPr>
              <w:t>.</w:t>
            </w:r>
          </w:p>
          <w:p w:rsidR="00141723" w:rsidRPr="00141723" w:rsidRDefault="00141723" w:rsidP="007F7962">
            <w:pPr>
              <w:pStyle w:val="Tablelegend"/>
              <w:spacing w:before="60"/>
              <w:rPr>
                <w:i/>
                <w:iCs/>
                <w:sz w:val="18"/>
              </w:rPr>
            </w:pPr>
            <w:r w:rsidRPr="00141723">
              <w:rPr>
                <w:sz w:val="18"/>
              </w:rPr>
              <w:t>21</w:t>
            </w:r>
            <w:r w:rsidRPr="00141723">
              <w:rPr>
                <w:sz w:val="18"/>
              </w:rPr>
              <w:tab/>
              <w:t>Margin is the extra signal remaining that might be taken when there is interference.</w:t>
            </w:r>
          </w:p>
        </w:tc>
      </w:tr>
    </w:tbl>
    <w:p w:rsidR="00141723" w:rsidRPr="00EC28DA" w:rsidRDefault="00141723" w:rsidP="00141723">
      <w:pPr>
        <w:pStyle w:val="Tablefin"/>
      </w:pPr>
    </w:p>
    <w:p w:rsidR="00D71221" w:rsidRPr="00BF487A" w:rsidRDefault="00D71221" w:rsidP="00D71221">
      <w:pPr>
        <w:pStyle w:val="Line"/>
      </w:pPr>
    </w:p>
    <w:sectPr w:rsidR="00D71221"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3F5" w:rsidRDefault="006003F5">
      <w:r>
        <w:separator/>
      </w:r>
    </w:p>
  </w:endnote>
  <w:endnote w:type="continuationSeparator" w:id="0">
    <w:p w:rsidR="006003F5" w:rsidRDefault="006003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3F5" w:rsidRDefault="006003F5">
      <w:r>
        <w:separator/>
      </w:r>
    </w:p>
  </w:footnote>
  <w:footnote w:type="continuationSeparator" w:id="0">
    <w:p w:rsidR="006003F5" w:rsidRDefault="006003F5">
      <w:r>
        <w:continuationSeparator/>
      </w:r>
    </w:p>
  </w:footnote>
  <w:footnote w:id="1">
    <w:p w:rsidR="00D71221" w:rsidRDefault="00D71221" w:rsidP="00D71221">
      <w:pPr>
        <w:pStyle w:val="FootnoteText"/>
        <w:rPr>
          <w:lang w:val="en-US"/>
        </w:rPr>
      </w:pPr>
      <w:r w:rsidRPr="00A902CD">
        <w:rPr>
          <w:rStyle w:val="FootnoteReference"/>
          <w:lang w:val="en-US"/>
        </w:rPr>
        <w:t>*</w:t>
      </w:r>
      <w:r w:rsidRPr="00A902CD">
        <w:rPr>
          <w:lang w:val="en-US"/>
        </w:rPr>
        <w:t xml:space="preserve"> </w:t>
      </w:r>
      <w:r>
        <w:rPr>
          <w:lang w:val="en-US"/>
        </w:rPr>
        <w:tab/>
        <w:t>This Recommendation should be brought to the attention of Cospas-Sarsat, the International Civil Aviation Organization (ICAO) and the International Maritime Organization (IMO).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EC" w:rsidRDefault="00470FEC">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EC" w:rsidRDefault="001D719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EC" w:rsidRPr="00FC42AF" w:rsidRDefault="00B720BA">
    <w:pPr>
      <w:pStyle w:val="Header"/>
      <w:jc w:val="left"/>
    </w:pPr>
    <w:r>
      <w:rPr>
        <w:rStyle w:val="PageNumber"/>
        <w:b/>
        <w:bCs/>
      </w:rPr>
      <w:fldChar w:fldCharType="begin"/>
    </w:r>
    <w:r w:rsidR="00470FEC" w:rsidRPr="00FC42AF">
      <w:rPr>
        <w:rStyle w:val="PageNumber"/>
        <w:b/>
        <w:bCs/>
      </w:rPr>
      <w:instrText xml:space="preserve"> PAGE </w:instrText>
    </w:r>
    <w:r>
      <w:rPr>
        <w:rStyle w:val="PageNumber"/>
        <w:b/>
        <w:bCs/>
      </w:rPr>
      <w:fldChar w:fldCharType="separate"/>
    </w:r>
    <w:r w:rsidR="007F7962">
      <w:rPr>
        <w:rStyle w:val="PageNumber"/>
        <w:b/>
        <w:bCs/>
        <w:noProof/>
      </w:rPr>
      <w:t>18</w:t>
    </w:r>
    <w:r>
      <w:rPr>
        <w:rStyle w:val="PageNumber"/>
        <w:b/>
        <w:bCs/>
      </w:rPr>
      <w:fldChar w:fldCharType="end"/>
    </w:r>
    <w:r w:rsidR="00470FEC" w:rsidRPr="00FC42AF">
      <w:tab/>
    </w:r>
    <w:fldSimple w:instr=" DOCPROPERTY &quot;Header&quot; \* MERGEFORMAT ">
      <w:r w:rsidR="007F7962" w:rsidRPr="007F7962">
        <w:rPr>
          <w:b/>
          <w:bCs/>
        </w:rPr>
        <w:t xml:space="preserve">Rec. </w:t>
      </w:r>
    </w:fldSimple>
    <w:r w:rsidR="00470FEC">
      <w:rPr>
        <w:b/>
        <w:bCs/>
      </w:rPr>
      <w:t xml:space="preserve"> </w:t>
    </w:r>
    <w:r>
      <w:rPr>
        <w:b/>
        <w:bCs/>
      </w:rPr>
      <w:fldChar w:fldCharType="begin"/>
    </w:r>
    <w:r w:rsidR="00470FEC" w:rsidRPr="00FC42AF">
      <w:rPr>
        <w:b/>
        <w:bCs/>
      </w:rPr>
      <w:instrText>styleref href</w:instrText>
    </w:r>
    <w:r>
      <w:rPr>
        <w:b/>
        <w:bCs/>
      </w:rPr>
      <w:fldChar w:fldCharType="separate"/>
    </w:r>
    <w:r w:rsidR="007F7962">
      <w:rPr>
        <w:b/>
        <w:bCs/>
        <w:noProof/>
      </w:rPr>
      <w:t>ITU-R  M.1731-1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EC" w:rsidRDefault="00470FEC">
    <w:pPr>
      <w:pStyle w:val="Header"/>
    </w:pPr>
    <w:r>
      <w:tab/>
    </w:r>
    <w:fldSimple w:instr=" DOCPROPERTY &quot;Header&quot; \* MERGEFORMAT ">
      <w:r w:rsidR="007F7962" w:rsidRPr="007F7962">
        <w:rPr>
          <w:b/>
          <w:bCs/>
        </w:rPr>
        <w:t xml:space="preserve">Rec. </w:t>
      </w:r>
    </w:fldSimple>
    <w:r>
      <w:rPr>
        <w:b/>
        <w:bCs/>
      </w:rPr>
      <w:t xml:space="preserve"> </w:t>
    </w:r>
    <w:r w:rsidR="00B720BA">
      <w:rPr>
        <w:b/>
        <w:bCs/>
      </w:rPr>
      <w:fldChar w:fldCharType="begin"/>
    </w:r>
    <w:r>
      <w:rPr>
        <w:b/>
        <w:bCs/>
      </w:rPr>
      <w:instrText>styleref href</w:instrText>
    </w:r>
    <w:r w:rsidR="00B720BA">
      <w:rPr>
        <w:b/>
        <w:bCs/>
      </w:rPr>
      <w:fldChar w:fldCharType="separate"/>
    </w:r>
    <w:r w:rsidR="007F7962">
      <w:rPr>
        <w:b/>
        <w:bCs/>
        <w:noProof/>
      </w:rPr>
      <w:t>ITU-R  M.1731-1</w:t>
    </w:r>
    <w:r w:rsidR="00B720BA">
      <w:rPr>
        <w:b/>
        <w:bCs/>
      </w:rPr>
      <w:fldChar w:fldCharType="end"/>
    </w:r>
    <w:r>
      <w:tab/>
    </w:r>
    <w:r w:rsidR="00B720BA">
      <w:rPr>
        <w:rStyle w:val="PageNumber"/>
        <w:b/>
        <w:bCs/>
      </w:rPr>
      <w:fldChar w:fldCharType="begin"/>
    </w:r>
    <w:r>
      <w:rPr>
        <w:rStyle w:val="PageNumber"/>
        <w:b/>
        <w:bCs/>
      </w:rPr>
      <w:instrText xml:space="preserve"> PAGE </w:instrText>
    </w:r>
    <w:r w:rsidR="00B720BA">
      <w:rPr>
        <w:rStyle w:val="PageNumber"/>
        <w:b/>
        <w:bCs/>
      </w:rPr>
      <w:fldChar w:fldCharType="separate"/>
    </w:r>
    <w:r w:rsidR="007F7962">
      <w:rPr>
        <w:rStyle w:val="PageNumber"/>
        <w:b/>
        <w:bCs/>
        <w:noProof/>
      </w:rPr>
      <w:t>17</w:t>
    </w:r>
    <w:r w:rsidR="00B720B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72484"/>
    <w:rsid w:val="00096612"/>
    <w:rsid w:val="000A4386"/>
    <w:rsid w:val="000B7683"/>
    <w:rsid w:val="000D0677"/>
    <w:rsid w:val="000E6A6E"/>
    <w:rsid w:val="00102934"/>
    <w:rsid w:val="00141723"/>
    <w:rsid w:val="00147110"/>
    <w:rsid w:val="001511A6"/>
    <w:rsid w:val="001D7190"/>
    <w:rsid w:val="002058CE"/>
    <w:rsid w:val="002165F1"/>
    <w:rsid w:val="002572B3"/>
    <w:rsid w:val="00276D21"/>
    <w:rsid w:val="00296D7F"/>
    <w:rsid w:val="002B3CF6"/>
    <w:rsid w:val="002C768A"/>
    <w:rsid w:val="002D76C4"/>
    <w:rsid w:val="002F06BF"/>
    <w:rsid w:val="002F5199"/>
    <w:rsid w:val="00333892"/>
    <w:rsid w:val="00356B5D"/>
    <w:rsid w:val="0041667C"/>
    <w:rsid w:val="00420DFD"/>
    <w:rsid w:val="00437A76"/>
    <w:rsid w:val="00470E28"/>
    <w:rsid w:val="00470FEC"/>
    <w:rsid w:val="004934C5"/>
    <w:rsid w:val="004F65E4"/>
    <w:rsid w:val="00554C61"/>
    <w:rsid w:val="00556548"/>
    <w:rsid w:val="00586EF8"/>
    <w:rsid w:val="005B49AB"/>
    <w:rsid w:val="005B50E7"/>
    <w:rsid w:val="005D0454"/>
    <w:rsid w:val="005E7B4F"/>
    <w:rsid w:val="006003F5"/>
    <w:rsid w:val="00601882"/>
    <w:rsid w:val="00607D68"/>
    <w:rsid w:val="00613212"/>
    <w:rsid w:val="006149B1"/>
    <w:rsid w:val="0067766E"/>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7F7962"/>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33425"/>
    <w:rsid w:val="00B44E24"/>
    <w:rsid w:val="00B54ECC"/>
    <w:rsid w:val="00B61132"/>
    <w:rsid w:val="00B714F3"/>
    <w:rsid w:val="00B720BA"/>
    <w:rsid w:val="00B87B6B"/>
    <w:rsid w:val="00BC5D77"/>
    <w:rsid w:val="00BD5D3D"/>
    <w:rsid w:val="00BE262F"/>
    <w:rsid w:val="00BF487A"/>
    <w:rsid w:val="00C44EEB"/>
    <w:rsid w:val="00C46BD9"/>
    <w:rsid w:val="00C55258"/>
    <w:rsid w:val="00C73560"/>
    <w:rsid w:val="00C90D2B"/>
    <w:rsid w:val="00CA5A25"/>
    <w:rsid w:val="00CB0F14"/>
    <w:rsid w:val="00CD659B"/>
    <w:rsid w:val="00CE0A43"/>
    <w:rsid w:val="00D71221"/>
    <w:rsid w:val="00D83556"/>
    <w:rsid w:val="00DF4176"/>
    <w:rsid w:val="00E17240"/>
    <w:rsid w:val="00E406BD"/>
    <w:rsid w:val="00E74595"/>
    <w:rsid w:val="00EB7C57"/>
    <w:rsid w:val="00ED2695"/>
    <w:rsid w:val="00F30C9B"/>
    <w:rsid w:val="00F354B1"/>
    <w:rsid w:val="00F93419"/>
    <w:rsid w:val="00FB0E4E"/>
    <w:rsid w:val="00FC42AF"/>
    <w:rsid w:val="00FD15C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7190"/>
    <w:pPr>
      <w:keepNext/>
      <w:keepLines/>
      <w:spacing w:before="480"/>
      <w:ind w:left="794" w:hanging="794"/>
      <w:outlineLvl w:val="0"/>
    </w:pPr>
    <w:rPr>
      <w:b/>
    </w:rPr>
  </w:style>
  <w:style w:type="paragraph" w:styleId="Heading2">
    <w:name w:val="heading 2"/>
    <w:basedOn w:val="Heading1"/>
    <w:next w:val="Normal"/>
    <w:link w:val="Heading2Char"/>
    <w:qFormat/>
    <w:rsid w:val="001D7190"/>
    <w:pPr>
      <w:spacing w:before="320"/>
      <w:outlineLvl w:val="1"/>
    </w:pPr>
  </w:style>
  <w:style w:type="paragraph" w:styleId="Heading3">
    <w:name w:val="heading 3"/>
    <w:basedOn w:val="Heading1"/>
    <w:next w:val="Normal"/>
    <w:link w:val="Heading3Char"/>
    <w:qFormat/>
    <w:rsid w:val="001D7190"/>
    <w:pPr>
      <w:spacing w:before="200"/>
      <w:outlineLvl w:val="2"/>
    </w:pPr>
  </w:style>
  <w:style w:type="paragraph" w:styleId="Heading4">
    <w:name w:val="heading 4"/>
    <w:basedOn w:val="Heading3"/>
    <w:next w:val="Normal"/>
    <w:link w:val="Heading4Char"/>
    <w:qFormat/>
    <w:rsid w:val="001D7190"/>
    <w:pPr>
      <w:tabs>
        <w:tab w:val="clear" w:pos="794"/>
        <w:tab w:val="left" w:pos="992"/>
      </w:tabs>
      <w:ind w:left="992" w:hanging="992"/>
      <w:outlineLvl w:val="3"/>
    </w:pPr>
  </w:style>
  <w:style w:type="paragraph" w:styleId="Heading5">
    <w:name w:val="heading 5"/>
    <w:basedOn w:val="Heading4"/>
    <w:next w:val="Normal"/>
    <w:link w:val="Heading5Char"/>
    <w:qFormat/>
    <w:rsid w:val="001D7190"/>
    <w:pPr>
      <w:outlineLvl w:val="4"/>
    </w:pPr>
  </w:style>
  <w:style w:type="paragraph" w:styleId="Heading6">
    <w:name w:val="heading 6"/>
    <w:basedOn w:val="Heading4"/>
    <w:next w:val="Normal"/>
    <w:link w:val="Heading6Char"/>
    <w:qFormat/>
    <w:rsid w:val="001D7190"/>
    <w:pPr>
      <w:tabs>
        <w:tab w:val="clear" w:pos="992"/>
        <w:tab w:val="clear" w:pos="1191"/>
      </w:tabs>
      <w:ind w:left="1588" w:hanging="1588"/>
      <w:outlineLvl w:val="5"/>
    </w:pPr>
  </w:style>
  <w:style w:type="paragraph" w:styleId="Heading7">
    <w:name w:val="heading 7"/>
    <w:basedOn w:val="Heading6"/>
    <w:next w:val="Normal"/>
    <w:link w:val="Heading7Char"/>
    <w:qFormat/>
    <w:rsid w:val="001D7190"/>
    <w:pPr>
      <w:outlineLvl w:val="6"/>
    </w:pPr>
  </w:style>
  <w:style w:type="paragraph" w:styleId="Heading8">
    <w:name w:val="heading 8"/>
    <w:basedOn w:val="Heading6"/>
    <w:next w:val="Normal"/>
    <w:link w:val="Heading8Char"/>
    <w:qFormat/>
    <w:rsid w:val="001D7190"/>
    <w:pPr>
      <w:outlineLvl w:val="7"/>
    </w:pPr>
  </w:style>
  <w:style w:type="paragraph" w:styleId="Heading9">
    <w:name w:val="heading 9"/>
    <w:basedOn w:val="Heading6"/>
    <w:next w:val="Normal"/>
    <w:link w:val="Heading9Char"/>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link w:val="HeadingbChar"/>
    <w:uiPriority w:val="99"/>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link w:val="enumlev1Char"/>
    <w:uiPriority w:val="99"/>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uiPriority w:val="99"/>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link w:val="TabletextChar"/>
    <w:uiPriority w:val="99"/>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41723"/>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1D7190"/>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character" w:customStyle="1" w:styleId="Heading1Char">
    <w:name w:val="Heading 1 Char"/>
    <w:basedOn w:val="DefaultParagraphFont"/>
    <w:link w:val="Heading1"/>
    <w:rsid w:val="0067766E"/>
    <w:rPr>
      <w:b/>
      <w:sz w:val="24"/>
      <w:lang w:val="fr-FR" w:eastAsia="en-US"/>
    </w:rPr>
  </w:style>
  <w:style w:type="character" w:customStyle="1" w:styleId="Heading2Char">
    <w:name w:val="Heading 2 Char"/>
    <w:basedOn w:val="DefaultParagraphFont"/>
    <w:link w:val="Heading2"/>
    <w:rsid w:val="0067766E"/>
    <w:rPr>
      <w:b/>
      <w:sz w:val="24"/>
      <w:lang w:val="fr-FR" w:eastAsia="en-US"/>
    </w:rPr>
  </w:style>
  <w:style w:type="character" w:customStyle="1" w:styleId="Heading3Char">
    <w:name w:val="Heading 3 Char"/>
    <w:basedOn w:val="DefaultParagraphFont"/>
    <w:link w:val="Heading3"/>
    <w:rsid w:val="0067766E"/>
    <w:rPr>
      <w:b/>
      <w:sz w:val="24"/>
      <w:lang w:val="fr-FR" w:eastAsia="en-US"/>
    </w:rPr>
  </w:style>
  <w:style w:type="character" w:customStyle="1" w:styleId="Heading4Char">
    <w:name w:val="Heading 4 Char"/>
    <w:basedOn w:val="DefaultParagraphFont"/>
    <w:link w:val="Heading4"/>
    <w:rsid w:val="0067766E"/>
    <w:rPr>
      <w:b/>
      <w:sz w:val="24"/>
      <w:lang w:val="fr-FR" w:eastAsia="en-US"/>
    </w:rPr>
  </w:style>
  <w:style w:type="character" w:customStyle="1" w:styleId="Heading5Char">
    <w:name w:val="Heading 5 Char"/>
    <w:basedOn w:val="DefaultParagraphFont"/>
    <w:link w:val="Heading5"/>
    <w:rsid w:val="0067766E"/>
    <w:rPr>
      <w:b/>
      <w:sz w:val="24"/>
      <w:lang w:val="fr-FR" w:eastAsia="en-US"/>
    </w:rPr>
  </w:style>
  <w:style w:type="character" w:customStyle="1" w:styleId="Heading6Char">
    <w:name w:val="Heading 6 Char"/>
    <w:basedOn w:val="DefaultParagraphFont"/>
    <w:link w:val="Heading6"/>
    <w:rsid w:val="0067766E"/>
    <w:rPr>
      <w:b/>
      <w:sz w:val="24"/>
      <w:lang w:val="fr-FR" w:eastAsia="en-US"/>
    </w:rPr>
  </w:style>
  <w:style w:type="character" w:customStyle="1" w:styleId="Heading7Char">
    <w:name w:val="Heading 7 Char"/>
    <w:basedOn w:val="DefaultParagraphFont"/>
    <w:link w:val="Heading7"/>
    <w:rsid w:val="0067766E"/>
    <w:rPr>
      <w:b/>
      <w:sz w:val="24"/>
      <w:lang w:val="fr-FR" w:eastAsia="en-US"/>
    </w:rPr>
  </w:style>
  <w:style w:type="character" w:customStyle="1" w:styleId="Heading8Char">
    <w:name w:val="Heading 8 Char"/>
    <w:basedOn w:val="DefaultParagraphFont"/>
    <w:link w:val="Heading8"/>
    <w:rsid w:val="0067766E"/>
    <w:rPr>
      <w:b/>
      <w:sz w:val="24"/>
      <w:lang w:val="fr-FR" w:eastAsia="en-US"/>
    </w:rPr>
  </w:style>
  <w:style w:type="character" w:customStyle="1" w:styleId="Heading9Char">
    <w:name w:val="Heading 9 Char"/>
    <w:basedOn w:val="DefaultParagraphFont"/>
    <w:link w:val="Heading9"/>
    <w:rsid w:val="0067766E"/>
    <w:rPr>
      <w:b/>
      <w:sz w:val="24"/>
      <w:lang w:val="fr-FR" w:eastAsia="en-US"/>
    </w:rPr>
  </w:style>
  <w:style w:type="character" w:customStyle="1" w:styleId="HeaderChar">
    <w:name w:val="Header Char"/>
    <w:basedOn w:val="DefaultParagraphFont"/>
    <w:link w:val="Header"/>
    <w:rsid w:val="0067766E"/>
    <w:rPr>
      <w:sz w:val="24"/>
      <w:lang w:val="fr-FR" w:eastAsia="en-US"/>
    </w:rPr>
  </w:style>
  <w:style w:type="character" w:customStyle="1" w:styleId="FooterChar">
    <w:name w:val="Footer Char"/>
    <w:basedOn w:val="DefaultParagraphFont"/>
    <w:link w:val="Footer"/>
    <w:rsid w:val="0067766E"/>
    <w:rPr>
      <w:noProof/>
      <w:sz w:val="18"/>
      <w:lang w:val="fr-FR" w:eastAsia="en-US"/>
    </w:rPr>
  </w:style>
  <w:style w:type="character" w:customStyle="1" w:styleId="FootnoteTextChar">
    <w:name w:val="Footnote Text Char"/>
    <w:basedOn w:val="DefaultParagraphFont"/>
    <w:link w:val="FootnoteText"/>
    <w:semiHidden/>
    <w:rsid w:val="0067766E"/>
    <w:rPr>
      <w:sz w:val="22"/>
      <w:lang w:val="fr-FR" w:eastAsia="en-US"/>
    </w:rPr>
  </w:style>
  <w:style w:type="character" w:customStyle="1" w:styleId="enumlev1Char">
    <w:name w:val="enumlev1 Char"/>
    <w:basedOn w:val="DefaultParagraphFont"/>
    <w:link w:val="enumlev1"/>
    <w:uiPriority w:val="99"/>
    <w:locked/>
    <w:rsid w:val="00141723"/>
    <w:rPr>
      <w:sz w:val="24"/>
      <w:lang w:val="fr-FR" w:eastAsia="en-US"/>
    </w:rPr>
  </w:style>
  <w:style w:type="character" w:customStyle="1" w:styleId="EquationChar">
    <w:name w:val="Equation Char"/>
    <w:basedOn w:val="DefaultParagraphFont"/>
    <w:link w:val="Equation"/>
    <w:locked/>
    <w:rsid w:val="00141723"/>
    <w:rPr>
      <w:sz w:val="24"/>
      <w:lang w:val="fr-FR" w:eastAsia="en-US"/>
    </w:rPr>
  </w:style>
  <w:style w:type="character" w:customStyle="1" w:styleId="TabletextChar">
    <w:name w:val="Table_text Char"/>
    <w:basedOn w:val="DefaultParagraphFont"/>
    <w:link w:val="Tabletext"/>
    <w:uiPriority w:val="99"/>
    <w:locked/>
    <w:rsid w:val="00141723"/>
    <w:rPr>
      <w:sz w:val="22"/>
      <w:lang w:val="fr-FR" w:eastAsia="en-US"/>
    </w:rPr>
  </w:style>
  <w:style w:type="character" w:customStyle="1" w:styleId="HeadingbChar">
    <w:name w:val="Heading_b Char"/>
    <w:basedOn w:val="DefaultParagraphFont"/>
    <w:link w:val="Headingb"/>
    <w:uiPriority w:val="99"/>
    <w:locked/>
    <w:rsid w:val="00141723"/>
    <w:rPr>
      <w:b/>
      <w:sz w:val="24"/>
      <w:lang w:val="fr-FR" w:eastAsia="en-US"/>
    </w:rPr>
  </w:style>
  <w:style w:type="character" w:customStyle="1" w:styleId="FiguretitleChar">
    <w:name w:val="Figure_title Char"/>
    <w:basedOn w:val="DefaultParagraphFont"/>
    <w:link w:val="Figuretitle"/>
    <w:uiPriority w:val="99"/>
    <w:locked/>
    <w:rsid w:val="00141723"/>
    <w:rPr>
      <w:rFonts w:ascii="Times New Roman Bold" w:hAnsi="Times New Roman Bold"/>
      <w:b/>
      <w:sz w:val="18"/>
      <w:lang w:val="fr-FR" w:eastAsia="en-US"/>
    </w:rPr>
  </w:style>
  <w:style w:type="character" w:customStyle="1" w:styleId="FigureNoChar">
    <w:name w:val="Figure_No Char"/>
    <w:basedOn w:val="DefaultParagraphFont"/>
    <w:link w:val="FigureNo"/>
    <w:uiPriority w:val="99"/>
    <w:locked/>
    <w:rsid w:val="00141723"/>
    <w:rPr>
      <w:caps/>
      <w:sz w:val="18"/>
      <w:lang w:val="fr-FR" w:eastAsia="en-US"/>
    </w:rPr>
  </w:style>
</w:styles>
</file>

<file path=word/webSettings.xml><?xml version="1.0" encoding="utf-8"?>
<w:webSettings xmlns:r="http://schemas.openxmlformats.org/officeDocument/2006/relationships" xmlns:w="http://schemas.openxmlformats.org/wordprocessingml/2006/main">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yperlink" Target="mailto:cospas_sarsat@imso.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www.itu.int/publ/R-REC/en" TargetMode="External"/><Relationship Id="rId19" Type="http://schemas.openxmlformats.org/officeDocument/2006/relationships/hyperlink" Target="mailto:cospas_sarsat@imso.org"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212</TotalTime>
  <Pages>20</Pages>
  <Words>6165</Words>
  <Characters>35147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41230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8</cp:revision>
  <cp:lastPrinted>2009-06-26T13:19:00Z</cp:lastPrinted>
  <dcterms:created xsi:type="dcterms:W3CDTF">2010-11-03T10:18:00Z</dcterms:created>
  <dcterms:modified xsi:type="dcterms:W3CDTF">2010-11-08T13:29:00Z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