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53B" w:rsidRDefault="00CF053B" w:rsidP="00CF053B">
      <w:bookmarkStart w:id="0" w:name="_GoBack"/>
      <w:bookmarkEnd w:id="0"/>
    </w:p>
    <w:p w:rsidR="00CF053B" w:rsidRDefault="00CF053B" w:rsidP="00CF053B"/>
    <w:p w:rsidR="00CF053B" w:rsidRDefault="00CF053B" w:rsidP="00CF053B"/>
    <w:p w:rsidR="00CF053B" w:rsidRDefault="00CF053B" w:rsidP="00CF053B"/>
    <w:p w:rsidR="00CF053B" w:rsidRDefault="00CF053B" w:rsidP="00CF053B"/>
    <w:p w:rsidR="00CF053B" w:rsidRDefault="00CF053B" w:rsidP="00CF053B"/>
    <w:p w:rsidR="00CF053B" w:rsidRDefault="00CF053B" w:rsidP="00CF053B"/>
    <w:p w:rsidR="00CF053B" w:rsidRDefault="00CF053B" w:rsidP="00CF053B"/>
    <w:p w:rsidR="00CF053B" w:rsidRDefault="00CF053B" w:rsidP="00CF053B"/>
    <w:p w:rsidR="00CF053B" w:rsidRDefault="00CF053B" w:rsidP="00CF053B"/>
    <w:p w:rsidR="00CF053B" w:rsidRDefault="00CF053B" w:rsidP="00CF053B"/>
    <w:p w:rsidR="00CF053B" w:rsidRDefault="00CF053B" w:rsidP="00CF053B"/>
    <w:tbl>
      <w:tblPr>
        <w:tblW w:w="10089" w:type="dxa"/>
        <w:tblLook w:val="01E0" w:firstRow="1" w:lastRow="1" w:firstColumn="1" w:lastColumn="1" w:noHBand="0" w:noVBand="0"/>
      </w:tblPr>
      <w:tblGrid>
        <w:gridCol w:w="10089"/>
      </w:tblGrid>
      <w:tr w:rsidR="00CF053B" w:rsidRPr="004F65E4" w:rsidTr="00FE69C6">
        <w:tc>
          <w:tcPr>
            <w:tcW w:w="10089" w:type="dxa"/>
          </w:tcPr>
          <w:p w:rsidR="00CF053B" w:rsidRPr="001511A6" w:rsidRDefault="00CF053B" w:rsidP="00FE69C6">
            <w:pPr>
              <w:spacing w:before="380" w:line="280" w:lineRule="exact"/>
              <w:jc w:val="right"/>
              <w:rPr>
                <w:rFonts w:ascii="Tahoma" w:hAnsi="Tahoma" w:cs="Tahoma"/>
                <w:b/>
                <w:bCs/>
                <w:iCs/>
                <w:color w:val="243285"/>
                <w:sz w:val="32"/>
                <w:szCs w:val="32"/>
                <w:lang w:val="en-US"/>
              </w:rPr>
            </w:pPr>
          </w:p>
          <w:p w:rsidR="00CF053B" w:rsidRPr="004F65E4" w:rsidRDefault="00CF053B" w:rsidP="00FE69C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1640-1</w:t>
            </w:r>
          </w:p>
          <w:p w:rsidR="00CF053B" w:rsidRPr="004F65E4" w:rsidRDefault="00CF053B" w:rsidP="00CF05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2018</w:t>
            </w:r>
            <w:r w:rsidRPr="004F65E4">
              <w:rPr>
                <w:rFonts w:ascii="Tahoma" w:hAnsi="Tahoma" w:cs="Tahoma"/>
                <w:b/>
                <w:bCs/>
                <w:iCs/>
                <w:color w:val="243285"/>
                <w:szCs w:val="24"/>
              </w:rPr>
              <w:t>)</w:t>
            </w:r>
          </w:p>
        </w:tc>
      </w:tr>
      <w:tr w:rsidR="00CF053B" w:rsidRPr="00C31432" w:rsidTr="00FE69C6">
        <w:tc>
          <w:tcPr>
            <w:tcW w:w="10089" w:type="dxa"/>
          </w:tcPr>
          <w:p w:rsidR="00CF053B" w:rsidRPr="003E1DED" w:rsidRDefault="00CF053B" w:rsidP="00FE69C6">
            <w:pPr>
              <w:spacing w:before="80" w:line="500" w:lineRule="exact"/>
              <w:jc w:val="right"/>
              <w:rPr>
                <w:rFonts w:ascii="Tahoma" w:hAnsi="Tahoma" w:cs="Tahoma"/>
                <w:b/>
                <w:bCs/>
                <w:iCs/>
                <w:color w:val="243285"/>
                <w:sz w:val="44"/>
                <w:szCs w:val="44"/>
                <w:lang w:val="en-US"/>
              </w:rPr>
            </w:pPr>
          </w:p>
          <w:p w:rsidR="00CF053B" w:rsidRPr="0065256A" w:rsidRDefault="0065256A" w:rsidP="0065256A">
            <w:pPr>
              <w:spacing w:before="80" w:line="500" w:lineRule="exact"/>
              <w:jc w:val="right"/>
              <w:rPr>
                <w:rFonts w:ascii="Tahoma" w:hAnsi="Tahoma" w:cs="Tahoma"/>
                <w:b/>
                <w:bCs/>
                <w:iCs/>
                <w:color w:val="243285"/>
                <w:sz w:val="44"/>
                <w:szCs w:val="44"/>
                <w:lang w:val="en-GB"/>
              </w:rPr>
            </w:pPr>
            <w:r w:rsidRPr="0065256A">
              <w:rPr>
                <w:rFonts w:ascii="Tahoma" w:hAnsi="Tahoma" w:cs="Tahoma"/>
                <w:b/>
                <w:bCs/>
                <w:iCs/>
                <w:color w:val="243285"/>
                <w:sz w:val="44"/>
                <w:szCs w:val="44"/>
                <w:lang w:val="en-GB"/>
              </w:rPr>
              <w:t>Characteristics of, and protectio</w:t>
            </w:r>
            <w:r>
              <w:rPr>
                <w:rFonts w:ascii="Tahoma" w:hAnsi="Tahoma" w:cs="Tahoma"/>
                <w:b/>
                <w:bCs/>
                <w:iCs/>
                <w:color w:val="243285"/>
                <w:sz w:val="44"/>
                <w:szCs w:val="44"/>
                <w:lang w:val="en-GB"/>
              </w:rPr>
              <w:t xml:space="preserve">n criteria for sharing studies </w:t>
            </w:r>
            <w:r w:rsidRPr="0065256A">
              <w:rPr>
                <w:rFonts w:ascii="Tahoma" w:hAnsi="Tahoma" w:cs="Tahoma"/>
                <w:b/>
                <w:bCs/>
                <w:iCs/>
                <w:color w:val="243285"/>
                <w:sz w:val="44"/>
                <w:szCs w:val="44"/>
                <w:lang w:val="en-GB"/>
              </w:rPr>
              <w:t xml:space="preserve">for radars operating in </w:t>
            </w:r>
            <w:r>
              <w:rPr>
                <w:rFonts w:ascii="Tahoma" w:hAnsi="Tahoma" w:cs="Tahoma"/>
                <w:b/>
                <w:bCs/>
                <w:iCs/>
                <w:color w:val="243285"/>
                <w:sz w:val="44"/>
                <w:szCs w:val="44"/>
                <w:lang w:val="en-GB"/>
              </w:rPr>
              <w:br/>
            </w:r>
            <w:r w:rsidRPr="0065256A">
              <w:rPr>
                <w:rFonts w:ascii="Tahoma" w:hAnsi="Tahoma" w:cs="Tahoma"/>
                <w:b/>
                <w:bCs/>
                <w:iCs/>
                <w:color w:val="243285"/>
                <w:sz w:val="44"/>
                <w:szCs w:val="44"/>
                <w:lang w:val="en-GB"/>
              </w:rPr>
              <w:t xml:space="preserve">the radiodetermination service </w:t>
            </w:r>
            <w:r w:rsidRPr="0065256A">
              <w:rPr>
                <w:rFonts w:ascii="Tahoma" w:hAnsi="Tahoma" w:cs="Tahoma"/>
                <w:b/>
                <w:bCs/>
                <w:iCs/>
                <w:color w:val="243285"/>
                <w:sz w:val="44"/>
                <w:szCs w:val="44"/>
                <w:lang w:val="en-GB"/>
              </w:rPr>
              <w:br/>
              <w:t>in the frequency band 33.4-36 GHz</w:t>
            </w:r>
          </w:p>
        </w:tc>
      </w:tr>
      <w:tr w:rsidR="00CF053B" w:rsidTr="00FE69C6">
        <w:tc>
          <w:tcPr>
            <w:tcW w:w="10089" w:type="dxa"/>
          </w:tcPr>
          <w:p w:rsidR="00CF053B" w:rsidRPr="00052F66" w:rsidRDefault="00CF053B" w:rsidP="00FE69C6">
            <w:pPr>
              <w:spacing w:before="80" w:line="280" w:lineRule="exact"/>
              <w:ind w:right="640"/>
              <w:rPr>
                <w:rFonts w:ascii="Tahoma" w:hAnsi="Tahoma" w:cs="Tahoma"/>
                <w:b/>
                <w:bCs/>
                <w:iCs/>
                <w:color w:val="243285"/>
                <w:sz w:val="32"/>
                <w:szCs w:val="32"/>
                <w:lang w:val="en-US"/>
              </w:rPr>
            </w:pPr>
          </w:p>
          <w:p w:rsidR="00CF053B" w:rsidRPr="00052F66" w:rsidRDefault="00CF053B" w:rsidP="00FE69C6">
            <w:pPr>
              <w:spacing w:before="80" w:after="180" w:line="360" w:lineRule="exact"/>
              <w:ind w:right="720"/>
              <w:rPr>
                <w:rFonts w:ascii="Tahoma" w:hAnsi="Tahoma" w:cs="Tahoma"/>
                <w:b/>
                <w:bCs/>
                <w:iCs/>
                <w:color w:val="243285"/>
                <w:sz w:val="36"/>
                <w:szCs w:val="36"/>
                <w:lang w:val="en-US"/>
              </w:rPr>
            </w:pPr>
          </w:p>
          <w:p w:rsidR="00CF053B" w:rsidRPr="001511A6" w:rsidRDefault="00CF053B" w:rsidP="00FE69C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CF053B" w:rsidRDefault="00CF053B" w:rsidP="00FE69C6">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CF053B" w:rsidRPr="0041667C" w:rsidRDefault="00CF053B" w:rsidP="00FE69C6">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CF053B" w:rsidRDefault="00CF053B" w:rsidP="00CF053B">
      <w:pPr>
        <w:spacing w:before="80"/>
        <w:rPr>
          <w:i/>
          <w:sz w:val="22"/>
          <w:lang w:val="en-US"/>
        </w:rPr>
      </w:pPr>
    </w:p>
    <w:p w:rsidR="00CF053B" w:rsidRDefault="00CF053B" w:rsidP="00CF053B">
      <w:pPr>
        <w:spacing w:before="80"/>
        <w:rPr>
          <w:i/>
          <w:sz w:val="22"/>
          <w:lang w:val="en-US"/>
        </w:rPr>
      </w:pPr>
    </w:p>
    <w:p w:rsidR="00CF053B" w:rsidRDefault="00CF053B" w:rsidP="00CF053B">
      <w:pPr>
        <w:spacing w:before="80"/>
        <w:rPr>
          <w:i/>
          <w:sz w:val="22"/>
          <w:lang w:val="en-US"/>
        </w:rPr>
      </w:pPr>
    </w:p>
    <w:p w:rsidR="00CF053B" w:rsidRDefault="00CF053B" w:rsidP="00CF053B">
      <w:pPr>
        <w:spacing w:before="80"/>
        <w:rPr>
          <w:i/>
          <w:sz w:val="22"/>
          <w:lang w:val="en-US"/>
        </w:rPr>
      </w:pPr>
    </w:p>
    <w:p w:rsidR="00CF053B" w:rsidRDefault="00CF053B" w:rsidP="00CF053B">
      <w:pPr>
        <w:spacing w:before="80"/>
        <w:rPr>
          <w:i/>
          <w:sz w:val="22"/>
          <w:lang w:val="en-US"/>
        </w:rPr>
      </w:pPr>
    </w:p>
    <w:p w:rsidR="00CF053B" w:rsidRDefault="00CF053B" w:rsidP="00CF053B">
      <w:pPr>
        <w:spacing w:before="80"/>
        <w:rPr>
          <w:i/>
          <w:sz w:val="22"/>
          <w:lang w:val="en-US"/>
        </w:rPr>
      </w:pPr>
    </w:p>
    <w:p w:rsidR="00CF053B" w:rsidRDefault="00CF053B" w:rsidP="00CF053B">
      <w:pPr>
        <w:pStyle w:val="Equation"/>
        <w:tabs>
          <w:tab w:val="clear" w:pos="4820"/>
          <w:tab w:val="clear" w:pos="9639"/>
          <w:tab w:val="left" w:pos="1191"/>
          <w:tab w:val="left" w:pos="1588"/>
          <w:tab w:val="left" w:pos="1985"/>
        </w:tabs>
        <w:rPr>
          <w:rFonts w:ascii="Palatino Linotype" w:hAnsi="Palatino Linotype"/>
          <w:lang w:val="en-US"/>
        </w:rPr>
        <w:sectPr w:rsidR="00CF053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CF053B" w:rsidRPr="00586EF8" w:rsidRDefault="00CF053B" w:rsidP="00CF0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CF053B" w:rsidRDefault="00CF053B" w:rsidP="00CF05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F053B" w:rsidRDefault="00CF053B" w:rsidP="00CF05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F053B" w:rsidRPr="00B714F3" w:rsidRDefault="00CF053B" w:rsidP="00CF053B">
      <w:pPr>
        <w:pStyle w:val="Heading1"/>
        <w:spacing w:before="680"/>
        <w:jc w:val="center"/>
        <w:rPr>
          <w:szCs w:val="24"/>
          <w:lang w:val="en-US"/>
        </w:rPr>
      </w:pPr>
      <w:r w:rsidRPr="00B714F3">
        <w:rPr>
          <w:szCs w:val="24"/>
          <w:lang w:val="en-US"/>
        </w:rPr>
        <w:t>Policy on Intellectual Property Right (IPR)</w:t>
      </w:r>
    </w:p>
    <w:p w:rsidR="00CF053B" w:rsidRPr="00B714F3" w:rsidRDefault="00CF053B" w:rsidP="00CF053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F053B" w:rsidRDefault="00CF053B" w:rsidP="00CF053B">
      <w:pPr>
        <w:jc w:val="center"/>
        <w:rPr>
          <w:sz w:val="22"/>
          <w:lang w:val="en-US"/>
        </w:rPr>
      </w:pPr>
    </w:p>
    <w:p w:rsidR="00CF053B" w:rsidRDefault="00CF053B" w:rsidP="00CF05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F053B" w:rsidRPr="00C31432" w:rsidTr="00FE69C6">
        <w:tc>
          <w:tcPr>
            <w:tcW w:w="9360" w:type="dxa"/>
            <w:gridSpan w:val="2"/>
          </w:tcPr>
          <w:p w:rsidR="00CF053B" w:rsidRPr="00036EE3" w:rsidRDefault="00CF053B" w:rsidP="00FE69C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F053B" w:rsidRPr="00036EE3" w:rsidRDefault="00CF053B"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CF053B" w:rsidRPr="00036EE3" w:rsidTr="00FE69C6">
        <w:tc>
          <w:tcPr>
            <w:tcW w:w="1140" w:type="dxa"/>
          </w:tcPr>
          <w:p w:rsidR="00CF053B" w:rsidRPr="00036EE3" w:rsidRDefault="00CF053B" w:rsidP="00FE69C6">
            <w:pPr>
              <w:spacing w:before="200" w:after="100"/>
              <w:ind w:left="57"/>
              <w:rPr>
                <w:b/>
                <w:bCs/>
                <w:sz w:val="20"/>
                <w:lang w:val="en-US"/>
              </w:rPr>
            </w:pPr>
            <w:r w:rsidRPr="00036EE3">
              <w:rPr>
                <w:b/>
                <w:bCs/>
                <w:sz w:val="20"/>
                <w:lang w:val="en-US"/>
              </w:rPr>
              <w:t>Series</w:t>
            </w:r>
          </w:p>
        </w:tc>
        <w:tc>
          <w:tcPr>
            <w:tcW w:w="8220" w:type="dxa"/>
          </w:tcPr>
          <w:p w:rsidR="00CF053B" w:rsidRPr="00036EE3" w:rsidRDefault="00CF053B"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F053B" w:rsidRPr="00036EE3" w:rsidTr="00FE69C6">
        <w:tc>
          <w:tcPr>
            <w:tcW w:w="1140" w:type="dxa"/>
          </w:tcPr>
          <w:p w:rsidR="00CF053B" w:rsidRPr="00036EE3" w:rsidRDefault="00CF053B" w:rsidP="00FE69C6">
            <w:pPr>
              <w:spacing w:before="30" w:after="30"/>
              <w:ind w:left="57"/>
              <w:jc w:val="left"/>
              <w:rPr>
                <w:b/>
                <w:bCs/>
                <w:sz w:val="20"/>
                <w:lang w:val="en-US"/>
              </w:rPr>
            </w:pPr>
            <w:r w:rsidRPr="00036EE3">
              <w:rPr>
                <w:b/>
                <w:bCs/>
                <w:sz w:val="20"/>
                <w:lang w:val="en-US"/>
              </w:rPr>
              <w:t>BO</w:t>
            </w:r>
          </w:p>
        </w:tc>
        <w:tc>
          <w:tcPr>
            <w:tcW w:w="8220" w:type="dxa"/>
          </w:tcPr>
          <w:p w:rsidR="00CF053B" w:rsidRPr="00036EE3" w:rsidRDefault="00CF053B"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F053B" w:rsidRPr="00C31432" w:rsidTr="00FE69C6">
        <w:tc>
          <w:tcPr>
            <w:tcW w:w="1140" w:type="dxa"/>
            <w:tcBorders>
              <w:bottom w:val="nil"/>
            </w:tcBorders>
          </w:tcPr>
          <w:p w:rsidR="00CF053B" w:rsidRPr="00036EE3" w:rsidRDefault="00CF053B" w:rsidP="00FE69C6">
            <w:pPr>
              <w:spacing w:before="30" w:after="30"/>
              <w:ind w:left="57"/>
              <w:jc w:val="left"/>
              <w:rPr>
                <w:b/>
                <w:bCs/>
                <w:sz w:val="20"/>
                <w:lang w:val="en-US"/>
              </w:rPr>
            </w:pPr>
            <w:r w:rsidRPr="00036EE3">
              <w:rPr>
                <w:b/>
                <w:bCs/>
                <w:sz w:val="20"/>
                <w:lang w:val="en-US"/>
              </w:rPr>
              <w:t>BR</w:t>
            </w:r>
          </w:p>
        </w:tc>
        <w:tc>
          <w:tcPr>
            <w:tcW w:w="8220" w:type="dxa"/>
            <w:tcBorders>
              <w:bottom w:val="nil"/>
            </w:tcBorders>
          </w:tcPr>
          <w:p w:rsidR="00CF053B" w:rsidRPr="00036EE3" w:rsidRDefault="00CF053B"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F053B" w:rsidRPr="00036EE3" w:rsidTr="00FE69C6">
        <w:tc>
          <w:tcPr>
            <w:tcW w:w="1140" w:type="dxa"/>
            <w:tcBorders>
              <w:top w:val="nil"/>
              <w:bottom w:val="nil"/>
            </w:tcBorders>
            <w:shd w:val="clear" w:color="auto" w:fill="auto"/>
          </w:tcPr>
          <w:p w:rsidR="00CF053B" w:rsidRPr="007D224F" w:rsidRDefault="00CF053B" w:rsidP="00FE69C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F053B" w:rsidRPr="007D224F" w:rsidRDefault="00CF053B"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F053B" w:rsidRPr="00ED2695" w:rsidTr="00FE69C6">
        <w:tc>
          <w:tcPr>
            <w:tcW w:w="1140" w:type="dxa"/>
            <w:tcBorders>
              <w:top w:val="nil"/>
              <w:bottom w:val="nil"/>
            </w:tcBorders>
            <w:shd w:val="clear" w:color="auto" w:fill="auto"/>
          </w:tcPr>
          <w:p w:rsidR="00CF053B" w:rsidRPr="00ED2695" w:rsidRDefault="00CF053B" w:rsidP="00FE69C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F053B" w:rsidRPr="00ED2695" w:rsidRDefault="00CF053B"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F053B" w:rsidRPr="007D224F" w:rsidTr="00FE69C6">
        <w:tc>
          <w:tcPr>
            <w:tcW w:w="1140" w:type="dxa"/>
            <w:tcBorders>
              <w:top w:val="nil"/>
              <w:bottom w:val="nil"/>
            </w:tcBorders>
            <w:shd w:val="clear" w:color="auto" w:fill="auto"/>
          </w:tcPr>
          <w:p w:rsidR="00CF053B" w:rsidRPr="0041667C" w:rsidRDefault="00CF053B" w:rsidP="00FE69C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F053B" w:rsidRPr="0041667C" w:rsidRDefault="00CF053B" w:rsidP="00FE69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F053B" w:rsidRPr="0041667C" w:rsidTr="00FE69C6">
        <w:tc>
          <w:tcPr>
            <w:tcW w:w="1140" w:type="dxa"/>
            <w:tcBorders>
              <w:top w:val="nil"/>
              <w:bottom w:val="nil"/>
            </w:tcBorders>
            <w:shd w:val="clear" w:color="auto" w:fill="F3F3F3"/>
          </w:tcPr>
          <w:p w:rsidR="00CF053B" w:rsidRPr="0041667C" w:rsidRDefault="00CF053B" w:rsidP="00FE69C6">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CF053B" w:rsidRPr="0041667C" w:rsidRDefault="00CF053B"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CF053B" w:rsidRPr="00036EE3" w:rsidTr="00FE69C6">
        <w:tc>
          <w:tcPr>
            <w:tcW w:w="1140" w:type="dxa"/>
            <w:tcBorders>
              <w:top w:val="nil"/>
            </w:tcBorders>
          </w:tcPr>
          <w:p w:rsidR="00CF053B" w:rsidRPr="00036EE3" w:rsidRDefault="00CF053B" w:rsidP="00FE69C6">
            <w:pPr>
              <w:spacing w:before="30" w:after="30"/>
              <w:ind w:left="57"/>
              <w:jc w:val="left"/>
              <w:rPr>
                <w:b/>
                <w:bCs/>
                <w:sz w:val="20"/>
                <w:lang w:val="fr-CH"/>
              </w:rPr>
            </w:pPr>
            <w:r w:rsidRPr="00036EE3">
              <w:rPr>
                <w:b/>
                <w:bCs/>
                <w:sz w:val="20"/>
                <w:lang w:val="fr-CH"/>
              </w:rPr>
              <w:t>P</w:t>
            </w:r>
          </w:p>
        </w:tc>
        <w:tc>
          <w:tcPr>
            <w:tcW w:w="8220" w:type="dxa"/>
            <w:tcBorders>
              <w:top w:val="nil"/>
            </w:tcBorders>
          </w:tcPr>
          <w:p w:rsidR="00CF053B" w:rsidRPr="00036EE3" w:rsidRDefault="00CF053B" w:rsidP="00FE69C6">
            <w:pPr>
              <w:spacing w:before="30" w:after="30"/>
              <w:jc w:val="left"/>
              <w:rPr>
                <w:sz w:val="20"/>
                <w:lang w:val="fr-CH"/>
              </w:rPr>
            </w:pPr>
            <w:r w:rsidRPr="00036EE3">
              <w:rPr>
                <w:sz w:val="20"/>
                <w:lang w:val="fr-CH"/>
              </w:rPr>
              <w:t>Radiowave propagation</w:t>
            </w:r>
          </w:p>
        </w:tc>
      </w:tr>
      <w:tr w:rsidR="00CF053B" w:rsidRPr="00036EE3" w:rsidTr="00FE69C6">
        <w:tc>
          <w:tcPr>
            <w:tcW w:w="1140" w:type="dxa"/>
          </w:tcPr>
          <w:p w:rsidR="00CF053B" w:rsidRPr="00036EE3" w:rsidRDefault="00CF053B" w:rsidP="00FE69C6">
            <w:pPr>
              <w:spacing w:before="30" w:after="30"/>
              <w:ind w:left="57"/>
              <w:jc w:val="left"/>
              <w:rPr>
                <w:b/>
                <w:bCs/>
                <w:sz w:val="20"/>
                <w:lang w:val="en-US"/>
              </w:rPr>
            </w:pPr>
            <w:r w:rsidRPr="00036EE3">
              <w:rPr>
                <w:b/>
                <w:bCs/>
                <w:sz w:val="20"/>
                <w:lang w:val="en-US"/>
              </w:rPr>
              <w:t>RA</w:t>
            </w:r>
          </w:p>
        </w:tc>
        <w:tc>
          <w:tcPr>
            <w:tcW w:w="8220" w:type="dxa"/>
          </w:tcPr>
          <w:p w:rsidR="00CF053B" w:rsidRPr="00036EE3" w:rsidRDefault="00CF053B" w:rsidP="00FE69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F053B" w:rsidRPr="00036EE3" w:rsidTr="00FE69C6">
        <w:tc>
          <w:tcPr>
            <w:tcW w:w="1140" w:type="dxa"/>
          </w:tcPr>
          <w:p w:rsidR="00CF053B" w:rsidRPr="00036EE3" w:rsidRDefault="00CF053B" w:rsidP="00FE69C6">
            <w:pPr>
              <w:spacing w:before="30" w:after="30"/>
              <w:ind w:left="57"/>
              <w:jc w:val="left"/>
              <w:rPr>
                <w:b/>
                <w:bCs/>
                <w:sz w:val="20"/>
                <w:lang w:val="en-US"/>
              </w:rPr>
            </w:pPr>
            <w:r w:rsidRPr="00036EE3">
              <w:rPr>
                <w:b/>
                <w:bCs/>
                <w:sz w:val="20"/>
                <w:lang w:val="en-US"/>
              </w:rPr>
              <w:t>RS</w:t>
            </w:r>
          </w:p>
        </w:tc>
        <w:tc>
          <w:tcPr>
            <w:tcW w:w="8220" w:type="dxa"/>
          </w:tcPr>
          <w:p w:rsidR="00CF053B" w:rsidRPr="00036EE3" w:rsidRDefault="00CF053B" w:rsidP="00FE69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F053B" w:rsidRPr="00036EE3" w:rsidTr="00FE69C6">
        <w:tc>
          <w:tcPr>
            <w:tcW w:w="1140" w:type="dxa"/>
          </w:tcPr>
          <w:p w:rsidR="00CF053B" w:rsidRPr="00036EE3" w:rsidRDefault="00CF053B" w:rsidP="00FE69C6">
            <w:pPr>
              <w:spacing w:before="30" w:after="30"/>
              <w:ind w:left="57"/>
              <w:jc w:val="left"/>
              <w:rPr>
                <w:b/>
                <w:bCs/>
                <w:sz w:val="20"/>
                <w:lang w:val="en-US"/>
              </w:rPr>
            </w:pPr>
            <w:r w:rsidRPr="00036EE3">
              <w:rPr>
                <w:b/>
                <w:bCs/>
                <w:sz w:val="20"/>
                <w:lang w:val="en-US"/>
              </w:rPr>
              <w:t>S</w:t>
            </w:r>
          </w:p>
        </w:tc>
        <w:tc>
          <w:tcPr>
            <w:tcW w:w="8220" w:type="dxa"/>
          </w:tcPr>
          <w:p w:rsidR="00CF053B" w:rsidRPr="00036EE3" w:rsidRDefault="00CF053B" w:rsidP="00FE69C6">
            <w:pPr>
              <w:spacing w:before="30" w:after="30"/>
              <w:jc w:val="left"/>
              <w:rPr>
                <w:sz w:val="20"/>
                <w:lang w:val="en-US"/>
              </w:rPr>
            </w:pPr>
            <w:r w:rsidRPr="00036EE3">
              <w:rPr>
                <w:sz w:val="20"/>
                <w:lang w:val="en-US"/>
              </w:rPr>
              <w:t>Fixed-satellite service</w:t>
            </w:r>
          </w:p>
        </w:tc>
      </w:tr>
      <w:tr w:rsidR="00CF053B" w:rsidRPr="00036EE3" w:rsidTr="00FE69C6">
        <w:tc>
          <w:tcPr>
            <w:tcW w:w="1140" w:type="dxa"/>
          </w:tcPr>
          <w:p w:rsidR="00CF053B" w:rsidRPr="00036EE3" w:rsidRDefault="00CF053B" w:rsidP="00FE69C6">
            <w:pPr>
              <w:spacing w:before="30" w:after="30"/>
              <w:ind w:left="57"/>
              <w:jc w:val="left"/>
              <w:rPr>
                <w:b/>
                <w:bCs/>
                <w:sz w:val="20"/>
                <w:lang w:val="en-US"/>
              </w:rPr>
            </w:pPr>
            <w:r w:rsidRPr="00036EE3">
              <w:rPr>
                <w:b/>
                <w:bCs/>
                <w:sz w:val="20"/>
                <w:lang w:val="en-US"/>
              </w:rPr>
              <w:t>SA</w:t>
            </w:r>
          </w:p>
        </w:tc>
        <w:tc>
          <w:tcPr>
            <w:tcW w:w="8220" w:type="dxa"/>
          </w:tcPr>
          <w:p w:rsidR="00CF053B" w:rsidRPr="00036EE3" w:rsidRDefault="00CF053B" w:rsidP="00FE69C6">
            <w:pPr>
              <w:spacing w:before="30" w:after="30"/>
              <w:jc w:val="left"/>
              <w:rPr>
                <w:sz w:val="20"/>
                <w:lang w:val="en-US"/>
              </w:rPr>
            </w:pPr>
            <w:r w:rsidRPr="00036EE3">
              <w:rPr>
                <w:sz w:val="20"/>
                <w:lang w:val="en-US"/>
              </w:rPr>
              <w:t>Space applications and meteorology</w:t>
            </w:r>
          </w:p>
        </w:tc>
      </w:tr>
      <w:tr w:rsidR="00CF053B" w:rsidRPr="00C31432" w:rsidTr="00FE69C6">
        <w:tc>
          <w:tcPr>
            <w:tcW w:w="1140" w:type="dxa"/>
            <w:tcBorders>
              <w:bottom w:val="nil"/>
            </w:tcBorders>
          </w:tcPr>
          <w:p w:rsidR="00CF053B" w:rsidRPr="00036EE3" w:rsidRDefault="00CF053B" w:rsidP="00FE69C6">
            <w:pPr>
              <w:spacing w:before="30" w:after="30"/>
              <w:ind w:left="57"/>
              <w:jc w:val="left"/>
              <w:rPr>
                <w:b/>
                <w:bCs/>
                <w:sz w:val="20"/>
                <w:lang w:val="en-US"/>
              </w:rPr>
            </w:pPr>
            <w:r w:rsidRPr="00036EE3">
              <w:rPr>
                <w:b/>
                <w:bCs/>
                <w:sz w:val="20"/>
                <w:lang w:val="en-US"/>
              </w:rPr>
              <w:t>SF</w:t>
            </w:r>
          </w:p>
        </w:tc>
        <w:tc>
          <w:tcPr>
            <w:tcW w:w="8220" w:type="dxa"/>
            <w:tcBorders>
              <w:bottom w:val="nil"/>
            </w:tcBorders>
          </w:tcPr>
          <w:p w:rsidR="00CF053B" w:rsidRPr="00036EE3" w:rsidRDefault="00CF053B" w:rsidP="00FE69C6">
            <w:pPr>
              <w:spacing w:before="30" w:after="30"/>
              <w:jc w:val="left"/>
              <w:rPr>
                <w:sz w:val="20"/>
                <w:lang w:val="en-US"/>
              </w:rPr>
            </w:pPr>
            <w:r w:rsidRPr="00036EE3">
              <w:rPr>
                <w:sz w:val="20"/>
                <w:lang w:val="en-US"/>
              </w:rPr>
              <w:t>Frequency sharing and coordination between fixed-satellite and fixed service systems</w:t>
            </w:r>
          </w:p>
        </w:tc>
      </w:tr>
      <w:tr w:rsidR="00CF053B" w:rsidRPr="00036EE3" w:rsidTr="00FE69C6">
        <w:tc>
          <w:tcPr>
            <w:tcW w:w="1140" w:type="dxa"/>
            <w:tcBorders>
              <w:top w:val="nil"/>
              <w:bottom w:val="nil"/>
            </w:tcBorders>
            <w:shd w:val="clear" w:color="auto" w:fill="auto"/>
          </w:tcPr>
          <w:p w:rsidR="00CF053B" w:rsidRPr="000A4386" w:rsidRDefault="00CF053B" w:rsidP="00FE69C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F053B" w:rsidRPr="000A4386" w:rsidRDefault="00CF053B" w:rsidP="00FE69C6">
            <w:pPr>
              <w:spacing w:before="30" w:after="30"/>
              <w:jc w:val="left"/>
              <w:rPr>
                <w:sz w:val="20"/>
                <w:lang w:val="en-US"/>
              </w:rPr>
            </w:pPr>
            <w:r w:rsidRPr="000A4386">
              <w:rPr>
                <w:sz w:val="20"/>
                <w:lang w:val="en-US"/>
              </w:rPr>
              <w:t>Spectrum management</w:t>
            </w:r>
          </w:p>
        </w:tc>
      </w:tr>
      <w:tr w:rsidR="00CF053B" w:rsidRPr="00036EE3" w:rsidTr="00FE69C6">
        <w:tc>
          <w:tcPr>
            <w:tcW w:w="1140" w:type="dxa"/>
            <w:tcBorders>
              <w:top w:val="nil"/>
            </w:tcBorders>
          </w:tcPr>
          <w:p w:rsidR="00CF053B" w:rsidRPr="00036EE3" w:rsidRDefault="00CF053B" w:rsidP="00FE69C6">
            <w:pPr>
              <w:spacing w:before="30" w:after="30"/>
              <w:ind w:left="57"/>
              <w:jc w:val="left"/>
              <w:rPr>
                <w:b/>
                <w:bCs/>
                <w:sz w:val="20"/>
                <w:lang w:val="en-US"/>
              </w:rPr>
            </w:pPr>
            <w:r w:rsidRPr="00036EE3">
              <w:rPr>
                <w:b/>
                <w:bCs/>
                <w:sz w:val="20"/>
                <w:lang w:val="en-US"/>
              </w:rPr>
              <w:t>SNG</w:t>
            </w:r>
          </w:p>
        </w:tc>
        <w:tc>
          <w:tcPr>
            <w:tcW w:w="8220" w:type="dxa"/>
            <w:tcBorders>
              <w:top w:val="nil"/>
            </w:tcBorders>
          </w:tcPr>
          <w:p w:rsidR="00CF053B" w:rsidRPr="00036EE3" w:rsidRDefault="00CF053B" w:rsidP="00FE69C6">
            <w:pPr>
              <w:spacing w:before="30" w:after="30"/>
              <w:jc w:val="left"/>
              <w:rPr>
                <w:sz w:val="20"/>
                <w:lang w:val="en-US"/>
              </w:rPr>
            </w:pPr>
            <w:r w:rsidRPr="00036EE3">
              <w:rPr>
                <w:sz w:val="20"/>
                <w:lang w:val="en-US"/>
              </w:rPr>
              <w:t>Satellite news gathering</w:t>
            </w:r>
          </w:p>
        </w:tc>
      </w:tr>
      <w:tr w:rsidR="00CF053B" w:rsidRPr="00C31432" w:rsidTr="00FE69C6">
        <w:tc>
          <w:tcPr>
            <w:tcW w:w="1140" w:type="dxa"/>
          </w:tcPr>
          <w:p w:rsidR="00CF053B" w:rsidRPr="00036EE3" w:rsidRDefault="00CF053B" w:rsidP="00FE69C6">
            <w:pPr>
              <w:spacing w:before="30" w:after="30"/>
              <w:ind w:left="57"/>
              <w:jc w:val="left"/>
              <w:rPr>
                <w:b/>
                <w:bCs/>
                <w:sz w:val="20"/>
                <w:lang w:val="en-US"/>
              </w:rPr>
            </w:pPr>
            <w:r w:rsidRPr="00036EE3">
              <w:rPr>
                <w:b/>
                <w:bCs/>
                <w:sz w:val="20"/>
                <w:lang w:val="en-US"/>
              </w:rPr>
              <w:t>TF</w:t>
            </w:r>
          </w:p>
        </w:tc>
        <w:tc>
          <w:tcPr>
            <w:tcW w:w="8220" w:type="dxa"/>
          </w:tcPr>
          <w:p w:rsidR="00CF053B" w:rsidRPr="00036EE3" w:rsidRDefault="00CF053B" w:rsidP="00FE69C6">
            <w:pPr>
              <w:spacing w:before="30" w:after="30"/>
              <w:jc w:val="left"/>
              <w:rPr>
                <w:sz w:val="20"/>
                <w:lang w:val="en-US"/>
              </w:rPr>
            </w:pPr>
            <w:r w:rsidRPr="00036EE3">
              <w:rPr>
                <w:sz w:val="20"/>
                <w:lang w:val="en-US"/>
              </w:rPr>
              <w:t>Time signals and frequency standards emissions</w:t>
            </w:r>
          </w:p>
        </w:tc>
      </w:tr>
      <w:tr w:rsidR="00CF053B" w:rsidRPr="00036EE3" w:rsidTr="00FE69C6">
        <w:tc>
          <w:tcPr>
            <w:tcW w:w="1140" w:type="dxa"/>
          </w:tcPr>
          <w:p w:rsidR="00CF053B" w:rsidRPr="00036EE3" w:rsidRDefault="00CF053B" w:rsidP="00FE69C6">
            <w:pPr>
              <w:spacing w:before="30" w:after="30"/>
              <w:ind w:left="57"/>
              <w:jc w:val="left"/>
              <w:rPr>
                <w:b/>
                <w:bCs/>
                <w:sz w:val="20"/>
                <w:lang w:val="en-US"/>
              </w:rPr>
            </w:pPr>
            <w:r w:rsidRPr="00036EE3">
              <w:rPr>
                <w:b/>
                <w:bCs/>
                <w:sz w:val="20"/>
                <w:lang w:val="en-US"/>
              </w:rPr>
              <w:t>V</w:t>
            </w:r>
          </w:p>
        </w:tc>
        <w:tc>
          <w:tcPr>
            <w:tcW w:w="8220" w:type="dxa"/>
          </w:tcPr>
          <w:p w:rsidR="00CF053B" w:rsidRPr="00036EE3" w:rsidRDefault="00CF053B" w:rsidP="00FE69C6">
            <w:pPr>
              <w:spacing w:before="30" w:after="180"/>
              <w:jc w:val="left"/>
              <w:rPr>
                <w:sz w:val="20"/>
                <w:lang w:val="en-US"/>
              </w:rPr>
            </w:pPr>
            <w:r w:rsidRPr="00036EE3">
              <w:rPr>
                <w:sz w:val="20"/>
                <w:lang w:val="en-US"/>
              </w:rPr>
              <w:t>Vocabulary and related subjects</w:t>
            </w:r>
          </w:p>
        </w:tc>
      </w:tr>
    </w:tbl>
    <w:p w:rsidR="00CF053B" w:rsidRPr="00036EE3" w:rsidRDefault="00CF053B" w:rsidP="00CF05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F053B" w:rsidTr="00FE69C6">
        <w:tc>
          <w:tcPr>
            <w:tcW w:w="720" w:type="dxa"/>
          </w:tcPr>
          <w:p w:rsidR="00CF053B" w:rsidRDefault="00CF053B" w:rsidP="00FE69C6">
            <w:pPr>
              <w:jc w:val="center"/>
              <w:rPr>
                <w:sz w:val="22"/>
                <w:lang w:val="en-US"/>
              </w:rPr>
            </w:pPr>
          </w:p>
        </w:tc>
      </w:tr>
    </w:tbl>
    <w:p w:rsidR="00CF053B" w:rsidRPr="00036EE3" w:rsidRDefault="00CF053B" w:rsidP="00CF053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F053B" w:rsidRPr="00C31432" w:rsidTr="00FE69C6">
        <w:tc>
          <w:tcPr>
            <w:tcW w:w="9360" w:type="dxa"/>
          </w:tcPr>
          <w:p w:rsidR="00CF053B" w:rsidRPr="002F5199" w:rsidRDefault="00CF053B" w:rsidP="00FE69C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F053B" w:rsidRDefault="00CF053B" w:rsidP="00CF053B">
      <w:pPr>
        <w:spacing w:before="0"/>
        <w:jc w:val="center"/>
        <w:rPr>
          <w:sz w:val="22"/>
          <w:lang w:val="en-US"/>
        </w:rPr>
      </w:pPr>
    </w:p>
    <w:p w:rsidR="00CF053B" w:rsidRDefault="00CF053B" w:rsidP="00CF053B">
      <w:pPr>
        <w:spacing w:before="0"/>
        <w:jc w:val="center"/>
        <w:rPr>
          <w:sz w:val="22"/>
          <w:lang w:val="en-US"/>
        </w:rPr>
      </w:pPr>
    </w:p>
    <w:p w:rsidR="00CF053B" w:rsidRPr="002F5199" w:rsidRDefault="00CF053B" w:rsidP="00CF053B">
      <w:pPr>
        <w:spacing w:before="0"/>
        <w:jc w:val="right"/>
        <w:rPr>
          <w:i/>
          <w:iCs/>
          <w:sz w:val="20"/>
          <w:lang w:val="en-US"/>
        </w:rPr>
      </w:pPr>
      <w:r w:rsidRPr="002F5199">
        <w:rPr>
          <w:i/>
          <w:iCs/>
          <w:sz w:val="20"/>
          <w:lang w:val="en-US"/>
        </w:rPr>
        <w:t>Electronic Publication</w:t>
      </w:r>
    </w:p>
    <w:p w:rsidR="00CF053B" w:rsidRPr="002F5199" w:rsidRDefault="00CF053B" w:rsidP="0065256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65256A">
        <w:rPr>
          <w:sz w:val="20"/>
          <w:lang w:val="en-US"/>
        </w:rPr>
        <w:t>8</w:t>
      </w:r>
    </w:p>
    <w:p w:rsidR="00CF053B" w:rsidRDefault="00CF053B" w:rsidP="00CF053B">
      <w:pPr>
        <w:jc w:val="center"/>
        <w:rPr>
          <w:sz w:val="22"/>
          <w:lang w:val="en-US"/>
        </w:rPr>
      </w:pPr>
    </w:p>
    <w:p w:rsidR="00CF053B" w:rsidRPr="00470E28" w:rsidRDefault="00CF053B" w:rsidP="0065256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65256A">
        <w:rPr>
          <w:sz w:val="20"/>
          <w:lang w:val="en-US"/>
        </w:rPr>
        <w:t>8</w:t>
      </w:r>
    </w:p>
    <w:p w:rsidR="00CF053B" w:rsidRPr="00470E28" w:rsidRDefault="00CF053B" w:rsidP="00CF05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F053B" w:rsidRDefault="00CF053B" w:rsidP="00CF053B">
      <w:pPr>
        <w:spacing w:before="160"/>
        <w:rPr>
          <w:i/>
          <w:sz w:val="20"/>
          <w:lang w:val="en-US"/>
        </w:rPr>
        <w:sectPr w:rsidR="00CF053B" w:rsidSect="0065256A">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rsidR="00CF053B" w:rsidRPr="00052F66" w:rsidRDefault="00CF053B" w:rsidP="00CF053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65256A">
        <w:rPr>
          <w:rStyle w:val="href"/>
          <w:lang w:val="en-US"/>
        </w:rPr>
        <w:t>1640-1</w:t>
      </w:r>
    </w:p>
    <w:p w:rsidR="00CF053B" w:rsidRPr="0065256A" w:rsidRDefault="0065256A" w:rsidP="0065256A">
      <w:pPr>
        <w:pStyle w:val="Rectitle"/>
        <w:rPr>
          <w:lang w:val="en-GB"/>
        </w:rPr>
      </w:pPr>
      <w:r w:rsidRPr="0065256A">
        <w:rPr>
          <w:lang w:val="en-GB"/>
        </w:rPr>
        <w:t xml:space="preserve">Characteristics of, and protection criteria for sharing studies </w:t>
      </w:r>
      <w:r w:rsidRPr="0065256A">
        <w:rPr>
          <w:lang w:val="en-GB"/>
        </w:rPr>
        <w:br/>
        <w:t xml:space="preserve">for radars operating in the radiodetermination service </w:t>
      </w:r>
      <w:r w:rsidRPr="0065256A">
        <w:rPr>
          <w:lang w:val="en-GB"/>
        </w:rPr>
        <w:br/>
        <w:t>in the frequency band 33.4-36 GHz</w:t>
      </w:r>
    </w:p>
    <w:p w:rsidR="0065256A" w:rsidRDefault="0065256A" w:rsidP="00D168C4">
      <w:pPr>
        <w:pStyle w:val="Recref"/>
        <w:rPr>
          <w:lang w:val="en-GB"/>
        </w:rPr>
      </w:pPr>
      <w:r w:rsidRPr="0065256A">
        <w:rPr>
          <w:lang w:val="en-GB"/>
        </w:rPr>
        <w:t>(Questions ITU-R 213/7 and ITU-R 226/8)</w:t>
      </w:r>
    </w:p>
    <w:p w:rsidR="0065256A" w:rsidRPr="0065256A" w:rsidRDefault="0065256A" w:rsidP="00D168C4">
      <w:pPr>
        <w:pStyle w:val="Recdate"/>
        <w:rPr>
          <w:lang w:val="en-GB"/>
        </w:rPr>
      </w:pPr>
      <w:r w:rsidRPr="0065256A">
        <w:rPr>
          <w:lang w:val="en-GB"/>
        </w:rPr>
        <w:t>(2003-2018)</w:t>
      </w:r>
    </w:p>
    <w:p w:rsidR="00761F30" w:rsidRPr="00C8398E" w:rsidRDefault="00761F30" w:rsidP="00761F30">
      <w:pPr>
        <w:rPr>
          <w:lang w:val="en-GB"/>
        </w:rPr>
      </w:pPr>
    </w:p>
    <w:p w:rsidR="00C31432" w:rsidRDefault="00C31432" w:rsidP="00C31432">
      <w:pPr>
        <w:pStyle w:val="HeadingSum"/>
        <w:rPr>
          <w:lang w:val="en-GB"/>
        </w:rPr>
      </w:pPr>
      <w:r>
        <w:rPr>
          <w:lang w:val="en-GB"/>
        </w:rPr>
        <w:t>Scope</w:t>
      </w:r>
    </w:p>
    <w:p w:rsidR="00C31432" w:rsidRPr="00C31432" w:rsidRDefault="00C31432" w:rsidP="00C31432">
      <w:pPr>
        <w:pStyle w:val="Summary"/>
        <w:rPr>
          <w:lang w:val="en-GB"/>
        </w:rPr>
      </w:pPr>
      <w:r w:rsidRPr="00C31432">
        <w:rPr>
          <w:lang w:val="en-GB"/>
        </w:rPr>
        <w:t>This Recommendation provides the technical characteristics and protection criteria for the radiodetermination systems operating in the band 33.4-36 GHz. The text was developed as a resource document intended to support sharing studies where sharing between the radiodetermination service and other services may be possible.</w:t>
      </w:r>
    </w:p>
    <w:p w:rsidR="0065256A" w:rsidRDefault="0065256A" w:rsidP="00D168C4">
      <w:pPr>
        <w:pStyle w:val="Headingb"/>
        <w:rPr>
          <w:lang w:val="en-GB"/>
        </w:rPr>
      </w:pPr>
      <w:r>
        <w:rPr>
          <w:lang w:val="en-GB"/>
        </w:rPr>
        <w:t>Keywords</w:t>
      </w:r>
    </w:p>
    <w:p w:rsidR="0065256A" w:rsidRDefault="0065256A" w:rsidP="00D168C4">
      <w:pPr>
        <w:rPr>
          <w:lang w:val="en-GB"/>
        </w:rPr>
      </w:pPr>
      <w:r w:rsidRPr="0065256A">
        <w:rPr>
          <w:lang w:val="en-GB"/>
        </w:rPr>
        <w:t>Characteristics, protection criteria, radar, radiometric imagers, metric radar, seeker, search radar, track radar</w:t>
      </w:r>
    </w:p>
    <w:p w:rsidR="0065256A" w:rsidRDefault="0065256A" w:rsidP="0065256A">
      <w:pPr>
        <w:pStyle w:val="Headingb"/>
        <w:rPr>
          <w:lang w:val="en-GB"/>
        </w:rPr>
      </w:pPr>
      <w:r>
        <w:rPr>
          <w:lang w:val="en-GB"/>
        </w:rPr>
        <w:t>Abbreviations/Glossary</w:t>
      </w:r>
    </w:p>
    <w:p w:rsidR="0065256A" w:rsidRDefault="0065256A" w:rsidP="00D168C4">
      <w:pPr>
        <w:rPr>
          <w:lang w:val="en-GB"/>
        </w:rPr>
      </w:pPr>
      <w:r w:rsidRPr="0065256A">
        <w:rPr>
          <w:lang w:val="en-GB"/>
        </w:rPr>
        <w:t xml:space="preserve">IF: </w:t>
      </w:r>
      <w:r w:rsidRPr="0065256A">
        <w:rPr>
          <w:lang w:val="en-GB"/>
        </w:rPr>
        <w:tab/>
        <w:t>Intermediate frequency</w:t>
      </w:r>
    </w:p>
    <w:p w:rsidR="0065256A" w:rsidRPr="0065256A" w:rsidRDefault="0065256A" w:rsidP="00D168C4">
      <w:pPr>
        <w:rPr>
          <w:lang w:val="en-GB"/>
        </w:rPr>
      </w:pPr>
      <w:r w:rsidRPr="0065256A">
        <w:rPr>
          <w:lang w:val="en-GB"/>
        </w:rPr>
        <w:t xml:space="preserve">RF: </w:t>
      </w:r>
      <w:r w:rsidRPr="0065256A">
        <w:rPr>
          <w:lang w:val="en-GB"/>
        </w:rPr>
        <w:tab/>
        <w:t>Radio frequency</w:t>
      </w:r>
    </w:p>
    <w:p w:rsidR="0065256A" w:rsidRPr="0065256A" w:rsidRDefault="0065256A" w:rsidP="00D168C4">
      <w:pPr>
        <w:rPr>
          <w:lang w:val="en-GB"/>
        </w:rPr>
      </w:pPr>
      <w:r w:rsidRPr="0065256A">
        <w:rPr>
          <w:lang w:val="en-GB"/>
        </w:rPr>
        <w:t xml:space="preserve">RR: </w:t>
      </w:r>
      <w:r w:rsidRPr="0065256A">
        <w:rPr>
          <w:lang w:val="en-GB"/>
        </w:rPr>
        <w:tab/>
        <w:t>Radio regulations</w:t>
      </w:r>
    </w:p>
    <w:p w:rsidR="0065256A" w:rsidRPr="0065256A" w:rsidRDefault="0065256A" w:rsidP="00D168C4">
      <w:pPr>
        <w:rPr>
          <w:lang w:val="en-GB"/>
        </w:rPr>
      </w:pPr>
      <w:r w:rsidRPr="0065256A">
        <w:rPr>
          <w:lang w:val="en-GB"/>
        </w:rPr>
        <w:t xml:space="preserve">Rx: </w:t>
      </w:r>
      <w:r w:rsidRPr="0065256A">
        <w:rPr>
          <w:lang w:val="en-GB"/>
        </w:rPr>
        <w:tab/>
        <w:t>Receive</w:t>
      </w:r>
    </w:p>
    <w:p w:rsidR="0065256A" w:rsidRPr="0065256A" w:rsidRDefault="0065256A" w:rsidP="00D168C4">
      <w:pPr>
        <w:rPr>
          <w:lang w:val="en-GB"/>
        </w:rPr>
      </w:pPr>
      <w:r w:rsidRPr="0065256A">
        <w:rPr>
          <w:lang w:val="en-GB"/>
        </w:rPr>
        <w:t xml:space="preserve">Tx: </w:t>
      </w:r>
      <w:r w:rsidRPr="0065256A">
        <w:rPr>
          <w:lang w:val="en-GB"/>
        </w:rPr>
        <w:tab/>
        <w:t>Transmit</w:t>
      </w:r>
    </w:p>
    <w:p w:rsidR="0065256A" w:rsidRDefault="0065256A" w:rsidP="00D168C4">
      <w:pPr>
        <w:pStyle w:val="Headingb"/>
        <w:rPr>
          <w:rFonts w:eastAsia="SimSun"/>
          <w:lang w:val="en-GB"/>
        </w:rPr>
      </w:pPr>
      <w:r>
        <w:rPr>
          <w:rFonts w:eastAsia="SimSun"/>
          <w:lang w:val="en-GB"/>
        </w:rPr>
        <w:t>Related ITU Recommendations and Reports</w:t>
      </w:r>
    </w:p>
    <w:p w:rsidR="0065256A" w:rsidRDefault="0065256A" w:rsidP="00D168C4">
      <w:pPr>
        <w:rPr>
          <w:rFonts w:eastAsia="SimSun"/>
          <w:lang w:val="en-GB"/>
        </w:rPr>
      </w:pPr>
      <w:r w:rsidRPr="0065256A">
        <w:rPr>
          <w:rFonts w:eastAsia="SimSun"/>
          <w:lang w:val="en-GB"/>
        </w:rPr>
        <w:t xml:space="preserve">Recommendation ITU-R M.1461 </w:t>
      </w:r>
      <w:r w:rsidR="00D168C4">
        <w:rPr>
          <w:rFonts w:eastAsia="SimSun"/>
          <w:lang w:val="en-GB"/>
        </w:rPr>
        <w:t>–</w:t>
      </w:r>
      <w:r w:rsidRPr="0065256A">
        <w:rPr>
          <w:rFonts w:eastAsia="SimSun"/>
          <w:lang w:val="en-GB"/>
        </w:rPr>
        <w:t xml:space="preserve"> Procedures for determining the potential for interference between radars operating in the radiodetermination service and systems in other services</w:t>
      </w:r>
    </w:p>
    <w:p w:rsidR="0065256A" w:rsidRPr="0065256A" w:rsidRDefault="0065256A" w:rsidP="0065256A">
      <w:pPr>
        <w:pStyle w:val="Normalaftertitle"/>
        <w:rPr>
          <w:lang w:val="en-GB"/>
        </w:rPr>
      </w:pPr>
      <w:r w:rsidRPr="0065256A">
        <w:rPr>
          <w:lang w:val="en-GB"/>
        </w:rPr>
        <w:t>The ITU Radiocommunication Assembly,</w:t>
      </w:r>
    </w:p>
    <w:p w:rsidR="0065256A" w:rsidRPr="0065256A" w:rsidRDefault="0065256A" w:rsidP="0065256A">
      <w:pPr>
        <w:pStyle w:val="Call"/>
        <w:rPr>
          <w:lang w:val="en-GB"/>
        </w:rPr>
      </w:pPr>
      <w:r w:rsidRPr="0065256A">
        <w:rPr>
          <w:lang w:val="en-GB"/>
        </w:rPr>
        <w:t>considering</w:t>
      </w:r>
    </w:p>
    <w:p w:rsidR="0065256A" w:rsidRPr="0065256A" w:rsidRDefault="0065256A" w:rsidP="0065256A">
      <w:pPr>
        <w:rPr>
          <w:lang w:val="en-GB"/>
        </w:rPr>
      </w:pPr>
      <w:r w:rsidRPr="0065256A">
        <w:rPr>
          <w:i/>
          <w:iCs/>
          <w:lang w:val="en-GB"/>
        </w:rPr>
        <w:t>a)</w:t>
      </w:r>
      <w:r w:rsidRPr="0065256A">
        <w:rPr>
          <w:lang w:val="en-GB"/>
        </w:rPr>
        <w:tab/>
        <w:t>the antenna, signal propagation, target detection, and large necessary bandwidth characteristics of radar to achieve their functions are optimum in certain frequency bands;</w:t>
      </w:r>
    </w:p>
    <w:p w:rsidR="0065256A" w:rsidRPr="0065256A" w:rsidRDefault="0065256A" w:rsidP="0065256A">
      <w:pPr>
        <w:rPr>
          <w:i/>
          <w:lang w:val="en-GB"/>
        </w:rPr>
      </w:pPr>
      <w:r w:rsidRPr="0065256A">
        <w:rPr>
          <w:i/>
          <w:iCs/>
          <w:lang w:val="en-GB"/>
        </w:rPr>
        <w:t>b)</w:t>
      </w:r>
      <w:r w:rsidRPr="0065256A">
        <w:rPr>
          <w:lang w:val="en-GB"/>
        </w:rPr>
        <w:tab/>
        <w:t>that the technical characteristics of radiodetermination radars are determined by the mission of the system and vary widely even within a band;</w:t>
      </w:r>
    </w:p>
    <w:p w:rsidR="0065256A" w:rsidRPr="0065256A" w:rsidRDefault="0065256A" w:rsidP="0065256A">
      <w:pPr>
        <w:rPr>
          <w:lang w:val="en-GB"/>
        </w:rPr>
      </w:pPr>
      <w:r w:rsidRPr="0065256A">
        <w:rPr>
          <w:i/>
          <w:iCs/>
          <w:lang w:val="en-GB"/>
        </w:rPr>
        <w:t>c)</w:t>
      </w:r>
      <w:r w:rsidRPr="0065256A">
        <w:rPr>
          <w:lang w:val="en-GB"/>
        </w:rPr>
        <w:tab/>
        <w:t>that representative technical and operational characteristics of radars are required to determine the feasibility of introducing new types of systems into frequency bands;</w:t>
      </w:r>
    </w:p>
    <w:p w:rsidR="0065256A" w:rsidRPr="0065256A" w:rsidRDefault="0065256A" w:rsidP="0065256A">
      <w:pPr>
        <w:rPr>
          <w:lang w:val="en-GB"/>
        </w:rPr>
      </w:pPr>
      <w:r w:rsidRPr="0065256A">
        <w:rPr>
          <w:i/>
          <w:iCs/>
          <w:lang w:val="en-GB"/>
        </w:rPr>
        <w:t>d)</w:t>
      </w:r>
      <w:r w:rsidRPr="0065256A">
        <w:rPr>
          <w:lang w:val="en-GB"/>
        </w:rPr>
        <w:tab/>
        <w:t xml:space="preserve">that procedures and methodologies to analyse compatibility between radars and systems in other services are provided in Recommendation </w:t>
      </w:r>
      <w:r w:rsidRPr="00ED1BFB">
        <w:rPr>
          <w:lang w:val="en-GB"/>
        </w:rPr>
        <w:t>ITU-R M.1461</w:t>
      </w:r>
      <w:r w:rsidRPr="0065256A">
        <w:rPr>
          <w:lang w:val="en-GB"/>
        </w:rPr>
        <w:t>;</w:t>
      </w:r>
    </w:p>
    <w:p w:rsidR="0065256A" w:rsidRPr="0065256A" w:rsidRDefault="0065256A" w:rsidP="0065256A">
      <w:pPr>
        <w:rPr>
          <w:i/>
          <w:lang w:val="en-GB"/>
        </w:rPr>
      </w:pPr>
      <w:r w:rsidRPr="0065256A">
        <w:rPr>
          <w:i/>
          <w:iCs/>
          <w:lang w:val="en-GB"/>
        </w:rPr>
        <w:t>e)</w:t>
      </w:r>
      <w:r w:rsidRPr="0065256A">
        <w:rPr>
          <w:lang w:val="en-GB"/>
        </w:rPr>
        <w:tab/>
        <w:t>that radiodetermination radars operate in the frequency band 33.4-36 GHz;</w:t>
      </w:r>
    </w:p>
    <w:p w:rsidR="0065256A" w:rsidRPr="0065256A" w:rsidRDefault="0065256A" w:rsidP="0065256A">
      <w:pPr>
        <w:rPr>
          <w:lang w:val="en-GB"/>
        </w:rPr>
      </w:pPr>
      <w:r w:rsidRPr="0065256A">
        <w:rPr>
          <w:i/>
          <w:iCs/>
          <w:lang w:val="en-GB"/>
        </w:rPr>
        <w:t>f)</w:t>
      </w:r>
      <w:r w:rsidRPr="0065256A">
        <w:rPr>
          <w:lang w:val="en-GB"/>
        </w:rPr>
        <w:tab/>
        <w:t>that the frequency band 33.4-34.2 GHz is allocated to the radiolocation service on a primary basis;</w:t>
      </w:r>
    </w:p>
    <w:p w:rsidR="0065256A" w:rsidRPr="0065256A" w:rsidRDefault="0065256A" w:rsidP="0065256A">
      <w:pPr>
        <w:rPr>
          <w:i/>
          <w:lang w:val="en-GB"/>
        </w:rPr>
      </w:pPr>
      <w:r w:rsidRPr="0065256A">
        <w:rPr>
          <w:i/>
          <w:iCs/>
          <w:lang w:val="en-GB"/>
        </w:rPr>
        <w:lastRenderedPageBreak/>
        <w:t>g)</w:t>
      </w:r>
      <w:r w:rsidRPr="0065256A">
        <w:rPr>
          <w:lang w:val="en-GB"/>
        </w:rPr>
        <w:tab/>
        <w:t>that the frequency band 34.2-34.7 GHz is allocated to the radiolocation and space research (deep space) (Earth-to-space) services on a primary basis;</w:t>
      </w:r>
    </w:p>
    <w:p w:rsidR="0065256A" w:rsidRPr="0065256A" w:rsidRDefault="0065256A" w:rsidP="0065256A">
      <w:pPr>
        <w:rPr>
          <w:i/>
          <w:lang w:val="en-GB"/>
        </w:rPr>
      </w:pPr>
      <w:r w:rsidRPr="0065256A">
        <w:rPr>
          <w:i/>
          <w:iCs/>
          <w:lang w:val="en-GB"/>
        </w:rPr>
        <w:t>h)</w:t>
      </w:r>
      <w:r w:rsidRPr="0065256A">
        <w:rPr>
          <w:lang w:val="en-GB"/>
        </w:rPr>
        <w:tab/>
        <w:t>that the frequency band 34.7-35.2 GHz is allocated to the radiolocation service on a primary basis and to space research service on a secondary basis;</w:t>
      </w:r>
    </w:p>
    <w:p w:rsidR="0065256A" w:rsidRPr="0065256A" w:rsidRDefault="0065256A" w:rsidP="0065256A">
      <w:pPr>
        <w:rPr>
          <w:i/>
          <w:lang w:val="en-GB"/>
        </w:rPr>
      </w:pPr>
      <w:r w:rsidRPr="0065256A">
        <w:rPr>
          <w:i/>
          <w:iCs/>
          <w:lang w:val="en-GB"/>
        </w:rPr>
        <w:t>i)</w:t>
      </w:r>
      <w:r w:rsidRPr="0065256A">
        <w:rPr>
          <w:lang w:val="en-GB"/>
        </w:rPr>
        <w:tab/>
        <w:t xml:space="preserve">that the frequency band 35.2-35.5 GHz is allocated to the meteorological aids and radiolocation services on a primary basis; </w:t>
      </w:r>
    </w:p>
    <w:p w:rsidR="0065256A" w:rsidRPr="0065256A" w:rsidRDefault="0065256A" w:rsidP="0065256A">
      <w:pPr>
        <w:rPr>
          <w:i/>
          <w:lang w:val="en-GB"/>
        </w:rPr>
      </w:pPr>
      <w:r w:rsidRPr="0065256A">
        <w:rPr>
          <w:i/>
          <w:iCs/>
          <w:lang w:val="en-GB"/>
        </w:rPr>
        <w:t>j)</w:t>
      </w:r>
      <w:r w:rsidRPr="0065256A">
        <w:rPr>
          <w:lang w:val="en-GB"/>
        </w:rPr>
        <w:tab/>
        <w:t>that the frequency band 35.5-36 GHz is allocated to the meteorological aids, Earth exploration-satellite (active), radiolocation, and space research (active) services on a primary basis,</w:t>
      </w:r>
    </w:p>
    <w:p w:rsidR="0065256A" w:rsidRPr="0065256A" w:rsidRDefault="0065256A" w:rsidP="0065256A">
      <w:pPr>
        <w:pStyle w:val="Call"/>
        <w:rPr>
          <w:b/>
          <w:lang w:val="en-GB"/>
        </w:rPr>
      </w:pPr>
      <w:r w:rsidRPr="0065256A">
        <w:rPr>
          <w:lang w:val="en-GB"/>
        </w:rPr>
        <w:t>recommends</w:t>
      </w:r>
    </w:p>
    <w:p w:rsidR="0065256A" w:rsidRPr="0065256A" w:rsidRDefault="0065256A" w:rsidP="0065256A">
      <w:pPr>
        <w:rPr>
          <w:lang w:val="en-GB"/>
        </w:rPr>
      </w:pPr>
      <w:r w:rsidRPr="00ED1BFB">
        <w:rPr>
          <w:b/>
          <w:bCs/>
          <w:lang w:val="en-GB"/>
        </w:rPr>
        <w:t>1</w:t>
      </w:r>
      <w:r w:rsidRPr="0065256A">
        <w:rPr>
          <w:lang w:val="en-GB"/>
        </w:rPr>
        <w:tab/>
        <w:t>that the technical and operational characteristics of the radiodetermination radars described in Annex 1 should be considered representative of those operating in the frequency band 33.4</w:t>
      </w:r>
      <w:r w:rsidRPr="0065256A">
        <w:rPr>
          <w:lang w:val="en-GB"/>
        </w:rPr>
        <w:noBreakHyphen/>
        <w:t>36 GHz;</w:t>
      </w:r>
    </w:p>
    <w:p w:rsidR="0065256A" w:rsidRPr="00ED1BFB" w:rsidRDefault="00ED1BFB" w:rsidP="00ED1BFB">
      <w:pPr>
        <w:rPr>
          <w:lang w:val="en-GB"/>
        </w:rPr>
      </w:pPr>
      <w:r w:rsidRPr="00ED1BFB">
        <w:rPr>
          <w:b/>
          <w:bCs/>
          <w:lang w:val="en-GB"/>
        </w:rPr>
        <w:t>2</w:t>
      </w:r>
      <w:r>
        <w:rPr>
          <w:lang w:val="en-GB"/>
        </w:rPr>
        <w:tab/>
      </w:r>
      <w:r w:rsidR="0065256A" w:rsidRPr="00ED1BFB">
        <w:rPr>
          <w:lang w:val="en-GB"/>
        </w:rPr>
        <w:t xml:space="preserve">that in the case of continuous (non-pulsed) interference, an interfering signal power to radar receiver noise power level, </w:t>
      </w:r>
      <w:r w:rsidR="0065256A" w:rsidRPr="00ED1BFB">
        <w:rPr>
          <w:i/>
          <w:lang w:val="en-GB"/>
        </w:rPr>
        <w:t>I</w:t>
      </w:r>
      <w:r w:rsidR="0065256A" w:rsidRPr="00ED1BFB">
        <w:rPr>
          <w:lang w:val="en-GB"/>
        </w:rPr>
        <w:t>/</w:t>
      </w:r>
      <w:r w:rsidR="0065256A" w:rsidRPr="00ED1BFB">
        <w:rPr>
          <w:i/>
          <w:lang w:val="en-GB"/>
        </w:rPr>
        <w:t>N</w:t>
      </w:r>
      <w:r w:rsidR="0065256A" w:rsidRPr="00ED1BFB">
        <w:rPr>
          <w:lang w:val="en-GB"/>
        </w:rPr>
        <w:t xml:space="preserve">, of </w:t>
      </w:r>
      <w:r>
        <w:rPr>
          <w:lang w:val="en-GB"/>
        </w:rPr>
        <w:t>−</w:t>
      </w:r>
      <w:r w:rsidR="0065256A" w:rsidRPr="00ED1BFB">
        <w:rPr>
          <w:lang w:val="en-GB"/>
        </w:rPr>
        <w:t>6 dB should be used as the required protection level for radiolocation systems for sharing studies in general, including search and track radar (F) in Table 1 of Annex 1 in the frequency range 33.4-36 GHz;</w:t>
      </w:r>
    </w:p>
    <w:p w:rsidR="0065256A" w:rsidRPr="0065256A" w:rsidRDefault="0065256A" w:rsidP="00ED1BFB">
      <w:pPr>
        <w:rPr>
          <w:u w:val="single"/>
          <w:lang w:val="en-GB"/>
        </w:rPr>
      </w:pPr>
      <w:r w:rsidRPr="00ED1BFB">
        <w:rPr>
          <w:b/>
          <w:bCs/>
          <w:lang w:val="en-GB"/>
        </w:rPr>
        <w:t>3</w:t>
      </w:r>
      <w:r w:rsidRPr="0065256A">
        <w:rPr>
          <w:lang w:val="en-GB"/>
        </w:rPr>
        <w:tab/>
        <w:t>that for studies of sharing the band 33.4-</w:t>
      </w:r>
      <w:r w:rsidR="00ED1BFB">
        <w:rPr>
          <w:lang w:val="en-GB"/>
        </w:rPr>
        <w:t xml:space="preserve">36 GHz between radars (A-E) in </w:t>
      </w:r>
      <w:r w:rsidRPr="0065256A">
        <w:rPr>
          <w:lang w:val="en-GB"/>
        </w:rPr>
        <w:t>Table 1 of Annex</w:t>
      </w:r>
      <w:r w:rsidR="00ED1BFB">
        <w:rPr>
          <w:lang w:val="en-GB"/>
        </w:rPr>
        <w:t> </w:t>
      </w:r>
      <w:r w:rsidRPr="0065256A">
        <w:rPr>
          <w:lang w:val="en-GB"/>
        </w:rPr>
        <w:t>1 and systems in other services, the following criteria be used:</w:t>
      </w:r>
    </w:p>
    <w:p w:rsidR="0065256A" w:rsidRPr="0065256A" w:rsidRDefault="0065256A" w:rsidP="00ED1BFB">
      <w:pPr>
        <w:pStyle w:val="enumlev1"/>
        <w:rPr>
          <w:lang w:val="en-GB"/>
        </w:rPr>
      </w:pPr>
      <w:r w:rsidRPr="0065256A">
        <w:rPr>
          <w:lang w:val="en-GB"/>
        </w:rPr>
        <w:t>–</w:t>
      </w:r>
      <w:r w:rsidRPr="0065256A">
        <w:rPr>
          <w:lang w:val="en-GB"/>
        </w:rPr>
        <w:tab/>
        <w:t xml:space="preserve">that for radiometric imagers the short-term protection criteria should be </w:t>
      </w:r>
      <w:r w:rsidRPr="0065256A">
        <w:rPr>
          <w:lang w:val="en-GB"/>
        </w:rPr>
        <w:br/>
      </w:r>
      <w:r w:rsidR="00ED1BFB">
        <w:rPr>
          <w:lang w:val="en-GB"/>
        </w:rPr>
        <w:t>−</w:t>
      </w:r>
      <w:r w:rsidRPr="0065256A">
        <w:rPr>
          <w:lang w:val="en-GB"/>
        </w:rPr>
        <w:t xml:space="preserve">137.8 dB(W/2 GHz) for not longer than 3 s, and the long-term protection criteria should be no more than </w:t>
      </w:r>
      <w:r w:rsidR="00ED1BFB">
        <w:rPr>
          <w:lang w:val="en-GB"/>
        </w:rPr>
        <w:t>−</w:t>
      </w:r>
      <w:r w:rsidRPr="0065256A">
        <w:rPr>
          <w:lang w:val="en-GB"/>
        </w:rPr>
        <w:t>144.8 dB(W/2 GHz) for not longer than 60 s;</w:t>
      </w:r>
    </w:p>
    <w:p w:rsidR="0065256A" w:rsidRPr="0065256A" w:rsidRDefault="0065256A" w:rsidP="00ED1BFB">
      <w:pPr>
        <w:pStyle w:val="enumlev1"/>
        <w:rPr>
          <w:lang w:val="en-GB"/>
        </w:rPr>
      </w:pPr>
      <w:r w:rsidRPr="0065256A">
        <w:rPr>
          <w:lang w:val="en-GB"/>
        </w:rPr>
        <w:t>–</w:t>
      </w:r>
      <w:r w:rsidRPr="0065256A">
        <w:rPr>
          <w:lang w:val="en-GB"/>
        </w:rPr>
        <w:tab/>
        <w:t xml:space="preserve">that for metric radars and seekers the short-term protection criteria should be </w:t>
      </w:r>
      <w:r w:rsidRPr="0065256A">
        <w:rPr>
          <w:lang w:val="en-GB"/>
        </w:rPr>
        <w:br/>
      </w:r>
      <w:r w:rsidR="00ED1BFB">
        <w:rPr>
          <w:lang w:val="en-GB"/>
        </w:rPr>
        <w:t>−</w:t>
      </w:r>
      <w:r w:rsidRPr="0065256A">
        <w:rPr>
          <w:lang w:val="en-GB"/>
        </w:rPr>
        <w:t xml:space="preserve">126.2 dB(W/6 MHz) for not longer than 5 s, and the long-term protection criteria should be no more than </w:t>
      </w:r>
      <w:r w:rsidR="00ED1BFB">
        <w:rPr>
          <w:lang w:val="en-GB"/>
        </w:rPr>
        <w:t>−</w:t>
      </w:r>
      <w:r w:rsidRPr="0065256A">
        <w:rPr>
          <w:lang w:val="en-GB"/>
        </w:rPr>
        <w:t>136.1 dB(W/6 MHz) for not longer than 60 s.</w:t>
      </w:r>
    </w:p>
    <w:p w:rsidR="0065256A" w:rsidRPr="0065256A" w:rsidRDefault="0065256A" w:rsidP="0065256A">
      <w:pPr>
        <w:rPr>
          <w:lang w:val="en-GB"/>
        </w:rPr>
      </w:pPr>
    </w:p>
    <w:p w:rsidR="0065256A" w:rsidRPr="0065256A" w:rsidRDefault="0065256A" w:rsidP="0065256A">
      <w:pPr>
        <w:rPr>
          <w:lang w:val="en-GB"/>
        </w:rPr>
      </w:pPr>
    </w:p>
    <w:p w:rsidR="0065256A" w:rsidRDefault="0065256A" w:rsidP="0065256A">
      <w:pPr>
        <w:pStyle w:val="AnnexNoTitle"/>
        <w:rPr>
          <w:lang w:val="en-GB"/>
        </w:rPr>
      </w:pPr>
      <w:r>
        <w:rPr>
          <w:lang w:val="en-GB"/>
        </w:rPr>
        <w:t>Annex 1</w:t>
      </w:r>
      <w:r>
        <w:rPr>
          <w:lang w:val="en-GB"/>
        </w:rPr>
        <w:br/>
      </w:r>
      <w:r>
        <w:rPr>
          <w:lang w:val="en-GB"/>
        </w:rPr>
        <w:br/>
      </w:r>
      <w:r>
        <w:rPr>
          <w:caps/>
          <w:lang w:val="en-GB"/>
        </w:rPr>
        <w:t>C</w:t>
      </w:r>
      <w:r>
        <w:rPr>
          <w:lang w:val="en-GB"/>
        </w:rPr>
        <w:t>haracteristics of, and protection criteria for radars operating in the radiodetermination service in the frequency band 33.4-36 GHz</w:t>
      </w:r>
    </w:p>
    <w:p w:rsidR="0065256A" w:rsidRDefault="0065256A" w:rsidP="0065256A">
      <w:pPr>
        <w:pStyle w:val="Heading1"/>
        <w:rPr>
          <w:lang w:val="en-GB"/>
        </w:rPr>
      </w:pPr>
      <w:r w:rsidRPr="0065256A">
        <w:rPr>
          <w:lang w:val="en-GB"/>
        </w:rPr>
        <w:t>1</w:t>
      </w:r>
      <w:r w:rsidRPr="0065256A">
        <w:rPr>
          <w:lang w:val="en-GB"/>
        </w:rPr>
        <w:tab/>
        <w:t>Purpose</w:t>
      </w:r>
    </w:p>
    <w:p w:rsidR="0065256A" w:rsidRPr="0065256A" w:rsidRDefault="0065256A" w:rsidP="0065256A">
      <w:pPr>
        <w:rPr>
          <w:spacing w:val="-2"/>
          <w:lang w:val="en-GB"/>
        </w:rPr>
      </w:pPr>
      <w:r w:rsidRPr="0065256A">
        <w:rPr>
          <w:spacing w:val="-2"/>
          <w:lang w:val="en-GB"/>
        </w:rPr>
        <w:t xml:space="preserve">The characteristics and protection criteria in this Recommendation have been provided for use in sharing studies called for under Resolutions </w:t>
      </w:r>
      <w:r w:rsidRPr="0065256A">
        <w:rPr>
          <w:b/>
          <w:bCs/>
          <w:spacing w:val="-2"/>
          <w:lang w:val="en-GB"/>
        </w:rPr>
        <w:t xml:space="preserve">712 (WRC-2000) </w:t>
      </w:r>
      <w:r w:rsidRPr="0065256A">
        <w:rPr>
          <w:spacing w:val="-2"/>
          <w:lang w:val="en-GB"/>
        </w:rPr>
        <w:t xml:space="preserve">and </w:t>
      </w:r>
      <w:r w:rsidRPr="0065256A">
        <w:rPr>
          <w:b/>
          <w:bCs/>
          <w:spacing w:val="-2"/>
          <w:lang w:val="en-GB"/>
        </w:rPr>
        <w:t>730 (WRC-2000)</w:t>
      </w:r>
      <w:r w:rsidRPr="0065256A">
        <w:rPr>
          <w:spacing w:val="-2"/>
          <w:lang w:val="en-GB"/>
        </w:rPr>
        <w:t xml:space="preserve"> and to assess the compatibility between the radars and other systems operating in the frequency band 33.4</w:t>
      </w:r>
      <w:r w:rsidRPr="0065256A">
        <w:rPr>
          <w:spacing w:val="-2"/>
          <w:lang w:val="en-GB"/>
        </w:rPr>
        <w:noBreakHyphen/>
        <w:t>36 GHz.</w:t>
      </w:r>
    </w:p>
    <w:p w:rsidR="0065256A" w:rsidRPr="0065256A" w:rsidRDefault="0065256A" w:rsidP="0065256A">
      <w:pPr>
        <w:pStyle w:val="Heading1"/>
        <w:spacing w:before="240"/>
        <w:rPr>
          <w:lang w:val="en-GB"/>
        </w:rPr>
      </w:pPr>
      <w:r w:rsidRPr="0065256A">
        <w:rPr>
          <w:lang w:val="en-GB"/>
        </w:rPr>
        <w:t>2</w:t>
      </w:r>
      <w:r w:rsidRPr="0065256A">
        <w:rPr>
          <w:lang w:val="en-GB"/>
        </w:rPr>
        <w:tab/>
        <w:t>Technical characteristics</w:t>
      </w:r>
    </w:p>
    <w:p w:rsidR="0065256A" w:rsidRPr="0065256A" w:rsidRDefault="0065256A" w:rsidP="008F5FB7">
      <w:pPr>
        <w:rPr>
          <w:lang w:val="en-GB"/>
        </w:rPr>
      </w:pPr>
      <w:r w:rsidRPr="0065256A">
        <w:rPr>
          <w:lang w:val="en-GB"/>
        </w:rPr>
        <w:t xml:space="preserve">Frequencies around 35 GHz and 94 GHz, correspond roughly to the first two propagation windows in the atmospheric absorption characteristics of the millimetre wave spectrum, and use of these frequencies is required by systems in the radiodetermination service in order to achieve the high measurement accuracy and target resolution possible at millimetre wavelength. Both passive and active sensors operating in the radiodetermination service around these frequencies are used for mapping, target identification, navigation, aim-point determination, test range instrumentation, etc. </w:t>
      </w:r>
      <w:r w:rsidRPr="0065256A">
        <w:rPr>
          <w:lang w:val="en-GB"/>
        </w:rPr>
        <w:lastRenderedPageBreak/>
        <w:t>Table 1 summarizes technical characteristics of representative systems deployed in these bands. This information is sufficient for general calculation to assess the compatibility between these radars and other systems.</w:t>
      </w:r>
    </w:p>
    <w:p w:rsidR="0065256A" w:rsidRPr="0065256A" w:rsidRDefault="0065256A" w:rsidP="0065256A">
      <w:pPr>
        <w:pStyle w:val="TableNo"/>
        <w:rPr>
          <w:lang w:val="en-GB"/>
        </w:rPr>
      </w:pPr>
      <w:r w:rsidRPr="0065256A">
        <w:rPr>
          <w:lang w:val="en-GB"/>
        </w:rPr>
        <w:t>TABLE 1</w:t>
      </w:r>
    </w:p>
    <w:p w:rsidR="0065256A" w:rsidRPr="0065256A" w:rsidRDefault="0065256A" w:rsidP="0065256A">
      <w:pPr>
        <w:pStyle w:val="Tabletitle"/>
        <w:rPr>
          <w:lang w:val="en-GB"/>
        </w:rPr>
      </w:pPr>
      <w:r w:rsidRPr="0065256A">
        <w:rPr>
          <w:lang w:val="en-GB"/>
        </w:rPr>
        <w:t>Technical characteristics of radars around 35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6"/>
        <w:gridCol w:w="854"/>
        <w:gridCol w:w="854"/>
        <w:gridCol w:w="983"/>
        <w:gridCol w:w="1212"/>
        <w:gridCol w:w="1155"/>
        <w:gridCol w:w="1291"/>
        <w:gridCol w:w="1284"/>
      </w:tblGrid>
      <w:tr w:rsidR="0065256A" w:rsidRPr="008F5FB7" w:rsidTr="008F5FB7">
        <w:trPr>
          <w:cantSplit/>
          <w:tblHeader/>
          <w:jc w:val="center"/>
        </w:trPr>
        <w:tc>
          <w:tcPr>
            <w:tcW w:w="2006" w:type="dxa"/>
            <w:tcBorders>
              <w:top w:val="single" w:sz="4" w:space="0" w:color="auto"/>
              <w:left w:val="single" w:sz="4" w:space="0" w:color="auto"/>
              <w:bottom w:val="single" w:sz="4" w:space="0" w:color="auto"/>
              <w:right w:val="single" w:sz="4" w:space="0" w:color="auto"/>
            </w:tcBorders>
            <w:vAlign w:val="bottom"/>
            <w:hideMark/>
          </w:tcPr>
          <w:p w:rsidR="0065256A" w:rsidRPr="008F5FB7" w:rsidRDefault="0065256A">
            <w:pPr>
              <w:pStyle w:val="Tablehead"/>
              <w:rPr>
                <w:sz w:val="21"/>
                <w:szCs w:val="21"/>
                <w:lang w:val="en-US"/>
              </w:rPr>
            </w:pPr>
            <w:r w:rsidRPr="008F5FB7">
              <w:rPr>
                <w:sz w:val="21"/>
                <w:szCs w:val="21"/>
                <w:lang w:val="en-US"/>
              </w:rPr>
              <w:t>Parameter</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head"/>
              <w:rPr>
                <w:sz w:val="21"/>
                <w:szCs w:val="21"/>
                <w:lang w:val="en-US"/>
              </w:rPr>
            </w:pPr>
            <w:r w:rsidRPr="008F5FB7">
              <w:rPr>
                <w:sz w:val="21"/>
                <w:szCs w:val="21"/>
                <w:lang w:val="en-US"/>
              </w:rPr>
              <w:t>Units</w:t>
            </w:r>
          </w:p>
        </w:tc>
        <w:tc>
          <w:tcPr>
            <w:tcW w:w="854" w:type="dxa"/>
            <w:tcBorders>
              <w:top w:val="single" w:sz="4" w:space="0" w:color="auto"/>
              <w:left w:val="single" w:sz="4" w:space="0" w:color="auto"/>
              <w:bottom w:val="single" w:sz="4" w:space="0" w:color="auto"/>
              <w:right w:val="single" w:sz="4" w:space="0" w:color="auto"/>
            </w:tcBorders>
            <w:vAlign w:val="bottom"/>
            <w:hideMark/>
          </w:tcPr>
          <w:p w:rsidR="0065256A" w:rsidRPr="008F5FB7" w:rsidRDefault="0065256A">
            <w:pPr>
              <w:pStyle w:val="Tablehead"/>
              <w:rPr>
                <w:sz w:val="21"/>
                <w:szCs w:val="21"/>
                <w:lang w:val="en-US"/>
              </w:rPr>
            </w:pPr>
            <w:r w:rsidRPr="008F5FB7">
              <w:rPr>
                <w:sz w:val="21"/>
                <w:szCs w:val="21"/>
                <w:lang w:val="en-US"/>
              </w:rPr>
              <w:t>Radar A</w:t>
            </w:r>
          </w:p>
        </w:tc>
        <w:tc>
          <w:tcPr>
            <w:tcW w:w="983" w:type="dxa"/>
            <w:tcBorders>
              <w:top w:val="single" w:sz="4" w:space="0" w:color="auto"/>
              <w:left w:val="single" w:sz="4" w:space="0" w:color="auto"/>
              <w:bottom w:val="single" w:sz="4" w:space="0" w:color="auto"/>
              <w:right w:val="single" w:sz="4" w:space="0" w:color="auto"/>
            </w:tcBorders>
            <w:vAlign w:val="bottom"/>
            <w:hideMark/>
          </w:tcPr>
          <w:p w:rsidR="0065256A" w:rsidRPr="008F5FB7" w:rsidRDefault="0065256A">
            <w:pPr>
              <w:pStyle w:val="Tablehead"/>
              <w:rPr>
                <w:sz w:val="21"/>
                <w:szCs w:val="21"/>
                <w:lang w:val="en-US"/>
              </w:rPr>
            </w:pPr>
            <w:r w:rsidRPr="008F5FB7">
              <w:rPr>
                <w:sz w:val="21"/>
                <w:szCs w:val="21"/>
                <w:lang w:val="en-US"/>
              </w:rPr>
              <w:t>Radar B</w:t>
            </w:r>
          </w:p>
        </w:tc>
        <w:tc>
          <w:tcPr>
            <w:tcW w:w="1212" w:type="dxa"/>
            <w:tcBorders>
              <w:top w:val="single" w:sz="4" w:space="0" w:color="auto"/>
              <w:left w:val="single" w:sz="4" w:space="0" w:color="auto"/>
              <w:bottom w:val="single" w:sz="4" w:space="0" w:color="auto"/>
              <w:right w:val="single" w:sz="4" w:space="0" w:color="auto"/>
            </w:tcBorders>
            <w:vAlign w:val="bottom"/>
            <w:hideMark/>
          </w:tcPr>
          <w:p w:rsidR="0065256A" w:rsidRPr="008F5FB7" w:rsidRDefault="0065256A">
            <w:pPr>
              <w:pStyle w:val="Tablehead"/>
              <w:rPr>
                <w:sz w:val="21"/>
                <w:szCs w:val="21"/>
                <w:lang w:val="en-US"/>
              </w:rPr>
            </w:pPr>
            <w:r w:rsidRPr="008F5FB7">
              <w:rPr>
                <w:sz w:val="21"/>
                <w:szCs w:val="21"/>
                <w:lang w:val="en-US"/>
              </w:rPr>
              <w:t>Radar C</w:t>
            </w:r>
          </w:p>
        </w:tc>
        <w:tc>
          <w:tcPr>
            <w:tcW w:w="1155" w:type="dxa"/>
            <w:tcBorders>
              <w:top w:val="single" w:sz="4" w:space="0" w:color="auto"/>
              <w:left w:val="single" w:sz="4" w:space="0" w:color="auto"/>
              <w:bottom w:val="single" w:sz="4" w:space="0" w:color="auto"/>
              <w:right w:val="single" w:sz="4" w:space="0" w:color="auto"/>
            </w:tcBorders>
            <w:vAlign w:val="bottom"/>
            <w:hideMark/>
          </w:tcPr>
          <w:p w:rsidR="0065256A" w:rsidRPr="008F5FB7" w:rsidRDefault="0065256A">
            <w:pPr>
              <w:pStyle w:val="Tablehead"/>
              <w:rPr>
                <w:sz w:val="21"/>
                <w:szCs w:val="21"/>
                <w:lang w:val="en-US"/>
              </w:rPr>
            </w:pPr>
            <w:r w:rsidRPr="008F5FB7">
              <w:rPr>
                <w:sz w:val="21"/>
                <w:szCs w:val="21"/>
                <w:lang w:val="en-US"/>
              </w:rPr>
              <w:t>Radar D</w:t>
            </w:r>
          </w:p>
        </w:tc>
        <w:tc>
          <w:tcPr>
            <w:tcW w:w="1291" w:type="dxa"/>
            <w:tcBorders>
              <w:top w:val="single" w:sz="4" w:space="0" w:color="auto"/>
              <w:left w:val="single" w:sz="4" w:space="0" w:color="auto"/>
              <w:bottom w:val="single" w:sz="4" w:space="0" w:color="auto"/>
              <w:right w:val="single" w:sz="4" w:space="0" w:color="auto"/>
            </w:tcBorders>
            <w:vAlign w:val="bottom"/>
            <w:hideMark/>
          </w:tcPr>
          <w:p w:rsidR="0065256A" w:rsidRPr="008F5FB7" w:rsidRDefault="0065256A">
            <w:pPr>
              <w:pStyle w:val="Tablehead"/>
              <w:rPr>
                <w:sz w:val="21"/>
                <w:szCs w:val="21"/>
                <w:lang w:val="en-US"/>
              </w:rPr>
            </w:pPr>
            <w:r w:rsidRPr="008F5FB7">
              <w:rPr>
                <w:sz w:val="21"/>
                <w:szCs w:val="21"/>
                <w:lang w:val="en-US"/>
              </w:rPr>
              <w:t>Radar E</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head"/>
              <w:rPr>
                <w:sz w:val="21"/>
                <w:szCs w:val="21"/>
                <w:lang w:val="en-US"/>
              </w:rPr>
            </w:pPr>
            <w:r w:rsidRPr="008F5FB7">
              <w:rPr>
                <w:sz w:val="21"/>
                <w:szCs w:val="21"/>
                <w:lang w:val="en-US"/>
              </w:rPr>
              <w:t>Radar F</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Use</w:t>
            </w:r>
          </w:p>
        </w:tc>
        <w:tc>
          <w:tcPr>
            <w:tcW w:w="854" w:type="dxa"/>
            <w:tcBorders>
              <w:top w:val="single" w:sz="4" w:space="0" w:color="auto"/>
              <w:left w:val="single" w:sz="4" w:space="0" w:color="auto"/>
              <w:bottom w:val="single" w:sz="4" w:space="0" w:color="auto"/>
              <w:right w:val="single" w:sz="4" w:space="0" w:color="auto"/>
            </w:tcBorders>
          </w:tcPr>
          <w:p w:rsidR="0065256A" w:rsidRPr="008F5FB7" w:rsidRDefault="0065256A">
            <w:pPr>
              <w:pStyle w:val="Tabletext"/>
              <w:jc w:val="center"/>
              <w:rPr>
                <w:sz w:val="21"/>
                <w:szCs w:val="21"/>
                <w:lang w:val="en-US"/>
              </w:rPr>
            </w:pP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Imaging</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Imaging</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Metric</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Metric</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Seeker</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Search and track</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Sensor type</w:t>
            </w:r>
          </w:p>
        </w:tc>
        <w:tc>
          <w:tcPr>
            <w:tcW w:w="854" w:type="dxa"/>
            <w:tcBorders>
              <w:top w:val="single" w:sz="4" w:space="0" w:color="auto"/>
              <w:left w:val="single" w:sz="4" w:space="0" w:color="auto"/>
              <w:bottom w:val="single" w:sz="4" w:space="0" w:color="auto"/>
              <w:right w:val="single" w:sz="4" w:space="0" w:color="auto"/>
            </w:tcBorders>
          </w:tcPr>
          <w:p w:rsidR="0065256A" w:rsidRPr="008F5FB7" w:rsidRDefault="0065256A">
            <w:pPr>
              <w:pStyle w:val="Tabletext"/>
              <w:jc w:val="center"/>
              <w:rPr>
                <w:sz w:val="21"/>
                <w:szCs w:val="21"/>
                <w:lang w:val="en-US"/>
              </w:rPr>
            </w:pP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Passive</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Active</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Active</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Active</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Active</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Active</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Modulation</w:t>
            </w:r>
          </w:p>
        </w:tc>
        <w:tc>
          <w:tcPr>
            <w:tcW w:w="854" w:type="dxa"/>
            <w:tcBorders>
              <w:top w:val="single" w:sz="4" w:space="0" w:color="auto"/>
              <w:left w:val="single" w:sz="4" w:space="0" w:color="auto"/>
              <w:bottom w:val="single" w:sz="4" w:space="0" w:color="auto"/>
              <w:right w:val="single" w:sz="4" w:space="0" w:color="auto"/>
            </w:tcBorders>
          </w:tcPr>
          <w:p w:rsidR="0065256A" w:rsidRPr="008F5FB7" w:rsidRDefault="0065256A">
            <w:pPr>
              <w:pStyle w:val="Tabletext"/>
              <w:jc w:val="center"/>
              <w:rPr>
                <w:sz w:val="21"/>
                <w:szCs w:val="21"/>
                <w:lang w:val="en-US"/>
              </w:rPr>
            </w:pP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Pulse</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Pulse</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Pulse</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Linear FM</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Linear FM Pulse</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Compression ratio</w:t>
            </w:r>
          </w:p>
        </w:tc>
        <w:tc>
          <w:tcPr>
            <w:tcW w:w="854" w:type="dxa"/>
            <w:tcBorders>
              <w:top w:val="single" w:sz="4" w:space="0" w:color="auto"/>
              <w:left w:val="single" w:sz="4" w:space="0" w:color="auto"/>
              <w:bottom w:val="single" w:sz="4" w:space="0" w:color="auto"/>
              <w:right w:val="single" w:sz="4" w:space="0" w:color="auto"/>
            </w:tcBorders>
          </w:tcPr>
          <w:p w:rsidR="0065256A" w:rsidRPr="008F5FB7" w:rsidRDefault="0065256A">
            <w:pPr>
              <w:pStyle w:val="Tabletext"/>
              <w:jc w:val="center"/>
              <w:rPr>
                <w:sz w:val="21"/>
                <w:szCs w:val="21"/>
                <w:lang w:val="en-US"/>
              </w:rPr>
            </w:pP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200</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50</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Pulse width</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µs</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0.05</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0.25</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0.05</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10</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20</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Tx peak power</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kW</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0.5</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135</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0.001</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10</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rsidP="008F5FB7">
            <w:pPr>
              <w:pStyle w:val="Tabletext"/>
              <w:jc w:val="left"/>
              <w:rPr>
                <w:sz w:val="21"/>
                <w:szCs w:val="21"/>
                <w:lang w:val="en-US"/>
              </w:rPr>
            </w:pPr>
            <w:r w:rsidRPr="008F5FB7">
              <w:rPr>
                <w:sz w:val="21"/>
                <w:szCs w:val="21"/>
                <w:lang w:val="en-US"/>
              </w:rPr>
              <w:t>Pulse repetition frequency</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kHz</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30</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50</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10</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10-30</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RF bandwidth</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MHz</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80</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10</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101</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12</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2000</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Antenna gain</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dBi</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35</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30</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52</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51</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28.7</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52</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Beamwidth</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degrees</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 xml:space="preserve">0.5 </w:t>
            </w:r>
            <w:r w:rsidRPr="008F5FB7">
              <w:rPr>
                <w:sz w:val="21"/>
                <w:szCs w:val="21"/>
                <w:lang w:val="en-US"/>
              </w:rPr>
              <w:sym w:font="Symbol" w:char="F0B4"/>
            </w:r>
            <w:r w:rsidRPr="008F5FB7">
              <w:rPr>
                <w:sz w:val="21"/>
                <w:szCs w:val="21"/>
                <w:lang w:val="en-US"/>
              </w:rPr>
              <w:t xml:space="preserve"> 3.0</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 xml:space="preserve">0.75 </w:t>
            </w:r>
            <w:r w:rsidRPr="008F5FB7">
              <w:rPr>
                <w:sz w:val="21"/>
                <w:szCs w:val="21"/>
                <w:lang w:val="en-US"/>
              </w:rPr>
              <w:sym w:font="Symbol" w:char="F0B4"/>
            </w:r>
            <w:r w:rsidRPr="008F5FB7">
              <w:rPr>
                <w:sz w:val="21"/>
                <w:szCs w:val="21"/>
                <w:lang w:val="en-US"/>
              </w:rPr>
              <w:t xml:space="preserve"> 10</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 xml:space="preserve">0.25 </w:t>
            </w:r>
            <w:r w:rsidRPr="008F5FB7">
              <w:rPr>
                <w:sz w:val="21"/>
                <w:szCs w:val="21"/>
                <w:lang w:val="en-US"/>
              </w:rPr>
              <w:sym w:font="Symbol" w:char="F0B4"/>
            </w:r>
            <w:r w:rsidRPr="008F5FB7">
              <w:rPr>
                <w:sz w:val="21"/>
                <w:szCs w:val="21"/>
                <w:lang w:val="en-US"/>
              </w:rPr>
              <w:t xml:space="preserve"> 0.25</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 xml:space="preserve">0.5 </w:t>
            </w:r>
            <w:r w:rsidRPr="008F5FB7">
              <w:rPr>
                <w:sz w:val="21"/>
                <w:szCs w:val="21"/>
                <w:lang w:val="en-US"/>
              </w:rPr>
              <w:sym w:font="Symbol" w:char="F0B4"/>
            </w:r>
            <w:r w:rsidRPr="008F5FB7">
              <w:rPr>
                <w:sz w:val="21"/>
                <w:szCs w:val="21"/>
                <w:lang w:val="en-US"/>
              </w:rPr>
              <w:t xml:space="preserve"> 0.5</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 xml:space="preserve">4.4 </w:t>
            </w:r>
            <w:r w:rsidRPr="008F5FB7">
              <w:rPr>
                <w:sz w:val="21"/>
                <w:szCs w:val="21"/>
                <w:lang w:val="en-US"/>
              </w:rPr>
              <w:sym w:font="Symbol" w:char="F0B4"/>
            </w:r>
            <w:r w:rsidRPr="008F5FB7">
              <w:rPr>
                <w:sz w:val="21"/>
                <w:szCs w:val="21"/>
                <w:lang w:val="en-US"/>
              </w:rPr>
              <w:t xml:space="preserve"> 4.4</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 xml:space="preserve">0.25 </w:t>
            </w:r>
            <w:r w:rsidRPr="008F5FB7">
              <w:rPr>
                <w:sz w:val="21"/>
                <w:szCs w:val="21"/>
                <w:lang w:val="en-US"/>
              </w:rPr>
              <w:sym w:font="Symbol" w:char="F0B4"/>
            </w:r>
            <w:r w:rsidRPr="008F5FB7">
              <w:rPr>
                <w:sz w:val="21"/>
                <w:szCs w:val="21"/>
                <w:lang w:val="en-US"/>
              </w:rPr>
              <w:t xml:space="preserve"> 0.25</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Rx IF bandwidth</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GHz</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2</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0.040</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0.006</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0.185</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0.100</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0.006</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Noise temperature</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K</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850</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Noise figure</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dB</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4.5</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10</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10</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5</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4</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Rx sensitivity</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dBm</w:t>
            </w: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8F5FB7">
            <w:pPr>
              <w:pStyle w:val="Tabletext"/>
              <w:jc w:val="center"/>
              <w:rPr>
                <w:sz w:val="21"/>
                <w:szCs w:val="21"/>
                <w:lang w:val="en-US"/>
              </w:rPr>
            </w:pPr>
            <w:r>
              <w:rPr>
                <w:sz w:val="21"/>
                <w:szCs w:val="21"/>
                <w:lang w:val="en-US"/>
              </w:rPr>
              <w:t>−</w:t>
            </w:r>
            <w:r w:rsidR="0065256A" w:rsidRPr="008F5FB7">
              <w:rPr>
                <w:sz w:val="21"/>
                <w:szCs w:val="21"/>
                <w:lang w:val="en-US"/>
              </w:rPr>
              <w:t>81</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8F5FB7">
            <w:pPr>
              <w:pStyle w:val="Tabletext"/>
              <w:jc w:val="center"/>
              <w:rPr>
                <w:sz w:val="21"/>
                <w:szCs w:val="21"/>
                <w:lang w:val="en-US"/>
              </w:rPr>
            </w:pPr>
            <w:r>
              <w:rPr>
                <w:sz w:val="21"/>
                <w:szCs w:val="21"/>
                <w:lang w:val="en-US"/>
              </w:rPr>
              <w:t>−</w:t>
            </w:r>
            <w:r w:rsidR="0065256A" w:rsidRPr="008F5FB7">
              <w:rPr>
                <w:sz w:val="21"/>
                <w:szCs w:val="21"/>
                <w:lang w:val="en-US"/>
              </w:rPr>
              <w:t>95</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8F5FB7">
            <w:pPr>
              <w:pStyle w:val="Tabletext"/>
              <w:jc w:val="center"/>
              <w:rPr>
                <w:sz w:val="21"/>
                <w:szCs w:val="21"/>
                <w:lang w:val="en-US"/>
              </w:rPr>
            </w:pPr>
            <w:r>
              <w:rPr>
                <w:sz w:val="21"/>
                <w:szCs w:val="21"/>
                <w:lang w:val="en-US"/>
              </w:rPr>
              <w:t>−</w:t>
            </w:r>
            <w:r w:rsidR="0065256A" w:rsidRPr="008F5FB7">
              <w:rPr>
                <w:sz w:val="21"/>
                <w:szCs w:val="21"/>
                <w:lang w:val="en-US"/>
              </w:rPr>
              <w:t>78</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8F5FB7">
            <w:pPr>
              <w:pStyle w:val="Tabletext"/>
              <w:jc w:val="center"/>
              <w:rPr>
                <w:sz w:val="21"/>
                <w:szCs w:val="21"/>
                <w:lang w:val="en-US"/>
              </w:rPr>
            </w:pPr>
            <w:r>
              <w:rPr>
                <w:sz w:val="21"/>
                <w:szCs w:val="21"/>
                <w:lang w:val="en-US"/>
              </w:rPr>
              <w:t>−</w:t>
            </w:r>
            <w:r w:rsidR="0065256A" w:rsidRPr="008F5FB7">
              <w:rPr>
                <w:sz w:val="21"/>
                <w:szCs w:val="21"/>
                <w:lang w:val="en-US"/>
              </w:rPr>
              <w:t>93</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8F5FB7">
            <w:pPr>
              <w:pStyle w:val="Tabletext"/>
              <w:jc w:val="center"/>
              <w:rPr>
                <w:sz w:val="21"/>
                <w:szCs w:val="21"/>
                <w:lang w:val="en-US"/>
              </w:rPr>
            </w:pPr>
            <w:r>
              <w:rPr>
                <w:sz w:val="21"/>
                <w:szCs w:val="21"/>
                <w:lang w:val="en-US"/>
              </w:rPr>
              <w:t>–</w:t>
            </w:r>
          </w:p>
        </w:tc>
      </w:tr>
      <w:tr w:rsidR="0065256A" w:rsidRPr="008F5FB7" w:rsidTr="008F5FB7">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256A" w:rsidRPr="008F5FB7" w:rsidRDefault="0065256A">
            <w:pPr>
              <w:pStyle w:val="Tabletext"/>
              <w:rPr>
                <w:sz w:val="21"/>
                <w:szCs w:val="21"/>
                <w:lang w:val="en-US"/>
              </w:rPr>
            </w:pPr>
            <w:r w:rsidRPr="008F5FB7">
              <w:rPr>
                <w:sz w:val="21"/>
                <w:szCs w:val="21"/>
                <w:lang w:val="en-US"/>
              </w:rPr>
              <w:t>Tuning</w:t>
            </w:r>
          </w:p>
        </w:tc>
        <w:tc>
          <w:tcPr>
            <w:tcW w:w="854" w:type="dxa"/>
            <w:tcBorders>
              <w:top w:val="single" w:sz="4" w:space="0" w:color="auto"/>
              <w:left w:val="single" w:sz="4" w:space="0" w:color="auto"/>
              <w:bottom w:val="single" w:sz="4" w:space="0" w:color="auto"/>
              <w:right w:val="single" w:sz="4" w:space="0" w:color="auto"/>
            </w:tcBorders>
          </w:tcPr>
          <w:p w:rsidR="0065256A" w:rsidRPr="008F5FB7" w:rsidRDefault="0065256A">
            <w:pPr>
              <w:pStyle w:val="Tabletext"/>
              <w:jc w:val="center"/>
              <w:rPr>
                <w:sz w:val="21"/>
                <w:szCs w:val="21"/>
                <w:lang w:val="en-US"/>
              </w:rPr>
            </w:pPr>
          </w:p>
        </w:tc>
        <w:tc>
          <w:tcPr>
            <w:tcW w:w="85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Fixed</w:t>
            </w:r>
          </w:p>
        </w:tc>
        <w:tc>
          <w:tcPr>
            <w:tcW w:w="983"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Fixed</w:t>
            </w:r>
          </w:p>
        </w:tc>
        <w:tc>
          <w:tcPr>
            <w:tcW w:w="1212"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Fixed</w:t>
            </w:r>
          </w:p>
        </w:tc>
        <w:tc>
          <w:tcPr>
            <w:tcW w:w="1155"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Frequency hop</w:t>
            </w:r>
          </w:p>
        </w:tc>
        <w:tc>
          <w:tcPr>
            <w:tcW w:w="1291"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Fixed</w:t>
            </w:r>
          </w:p>
        </w:tc>
        <w:tc>
          <w:tcPr>
            <w:tcW w:w="1284" w:type="dxa"/>
            <w:tcBorders>
              <w:top w:val="single" w:sz="4" w:space="0" w:color="auto"/>
              <w:left w:val="single" w:sz="4" w:space="0" w:color="auto"/>
              <w:bottom w:val="single" w:sz="4" w:space="0" w:color="auto"/>
              <w:right w:val="single" w:sz="4" w:space="0" w:color="auto"/>
            </w:tcBorders>
            <w:hideMark/>
          </w:tcPr>
          <w:p w:rsidR="0065256A" w:rsidRPr="008F5FB7" w:rsidRDefault="0065256A">
            <w:pPr>
              <w:pStyle w:val="Tabletext"/>
              <w:jc w:val="center"/>
              <w:rPr>
                <w:sz w:val="21"/>
                <w:szCs w:val="21"/>
                <w:lang w:val="en-US"/>
              </w:rPr>
            </w:pPr>
            <w:r w:rsidRPr="008F5FB7">
              <w:rPr>
                <w:sz w:val="21"/>
                <w:szCs w:val="21"/>
                <w:lang w:val="en-US"/>
              </w:rPr>
              <w:t>Frequency hopping</w:t>
            </w:r>
          </w:p>
        </w:tc>
      </w:tr>
    </w:tbl>
    <w:p w:rsidR="008F5FB7" w:rsidRDefault="008F5FB7" w:rsidP="008F5FB7">
      <w:pPr>
        <w:pStyle w:val="Tablefin"/>
      </w:pPr>
    </w:p>
    <w:p w:rsidR="0065256A" w:rsidRDefault="0065256A" w:rsidP="0065256A">
      <w:pPr>
        <w:pStyle w:val="Heading1"/>
        <w:rPr>
          <w:sz w:val="28"/>
        </w:rPr>
      </w:pPr>
      <w:r>
        <w:t>3</w:t>
      </w:r>
      <w:r>
        <w:tab/>
        <w:t>Protection criteria</w:t>
      </w:r>
    </w:p>
    <w:p w:rsidR="0065256A" w:rsidRPr="00D168C4" w:rsidRDefault="0065256A" w:rsidP="0065256A">
      <w:pPr>
        <w:rPr>
          <w:lang w:val="en-GB"/>
        </w:rPr>
      </w:pPr>
      <w:r w:rsidRPr="00D168C4">
        <w:rPr>
          <w:lang w:val="en-GB"/>
        </w:rPr>
        <w:t>Short-term interference criteria are developed in the following paragraphs for the terrestrial radiolocation systems given in Table 1.</w:t>
      </w:r>
    </w:p>
    <w:p w:rsidR="0065256A" w:rsidRPr="00D168C4" w:rsidRDefault="0065256A" w:rsidP="0065256A">
      <w:pPr>
        <w:pStyle w:val="Heading2"/>
        <w:rPr>
          <w:lang w:val="en-GB"/>
        </w:rPr>
      </w:pPr>
      <w:r w:rsidRPr="00D168C4">
        <w:rPr>
          <w:lang w:val="en-GB"/>
        </w:rPr>
        <w:t>3.1</w:t>
      </w:r>
      <w:r w:rsidRPr="00D168C4">
        <w:rPr>
          <w:lang w:val="en-GB"/>
        </w:rPr>
        <w:tab/>
        <w:t>Radiometric imagers</w:t>
      </w:r>
    </w:p>
    <w:p w:rsidR="0065256A" w:rsidRPr="00D168C4" w:rsidRDefault="0065256A" w:rsidP="0065256A">
      <w:pPr>
        <w:rPr>
          <w:lang w:val="en-GB"/>
        </w:rPr>
      </w:pPr>
      <w:r w:rsidRPr="00D168C4">
        <w:rPr>
          <w:lang w:val="en-GB"/>
        </w:rPr>
        <w:t xml:space="preserve">Assuming negligible system gain variation, the minimum temperature sensitivity, </w:t>
      </w:r>
      <w:r>
        <w:sym w:font="Symbol" w:char="F044"/>
      </w:r>
      <w:r w:rsidRPr="00D168C4">
        <w:rPr>
          <w:i/>
          <w:iCs/>
          <w:lang w:val="en-GB"/>
        </w:rPr>
        <w:t xml:space="preserve">T </w:t>
      </w:r>
      <w:r w:rsidRPr="00D168C4">
        <w:rPr>
          <w:lang w:val="en-GB"/>
        </w:rPr>
        <w:t>of a radiometric imaging system is:</w:t>
      </w:r>
    </w:p>
    <w:p w:rsidR="0065256A" w:rsidRPr="00D168C4" w:rsidRDefault="0065256A" w:rsidP="0065256A">
      <w:pPr>
        <w:pStyle w:val="Equation"/>
        <w:rPr>
          <w:lang w:val="en-GB"/>
        </w:rPr>
      </w:pPr>
      <w:r w:rsidRPr="00D168C4">
        <w:rPr>
          <w:lang w:val="en-GB"/>
        </w:rPr>
        <w:tab/>
      </w:r>
      <w:r w:rsidRPr="00D168C4">
        <w:rPr>
          <w:lang w:val="en-GB"/>
        </w:rPr>
        <w:tab/>
      </w:r>
      <w:r>
        <w:rPr>
          <w:position w:val="-34"/>
          <w:lang w:val="en-GB"/>
        </w:rPr>
        <w:object w:dxaOrig="1380"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55pt;height:36.3pt" o:ole="">
            <v:imagedata r:id="rId14" o:title=""/>
          </v:shape>
          <o:OLEObject Type="Embed" ProgID="Equation.3" ShapeID="_x0000_i1025" DrawAspect="Content" ObjectID="_1579492370" r:id="rId15"/>
        </w:object>
      </w:r>
      <w:r w:rsidRPr="00D168C4">
        <w:rPr>
          <w:lang w:val="en-GB"/>
        </w:rPr>
        <w:tab/>
        <w:t>(1)</w:t>
      </w:r>
    </w:p>
    <w:p w:rsidR="0065256A" w:rsidRPr="00D168C4" w:rsidRDefault="0065256A" w:rsidP="0065256A">
      <w:pPr>
        <w:rPr>
          <w:lang w:val="en-GB"/>
        </w:rPr>
      </w:pPr>
      <w:r w:rsidRPr="00D168C4">
        <w:rPr>
          <w:lang w:val="en-GB"/>
        </w:rPr>
        <w:t>where:</w:t>
      </w:r>
    </w:p>
    <w:p w:rsidR="0065256A" w:rsidRDefault="0065256A" w:rsidP="0065256A">
      <w:pPr>
        <w:pStyle w:val="Equationlegend"/>
      </w:pPr>
      <w:r>
        <w:tab/>
      </w:r>
      <w:r>
        <w:rPr>
          <w:i/>
          <w:iCs/>
        </w:rPr>
        <w:t>T</w:t>
      </w:r>
      <w:r>
        <w:rPr>
          <w:i/>
          <w:iCs/>
          <w:vertAlign w:val="subscript"/>
        </w:rPr>
        <w:t>A</w:t>
      </w:r>
      <w:r>
        <w:t>:</w:t>
      </w:r>
      <w:r>
        <w:tab/>
        <w:t>antenna noise temperature</w:t>
      </w:r>
    </w:p>
    <w:p w:rsidR="0065256A" w:rsidRDefault="0065256A" w:rsidP="0065256A">
      <w:pPr>
        <w:pStyle w:val="Equationlegend"/>
      </w:pPr>
      <w:r>
        <w:tab/>
      </w:r>
      <w:r>
        <w:rPr>
          <w:i/>
          <w:iCs/>
        </w:rPr>
        <w:t>T</w:t>
      </w:r>
      <w:r>
        <w:rPr>
          <w:i/>
          <w:iCs/>
          <w:vertAlign w:val="subscript"/>
        </w:rPr>
        <w:t>r</w:t>
      </w:r>
      <w:r>
        <w:t>:</w:t>
      </w:r>
      <w:r>
        <w:tab/>
        <w:t>receiver noise temperature</w:t>
      </w:r>
    </w:p>
    <w:p w:rsidR="0065256A" w:rsidRDefault="0065256A" w:rsidP="0065256A">
      <w:pPr>
        <w:pStyle w:val="Equationlegend"/>
      </w:pPr>
      <w:r>
        <w:rPr>
          <w:i/>
        </w:rPr>
        <w:tab/>
        <w:t>B</w:t>
      </w:r>
      <w:r>
        <w:t>:</w:t>
      </w:r>
      <w:r>
        <w:tab/>
        <w:t>RF bandwidth</w:t>
      </w:r>
    </w:p>
    <w:p w:rsidR="0065256A" w:rsidRDefault="0065256A" w:rsidP="0065256A">
      <w:pPr>
        <w:pStyle w:val="Equationlegend"/>
        <w:rPr>
          <w:b/>
        </w:rPr>
      </w:pPr>
      <w:r>
        <w:tab/>
      </w:r>
      <w:r>
        <w:rPr>
          <w:i/>
          <w:iCs/>
        </w:rPr>
        <w:t>t</w:t>
      </w:r>
      <w:r>
        <w:rPr>
          <w:i/>
          <w:iCs/>
          <w:vertAlign w:val="subscript"/>
        </w:rPr>
        <w:t>i</w:t>
      </w:r>
      <w:r>
        <w:t xml:space="preserve">: </w:t>
      </w:r>
      <w:r>
        <w:tab/>
        <w:t>integration time.</w:t>
      </w:r>
    </w:p>
    <w:p w:rsidR="0065256A" w:rsidRPr="00D168C4" w:rsidRDefault="0065256A" w:rsidP="0065256A">
      <w:pPr>
        <w:rPr>
          <w:lang w:val="en-GB"/>
        </w:rPr>
      </w:pPr>
      <w:r w:rsidRPr="00D168C4">
        <w:rPr>
          <w:lang w:val="en-GB"/>
        </w:rPr>
        <w:lastRenderedPageBreak/>
        <w:t xml:space="preserve">The radiometer threshold, </w:t>
      </w:r>
      <w:r>
        <w:rPr>
          <w:position w:val="-4"/>
          <w:lang w:val="en-GB"/>
        </w:rPr>
        <w:object w:dxaOrig="375" w:dyaOrig="255">
          <v:shape id="_x0000_i1026" type="#_x0000_t75" style="width:19pt;height:12.65pt" o:ole="">
            <v:imagedata r:id="rId16" o:title=""/>
          </v:shape>
          <o:OLEObject Type="Embed" ProgID="Equation.3" ShapeID="_x0000_i1026" DrawAspect="Content" ObjectID="_1579492371" r:id="rId17"/>
        </w:object>
      </w:r>
      <w:r w:rsidRPr="00D168C4">
        <w:rPr>
          <w:lang w:val="en-GB"/>
        </w:rPr>
        <w:t xml:space="preserve"> is given by:</w:t>
      </w:r>
    </w:p>
    <w:p w:rsidR="0065256A" w:rsidRPr="00D168C4" w:rsidRDefault="0065256A" w:rsidP="0065256A">
      <w:pPr>
        <w:pStyle w:val="Equation"/>
        <w:rPr>
          <w:lang w:val="en-GB"/>
        </w:rPr>
      </w:pPr>
      <w:r w:rsidRPr="00D168C4">
        <w:rPr>
          <w:lang w:val="en-GB"/>
        </w:rPr>
        <w:tab/>
      </w:r>
      <w:r w:rsidRPr="00D168C4">
        <w:rPr>
          <w:lang w:val="en-GB"/>
        </w:rPr>
        <w:tab/>
      </w:r>
      <w:r>
        <w:rPr>
          <w:position w:val="-4"/>
          <w:lang w:val="en-GB"/>
        </w:rPr>
        <w:object w:dxaOrig="375" w:dyaOrig="255">
          <v:shape id="_x0000_i1027" type="#_x0000_t75" style="width:19pt;height:12.65pt" o:ole="">
            <v:imagedata r:id="rId18" o:title=""/>
          </v:shape>
          <o:OLEObject Type="Embed" ProgID="Equation.3" ShapeID="_x0000_i1027" DrawAspect="Content" ObjectID="_1579492372" r:id="rId19"/>
        </w:object>
      </w:r>
      <w:r w:rsidRPr="00D168C4">
        <w:rPr>
          <w:i/>
          <w:lang w:val="en-GB"/>
        </w:rPr>
        <w:t xml:space="preserve"> = k </w:t>
      </w:r>
      <w:r>
        <w:rPr>
          <w:i/>
          <w:position w:val="-4"/>
          <w:lang w:val="en-GB"/>
        </w:rPr>
        <w:object w:dxaOrig="240" w:dyaOrig="255">
          <v:shape id="_x0000_i1028" type="#_x0000_t75" style="width:11.5pt;height:12.65pt" o:ole="">
            <v:imagedata r:id="rId20" o:title=""/>
          </v:shape>
          <o:OLEObject Type="Embed" ProgID="Equation.3" ShapeID="_x0000_i1028" DrawAspect="Content" ObjectID="_1579492373" r:id="rId21"/>
        </w:object>
      </w:r>
      <w:r w:rsidRPr="00D168C4">
        <w:rPr>
          <w:i/>
          <w:iCs/>
          <w:lang w:val="en-GB"/>
        </w:rPr>
        <w:t>T B</w:t>
      </w:r>
      <w:r w:rsidRPr="00D168C4">
        <w:rPr>
          <w:lang w:val="en-GB"/>
        </w:rPr>
        <w:tab/>
        <w:t>(2)</w:t>
      </w:r>
    </w:p>
    <w:p w:rsidR="0065256A" w:rsidRPr="00D168C4" w:rsidRDefault="0065256A" w:rsidP="00E77674">
      <w:pPr>
        <w:rPr>
          <w:lang w:val="en-GB"/>
        </w:rPr>
      </w:pPr>
      <w:r w:rsidRPr="00D168C4">
        <w:rPr>
          <w:lang w:val="en-GB"/>
        </w:rPr>
        <w:t xml:space="preserve">where </w:t>
      </w:r>
      <w:r w:rsidRPr="00D168C4">
        <w:rPr>
          <w:i/>
          <w:iCs/>
          <w:lang w:val="en-GB"/>
        </w:rPr>
        <w:t>k</w:t>
      </w:r>
      <w:r w:rsidRPr="00D168C4">
        <w:rPr>
          <w:lang w:val="en-GB"/>
        </w:rPr>
        <w:t xml:space="preserve"> is Boltzman’s constant = 1.38 </w:t>
      </w:r>
      <w:r>
        <w:sym w:font="Symbol" w:char="F0B4"/>
      </w:r>
      <w:r w:rsidRPr="00D168C4">
        <w:rPr>
          <w:lang w:val="en-GB"/>
        </w:rPr>
        <w:t xml:space="preserve"> 10</w:t>
      </w:r>
      <w:r w:rsidR="008F5FB7">
        <w:rPr>
          <w:vertAlign w:val="superscript"/>
          <w:lang w:val="en-GB"/>
        </w:rPr>
        <w:t>−</w:t>
      </w:r>
      <w:r w:rsidRPr="00D168C4">
        <w:rPr>
          <w:vertAlign w:val="superscript"/>
          <w:lang w:val="en-GB"/>
        </w:rPr>
        <w:t>23</w:t>
      </w:r>
      <w:r w:rsidRPr="00D168C4">
        <w:rPr>
          <w:lang w:val="en-GB"/>
        </w:rPr>
        <w:t xml:space="preserve">, and </w:t>
      </w:r>
      <w:r>
        <w:sym w:font="Symbol" w:char="F044"/>
      </w:r>
      <w:r w:rsidRPr="00D168C4">
        <w:rPr>
          <w:i/>
          <w:iCs/>
          <w:lang w:val="en-GB"/>
        </w:rPr>
        <w:t>T</w:t>
      </w:r>
      <w:r w:rsidRPr="00D168C4">
        <w:rPr>
          <w:lang w:val="en-GB"/>
        </w:rPr>
        <w:t xml:space="preserve"> and </w:t>
      </w:r>
      <w:r w:rsidRPr="00D168C4">
        <w:rPr>
          <w:i/>
          <w:iCs/>
          <w:lang w:val="en-GB"/>
        </w:rPr>
        <w:t>B</w:t>
      </w:r>
      <w:r w:rsidRPr="00D168C4">
        <w:rPr>
          <w:lang w:val="en-GB"/>
        </w:rPr>
        <w:t xml:space="preserve"> are as given above. Using equations (1) and (2), we find that a radiometer with a 2 GHz bandwidth, 850 K system noise temperature and a 1</w:t>
      </w:r>
      <w:r w:rsidR="008F5FB7">
        <w:rPr>
          <w:lang w:val="en-GB"/>
        </w:rPr>
        <w:t> </w:t>
      </w:r>
      <w:r w:rsidRPr="00D168C4">
        <w:rPr>
          <w:lang w:val="en-GB"/>
        </w:rPr>
        <w:t xml:space="preserve">ms integration time has </w:t>
      </w:r>
      <w:r>
        <w:sym w:font="Symbol" w:char="F044"/>
      </w:r>
      <w:r w:rsidRPr="00D168C4">
        <w:rPr>
          <w:i/>
          <w:iCs/>
          <w:lang w:val="en-GB"/>
        </w:rPr>
        <w:t>P</w:t>
      </w:r>
      <w:r w:rsidRPr="00D168C4">
        <w:rPr>
          <w:lang w:val="en-GB"/>
        </w:rPr>
        <w:t xml:space="preserve"> = </w:t>
      </w:r>
      <w:r w:rsidR="00E77674">
        <w:rPr>
          <w:lang w:val="en-GB"/>
        </w:rPr>
        <w:t>−</w:t>
      </w:r>
      <w:r w:rsidRPr="00D168C4">
        <w:rPr>
          <w:lang w:val="en-GB"/>
        </w:rPr>
        <w:t>137.8 dB(W/2 GHz).</w:t>
      </w:r>
    </w:p>
    <w:p w:rsidR="0065256A" w:rsidRPr="008F5FB7" w:rsidRDefault="0065256A" w:rsidP="008F5FB7">
      <w:pPr>
        <w:rPr>
          <w:i/>
          <w:iCs/>
          <w:lang w:val="en-GB"/>
        </w:rPr>
      </w:pPr>
      <w:r w:rsidRPr="008F5FB7">
        <w:rPr>
          <w:i/>
          <w:iCs/>
          <w:lang w:val="en-GB"/>
        </w:rPr>
        <w:t>Short-term protection criterion</w:t>
      </w:r>
    </w:p>
    <w:p w:rsidR="0065256A" w:rsidRPr="00D168C4" w:rsidRDefault="0065256A" w:rsidP="008F5FB7">
      <w:pPr>
        <w:rPr>
          <w:lang w:val="en-GB"/>
        </w:rPr>
      </w:pPr>
      <w:r w:rsidRPr="00D168C4">
        <w:rPr>
          <w:lang w:val="en-GB"/>
        </w:rPr>
        <w:t xml:space="preserve">Given that it is an unlikely event, an operator can accept a severely degraded image for several seconds. Permitting the unwanted signal level to approach the radiometer’s threshold results in an allowed unwanted signal level of </w:t>
      </w:r>
      <w:r w:rsidR="008F5FB7">
        <w:rPr>
          <w:lang w:val="en-GB"/>
        </w:rPr>
        <w:t>−</w:t>
      </w:r>
      <w:r w:rsidRPr="00D168C4">
        <w:rPr>
          <w:lang w:val="en-GB"/>
        </w:rPr>
        <w:t>137.8 dB(W/2 GHz) for no more than 3 s.</w:t>
      </w:r>
    </w:p>
    <w:p w:rsidR="0065256A" w:rsidRPr="008F5FB7" w:rsidRDefault="0065256A" w:rsidP="008F5FB7">
      <w:pPr>
        <w:rPr>
          <w:i/>
          <w:iCs/>
          <w:lang w:val="en-GB"/>
        </w:rPr>
      </w:pPr>
      <w:r w:rsidRPr="008F5FB7">
        <w:rPr>
          <w:i/>
          <w:iCs/>
          <w:lang w:val="en-GB"/>
        </w:rPr>
        <w:t>Long-term protection criterion</w:t>
      </w:r>
    </w:p>
    <w:p w:rsidR="0065256A" w:rsidRPr="00D168C4" w:rsidRDefault="0065256A" w:rsidP="008F5FB7">
      <w:pPr>
        <w:rPr>
          <w:lang w:val="en-GB"/>
        </w:rPr>
      </w:pPr>
      <w:r w:rsidRPr="00D168C4">
        <w:rPr>
          <w:lang w:val="en-GB"/>
        </w:rPr>
        <w:t xml:space="preserve">A lesser degradation may be considered for time periods lasting up to 1 min. In this case the degradation is not necessarily readily evident to an operator, but does cause some loss in image resolution. Permitting the unwanted signal to reach 20% of the radiometer’s threshold yields an allowed interference level of </w:t>
      </w:r>
      <w:r w:rsidR="008F5FB7">
        <w:rPr>
          <w:lang w:val="en-GB"/>
        </w:rPr>
        <w:t>−</w:t>
      </w:r>
      <w:r w:rsidRPr="00D168C4">
        <w:rPr>
          <w:lang w:val="en-GB"/>
        </w:rPr>
        <w:t xml:space="preserve">144.8 dB(W/2 GHz) for no more than 60 s. </w:t>
      </w:r>
    </w:p>
    <w:p w:rsidR="0065256A" w:rsidRPr="00D168C4" w:rsidRDefault="0065256A" w:rsidP="0065256A">
      <w:pPr>
        <w:pStyle w:val="Heading2"/>
        <w:rPr>
          <w:lang w:val="en-GB"/>
        </w:rPr>
      </w:pPr>
      <w:r w:rsidRPr="00D168C4">
        <w:rPr>
          <w:lang w:val="en-GB"/>
        </w:rPr>
        <w:t>3.2</w:t>
      </w:r>
      <w:r w:rsidRPr="00D168C4">
        <w:rPr>
          <w:lang w:val="en-GB"/>
        </w:rPr>
        <w:tab/>
        <w:t>Metric radars and seekers</w:t>
      </w:r>
    </w:p>
    <w:p w:rsidR="0065256A" w:rsidRPr="00D168C4" w:rsidRDefault="0065256A" w:rsidP="0065256A">
      <w:pPr>
        <w:rPr>
          <w:lang w:val="en-GB"/>
        </w:rPr>
      </w:pPr>
      <w:r w:rsidRPr="00D168C4">
        <w:rPr>
          <w:lang w:val="en-GB"/>
        </w:rPr>
        <w:t xml:space="preserve">For the case of terrestrial metric (instrumentation) radars and the seekers, it can be noted that two important performance parameters, angular accuracy </w:t>
      </w:r>
      <w:r>
        <w:sym w:font="Symbol" w:char="F073"/>
      </w:r>
      <w:r>
        <w:rPr>
          <w:vertAlign w:val="subscript"/>
        </w:rPr>
        <w:sym w:font="Symbol" w:char="F071"/>
      </w:r>
      <w:r w:rsidRPr="00D168C4">
        <w:rPr>
          <w:lang w:val="en-GB"/>
        </w:rPr>
        <w:t xml:space="preserve"> and target detection range </w:t>
      </w:r>
      <w:r w:rsidRPr="00D168C4">
        <w:rPr>
          <w:i/>
          <w:iCs/>
          <w:lang w:val="en-GB"/>
        </w:rPr>
        <w:t>R</w:t>
      </w:r>
      <w:r w:rsidRPr="00D168C4">
        <w:rPr>
          <w:lang w:val="en-GB"/>
        </w:rPr>
        <w:t xml:space="preserve">, are related to the received </w:t>
      </w:r>
      <w:r w:rsidRPr="00D168C4">
        <w:rPr>
          <w:i/>
          <w:iCs/>
          <w:lang w:val="en-GB"/>
        </w:rPr>
        <w:t>S</w:t>
      </w:r>
      <w:r w:rsidRPr="00D168C4">
        <w:rPr>
          <w:lang w:val="en-GB"/>
        </w:rPr>
        <w:t>/</w:t>
      </w:r>
      <w:r w:rsidRPr="00D168C4">
        <w:rPr>
          <w:i/>
          <w:iCs/>
          <w:lang w:val="en-GB"/>
        </w:rPr>
        <w:t xml:space="preserve">N </w:t>
      </w:r>
      <w:r w:rsidRPr="00D168C4">
        <w:rPr>
          <w:lang w:val="en-GB"/>
        </w:rPr>
        <w:t>by:</w:t>
      </w:r>
    </w:p>
    <w:p w:rsidR="0065256A" w:rsidRPr="00D168C4" w:rsidRDefault="0065256A" w:rsidP="0065256A">
      <w:pPr>
        <w:pStyle w:val="Equation"/>
        <w:rPr>
          <w:lang w:val="en-GB"/>
        </w:rPr>
      </w:pPr>
      <w:r w:rsidRPr="00D168C4">
        <w:rPr>
          <w:lang w:val="en-GB"/>
        </w:rPr>
        <w:tab/>
      </w:r>
      <w:r w:rsidRPr="00D168C4">
        <w:rPr>
          <w:lang w:val="en-GB"/>
        </w:rPr>
        <w:tab/>
      </w:r>
      <w:r>
        <w:rPr>
          <w:position w:val="-28"/>
          <w:lang w:val="en-GB"/>
        </w:rPr>
        <w:object w:dxaOrig="1200" w:dyaOrig="660">
          <v:shape id="_x0000_i1029" type="#_x0000_t75" style="width:59.9pt;height:32.85pt" o:ole="">
            <v:imagedata r:id="rId22" o:title=""/>
          </v:shape>
          <o:OLEObject Type="Embed" ProgID="Equation.3" ShapeID="_x0000_i1029" DrawAspect="Content" ObjectID="_1579492374" r:id="rId23"/>
        </w:object>
      </w:r>
      <w:r w:rsidRPr="00D168C4">
        <w:rPr>
          <w:lang w:val="en-GB"/>
        </w:rPr>
        <w:tab/>
        <w:t>(3)</w:t>
      </w:r>
    </w:p>
    <w:p w:rsidR="0065256A" w:rsidRPr="00D168C4" w:rsidRDefault="0065256A" w:rsidP="0065256A">
      <w:pPr>
        <w:pStyle w:val="Equation"/>
        <w:rPr>
          <w:lang w:val="en-GB"/>
        </w:rPr>
      </w:pPr>
      <w:r w:rsidRPr="00D168C4">
        <w:rPr>
          <w:i/>
          <w:lang w:val="en-GB"/>
        </w:rPr>
        <w:tab/>
      </w:r>
      <w:r w:rsidRPr="00D168C4">
        <w:rPr>
          <w:i/>
          <w:lang w:val="en-GB"/>
        </w:rPr>
        <w:tab/>
        <w:t>R</w:t>
      </w:r>
      <w:r w:rsidRPr="00D168C4">
        <w:rPr>
          <w:lang w:val="en-GB"/>
        </w:rPr>
        <w:t xml:space="preserve"> </w:t>
      </w:r>
      <w:r>
        <w:rPr>
          <w:position w:val="-6"/>
          <w:lang w:val="en-GB"/>
        </w:rPr>
        <w:object w:dxaOrig="240" w:dyaOrig="240">
          <v:shape id="_x0000_i1030" type="#_x0000_t75" style="width:11.5pt;height:11.5pt" o:ole="">
            <v:imagedata r:id="rId24" o:title=""/>
          </v:shape>
          <o:OLEObject Type="Embed" ProgID="Equation.3" ShapeID="_x0000_i1030" DrawAspect="Content" ObjectID="_1579492375" r:id="rId25"/>
        </w:object>
      </w:r>
      <w:r w:rsidRPr="00D168C4">
        <w:rPr>
          <w:lang w:val="en-GB"/>
        </w:rPr>
        <w:t xml:space="preserve"> </w:t>
      </w:r>
      <w:r>
        <w:rPr>
          <w:position w:val="-28"/>
          <w:lang w:val="en-GB"/>
        </w:rPr>
        <w:object w:dxaOrig="660" w:dyaOrig="660">
          <v:shape id="_x0000_i1031" type="#_x0000_t75" style="width:32.85pt;height:32.85pt" o:ole="">
            <v:imagedata r:id="rId26" o:title=""/>
          </v:shape>
          <o:OLEObject Type="Embed" ProgID="Equation.3" ShapeID="_x0000_i1031" DrawAspect="Content" ObjectID="_1579492376" r:id="rId27"/>
        </w:object>
      </w:r>
      <w:r w:rsidRPr="00D168C4">
        <w:rPr>
          <w:lang w:val="en-GB"/>
        </w:rPr>
        <w:tab/>
        <w:t>(4)</w:t>
      </w:r>
    </w:p>
    <w:p w:rsidR="0065256A" w:rsidRPr="00D168C4" w:rsidRDefault="0065256A" w:rsidP="0065256A">
      <w:pPr>
        <w:rPr>
          <w:lang w:val="en-GB"/>
        </w:rPr>
      </w:pPr>
      <w:r w:rsidRPr="00D168C4">
        <w:rPr>
          <w:lang w:val="en-GB"/>
        </w:rPr>
        <w:t xml:space="preserve">Narrow antenna beamwidth and high angular accuracy are possible with fairly small antenna sizes at millimetre wavelengths. This characteristic, in fact, is a major reason why missile seekers and instrumentation radars have been developed at these frequencies. From equations (3) and (4) it can be seen that the angular accuracy of the radar is more sensitive to the received </w:t>
      </w:r>
      <w:r w:rsidRPr="00D168C4">
        <w:rPr>
          <w:i/>
          <w:iCs/>
          <w:lang w:val="en-GB"/>
        </w:rPr>
        <w:t>S</w:t>
      </w:r>
      <w:r w:rsidRPr="00D168C4">
        <w:rPr>
          <w:lang w:val="en-GB"/>
        </w:rPr>
        <w:t>/</w:t>
      </w:r>
      <w:r w:rsidRPr="00D168C4">
        <w:rPr>
          <w:i/>
          <w:iCs/>
          <w:lang w:val="en-GB"/>
        </w:rPr>
        <w:t>N</w:t>
      </w:r>
      <w:r w:rsidRPr="00D168C4">
        <w:rPr>
          <w:lang w:val="en-GB"/>
        </w:rPr>
        <w:t xml:space="preserve"> than is the detection range so this performance parameter will be used to determine allowed interference levels</w:t>
      </w:r>
      <w:r>
        <w:rPr>
          <w:rStyle w:val="FootnoteReference"/>
        </w:rPr>
        <w:footnoteReference w:id="1"/>
      </w:r>
      <w:r w:rsidRPr="00D168C4">
        <w:rPr>
          <w:lang w:val="en-GB"/>
        </w:rPr>
        <w:t>.</w:t>
      </w:r>
    </w:p>
    <w:p w:rsidR="0065256A" w:rsidRPr="00D168C4" w:rsidRDefault="0065256A" w:rsidP="0065256A">
      <w:pPr>
        <w:rPr>
          <w:lang w:val="en-GB"/>
        </w:rPr>
      </w:pPr>
      <w:r w:rsidRPr="00D168C4">
        <w:rPr>
          <w:lang w:val="en-GB"/>
        </w:rPr>
        <w:t>As in the case of the imaging system in the previous section, short term and long</w:t>
      </w:r>
      <w:r w:rsidRPr="00D168C4">
        <w:rPr>
          <w:lang w:val="en-GB"/>
        </w:rPr>
        <w:noBreakHyphen/>
        <w:t>term criteria can be established for allowed degradation in system performance due to unwanted signals (interference).</w:t>
      </w:r>
    </w:p>
    <w:p w:rsidR="0065256A" w:rsidRPr="00D168C4" w:rsidRDefault="0065256A" w:rsidP="0065256A">
      <w:pPr>
        <w:rPr>
          <w:lang w:val="en-GB"/>
        </w:rPr>
      </w:pPr>
      <w:r w:rsidRPr="00D168C4">
        <w:rPr>
          <w:lang w:val="en-GB"/>
        </w:rPr>
        <w:t>Short-term interference is allowed to significantly degrade the system for a period of time short enough that it may be acceptable to the operator, given that it is an unlikely event. Long-term interference is allowed to incrementally degrade system performance to an extent not readily apparent to the operator, but is otherwise acceptable for the specified duration of time.</w:t>
      </w:r>
    </w:p>
    <w:p w:rsidR="0065256A" w:rsidRPr="00C31432" w:rsidRDefault="0065256A" w:rsidP="002B5521">
      <w:pPr>
        <w:rPr>
          <w:i/>
          <w:iCs/>
          <w:lang w:val="en-GB"/>
        </w:rPr>
      </w:pPr>
      <w:r w:rsidRPr="00C31432">
        <w:rPr>
          <w:i/>
          <w:iCs/>
          <w:lang w:val="en-GB"/>
        </w:rPr>
        <w:t>Short-term protection criterion</w:t>
      </w:r>
    </w:p>
    <w:p w:rsidR="0065256A" w:rsidRPr="0065256A" w:rsidRDefault="0065256A" w:rsidP="002B5521">
      <w:pPr>
        <w:rPr>
          <w:lang w:val="en-GB"/>
        </w:rPr>
      </w:pPr>
      <w:r w:rsidRPr="0065256A">
        <w:rPr>
          <w:lang w:val="en-GB"/>
        </w:rPr>
        <w:t xml:space="preserve">A degradation in the radar </w:t>
      </w:r>
      <w:r w:rsidRPr="0065256A">
        <w:rPr>
          <w:i/>
          <w:iCs/>
          <w:lang w:val="en-GB"/>
        </w:rPr>
        <w:t>S</w:t>
      </w:r>
      <w:r w:rsidRPr="0065256A">
        <w:rPr>
          <w:lang w:val="en-GB"/>
        </w:rPr>
        <w:t>/</w:t>
      </w:r>
      <w:r w:rsidRPr="0065256A">
        <w:rPr>
          <w:i/>
          <w:iCs/>
          <w:lang w:val="en-GB"/>
        </w:rPr>
        <w:t>N</w:t>
      </w:r>
      <w:r w:rsidRPr="0065256A">
        <w:rPr>
          <w:lang w:val="en-GB"/>
        </w:rPr>
        <w:t xml:space="preserve"> will cause a tracking error, which can partially negate the advantage of operating at higher frequencies, and may significantly affect the radar’s mission. Permitting an unwanted signal to reach the radar noise level (</w:t>
      </w:r>
      <w:r w:rsidRPr="0065256A">
        <w:rPr>
          <w:i/>
          <w:iCs/>
          <w:lang w:val="en-GB"/>
        </w:rPr>
        <w:t>I</w:t>
      </w:r>
      <w:r w:rsidRPr="0065256A">
        <w:rPr>
          <w:lang w:val="en-GB"/>
        </w:rPr>
        <w:t>/</w:t>
      </w:r>
      <w:r w:rsidRPr="0065256A">
        <w:rPr>
          <w:i/>
          <w:iCs/>
          <w:lang w:val="en-GB"/>
        </w:rPr>
        <w:t>N</w:t>
      </w:r>
      <w:r w:rsidRPr="0065256A">
        <w:rPr>
          <w:lang w:val="en-GB"/>
        </w:rPr>
        <w:t xml:space="preserve"> = 0 dB) will result in a 40% increase in the angle error. It can be again assumed that this degradation is not overly important – given that it is </w:t>
      </w:r>
      <w:r w:rsidRPr="0065256A">
        <w:rPr>
          <w:lang w:val="en-GB"/>
        </w:rPr>
        <w:lastRenderedPageBreak/>
        <w:t xml:space="preserve">an unlikely event – for periods of time less than about 5 s. The allowed unwanted signal level can then be as great as </w:t>
      </w:r>
      <w:r w:rsidR="002B5521">
        <w:rPr>
          <w:lang w:val="en-GB"/>
        </w:rPr>
        <w:t>−</w:t>
      </w:r>
      <w:r w:rsidRPr="0065256A">
        <w:rPr>
          <w:lang w:val="en-GB"/>
        </w:rPr>
        <w:t>126.2 dB(W/6 MHz) for no more than 5 s (using the radar with the narrowest bandwidth given in Table 1).</w:t>
      </w:r>
    </w:p>
    <w:p w:rsidR="0065256A" w:rsidRPr="002B5521" w:rsidRDefault="0065256A" w:rsidP="002B5521">
      <w:pPr>
        <w:rPr>
          <w:i/>
          <w:iCs/>
          <w:lang w:val="en-GB"/>
        </w:rPr>
      </w:pPr>
      <w:r w:rsidRPr="002B5521">
        <w:rPr>
          <w:i/>
          <w:iCs/>
          <w:lang w:val="en-GB"/>
        </w:rPr>
        <w:t>Long-term protection criterion</w:t>
      </w:r>
    </w:p>
    <w:p w:rsidR="0065256A" w:rsidRPr="0065256A" w:rsidRDefault="0065256A" w:rsidP="002B5521">
      <w:pPr>
        <w:rPr>
          <w:lang w:val="en-GB"/>
        </w:rPr>
      </w:pPr>
      <w:r w:rsidRPr="0065256A">
        <w:rPr>
          <w:lang w:val="en-GB"/>
        </w:rPr>
        <w:t xml:space="preserve">It would seem reasonable that the radar error becomes more important over increasingly longer periods of time. For periods up to 1 min in duration it should be assumed that an increase in the angle error, due to an unwanted signal, should not exceed 5%. The long-term criterion is then an allowed unwanted signal level of </w:t>
      </w:r>
      <w:r w:rsidR="002B5521">
        <w:rPr>
          <w:lang w:val="en-GB"/>
        </w:rPr>
        <w:t>−</w:t>
      </w:r>
      <w:r w:rsidRPr="0065256A">
        <w:rPr>
          <w:lang w:val="en-GB"/>
        </w:rPr>
        <w:t>136.1 dB(W/6 MHz) for no more than 60 s.</w:t>
      </w:r>
    </w:p>
    <w:p w:rsidR="0065256A" w:rsidRPr="0065256A" w:rsidRDefault="0065256A" w:rsidP="0065256A">
      <w:pPr>
        <w:pStyle w:val="Heading2"/>
        <w:rPr>
          <w:lang w:val="en-GB"/>
        </w:rPr>
      </w:pPr>
      <w:r w:rsidRPr="0065256A">
        <w:rPr>
          <w:lang w:val="en-GB"/>
        </w:rPr>
        <w:t>3.3</w:t>
      </w:r>
      <w:r w:rsidRPr="0065256A">
        <w:rPr>
          <w:lang w:val="en-GB"/>
        </w:rPr>
        <w:tab/>
        <w:t>Search and track radars</w:t>
      </w:r>
    </w:p>
    <w:p w:rsidR="0065256A" w:rsidRPr="0065256A" w:rsidRDefault="0065256A" w:rsidP="002B5521">
      <w:pPr>
        <w:rPr>
          <w:szCs w:val="24"/>
          <w:lang w:val="en-GB" w:eastAsia="en-GB"/>
        </w:rPr>
      </w:pPr>
      <w:r w:rsidRPr="0065256A">
        <w:rPr>
          <w:lang w:val="en-GB"/>
        </w:rPr>
        <w:t xml:space="preserve">For search and track radars, the protection criteria of an interfering signal power to radar receiver noise power level, </w:t>
      </w:r>
      <w:r w:rsidRPr="0065256A">
        <w:rPr>
          <w:i/>
          <w:lang w:val="en-GB"/>
        </w:rPr>
        <w:t>I</w:t>
      </w:r>
      <w:r w:rsidRPr="0065256A">
        <w:rPr>
          <w:lang w:val="en-GB"/>
        </w:rPr>
        <w:t>/</w:t>
      </w:r>
      <w:r w:rsidRPr="0065256A">
        <w:rPr>
          <w:i/>
          <w:lang w:val="en-GB"/>
        </w:rPr>
        <w:t>N</w:t>
      </w:r>
      <w:r w:rsidRPr="0065256A">
        <w:rPr>
          <w:lang w:val="en-GB"/>
        </w:rPr>
        <w:t xml:space="preserve">, is </w:t>
      </w:r>
      <w:r w:rsidR="002B5521">
        <w:rPr>
          <w:lang w:val="en-GB"/>
        </w:rPr>
        <w:t>−</w:t>
      </w:r>
      <w:r w:rsidRPr="0065256A">
        <w:rPr>
          <w:lang w:val="en-GB"/>
        </w:rPr>
        <w:t>6 dB.</w:t>
      </w:r>
      <w:r w:rsidRPr="0065256A">
        <w:rPr>
          <w:szCs w:val="24"/>
          <w:lang w:val="en-GB" w:eastAsia="en-GB"/>
        </w:rPr>
        <w:t xml:space="preserve"> </w:t>
      </w:r>
    </w:p>
    <w:p w:rsidR="00A6617B" w:rsidRDefault="00A6617B" w:rsidP="00D168C4">
      <w:pPr>
        <w:rPr>
          <w:lang w:val="en-GB"/>
        </w:rPr>
      </w:pPr>
    </w:p>
    <w:p w:rsidR="00D168C4" w:rsidRPr="0065256A" w:rsidRDefault="00D168C4" w:rsidP="00D168C4">
      <w:pPr>
        <w:pStyle w:val="Line"/>
      </w:pPr>
    </w:p>
    <w:sectPr w:rsidR="00D168C4" w:rsidRPr="0065256A" w:rsidSect="00D168C4">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53B" w:rsidRDefault="00CF053B">
      <w:r>
        <w:separator/>
      </w:r>
    </w:p>
  </w:endnote>
  <w:endnote w:type="continuationSeparator" w:id="0">
    <w:p w:rsidR="00CF053B" w:rsidRDefault="00CF0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53B" w:rsidRDefault="00CF053B">
      <w:r>
        <w:separator/>
      </w:r>
    </w:p>
  </w:footnote>
  <w:footnote w:type="continuationSeparator" w:id="0">
    <w:p w:rsidR="00CF053B" w:rsidRDefault="00CF053B">
      <w:r>
        <w:continuationSeparator/>
      </w:r>
    </w:p>
  </w:footnote>
  <w:footnote w:id="1">
    <w:p w:rsidR="0065256A" w:rsidRDefault="0065256A" w:rsidP="0065256A">
      <w:pPr>
        <w:pStyle w:val="FootnoteText"/>
        <w:rPr>
          <w:lang w:val="en-US"/>
        </w:rPr>
      </w:pPr>
      <w:r>
        <w:rPr>
          <w:rStyle w:val="FootnoteReference"/>
        </w:rPr>
        <w:footnoteRef/>
      </w:r>
      <w:r>
        <w:rPr>
          <w:lang w:val="en-US"/>
        </w:rPr>
        <w:t xml:space="preserve"> </w:t>
      </w:r>
      <w:r>
        <w:rPr>
          <w:lang w:val="en-US"/>
        </w:rPr>
        <w:tab/>
        <w:t xml:space="preserve">It is assumed here, for simplicity, that interfering signals will be interpreted by the victim receiver as an increase in the noise power in the IF stages. The actual response by radar systems may need to be considered, but is beyond </w:t>
      </w:r>
      <w:r w:rsidRPr="00D168C4">
        <w:rPr>
          <w:lang w:val="en-GB"/>
        </w:rPr>
        <w:t>the</w:t>
      </w:r>
      <w:r>
        <w:rPr>
          <w:lang w:val="en-US"/>
        </w:rPr>
        <w:t xml:space="preserve"> scope of this generalized treatment.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53B" w:rsidRDefault="00CF053B">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53B" w:rsidRDefault="00CF053B" w:rsidP="00B033C8">
    <w:pPr>
      <w:ind w:right="360" w:firstLine="360"/>
    </w:pPr>
    <w:r>
      <w:rPr>
        <w:noProof/>
        <w:lang w:val="en-GB" w:eastAsia="en-GB"/>
      </w:rPr>
      <w:drawing>
        <wp:anchor distT="0" distB="0" distL="114300" distR="114300" simplePos="0" relativeHeight="251659264" behindDoc="1" locked="0" layoutInCell="1" allowOverlap="1" wp14:anchorId="5D0F2C0E" wp14:editId="2A1A043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53B" w:rsidRPr="00FC42AF" w:rsidRDefault="00CF053B" w:rsidP="007913D0">
    <w:pPr>
      <w:tabs>
        <w:tab w:val="clear" w:pos="794"/>
        <w:tab w:val="clear" w:pos="1191"/>
        <w:tab w:val="clear" w:pos="1588"/>
        <w:tab w:val="clear" w:pos="1985"/>
        <w:tab w:val="center" w:pos="4848"/>
        <w:tab w:val="center" w:pos="9696"/>
      </w:tabs>
      <w:jc w:val="left"/>
    </w:pPr>
    <w:r w:rsidRPr="00FC42AF">
      <w:tab/>
    </w:r>
    <w:r w:rsidR="00490215">
      <w:fldChar w:fldCharType="begin"/>
    </w:r>
    <w:r w:rsidR="00490215">
      <w:instrText xml:space="preserve"> DOCPROPERTY "Header" \* MERGEFORMAT </w:instrText>
    </w:r>
    <w:r w:rsidR="00490215">
      <w:fldChar w:fldCharType="separate"/>
    </w:r>
    <w:r w:rsidR="00490215" w:rsidRPr="00490215">
      <w:rPr>
        <w:b/>
        <w:bCs/>
      </w:rPr>
      <w:t xml:space="preserve">Rec. </w:t>
    </w:r>
    <w:r w:rsidR="0049021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90215">
      <w:rPr>
        <w:b/>
        <w:bCs/>
        <w:noProof/>
      </w:rPr>
      <w:t>ITU-R  M.1640-1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53B" w:rsidRPr="00FC42AF" w:rsidRDefault="00CF053B"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90215">
      <w:rPr>
        <w:rStyle w:val="PageNumber"/>
        <w:b/>
        <w:bCs/>
        <w:noProof/>
      </w:rPr>
      <w:t>ii</w:t>
    </w:r>
    <w:r>
      <w:rPr>
        <w:rStyle w:val="PageNumber"/>
        <w:b/>
        <w:bCs/>
      </w:rPr>
      <w:fldChar w:fldCharType="end"/>
    </w:r>
    <w:r w:rsidRPr="00FC42AF">
      <w:tab/>
    </w:r>
    <w:r w:rsidR="00490215">
      <w:fldChar w:fldCharType="begin"/>
    </w:r>
    <w:r w:rsidR="00490215">
      <w:instrText xml:space="preserve"> DOCPROPERTY "Header" \* MERGEFORMAT </w:instrText>
    </w:r>
    <w:r w:rsidR="00490215">
      <w:fldChar w:fldCharType="separate"/>
    </w:r>
    <w:r w:rsidR="00490215" w:rsidRPr="00490215">
      <w:rPr>
        <w:b/>
        <w:bCs/>
      </w:rPr>
      <w:t xml:space="preserve">Rec. </w:t>
    </w:r>
    <w:r w:rsidR="0049021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90215">
      <w:rPr>
        <w:b/>
        <w:bCs/>
        <w:noProof/>
      </w:rPr>
      <w:t>ITU-R  M.1640-1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53B" w:rsidRDefault="00CF053B">
    <w:r>
      <w:tab/>
    </w:r>
    <w:r w:rsidR="00490215">
      <w:fldChar w:fldCharType="begin"/>
    </w:r>
    <w:r w:rsidR="00490215">
      <w:instrText xml:space="preserve"> DOCPROPERTY "Header" \* MERGEFORMAT </w:instrText>
    </w:r>
    <w:r w:rsidR="00490215">
      <w:fldChar w:fldCharType="separate"/>
    </w:r>
    <w:r w:rsidR="00490215" w:rsidRPr="00490215">
      <w:rPr>
        <w:b/>
        <w:bCs/>
      </w:rPr>
      <w:t xml:space="preserve">Rec. </w:t>
    </w:r>
    <w:r w:rsidR="00490215">
      <w:rPr>
        <w:b/>
        <w:bCs/>
      </w:rPr>
      <w:fldChar w:fldCharType="end"/>
    </w:r>
    <w:r>
      <w:rPr>
        <w:b/>
        <w:bCs/>
      </w:rPr>
      <w:t xml:space="preserve"> </w:t>
    </w:r>
    <w:r>
      <w:rPr>
        <w:b/>
        <w:bCs/>
      </w:rPr>
      <w:fldChar w:fldCharType="begin"/>
    </w:r>
    <w:r>
      <w:rPr>
        <w:b/>
        <w:bCs/>
      </w:rPr>
      <w:instrText>styleref href</w:instrText>
    </w:r>
    <w:r>
      <w:rPr>
        <w:b/>
        <w:bCs/>
      </w:rPr>
      <w:fldChar w:fldCharType="separate"/>
    </w:r>
    <w:r w:rsidR="00490215">
      <w:rPr>
        <w:b/>
        <w:bCs/>
        <w:noProof/>
      </w:rPr>
      <w:t>ITU-R  M.1640-1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5256A">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021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90215" w:rsidRPr="0049021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90215">
      <w:rPr>
        <w:b/>
        <w:bCs/>
        <w:noProof/>
      </w:rPr>
      <w:t>ITU-R  M.1640-1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490215">
      <w:fldChar w:fldCharType="begin"/>
    </w:r>
    <w:r w:rsidR="00490215">
      <w:instrText xml:space="preserve"> DOCPROPERTY "Header" \* MERGEFORMAT </w:instrText>
    </w:r>
    <w:r w:rsidR="00490215">
      <w:fldChar w:fldCharType="separate"/>
    </w:r>
    <w:r w:rsidR="00490215" w:rsidRPr="00490215">
      <w:rPr>
        <w:b/>
        <w:bCs/>
      </w:rPr>
      <w:t xml:space="preserve">Rec. </w:t>
    </w:r>
    <w:r w:rsidR="00490215">
      <w:rPr>
        <w:b/>
        <w:bCs/>
      </w:rPr>
      <w:fldChar w:fldCharType="end"/>
    </w:r>
    <w:r>
      <w:rPr>
        <w:b/>
        <w:bCs/>
      </w:rPr>
      <w:t xml:space="preserve"> </w:t>
    </w:r>
    <w:r>
      <w:rPr>
        <w:b/>
        <w:bCs/>
      </w:rPr>
      <w:fldChar w:fldCharType="begin"/>
    </w:r>
    <w:r>
      <w:rPr>
        <w:b/>
        <w:bCs/>
      </w:rPr>
      <w:instrText>styleref href</w:instrText>
    </w:r>
    <w:r>
      <w:rPr>
        <w:b/>
        <w:bCs/>
      </w:rPr>
      <w:fldChar w:fldCharType="separate"/>
    </w:r>
    <w:r w:rsidR="00490215">
      <w:rPr>
        <w:b/>
        <w:bCs/>
        <w:noProof/>
      </w:rPr>
      <w:t>ITU-R  M.1640-1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90215">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A5530E"/>
    <w:multiLevelType w:val="hybridMultilevel"/>
    <w:tmpl w:val="96966D3C"/>
    <w:lvl w:ilvl="0" w:tplc="88A817D4">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53B"/>
    <w:rsid w:val="00217EBF"/>
    <w:rsid w:val="00242AEE"/>
    <w:rsid w:val="00280198"/>
    <w:rsid w:val="002B5521"/>
    <w:rsid w:val="002D76C4"/>
    <w:rsid w:val="00423857"/>
    <w:rsid w:val="00490215"/>
    <w:rsid w:val="0052529D"/>
    <w:rsid w:val="00571248"/>
    <w:rsid w:val="00607D68"/>
    <w:rsid w:val="0065256A"/>
    <w:rsid w:val="007468DA"/>
    <w:rsid w:val="00761F30"/>
    <w:rsid w:val="00824BE8"/>
    <w:rsid w:val="008F5FB7"/>
    <w:rsid w:val="009E00A8"/>
    <w:rsid w:val="00A6617B"/>
    <w:rsid w:val="00AB0DC8"/>
    <w:rsid w:val="00B44E24"/>
    <w:rsid w:val="00C31432"/>
    <w:rsid w:val="00CF053B"/>
    <w:rsid w:val="00D168C4"/>
    <w:rsid w:val="00DF4176"/>
    <w:rsid w:val="00E77674"/>
    <w:rsid w:val="00ED1B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3"/>
    <o:shapelayout v:ext="edit">
      <o:idmap v:ext="edit" data="1"/>
    </o:shapelayout>
  </w:shapeDefaults>
  <w:decimalSymbol w:val="."/>
  <w:listSeparator w:val=","/>
  <w15:docId w15:val="{6AE0C4EE-C4A4-470D-B903-7C85DFC1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BF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D1BF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CF053B"/>
    <w:rPr>
      <w:b/>
      <w:sz w:val="22"/>
      <w:lang w:val="fr-FR" w:eastAsia="en-US"/>
    </w:rPr>
  </w:style>
  <w:style w:type="character" w:customStyle="1" w:styleId="TabletextChar">
    <w:name w:val="Table_text Char"/>
    <w:basedOn w:val="DefaultParagraphFont"/>
    <w:link w:val="Tabletext"/>
    <w:locked/>
    <w:rsid w:val="00CF053B"/>
    <w:rPr>
      <w:sz w:val="22"/>
      <w:lang w:val="fr-FR" w:eastAsia="en-US"/>
    </w:rPr>
  </w:style>
  <w:style w:type="character" w:styleId="Hyperlink">
    <w:name w:val="Hyperlink"/>
    <w:basedOn w:val="DefaultParagraphFont"/>
    <w:rsid w:val="00CF053B"/>
    <w:rPr>
      <w:color w:val="0000FF"/>
      <w:u w:val="single"/>
    </w:rPr>
  </w:style>
  <w:style w:type="character" w:customStyle="1" w:styleId="FootnoteTextChar">
    <w:name w:val="Footnote Text Char"/>
    <w:basedOn w:val="DefaultParagraphFont"/>
    <w:link w:val="FootnoteText"/>
    <w:semiHidden/>
    <w:rsid w:val="0065256A"/>
    <w:rPr>
      <w:sz w:val="22"/>
      <w:lang w:val="fr-FR" w:eastAsia="en-US"/>
    </w:rPr>
  </w:style>
  <w:style w:type="paragraph" w:styleId="ListParagraph">
    <w:name w:val="List Paragraph"/>
    <w:basedOn w:val="Normal"/>
    <w:uiPriority w:val="34"/>
    <w:qFormat/>
    <w:rsid w:val="0065256A"/>
    <w:pPr>
      <w:tabs>
        <w:tab w:val="clear" w:pos="794"/>
        <w:tab w:val="clear" w:pos="1191"/>
        <w:tab w:val="clear" w:pos="1588"/>
        <w:tab w:val="clear" w:pos="1985"/>
        <w:tab w:val="left" w:pos="1134"/>
        <w:tab w:val="left" w:pos="1871"/>
        <w:tab w:val="left" w:pos="2268"/>
      </w:tabs>
      <w:ind w:left="720"/>
      <w:contextualSpacing/>
      <w:jc w:val="left"/>
      <w:textAlignment w:val="auto"/>
    </w:pPr>
    <w:rPr>
      <w:lang w:val="en-GB"/>
    </w:rPr>
  </w:style>
  <w:style w:type="character" w:customStyle="1" w:styleId="HeadingbChar">
    <w:name w:val="Heading_b Char"/>
    <w:link w:val="Headingb"/>
    <w:locked/>
    <w:rsid w:val="0065256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14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7.w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61</TotalTime>
  <Pages>1</Pages>
  <Words>1830</Words>
  <Characters>10552</Characters>
  <Application>Microsoft Office Word</Application>
  <DocSecurity>0</DocSecurity>
  <Lines>479</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2018-02-07T06:05:00Z</cp:lastPrinted>
  <dcterms:created xsi:type="dcterms:W3CDTF">2018-01-30T14:58:00Z</dcterms:created>
  <dcterms:modified xsi:type="dcterms:W3CDTF">2018-02-07T06:05:00Z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