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7F6CC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7F6CCE">
              <w:rPr>
                <w:rFonts w:ascii="Tahoma" w:hAnsi="Tahoma" w:cs="Tahoma"/>
                <w:b/>
                <w:bCs/>
                <w:iCs/>
                <w:color w:val="243285"/>
                <w:sz w:val="36"/>
                <w:szCs w:val="36"/>
              </w:rPr>
              <w:t>1545</w:t>
            </w:r>
          </w:p>
          <w:p w:rsidR="00FE79FE" w:rsidRPr="004F65E4" w:rsidRDefault="00FE79FE" w:rsidP="007F6CC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F6CCE">
              <w:rPr>
                <w:rFonts w:ascii="Tahoma" w:hAnsi="Tahoma" w:cs="Tahoma"/>
                <w:b/>
                <w:bCs/>
                <w:iCs/>
                <w:color w:val="243285"/>
                <w:szCs w:val="24"/>
              </w:rPr>
              <w:t>08</w:t>
            </w:r>
            <w:r w:rsidRPr="004F65E4">
              <w:rPr>
                <w:rFonts w:ascii="Tahoma" w:hAnsi="Tahoma" w:cs="Tahoma"/>
                <w:b/>
                <w:bCs/>
                <w:iCs/>
                <w:color w:val="243285"/>
                <w:szCs w:val="24"/>
              </w:rPr>
              <w:t>/</w:t>
            </w:r>
            <w:r w:rsidR="007F6CCE">
              <w:rPr>
                <w:rFonts w:ascii="Tahoma" w:hAnsi="Tahoma" w:cs="Tahoma"/>
                <w:b/>
                <w:bCs/>
                <w:iCs/>
                <w:color w:val="243285"/>
                <w:szCs w:val="24"/>
              </w:rPr>
              <w:t>2001</w:t>
            </w:r>
            <w:r w:rsidRPr="004F65E4">
              <w:rPr>
                <w:rFonts w:ascii="Tahoma" w:hAnsi="Tahoma" w:cs="Tahoma"/>
                <w:b/>
                <w:bCs/>
                <w:iCs/>
                <w:color w:val="243285"/>
                <w:szCs w:val="24"/>
              </w:rPr>
              <w:t>)</w:t>
            </w:r>
          </w:p>
        </w:tc>
      </w:tr>
      <w:tr w:rsidR="00FE79FE" w:rsidRPr="007F6CCE">
        <w:tc>
          <w:tcPr>
            <w:tcW w:w="10089" w:type="dxa"/>
          </w:tcPr>
          <w:p w:rsidR="00013002" w:rsidRPr="007F6CCE"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7F6CCE" w:rsidP="007F6CCE">
            <w:pPr>
              <w:spacing w:before="80" w:line="500" w:lineRule="exact"/>
              <w:jc w:val="right"/>
              <w:rPr>
                <w:rFonts w:ascii="Tahoma" w:hAnsi="Tahoma" w:cs="Tahoma"/>
                <w:b/>
                <w:bCs/>
                <w:iCs/>
                <w:color w:val="243285"/>
                <w:sz w:val="44"/>
                <w:szCs w:val="44"/>
                <w:lang w:val="en-US"/>
              </w:rPr>
            </w:pPr>
            <w:r w:rsidRPr="007F6CCE">
              <w:rPr>
                <w:rFonts w:ascii="Tahoma" w:hAnsi="Tahoma" w:cs="Tahoma"/>
                <w:b/>
                <w:bCs/>
                <w:iCs/>
                <w:color w:val="243285"/>
                <w:sz w:val="44"/>
                <w:szCs w:val="44"/>
                <w:lang w:val="en-US"/>
              </w:rPr>
              <w:t>Measurement uncertainty as it applies</w:t>
            </w:r>
            <w:r w:rsidRPr="007F6CCE">
              <w:rPr>
                <w:rFonts w:ascii="Tahoma" w:hAnsi="Tahoma" w:cs="Tahoma"/>
                <w:b/>
                <w:bCs/>
                <w:iCs/>
                <w:color w:val="243285"/>
                <w:sz w:val="44"/>
                <w:szCs w:val="44"/>
                <w:lang w:val="en-US"/>
              </w:rPr>
              <w:br/>
              <w:t>to test limits for the terrestrial</w:t>
            </w:r>
            <w:r w:rsidRPr="007F6CCE">
              <w:rPr>
                <w:rFonts w:ascii="Tahoma" w:hAnsi="Tahoma" w:cs="Tahoma"/>
                <w:b/>
                <w:bCs/>
                <w:iCs/>
                <w:color w:val="243285"/>
                <w:sz w:val="44"/>
                <w:szCs w:val="44"/>
                <w:lang w:val="en-US"/>
              </w:rPr>
              <w:br/>
              <w:t>component of International Mobile Telecommunications-2000</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7F6CCE" w:rsidRDefault="00FD15CF" w:rsidP="00FD15CF">
            <w:pPr>
              <w:spacing w:before="80" w:line="280" w:lineRule="exact"/>
              <w:ind w:right="640"/>
              <w:rPr>
                <w:rFonts w:ascii="Tahoma" w:hAnsi="Tahoma" w:cs="Tahoma"/>
                <w:b/>
                <w:bCs/>
                <w:iCs/>
                <w:color w:val="243285"/>
                <w:sz w:val="32"/>
                <w:szCs w:val="32"/>
                <w:lang w:val="en-US"/>
              </w:rPr>
            </w:pPr>
          </w:p>
          <w:p w:rsidR="00FD15CF" w:rsidRPr="007F6CCE"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F6CC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F6CC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F6CC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F6CC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F6CC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53EB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53EBC">
        <w:rPr>
          <w:sz w:val="20"/>
          <w:lang w:val="en-US"/>
        </w:rPr>
        <w:t>1</w:t>
      </w:r>
    </w:p>
    <w:p w:rsidR="00470E28" w:rsidRDefault="00470E28" w:rsidP="00906589">
      <w:pPr>
        <w:jc w:val="center"/>
        <w:rPr>
          <w:sz w:val="22"/>
          <w:lang w:val="en-US"/>
        </w:rPr>
      </w:pPr>
    </w:p>
    <w:p w:rsidR="00586EF8" w:rsidRPr="00470E28" w:rsidRDefault="00586EF8" w:rsidP="00B53EBC">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53EBC">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7F6CCE" w:rsidP="007F6CC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1545</w:t>
      </w:r>
      <w:r>
        <w:rPr>
          <w:rStyle w:val="FootnoteReference"/>
          <w:lang w:val="en-US"/>
        </w:rPr>
        <w:footnoteReference w:customMarkFollows="1" w:id="1"/>
        <w:t>*</w:t>
      </w:r>
      <w:r w:rsidRPr="007F6CCE">
        <w:rPr>
          <w:position w:val="8"/>
          <w:sz w:val="18"/>
          <w:lang w:val="en-US"/>
        </w:rPr>
        <w:t xml:space="preserve">, </w:t>
      </w:r>
      <w:r>
        <w:rPr>
          <w:rStyle w:val="FootnoteReference"/>
          <w:lang w:val="en-US"/>
        </w:rPr>
        <w:footnoteReference w:customMarkFollows="1" w:id="2"/>
        <w:t>**</w:t>
      </w:r>
    </w:p>
    <w:p w:rsidR="007F6CCE" w:rsidRDefault="007F6CCE" w:rsidP="00853F25">
      <w:pPr>
        <w:pStyle w:val="Reptitle"/>
        <w:rPr>
          <w:lang w:val="en-US"/>
        </w:rPr>
      </w:pPr>
      <w:bookmarkStart w:id="3" w:name="Pre_title"/>
      <w:r>
        <w:rPr>
          <w:rFonts w:hint="eastAsia"/>
          <w:lang w:val="en-US"/>
        </w:rPr>
        <w:t>Meas</w:t>
      </w:r>
      <w:r>
        <w:rPr>
          <w:lang w:val="en-US"/>
        </w:rPr>
        <w:t>u</w:t>
      </w:r>
      <w:r>
        <w:rPr>
          <w:rFonts w:hint="eastAsia"/>
          <w:lang w:val="en-US"/>
        </w:rPr>
        <w:t>r</w:t>
      </w:r>
      <w:r>
        <w:rPr>
          <w:lang w:val="en-US"/>
        </w:rPr>
        <w:t>e</w:t>
      </w:r>
      <w:r>
        <w:rPr>
          <w:rFonts w:hint="eastAsia"/>
          <w:lang w:val="en-US"/>
        </w:rPr>
        <w:t>ment uncertainty</w:t>
      </w:r>
      <w:r>
        <w:rPr>
          <w:lang w:val="en-US"/>
        </w:rPr>
        <w:t xml:space="preserve"> as it applies to test limits</w:t>
      </w:r>
      <w:r>
        <w:rPr>
          <w:rFonts w:hint="eastAsia"/>
          <w:lang w:val="en-US"/>
        </w:rPr>
        <w:t xml:space="preserve"> </w:t>
      </w:r>
      <w:r>
        <w:rPr>
          <w:lang w:val="en-US"/>
        </w:rPr>
        <w:t>for the terrestrial</w:t>
      </w:r>
      <w:r w:rsidR="00853F25">
        <w:rPr>
          <w:lang w:val="en-US"/>
        </w:rPr>
        <w:br/>
      </w:r>
      <w:bookmarkStart w:id="4" w:name="_GoBack"/>
      <w:bookmarkEnd w:id="4"/>
      <w:r>
        <w:rPr>
          <w:lang w:val="en-US"/>
        </w:rPr>
        <w:t>component of</w:t>
      </w:r>
      <w:r>
        <w:rPr>
          <w:rFonts w:hint="eastAsia"/>
          <w:lang w:val="en-US"/>
        </w:rPr>
        <w:t xml:space="preserve"> </w:t>
      </w:r>
      <w:r>
        <w:rPr>
          <w:lang w:val="en-US"/>
        </w:rPr>
        <w:t>International Mobile Telecommunications</w:t>
      </w:r>
      <w:r>
        <w:rPr>
          <w:rFonts w:hint="eastAsia"/>
          <w:lang w:val="en-US"/>
        </w:rPr>
        <w:t>-</w:t>
      </w:r>
      <w:r>
        <w:rPr>
          <w:lang w:val="en-US"/>
        </w:rPr>
        <w:t>2000</w:t>
      </w:r>
      <w:bookmarkEnd w:id="3"/>
    </w:p>
    <w:p w:rsidR="007F6CCE" w:rsidRPr="007F6CCE" w:rsidRDefault="007F6CCE" w:rsidP="007F6CCE">
      <w:pPr>
        <w:pStyle w:val="Repref"/>
        <w:rPr>
          <w:lang w:val="en-US"/>
        </w:rPr>
      </w:pPr>
      <w:bookmarkStart w:id="5" w:name="Related_Questions"/>
      <w:r w:rsidRPr="007F6CCE">
        <w:rPr>
          <w:lang w:val="en-US"/>
        </w:rPr>
        <w:t>(Question ITU-R 229/8)</w:t>
      </w:r>
      <w:bookmarkEnd w:id="5"/>
    </w:p>
    <w:p w:rsidR="00853F25" w:rsidRDefault="00853F25" w:rsidP="007F6CCE">
      <w:pPr>
        <w:pStyle w:val="Repdate"/>
        <w:rPr>
          <w:lang w:val="en-US"/>
        </w:rPr>
      </w:pPr>
      <w:bookmarkStart w:id="6" w:name="Revision_history"/>
    </w:p>
    <w:p w:rsidR="007F6CCE" w:rsidRPr="007F6CCE" w:rsidRDefault="007F6CCE" w:rsidP="007F6CCE">
      <w:pPr>
        <w:pStyle w:val="Repdate"/>
        <w:rPr>
          <w:lang w:val="en-US"/>
        </w:rPr>
      </w:pPr>
      <w:r w:rsidRPr="007F6CCE">
        <w:rPr>
          <w:lang w:val="en-US"/>
        </w:rPr>
        <w:t>(2001)</w:t>
      </w:r>
      <w:bookmarkEnd w:id="6"/>
    </w:p>
    <w:p w:rsidR="00853F25" w:rsidRDefault="00853F25" w:rsidP="00853F25"/>
    <w:p w:rsidR="007F6CCE" w:rsidRPr="00853F25" w:rsidRDefault="007F6CCE" w:rsidP="00853F25">
      <w:pPr>
        <w:pStyle w:val="HeadingSum"/>
        <w:rPr>
          <w:sz w:val="24"/>
        </w:rPr>
      </w:pPr>
      <w:r w:rsidRPr="00853F25">
        <w:rPr>
          <w:sz w:val="24"/>
        </w:rPr>
        <w:t>Scope</w:t>
      </w:r>
    </w:p>
    <w:p w:rsidR="007F6CCE" w:rsidRPr="00853F25" w:rsidRDefault="007F6CCE" w:rsidP="00853F25">
      <w:pPr>
        <w:pStyle w:val="Summary"/>
        <w:rPr>
          <w:sz w:val="24"/>
        </w:rPr>
      </w:pPr>
      <w:r w:rsidRPr="00853F25">
        <w:rPr>
          <w:sz w:val="24"/>
        </w:rPr>
        <w:t>This Recommendation describes the application of measurement uncertainty to test limits when devices for terrestrial component of IMT</w:t>
      </w:r>
      <w:r w:rsidRPr="00853F25">
        <w:rPr>
          <w:sz w:val="24"/>
        </w:rPr>
        <w:noBreakHyphen/>
        <w:t>2000 are tested for conformance.  Consistent with industry practice, it is recommended that the shared risk principle should be used for all tests and that any relaxation of core specification limits should be evaluated on a case</w:t>
      </w:r>
      <w:r w:rsidRPr="00853F25">
        <w:rPr>
          <w:sz w:val="24"/>
        </w:rPr>
        <w:noBreakHyphen/>
        <w:t>by</w:t>
      </w:r>
      <w:r w:rsidRPr="00853F25">
        <w:rPr>
          <w:sz w:val="24"/>
        </w:rPr>
        <w:noBreakHyphen/>
        <w:t>case basis.</w:t>
      </w:r>
    </w:p>
    <w:p w:rsidR="007F6CCE" w:rsidRDefault="007F6CCE" w:rsidP="007F6CCE">
      <w:pPr>
        <w:pStyle w:val="Normalaftertitle"/>
        <w:rPr>
          <w:rFonts w:hint="eastAsia"/>
          <w:lang w:val="en-US"/>
        </w:rPr>
      </w:pPr>
      <w:r>
        <w:rPr>
          <w:rFonts w:hint="eastAsia"/>
          <w:lang w:val="en-US"/>
        </w:rPr>
        <w:t>Th</w:t>
      </w:r>
      <w:r>
        <w:rPr>
          <w:lang w:val="en-US"/>
        </w:rPr>
        <w:t>e ITU Radiocommunication Assembly</w:t>
      </w:r>
      <w:r>
        <w:rPr>
          <w:rFonts w:hint="eastAsia"/>
          <w:lang w:val="en-US"/>
        </w:rPr>
        <w:t>,</w:t>
      </w:r>
    </w:p>
    <w:p w:rsidR="007F6CCE" w:rsidRDefault="007F6CCE" w:rsidP="007F6CCE">
      <w:pPr>
        <w:pStyle w:val="Call"/>
        <w:rPr>
          <w:lang w:val="en-US"/>
        </w:rPr>
      </w:pPr>
      <w:r>
        <w:rPr>
          <w:rFonts w:hint="eastAsia"/>
          <w:lang w:val="en-US"/>
        </w:rPr>
        <w:t>considering</w:t>
      </w:r>
    </w:p>
    <w:p w:rsidR="007F6CCE" w:rsidRDefault="007F6CCE" w:rsidP="007F6CCE">
      <w:pPr>
        <w:rPr>
          <w:lang w:val="en-US"/>
        </w:rPr>
      </w:pPr>
      <w:r>
        <w:rPr>
          <w:lang w:val="en-US"/>
        </w:rPr>
        <w:t>a)</w:t>
      </w:r>
      <w:r>
        <w:rPr>
          <w:lang w:val="en-US"/>
        </w:rPr>
        <w:tab/>
      </w:r>
      <w:r>
        <w:rPr>
          <w:rFonts w:hint="eastAsia"/>
          <w:lang w:val="en-US"/>
        </w:rPr>
        <w:t xml:space="preserve">that Recommendation </w:t>
      </w:r>
      <w:r>
        <w:rPr>
          <w:rFonts w:hint="eastAsia"/>
          <w:caps/>
          <w:lang w:val="en-US"/>
        </w:rPr>
        <w:t>itu-</w:t>
      </w:r>
      <w:r>
        <w:rPr>
          <w:rFonts w:hint="eastAsia"/>
          <w:lang w:val="en-US"/>
        </w:rPr>
        <w:t xml:space="preserve">R M.1457 addresses the </w:t>
      </w:r>
      <w:r>
        <w:rPr>
          <w:lang w:val="en-US"/>
        </w:rPr>
        <w:t>d</w:t>
      </w:r>
      <w:r>
        <w:rPr>
          <w:rFonts w:hint="eastAsia"/>
          <w:lang w:val="en-US"/>
        </w:rPr>
        <w:t xml:space="preserve">etailed specifications of the radio interface of </w:t>
      </w:r>
      <w:r>
        <w:rPr>
          <w:lang w:val="en-US"/>
        </w:rPr>
        <w:t>International Mobile Telecommunications-2000 (</w:t>
      </w:r>
      <w:r>
        <w:rPr>
          <w:rFonts w:hint="eastAsia"/>
          <w:lang w:val="en-US"/>
        </w:rPr>
        <w:t>IMT-2000</w:t>
      </w:r>
      <w:r>
        <w:rPr>
          <w:lang w:val="en-US"/>
        </w:rPr>
        <w:t>)</w:t>
      </w:r>
      <w:r>
        <w:rPr>
          <w:rFonts w:hint="eastAsia"/>
          <w:lang w:val="en-US"/>
        </w:rPr>
        <w:t>;</w:t>
      </w:r>
    </w:p>
    <w:p w:rsidR="007F6CCE" w:rsidRDefault="007F6CCE" w:rsidP="007F6CCE">
      <w:pPr>
        <w:rPr>
          <w:lang w:val="en-US"/>
        </w:rPr>
      </w:pPr>
      <w:r>
        <w:rPr>
          <w:lang w:val="en-US"/>
        </w:rPr>
        <w:t>b)</w:t>
      </w:r>
      <w:r>
        <w:rPr>
          <w:lang w:val="en-US"/>
        </w:rPr>
        <w:tab/>
        <w:t>that</w:t>
      </w:r>
      <w:r>
        <w:rPr>
          <w:rFonts w:hint="eastAsia"/>
          <w:lang w:val="en-US"/>
        </w:rPr>
        <w:t xml:space="preserve"> it is reasonable to allow in practice some measurement uncertainty in the measurement method, measurement equipment and measurement test bench when the device is to be tested from</w:t>
      </w:r>
      <w:r>
        <w:rPr>
          <w:lang w:val="en-US"/>
        </w:rPr>
        <w:t xml:space="preserve"> </w:t>
      </w:r>
      <w:r>
        <w:rPr>
          <w:rFonts w:hint="eastAsia"/>
          <w:lang w:val="en-US"/>
        </w:rPr>
        <w:t>a</w:t>
      </w:r>
      <w:r>
        <w:rPr>
          <w:lang w:val="en-US"/>
        </w:rPr>
        <w:t xml:space="preserve"> </w:t>
      </w:r>
      <w:r>
        <w:rPr>
          <w:rFonts w:hint="eastAsia"/>
          <w:lang w:val="en-US"/>
        </w:rPr>
        <w:t>regulatory viewpoint;</w:t>
      </w:r>
    </w:p>
    <w:p w:rsidR="007F6CCE" w:rsidRDefault="007F6CCE" w:rsidP="007F6CCE">
      <w:pPr>
        <w:rPr>
          <w:lang w:val="en-US"/>
        </w:rPr>
      </w:pPr>
      <w:r>
        <w:rPr>
          <w:lang w:val="en-US"/>
        </w:rPr>
        <w:t>c)</w:t>
      </w:r>
      <w:r>
        <w:rPr>
          <w:lang w:val="en-US"/>
        </w:rPr>
        <w:tab/>
      </w:r>
      <w:r>
        <w:rPr>
          <w:rFonts w:hint="eastAsia"/>
          <w:lang w:val="en-US"/>
        </w:rPr>
        <w:t xml:space="preserve">that </w:t>
      </w:r>
      <w:r>
        <w:rPr>
          <w:lang w:val="en-US"/>
        </w:rPr>
        <w:t>a</w:t>
      </w:r>
      <w:r>
        <w:rPr>
          <w:rFonts w:hint="eastAsia"/>
          <w:lang w:val="en-US"/>
        </w:rPr>
        <w:t xml:space="preserve"> device that is manufactured in one country and passes </w:t>
      </w:r>
      <w:r>
        <w:rPr>
          <w:lang w:val="en-US"/>
        </w:rPr>
        <w:t xml:space="preserve">a </w:t>
      </w:r>
      <w:r>
        <w:rPr>
          <w:rFonts w:hint="eastAsia"/>
          <w:lang w:val="en-US"/>
        </w:rPr>
        <w:t>conformance test based on regulation of t</w:t>
      </w:r>
      <w:r>
        <w:rPr>
          <w:lang w:val="en-US"/>
        </w:rPr>
        <w:t>hat</w:t>
      </w:r>
      <w:r>
        <w:rPr>
          <w:rFonts w:hint="eastAsia"/>
          <w:lang w:val="en-US"/>
        </w:rPr>
        <w:t xml:space="preserve"> country may not be well accepted by the regulator of another country, not due to actual inadequacy of the equipment but because of difference in the concepts employed for handling measurement uncertainty;</w:t>
      </w:r>
    </w:p>
    <w:p w:rsidR="007F6CCE" w:rsidRDefault="007F6CCE" w:rsidP="007F6CCE">
      <w:pPr>
        <w:rPr>
          <w:rFonts w:hint="eastAsia"/>
          <w:lang w:val="en-US"/>
        </w:rPr>
      </w:pPr>
      <w:r>
        <w:rPr>
          <w:lang w:val="en-US"/>
        </w:rPr>
        <w:t>d)</w:t>
      </w:r>
      <w:r>
        <w:rPr>
          <w:lang w:val="en-US"/>
        </w:rPr>
        <w:tab/>
      </w:r>
      <w:r>
        <w:rPr>
          <w:rFonts w:hint="eastAsia"/>
          <w:lang w:val="en-US"/>
        </w:rPr>
        <w:t>that it is essentially important to achieve a common global understanding of how measurement uncertainty is applied when test limits are defined, in conjunction with how that is incorporated into pertinent specifications;</w:t>
      </w:r>
    </w:p>
    <w:p w:rsidR="007F6CCE" w:rsidRDefault="007F6CCE" w:rsidP="007F6CCE">
      <w:pPr>
        <w:rPr>
          <w:lang w:val="en-US"/>
        </w:rPr>
      </w:pPr>
      <w:r>
        <w:rPr>
          <w:lang w:val="en-US"/>
        </w:rPr>
        <w:t>e)</w:t>
      </w:r>
      <w:r>
        <w:rPr>
          <w:lang w:val="en-US"/>
        </w:rPr>
        <w:tab/>
      </w:r>
      <w:r>
        <w:rPr>
          <w:rFonts w:hint="eastAsia"/>
          <w:lang w:val="en-US"/>
        </w:rPr>
        <w:t>that f</w:t>
      </w:r>
      <w:r>
        <w:rPr>
          <w:lang w:val="en-US"/>
        </w:rPr>
        <w:t xml:space="preserve">rom a technical perspective, in </w:t>
      </w:r>
      <w:r>
        <w:rPr>
          <w:rFonts w:hint="eastAsia"/>
          <w:lang w:val="en-US"/>
        </w:rPr>
        <w:t xml:space="preserve">a </w:t>
      </w:r>
      <w:r>
        <w:rPr>
          <w:lang w:val="en-US"/>
        </w:rPr>
        <w:t xml:space="preserve">case </w:t>
      </w:r>
      <w:r>
        <w:rPr>
          <w:rFonts w:hint="eastAsia"/>
          <w:lang w:val="en-US"/>
        </w:rPr>
        <w:t xml:space="preserve">that </w:t>
      </w:r>
      <w:r>
        <w:rPr>
          <w:lang w:val="en-US"/>
        </w:rPr>
        <w:t xml:space="preserve">the measurement uncertainty can be reasonably defined, the following </w:t>
      </w:r>
      <w:r>
        <w:rPr>
          <w:rFonts w:hint="eastAsia"/>
          <w:lang w:val="en-US"/>
        </w:rPr>
        <w:t>three</w:t>
      </w:r>
      <w:r>
        <w:rPr>
          <w:lang w:val="en-US"/>
        </w:rPr>
        <w:t xml:space="preserve"> </w:t>
      </w:r>
      <w:r>
        <w:rPr>
          <w:rFonts w:hint="eastAsia"/>
          <w:lang w:val="en-US"/>
        </w:rPr>
        <w:t>methods</w:t>
      </w:r>
      <w:r>
        <w:rPr>
          <w:lang w:val="en-US"/>
        </w:rPr>
        <w:t xml:space="preserve"> lead to the same result:</w:t>
      </w:r>
    </w:p>
    <w:p w:rsidR="007F6CCE" w:rsidRDefault="007F6CCE" w:rsidP="007F6CCE">
      <w:pPr>
        <w:pStyle w:val="enumlev1"/>
        <w:tabs>
          <w:tab w:val="left" w:pos="2977"/>
        </w:tabs>
        <w:rPr>
          <w:lang w:val="en-US"/>
        </w:rPr>
      </w:pPr>
      <w:r>
        <w:rPr>
          <w:lang w:val="en-US"/>
        </w:rPr>
        <w:t>–</w:t>
      </w:r>
      <w:r>
        <w:rPr>
          <w:lang w:val="en-US"/>
        </w:rPr>
        <w:tab/>
        <w:t>“Never fail a good device under test (DUT)” principle applied to a test limit equals to the core specification value, where core specification value and measurement uncertainty are separately defined (see Annex 1, Fig. 1);</w:t>
      </w:r>
    </w:p>
    <w:p w:rsidR="007F6CCE" w:rsidRDefault="007F6CCE" w:rsidP="007F6CCE">
      <w:pPr>
        <w:pStyle w:val="enumlev1"/>
        <w:tabs>
          <w:tab w:val="left" w:pos="2977"/>
        </w:tabs>
        <w:rPr>
          <w:lang w:val="en-US"/>
        </w:rPr>
      </w:pPr>
      <w:r>
        <w:rPr>
          <w:lang w:val="en-US"/>
        </w:rPr>
        <w:t>–</w:t>
      </w:r>
      <w:r>
        <w:rPr>
          <w:lang w:val="en-US"/>
        </w:rPr>
        <w:tab/>
        <w:t>“Shared risk” principle applied to a test limit calculated by relaxing the core specification value by measurement uncertainty, where core specification value and measurement uncertainty are separately defined (see Annex 1, Fig. 2);</w:t>
      </w:r>
    </w:p>
    <w:p w:rsidR="007F6CCE" w:rsidRDefault="007F6CCE" w:rsidP="007F6CCE">
      <w:pPr>
        <w:pStyle w:val="enumlev1"/>
        <w:tabs>
          <w:tab w:val="left" w:pos="2977"/>
        </w:tabs>
        <w:rPr>
          <w:lang w:val="en-US"/>
        </w:rPr>
      </w:pPr>
      <w:r>
        <w:rPr>
          <w:lang w:val="en-US"/>
        </w:rPr>
        <w:t>–</w:t>
      </w:r>
      <w:r>
        <w:rPr>
          <w:lang w:val="en-US"/>
        </w:rPr>
        <w:tab/>
        <w:t>“Shared risk” principle applied to a test limit which equals the core specification value that includes measurement uncertainty (see Annex 1, Fig. 3),</w:t>
      </w:r>
    </w:p>
    <w:p w:rsidR="007F6CCE" w:rsidRDefault="007F6CCE" w:rsidP="007F6CCE">
      <w:pPr>
        <w:pStyle w:val="Call"/>
        <w:rPr>
          <w:lang w:val="en-US"/>
        </w:rPr>
      </w:pPr>
      <w:r>
        <w:rPr>
          <w:lang w:val="en-US"/>
        </w:rPr>
        <w:lastRenderedPageBreak/>
        <w:t>recommends</w:t>
      </w:r>
    </w:p>
    <w:p w:rsidR="007F6CCE" w:rsidRDefault="007F6CCE" w:rsidP="00853F25">
      <w:pPr>
        <w:rPr>
          <w:rFonts w:hint="eastAsia"/>
          <w:lang w:val="en-US"/>
        </w:rPr>
      </w:pPr>
      <w:r w:rsidRPr="003674EF">
        <w:rPr>
          <w:b/>
          <w:lang w:val="en-US"/>
        </w:rPr>
        <w:t>1</w:t>
      </w:r>
      <w:r>
        <w:rPr>
          <w:lang w:val="en-US"/>
        </w:rPr>
        <w:tab/>
      </w:r>
      <w:r w:rsidRPr="003674EF">
        <w:rPr>
          <w:rFonts w:hint="eastAsia"/>
          <w:lang w:val="en-US"/>
        </w:rPr>
        <w:t>that m</w:t>
      </w:r>
      <w:r w:rsidRPr="003674EF">
        <w:rPr>
          <w:lang w:val="en-US"/>
        </w:rPr>
        <w:t>aximum allowable m</w:t>
      </w:r>
      <w:r w:rsidRPr="003674EF">
        <w:rPr>
          <w:rFonts w:hint="eastAsia"/>
          <w:lang w:val="en-US"/>
        </w:rPr>
        <w:t xml:space="preserve">easurement uncertainty </w:t>
      </w:r>
      <w:r w:rsidRPr="003674EF">
        <w:rPr>
          <w:rFonts w:hint="eastAsia"/>
          <w:lang w:val="en-US" w:eastAsia="ja-JP"/>
        </w:rPr>
        <w:t xml:space="preserve">as it applies to test limits </w:t>
      </w:r>
      <w:r w:rsidRPr="003674EF">
        <w:rPr>
          <w:rFonts w:hint="eastAsia"/>
          <w:lang w:val="en-US"/>
        </w:rPr>
        <w:t>should be defined as a unique and consistent value associated with one or a combination of measurement methods and measurement equipment to be used, when the device for terrestrial component</w:t>
      </w:r>
      <w:r w:rsidRPr="003674EF">
        <w:rPr>
          <w:lang w:val="en-US"/>
        </w:rPr>
        <w:t xml:space="preserve"> of </w:t>
      </w:r>
      <w:r w:rsidRPr="003674EF">
        <w:rPr>
          <w:rFonts w:hint="eastAsia"/>
          <w:lang w:val="en-US"/>
        </w:rPr>
        <w:t>IMT</w:t>
      </w:r>
      <w:r w:rsidRPr="003674EF">
        <w:rPr>
          <w:lang w:val="en-US"/>
        </w:rPr>
        <w:noBreakHyphen/>
      </w:r>
      <w:r w:rsidRPr="003674EF">
        <w:rPr>
          <w:rFonts w:hint="eastAsia"/>
          <w:lang w:val="en-US"/>
        </w:rPr>
        <w:t>2000 is to be tested for conformance</w:t>
      </w:r>
      <w:r>
        <w:rPr>
          <w:rFonts w:hint="eastAsia"/>
          <w:lang w:val="en-US"/>
        </w:rPr>
        <w:t>;</w:t>
      </w:r>
    </w:p>
    <w:p w:rsidR="007F6CCE" w:rsidRDefault="007F6CCE" w:rsidP="007F6CCE">
      <w:pPr>
        <w:rPr>
          <w:lang w:val="en-US"/>
        </w:rPr>
      </w:pPr>
      <w:r>
        <w:rPr>
          <w:b/>
          <w:lang w:val="en-US"/>
        </w:rPr>
        <w:t>2</w:t>
      </w:r>
      <w:r>
        <w:rPr>
          <w:lang w:val="en-US"/>
        </w:rPr>
        <w:tab/>
      </w:r>
      <w:r>
        <w:rPr>
          <w:rFonts w:hint="eastAsia"/>
          <w:lang w:val="en-US"/>
        </w:rPr>
        <w:t>that i</w:t>
      </w:r>
      <w:r>
        <w:rPr>
          <w:lang w:val="en-US"/>
        </w:rPr>
        <w:t>n order to be consistent with industry practice, the shared risk principle should be used for all tests</w:t>
      </w:r>
      <w:r>
        <w:rPr>
          <w:rFonts w:hint="eastAsia"/>
          <w:lang w:val="en-US"/>
        </w:rPr>
        <w:t xml:space="preserve"> and that i</w:t>
      </w:r>
      <w:r>
        <w:rPr>
          <w:lang w:val="en-US"/>
        </w:rPr>
        <w:t xml:space="preserve">t may be decided to relax the core specification value by a certain relaxation </w:t>
      </w:r>
    </w:p>
    <w:p w:rsidR="007F6CCE" w:rsidRDefault="007F6CCE" w:rsidP="007F6CCE">
      <w:pPr>
        <w:rPr>
          <w:lang w:val="en-US"/>
        </w:rPr>
      </w:pPr>
      <w:r>
        <w:rPr>
          <w:lang w:val="en-US"/>
        </w:rPr>
        <w:t>value that should be evaluated on a case</w:t>
      </w:r>
      <w:r>
        <w:rPr>
          <w:lang w:val="en-US"/>
        </w:rPr>
        <w:noBreakHyphen/>
        <w:t>per</w:t>
      </w:r>
      <w:r>
        <w:rPr>
          <w:lang w:val="en-US"/>
        </w:rPr>
        <w:noBreakHyphen/>
        <w:t>case basis taking into account different factors such as test system measurement uncertainty (test</w:t>
      </w:r>
      <w:r>
        <w:rPr>
          <w:rFonts w:hint="eastAsia"/>
          <w:lang w:val="en-US"/>
        </w:rPr>
        <w:t xml:space="preserve"> </w:t>
      </w:r>
      <w:r>
        <w:rPr>
          <w:lang w:val="en-US"/>
        </w:rPr>
        <w:t>equipment uncertainty, mismatch, and so on), and criticality for system</w:t>
      </w:r>
      <w:r>
        <w:rPr>
          <w:rFonts w:hint="eastAsia"/>
          <w:lang w:val="en-US"/>
        </w:rPr>
        <w:t xml:space="preserve"> </w:t>
      </w:r>
      <w:r>
        <w:rPr>
          <w:lang w:val="en-US"/>
        </w:rPr>
        <w:t>performance</w:t>
      </w:r>
      <w:r>
        <w:rPr>
          <w:rFonts w:hint="eastAsia"/>
          <w:lang w:val="en-US"/>
        </w:rPr>
        <w:t>;</w:t>
      </w:r>
    </w:p>
    <w:p w:rsidR="007F6CCE" w:rsidRDefault="007F6CCE" w:rsidP="007F6CCE">
      <w:pPr>
        <w:rPr>
          <w:lang w:val="en-US"/>
        </w:rPr>
      </w:pPr>
      <w:r>
        <w:rPr>
          <w:b/>
          <w:lang w:val="en-US"/>
        </w:rPr>
        <w:t>3</w:t>
      </w:r>
      <w:r>
        <w:rPr>
          <w:lang w:val="en-US"/>
        </w:rPr>
        <w:tab/>
        <w:t>that</w:t>
      </w:r>
      <w:r>
        <w:rPr>
          <w:rFonts w:hint="eastAsia"/>
          <w:lang w:val="en-US"/>
        </w:rPr>
        <w:t xml:space="preserve"> i</w:t>
      </w:r>
      <w:r>
        <w:rPr>
          <w:lang w:val="en-US"/>
        </w:rPr>
        <w:t>t should be clearly indicated where the relaxation value is specified;</w:t>
      </w:r>
    </w:p>
    <w:p w:rsidR="007F6CCE" w:rsidRDefault="007F6CCE" w:rsidP="007F6CCE">
      <w:pPr>
        <w:rPr>
          <w:lang w:val="en-US"/>
        </w:rPr>
      </w:pPr>
      <w:r>
        <w:rPr>
          <w:b/>
          <w:lang w:val="en-US"/>
        </w:rPr>
        <w:t>4</w:t>
      </w:r>
      <w:r>
        <w:rPr>
          <w:lang w:val="en-US"/>
        </w:rPr>
        <w:tab/>
      </w:r>
      <w:r>
        <w:rPr>
          <w:rFonts w:hint="eastAsia"/>
          <w:lang w:val="en-US"/>
        </w:rPr>
        <w:t xml:space="preserve">that in case the measurement uncertainty cannot be reasonably and clearly defined, </w:t>
      </w:r>
      <w:r>
        <w:rPr>
          <w:lang w:val="en-US"/>
        </w:rPr>
        <w:t>the “s</w:t>
      </w:r>
      <w:r>
        <w:rPr>
          <w:rFonts w:hint="eastAsia"/>
          <w:lang w:val="en-US"/>
        </w:rPr>
        <w:t>hared risk</w:t>
      </w:r>
      <w:r>
        <w:rPr>
          <w:lang w:val="en-US"/>
        </w:rPr>
        <w:t>”</w:t>
      </w:r>
      <w:r>
        <w:rPr>
          <w:rFonts w:hint="eastAsia"/>
          <w:lang w:val="en-US"/>
        </w:rPr>
        <w:t xml:space="preserve"> principle should be applied to core specification value without any relaxation.</w:t>
      </w:r>
    </w:p>
    <w:p w:rsidR="007F6CCE" w:rsidRDefault="007F6CCE" w:rsidP="007F6CCE">
      <w:pPr>
        <w:rPr>
          <w:lang w:val="en-US"/>
        </w:rPr>
      </w:pPr>
      <w:r>
        <w:rPr>
          <w:lang w:val="en-US"/>
        </w:rPr>
        <w:t>NOTE 1 – Definitions applicable to this Recommendation:</w:t>
      </w:r>
    </w:p>
    <w:p w:rsidR="007F6CCE" w:rsidRDefault="007F6CCE" w:rsidP="007F6CCE">
      <w:pPr>
        <w:rPr>
          <w:lang w:val="en-US"/>
        </w:rPr>
      </w:pPr>
      <w:r>
        <w:rPr>
          <w:bCs/>
          <w:i/>
          <w:iCs/>
          <w:lang w:val="en-US"/>
        </w:rPr>
        <w:t>M</w:t>
      </w:r>
      <w:r>
        <w:rPr>
          <w:rFonts w:hint="eastAsia"/>
          <w:bCs/>
          <w:i/>
          <w:iCs/>
          <w:lang w:val="en-US"/>
        </w:rPr>
        <w:t>easurement uncertainty:</w:t>
      </w:r>
      <w:r>
        <w:rPr>
          <w:rFonts w:hint="eastAsia"/>
          <w:lang w:val="en-US"/>
        </w:rPr>
        <w:t xml:space="preserve"> </w:t>
      </w:r>
      <w:r>
        <w:rPr>
          <w:lang w:val="en-US"/>
        </w:rPr>
        <w:t>e</w:t>
      </w:r>
      <w:r>
        <w:rPr>
          <w:rFonts w:hint="eastAsia"/>
          <w:lang w:val="en-US"/>
        </w:rPr>
        <w:t>rror in measurement associated with one or a combination of measurement methods and measurement equipment to be used when the device is to be tested for conformance</w:t>
      </w:r>
      <w:r>
        <w:rPr>
          <w:lang w:val="en-US"/>
        </w:rPr>
        <w:t>.</w:t>
      </w:r>
    </w:p>
    <w:p w:rsidR="007F6CCE" w:rsidRDefault="007F6CCE" w:rsidP="007F6CCE">
      <w:pPr>
        <w:rPr>
          <w:lang w:val="en-US"/>
        </w:rPr>
      </w:pPr>
      <w:r>
        <w:rPr>
          <w:bCs/>
          <w:i/>
          <w:iCs/>
          <w:lang w:val="en-US"/>
        </w:rPr>
        <w:t>C</w:t>
      </w:r>
      <w:r>
        <w:rPr>
          <w:rFonts w:hint="eastAsia"/>
          <w:bCs/>
          <w:i/>
          <w:iCs/>
          <w:lang w:val="en-US"/>
        </w:rPr>
        <w:t>ore specification value:</w:t>
      </w:r>
      <w:r>
        <w:rPr>
          <w:rFonts w:hint="eastAsia"/>
          <w:bCs/>
          <w:lang w:val="en-US"/>
        </w:rPr>
        <w:t xml:space="preserve"> </w:t>
      </w:r>
      <w:r>
        <w:rPr>
          <w:lang w:val="en-US"/>
        </w:rPr>
        <w:t>v</w:t>
      </w:r>
      <w:r>
        <w:rPr>
          <w:rFonts w:hint="eastAsia"/>
          <w:lang w:val="en-US"/>
        </w:rPr>
        <w:t>alue defined in the core specification</w:t>
      </w:r>
      <w:r>
        <w:rPr>
          <w:lang w:val="en-US"/>
        </w:rPr>
        <w:t>.</w:t>
      </w:r>
    </w:p>
    <w:p w:rsidR="007F6CCE" w:rsidRDefault="007F6CCE" w:rsidP="007F6CCE">
      <w:pPr>
        <w:rPr>
          <w:lang w:val="en-US" w:eastAsia="ja-JP"/>
        </w:rPr>
      </w:pPr>
      <w:r>
        <w:rPr>
          <w:bCs/>
          <w:i/>
          <w:iCs/>
          <w:lang w:val="en-US"/>
        </w:rPr>
        <w:t>T</w:t>
      </w:r>
      <w:r>
        <w:rPr>
          <w:rFonts w:hint="eastAsia"/>
          <w:bCs/>
          <w:i/>
          <w:iCs/>
          <w:lang w:val="en-US"/>
        </w:rPr>
        <w:t>est limit:</w:t>
      </w:r>
      <w:r>
        <w:rPr>
          <w:rFonts w:hint="eastAsia"/>
          <w:bCs/>
          <w:lang w:val="en-US"/>
        </w:rPr>
        <w:t xml:space="preserve"> </w:t>
      </w:r>
      <w:r>
        <w:rPr>
          <w:lang w:val="en-US"/>
        </w:rPr>
        <w:t>t</w:t>
      </w:r>
      <w:r>
        <w:rPr>
          <w:rFonts w:hint="eastAsia"/>
          <w:lang w:val="en-US"/>
        </w:rPr>
        <w:t>hreshold considered in a test to assess compliance of the device</w:t>
      </w:r>
      <w:r>
        <w:rPr>
          <w:lang w:val="en-US"/>
        </w:rPr>
        <w:t xml:space="preserve">; it might be </w:t>
      </w:r>
      <w:r>
        <w:rPr>
          <w:rFonts w:hint="eastAsia"/>
          <w:lang w:val="en-US" w:eastAsia="ja-JP"/>
        </w:rPr>
        <w:t xml:space="preserve">equal, </w:t>
      </w:r>
      <w:r>
        <w:rPr>
          <w:lang w:val="en-US"/>
        </w:rPr>
        <w:t>relaxed or tightened compared to the corresponding core specification value.</w:t>
      </w:r>
    </w:p>
    <w:p w:rsidR="007F6CCE" w:rsidRDefault="007F6CCE" w:rsidP="007F6CCE">
      <w:pPr>
        <w:rPr>
          <w:lang w:val="en-US"/>
        </w:rPr>
      </w:pPr>
      <w:r>
        <w:rPr>
          <w:bCs/>
          <w:i/>
          <w:iCs/>
          <w:lang w:val="en-US"/>
        </w:rPr>
        <w:t>“</w:t>
      </w:r>
      <w:r>
        <w:rPr>
          <w:rFonts w:hint="eastAsia"/>
          <w:bCs/>
          <w:i/>
          <w:iCs/>
          <w:lang w:val="en-US"/>
        </w:rPr>
        <w:t>Never fail a good DUT</w:t>
      </w:r>
      <w:r>
        <w:rPr>
          <w:bCs/>
          <w:i/>
          <w:iCs/>
          <w:lang w:val="en-US"/>
        </w:rPr>
        <w:t>” principle</w:t>
      </w:r>
      <w:r>
        <w:rPr>
          <w:rFonts w:hint="eastAsia"/>
          <w:bCs/>
          <w:i/>
          <w:iCs/>
          <w:lang w:val="en-US"/>
        </w:rPr>
        <w:t>:</w:t>
      </w:r>
      <w:r>
        <w:rPr>
          <w:rFonts w:hint="eastAsia"/>
          <w:bCs/>
          <w:lang w:val="en-US"/>
        </w:rPr>
        <w:t xml:space="preserve"> </w:t>
      </w:r>
      <w:r>
        <w:rPr>
          <w:lang w:val="en-US"/>
        </w:rPr>
        <w:t>measurement results are compared with test limits tolerating failures up to the measurement uncertainty (i.e. the DUT is considered to pass if the measurement result is within the test limits + tolerance up to measurement uncertainties).</w:t>
      </w:r>
    </w:p>
    <w:p w:rsidR="007F6CCE" w:rsidRDefault="007F6CCE" w:rsidP="007F6CCE">
      <w:pPr>
        <w:rPr>
          <w:lang w:val="en-US"/>
        </w:rPr>
      </w:pPr>
      <w:r>
        <w:rPr>
          <w:bCs/>
          <w:i/>
          <w:iCs/>
          <w:lang w:val="en-US"/>
        </w:rPr>
        <w:t>“</w:t>
      </w:r>
      <w:r>
        <w:rPr>
          <w:rFonts w:hint="eastAsia"/>
          <w:bCs/>
          <w:i/>
          <w:iCs/>
          <w:lang w:val="en-US"/>
        </w:rPr>
        <w:t xml:space="preserve">Shared </w:t>
      </w:r>
      <w:r>
        <w:rPr>
          <w:bCs/>
          <w:i/>
          <w:iCs/>
          <w:lang w:val="en-US"/>
        </w:rPr>
        <w:t>r</w:t>
      </w:r>
      <w:r>
        <w:rPr>
          <w:rFonts w:hint="eastAsia"/>
          <w:bCs/>
          <w:i/>
          <w:iCs/>
          <w:lang w:val="en-US"/>
        </w:rPr>
        <w:t>isk</w:t>
      </w:r>
      <w:r>
        <w:rPr>
          <w:bCs/>
          <w:i/>
          <w:iCs/>
          <w:lang w:val="en-US"/>
        </w:rPr>
        <w:t>” principle</w:t>
      </w:r>
      <w:r>
        <w:rPr>
          <w:rFonts w:hint="eastAsia"/>
          <w:bCs/>
          <w:i/>
          <w:iCs/>
          <w:lang w:val="en-US"/>
        </w:rPr>
        <w:t>:</w:t>
      </w:r>
      <w:r>
        <w:rPr>
          <w:rFonts w:hint="eastAsia"/>
          <w:bCs/>
          <w:lang w:val="en-US"/>
        </w:rPr>
        <w:t xml:space="preserve"> </w:t>
      </w:r>
      <w:r>
        <w:rPr>
          <w:lang w:val="en-US"/>
        </w:rPr>
        <w:t>measurement results are compared with test limits (i.e. the DUT is considered to pass if the measurement result is within the test limits).</w:t>
      </w:r>
    </w:p>
    <w:p w:rsidR="007F6CCE" w:rsidRDefault="007F6CCE" w:rsidP="007F6CCE">
      <w:pPr>
        <w:pStyle w:val="AnnexNo"/>
        <w:rPr>
          <w:rFonts w:hint="eastAsia"/>
          <w:lang w:val="en-US" w:eastAsia="ja-JP"/>
        </w:rPr>
      </w:pPr>
      <w:r>
        <w:rPr>
          <w:rFonts w:hint="eastAsia"/>
          <w:lang w:val="en-US" w:eastAsia="ja-JP"/>
        </w:rPr>
        <w:lastRenderedPageBreak/>
        <w:t>ANNEX</w:t>
      </w:r>
      <w:r>
        <w:rPr>
          <w:lang w:val="en-US" w:eastAsia="ja-JP"/>
        </w:rPr>
        <w:t xml:space="preserve">  1</w:t>
      </w:r>
      <w:r>
        <w:rPr>
          <w:rStyle w:val="FootnoteReference"/>
          <w:lang w:val="en-US" w:eastAsia="ja-JP"/>
        </w:rPr>
        <w:footnoteReference w:customMarkFollows="1" w:id="3"/>
        <w:t>1</w:t>
      </w:r>
    </w:p>
    <w:p w:rsidR="007F6CCE" w:rsidRDefault="007F6CCE" w:rsidP="007F6CCE">
      <w:pPr>
        <w:pStyle w:val="Annextitle"/>
        <w:rPr>
          <w:lang w:val="en-US"/>
        </w:rPr>
      </w:pPr>
      <w:r>
        <w:rPr>
          <w:rFonts w:hint="eastAsia"/>
          <w:lang w:val="en-US"/>
        </w:rPr>
        <w:t xml:space="preserve">Examples of two criteria </w:t>
      </w:r>
      <w:r>
        <w:rPr>
          <w:lang w:val="en-US"/>
        </w:rPr>
        <w:t>using</w:t>
      </w:r>
      <w:r>
        <w:rPr>
          <w:rFonts w:hint="eastAsia"/>
          <w:lang w:val="en-US"/>
        </w:rPr>
        <w:t xml:space="preserve"> </w:t>
      </w:r>
      <w:r>
        <w:rPr>
          <w:lang w:val="en-US"/>
        </w:rPr>
        <w:t>“n</w:t>
      </w:r>
      <w:r>
        <w:rPr>
          <w:rFonts w:hint="eastAsia"/>
          <w:lang w:val="en-US"/>
        </w:rPr>
        <w:t>ever fail a good DUT</w:t>
      </w:r>
      <w:r>
        <w:rPr>
          <w:lang w:val="en-US"/>
        </w:rPr>
        <w:t>”</w:t>
      </w:r>
      <w:r>
        <w:rPr>
          <w:rFonts w:hint="eastAsia"/>
          <w:lang w:val="en-US"/>
        </w:rPr>
        <w:t xml:space="preserve"> </w:t>
      </w:r>
      <w:r>
        <w:rPr>
          <w:lang w:val="en-US"/>
        </w:rPr>
        <w:br/>
      </w:r>
      <w:r>
        <w:rPr>
          <w:rFonts w:hint="eastAsia"/>
          <w:lang w:val="en-US"/>
        </w:rPr>
        <w:t xml:space="preserve">and </w:t>
      </w:r>
      <w:r>
        <w:rPr>
          <w:lang w:val="en-US"/>
        </w:rPr>
        <w:t>“</w:t>
      </w:r>
      <w:r>
        <w:rPr>
          <w:rFonts w:hint="eastAsia"/>
          <w:lang w:val="en-US"/>
        </w:rPr>
        <w:t>shared risk</w:t>
      </w:r>
      <w:r>
        <w:rPr>
          <w:lang w:val="en-US"/>
        </w:rPr>
        <w:t>”</w:t>
      </w:r>
      <w:r>
        <w:rPr>
          <w:rFonts w:hint="eastAsia"/>
          <w:lang w:val="en-US"/>
        </w:rPr>
        <w:t xml:space="preserve"> principles</w:t>
      </w:r>
    </w:p>
    <w:p w:rsidR="007F6CCE" w:rsidRDefault="007F6CCE" w:rsidP="007F6CCE">
      <w:pPr>
        <w:pStyle w:val="FigureNo"/>
      </w:pPr>
      <w:r>
        <w:rPr>
          <w:noProof/>
          <w:lang w:val="en-US" w:eastAsia="zh-CN"/>
        </w:rPr>
        <w:drawing>
          <wp:inline distT="0" distB="0" distL="0" distR="0">
            <wp:extent cx="4221480" cy="2918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1480" cy="2918460"/>
                    </a:xfrm>
                    <a:prstGeom prst="rect">
                      <a:avLst/>
                    </a:prstGeom>
                    <a:noFill/>
                    <a:ln>
                      <a:noFill/>
                    </a:ln>
                  </pic:spPr>
                </pic:pic>
              </a:graphicData>
            </a:graphic>
          </wp:inline>
        </w:drawing>
      </w:r>
    </w:p>
    <w:p w:rsidR="00853F25" w:rsidRDefault="00853F25" w:rsidP="00853F25"/>
    <w:p w:rsidR="00853F25" w:rsidRDefault="00853F25" w:rsidP="00853F25"/>
    <w:p w:rsidR="007F6CCE" w:rsidRDefault="007F6CCE" w:rsidP="007F6CCE">
      <w:pPr>
        <w:pStyle w:val="FigureNo"/>
      </w:pPr>
      <w:r>
        <w:rPr>
          <w:noProof/>
          <w:lang w:val="en-US" w:eastAsia="zh-CN"/>
        </w:rPr>
        <w:drawing>
          <wp:inline distT="0" distB="0" distL="0" distR="0">
            <wp:extent cx="4259580" cy="302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9580" cy="3025140"/>
                    </a:xfrm>
                    <a:prstGeom prst="rect">
                      <a:avLst/>
                    </a:prstGeom>
                    <a:noFill/>
                    <a:ln>
                      <a:noFill/>
                    </a:ln>
                  </pic:spPr>
                </pic:pic>
              </a:graphicData>
            </a:graphic>
          </wp:inline>
        </w:drawing>
      </w:r>
    </w:p>
    <w:p w:rsidR="007F6CCE" w:rsidRDefault="007F6CCE" w:rsidP="007F6CCE"/>
    <w:p w:rsidR="007F6CCE" w:rsidRDefault="007F6CCE" w:rsidP="007F6CCE">
      <w:pPr>
        <w:pStyle w:val="FigureNo"/>
      </w:pPr>
      <w:r>
        <w:rPr>
          <w:noProof/>
          <w:lang w:val="en-US" w:eastAsia="zh-CN"/>
        </w:rPr>
        <w:lastRenderedPageBreak/>
        <w:drawing>
          <wp:inline distT="0" distB="0" distL="0" distR="0">
            <wp:extent cx="429768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7680" cy="3124200"/>
                    </a:xfrm>
                    <a:prstGeom prst="rect">
                      <a:avLst/>
                    </a:prstGeom>
                    <a:noFill/>
                    <a:ln>
                      <a:noFill/>
                    </a:ln>
                  </pic:spPr>
                </pic:pic>
              </a:graphicData>
            </a:graphic>
          </wp:inline>
        </w:drawing>
      </w:r>
    </w:p>
    <w:p w:rsidR="007F6CCE" w:rsidRDefault="007F6CCE" w:rsidP="007F6CCE">
      <w:pPr>
        <w:rPr>
          <w:lang w:val="en-US"/>
        </w:rPr>
      </w:pPr>
    </w:p>
    <w:p w:rsidR="007F6CCE" w:rsidRDefault="007F6CCE" w:rsidP="007F6CCE">
      <w:pPr>
        <w:rPr>
          <w:lang w:val="en-US"/>
        </w:rPr>
      </w:pPr>
    </w:p>
    <w:p w:rsidR="007F6CCE" w:rsidRDefault="007F6CCE" w:rsidP="007F6CCE">
      <w:pPr>
        <w:rPr>
          <w:lang w:val="en-US"/>
        </w:rPr>
      </w:pPr>
    </w:p>
    <w:p w:rsidR="007F6CCE" w:rsidRPr="007F6CCE" w:rsidRDefault="007F6CCE" w:rsidP="007F6CCE">
      <w:pPr>
        <w:pStyle w:val="Line"/>
      </w:pPr>
    </w:p>
    <w:sectPr w:rsidR="007F6CCE" w:rsidRPr="007F6CC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3F5" w:rsidRDefault="006003F5">
      <w:r>
        <w:separator/>
      </w:r>
    </w:p>
  </w:footnote>
  <w:footnote w:type="continuationSeparator" w:id="0">
    <w:p w:rsidR="006003F5" w:rsidRDefault="006003F5">
      <w:r>
        <w:continuationSeparator/>
      </w:r>
    </w:p>
  </w:footnote>
  <w:footnote w:id="1">
    <w:p w:rsidR="007F6CCE" w:rsidRPr="007F6CCE" w:rsidRDefault="007F6CCE" w:rsidP="007F6CCE">
      <w:pPr>
        <w:pStyle w:val="FootnoteText"/>
        <w:rPr>
          <w:lang w:val="en-US"/>
        </w:rPr>
      </w:pPr>
      <w:r w:rsidRPr="007F6CCE">
        <w:rPr>
          <w:rStyle w:val="FootnoteReference"/>
          <w:lang w:val="en-US"/>
        </w:rPr>
        <w:t>*</w:t>
      </w:r>
      <w:r w:rsidRPr="007F6CCE">
        <w:rPr>
          <w:lang w:val="en-US"/>
        </w:rPr>
        <w:tab/>
        <w:t>This Recommendation should be brought to the attention of Radiocommunication Study Group 1.</w:t>
      </w:r>
    </w:p>
  </w:footnote>
  <w:footnote w:id="2">
    <w:p w:rsidR="007F6CCE" w:rsidRPr="007F6CCE" w:rsidRDefault="007F6CCE" w:rsidP="00853F25">
      <w:pPr>
        <w:pStyle w:val="FootnoteText"/>
        <w:rPr>
          <w:lang w:val="en-US"/>
        </w:rPr>
      </w:pPr>
      <w:r w:rsidRPr="007F6CCE">
        <w:rPr>
          <w:rStyle w:val="FootnoteReference"/>
          <w:lang w:val="en-US"/>
        </w:rPr>
        <w:t>**</w:t>
      </w:r>
      <w:r w:rsidRPr="007F6CCE">
        <w:rPr>
          <w:lang w:val="en-US"/>
        </w:rPr>
        <w:tab/>
        <w:t>Radiocommunication Study Group 5 made editorial amendments to this Recommendation in November</w:t>
      </w:r>
      <w:r>
        <w:rPr>
          <w:lang w:val="en-US"/>
        </w:rPr>
        <w:t> </w:t>
      </w:r>
      <w:r w:rsidRPr="007F6CCE">
        <w:rPr>
          <w:lang w:val="en-US"/>
        </w:rPr>
        <w:t>2010.</w:t>
      </w:r>
    </w:p>
  </w:footnote>
  <w:footnote w:id="3">
    <w:p w:rsidR="007F6CCE" w:rsidRDefault="007F6CCE" w:rsidP="007F6CCE">
      <w:pPr>
        <w:pStyle w:val="FootnoteText"/>
        <w:rPr>
          <w:lang w:val="en-US"/>
        </w:rPr>
      </w:pPr>
      <w:r>
        <w:rPr>
          <w:rStyle w:val="FootnoteReference"/>
          <w:lang w:val="en-US"/>
        </w:rPr>
        <w:t>1</w:t>
      </w:r>
      <w:r>
        <w:rPr>
          <w:lang w:val="en-US"/>
        </w:rPr>
        <w:tab/>
        <w:t>The confidence level is not considered in this Recommendation.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1D719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Pr="00FC42AF" w:rsidRDefault="00291F7A">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853F25">
      <w:rPr>
        <w:rStyle w:val="PageNumber"/>
        <w:b/>
        <w:bCs/>
        <w:noProof/>
      </w:rPr>
      <w:t>4</w:t>
    </w:r>
    <w:r>
      <w:rPr>
        <w:rStyle w:val="PageNumber"/>
        <w:b/>
        <w:bCs/>
      </w:rPr>
      <w:fldChar w:fldCharType="end"/>
    </w:r>
    <w:r w:rsidR="00470FEC" w:rsidRPr="00FC42AF">
      <w:tab/>
    </w:r>
    <w:r w:rsidR="00853F25">
      <w:fldChar w:fldCharType="begin"/>
    </w:r>
    <w:r w:rsidR="00853F25">
      <w:instrText xml:space="preserve"> DOCPROPERTY "Header" \* MERGEFORMAT </w:instrText>
    </w:r>
    <w:r w:rsidR="00853F25">
      <w:fldChar w:fldCharType="separate"/>
    </w:r>
    <w:r w:rsidR="00853F25" w:rsidRPr="00853F25">
      <w:rPr>
        <w:b/>
        <w:bCs/>
      </w:rPr>
      <w:t xml:space="preserve">Rec. </w:t>
    </w:r>
    <w:r w:rsidR="00853F25">
      <w:rPr>
        <w:b/>
        <w:bCs/>
      </w:rPr>
      <w:fldChar w:fldCharType="end"/>
    </w:r>
    <w:r w:rsidR="00470FEC">
      <w:rPr>
        <w:b/>
        <w:bCs/>
      </w:rPr>
      <w:t xml:space="preserve"> </w:t>
    </w:r>
    <w:r>
      <w:rPr>
        <w:b/>
        <w:bCs/>
      </w:rPr>
      <w:fldChar w:fldCharType="begin"/>
    </w:r>
    <w:r w:rsidR="00470FEC" w:rsidRPr="00FC42AF">
      <w:rPr>
        <w:b/>
        <w:bCs/>
      </w:rPr>
      <w:instrText>styleref href</w:instrText>
    </w:r>
    <w:r>
      <w:rPr>
        <w:b/>
        <w:bCs/>
      </w:rPr>
      <w:fldChar w:fldCharType="separate"/>
    </w:r>
    <w:r w:rsidR="00853F25">
      <w:rPr>
        <w:b/>
        <w:bCs/>
        <w:noProof/>
      </w:rPr>
      <w:t>ITU-R  M.1545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pPr>
    <w:r>
      <w:tab/>
    </w:r>
    <w:r w:rsidR="00853F25">
      <w:fldChar w:fldCharType="begin"/>
    </w:r>
    <w:r w:rsidR="00853F25">
      <w:instrText xml:space="preserve"> DOCPROPERTY "Header" \* MERGEFORMAT </w:instrText>
    </w:r>
    <w:r w:rsidR="00853F25">
      <w:fldChar w:fldCharType="separate"/>
    </w:r>
    <w:r w:rsidR="00853F25" w:rsidRPr="00853F25">
      <w:rPr>
        <w:b/>
        <w:bCs/>
      </w:rPr>
      <w:t xml:space="preserve">Rec. </w:t>
    </w:r>
    <w:r w:rsidR="00853F25">
      <w:rPr>
        <w:b/>
        <w:bCs/>
      </w:rPr>
      <w:fldChar w:fldCharType="end"/>
    </w:r>
    <w:r>
      <w:rPr>
        <w:b/>
        <w:bCs/>
      </w:rPr>
      <w:t xml:space="preserve"> </w:t>
    </w:r>
    <w:r w:rsidR="00291F7A">
      <w:rPr>
        <w:b/>
        <w:bCs/>
      </w:rPr>
      <w:fldChar w:fldCharType="begin"/>
    </w:r>
    <w:r>
      <w:rPr>
        <w:b/>
        <w:bCs/>
      </w:rPr>
      <w:instrText>styleref href</w:instrText>
    </w:r>
    <w:r w:rsidR="00291F7A">
      <w:rPr>
        <w:b/>
        <w:bCs/>
      </w:rPr>
      <w:fldChar w:fldCharType="separate"/>
    </w:r>
    <w:r w:rsidR="00853F25">
      <w:rPr>
        <w:b/>
        <w:bCs/>
        <w:noProof/>
      </w:rPr>
      <w:t>ITU-R  M.1545</w:t>
    </w:r>
    <w:r w:rsidR="00291F7A">
      <w:rPr>
        <w:b/>
        <w:bCs/>
      </w:rPr>
      <w:fldChar w:fldCharType="end"/>
    </w:r>
    <w:r>
      <w:tab/>
    </w:r>
    <w:r w:rsidR="00291F7A">
      <w:rPr>
        <w:rStyle w:val="PageNumber"/>
        <w:b/>
        <w:bCs/>
      </w:rPr>
      <w:fldChar w:fldCharType="begin"/>
    </w:r>
    <w:r>
      <w:rPr>
        <w:rStyle w:val="PageNumber"/>
        <w:b/>
        <w:bCs/>
      </w:rPr>
      <w:instrText xml:space="preserve"> PAGE </w:instrText>
    </w:r>
    <w:r w:rsidR="00291F7A">
      <w:rPr>
        <w:rStyle w:val="PageNumber"/>
        <w:b/>
        <w:bCs/>
      </w:rPr>
      <w:fldChar w:fldCharType="separate"/>
    </w:r>
    <w:r w:rsidR="00853F25">
      <w:rPr>
        <w:rStyle w:val="PageNumber"/>
        <w:b/>
        <w:bCs/>
        <w:noProof/>
      </w:rPr>
      <w:t>1</w:t>
    </w:r>
    <w:r w:rsidR="00291F7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2058CE"/>
    <w:rsid w:val="002165F1"/>
    <w:rsid w:val="002572B3"/>
    <w:rsid w:val="00276D21"/>
    <w:rsid w:val="00291F7A"/>
    <w:rsid w:val="00296D7F"/>
    <w:rsid w:val="002B3CF6"/>
    <w:rsid w:val="002C768A"/>
    <w:rsid w:val="002D76C4"/>
    <w:rsid w:val="002F06BF"/>
    <w:rsid w:val="002F5199"/>
    <w:rsid w:val="00333892"/>
    <w:rsid w:val="00356B5D"/>
    <w:rsid w:val="0041667C"/>
    <w:rsid w:val="00420DFD"/>
    <w:rsid w:val="00437A76"/>
    <w:rsid w:val="00470E28"/>
    <w:rsid w:val="00470FEC"/>
    <w:rsid w:val="004934C5"/>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7F6CCE"/>
    <w:rsid w:val="008310C9"/>
    <w:rsid w:val="00853CC5"/>
    <w:rsid w:val="00853F2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B0F14"/>
    <w:rsid w:val="00CD659B"/>
    <w:rsid w:val="00CE0A43"/>
    <w:rsid w:val="00D83556"/>
    <w:rsid w:val="00DF4176"/>
    <w:rsid w:val="00E17240"/>
    <w:rsid w:val="00E406BD"/>
    <w:rsid w:val="00E74595"/>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Annextitle"/>
    <w:rsid w:val="007F6CCE"/>
    <w:pPr>
      <w:keepNext/>
      <w:keepLines/>
      <w:tabs>
        <w:tab w:val="left" w:pos="794"/>
        <w:tab w:val="left" w:pos="1191"/>
        <w:tab w:val="left" w:pos="1588"/>
        <w:tab w:val="left" w:pos="1985"/>
      </w:tabs>
      <w:spacing w:before="480" w:after="80"/>
      <w:jc w:val="center"/>
    </w:pPr>
    <w:rPr>
      <w:sz w:val="28"/>
    </w:rPr>
  </w:style>
  <w:style w:type="character" w:customStyle="1" w:styleId="FootnoteTextChar">
    <w:name w:val="Footnote Text Char"/>
    <w:basedOn w:val="DefaultParagraphFont"/>
    <w:link w:val="FootnoteText"/>
    <w:semiHidden/>
    <w:rsid w:val="007F6CCE"/>
    <w:rPr>
      <w:sz w:val="22"/>
      <w:lang w:val="fr-FR" w:eastAsia="en-US"/>
    </w:rPr>
  </w:style>
  <w:style w:type="paragraph" w:customStyle="1" w:styleId="Annextitle">
    <w:name w:val="Annex_title"/>
    <w:basedOn w:val="Normal"/>
    <w:next w:val="Normalaftertitle"/>
    <w:rsid w:val="007F6CCE"/>
    <w:pPr>
      <w:keepNext/>
      <w:keepLines/>
      <w:tabs>
        <w:tab w:val="clear" w:pos="794"/>
        <w:tab w:val="clear" w:pos="1191"/>
        <w:tab w:val="clear" w:pos="1588"/>
        <w:tab w:val="clear" w:pos="1985"/>
      </w:tabs>
      <w:spacing w:before="280" w:after="40"/>
      <w:jc w:val="center"/>
    </w:pPr>
    <w:rPr>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D7190"/>
    <w:pPr>
      <w:keepNext/>
      <w:keepLines/>
      <w:spacing w:before="480"/>
      <w:ind w:left="794" w:hanging="794"/>
      <w:outlineLvl w:val="0"/>
    </w:pPr>
    <w:rPr>
      <w:b/>
    </w:rPr>
  </w:style>
  <w:style w:type="paragraph" w:styleId="Heading2">
    <w:name w:val="heading 2"/>
    <w:basedOn w:val="Heading1"/>
    <w:next w:val="Normal"/>
    <w:qFormat/>
    <w:rsid w:val="001D7190"/>
    <w:pPr>
      <w:spacing w:before="320"/>
      <w:outlineLvl w:val="1"/>
    </w:pPr>
  </w:style>
  <w:style w:type="paragraph" w:styleId="Heading3">
    <w:name w:val="heading 3"/>
    <w:basedOn w:val="Heading1"/>
    <w:next w:val="Normal"/>
    <w:qFormat/>
    <w:rsid w:val="001D7190"/>
    <w:pPr>
      <w:spacing w:before="200"/>
      <w:outlineLvl w:val="2"/>
    </w:pPr>
  </w:style>
  <w:style w:type="paragraph" w:styleId="Heading4">
    <w:name w:val="heading 4"/>
    <w:basedOn w:val="Heading3"/>
    <w:next w:val="Normal"/>
    <w:qFormat/>
    <w:rsid w:val="001D7190"/>
    <w:pPr>
      <w:tabs>
        <w:tab w:val="clear" w:pos="794"/>
        <w:tab w:val="left" w:pos="992"/>
      </w:tabs>
      <w:ind w:left="992" w:hanging="992"/>
      <w:outlineLvl w:val="3"/>
    </w:pPr>
  </w:style>
  <w:style w:type="paragraph" w:styleId="Heading5">
    <w:name w:val="heading 5"/>
    <w:basedOn w:val="Heading4"/>
    <w:next w:val="Normal"/>
    <w:qFormat/>
    <w:rsid w:val="001D7190"/>
    <w:pPr>
      <w:outlineLvl w:val="4"/>
    </w:pPr>
  </w:style>
  <w:style w:type="paragraph" w:styleId="Heading6">
    <w:name w:val="heading 6"/>
    <w:basedOn w:val="Heading4"/>
    <w:next w:val="Normal"/>
    <w:qFormat/>
    <w:rsid w:val="001D7190"/>
    <w:pPr>
      <w:tabs>
        <w:tab w:val="clear" w:pos="992"/>
        <w:tab w:val="clear" w:pos="1191"/>
      </w:tabs>
      <w:ind w:left="1588" w:hanging="1588"/>
      <w:outlineLvl w:val="5"/>
    </w:pPr>
  </w:style>
  <w:style w:type="paragraph" w:styleId="Heading7">
    <w:name w:val="heading 7"/>
    <w:basedOn w:val="Heading6"/>
    <w:next w:val="Normal"/>
    <w:qFormat/>
    <w:rsid w:val="001D7190"/>
    <w:pPr>
      <w:outlineLvl w:val="6"/>
    </w:pPr>
  </w:style>
  <w:style w:type="paragraph" w:styleId="Heading8">
    <w:name w:val="heading 8"/>
    <w:basedOn w:val="Heading6"/>
    <w:next w:val="Normal"/>
    <w:qFormat/>
    <w:rsid w:val="001D7190"/>
    <w:pPr>
      <w:outlineLvl w:val="7"/>
    </w:pPr>
  </w:style>
  <w:style w:type="paragraph" w:styleId="Heading9">
    <w:name w:val="heading 9"/>
    <w:basedOn w:val="Heading6"/>
    <w:next w:val="Normal"/>
    <w:qFormat/>
    <w:rsid w:val="001D719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7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D7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D7190"/>
  </w:style>
  <w:style w:type="paragraph" w:customStyle="1" w:styleId="Headingb">
    <w:name w:val="Heading_b"/>
    <w:basedOn w:val="Heading3"/>
    <w:next w:val="Normal"/>
    <w:rsid w:val="001D7190"/>
    <w:pPr>
      <w:spacing w:before="160"/>
      <w:ind w:left="0" w:firstLine="0"/>
      <w:outlineLvl w:val="9"/>
    </w:pPr>
  </w:style>
  <w:style w:type="paragraph" w:customStyle="1" w:styleId="Headingi">
    <w:name w:val="Heading_i"/>
    <w:basedOn w:val="Heading3"/>
    <w:next w:val="Normal"/>
    <w:rsid w:val="001D7190"/>
    <w:pPr>
      <w:spacing w:before="160"/>
      <w:ind w:left="0" w:firstLine="0"/>
    </w:pPr>
    <w:rPr>
      <w:b w:val="0"/>
      <w:i/>
    </w:rPr>
  </w:style>
  <w:style w:type="character" w:customStyle="1" w:styleId="href">
    <w:name w:val="href"/>
    <w:basedOn w:val="DefaultParagraphFont"/>
    <w:rsid w:val="001D7190"/>
  </w:style>
  <w:style w:type="paragraph" w:customStyle="1" w:styleId="AnnexNoTitle">
    <w:name w:val="Annex_NoTitle"/>
    <w:basedOn w:val="Normal"/>
    <w:next w:val="Normalaftertitle"/>
    <w:rsid w:val="001D7190"/>
    <w:pPr>
      <w:keepNext/>
      <w:keepLines/>
      <w:spacing w:before="480" w:after="80"/>
      <w:jc w:val="center"/>
    </w:pPr>
    <w:rPr>
      <w:b/>
      <w:sz w:val="28"/>
    </w:rPr>
  </w:style>
  <w:style w:type="paragraph" w:customStyle="1" w:styleId="Normalaftertitle">
    <w:name w:val="Normal_after_title"/>
    <w:basedOn w:val="Normal"/>
    <w:next w:val="Normal"/>
    <w:rsid w:val="001D7190"/>
    <w:pPr>
      <w:spacing w:before="320"/>
    </w:pPr>
  </w:style>
  <w:style w:type="paragraph" w:customStyle="1" w:styleId="enumlev2">
    <w:name w:val="enumlev2"/>
    <w:basedOn w:val="enumlev1"/>
    <w:rsid w:val="001D7190"/>
    <w:pPr>
      <w:ind w:left="1191" w:hanging="397"/>
    </w:pPr>
  </w:style>
  <w:style w:type="paragraph" w:customStyle="1" w:styleId="enumlev1">
    <w:name w:val="enumlev1"/>
    <w:basedOn w:val="Normal"/>
    <w:rsid w:val="001D7190"/>
    <w:pPr>
      <w:spacing w:before="80"/>
      <w:ind w:left="794" w:hanging="794"/>
    </w:pPr>
  </w:style>
  <w:style w:type="paragraph" w:customStyle="1" w:styleId="enumlev3">
    <w:name w:val="enumlev3"/>
    <w:basedOn w:val="enumlev2"/>
    <w:rsid w:val="001D7190"/>
    <w:pPr>
      <w:ind w:left="1588"/>
    </w:pPr>
  </w:style>
  <w:style w:type="paragraph" w:customStyle="1" w:styleId="Note">
    <w:name w:val="Note"/>
    <w:basedOn w:val="Normal"/>
    <w:rsid w:val="001D7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D71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D7190"/>
    <w:pPr>
      <w:keepNext/>
      <w:keepLines/>
      <w:spacing w:before="240"/>
      <w:jc w:val="center"/>
    </w:pPr>
    <w:rPr>
      <w:b/>
      <w:sz w:val="28"/>
    </w:rPr>
  </w:style>
  <w:style w:type="paragraph" w:customStyle="1" w:styleId="Recref">
    <w:name w:val="Rec_ref"/>
    <w:basedOn w:val="Normal"/>
    <w:next w:val="Recdate"/>
    <w:rsid w:val="001D7190"/>
    <w:pPr>
      <w:jc w:val="center"/>
    </w:pPr>
  </w:style>
  <w:style w:type="paragraph" w:customStyle="1" w:styleId="Recdate">
    <w:name w:val="Rec_date"/>
    <w:basedOn w:val="Recref"/>
    <w:next w:val="Normalaftertitle"/>
    <w:rsid w:val="001D7190"/>
    <w:pPr>
      <w:jc w:val="right"/>
    </w:pPr>
  </w:style>
  <w:style w:type="paragraph" w:customStyle="1" w:styleId="HeadingSum">
    <w:name w:val="Heading_Sum"/>
    <w:basedOn w:val="Headingb"/>
    <w:next w:val="Normal"/>
    <w:rsid w:val="001D7190"/>
    <w:pPr>
      <w:spacing w:before="240"/>
    </w:pPr>
    <w:rPr>
      <w:sz w:val="22"/>
      <w:lang w:val="es-ES_tradnl"/>
    </w:rPr>
  </w:style>
  <w:style w:type="paragraph" w:customStyle="1" w:styleId="AppendixNoTitle">
    <w:name w:val="Appendix_NoTitle"/>
    <w:basedOn w:val="AnnexNoTitle"/>
    <w:next w:val="Normal"/>
    <w:rsid w:val="001D7190"/>
  </w:style>
  <w:style w:type="paragraph" w:customStyle="1" w:styleId="Tablefin">
    <w:name w:val="Table_fin"/>
    <w:basedOn w:val="Normal"/>
    <w:next w:val="Normal"/>
    <w:rsid w:val="001D7190"/>
    <w:pPr>
      <w:spacing w:before="0"/>
    </w:pPr>
    <w:rPr>
      <w:sz w:val="20"/>
      <w:lang w:val="en-GB"/>
    </w:rPr>
  </w:style>
  <w:style w:type="paragraph" w:customStyle="1" w:styleId="Tablehead">
    <w:name w:val="Table_head"/>
    <w:basedOn w:val="Normal"/>
    <w:next w:val="Normal"/>
    <w:rsid w:val="001D7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D7190"/>
    <w:pPr>
      <w:keepNext/>
      <w:spacing w:before="360" w:after="120"/>
      <w:jc w:val="center"/>
    </w:pPr>
  </w:style>
  <w:style w:type="paragraph" w:customStyle="1" w:styleId="Tabletext">
    <w:name w:val="Table_text"/>
    <w:basedOn w:val="Normal"/>
    <w:rsid w:val="001D7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D7190"/>
    <w:pPr>
      <w:tabs>
        <w:tab w:val="clear" w:pos="1191"/>
        <w:tab w:val="clear" w:pos="1588"/>
        <w:tab w:val="clear" w:pos="1985"/>
        <w:tab w:val="center" w:pos="4820"/>
        <w:tab w:val="right" w:pos="9639"/>
      </w:tabs>
    </w:pPr>
  </w:style>
  <w:style w:type="paragraph" w:customStyle="1" w:styleId="Equationlegend">
    <w:name w:val="Equation_legend"/>
    <w:basedOn w:val="NormalIndent"/>
    <w:rsid w:val="001D7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D7190"/>
    <w:pPr>
      <w:ind w:left="794"/>
    </w:pPr>
  </w:style>
  <w:style w:type="paragraph" w:customStyle="1" w:styleId="Figurelegend">
    <w:name w:val="Figure_legend"/>
    <w:basedOn w:val="Normal"/>
    <w:rsid w:val="001D7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D7190"/>
    <w:pPr>
      <w:keepNext/>
      <w:keepLines/>
      <w:spacing w:before="480" w:after="80"/>
      <w:jc w:val="center"/>
    </w:pPr>
    <w:rPr>
      <w:caps/>
      <w:sz w:val="18"/>
    </w:rPr>
  </w:style>
  <w:style w:type="paragraph" w:customStyle="1" w:styleId="Figuretitle">
    <w:name w:val="Figure_title"/>
    <w:basedOn w:val="Normal"/>
    <w:next w:val="Figure"/>
    <w:rsid w:val="001D7190"/>
    <w:pPr>
      <w:keepNext/>
      <w:spacing w:before="0" w:after="120"/>
      <w:jc w:val="center"/>
    </w:pPr>
    <w:rPr>
      <w:rFonts w:ascii="Times New Roman Bold" w:hAnsi="Times New Roman Bold"/>
      <w:b/>
      <w:sz w:val="18"/>
    </w:rPr>
  </w:style>
  <w:style w:type="paragraph" w:customStyle="1" w:styleId="Figure">
    <w:name w:val="Figure"/>
    <w:basedOn w:val="FigureNo"/>
    <w:next w:val="Normal"/>
    <w:rsid w:val="001D7190"/>
    <w:pPr>
      <w:keepNext w:val="0"/>
      <w:spacing w:before="0" w:after="240"/>
    </w:pPr>
  </w:style>
  <w:style w:type="paragraph" w:customStyle="1" w:styleId="tocpart">
    <w:name w:val="tocpart"/>
    <w:basedOn w:val="Normal"/>
    <w:rsid w:val="001D7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D7190"/>
    <w:pPr>
      <w:keepNext/>
      <w:keepLines/>
      <w:spacing w:before="480"/>
      <w:jc w:val="center"/>
    </w:pPr>
    <w:rPr>
      <w:sz w:val="28"/>
    </w:rPr>
  </w:style>
  <w:style w:type="paragraph" w:customStyle="1" w:styleId="Arttitle">
    <w:name w:val="Art_title"/>
    <w:basedOn w:val="Normal"/>
    <w:next w:val="Normalaftertitle"/>
    <w:rsid w:val="001D7190"/>
    <w:pPr>
      <w:keepNext/>
      <w:keepLines/>
      <w:spacing w:before="240"/>
      <w:jc w:val="center"/>
    </w:pPr>
    <w:rPr>
      <w:b/>
      <w:sz w:val="28"/>
    </w:rPr>
  </w:style>
  <w:style w:type="paragraph" w:customStyle="1" w:styleId="Blanc">
    <w:name w:val="Blanc"/>
    <w:basedOn w:val="Normal"/>
    <w:next w:val="Tabletext"/>
    <w:rsid w:val="001D7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D7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D7190"/>
    <w:pPr>
      <w:keepNext/>
      <w:keepLines/>
      <w:spacing w:before="160"/>
      <w:ind w:left="794"/>
    </w:pPr>
    <w:rPr>
      <w:i/>
    </w:rPr>
  </w:style>
  <w:style w:type="paragraph" w:customStyle="1" w:styleId="ChapNo">
    <w:name w:val="Chap_No"/>
    <w:basedOn w:val="ArtNo"/>
    <w:next w:val="Chaptitle"/>
    <w:rsid w:val="001D7190"/>
    <w:rPr>
      <w:b/>
    </w:rPr>
  </w:style>
  <w:style w:type="paragraph" w:customStyle="1" w:styleId="Chaptitle">
    <w:name w:val="Chap_title"/>
    <w:basedOn w:val="Arttitle"/>
    <w:next w:val="Normalaftertitle"/>
    <w:rsid w:val="001D7190"/>
  </w:style>
  <w:style w:type="character" w:styleId="FootnoteReference">
    <w:name w:val="footnote reference"/>
    <w:basedOn w:val="DefaultParagraphFont"/>
    <w:semiHidden/>
    <w:rsid w:val="001D7190"/>
    <w:rPr>
      <w:position w:val="6"/>
      <w:sz w:val="18"/>
    </w:rPr>
  </w:style>
  <w:style w:type="paragraph" w:styleId="FootnoteText">
    <w:name w:val="footnote text"/>
    <w:basedOn w:val="Normal"/>
    <w:link w:val="FootnoteTextChar"/>
    <w:semiHidden/>
    <w:rsid w:val="001D7190"/>
    <w:pPr>
      <w:keepLines/>
      <w:tabs>
        <w:tab w:val="left" w:pos="255"/>
      </w:tabs>
      <w:ind w:left="255" w:hanging="255"/>
    </w:pPr>
    <w:rPr>
      <w:sz w:val="22"/>
    </w:rPr>
  </w:style>
  <w:style w:type="paragraph" w:styleId="Index1">
    <w:name w:val="index 1"/>
    <w:basedOn w:val="Normal"/>
    <w:next w:val="Normal"/>
    <w:semiHidden/>
    <w:rsid w:val="001D7190"/>
  </w:style>
  <w:style w:type="paragraph" w:styleId="Index2">
    <w:name w:val="index 2"/>
    <w:basedOn w:val="Normal"/>
    <w:next w:val="Normal"/>
    <w:semiHidden/>
    <w:rsid w:val="001D7190"/>
    <w:pPr>
      <w:ind w:left="283"/>
    </w:pPr>
  </w:style>
  <w:style w:type="paragraph" w:styleId="Index3">
    <w:name w:val="index 3"/>
    <w:basedOn w:val="Normal"/>
    <w:next w:val="Normal"/>
    <w:semiHidden/>
    <w:rsid w:val="001D7190"/>
    <w:pPr>
      <w:ind w:left="566"/>
    </w:pPr>
  </w:style>
  <w:style w:type="paragraph" w:styleId="IndexHeading">
    <w:name w:val="index heading"/>
    <w:basedOn w:val="Normal"/>
    <w:next w:val="Index1"/>
    <w:semiHidden/>
    <w:rsid w:val="001D7190"/>
  </w:style>
  <w:style w:type="paragraph" w:customStyle="1" w:styleId="Line">
    <w:name w:val="Line"/>
    <w:basedOn w:val="Normal"/>
    <w:next w:val="Normal"/>
    <w:rsid w:val="001D7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D7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D7190"/>
  </w:style>
  <w:style w:type="paragraph" w:customStyle="1" w:styleId="Partref">
    <w:name w:val="Part_ref"/>
    <w:basedOn w:val="Normal"/>
    <w:next w:val="Normal"/>
    <w:rsid w:val="001D7190"/>
    <w:pPr>
      <w:keepNext/>
      <w:keepLines/>
      <w:spacing w:after="280"/>
      <w:jc w:val="center"/>
    </w:pPr>
  </w:style>
  <w:style w:type="paragraph" w:customStyle="1" w:styleId="Parttitle">
    <w:name w:val="Part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D7190"/>
  </w:style>
  <w:style w:type="paragraph" w:customStyle="1" w:styleId="QuestionNo">
    <w:name w:val="Question_No"/>
    <w:basedOn w:val="RecNo"/>
    <w:next w:val="Normal"/>
    <w:rsid w:val="001D7190"/>
  </w:style>
  <w:style w:type="paragraph" w:customStyle="1" w:styleId="Questionref">
    <w:name w:val="Question_ref"/>
    <w:basedOn w:val="Recref"/>
    <w:next w:val="Questiondate"/>
    <w:rsid w:val="001D7190"/>
  </w:style>
  <w:style w:type="paragraph" w:customStyle="1" w:styleId="Questiontitle">
    <w:name w:val="Question_title"/>
    <w:basedOn w:val="Normal"/>
    <w:next w:val="Questionref"/>
    <w:rsid w:val="001D7190"/>
  </w:style>
  <w:style w:type="paragraph" w:customStyle="1" w:styleId="Reftext">
    <w:name w:val="Ref_text"/>
    <w:basedOn w:val="Normal"/>
    <w:rsid w:val="001D7190"/>
    <w:pPr>
      <w:ind w:left="794" w:hanging="794"/>
    </w:pPr>
    <w:rPr>
      <w:sz w:val="22"/>
    </w:rPr>
  </w:style>
  <w:style w:type="paragraph" w:customStyle="1" w:styleId="Reftitle">
    <w:name w:val="Ref_title"/>
    <w:basedOn w:val="Normal"/>
    <w:next w:val="Reftext"/>
    <w:rsid w:val="001D7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D7190"/>
  </w:style>
  <w:style w:type="paragraph" w:customStyle="1" w:styleId="RepNo">
    <w:name w:val="Rep_No"/>
    <w:basedOn w:val="RecNo"/>
    <w:next w:val="Reptitle"/>
    <w:rsid w:val="001D7190"/>
  </w:style>
  <w:style w:type="paragraph" w:customStyle="1" w:styleId="Reptitle">
    <w:name w:val="Rep_title"/>
    <w:basedOn w:val="Rectitle"/>
    <w:next w:val="Repref"/>
    <w:rsid w:val="001D7190"/>
  </w:style>
  <w:style w:type="paragraph" w:customStyle="1" w:styleId="Repref">
    <w:name w:val="Rep_ref"/>
    <w:basedOn w:val="Recref"/>
    <w:next w:val="Repdate"/>
    <w:rsid w:val="001D7190"/>
  </w:style>
  <w:style w:type="paragraph" w:customStyle="1" w:styleId="Resdate">
    <w:name w:val="Res_date"/>
    <w:basedOn w:val="Recdate"/>
    <w:next w:val="Normalaftertitle"/>
    <w:rsid w:val="001D7190"/>
  </w:style>
  <w:style w:type="paragraph" w:customStyle="1" w:styleId="ResNo">
    <w:name w:val="Res_No"/>
    <w:basedOn w:val="RecNo"/>
    <w:next w:val="Restitle"/>
    <w:rsid w:val="001D7190"/>
  </w:style>
  <w:style w:type="paragraph" w:customStyle="1" w:styleId="Restitle">
    <w:name w:val="Res_title"/>
    <w:basedOn w:val="Normal"/>
    <w:next w:val="Resref"/>
    <w:rsid w:val="001D7190"/>
    <w:pPr>
      <w:spacing w:before="240"/>
      <w:jc w:val="center"/>
    </w:pPr>
    <w:rPr>
      <w:b/>
      <w:sz w:val="28"/>
    </w:rPr>
  </w:style>
  <w:style w:type="paragraph" w:customStyle="1" w:styleId="Resref">
    <w:name w:val="Res_ref"/>
    <w:basedOn w:val="Recref"/>
    <w:next w:val="Resdate"/>
    <w:rsid w:val="001D7190"/>
  </w:style>
  <w:style w:type="paragraph" w:customStyle="1" w:styleId="SectionNo">
    <w:name w:val="Section_No"/>
    <w:basedOn w:val="Normal"/>
    <w:next w:val="Normal"/>
    <w:rsid w:val="001D7190"/>
  </w:style>
  <w:style w:type="paragraph" w:customStyle="1" w:styleId="Sectiontitle">
    <w:name w:val="Section_title"/>
    <w:basedOn w:val="Normal"/>
    <w:next w:val="Normalaftertitle"/>
    <w:rsid w:val="001D7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D7190"/>
    <w:pPr>
      <w:tabs>
        <w:tab w:val="clear" w:pos="794"/>
        <w:tab w:val="clear" w:pos="1191"/>
        <w:tab w:val="clear" w:pos="1588"/>
        <w:tab w:val="clear" w:pos="1985"/>
        <w:tab w:val="right" w:pos="9611"/>
      </w:tabs>
    </w:pPr>
    <w:rPr>
      <w:i/>
    </w:rPr>
  </w:style>
  <w:style w:type="paragraph" w:styleId="TOC1">
    <w:name w:val="toc 1"/>
    <w:basedOn w:val="Normal"/>
    <w:semiHidden/>
    <w:rsid w:val="001D7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D7190"/>
    <w:pPr>
      <w:tabs>
        <w:tab w:val="clear" w:pos="567"/>
        <w:tab w:val="left" w:pos="1276"/>
      </w:tabs>
      <w:spacing w:before="160"/>
      <w:ind w:left="1276" w:hanging="709"/>
    </w:pPr>
  </w:style>
  <w:style w:type="paragraph" w:styleId="TOC3">
    <w:name w:val="toc 3"/>
    <w:basedOn w:val="TOC2"/>
    <w:semiHidden/>
    <w:rsid w:val="001D7190"/>
    <w:pPr>
      <w:tabs>
        <w:tab w:val="clear" w:pos="1276"/>
        <w:tab w:val="left" w:pos="2155"/>
      </w:tabs>
      <w:ind w:left="2155" w:hanging="879"/>
    </w:pPr>
  </w:style>
  <w:style w:type="paragraph" w:styleId="TOC4">
    <w:name w:val="toc 4"/>
    <w:basedOn w:val="TOC3"/>
    <w:semiHidden/>
    <w:rsid w:val="001D7190"/>
    <w:pPr>
      <w:tabs>
        <w:tab w:val="left" w:pos="3261"/>
      </w:tabs>
      <w:spacing w:before="80"/>
      <w:ind w:left="3261" w:hanging="993"/>
    </w:pPr>
  </w:style>
  <w:style w:type="paragraph" w:styleId="TOC5">
    <w:name w:val="toc 5"/>
    <w:basedOn w:val="TOC4"/>
    <w:semiHidden/>
    <w:rsid w:val="001D7190"/>
  </w:style>
  <w:style w:type="paragraph" w:styleId="TOC6">
    <w:name w:val="toc 6"/>
    <w:basedOn w:val="TOC4"/>
    <w:semiHidden/>
    <w:rsid w:val="001D7190"/>
  </w:style>
  <w:style w:type="paragraph" w:styleId="TOC7">
    <w:name w:val="toc 7"/>
    <w:basedOn w:val="TOC4"/>
    <w:semiHidden/>
    <w:rsid w:val="001D7190"/>
  </w:style>
  <w:style w:type="paragraph" w:styleId="TOC8">
    <w:name w:val="toc 8"/>
    <w:basedOn w:val="TOC4"/>
    <w:semiHidden/>
    <w:rsid w:val="001D7190"/>
  </w:style>
  <w:style w:type="paragraph" w:customStyle="1" w:styleId="Annexref">
    <w:name w:val="Annex_ref"/>
    <w:basedOn w:val="Normal"/>
    <w:next w:val="Normalaftertitle"/>
    <w:rsid w:val="001D7190"/>
    <w:pPr>
      <w:keepNext/>
      <w:keepLines/>
      <w:spacing w:after="280"/>
      <w:jc w:val="center"/>
    </w:pPr>
  </w:style>
  <w:style w:type="paragraph" w:customStyle="1" w:styleId="Appendixref">
    <w:name w:val="Appendix_ref"/>
    <w:basedOn w:val="Annexref"/>
    <w:next w:val="Normalaftertitle"/>
    <w:rsid w:val="001D7190"/>
  </w:style>
  <w:style w:type="paragraph" w:customStyle="1" w:styleId="Tabletitle">
    <w:name w:val="Table_title"/>
    <w:basedOn w:val="Normal"/>
    <w:next w:val="Tablehead"/>
    <w:rsid w:val="001D7190"/>
    <w:pPr>
      <w:keepNext/>
      <w:spacing w:before="0" w:after="120"/>
      <w:jc w:val="center"/>
    </w:pPr>
    <w:rPr>
      <w:b/>
    </w:rPr>
  </w:style>
  <w:style w:type="paragraph" w:customStyle="1" w:styleId="Summary">
    <w:name w:val="Summary"/>
    <w:basedOn w:val="Normal"/>
    <w:next w:val="Normalaftertitle"/>
    <w:rsid w:val="001D719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D7190"/>
    <w:pPr>
      <w:ind w:left="-85" w:firstLine="0"/>
    </w:pPr>
    <w:rPr>
      <w:lang w:val="en-US"/>
    </w:rPr>
  </w:style>
  <w:style w:type="paragraph" w:customStyle="1" w:styleId="AnnexNo">
    <w:name w:val="Annex_No"/>
    <w:basedOn w:val="Normal"/>
    <w:next w:val="Annextitle"/>
    <w:rsid w:val="007F6CCE"/>
    <w:pPr>
      <w:keepNext/>
      <w:keepLines/>
      <w:tabs>
        <w:tab w:val="left" w:pos="794"/>
        <w:tab w:val="left" w:pos="1191"/>
        <w:tab w:val="left" w:pos="1588"/>
        <w:tab w:val="left" w:pos="1985"/>
      </w:tabs>
      <w:spacing w:before="480" w:after="80"/>
      <w:jc w:val="center"/>
    </w:pPr>
    <w:rPr>
      <w:sz w:val="28"/>
    </w:rPr>
  </w:style>
  <w:style w:type="character" w:customStyle="1" w:styleId="FootnoteTextChar">
    <w:name w:val="Footnote Text Char"/>
    <w:basedOn w:val="DefaultParagraphFont"/>
    <w:link w:val="FootnoteText"/>
    <w:semiHidden/>
    <w:rsid w:val="007F6CCE"/>
    <w:rPr>
      <w:sz w:val="22"/>
      <w:lang w:val="fr-FR" w:eastAsia="en-US"/>
    </w:rPr>
  </w:style>
  <w:style w:type="paragraph" w:customStyle="1" w:styleId="Annextitle">
    <w:name w:val="Annex_title"/>
    <w:basedOn w:val="Normal"/>
    <w:next w:val="Normalaftertitle"/>
    <w:rsid w:val="007F6CCE"/>
    <w:pPr>
      <w:keepNext/>
      <w:keepLines/>
      <w:tabs>
        <w:tab w:val="clear" w:pos="794"/>
        <w:tab w:val="clear" w:pos="1191"/>
        <w:tab w:val="clear" w:pos="1588"/>
        <w:tab w:val="clear" w:pos="1985"/>
      </w:tabs>
      <w:spacing w:before="280" w:after="40"/>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8EF6F-A6B4-4DF6-9942-A95CA5C8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68</TotalTime>
  <Pages>6</Pages>
  <Words>954</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3</cp:revision>
  <cp:lastPrinted>2009-06-26T13:19:00Z</cp:lastPrinted>
  <dcterms:created xsi:type="dcterms:W3CDTF">2011-03-09T08:22:00Z</dcterms:created>
  <dcterms:modified xsi:type="dcterms:W3CDTF">2011-03-09T09:30:00Z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