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337" w:rsidRPr="00575CB8" w:rsidRDefault="00543337" w:rsidP="00543337">
      <w:pPr>
        <w:rPr>
          <w:lang w:val="en-US"/>
        </w:rPr>
      </w:pPr>
    </w:p>
    <w:p w:rsidR="00543337" w:rsidRDefault="00543337" w:rsidP="00543337"/>
    <w:p w:rsidR="00543337" w:rsidRDefault="00543337" w:rsidP="00543337"/>
    <w:p w:rsidR="00543337" w:rsidRDefault="00543337" w:rsidP="00543337"/>
    <w:p w:rsidR="00543337" w:rsidRDefault="00543337" w:rsidP="00543337"/>
    <w:p w:rsidR="00543337" w:rsidRDefault="00543337" w:rsidP="00543337"/>
    <w:p w:rsidR="00543337" w:rsidRDefault="00543337" w:rsidP="00543337"/>
    <w:p w:rsidR="00543337" w:rsidRDefault="00543337" w:rsidP="00543337"/>
    <w:p w:rsidR="00543337" w:rsidRDefault="00543337" w:rsidP="00543337"/>
    <w:tbl>
      <w:tblPr>
        <w:tblW w:w="10089" w:type="dxa"/>
        <w:tblLook w:val="01E0" w:firstRow="1" w:lastRow="1" w:firstColumn="1" w:lastColumn="1" w:noHBand="0" w:noVBand="0"/>
      </w:tblPr>
      <w:tblGrid>
        <w:gridCol w:w="10089"/>
      </w:tblGrid>
      <w:tr w:rsidR="00543337" w:rsidRPr="00543337" w:rsidTr="00B06A97">
        <w:tc>
          <w:tcPr>
            <w:tcW w:w="10089" w:type="dxa"/>
          </w:tcPr>
          <w:p w:rsidR="00543337" w:rsidRPr="00A07AEB" w:rsidRDefault="00543337" w:rsidP="00B06A97">
            <w:pPr>
              <w:spacing w:before="380" w:line="280" w:lineRule="exact"/>
              <w:jc w:val="right"/>
              <w:rPr>
                <w:rFonts w:ascii="Tahoma" w:hAnsi="Tahoma" w:cs="Tahoma"/>
                <w:b/>
                <w:bCs/>
                <w:iCs/>
                <w:color w:val="243285"/>
                <w:sz w:val="32"/>
                <w:szCs w:val="32"/>
                <w:lang w:val="en-US"/>
              </w:rPr>
            </w:pPr>
          </w:p>
          <w:p w:rsidR="00543337" w:rsidRPr="00A07AEB" w:rsidRDefault="00543337" w:rsidP="00543337">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w:t>
            </w:r>
            <w:r>
              <w:rPr>
                <w:rFonts w:ascii="Tahoma" w:hAnsi="Tahoma" w:cs="Tahoma"/>
                <w:b/>
                <w:bCs/>
                <w:iCs/>
                <w:color w:val="243285"/>
                <w:sz w:val="36"/>
                <w:szCs w:val="36"/>
                <w:lang w:val="es-ES_tradnl"/>
              </w:rPr>
              <w:t>1478-3</w:t>
            </w:r>
          </w:p>
          <w:p w:rsidR="00543337" w:rsidRPr="00A07AEB" w:rsidRDefault="00543337" w:rsidP="00543337">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w:t>
            </w:r>
            <w:r>
              <w:rPr>
                <w:rFonts w:ascii="Tahoma" w:hAnsi="Tahoma" w:cs="Tahoma"/>
                <w:b/>
                <w:bCs/>
                <w:iCs/>
                <w:color w:val="243285"/>
                <w:szCs w:val="24"/>
                <w:lang w:val="es-ES_tradnl"/>
              </w:rPr>
              <w:t>9</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2014</w:t>
            </w:r>
            <w:r w:rsidRPr="00A07AEB">
              <w:rPr>
                <w:rFonts w:ascii="Tahoma" w:hAnsi="Tahoma" w:cs="Tahoma"/>
                <w:b/>
                <w:bCs/>
                <w:iCs/>
                <w:color w:val="243285"/>
                <w:szCs w:val="24"/>
                <w:lang w:val="es-ES_tradnl"/>
              </w:rPr>
              <w:t>)</w:t>
            </w:r>
          </w:p>
        </w:tc>
      </w:tr>
      <w:tr w:rsidR="00543337" w:rsidRPr="00543337" w:rsidTr="00B06A97">
        <w:tc>
          <w:tcPr>
            <w:tcW w:w="10089" w:type="dxa"/>
          </w:tcPr>
          <w:p w:rsidR="00543337" w:rsidRPr="0010336F" w:rsidRDefault="00543337" w:rsidP="00B06A97">
            <w:pPr>
              <w:spacing w:before="80" w:line="500" w:lineRule="exact"/>
              <w:jc w:val="right"/>
              <w:rPr>
                <w:rFonts w:ascii="Tahoma" w:hAnsi="Tahoma" w:cs="Tahoma"/>
                <w:b/>
                <w:bCs/>
                <w:iCs/>
                <w:color w:val="243285"/>
                <w:sz w:val="44"/>
                <w:szCs w:val="44"/>
                <w:lang w:val="es-ES_tradnl"/>
              </w:rPr>
            </w:pPr>
          </w:p>
          <w:p w:rsidR="00543337" w:rsidRPr="0010336F" w:rsidRDefault="00543337" w:rsidP="00B06A97">
            <w:pPr>
              <w:spacing w:before="80" w:line="500" w:lineRule="exact"/>
              <w:jc w:val="right"/>
              <w:rPr>
                <w:rFonts w:ascii="Tahoma" w:hAnsi="Tahoma" w:cs="Tahoma"/>
                <w:b/>
                <w:bCs/>
                <w:iCs/>
                <w:color w:val="243285"/>
                <w:sz w:val="44"/>
                <w:szCs w:val="44"/>
                <w:lang w:val="es-ES_tradnl"/>
              </w:rPr>
            </w:pPr>
          </w:p>
          <w:p w:rsidR="00543337" w:rsidRDefault="00543337" w:rsidP="00543337">
            <w:pPr>
              <w:spacing w:before="80" w:line="500" w:lineRule="exact"/>
              <w:jc w:val="right"/>
              <w:rPr>
                <w:rFonts w:ascii="Tahoma" w:hAnsi="Tahoma" w:cs="Tahoma"/>
                <w:b/>
                <w:bCs/>
                <w:color w:val="243285"/>
                <w:sz w:val="44"/>
                <w:szCs w:val="44"/>
                <w:lang w:val="es-ES_tradnl"/>
              </w:rPr>
            </w:pPr>
            <w:r w:rsidRPr="00297B30">
              <w:rPr>
                <w:rFonts w:ascii="Tahoma" w:hAnsi="Tahoma" w:cs="Tahoma"/>
                <w:b/>
                <w:bCs/>
                <w:iCs/>
                <w:color w:val="243285"/>
                <w:sz w:val="44"/>
                <w:szCs w:val="44"/>
                <w:lang w:val="es-ES_tradnl"/>
              </w:rPr>
              <w:t>Criterios de protección de los instrumentos</w:t>
            </w:r>
            <w:r w:rsidRPr="00297B30">
              <w:rPr>
                <w:rFonts w:ascii="Tahoma" w:hAnsi="Tahoma" w:cs="Tahoma"/>
                <w:b/>
                <w:bCs/>
                <w:iCs/>
                <w:color w:val="243285"/>
                <w:sz w:val="44"/>
                <w:szCs w:val="44"/>
                <w:lang w:val="es-ES_tradnl"/>
              </w:rPr>
              <w:br/>
            </w:r>
            <w:proofErr w:type="spellStart"/>
            <w:r w:rsidRPr="00297B30">
              <w:rPr>
                <w:rFonts w:ascii="Tahoma" w:hAnsi="Tahoma" w:cs="Tahoma"/>
                <w:b/>
                <w:bCs/>
                <w:iCs/>
                <w:color w:val="243285"/>
                <w:sz w:val="44"/>
                <w:szCs w:val="44"/>
                <w:lang w:val="es-ES_tradnl"/>
              </w:rPr>
              <w:t>Cospas-Sarsat</w:t>
            </w:r>
            <w:proofErr w:type="spellEnd"/>
            <w:r w:rsidRPr="00297B30">
              <w:rPr>
                <w:rFonts w:ascii="Tahoma" w:hAnsi="Tahoma" w:cs="Tahoma"/>
                <w:b/>
                <w:bCs/>
                <w:iCs/>
                <w:color w:val="243285"/>
                <w:sz w:val="44"/>
                <w:szCs w:val="44"/>
                <w:lang w:val="es-ES_tradnl"/>
              </w:rPr>
              <w:t xml:space="preserve"> de búsqueda y salvamento</w:t>
            </w:r>
            <w:r>
              <w:rPr>
                <w:rFonts w:ascii="Tahoma" w:hAnsi="Tahoma" w:cs="Tahoma"/>
                <w:b/>
                <w:bCs/>
                <w:iCs/>
                <w:color w:val="243285"/>
                <w:sz w:val="44"/>
                <w:szCs w:val="44"/>
                <w:lang w:val="es-ES_tradnl"/>
              </w:rPr>
              <w:t xml:space="preserve"> </w:t>
            </w:r>
            <w:r w:rsidRPr="00297B30">
              <w:rPr>
                <w:rFonts w:ascii="Tahoma" w:hAnsi="Tahoma" w:cs="Tahoma"/>
                <w:b/>
                <w:bCs/>
                <w:iCs/>
                <w:color w:val="243285"/>
                <w:sz w:val="44"/>
                <w:szCs w:val="44"/>
                <w:lang w:val="es-ES_tradnl"/>
              </w:rPr>
              <w:br/>
              <w:t>en la banda 406-406,1 MHz</w:t>
            </w:r>
            <w:r>
              <w:rPr>
                <w:rFonts w:ascii="Tahoma" w:hAnsi="Tahoma" w:cs="Tahoma"/>
                <w:b/>
                <w:bCs/>
                <w:color w:val="243285"/>
                <w:sz w:val="44"/>
                <w:szCs w:val="44"/>
                <w:lang w:val="es-ES_tradnl"/>
              </w:rPr>
              <w:t xml:space="preserve"> </w:t>
            </w:r>
          </w:p>
          <w:p w:rsidR="00543337" w:rsidRPr="00A07AEB" w:rsidRDefault="00543337" w:rsidP="00B06A97">
            <w:pPr>
              <w:spacing w:before="80" w:line="500" w:lineRule="exact"/>
              <w:jc w:val="right"/>
              <w:rPr>
                <w:rFonts w:ascii="Tahoma" w:hAnsi="Tahoma" w:cs="Tahoma"/>
                <w:b/>
                <w:bCs/>
                <w:iCs/>
                <w:color w:val="243285"/>
                <w:sz w:val="44"/>
                <w:szCs w:val="44"/>
                <w:lang w:val="es-ES_tradnl"/>
              </w:rPr>
            </w:pPr>
          </w:p>
        </w:tc>
      </w:tr>
      <w:tr w:rsidR="00543337" w:rsidRPr="00543337" w:rsidTr="00B06A97">
        <w:tc>
          <w:tcPr>
            <w:tcW w:w="10089" w:type="dxa"/>
          </w:tcPr>
          <w:p w:rsidR="00543337" w:rsidRPr="00A07AEB" w:rsidRDefault="00543337" w:rsidP="00B06A97">
            <w:pPr>
              <w:spacing w:before="80" w:line="280" w:lineRule="exact"/>
              <w:ind w:right="640"/>
              <w:rPr>
                <w:rFonts w:ascii="Tahoma" w:hAnsi="Tahoma" w:cs="Tahoma"/>
                <w:b/>
                <w:bCs/>
                <w:iCs/>
                <w:color w:val="243285"/>
                <w:sz w:val="32"/>
                <w:szCs w:val="32"/>
                <w:lang w:val="es-ES_tradnl"/>
              </w:rPr>
            </w:pPr>
          </w:p>
          <w:p w:rsidR="00543337" w:rsidRPr="00A07AEB" w:rsidRDefault="00543337" w:rsidP="00B06A97">
            <w:pPr>
              <w:spacing w:before="80" w:line="280" w:lineRule="exact"/>
              <w:ind w:right="640"/>
              <w:rPr>
                <w:rFonts w:ascii="Tahoma" w:hAnsi="Tahoma" w:cs="Tahoma"/>
                <w:b/>
                <w:bCs/>
                <w:iCs/>
                <w:color w:val="243285"/>
                <w:sz w:val="32"/>
                <w:szCs w:val="32"/>
                <w:lang w:val="es-ES_tradnl"/>
              </w:rPr>
            </w:pPr>
          </w:p>
          <w:p w:rsidR="00543337" w:rsidRPr="00A07AEB" w:rsidRDefault="00543337" w:rsidP="00B06A97">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543337" w:rsidRPr="00A07AEB" w:rsidRDefault="00543337" w:rsidP="00B06A97">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543337" w:rsidRPr="0026666F" w:rsidRDefault="00543337" w:rsidP="00543337">
      <w:pPr>
        <w:spacing w:before="80"/>
        <w:rPr>
          <w:i/>
          <w:sz w:val="22"/>
          <w:lang w:val="es-ES_tradnl"/>
        </w:rPr>
      </w:pPr>
    </w:p>
    <w:p w:rsidR="00543337" w:rsidRPr="0026666F" w:rsidRDefault="00543337" w:rsidP="00543337">
      <w:pPr>
        <w:spacing w:before="80"/>
        <w:rPr>
          <w:i/>
          <w:sz w:val="22"/>
          <w:lang w:val="es-ES_tradnl"/>
        </w:rPr>
      </w:pPr>
    </w:p>
    <w:p w:rsidR="00543337" w:rsidRPr="0026666F" w:rsidRDefault="00543337" w:rsidP="00543337">
      <w:pPr>
        <w:spacing w:before="80"/>
        <w:rPr>
          <w:i/>
          <w:sz w:val="22"/>
          <w:lang w:val="es-ES_tradnl"/>
        </w:rPr>
      </w:pPr>
    </w:p>
    <w:p w:rsidR="00543337" w:rsidRPr="0026666F" w:rsidRDefault="00543337" w:rsidP="00543337">
      <w:pPr>
        <w:pStyle w:val="Equation"/>
        <w:tabs>
          <w:tab w:val="clear" w:pos="4820"/>
          <w:tab w:val="clear" w:pos="9639"/>
          <w:tab w:val="left" w:pos="1191"/>
          <w:tab w:val="left" w:pos="1588"/>
          <w:tab w:val="left" w:pos="1985"/>
        </w:tabs>
        <w:rPr>
          <w:rFonts w:ascii="Palatino Linotype" w:hAnsi="Palatino Linotype"/>
          <w:lang w:val="es-ES_tradnl"/>
        </w:rPr>
        <w:sectPr w:rsidR="00543337" w:rsidRPr="0026666F">
          <w:headerReference w:type="even" r:id="rId7"/>
          <w:headerReference w:type="default" r:id="rId8"/>
          <w:pgSz w:w="11907" w:h="16840" w:code="9"/>
          <w:pgMar w:top="1089" w:right="1089" w:bottom="284" w:left="1089" w:header="567" w:footer="284" w:gutter="0"/>
          <w:pgNumType w:start="1"/>
          <w:cols w:space="720"/>
        </w:sectPr>
      </w:pPr>
    </w:p>
    <w:p w:rsidR="00543337" w:rsidRPr="006C718C" w:rsidRDefault="00543337" w:rsidP="005433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543337" w:rsidRPr="006C718C" w:rsidRDefault="00543337" w:rsidP="0054333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43337" w:rsidRPr="006C718C" w:rsidRDefault="00543337" w:rsidP="0054333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43337" w:rsidRPr="00021E8A" w:rsidRDefault="00543337" w:rsidP="0054333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43337" w:rsidRPr="00021E8A" w:rsidRDefault="00543337" w:rsidP="0054333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43337" w:rsidRPr="007C36CA" w:rsidRDefault="00543337" w:rsidP="00543337">
      <w:pPr>
        <w:spacing w:before="0"/>
        <w:jc w:val="center"/>
        <w:rPr>
          <w:sz w:val="22"/>
          <w:lang w:val="es-ES_tradnl"/>
        </w:rPr>
      </w:pPr>
    </w:p>
    <w:p w:rsidR="00543337" w:rsidRPr="007C36CA" w:rsidRDefault="00543337" w:rsidP="0054333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43337" w:rsidRPr="00543337" w:rsidTr="00B06A97">
        <w:tc>
          <w:tcPr>
            <w:tcW w:w="9360" w:type="dxa"/>
            <w:gridSpan w:val="2"/>
          </w:tcPr>
          <w:p w:rsidR="00543337" w:rsidRPr="00021E8A" w:rsidRDefault="00543337" w:rsidP="00B06A9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43337" w:rsidRPr="00763D08" w:rsidRDefault="00543337" w:rsidP="00B06A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543337" w:rsidRPr="00036EE3" w:rsidTr="00B06A97">
        <w:tc>
          <w:tcPr>
            <w:tcW w:w="1140" w:type="dxa"/>
          </w:tcPr>
          <w:p w:rsidR="00543337" w:rsidRPr="00036EE3" w:rsidRDefault="00543337" w:rsidP="00B06A97">
            <w:pPr>
              <w:spacing w:before="180" w:after="100"/>
              <w:ind w:left="57"/>
              <w:rPr>
                <w:b/>
                <w:bCs/>
                <w:sz w:val="20"/>
                <w:lang w:val="en-US"/>
              </w:rPr>
            </w:pPr>
            <w:r w:rsidRPr="00036EE3">
              <w:rPr>
                <w:b/>
                <w:bCs/>
                <w:sz w:val="20"/>
                <w:lang w:val="en-US"/>
              </w:rPr>
              <w:t>Series</w:t>
            </w:r>
          </w:p>
        </w:tc>
        <w:tc>
          <w:tcPr>
            <w:tcW w:w="8220" w:type="dxa"/>
          </w:tcPr>
          <w:p w:rsidR="00543337" w:rsidRPr="00036EE3" w:rsidRDefault="00543337" w:rsidP="00B06A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543337" w:rsidRPr="00036EE3" w:rsidTr="00B06A97">
        <w:tc>
          <w:tcPr>
            <w:tcW w:w="1140" w:type="dxa"/>
          </w:tcPr>
          <w:p w:rsidR="00543337" w:rsidRPr="00036EE3" w:rsidRDefault="00543337" w:rsidP="00B06A97">
            <w:pPr>
              <w:spacing w:before="30" w:after="30"/>
              <w:ind w:left="57"/>
              <w:jc w:val="left"/>
              <w:rPr>
                <w:b/>
                <w:bCs/>
                <w:sz w:val="20"/>
                <w:lang w:val="en-US"/>
              </w:rPr>
            </w:pPr>
            <w:r w:rsidRPr="00036EE3">
              <w:rPr>
                <w:b/>
                <w:bCs/>
                <w:sz w:val="20"/>
                <w:lang w:val="en-US"/>
              </w:rPr>
              <w:t>BO</w:t>
            </w:r>
          </w:p>
        </w:tc>
        <w:tc>
          <w:tcPr>
            <w:tcW w:w="8220" w:type="dxa"/>
          </w:tcPr>
          <w:p w:rsidR="00543337" w:rsidRPr="00021E8A" w:rsidRDefault="00543337" w:rsidP="00B06A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543337" w:rsidRPr="00543337" w:rsidTr="00B06A97">
        <w:tc>
          <w:tcPr>
            <w:tcW w:w="1140" w:type="dxa"/>
          </w:tcPr>
          <w:p w:rsidR="00543337" w:rsidRPr="00036EE3" w:rsidRDefault="00543337" w:rsidP="00B06A97">
            <w:pPr>
              <w:spacing w:before="30" w:after="30"/>
              <w:ind w:left="57"/>
              <w:jc w:val="left"/>
              <w:rPr>
                <w:b/>
                <w:bCs/>
                <w:sz w:val="20"/>
                <w:lang w:val="en-US"/>
              </w:rPr>
            </w:pPr>
            <w:r w:rsidRPr="00036EE3">
              <w:rPr>
                <w:b/>
                <w:bCs/>
                <w:sz w:val="20"/>
                <w:lang w:val="en-US"/>
              </w:rPr>
              <w:t>BR</w:t>
            </w:r>
          </w:p>
        </w:tc>
        <w:tc>
          <w:tcPr>
            <w:tcW w:w="8220" w:type="dxa"/>
          </w:tcPr>
          <w:p w:rsidR="00543337" w:rsidRPr="00021E8A" w:rsidRDefault="00543337" w:rsidP="00B06A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543337" w:rsidRPr="00036EE3" w:rsidTr="00B06A97">
        <w:tc>
          <w:tcPr>
            <w:tcW w:w="1140" w:type="dxa"/>
          </w:tcPr>
          <w:p w:rsidR="00543337" w:rsidRPr="00036EE3" w:rsidRDefault="00543337" w:rsidP="00B06A97">
            <w:pPr>
              <w:spacing w:before="30" w:after="30"/>
              <w:ind w:left="57"/>
              <w:jc w:val="left"/>
              <w:rPr>
                <w:b/>
                <w:bCs/>
                <w:sz w:val="20"/>
                <w:lang w:val="en-US"/>
              </w:rPr>
            </w:pPr>
            <w:r w:rsidRPr="00036EE3">
              <w:rPr>
                <w:b/>
                <w:bCs/>
                <w:sz w:val="20"/>
                <w:lang w:val="en-US"/>
              </w:rPr>
              <w:t>BS</w:t>
            </w:r>
          </w:p>
        </w:tc>
        <w:tc>
          <w:tcPr>
            <w:tcW w:w="8220" w:type="dxa"/>
          </w:tcPr>
          <w:p w:rsidR="00543337" w:rsidRPr="00021E8A" w:rsidRDefault="00543337" w:rsidP="00B06A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543337" w:rsidRPr="00ED2695" w:rsidTr="00B06A97">
        <w:tc>
          <w:tcPr>
            <w:tcW w:w="1140" w:type="dxa"/>
            <w:shd w:val="clear" w:color="auto" w:fill="auto"/>
          </w:tcPr>
          <w:p w:rsidR="00543337" w:rsidRPr="00ED2695" w:rsidRDefault="00543337" w:rsidP="00B06A97">
            <w:pPr>
              <w:spacing w:before="30" w:after="30"/>
              <w:ind w:left="57"/>
              <w:jc w:val="left"/>
              <w:rPr>
                <w:b/>
                <w:bCs/>
                <w:sz w:val="20"/>
                <w:lang w:val="en-US"/>
              </w:rPr>
            </w:pPr>
            <w:r w:rsidRPr="00ED2695">
              <w:rPr>
                <w:b/>
                <w:bCs/>
                <w:sz w:val="20"/>
                <w:lang w:val="en-US"/>
              </w:rPr>
              <w:t>BT</w:t>
            </w:r>
          </w:p>
        </w:tc>
        <w:tc>
          <w:tcPr>
            <w:tcW w:w="8220" w:type="dxa"/>
            <w:shd w:val="clear" w:color="auto" w:fill="auto"/>
          </w:tcPr>
          <w:p w:rsidR="00543337" w:rsidRPr="00021E8A" w:rsidRDefault="00543337" w:rsidP="00B06A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543337" w:rsidRPr="00036EE3" w:rsidTr="00B06A97">
        <w:tc>
          <w:tcPr>
            <w:tcW w:w="1140" w:type="dxa"/>
            <w:shd w:val="clear" w:color="auto" w:fill="auto"/>
          </w:tcPr>
          <w:p w:rsidR="00543337" w:rsidRPr="00036EE3" w:rsidRDefault="00543337" w:rsidP="00B06A97">
            <w:pPr>
              <w:spacing w:before="30" w:after="30"/>
              <w:ind w:left="57"/>
              <w:jc w:val="left"/>
              <w:rPr>
                <w:b/>
                <w:bCs/>
                <w:sz w:val="20"/>
                <w:lang w:val="fr-CH"/>
              </w:rPr>
            </w:pPr>
            <w:r w:rsidRPr="00036EE3">
              <w:rPr>
                <w:b/>
                <w:bCs/>
                <w:sz w:val="20"/>
                <w:lang w:val="fr-CH"/>
              </w:rPr>
              <w:t>F</w:t>
            </w:r>
          </w:p>
        </w:tc>
        <w:tc>
          <w:tcPr>
            <w:tcW w:w="8220" w:type="dxa"/>
            <w:shd w:val="clear" w:color="auto" w:fill="auto"/>
          </w:tcPr>
          <w:p w:rsidR="00543337" w:rsidRPr="00021E8A" w:rsidRDefault="00543337" w:rsidP="00B06A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543337" w:rsidRPr="00543337" w:rsidTr="00B06A97">
        <w:tc>
          <w:tcPr>
            <w:tcW w:w="1140" w:type="dxa"/>
            <w:shd w:val="clear" w:color="auto" w:fill="F3F3F3"/>
          </w:tcPr>
          <w:p w:rsidR="00543337" w:rsidRPr="001240BC" w:rsidRDefault="00543337" w:rsidP="00B06A97">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543337" w:rsidRPr="001240BC" w:rsidRDefault="00543337" w:rsidP="00B06A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543337" w:rsidRPr="00543337" w:rsidTr="00B06A97">
        <w:tc>
          <w:tcPr>
            <w:tcW w:w="1140" w:type="dxa"/>
          </w:tcPr>
          <w:p w:rsidR="00543337" w:rsidRPr="00036EE3" w:rsidRDefault="00543337" w:rsidP="00B06A97">
            <w:pPr>
              <w:spacing w:before="30" w:after="30"/>
              <w:ind w:left="57"/>
              <w:jc w:val="left"/>
              <w:rPr>
                <w:b/>
                <w:bCs/>
                <w:sz w:val="20"/>
                <w:lang w:val="fr-CH"/>
              </w:rPr>
            </w:pPr>
            <w:r w:rsidRPr="00036EE3">
              <w:rPr>
                <w:b/>
                <w:bCs/>
                <w:sz w:val="20"/>
                <w:lang w:val="fr-CH"/>
              </w:rPr>
              <w:t>P</w:t>
            </w:r>
          </w:p>
        </w:tc>
        <w:tc>
          <w:tcPr>
            <w:tcW w:w="8220" w:type="dxa"/>
          </w:tcPr>
          <w:p w:rsidR="00543337" w:rsidRPr="00021E8A" w:rsidRDefault="00543337" w:rsidP="00B06A97">
            <w:pPr>
              <w:spacing w:before="30" w:after="30"/>
              <w:jc w:val="left"/>
              <w:rPr>
                <w:bCs/>
                <w:sz w:val="20"/>
                <w:lang w:val="es-ES_tradnl"/>
              </w:rPr>
            </w:pPr>
            <w:r w:rsidRPr="00021E8A">
              <w:rPr>
                <w:bCs/>
                <w:sz w:val="20"/>
                <w:lang w:val="es-ES_tradnl"/>
              </w:rPr>
              <w:t>Propagación de las ondas radioeléctricas</w:t>
            </w:r>
          </w:p>
        </w:tc>
      </w:tr>
      <w:tr w:rsidR="00543337" w:rsidRPr="00036EE3" w:rsidTr="00B06A97">
        <w:tc>
          <w:tcPr>
            <w:tcW w:w="1140" w:type="dxa"/>
          </w:tcPr>
          <w:p w:rsidR="00543337" w:rsidRPr="00036EE3" w:rsidRDefault="00543337" w:rsidP="00B06A97">
            <w:pPr>
              <w:spacing w:before="30" w:after="30"/>
              <w:ind w:left="57"/>
              <w:jc w:val="left"/>
              <w:rPr>
                <w:b/>
                <w:bCs/>
                <w:sz w:val="20"/>
                <w:lang w:val="en-US"/>
              </w:rPr>
            </w:pPr>
            <w:r w:rsidRPr="00036EE3">
              <w:rPr>
                <w:b/>
                <w:bCs/>
                <w:sz w:val="20"/>
                <w:lang w:val="en-US"/>
              </w:rPr>
              <w:t>RA</w:t>
            </w:r>
          </w:p>
        </w:tc>
        <w:tc>
          <w:tcPr>
            <w:tcW w:w="8220" w:type="dxa"/>
          </w:tcPr>
          <w:p w:rsidR="00543337" w:rsidRPr="00021E8A" w:rsidRDefault="00543337" w:rsidP="00B06A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543337" w:rsidRPr="00543337" w:rsidTr="00B06A97">
        <w:tc>
          <w:tcPr>
            <w:tcW w:w="1140" w:type="dxa"/>
          </w:tcPr>
          <w:p w:rsidR="00543337" w:rsidRPr="00036EE3" w:rsidRDefault="00543337" w:rsidP="00B06A97">
            <w:pPr>
              <w:spacing w:before="30" w:after="30"/>
              <w:ind w:left="57"/>
              <w:jc w:val="left"/>
              <w:rPr>
                <w:b/>
                <w:bCs/>
                <w:sz w:val="20"/>
                <w:lang w:val="en-US"/>
              </w:rPr>
            </w:pPr>
            <w:r w:rsidRPr="00036EE3">
              <w:rPr>
                <w:b/>
                <w:bCs/>
                <w:sz w:val="20"/>
                <w:lang w:val="en-US"/>
              </w:rPr>
              <w:t>RS</w:t>
            </w:r>
          </w:p>
        </w:tc>
        <w:tc>
          <w:tcPr>
            <w:tcW w:w="8220" w:type="dxa"/>
          </w:tcPr>
          <w:p w:rsidR="00543337" w:rsidRPr="00021E8A" w:rsidRDefault="00543337" w:rsidP="00B06A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543337" w:rsidRPr="00036EE3" w:rsidTr="00B06A97">
        <w:tc>
          <w:tcPr>
            <w:tcW w:w="1140" w:type="dxa"/>
          </w:tcPr>
          <w:p w:rsidR="00543337" w:rsidRPr="00036EE3" w:rsidRDefault="00543337" w:rsidP="00B06A97">
            <w:pPr>
              <w:spacing w:before="30" w:after="30"/>
              <w:ind w:left="57"/>
              <w:jc w:val="left"/>
              <w:rPr>
                <w:b/>
                <w:bCs/>
                <w:sz w:val="20"/>
                <w:lang w:val="en-US"/>
              </w:rPr>
            </w:pPr>
            <w:r w:rsidRPr="00036EE3">
              <w:rPr>
                <w:b/>
                <w:bCs/>
                <w:sz w:val="20"/>
                <w:lang w:val="en-US"/>
              </w:rPr>
              <w:t>S</w:t>
            </w:r>
          </w:p>
        </w:tc>
        <w:tc>
          <w:tcPr>
            <w:tcW w:w="8220" w:type="dxa"/>
          </w:tcPr>
          <w:p w:rsidR="00543337" w:rsidRPr="00021E8A" w:rsidRDefault="00543337" w:rsidP="00B06A97">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543337" w:rsidRPr="00036EE3" w:rsidTr="00B06A97">
        <w:tc>
          <w:tcPr>
            <w:tcW w:w="1140" w:type="dxa"/>
          </w:tcPr>
          <w:p w:rsidR="00543337" w:rsidRPr="00036EE3" w:rsidRDefault="00543337" w:rsidP="00B06A97">
            <w:pPr>
              <w:spacing w:before="30" w:after="30"/>
              <w:ind w:left="57"/>
              <w:jc w:val="left"/>
              <w:rPr>
                <w:b/>
                <w:bCs/>
                <w:sz w:val="20"/>
                <w:lang w:val="en-US"/>
              </w:rPr>
            </w:pPr>
            <w:r w:rsidRPr="00036EE3">
              <w:rPr>
                <w:b/>
                <w:bCs/>
                <w:sz w:val="20"/>
                <w:lang w:val="en-US"/>
              </w:rPr>
              <w:t>SA</w:t>
            </w:r>
          </w:p>
        </w:tc>
        <w:tc>
          <w:tcPr>
            <w:tcW w:w="8220" w:type="dxa"/>
          </w:tcPr>
          <w:p w:rsidR="00543337" w:rsidRPr="00021E8A" w:rsidRDefault="00543337" w:rsidP="00B06A97">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543337" w:rsidRPr="00543337" w:rsidTr="00B06A97">
        <w:tc>
          <w:tcPr>
            <w:tcW w:w="1140" w:type="dxa"/>
          </w:tcPr>
          <w:p w:rsidR="00543337" w:rsidRPr="00036EE3" w:rsidRDefault="00543337" w:rsidP="00B06A97">
            <w:pPr>
              <w:spacing w:before="30" w:after="30"/>
              <w:ind w:left="57"/>
              <w:jc w:val="left"/>
              <w:rPr>
                <w:b/>
                <w:bCs/>
                <w:sz w:val="20"/>
                <w:lang w:val="en-US"/>
              </w:rPr>
            </w:pPr>
            <w:r w:rsidRPr="00036EE3">
              <w:rPr>
                <w:b/>
                <w:bCs/>
                <w:sz w:val="20"/>
                <w:lang w:val="en-US"/>
              </w:rPr>
              <w:t>SF</w:t>
            </w:r>
          </w:p>
        </w:tc>
        <w:tc>
          <w:tcPr>
            <w:tcW w:w="8220" w:type="dxa"/>
          </w:tcPr>
          <w:p w:rsidR="00543337" w:rsidRPr="00021E8A" w:rsidRDefault="00543337" w:rsidP="00B06A97">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43337" w:rsidRPr="00036EE3" w:rsidTr="00B06A97">
        <w:tc>
          <w:tcPr>
            <w:tcW w:w="1140" w:type="dxa"/>
            <w:shd w:val="clear" w:color="auto" w:fill="auto"/>
          </w:tcPr>
          <w:p w:rsidR="00543337" w:rsidRPr="001240BC" w:rsidRDefault="00543337" w:rsidP="00B06A97">
            <w:pPr>
              <w:spacing w:before="30" w:after="30"/>
              <w:ind w:left="57"/>
              <w:jc w:val="left"/>
              <w:rPr>
                <w:b/>
                <w:bCs/>
                <w:sz w:val="20"/>
                <w:lang w:val="en-US"/>
              </w:rPr>
            </w:pPr>
            <w:r w:rsidRPr="001240BC">
              <w:rPr>
                <w:b/>
                <w:bCs/>
                <w:sz w:val="20"/>
                <w:lang w:val="en-US"/>
              </w:rPr>
              <w:t>SM</w:t>
            </w:r>
          </w:p>
        </w:tc>
        <w:tc>
          <w:tcPr>
            <w:tcW w:w="8220" w:type="dxa"/>
            <w:shd w:val="clear" w:color="auto" w:fill="auto"/>
          </w:tcPr>
          <w:p w:rsidR="00543337" w:rsidRPr="001240BC" w:rsidRDefault="00543337" w:rsidP="00B06A97">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543337" w:rsidRPr="00036EE3" w:rsidTr="00B06A97">
        <w:tc>
          <w:tcPr>
            <w:tcW w:w="1140" w:type="dxa"/>
          </w:tcPr>
          <w:p w:rsidR="00543337" w:rsidRPr="00036EE3" w:rsidRDefault="00543337" w:rsidP="00B06A97">
            <w:pPr>
              <w:spacing w:before="30" w:after="30"/>
              <w:ind w:left="57"/>
              <w:jc w:val="left"/>
              <w:rPr>
                <w:b/>
                <w:bCs/>
                <w:sz w:val="20"/>
                <w:lang w:val="en-US"/>
              </w:rPr>
            </w:pPr>
            <w:r w:rsidRPr="00036EE3">
              <w:rPr>
                <w:b/>
                <w:bCs/>
                <w:sz w:val="20"/>
                <w:lang w:val="en-US"/>
              </w:rPr>
              <w:t>SNG</w:t>
            </w:r>
          </w:p>
        </w:tc>
        <w:tc>
          <w:tcPr>
            <w:tcW w:w="8220" w:type="dxa"/>
          </w:tcPr>
          <w:p w:rsidR="00543337" w:rsidRPr="00021E8A" w:rsidRDefault="00543337" w:rsidP="00B06A97">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543337" w:rsidRPr="00543337" w:rsidTr="00B06A97">
        <w:tc>
          <w:tcPr>
            <w:tcW w:w="1140" w:type="dxa"/>
          </w:tcPr>
          <w:p w:rsidR="00543337" w:rsidRPr="00036EE3" w:rsidRDefault="00543337" w:rsidP="00B06A97">
            <w:pPr>
              <w:spacing w:before="30" w:after="30"/>
              <w:ind w:left="57"/>
              <w:jc w:val="left"/>
              <w:rPr>
                <w:b/>
                <w:bCs/>
                <w:sz w:val="20"/>
                <w:lang w:val="en-US"/>
              </w:rPr>
            </w:pPr>
            <w:r w:rsidRPr="00036EE3">
              <w:rPr>
                <w:b/>
                <w:bCs/>
                <w:sz w:val="20"/>
                <w:lang w:val="en-US"/>
              </w:rPr>
              <w:t>TF</w:t>
            </w:r>
          </w:p>
        </w:tc>
        <w:tc>
          <w:tcPr>
            <w:tcW w:w="8220" w:type="dxa"/>
          </w:tcPr>
          <w:p w:rsidR="00543337" w:rsidRPr="00021E8A" w:rsidRDefault="00543337" w:rsidP="00B06A97">
            <w:pPr>
              <w:spacing w:before="30" w:after="30"/>
              <w:jc w:val="left"/>
              <w:rPr>
                <w:bCs/>
                <w:sz w:val="20"/>
                <w:lang w:val="es-ES_tradnl"/>
              </w:rPr>
            </w:pPr>
            <w:r w:rsidRPr="00021E8A">
              <w:rPr>
                <w:bCs/>
                <w:sz w:val="20"/>
                <w:lang w:val="es-ES_tradnl"/>
              </w:rPr>
              <w:t>Emisiones de frecuencias patrón y señales horarias</w:t>
            </w:r>
          </w:p>
        </w:tc>
      </w:tr>
      <w:tr w:rsidR="00543337" w:rsidRPr="00036EE3" w:rsidTr="00B06A97">
        <w:tc>
          <w:tcPr>
            <w:tcW w:w="1140" w:type="dxa"/>
          </w:tcPr>
          <w:p w:rsidR="00543337" w:rsidRPr="00036EE3" w:rsidRDefault="00543337" w:rsidP="00B06A97">
            <w:pPr>
              <w:spacing w:before="30" w:after="30"/>
              <w:ind w:left="57"/>
              <w:jc w:val="left"/>
              <w:rPr>
                <w:b/>
                <w:bCs/>
                <w:sz w:val="20"/>
                <w:lang w:val="en-US"/>
              </w:rPr>
            </w:pPr>
            <w:r w:rsidRPr="00036EE3">
              <w:rPr>
                <w:b/>
                <w:bCs/>
                <w:sz w:val="20"/>
                <w:lang w:val="en-US"/>
              </w:rPr>
              <w:t>V</w:t>
            </w:r>
          </w:p>
        </w:tc>
        <w:tc>
          <w:tcPr>
            <w:tcW w:w="8220" w:type="dxa"/>
          </w:tcPr>
          <w:p w:rsidR="00543337" w:rsidRPr="00021E8A" w:rsidRDefault="00543337" w:rsidP="00B06A97">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543337" w:rsidRPr="00036EE3" w:rsidRDefault="00543337" w:rsidP="0054333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43337" w:rsidTr="00B06A97">
        <w:tc>
          <w:tcPr>
            <w:tcW w:w="720" w:type="dxa"/>
          </w:tcPr>
          <w:p w:rsidR="00543337" w:rsidRDefault="00543337" w:rsidP="00B06A97">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43337" w:rsidRPr="00543337" w:rsidTr="00B06A97">
        <w:tc>
          <w:tcPr>
            <w:tcW w:w="9360" w:type="dxa"/>
          </w:tcPr>
          <w:p w:rsidR="00543337" w:rsidRPr="00A07AEB" w:rsidRDefault="00543337" w:rsidP="00B06A97">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543337" w:rsidRPr="00763D08" w:rsidRDefault="00543337" w:rsidP="00543337">
      <w:pPr>
        <w:spacing w:before="0"/>
        <w:jc w:val="center"/>
        <w:rPr>
          <w:sz w:val="22"/>
          <w:lang w:val="es-ES_tradnl"/>
        </w:rPr>
      </w:pPr>
    </w:p>
    <w:p w:rsidR="00543337" w:rsidRPr="00763D08" w:rsidRDefault="00543337" w:rsidP="00543337">
      <w:pPr>
        <w:spacing w:before="60"/>
        <w:jc w:val="right"/>
        <w:rPr>
          <w:i/>
          <w:iCs/>
          <w:sz w:val="20"/>
          <w:lang w:val="es-ES_tradnl"/>
        </w:rPr>
      </w:pPr>
      <w:r w:rsidRPr="00763D08">
        <w:rPr>
          <w:i/>
          <w:iCs/>
          <w:sz w:val="20"/>
          <w:lang w:val="es-ES_tradnl"/>
        </w:rPr>
        <w:t>Publicación electrónica</w:t>
      </w:r>
    </w:p>
    <w:p w:rsidR="00543337" w:rsidRPr="00763D08" w:rsidRDefault="00543337" w:rsidP="00543337">
      <w:pPr>
        <w:spacing w:before="0" w:after="40"/>
        <w:jc w:val="right"/>
        <w:rPr>
          <w:sz w:val="20"/>
          <w:lang w:val="es-ES_tradnl"/>
        </w:rPr>
      </w:pPr>
      <w:r w:rsidRPr="00763D08">
        <w:rPr>
          <w:sz w:val="20"/>
          <w:lang w:val="es-ES_tradnl"/>
        </w:rPr>
        <w:t>Ginebra, 20</w:t>
      </w:r>
      <w:r>
        <w:rPr>
          <w:sz w:val="20"/>
          <w:lang w:val="es-ES_tradnl"/>
        </w:rPr>
        <w:t>15</w:t>
      </w:r>
    </w:p>
    <w:p w:rsidR="00543337" w:rsidRPr="00763D08" w:rsidRDefault="00543337" w:rsidP="00543337">
      <w:pPr>
        <w:spacing w:before="0"/>
        <w:jc w:val="center"/>
        <w:rPr>
          <w:sz w:val="22"/>
          <w:lang w:val="es-ES_tradnl"/>
        </w:rPr>
      </w:pPr>
    </w:p>
    <w:p w:rsidR="00543337" w:rsidRPr="00763D08" w:rsidRDefault="00543337" w:rsidP="0054333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15</w:t>
      </w:r>
    </w:p>
    <w:p w:rsidR="00543337" w:rsidRPr="006C718C" w:rsidRDefault="00543337" w:rsidP="0054333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43337" w:rsidRPr="006C718C" w:rsidRDefault="00543337" w:rsidP="00543337">
      <w:pPr>
        <w:spacing w:before="160"/>
        <w:rPr>
          <w:i/>
          <w:sz w:val="20"/>
          <w:highlight w:val="yellow"/>
          <w:lang w:val="es-ES_tradnl"/>
        </w:rPr>
        <w:sectPr w:rsidR="00543337"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43337" w:rsidRPr="0010336F" w:rsidRDefault="00543337" w:rsidP="00E97DA6">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E97DA6">
        <w:rPr>
          <w:rStyle w:val="href"/>
          <w:lang w:val="es-ES_tradnl"/>
        </w:rPr>
        <w:t>1478-3</w:t>
      </w:r>
    </w:p>
    <w:p w:rsidR="00543337" w:rsidRPr="00E60BAE" w:rsidRDefault="00543337" w:rsidP="00E97DA6">
      <w:pPr>
        <w:pStyle w:val="Rectitle"/>
        <w:rPr>
          <w:lang w:val="es-ES_tradnl"/>
        </w:rPr>
      </w:pPr>
      <w:r w:rsidRPr="00297B30">
        <w:rPr>
          <w:lang w:val="es-ES_tradnl"/>
        </w:rPr>
        <w:t xml:space="preserve">Criterios de protección de los instrumentos </w:t>
      </w:r>
      <w:proofErr w:type="spellStart"/>
      <w:r w:rsidRPr="00297B30">
        <w:rPr>
          <w:lang w:val="es-ES_tradnl"/>
        </w:rPr>
        <w:t>Cospas-Sarsat</w:t>
      </w:r>
      <w:proofErr w:type="spellEnd"/>
      <w:r w:rsidRPr="00297B30">
        <w:rPr>
          <w:lang w:val="es-ES_tradnl"/>
        </w:rPr>
        <w:br/>
        <w:t>de búsqueda y salvamento en la banda 406-406,1 MHz</w:t>
      </w:r>
    </w:p>
    <w:p w:rsidR="00543337" w:rsidRPr="00297B30" w:rsidRDefault="00543337" w:rsidP="00AD5121">
      <w:pPr>
        <w:pStyle w:val="Recdate"/>
        <w:rPr>
          <w:lang w:val="es-ES_tradnl"/>
        </w:rPr>
      </w:pPr>
      <w:r w:rsidRPr="00297B30">
        <w:rPr>
          <w:lang w:val="es-ES_tradnl"/>
        </w:rPr>
        <w:t>(2000-2004-2011-2014)</w:t>
      </w:r>
    </w:p>
    <w:p w:rsidR="00543337" w:rsidRPr="00297B30" w:rsidRDefault="00543337" w:rsidP="00543337">
      <w:pPr>
        <w:pStyle w:val="HeadingSum"/>
      </w:pPr>
      <w:bookmarkStart w:id="3" w:name="_Ref123376000"/>
      <w:bookmarkStart w:id="4" w:name="_Toc130123633"/>
      <w:r w:rsidRPr="00297B30">
        <w:t>Cometido</w:t>
      </w:r>
    </w:p>
    <w:p w:rsidR="00543337" w:rsidRPr="00297B30" w:rsidRDefault="00543337" w:rsidP="00543337">
      <w:pPr>
        <w:pStyle w:val="Summary"/>
      </w:pPr>
      <w:r w:rsidRPr="00297B30">
        <w:t xml:space="preserve">Esta Recomendación describe los criterios de protección de los instrumentos </w:t>
      </w:r>
      <w:proofErr w:type="spellStart"/>
      <w:r w:rsidRPr="00297B30">
        <w:t>Cospas-Sarsat</w:t>
      </w:r>
      <w:proofErr w:type="spellEnd"/>
      <w:r w:rsidRPr="00297B30">
        <w:t xml:space="preserve"> de búsqueda y salvamento situados a bordo de satélites en órbitas geoestacionarias y terrestres medias y bajas y que reciben señales de radiobalizas de localización de siniestros y de otras radiobalizas de socorro que funcionan en la banda 406</w:t>
      </w:r>
      <w:r w:rsidRPr="00297B30">
        <w:noBreakHyphen/>
        <w:t>406,1 MHz.</w:t>
      </w:r>
    </w:p>
    <w:p w:rsidR="00543337" w:rsidRPr="00297B30" w:rsidRDefault="00543337" w:rsidP="00543337">
      <w:pPr>
        <w:pStyle w:val="Headingb"/>
        <w:spacing w:before="240"/>
        <w:rPr>
          <w:rFonts w:asciiTheme="majorBidi" w:hAnsiTheme="majorBidi" w:cstheme="majorBidi"/>
          <w:sz w:val="22"/>
          <w:szCs w:val="22"/>
          <w:lang w:val="es-ES_tradnl"/>
        </w:rPr>
      </w:pPr>
      <w:r w:rsidRPr="00297B30">
        <w:rPr>
          <w:rFonts w:asciiTheme="majorBidi" w:hAnsiTheme="majorBidi" w:cstheme="majorBidi"/>
          <w:sz w:val="22"/>
          <w:szCs w:val="22"/>
          <w:lang w:val="es-ES_tradnl"/>
        </w:rPr>
        <w:t>Términos</w:t>
      </w:r>
    </w:p>
    <w:p w:rsidR="00543337" w:rsidRPr="00297B30" w:rsidRDefault="00543337" w:rsidP="00543337">
      <w:pPr>
        <w:rPr>
          <w:lang w:val="es-ES_tradnl"/>
        </w:rPr>
      </w:pPr>
      <w:proofErr w:type="spellStart"/>
      <w:r w:rsidRPr="00297B30">
        <w:rPr>
          <w:lang w:val="es-ES_tradnl"/>
        </w:rPr>
        <w:t>Cospas-Sarsat</w:t>
      </w:r>
      <w:proofErr w:type="spellEnd"/>
      <w:r w:rsidRPr="00297B30">
        <w:rPr>
          <w:lang w:val="es-ES_tradnl"/>
        </w:rPr>
        <w:t>; criterios de protección; instrumentos de búsqueda y salvamento; 406-406,1 MHz.</w:t>
      </w:r>
    </w:p>
    <w:p w:rsidR="00543337" w:rsidRPr="00297B30" w:rsidRDefault="00543337" w:rsidP="00543337">
      <w:pPr>
        <w:pStyle w:val="Headingb"/>
        <w:jc w:val="left"/>
        <w:rPr>
          <w:lang w:val="es-ES_tradnl"/>
        </w:rPr>
      </w:pPr>
      <w:r w:rsidRPr="00297B30">
        <w:rPr>
          <w:lang w:val="es-ES_tradnl"/>
        </w:rPr>
        <w:t>Siglas/glosario</w:t>
      </w:r>
    </w:p>
    <w:p w:rsidR="00543337" w:rsidRPr="00297B30" w:rsidRDefault="00543337" w:rsidP="00543337">
      <w:pPr>
        <w:rPr>
          <w:lang w:val="es-ES_tradnl"/>
        </w:rPr>
      </w:pPr>
      <w:proofErr w:type="spellStart"/>
      <w:r w:rsidRPr="00297B30">
        <w:rPr>
          <w:lang w:val="es-ES_tradnl"/>
        </w:rPr>
        <w:t>EPIRBs</w:t>
      </w:r>
      <w:proofErr w:type="spellEnd"/>
      <w:r w:rsidRPr="00297B30">
        <w:rPr>
          <w:lang w:val="es-ES_tradnl"/>
        </w:rPr>
        <w:t xml:space="preserve"> </w:t>
      </w:r>
      <w:r>
        <w:rPr>
          <w:lang w:val="es-ES_tradnl"/>
        </w:rPr>
        <w:t>–</w:t>
      </w:r>
      <w:r w:rsidRPr="00297B30">
        <w:rPr>
          <w:lang w:val="es-ES_tradnl"/>
        </w:rPr>
        <w:t xml:space="preserve"> </w:t>
      </w:r>
      <w:r>
        <w:rPr>
          <w:lang w:val="es-ES_tradnl"/>
        </w:rPr>
        <w:t>R</w:t>
      </w:r>
      <w:r w:rsidRPr="00297B30">
        <w:rPr>
          <w:lang w:val="es-ES_tradnl"/>
        </w:rPr>
        <w:t>adiobalizas de localización de siniestros</w:t>
      </w:r>
    </w:p>
    <w:p w:rsidR="00543337" w:rsidRPr="00297B30" w:rsidRDefault="00543337" w:rsidP="00543337">
      <w:pPr>
        <w:rPr>
          <w:lang w:val="es-ES_tradnl"/>
        </w:rPr>
      </w:pPr>
      <w:r w:rsidRPr="00297B30">
        <w:rPr>
          <w:lang w:val="es-ES_tradnl"/>
        </w:rPr>
        <w:t xml:space="preserve">DRU – </w:t>
      </w:r>
      <w:r>
        <w:rPr>
          <w:lang w:val="es-ES_tradnl"/>
        </w:rPr>
        <w:t>U</w:t>
      </w:r>
      <w:r w:rsidRPr="00297B30">
        <w:rPr>
          <w:lang w:val="es-ES_tradnl"/>
        </w:rPr>
        <w:t>nidad de recuperación de datos</w:t>
      </w:r>
    </w:p>
    <w:p w:rsidR="00543337" w:rsidRPr="00297B30" w:rsidRDefault="00543337" w:rsidP="00543337">
      <w:pPr>
        <w:rPr>
          <w:lang w:val="es-ES_tradnl"/>
        </w:rPr>
      </w:pPr>
      <w:r w:rsidRPr="00297B30">
        <w:rPr>
          <w:lang w:val="es-ES_tradnl"/>
        </w:rPr>
        <w:t xml:space="preserve">GOES – </w:t>
      </w:r>
      <w:r>
        <w:rPr>
          <w:color w:val="000000"/>
          <w:lang w:val="es-ES_tradnl"/>
        </w:rPr>
        <w:t>S</w:t>
      </w:r>
      <w:r w:rsidRPr="00297B30">
        <w:rPr>
          <w:color w:val="000000"/>
          <w:lang w:val="es-ES_tradnl"/>
        </w:rPr>
        <w:t>atélites geoestacionarios operativos del medio ambiente</w:t>
      </w:r>
    </w:p>
    <w:p w:rsidR="00543337" w:rsidRPr="00297B30" w:rsidRDefault="00543337" w:rsidP="00543337">
      <w:pPr>
        <w:rPr>
          <w:lang w:val="es-ES_tradnl"/>
        </w:rPr>
      </w:pPr>
      <w:r w:rsidRPr="00297B30">
        <w:rPr>
          <w:lang w:val="es-ES_tradnl"/>
        </w:rPr>
        <w:t xml:space="preserve">MSG </w:t>
      </w:r>
      <w:r>
        <w:rPr>
          <w:lang w:val="es-ES_tradnl"/>
        </w:rPr>
        <w:t>–</w:t>
      </w:r>
      <w:r w:rsidRPr="00297B30">
        <w:rPr>
          <w:lang w:val="es-ES_tradnl"/>
        </w:rPr>
        <w:t xml:space="preserve"> METEOSAT de segunda generación</w:t>
      </w:r>
    </w:p>
    <w:p w:rsidR="00543337" w:rsidRPr="00297B30" w:rsidRDefault="00543337" w:rsidP="00543337">
      <w:pPr>
        <w:rPr>
          <w:lang w:val="es-ES_tradnl"/>
        </w:rPr>
      </w:pPr>
      <w:r w:rsidRPr="00297B30">
        <w:rPr>
          <w:lang w:val="es-ES_tradnl"/>
        </w:rPr>
        <w:t xml:space="preserve">SARP – </w:t>
      </w:r>
      <w:r>
        <w:rPr>
          <w:lang w:val="es-ES_tradnl"/>
        </w:rPr>
        <w:t>P</w:t>
      </w:r>
      <w:r w:rsidRPr="00297B30">
        <w:rPr>
          <w:lang w:val="es-ES_tradnl"/>
        </w:rPr>
        <w:t>rocesador de búsqueda y salvamento</w:t>
      </w:r>
    </w:p>
    <w:p w:rsidR="00543337" w:rsidRPr="00297B30" w:rsidRDefault="00543337" w:rsidP="00543337">
      <w:pPr>
        <w:rPr>
          <w:lang w:val="es-ES_tradnl"/>
        </w:rPr>
      </w:pPr>
      <w:r w:rsidRPr="00297B30">
        <w:rPr>
          <w:lang w:val="es-ES_tradnl"/>
        </w:rPr>
        <w:t xml:space="preserve">SARR – </w:t>
      </w:r>
      <w:r>
        <w:rPr>
          <w:lang w:val="es-ES_tradnl"/>
        </w:rPr>
        <w:t>R</w:t>
      </w:r>
      <w:r w:rsidRPr="00297B30">
        <w:rPr>
          <w:lang w:val="es-ES_tradnl"/>
        </w:rPr>
        <w:t>epetidor de búsqueda y salvamento</w:t>
      </w:r>
    </w:p>
    <w:p w:rsidR="00543337" w:rsidRDefault="00543337" w:rsidP="00543337">
      <w:pPr>
        <w:pStyle w:val="Headingb"/>
        <w:spacing w:before="240"/>
        <w:jc w:val="left"/>
        <w:rPr>
          <w:rFonts w:eastAsia="SimSun"/>
          <w:lang w:val="es-ES_tradnl"/>
        </w:rPr>
      </w:pPr>
      <w:r w:rsidRPr="00297B30">
        <w:rPr>
          <w:rFonts w:eastAsia="SimSun"/>
          <w:lang w:val="es-ES_tradnl"/>
        </w:rPr>
        <w:t>Recomendaciones e Informes de la UIT conexos</w:t>
      </w:r>
    </w:p>
    <w:p w:rsidR="0044488C" w:rsidRDefault="0044488C" w:rsidP="0044488C">
      <w:pPr>
        <w:ind w:left="3600" w:hanging="3600"/>
        <w:rPr>
          <w:rFonts w:eastAsia="SimSun"/>
          <w:lang w:val="es-ES_tradnl"/>
        </w:rPr>
      </w:pPr>
      <w:r w:rsidRPr="00297B30">
        <w:rPr>
          <w:rFonts w:eastAsia="SimSun"/>
          <w:lang w:val="es-ES_tradnl"/>
        </w:rPr>
        <w:t>Recomendación UIT-R M.1731-2</w:t>
      </w:r>
      <w:r>
        <w:rPr>
          <w:rFonts w:eastAsia="SimSun"/>
          <w:lang w:val="es-ES_tradnl"/>
        </w:rPr>
        <w:tab/>
      </w:r>
      <w:r w:rsidRPr="00297B30">
        <w:rPr>
          <w:lang w:val="es-ES_tradnl"/>
        </w:rPr>
        <w:t xml:space="preserve">Criterios de protección para los terminales de usuario local del sistema </w:t>
      </w:r>
      <w:proofErr w:type="spellStart"/>
      <w:r w:rsidRPr="00297B30">
        <w:rPr>
          <w:lang w:val="es-ES_tradnl"/>
        </w:rPr>
        <w:t>Cospas-Sarsat</w:t>
      </w:r>
      <w:proofErr w:type="spellEnd"/>
      <w:r w:rsidRPr="00297B30">
        <w:rPr>
          <w:lang w:val="es-ES_tradnl"/>
        </w:rPr>
        <w:t xml:space="preserve"> en la banda 1 544-1 545 MHz</w:t>
      </w:r>
      <w:r>
        <w:rPr>
          <w:lang w:val="es-ES_tradnl"/>
        </w:rPr>
        <w:t>.</w:t>
      </w:r>
    </w:p>
    <w:p w:rsidR="0044488C" w:rsidRPr="0044488C" w:rsidRDefault="0044488C" w:rsidP="0044488C">
      <w:pPr>
        <w:ind w:left="3600" w:hanging="3600"/>
        <w:rPr>
          <w:rFonts w:eastAsia="SimSun"/>
          <w:lang w:val="es-ES_tradnl"/>
        </w:rPr>
      </w:pPr>
      <w:r w:rsidRPr="00297B30">
        <w:rPr>
          <w:rFonts w:eastAsia="SimSun"/>
          <w:lang w:val="es-ES_tradnl"/>
        </w:rPr>
        <w:t>Recomendación UIT-R M</w:t>
      </w:r>
      <w:r w:rsidRPr="00297B30">
        <w:rPr>
          <w:lang w:val="es-ES_tradnl"/>
        </w:rPr>
        <w:t>.1787-2</w:t>
      </w:r>
      <w:r>
        <w:rPr>
          <w:lang w:val="es-ES_tradnl"/>
        </w:rPr>
        <w:tab/>
      </w:r>
      <w:r w:rsidRPr="00297B30">
        <w:rPr>
          <w:color w:val="000000"/>
          <w:lang w:val="es-ES_tradnl"/>
        </w:rPr>
        <w:t xml:space="preserve">Descripción de sistemas y redes del servicio de radionavegación por satélite (espacio-Tierra y espacio-espacio) y características técnicas de estaciones espaciales transmisoras que funcionan en las bandas </w:t>
      </w:r>
      <w:r w:rsidRPr="00297B30">
        <w:rPr>
          <w:rFonts w:eastAsia="SimSun"/>
          <w:lang w:val="es-ES_tradnl"/>
        </w:rPr>
        <w:t>1</w:t>
      </w:r>
      <w:r>
        <w:rPr>
          <w:rFonts w:eastAsia="SimSun"/>
          <w:lang w:val="es-ES_tradnl"/>
        </w:rPr>
        <w:t> </w:t>
      </w:r>
      <w:r w:rsidRPr="00297B30">
        <w:rPr>
          <w:rFonts w:eastAsia="SimSun"/>
          <w:lang w:val="es-ES_tradnl"/>
        </w:rPr>
        <w:t>164</w:t>
      </w:r>
      <w:r>
        <w:rPr>
          <w:rFonts w:eastAsia="SimSun"/>
          <w:lang w:val="es-ES_tradnl"/>
        </w:rPr>
        <w:noBreakHyphen/>
      </w:r>
      <w:r w:rsidRPr="00297B30">
        <w:rPr>
          <w:rFonts w:eastAsia="SimSun"/>
          <w:lang w:val="es-ES_tradnl"/>
        </w:rPr>
        <w:t>1</w:t>
      </w:r>
      <w:r>
        <w:rPr>
          <w:rFonts w:eastAsia="SimSun"/>
          <w:lang w:val="es-ES_tradnl"/>
        </w:rPr>
        <w:t> </w:t>
      </w:r>
      <w:r w:rsidRPr="00297B30">
        <w:rPr>
          <w:rFonts w:eastAsia="SimSun"/>
          <w:lang w:val="es-ES_tradnl"/>
        </w:rPr>
        <w:t>215</w:t>
      </w:r>
      <w:r>
        <w:rPr>
          <w:rFonts w:eastAsia="SimSun"/>
          <w:lang w:val="es-ES_tradnl"/>
        </w:rPr>
        <w:t> </w:t>
      </w:r>
      <w:r w:rsidRPr="00297B30">
        <w:rPr>
          <w:rFonts w:eastAsia="SimSun"/>
          <w:lang w:val="es-ES_tradnl"/>
        </w:rPr>
        <w:t>MHz,</w:t>
      </w:r>
      <w:r>
        <w:rPr>
          <w:rFonts w:eastAsia="SimSun"/>
          <w:lang w:val="es-ES_tradnl"/>
        </w:rPr>
        <w:br/>
      </w:r>
      <w:r w:rsidRPr="00297B30">
        <w:rPr>
          <w:rFonts w:eastAsia="SimSun"/>
          <w:lang w:val="es-ES_tradnl"/>
        </w:rPr>
        <w:t>1 215-1 300 MHz y 1 559-1 610 MHz</w:t>
      </w:r>
      <w:r>
        <w:rPr>
          <w:rFonts w:eastAsia="SimSun"/>
          <w:lang w:val="es-ES_tradnl"/>
        </w:rPr>
        <w:t>.</w:t>
      </w:r>
    </w:p>
    <w:p w:rsidR="00543337" w:rsidRPr="00297B30" w:rsidRDefault="00543337" w:rsidP="00543337">
      <w:pPr>
        <w:pStyle w:val="Normalaftertitle"/>
        <w:rPr>
          <w:lang w:val="es-ES_tradnl"/>
        </w:rPr>
      </w:pPr>
      <w:r w:rsidRPr="00297B30">
        <w:rPr>
          <w:lang w:val="es-ES_tradnl"/>
        </w:rPr>
        <w:t>La Asamblea de Radiocomunicaciones de la UIT,</w:t>
      </w:r>
    </w:p>
    <w:p w:rsidR="00543337" w:rsidRPr="00297B30" w:rsidRDefault="00543337" w:rsidP="00543337">
      <w:pPr>
        <w:pStyle w:val="Call"/>
        <w:rPr>
          <w:lang w:val="es-ES_tradnl"/>
        </w:rPr>
      </w:pPr>
      <w:r w:rsidRPr="00297B30">
        <w:rPr>
          <w:lang w:val="es-ES_tradnl"/>
        </w:rPr>
        <w:t>considerando</w:t>
      </w:r>
    </w:p>
    <w:p w:rsidR="00543337" w:rsidRPr="00297B30" w:rsidRDefault="00543337" w:rsidP="00543337">
      <w:pPr>
        <w:rPr>
          <w:rFonts w:eastAsiaTheme="minorEastAsia"/>
          <w:szCs w:val="24"/>
          <w:lang w:val="es-ES_tradnl"/>
        </w:rPr>
      </w:pPr>
      <w:r w:rsidRPr="00E60BAE">
        <w:rPr>
          <w:rFonts w:eastAsiaTheme="minorEastAsia"/>
          <w:i/>
          <w:iCs/>
          <w:szCs w:val="24"/>
          <w:lang w:val="es-ES_tradnl"/>
        </w:rPr>
        <w:t>a)</w:t>
      </w:r>
      <w:r w:rsidRPr="00297B30">
        <w:rPr>
          <w:rFonts w:eastAsiaTheme="minorEastAsia"/>
          <w:szCs w:val="24"/>
          <w:lang w:val="es-ES_tradnl"/>
        </w:rPr>
        <w:tab/>
        <w:t xml:space="preserve">que el sistema mundial de búsqueda y salvamento por satélite </w:t>
      </w:r>
      <w:proofErr w:type="spellStart"/>
      <w:r w:rsidRPr="00297B30">
        <w:rPr>
          <w:rFonts w:eastAsiaTheme="minorEastAsia"/>
          <w:szCs w:val="24"/>
          <w:lang w:val="es-ES_tradnl"/>
        </w:rPr>
        <w:t>Cospas</w:t>
      </w:r>
      <w:r w:rsidRPr="00297B30">
        <w:rPr>
          <w:rFonts w:eastAsiaTheme="minorEastAsia"/>
          <w:szCs w:val="24"/>
          <w:lang w:val="es-ES_tradnl"/>
        </w:rPr>
        <w:noBreakHyphen/>
        <w:t>Sarsat</w:t>
      </w:r>
      <w:proofErr w:type="spellEnd"/>
      <w:r w:rsidRPr="00297B30">
        <w:rPr>
          <w:rFonts w:eastAsiaTheme="minorEastAsia"/>
          <w:szCs w:val="24"/>
          <w:lang w:val="es-ES_tradnl"/>
        </w:rPr>
        <w:t xml:space="preserve"> se explota en base a una atribución exclusiva en la banda 406-406,1 MHz;</w:t>
      </w:r>
    </w:p>
    <w:p w:rsidR="00543337" w:rsidRPr="00297B30" w:rsidRDefault="00543337" w:rsidP="00543337">
      <w:pPr>
        <w:rPr>
          <w:rFonts w:eastAsiaTheme="minorEastAsia"/>
          <w:szCs w:val="24"/>
          <w:lang w:val="es-ES_tradnl"/>
        </w:rPr>
      </w:pPr>
      <w:r w:rsidRPr="00E60BAE">
        <w:rPr>
          <w:rFonts w:eastAsiaTheme="minorEastAsia"/>
          <w:i/>
          <w:iCs/>
          <w:szCs w:val="24"/>
          <w:lang w:val="es-ES_tradnl"/>
        </w:rPr>
        <w:t>b)</w:t>
      </w:r>
      <w:r w:rsidRPr="00297B30">
        <w:rPr>
          <w:rFonts w:eastAsiaTheme="minorEastAsia"/>
          <w:szCs w:val="24"/>
          <w:lang w:val="es-ES_tradnl"/>
        </w:rPr>
        <w:tab/>
        <w:t>que en el Anexo 1 se proporciona un análisis sobre los requisitos relativos a la máxima densidad espectral de flujo de potencia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de los procesadores de búsqueda y salvamento (SARP, </w:t>
      </w:r>
      <w:proofErr w:type="spellStart"/>
      <w:r w:rsidRPr="00297B30">
        <w:rPr>
          <w:rFonts w:eastAsiaTheme="minorEastAsia"/>
          <w:i/>
          <w:iCs/>
          <w:szCs w:val="24"/>
          <w:lang w:val="es-ES_tradnl"/>
        </w:rPr>
        <w:t>search</w:t>
      </w:r>
      <w:proofErr w:type="spellEnd"/>
      <w:r w:rsidRPr="00297B30">
        <w:rPr>
          <w:rFonts w:eastAsiaTheme="minorEastAsia"/>
          <w:i/>
          <w:iCs/>
          <w:szCs w:val="24"/>
          <w:lang w:val="es-ES_tradnl"/>
        </w:rPr>
        <w:t xml:space="preserve"> and </w:t>
      </w:r>
      <w:proofErr w:type="spellStart"/>
      <w:r w:rsidRPr="00297B30">
        <w:rPr>
          <w:rFonts w:eastAsiaTheme="minorEastAsia"/>
          <w:i/>
          <w:iCs/>
          <w:szCs w:val="24"/>
          <w:lang w:val="es-ES_tradnl"/>
        </w:rPr>
        <w:t>rescue</w:t>
      </w:r>
      <w:proofErr w:type="spellEnd"/>
      <w:r w:rsidRPr="00297B30">
        <w:rPr>
          <w:rFonts w:eastAsiaTheme="minorEastAsia"/>
          <w:i/>
          <w:iCs/>
          <w:szCs w:val="24"/>
          <w:lang w:val="es-ES_tradnl"/>
        </w:rPr>
        <w:t xml:space="preserve"> </w:t>
      </w:r>
      <w:proofErr w:type="spellStart"/>
      <w:r w:rsidRPr="00297B30">
        <w:rPr>
          <w:rFonts w:eastAsiaTheme="minorEastAsia"/>
          <w:i/>
          <w:iCs/>
          <w:szCs w:val="24"/>
          <w:lang w:val="es-ES_tradnl"/>
        </w:rPr>
        <w:t>processor</w:t>
      </w:r>
      <w:proofErr w:type="spellEnd"/>
      <w:r w:rsidRPr="00297B30">
        <w:rPr>
          <w:rFonts w:eastAsiaTheme="minorEastAsia"/>
          <w:szCs w:val="24"/>
          <w:lang w:val="es-ES_tradnl"/>
        </w:rPr>
        <w:t xml:space="preserve">)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para proteger a éstos de las emisiones fuera de banda de banda ancha, así como los límites superiores de variación de frecuencia </w:t>
      </w:r>
      <w:proofErr w:type="spellStart"/>
      <w:r w:rsidRPr="00297B30">
        <w:rPr>
          <w:rFonts w:eastAsiaTheme="minorEastAsia"/>
          <w:szCs w:val="24"/>
          <w:lang w:val="es-ES_tradnl"/>
        </w:rPr>
        <w:t>Doppler</w:t>
      </w:r>
      <w:proofErr w:type="spellEnd"/>
      <w:r w:rsidRPr="00297B30">
        <w:rPr>
          <w:rFonts w:eastAsiaTheme="minorEastAsia"/>
          <w:szCs w:val="24"/>
          <w:lang w:val="es-ES_tradnl"/>
        </w:rPr>
        <w:t xml:space="preserve"> asociados a las emisiones del SMS recibidas por el sistema </w:t>
      </w:r>
      <w:proofErr w:type="spellStart"/>
      <w:r w:rsidRPr="00297B30">
        <w:rPr>
          <w:rFonts w:eastAsiaTheme="minorEastAsia"/>
          <w:szCs w:val="24"/>
          <w:lang w:val="es-ES_tradnl"/>
        </w:rPr>
        <w:t>Sarsat</w:t>
      </w:r>
      <w:proofErr w:type="spellEnd"/>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E60BAE">
        <w:rPr>
          <w:rFonts w:eastAsiaTheme="minorEastAsia"/>
          <w:i/>
          <w:iCs/>
          <w:szCs w:val="24"/>
          <w:lang w:val="es-ES_tradnl"/>
        </w:rPr>
        <w:t>c)</w:t>
      </w:r>
      <w:r w:rsidRPr="00297B30">
        <w:rPr>
          <w:rFonts w:eastAsiaTheme="minorEastAsia"/>
          <w:szCs w:val="24"/>
          <w:lang w:val="es-ES_tradnl"/>
        </w:rPr>
        <w:tab/>
        <w:t>que en el Anexo 2 se proporciona un análisis de los requisitos de máxima densidad de flujo de potencia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permitida de los procesadores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w:t>
      </w:r>
      <w:r w:rsidR="004A6864">
        <w:rPr>
          <w:rFonts w:eastAsiaTheme="minorEastAsia"/>
          <w:szCs w:val="24"/>
          <w:lang w:val="es-ES_tradnl"/>
        </w:rPr>
        <w:t>en relación con la emisiones no </w:t>
      </w:r>
      <w:r w:rsidRPr="00297B30">
        <w:rPr>
          <w:rFonts w:eastAsiaTheme="minorEastAsia"/>
          <w:szCs w:val="24"/>
          <w:lang w:val="es-ES_tradnl"/>
        </w:rPr>
        <w:t>esenciales de banda estrecha;</w:t>
      </w:r>
    </w:p>
    <w:p w:rsidR="00543337" w:rsidRPr="00297B30" w:rsidRDefault="00543337" w:rsidP="00543337">
      <w:pPr>
        <w:rPr>
          <w:rFonts w:eastAsiaTheme="minorEastAsia"/>
          <w:szCs w:val="24"/>
          <w:lang w:val="es-ES_tradnl"/>
        </w:rPr>
      </w:pPr>
      <w:r w:rsidRPr="00E60BAE">
        <w:rPr>
          <w:rFonts w:eastAsiaTheme="minorEastAsia"/>
          <w:i/>
          <w:iCs/>
          <w:szCs w:val="24"/>
          <w:lang w:val="es-ES_tradnl"/>
        </w:rPr>
        <w:lastRenderedPageBreak/>
        <w:t>d)</w:t>
      </w:r>
      <w:r w:rsidRPr="00297B30">
        <w:rPr>
          <w:rFonts w:eastAsiaTheme="minorEastAsia"/>
          <w:szCs w:val="24"/>
          <w:lang w:val="es-ES_tradnl"/>
        </w:rPr>
        <w:tab/>
        <w:t xml:space="preserve">que en el Anexo 3 se proporcionan directrices para la utilización de los requisitos de protección en la banda 406-406,1 MHz para los instrumentos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(equipos a bordo de satélites);</w:t>
      </w:r>
    </w:p>
    <w:p w:rsidR="00543337" w:rsidRPr="00297B30" w:rsidRDefault="00543337" w:rsidP="00543337">
      <w:pPr>
        <w:rPr>
          <w:rFonts w:eastAsiaTheme="minorEastAsia"/>
          <w:szCs w:val="24"/>
          <w:lang w:val="es-ES_tradnl"/>
        </w:rPr>
      </w:pPr>
      <w:r w:rsidRPr="00E60BAE">
        <w:rPr>
          <w:rFonts w:eastAsiaTheme="minorEastAsia"/>
          <w:i/>
          <w:iCs/>
          <w:szCs w:val="24"/>
          <w:lang w:val="es-ES_tradnl"/>
        </w:rPr>
        <w:t>e)</w:t>
      </w:r>
      <w:r w:rsidRPr="00297B30">
        <w:rPr>
          <w:rFonts w:eastAsiaTheme="minorEastAsia"/>
          <w:szCs w:val="24"/>
          <w:lang w:val="es-ES_tradnl"/>
        </w:rPr>
        <w:tab/>
        <w:t xml:space="preserve">que en el Anexo 4 se proporciona criterios de protección de los servicios de seguridad que gozan de una atribución primaria en la banda 406-406,1 MHz (sistema </w:t>
      </w:r>
      <w:proofErr w:type="spellStart"/>
      <w:r w:rsidRPr="00297B30">
        <w:rPr>
          <w:rFonts w:eastAsiaTheme="minorEastAsia"/>
          <w:szCs w:val="24"/>
          <w:lang w:val="es-ES_tradnl"/>
        </w:rPr>
        <w:t>Cospas-Sarsat</w:t>
      </w:r>
      <w:proofErr w:type="spellEnd"/>
      <w:r w:rsidRPr="00297B30">
        <w:rPr>
          <w:rFonts w:eastAsiaTheme="minorEastAsia"/>
          <w:szCs w:val="24"/>
          <w:lang w:val="es-ES_tradnl"/>
        </w:rPr>
        <w:t xml:space="preserve"> (C</w:t>
      </w:r>
      <w:r w:rsidRPr="00297B30">
        <w:rPr>
          <w:rFonts w:eastAsiaTheme="minorEastAsia"/>
          <w:szCs w:val="24"/>
          <w:lang w:val="es-ES_tradnl"/>
        </w:rPr>
        <w:noBreakHyphen/>
        <w:t>S)) contra las emisiones procedentes de los enlaces descendentes de los sistemas del servicio móvil por satélite (SMS) no OSG por debajo de 406 MHz;</w:t>
      </w:r>
    </w:p>
    <w:p w:rsidR="00543337" w:rsidRPr="00297B30" w:rsidRDefault="00543337" w:rsidP="00543337">
      <w:pPr>
        <w:rPr>
          <w:rFonts w:eastAsiaTheme="minorEastAsia"/>
          <w:szCs w:val="24"/>
          <w:lang w:val="es-ES_tradnl"/>
        </w:rPr>
      </w:pPr>
      <w:r w:rsidRPr="00E60BAE">
        <w:rPr>
          <w:rFonts w:eastAsiaTheme="minorEastAsia"/>
          <w:i/>
          <w:iCs/>
          <w:szCs w:val="24"/>
          <w:lang w:val="es-ES_tradnl"/>
        </w:rPr>
        <w:t>f)</w:t>
      </w:r>
      <w:r w:rsidRPr="00297B30">
        <w:rPr>
          <w:rFonts w:eastAsiaTheme="minorEastAsia"/>
          <w:szCs w:val="24"/>
          <w:lang w:val="es-ES_tradnl"/>
        </w:rPr>
        <w:tab/>
        <w:t xml:space="preserve">que en los Anexos 5, 6 y 7 se dan orientaciones para la protección de los repetidores de búsqueda y salvamento (SARR, </w:t>
      </w:r>
      <w:proofErr w:type="spellStart"/>
      <w:r w:rsidRPr="00297B30">
        <w:rPr>
          <w:rFonts w:eastAsiaTheme="minorEastAsia"/>
          <w:i/>
          <w:iCs/>
          <w:szCs w:val="24"/>
          <w:lang w:val="es-ES_tradnl"/>
        </w:rPr>
        <w:t>search</w:t>
      </w:r>
      <w:proofErr w:type="spellEnd"/>
      <w:r w:rsidRPr="00297B30">
        <w:rPr>
          <w:rFonts w:eastAsiaTheme="minorEastAsia"/>
          <w:i/>
          <w:iCs/>
          <w:szCs w:val="24"/>
          <w:lang w:val="es-ES_tradnl"/>
        </w:rPr>
        <w:t xml:space="preserve"> and </w:t>
      </w:r>
      <w:proofErr w:type="spellStart"/>
      <w:r w:rsidRPr="00297B30">
        <w:rPr>
          <w:rFonts w:eastAsiaTheme="minorEastAsia"/>
          <w:i/>
          <w:iCs/>
          <w:szCs w:val="24"/>
          <w:lang w:val="es-ES_tradnl"/>
        </w:rPr>
        <w:t>rescue</w:t>
      </w:r>
      <w:proofErr w:type="spellEnd"/>
      <w:r w:rsidRPr="00297B30">
        <w:rPr>
          <w:rFonts w:eastAsiaTheme="minorEastAsia"/>
          <w:i/>
          <w:iCs/>
          <w:szCs w:val="24"/>
          <w:lang w:val="es-ES_tradnl"/>
        </w:rPr>
        <w:t xml:space="preserve"> </w:t>
      </w:r>
      <w:proofErr w:type="spellStart"/>
      <w:r w:rsidRPr="00297B30">
        <w:rPr>
          <w:rFonts w:eastAsiaTheme="minorEastAsia"/>
          <w:i/>
          <w:iCs/>
          <w:szCs w:val="24"/>
          <w:lang w:val="es-ES_tradnl"/>
        </w:rPr>
        <w:t>repeaters</w:t>
      </w:r>
      <w:proofErr w:type="spellEnd"/>
      <w:r w:rsidRPr="00297B30">
        <w:rPr>
          <w:rFonts w:eastAsiaTheme="minorEastAsia"/>
          <w:szCs w:val="24"/>
          <w:lang w:val="es-ES_tradnl"/>
        </w:rPr>
        <w:t xml:space="preserve">) en la banda 406-406,1 MHz en los satélites en órbita terrestre baja (LEO) de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en los satélites geoestacionarios operacionales del medio ambiente (GOES) y en los satélites meteorológicos de la segunda generación (MSG, </w:t>
      </w:r>
      <w:proofErr w:type="spellStart"/>
      <w:r w:rsidRPr="00297B30">
        <w:rPr>
          <w:rFonts w:eastAsiaTheme="minorEastAsia"/>
          <w:i/>
          <w:iCs/>
          <w:szCs w:val="24"/>
          <w:lang w:val="es-ES_tradnl"/>
        </w:rPr>
        <w:t>meteosat</w:t>
      </w:r>
      <w:proofErr w:type="spellEnd"/>
      <w:r w:rsidRPr="00297B30">
        <w:rPr>
          <w:rFonts w:eastAsiaTheme="minorEastAsia"/>
          <w:i/>
          <w:iCs/>
          <w:szCs w:val="24"/>
          <w:lang w:val="es-ES_tradnl"/>
        </w:rPr>
        <w:t xml:space="preserve"> </w:t>
      </w:r>
      <w:proofErr w:type="spellStart"/>
      <w:r w:rsidRPr="00297B30">
        <w:rPr>
          <w:rFonts w:eastAsiaTheme="minorEastAsia"/>
          <w:i/>
          <w:iCs/>
          <w:szCs w:val="24"/>
          <w:lang w:val="es-ES_tradnl"/>
        </w:rPr>
        <w:t>second</w:t>
      </w:r>
      <w:proofErr w:type="spellEnd"/>
      <w:r w:rsidRPr="00297B30">
        <w:rPr>
          <w:rFonts w:eastAsiaTheme="minorEastAsia"/>
          <w:i/>
          <w:iCs/>
          <w:szCs w:val="24"/>
          <w:lang w:val="es-ES_tradnl"/>
        </w:rPr>
        <w:t xml:space="preserve"> </w:t>
      </w:r>
      <w:proofErr w:type="spellStart"/>
      <w:r w:rsidRPr="00297B30">
        <w:rPr>
          <w:rFonts w:eastAsiaTheme="minorEastAsia"/>
          <w:i/>
          <w:iCs/>
          <w:szCs w:val="24"/>
          <w:lang w:val="es-ES_tradnl"/>
        </w:rPr>
        <w:t>generation</w:t>
      </w:r>
      <w:proofErr w:type="spellEnd"/>
      <w:r w:rsidRPr="00297B30">
        <w:rPr>
          <w:rFonts w:eastAsiaTheme="minorEastAsia"/>
          <w:szCs w:val="24"/>
          <w:lang w:val="es-ES_tradnl"/>
        </w:rPr>
        <w:t>), respectivamente;</w:t>
      </w:r>
    </w:p>
    <w:p w:rsidR="00543337" w:rsidRPr="00297B30" w:rsidRDefault="00543337" w:rsidP="00543337">
      <w:pPr>
        <w:rPr>
          <w:rFonts w:eastAsiaTheme="minorEastAsia"/>
          <w:szCs w:val="24"/>
          <w:lang w:val="es-ES_tradnl"/>
        </w:rPr>
      </w:pPr>
      <w:r w:rsidRPr="00E60BAE">
        <w:rPr>
          <w:rFonts w:eastAsiaTheme="minorEastAsia"/>
          <w:i/>
          <w:iCs/>
          <w:szCs w:val="24"/>
          <w:lang w:val="es-ES_tradnl"/>
        </w:rPr>
        <w:t>g)</w:t>
      </w:r>
      <w:r w:rsidRPr="00297B30">
        <w:rPr>
          <w:rFonts w:eastAsiaTheme="minorEastAsia"/>
          <w:szCs w:val="24"/>
          <w:lang w:val="es-ES_tradnl"/>
        </w:rPr>
        <w:tab/>
        <w:t>que en los Anexos 8 y 9 se dan orientaciones para la protección de repetidores de búsqueda y salvamento (SARR) de 406-406,1 MHz en satélites geoestacionarios (Electro) y satélites de navegación (GLONASS) respectivamente;</w:t>
      </w:r>
    </w:p>
    <w:p w:rsidR="00543337" w:rsidRPr="00297B30" w:rsidRDefault="00543337" w:rsidP="00543337">
      <w:pPr>
        <w:rPr>
          <w:lang w:val="es-ES_tradnl"/>
        </w:rPr>
      </w:pPr>
      <w:r w:rsidRPr="00297B30">
        <w:rPr>
          <w:i/>
          <w:iCs/>
          <w:lang w:val="es-ES_tradnl"/>
        </w:rPr>
        <w:t>h)</w:t>
      </w:r>
      <w:r w:rsidRPr="00297B30">
        <w:rPr>
          <w:lang w:val="es-ES_tradnl"/>
        </w:rPr>
        <w:tab/>
        <w:t>que el Anexo 10 proporciona orientación para la protección de los repetidores de búsqueda y salvamente (SARR) en 406-406,1 MHz sobre satélites de navegación (Galileo);</w:t>
      </w:r>
    </w:p>
    <w:p w:rsidR="00543337" w:rsidRPr="00297B30" w:rsidRDefault="00543337" w:rsidP="00543337">
      <w:pPr>
        <w:rPr>
          <w:lang w:val="es-ES_tradnl"/>
        </w:rPr>
      </w:pPr>
      <w:r w:rsidRPr="00297B30">
        <w:rPr>
          <w:i/>
          <w:iCs/>
          <w:lang w:val="es-ES_tradnl"/>
        </w:rPr>
        <w:t>i)</w:t>
      </w:r>
      <w:r w:rsidRPr="00297B30">
        <w:rPr>
          <w:lang w:val="es-ES_tradnl"/>
        </w:rPr>
        <w:tab/>
        <w:t xml:space="preserve">que en el Anexo 11 se resumen las características de funcionamiento presentes y futuras de todos los instrumentos de abordo de los diversos tipos de satélites en órbitas LEO, MEO u </w:t>
      </w:r>
      <w:r>
        <w:rPr>
          <w:lang w:val="es-ES_tradnl"/>
        </w:rPr>
        <w:t xml:space="preserve">órbitas </w:t>
      </w:r>
      <w:r w:rsidRPr="00297B30">
        <w:rPr>
          <w:lang w:val="es-ES_tradnl"/>
        </w:rPr>
        <w:t>OSG,</w:t>
      </w:r>
    </w:p>
    <w:p w:rsidR="00543337" w:rsidRPr="00297B30" w:rsidRDefault="00543337" w:rsidP="00543337">
      <w:pPr>
        <w:pStyle w:val="Call"/>
        <w:rPr>
          <w:lang w:val="es-ES_tradnl"/>
        </w:rPr>
      </w:pPr>
      <w:r w:rsidRPr="00297B30">
        <w:rPr>
          <w:lang w:val="es-ES_tradnl"/>
        </w:rPr>
        <w:t>recomienda</w:t>
      </w:r>
    </w:p>
    <w:p w:rsidR="00543337" w:rsidRPr="00297B30" w:rsidRDefault="00543337" w:rsidP="00543337">
      <w:pPr>
        <w:rPr>
          <w:rFonts w:eastAsiaTheme="minorEastAsia"/>
          <w:szCs w:val="24"/>
          <w:lang w:val="es-ES_tradnl"/>
        </w:rPr>
      </w:pPr>
      <w:r w:rsidRPr="00297B30">
        <w:rPr>
          <w:rFonts w:eastAsiaTheme="minorEastAsia"/>
          <w:b/>
          <w:bCs/>
          <w:szCs w:val="24"/>
          <w:lang w:val="es-ES_tradnl"/>
        </w:rPr>
        <w:t>1</w:t>
      </w:r>
      <w:r w:rsidRPr="00297B30">
        <w:rPr>
          <w:rFonts w:eastAsiaTheme="minorEastAsia"/>
          <w:szCs w:val="24"/>
          <w:lang w:val="es-ES_tradnl"/>
        </w:rPr>
        <w:tab/>
        <w:t xml:space="preserve">que el análisis para determinar el efecto que tienen sobre los instrumentos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los sistemas que utilizan las bandas de frecuencia adyacentes se base en una máxima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aceptable de </w:t>
      </w:r>
      <w:r w:rsidRPr="00297B30">
        <w:rPr>
          <w:rFonts w:eastAsiaTheme="minorEastAsia"/>
          <w:lang w:val="es-ES_tradnl"/>
        </w:rPr>
        <w:t>–</w:t>
      </w:r>
      <w:r w:rsidRPr="00297B30">
        <w:rPr>
          <w:rFonts w:eastAsiaTheme="minorEastAsia"/>
          <w:szCs w:val="24"/>
          <w:lang w:val="es-ES_tradnl"/>
        </w:rPr>
        <w:t>198,6 dB(W/(m</w:t>
      </w:r>
      <w:r w:rsidRPr="00297B30">
        <w:rPr>
          <w:rFonts w:eastAsiaTheme="minorEastAsia"/>
          <w:szCs w:val="24"/>
          <w:vertAlign w:val="superscript"/>
          <w:lang w:val="es-ES_tradnl"/>
        </w:rPr>
        <w:t>2</w:t>
      </w:r>
      <w:r w:rsidRPr="00297B30">
        <w:rPr>
          <w:rFonts w:eastAsiaTheme="minorEastAsia"/>
          <w:szCs w:val="24"/>
          <w:lang w:val="es-ES_tradnl"/>
        </w:rPr>
        <w:t xml:space="preserve"> · Hz)) en la antena </w:t>
      </w:r>
      <w:proofErr w:type="spellStart"/>
      <w:r w:rsidRPr="00297B30">
        <w:rPr>
          <w:rFonts w:eastAsiaTheme="minorEastAsia"/>
          <w:szCs w:val="24"/>
          <w:lang w:val="es-ES_tradnl"/>
        </w:rPr>
        <w:t>Sarsat</w:t>
      </w:r>
      <w:proofErr w:type="spellEnd"/>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b/>
          <w:bCs/>
          <w:szCs w:val="24"/>
          <w:lang w:val="es-ES_tradnl"/>
        </w:rPr>
        <w:t>2</w:t>
      </w:r>
      <w:r w:rsidRPr="00297B30">
        <w:rPr>
          <w:rFonts w:eastAsiaTheme="minorEastAsia"/>
          <w:szCs w:val="24"/>
          <w:lang w:val="es-ES_tradnl"/>
        </w:rPr>
        <w:tab/>
        <w:t xml:space="preserve">que el análisis para determinar el efecto sobre los instrumentos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de las emisiones no esenciales de banda estrecha (por ejemplo, emisiones armónicas, emisiones parásitas, productos de intermodulación y productos debidos a la conversión de frecuencias) se base en una máxima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de </w:t>
      </w:r>
      <w:r w:rsidRPr="00297B30">
        <w:rPr>
          <w:rFonts w:eastAsiaTheme="minorEastAsia"/>
          <w:lang w:val="es-ES_tradnl"/>
        </w:rPr>
        <w:t>–</w:t>
      </w:r>
      <w:r w:rsidRPr="00297B30">
        <w:rPr>
          <w:rFonts w:eastAsiaTheme="minorEastAsia"/>
          <w:szCs w:val="24"/>
          <w:lang w:val="es-ES_tradnl"/>
        </w:rPr>
        <w:t>166,2 dB(W/m</w:t>
      </w:r>
      <w:r w:rsidRPr="00297B30">
        <w:rPr>
          <w:rFonts w:eastAsiaTheme="minorEastAsia"/>
          <w:szCs w:val="24"/>
          <w:vertAlign w:val="superscript"/>
          <w:lang w:val="es-ES_tradnl"/>
        </w:rPr>
        <w:t>2</w:t>
      </w:r>
      <w:r w:rsidRPr="00297B30">
        <w:rPr>
          <w:rFonts w:eastAsiaTheme="minorEastAsia"/>
          <w:szCs w:val="24"/>
          <w:lang w:val="es-ES_tradnl"/>
        </w:rPr>
        <w:t xml:space="preserve">) en una antena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dentro de una anchura de banda con una resolución de</w:t>
      </w:r>
      <w:r>
        <w:rPr>
          <w:rFonts w:eastAsiaTheme="minorEastAsia"/>
          <w:szCs w:val="24"/>
          <w:lang w:val="es-ES_tradnl"/>
        </w:rPr>
        <w:t> </w:t>
      </w:r>
      <w:r w:rsidRPr="00297B30">
        <w:rPr>
          <w:rFonts w:eastAsiaTheme="minorEastAsia"/>
          <w:szCs w:val="24"/>
          <w:lang w:val="es-ES_tradnl"/>
        </w:rPr>
        <w:t>19 Hz;</w:t>
      </w:r>
    </w:p>
    <w:p w:rsidR="00543337" w:rsidRPr="00297B30" w:rsidRDefault="00543337" w:rsidP="00543337">
      <w:pPr>
        <w:rPr>
          <w:rFonts w:eastAsiaTheme="minorEastAsia"/>
          <w:szCs w:val="24"/>
          <w:lang w:val="es-ES_tradnl"/>
        </w:rPr>
      </w:pPr>
      <w:r w:rsidRPr="00297B30">
        <w:rPr>
          <w:rFonts w:eastAsiaTheme="minorEastAsia"/>
          <w:b/>
          <w:bCs/>
          <w:szCs w:val="24"/>
          <w:lang w:val="es-ES_tradnl"/>
        </w:rPr>
        <w:t>3</w:t>
      </w:r>
      <w:r w:rsidRPr="00297B30">
        <w:rPr>
          <w:rFonts w:eastAsiaTheme="minorEastAsia"/>
          <w:szCs w:val="24"/>
          <w:lang w:val="es-ES_tradnl"/>
        </w:rPr>
        <w:tab/>
        <w:t xml:space="preserve">que el análisis para determinar el efecto sobre los instrumentos SARP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de sistemas que utilizan bandas de frecuencia adyacentes se base en una máxima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aceptable de </w:t>
      </w:r>
      <w:r w:rsidRPr="00297B30">
        <w:rPr>
          <w:rFonts w:eastAsiaTheme="minorEastAsia"/>
          <w:szCs w:val="24"/>
          <w:lang w:val="es-ES_tradnl"/>
        </w:rPr>
        <w:fldChar w:fldCharType="begin"/>
      </w:r>
      <w:r w:rsidRPr="00297B30">
        <w:rPr>
          <w:rFonts w:eastAsiaTheme="minorEastAsia"/>
          <w:szCs w:val="24"/>
          <w:lang w:val="es-ES_tradnl"/>
        </w:rPr>
        <w:instrText xml:space="preserve"> EQ  </w:instrText>
      </w:r>
      <w:r w:rsidRPr="00297B30">
        <w:rPr>
          <w:rFonts w:eastAsiaTheme="minorEastAsia"/>
          <w:lang w:val="es-ES_tradnl"/>
        </w:rPr>
        <w:instrText>–</w:instrText>
      </w:r>
      <w:r w:rsidRPr="00297B30">
        <w:rPr>
          <w:rFonts w:eastAsiaTheme="minorEastAsia"/>
          <w:szCs w:val="24"/>
          <w:lang w:val="es-ES_tradnl"/>
        </w:rPr>
        <w:instrText>198,6 dB(W/(m</w:instrText>
      </w:r>
      <w:r w:rsidRPr="00297B30">
        <w:rPr>
          <w:rFonts w:eastAsiaTheme="minorEastAsia"/>
          <w:szCs w:val="24"/>
          <w:vertAlign w:val="superscript"/>
          <w:lang w:val="es-ES_tradnl"/>
        </w:rPr>
        <w:instrText>2</w:instrText>
      </w:r>
      <w:r w:rsidRPr="00297B30">
        <w:rPr>
          <w:rFonts w:eastAsiaTheme="minorEastAsia"/>
          <w:szCs w:val="24"/>
          <w:lang w:val="es-ES_tradnl"/>
        </w:rPr>
        <w:instrText> · Hz))</w:instrText>
      </w:r>
      <w:r w:rsidRPr="00297B30">
        <w:rPr>
          <w:rFonts w:eastAsiaTheme="minorEastAsia"/>
          <w:szCs w:val="24"/>
          <w:lang w:val="es-ES_tradnl"/>
        </w:rPr>
        <w:fldChar w:fldCharType="end"/>
      </w:r>
      <w:r w:rsidRPr="00297B30">
        <w:rPr>
          <w:rFonts w:eastAsiaTheme="minorEastAsia"/>
          <w:szCs w:val="24"/>
          <w:lang w:val="es-ES_tradnl"/>
        </w:rPr>
        <w:t xml:space="preserve"> en la antena </w:t>
      </w:r>
      <w:proofErr w:type="spellStart"/>
      <w:r w:rsidRPr="00297B30">
        <w:rPr>
          <w:rFonts w:eastAsiaTheme="minorEastAsia"/>
          <w:szCs w:val="24"/>
          <w:lang w:val="es-ES_tradnl"/>
        </w:rPr>
        <w:t>Cospas</w:t>
      </w:r>
      <w:proofErr w:type="spellEnd"/>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b/>
          <w:bCs/>
          <w:szCs w:val="24"/>
          <w:lang w:val="es-ES_tradnl"/>
        </w:rPr>
        <w:t>4</w:t>
      </w:r>
      <w:r w:rsidRPr="00297B30">
        <w:rPr>
          <w:rFonts w:eastAsiaTheme="minorEastAsia"/>
          <w:szCs w:val="24"/>
          <w:lang w:val="es-ES_tradnl"/>
        </w:rPr>
        <w:tab/>
        <w:t xml:space="preserve">que el análisis para determinar el efecto sobre los instrumentos SARP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de las emisiones no esenciales de banda estrecha (por ejemplo, emisiones armónicas, emisiones parásitas, productos de intermodulación y productos debidos a la conversión de frecuencias) se base en una máxima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de –170,6 dB(W/m</w:t>
      </w:r>
      <w:r w:rsidRPr="00297B30">
        <w:rPr>
          <w:rFonts w:eastAsiaTheme="minorEastAsia"/>
          <w:szCs w:val="24"/>
          <w:vertAlign w:val="superscript"/>
          <w:lang w:val="es-ES_tradnl"/>
        </w:rPr>
        <w:t>2</w:t>
      </w:r>
      <w:r w:rsidRPr="00297B30">
        <w:rPr>
          <w:rFonts w:eastAsiaTheme="minorEastAsia"/>
          <w:szCs w:val="24"/>
          <w:lang w:val="es-ES_tradnl"/>
        </w:rPr>
        <w:t xml:space="preserve">) en la antena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dentro de una anchura de banda con una resolución de 40 Hz;</w:t>
      </w:r>
    </w:p>
    <w:p w:rsidR="00543337" w:rsidRPr="00297B30" w:rsidRDefault="00543337" w:rsidP="00543337">
      <w:pPr>
        <w:rPr>
          <w:rFonts w:eastAsiaTheme="minorEastAsia"/>
          <w:szCs w:val="24"/>
          <w:lang w:val="es-ES_tradnl"/>
        </w:rPr>
      </w:pPr>
      <w:r w:rsidRPr="00297B30">
        <w:rPr>
          <w:rFonts w:eastAsiaTheme="minorEastAsia"/>
          <w:b/>
          <w:bCs/>
          <w:szCs w:val="24"/>
          <w:lang w:val="es-ES_tradnl"/>
        </w:rPr>
        <w:t>5</w:t>
      </w:r>
      <w:r w:rsidRPr="00297B30">
        <w:rPr>
          <w:rFonts w:eastAsiaTheme="minorEastAsia"/>
          <w:szCs w:val="24"/>
          <w:lang w:val="es-ES_tradnl"/>
        </w:rPr>
        <w:tab/>
        <w:t xml:space="preserve">que el análisis para determinar el efecto sobre los instrumentos </w:t>
      </w:r>
      <w:proofErr w:type="spellStart"/>
      <w:r w:rsidRPr="00297B30">
        <w:rPr>
          <w:rFonts w:eastAsiaTheme="minorEastAsia"/>
          <w:szCs w:val="24"/>
          <w:lang w:val="es-ES_tradnl"/>
        </w:rPr>
        <w:t>Cospas</w:t>
      </w:r>
      <w:r w:rsidRPr="00297B30">
        <w:rPr>
          <w:rFonts w:eastAsiaTheme="minorEastAsia"/>
          <w:szCs w:val="24"/>
          <w:lang w:val="es-ES_tradnl"/>
        </w:rPr>
        <w:noBreakHyphen/>
        <w:t>Sarsat</w:t>
      </w:r>
      <w:proofErr w:type="spellEnd"/>
      <w:r w:rsidRPr="00297B30">
        <w:rPr>
          <w:rFonts w:eastAsiaTheme="minorEastAsia"/>
          <w:szCs w:val="24"/>
          <w:lang w:val="es-ES_tradnl"/>
        </w:rPr>
        <w:t xml:space="preserve"> de los sistemas del SMS no OSG propuestos que emplean la banda de frecuencias 405-406 MHz utilice un límite superior del desplazamiento </w:t>
      </w:r>
      <w:proofErr w:type="spellStart"/>
      <w:r w:rsidRPr="00297B30">
        <w:rPr>
          <w:rFonts w:eastAsiaTheme="minorEastAsia"/>
          <w:szCs w:val="24"/>
          <w:lang w:val="es-ES_tradnl"/>
        </w:rPr>
        <w:t>Doppler</w:t>
      </w:r>
      <w:proofErr w:type="spellEnd"/>
      <w:r w:rsidRPr="00297B30">
        <w:rPr>
          <w:rFonts w:eastAsiaTheme="minorEastAsia"/>
          <w:szCs w:val="24"/>
          <w:lang w:val="es-ES_tradnl"/>
        </w:rPr>
        <w:t xml:space="preserve"> de 20 kHz;</w:t>
      </w:r>
    </w:p>
    <w:p w:rsidR="00543337" w:rsidRPr="00297B30" w:rsidRDefault="00543337" w:rsidP="00543337">
      <w:pPr>
        <w:rPr>
          <w:rFonts w:eastAsiaTheme="minorEastAsia"/>
          <w:szCs w:val="24"/>
          <w:lang w:val="es-ES_tradnl"/>
        </w:rPr>
      </w:pPr>
      <w:r w:rsidRPr="00297B30">
        <w:rPr>
          <w:rFonts w:eastAsiaTheme="minorEastAsia"/>
          <w:b/>
          <w:bCs/>
          <w:szCs w:val="24"/>
          <w:lang w:val="es-ES_tradnl"/>
        </w:rPr>
        <w:t>6</w:t>
      </w:r>
      <w:r w:rsidRPr="00297B30">
        <w:rPr>
          <w:rFonts w:eastAsiaTheme="minorEastAsia"/>
          <w:szCs w:val="24"/>
          <w:lang w:val="es-ES_tradnl"/>
        </w:rPr>
        <w:tab/>
        <w:t xml:space="preserve">que los análisis para determinar el efecto sobre los repetidores LEO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de sistemas que utilizan bandas de frecuencias adyacentes se base en una máxima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de </w:t>
      </w:r>
      <w:r w:rsidRPr="00297B30">
        <w:rPr>
          <w:rFonts w:eastAsiaTheme="minorEastAsia"/>
          <w:szCs w:val="24"/>
          <w:lang w:val="es-ES_tradnl"/>
        </w:rPr>
        <w:fldChar w:fldCharType="begin"/>
      </w:r>
      <w:r w:rsidRPr="00297B30">
        <w:rPr>
          <w:rFonts w:eastAsiaTheme="minorEastAsia"/>
          <w:szCs w:val="24"/>
          <w:lang w:val="es-ES_tradnl"/>
        </w:rPr>
        <w:instrText xml:space="preserve"> EQ  –181,3 dB(W/(m</w:instrText>
      </w:r>
      <w:r w:rsidRPr="00297B30">
        <w:rPr>
          <w:rFonts w:eastAsiaTheme="minorEastAsia"/>
          <w:szCs w:val="24"/>
          <w:vertAlign w:val="superscript"/>
          <w:lang w:val="es-ES_tradnl"/>
        </w:rPr>
        <w:instrText>2</w:instrText>
      </w:r>
      <w:r w:rsidRPr="00297B30">
        <w:rPr>
          <w:rFonts w:eastAsiaTheme="minorEastAsia"/>
          <w:szCs w:val="24"/>
          <w:lang w:val="es-ES_tradnl"/>
        </w:rPr>
        <w:instrText> · Hz))</w:instrText>
      </w:r>
      <w:r w:rsidRPr="00297B30">
        <w:rPr>
          <w:rFonts w:eastAsiaTheme="minorEastAsia"/>
          <w:szCs w:val="24"/>
          <w:lang w:val="es-ES_tradnl"/>
        </w:rPr>
        <w:fldChar w:fldCharType="end"/>
      </w:r>
      <w:r w:rsidRPr="00297B30">
        <w:rPr>
          <w:rFonts w:eastAsiaTheme="minorEastAsia"/>
          <w:szCs w:val="24"/>
          <w:lang w:val="es-ES_tradnl"/>
        </w:rPr>
        <w:t xml:space="preserve"> en la antena </w:t>
      </w:r>
      <w:proofErr w:type="spellStart"/>
      <w:r w:rsidRPr="00297B30">
        <w:rPr>
          <w:rFonts w:eastAsiaTheme="minorEastAsia"/>
          <w:szCs w:val="24"/>
          <w:lang w:val="es-ES_tradnl"/>
        </w:rPr>
        <w:t>Sarsat</w:t>
      </w:r>
      <w:proofErr w:type="spellEnd"/>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b/>
          <w:bCs/>
          <w:szCs w:val="24"/>
          <w:lang w:val="es-ES_tradnl"/>
        </w:rPr>
        <w:lastRenderedPageBreak/>
        <w:t>7</w:t>
      </w:r>
      <w:r w:rsidRPr="00297B30">
        <w:rPr>
          <w:rFonts w:eastAsiaTheme="minorEastAsia"/>
          <w:szCs w:val="24"/>
          <w:lang w:val="es-ES_tradnl"/>
        </w:rPr>
        <w:tab/>
        <w:t xml:space="preserve">que el análisis para determinar el efecto sobre los repetidores geoestacionarios GOES de sistemas que utilizan bandas de frecuencias adyacentes se base en una máxima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de </w:t>
      </w:r>
      <w:r w:rsidRPr="00297B30">
        <w:rPr>
          <w:rFonts w:eastAsiaTheme="minorEastAsia"/>
          <w:szCs w:val="24"/>
          <w:lang w:val="es-ES_tradnl"/>
        </w:rPr>
        <w:fldChar w:fldCharType="begin"/>
      </w:r>
      <w:r w:rsidRPr="00297B30">
        <w:rPr>
          <w:rFonts w:eastAsiaTheme="minorEastAsia"/>
          <w:szCs w:val="24"/>
          <w:lang w:val="es-ES_tradnl"/>
        </w:rPr>
        <w:instrText xml:space="preserve"> EQ  –201,1 dB(W/(m</w:instrText>
      </w:r>
      <w:r w:rsidRPr="00297B30">
        <w:rPr>
          <w:rFonts w:eastAsiaTheme="minorEastAsia"/>
          <w:szCs w:val="24"/>
          <w:vertAlign w:val="superscript"/>
          <w:lang w:val="es-ES_tradnl"/>
        </w:rPr>
        <w:instrText>2</w:instrText>
      </w:r>
      <w:r w:rsidRPr="00297B30">
        <w:rPr>
          <w:rFonts w:eastAsiaTheme="minorEastAsia"/>
          <w:szCs w:val="24"/>
          <w:lang w:val="es-ES_tradnl"/>
        </w:rPr>
        <w:instrText> · Hz))</w:instrText>
      </w:r>
      <w:r w:rsidRPr="00297B30">
        <w:rPr>
          <w:rFonts w:eastAsiaTheme="minorEastAsia"/>
          <w:szCs w:val="24"/>
          <w:lang w:val="es-ES_tradnl"/>
        </w:rPr>
        <w:fldChar w:fldCharType="end"/>
      </w:r>
      <w:r w:rsidRPr="00297B30">
        <w:rPr>
          <w:rFonts w:eastAsiaTheme="minorEastAsia"/>
          <w:szCs w:val="24"/>
          <w:lang w:val="es-ES_tradnl"/>
        </w:rPr>
        <w:t xml:space="preserve"> en la antena </w:t>
      </w:r>
      <w:proofErr w:type="spellStart"/>
      <w:r w:rsidRPr="00297B30">
        <w:rPr>
          <w:rFonts w:eastAsiaTheme="minorEastAsia"/>
          <w:szCs w:val="24"/>
          <w:lang w:val="es-ES_tradnl"/>
        </w:rPr>
        <w:t>Sarsat</w:t>
      </w:r>
      <w:proofErr w:type="spellEnd"/>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b/>
          <w:bCs/>
          <w:szCs w:val="24"/>
          <w:lang w:val="es-ES_tradnl"/>
        </w:rPr>
        <w:t>8</w:t>
      </w:r>
      <w:r w:rsidRPr="00297B30">
        <w:rPr>
          <w:rFonts w:eastAsiaTheme="minorEastAsia"/>
          <w:szCs w:val="24"/>
          <w:lang w:val="es-ES_tradnl"/>
        </w:rPr>
        <w:tab/>
        <w:t xml:space="preserve">que los análisis para determinar el efecto sobre los repetidores geoestacionarios MSG de sistemas que utilizan bandas de frecuencias adyacentes se base en una máxima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de </w:t>
      </w:r>
      <w:r w:rsidRPr="00297B30">
        <w:rPr>
          <w:rFonts w:eastAsiaTheme="minorEastAsia"/>
          <w:szCs w:val="24"/>
          <w:lang w:val="es-ES_tradnl"/>
        </w:rPr>
        <w:fldChar w:fldCharType="begin"/>
      </w:r>
      <w:r w:rsidRPr="00297B30">
        <w:rPr>
          <w:rFonts w:eastAsiaTheme="minorEastAsia"/>
          <w:szCs w:val="24"/>
          <w:lang w:val="es-ES_tradnl"/>
        </w:rPr>
        <w:instrText xml:space="preserve"> EQ  –206,4 dB(W/(m</w:instrText>
      </w:r>
      <w:r w:rsidRPr="00297B30">
        <w:rPr>
          <w:rFonts w:eastAsiaTheme="minorEastAsia"/>
          <w:szCs w:val="24"/>
          <w:vertAlign w:val="superscript"/>
          <w:lang w:val="es-ES_tradnl"/>
        </w:rPr>
        <w:instrText>2</w:instrText>
      </w:r>
      <w:r w:rsidRPr="00297B30">
        <w:rPr>
          <w:rFonts w:eastAsiaTheme="minorEastAsia"/>
          <w:szCs w:val="24"/>
          <w:lang w:val="es-ES_tradnl"/>
        </w:rPr>
        <w:instrText> · Hz))</w:instrText>
      </w:r>
      <w:r w:rsidRPr="00297B30">
        <w:rPr>
          <w:rFonts w:eastAsiaTheme="minorEastAsia"/>
          <w:szCs w:val="24"/>
          <w:lang w:val="es-ES_tradnl"/>
        </w:rPr>
        <w:fldChar w:fldCharType="end"/>
      </w:r>
      <w:r w:rsidRPr="00297B30">
        <w:rPr>
          <w:rFonts w:eastAsiaTheme="minorEastAsia"/>
          <w:szCs w:val="24"/>
          <w:lang w:val="es-ES_tradnl"/>
        </w:rPr>
        <w:t xml:space="preserve"> en la antena </w:t>
      </w:r>
      <w:proofErr w:type="spellStart"/>
      <w:r w:rsidRPr="00297B30">
        <w:rPr>
          <w:rFonts w:eastAsiaTheme="minorEastAsia"/>
          <w:szCs w:val="24"/>
          <w:lang w:val="es-ES_tradnl"/>
        </w:rPr>
        <w:t>Sarsat</w:t>
      </w:r>
      <w:proofErr w:type="spellEnd"/>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b/>
          <w:bCs/>
          <w:szCs w:val="24"/>
          <w:lang w:val="es-ES_tradnl"/>
        </w:rPr>
        <w:t>9</w:t>
      </w:r>
      <w:r w:rsidRPr="00297B30">
        <w:rPr>
          <w:rFonts w:eastAsiaTheme="minorEastAsia"/>
          <w:szCs w:val="24"/>
          <w:lang w:val="es-ES_tradnl"/>
        </w:rPr>
        <w:tab/>
        <w:t xml:space="preserve">que el análisis para determinar el efecto sobre los repetidores Electro GEO de sistemas que utilizan bandas de frecuencias adyacentes se base en una máxima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de −198,7 dB(W/(m</w:t>
      </w:r>
      <w:r w:rsidRPr="00297B30">
        <w:rPr>
          <w:rFonts w:eastAsiaTheme="minorEastAsia"/>
          <w:szCs w:val="24"/>
          <w:vertAlign w:val="superscript"/>
          <w:lang w:val="es-ES_tradnl"/>
        </w:rPr>
        <w:t>2</w:t>
      </w:r>
      <w:r w:rsidRPr="00297B30">
        <w:rPr>
          <w:rFonts w:eastAsiaTheme="minorEastAsia"/>
          <w:szCs w:val="24"/>
          <w:lang w:val="es-ES_tradnl"/>
        </w:rPr>
        <w:t xml:space="preserve"> · Hz)) en la antena </w:t>
      </w:r>
      <w:proofErr w:type="spellStart"/>
      <w:r w:rsidRPr="00297B30">
        <w:rPr>
          <w:rFonts w:eastAsiaTheme="minorEastAsia"/>
          <w:szCs w:val="24"/>
          <w:lang w:val="es-ES_tradnl"/>
        </w:rPr>
        <w:t>Cospas</w:t>
      </w:r>
      <w:proofErr w:type="spellEnd"/>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b/>
          <w:bCs/>
          <w:szCs w:val="24"/>
          <w:lang w:val="es-ES_tradnl"/>
        </w:rPr>
        <w:t>10</w:t>
      </w:r>
      <w:r w:rsidRPr="00297B30">
        <w:rPr>
          <w:rFonts w:eastAsiaTheme="minorEastAsia"/>
          <w:szCs w:val="24"/>
          <w:lang w:val="es-ES_tradnl"/>
        </w:rPr>
        <w:tab/>
        <w:t xml:space="preserve">que el análisis para determinar el efecto sobre los repetidores GLONASS MEO de sistemas que utilizan bandas de frecuencias adyacentes se base en una máxima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w:t>
      </w:r>
      <w:r>
        <w:rPr>
          <w:rFonts w:eastAsiaTheme="minorEastAsia"/>
          <w:szCs w:val="24"/>
          <w:lang w:val="es-ES_tradnl"/>
        </w:rPr>
        <w:t>de −205,2 dB</w:t>
      </w:r>
      <w:r w:rsidRPr="00297B30">
        <w:rPr>
          <w:rFonts w:eastAsiaTheme="minorEastAsia"/>
          <w:szCs w:val="24"/>
          <w:lang w:val="es-ES_tradnl"/>
        </w:rPr>
        <w:t>(W/(m</w:t>
      </w:r>
      <w:r w:rsidRPr="00297B30">
        <w:rPr>
          <w:rFonts w:eastAsiaTheme="minorEastAsia"/>
          <w:szCs w:val="24"/>
          <w:vertAlign w:val="superscript"/>
          <w:lang w:val="es-ES_tradnl"/>
        </w:rPr>
        <w:t>2</w:t>
      </w:r>
      <w:r w:rsidRPr="00297B30">
        <w:rPr>
          <w:rFonts w:eastAsiaTheme="minorEastAsia"/>
          <w:szCs w:val="24"/>
          <w:lang w:val="es-ES_tradnl"/>
        </w:rPr>
        <w:t xml:space="preserve"> · Hz)) en la antena </w:t>
      </w:r>
      <w:proofErr w:type="spellStart"/>
      <w:r w:rsidRPr="00297B30">
        <w:rPr>
          <w:rFonts w:eastAsiaTheme="minorEastAsia"/>
          <w:szCs w:val="24"/>
          <w:lang w:val="es-ES_tradnl"/>
        </w:rPr>
        <w:t>Cospas</w:t>
      </w:r>
      <w:proofErr w:type="spellEnd"/>
      <w:r w:rsidRPr="00297B30">
        <w:rPr>
          <w:rFonts w:eastAsiaTheme="minorEastAsia"/>
          <w:szCs w:val="24"/>
          <w:lang w:val="es-ES_tradnl"/>
        </w:rPr>
        <w:t>.</w:t>
      </w:r>
      <w:bookmarkEnd w:id="3"/>
      <w:bookmarkEnd w:id="4"/>
    </w:p>
    <w:p w:rsidR="00543337" w:rsidRPr="00297B30" w:rsidRDefault="00543337" w:rsidP="00543337">
      <w:pPr>
        <w:rPr>
          <w:lang w:val="es-ES_tradnl"/>
        </w:rPr>
      </w:pPr>
      <w:r w:rsidRPr="00297B30">
        <w:rPr>
          <w:b/>
          <w:lang w:val="es-ES_tradnl"/>
        </w:rPr>
        <w:t>11</w:t>
      </w:r>
      <w:r w:rsidRPr="00297B30">
        <w:rPr>
          <w:lang w:val="es-ES_tradnl"/>
        </w:rPr>
        <w:tab/>
      </w:r>
      <w:r w:rsidRPr="00297B30">
        <w:rPr>
          <w:color w:val="000000"/>
          <w:lang w:val="es-ES_tradnl"/>
        </w:rPr>
        <w:t xml:space="preserve">que el análisis para determinar el efecto sobre los repetidores Galileo MEO de sistemas que utilizan bandas de frecuencias adyacentes se base en una máxima </w:t>
      </w:r>
      <w:proofErr w:type="spellStart"/>
      <w:r w:rsidRPr="00297B30">
        <w:rPr>
          <w:color w:val="000000"/>
          <w:lang w:val="es-ES_tradnl"/>
        </w:rPr>
        <w:t>dfp</w:t>
      </w:r>
      <w:proofErr w:type="spellEnd"/>
      <w:r w:rsidRPr="00297B30">
        <w:rPr>
          <w:color w:val="000000"/>
          <w:lang w:val="es-ES_tradnl"/>
        </w:rPr>
        <w:t xml:space="preserve"> espectral en la antena de </w:t>
      </w:r>
      <w:r>
        <w:rPr>
          <w:lang w:val="es-ES_tradnl"/>
        </w:rPr>
        <w:sym w:font="Symbol" w:char="F02D"/>
      </w:r>
      <w:r>
        <w:rPr>
          <w:lang w:val="es-ES_tradnl"/>
        </w:rPr>
        <w:t>206,1 dB</w:t>
      </w:r>
      <w:r w:rsidRPr="00297B30">
        <w:rPr>
          <w:lang w:val="es-ES_tradnl"/>
        </w:rPr>
        <w:t>(W/(m</w:t>
      </w:r>
      <w:r w:rsidRPr="00297B30">
        <w:rPr>
          <w:vertAlign w:val="superscript"/>
          <w:lang w:val="es-ES_tradnl"/>
        </w:rPr>
        <w:t>2</w:t>
      </w:r>
      <w:r w:rsidRPr="00297B30">
        <w:rPr>
          <w:lang w:val="es-ES_tradnl"/>
        </w:rPr>
        <w:t> · Hz))</w:t>
      </w:r>
      <w:r w:rsidRPr="00297B30">
        <w:rPr>
          <w:color w:val="000000"/>
          <w:lang w:val="es-ES_tradnl"/>
        </w:rPr>
        <w:t>;</w:t>
      </w:r>
    </w:p>
    <w:p w:rsidR="00543337" w:rsidRPr="00297B30" w:rsidRDefault="00543337" w:rsidP="00543337">
      <w:pPr>
        <w:rPr>
          <w:color w:val="000000"/>
          <w:lang w:val="es-ES_tradnl"/>
        </w:rPr>
      </w:pPr>
      <w:r w:rsidRPr="00297B30">
        <w:rPr>
          <w:b/>
          <w:bCs/>
          <w:lang w:val="es-ES_tradnl"/>
        </w:rPr>
        <w:t>12</w:t>
      </w:r>
      <w:r w:rsidRPr="00297B30">
        <w:rPr>
          <w:lang w:val="es-ES_tradnl"/>
        </w:rPr>
        <w:tab/>
      </w:r>
      <w:r w:rsidRPr="00297B30">
        <w:rPr>
          <w:color w:val="000000"/>
          <w:lang w:val="es-ES_tradnl"/>
        </w:rPr>
        <w:t xml:space="preserve">que el análisis para determinar el efecto sobre los repetidores Galileo MEO de las emisiones no esenciales de banda estrecha se base en una máxima </w:t>
      </w:r>
      <w:proofErr w:type="spellStart"/>
      <w:r w:rsidRPr="00297B30">
        <w:rPr>
          <w:color w:val="000000"/>
          <w:lang w:val="es-ES_tradnl"/>
        </w:rPr>
        <w:t>dfp</w:t>
      </w:r>
      <w:proofErr w:type="spellEnd"/>
      <w:r w:rsidRPr="00297B30">
        <w:rPr>
          <w:color w:val="000000"/>
          <w:lang w:val="es-ES_tradnl"/>
        </w:rPr>
        <w:t xml:space="preserve"> espectral en la antena de </w:t>
      </w:r>
      <w:r>
        <w:rPr>
          <w:lang w:val="es-ES_tradnl"/>
        </w:rPr>
        <w:sym w:font="Symbol" w:char="F02D"/>
      </w:r>
      <w:r w:rsidRPr="00297B30">
        <w:rPr>
          <w:lang w:val="es-ES_tradnl"/>
        </w:rPr>
        <w:t>206,1 dB(W/(m</w:t>
      </w:r>
      <w:r w:rsidRPr="00297B30">
        <w:rPr>
          <w:vertAlign w:val="superscript"/>
          <w:lang w:val="es-ES_tradnl"/>
        </w:rPr>
        <w:t>2</w:t>
      </w:r>
      <w:r w:rsidRPr="00297B30">
        <w:rPr>
          <w:lang w:val="es-ES_tradnl"/>
        </w:rPr>
        <w:t> · Hz)).</w:t>
      </w:r>
      <w:r w:rsidRPr="00297B30">
        <w:rPr>
          <w:color w:val="000000"/>
          <w:lang w:val="es-ES_tradnl"/>
        </w:rPr>
        <w:t xml:space="preserve"> </w:t>
      </w:r>
    </w:p>
    <w:p w:rsidR="00543337" w:rsidRPr="00297B30" w:rsidRDefault="00543337" w:rsidP="00543337">
      <w:pPr>
        <w:rPr>
          <w:rFonts w:eastAsiaTheme="minorEastAsia"/>
          <w:szCs w:val="24"/>
          <w:lang w:val="es-ES_tradnl"/>
        </w:rPr>
      </w:pPr>
    </w:p>
    <w:p w:rsidR="00543337" w:rsidRPr="00297B30" w:rsidRDefault="00543337" w:rsidP="00543337">
      <w:pPr>
        <w:rPr>
          <w:rFonts w:eastAsiaTheme="minorEastAsia"/>
          <w:szCs w:val="24"/>
          <w:lang w:val="es-ES_tradnl"/>
        </w:rPr>
      </w:pPr>
    </w:p>
    <w:p w:rsidR="00543337" w:rsidRPr="00297B30" w:rsidRDefault="00543337" w:rsidP="00543337">
      <w:pPr>
        <w:pStyle w:val="AnnexNoTitle"/>
        <w:rPr>
          <w:lang w:val="es-ES_tradnl"/>
        </w:rPr>
      </w:pPr>
      <w:r w:rsidRPr="00297B30">
        <w:rPr>
          <w:lang w:val="es-ES_tradnl"/>
        </w:rPr>
        <w:t>Anexo 1</w:t>
      </w:r>
      <w:r w:rsidRPr="00297B30">
        <w:rPr>
          <w:lang w:val="es-ES_tradnl"/>
        </w:rPr>
        <w:br/>
      </w:r>
      <w:r w:rsidRPr="00297B30">
        <w:rPr>
          <w:lang w:val="es-ES_tradnl"/>
        </w:rPr>
        <w:br/>
        <w:t xml:space="preserve">Criterios de protección de los sistemas </w:t>
      </w:r>
      <w:proofErr w:type="spellStart"/>
      <w:r w:rsidRPr="00297B30">
        <w:rPr>
          <w:lang w:val="es-ES_tradnl"/>
        </w:rPr>
        <w:t>Cospas-Sarsat</w:t>
      </w:r>
      <w:proofErr w:type="spellEnd"/>
      <w:r w:rsidRPr="00297B30">
        <w:rPr>
          <w:lang w:val="es-ES_tradnl"/>
        </w:rPr>
        <w:t xml:space="preserve"> en la banda</w:t>
      </w:r>
      <w:r w:rsidRPr="00297B30">
        <w:rPr>
          <w:lang w:val="es-ES_tradnl"/>
        </w:rPr>
        <w:br/>
        <w:t>de 406-406,1 MHz respecto a las emisiones</w:t>
      </w:r>
      <w:r w:rsidRPr="00297B30">
        <w:rPr>
          <w:lang w:val="es-ES_tradnl"/>
        </w:rPr>
        <w:br/>
        <w:t>de banda ancha fuera de banda</w:t>
      </w:r>
    </w:p>
    <w:p w:rsidR="00543337" w:rsidRPr="00297B30" w:rsidRDefault="00543337" w:rsidP="00543337">
      <w:pPr>
        <w:pStyle w:val="Heading1"/>
        <w:rPr>
          <w:lang w:val="es-ES_tradnl"/>
        </w:rPr>
      </w:pPr>
      <w:r w:rsidRPr="00297B30">
        <w:rPr>
          <w:lang w:val="es-ES_tradnl"/>
        </w:rPr>
        <w:t>1</w:t>
      </w:r>
      <w:r w:rsidRPr="00297B30">
        <w:rPr>
          <w:lang w:val="es-ES_tradnl"/>
        </w:rPr>
        <w:tab/>
        <w:t>Introducción</w:t>
      </w:r>
    </w:p>
    <w:p w:rsidR="00543337" w:rsidRPr="00297B30" w:rsidRDefault="00543337" w:rsidP="00543337">
      <w:pPr>
        <w:rPr>
          <w:rFonts w:eastAsiaTheme="minorEastAsia"/>
          <w:szCs w:val="24"/>
          <w:lang w:val="es-ES_tradnl"/>
        </w:rPr>
      </w:pPr>
      <w:r w:rsidRPr="00297B30">
        <w:rPr>
          <w:rFonts w:eastAsiaTheme="minorEastAsia"/>
          <w:szCs w:val="24"/>
          <w:lang w:val="es-ES_tradnl"/>
        </w:rPr>
        <w:t>Este Anexo proporciona información relativa al sistema C</w:t>
      </w:r>
      <w:r w:rsidRPr="00297B30">
        <w:rPr>
          <w:rFonts w:eastAsiaTheme="minorEastAsia"/>
          <w:szCs w:val="24"/>
          <w:lang w:val="es-ES_tradnl"/>
        </w:rPr>
        <w:noBreakHyphen/>
        <w:t>S y sus requisitos de protección de las emisiones fuera de banda de banda ancha.</w:t>
      </w:r>
    </w:p>
    <w:p w:rsidR="00543337" w:rsidRPr="00297B30" w:rsidRDefault="00543337" w:rsidP="00543337">
      <w:pPr>
        <w:pStyle w:val="Heading1"/>
        <w:rPr>
          <w:lang w:val="es-ES_tradnl"/>
        </w:rPr>
      </w:pPr>
      <w:r w:rsidRPr="00297B30">
        <w:rPr>
          <w:lang w:val="es-ES_tradnl"/>
        </w:rPr>
        <w:t>2</w:t>
      </w:r>
      <w:r w:rsidRPr="00297B30">
        <w:rPr>
          <w:lang w:val="es-ES_tradnl"/>
        </w:rPr>
        <w:tab/>
        <w:t>Antecedentes</w:t>
      </w:r>
    </w:p>
    <w:p w:rsidR="00543337" w:rsidRPr="00297B30" w:rsidRDefault="00543337" w:rsidP="00543337">
      <w:pPr>
        <w:rPr>
          <w:rFonts w:eastAsiaTheme="minorEastAsia"/>
          <w:szCs w:val="24"/>
          <w:lang w:val="es-ES_tradnl"/>
        </w:rPr>
      </w:pPr>
      <w:r w:rsidRPr="00297B30">
        <w:rPr>
          <w:rFonts w:eastAsiaTheme="minorEastAsia"/>
          <w:szCs w:val="24"/>
          <w:lang w:val="es-ES_tradnl"/>
        </w:rPr>
        <w:t>Existen otros textos de la UIT que proporcionan información sustancial sobre los elementos siguientes:</w:t>
      </w:r>
    </w:p>
    <w:p w:rsidR="00543337" w:rsidRPr="00297B30" w:rsidRDefault="00543337" w:rsidP="00543337">
      <w:pPr>
        <w:pStyle w:val="enumlev1"/>
        <w:rPr>
          <w:rFonts w:eastAsiaTheme="minorEastAsia"/>
          <w:lang w:val="es-ES_tradnl"/>
        </w:rPr>
      </w:pPr>
      <w:r w:rsidRPr="00297B30">
        <w:rPr>
          <w:rFonts w:eastAsiaTheme="minorEastAsia"/>
          <w:lang w:val="es-ES_tradnl"/>
        </w:rPr>
        <w:t>–</w:t>
      </w:r>
      <w:r w:rsidRPr="00297B30">
        <w:rPr>
          <w:rFonts w:eastAsiaTheme="minorEastAsia"/>
          <w:lang w:val="es-ES_tradnl"/>
        </w:rPr>
        <w:tab/>
        <w:t>parámetros de varias redes del SMS no OSG;</w:t>
      </w:r>
    </w:p>
    <w:p w:rsidR="00543337" w:rsidRPr="00297B30" w:rsidRDefault="00543337" w:rsidP="00543337">
      <w:pPr>
        <w:pStyle w:val="enumlev1"/>
        <w:rPr>
          <w:rFonts w:eastAsiaTheme="minorEastAsia"/>
          <w:lang w:val="es-ES_tradnl"/>
        </w:rPr>
      </w:pPr>
      <w:r w:rsidRPr="00297B30">
        <w:rPr>
          <w:rFonts w:eastAsiaTheme="minorEastAsia"/>
          <w:lang w:val="es-ES_tradnl"/>
        </w:rPr>
        <w:t>–</w:t>
      </w:r>
      <w:r w:rsidRPr="00297B30">
        <w:rPr>
          <w:rFonts w:eastAsiaTheme="minorEastAsia"/>
          <w:lang w:val="es-ES_tradnl"/>
        </w:rPr>
        <w:tab/>
        <w:t xml:space="preserve">nivel umbral de la </w:t>
      </w:r>
      <w:proofErr w:type="spellStart"/>
      <w:r w:rsidRPr="00297B30">
        <w:rPr>
          <w:rFonts w:eastAsiaTheme="minorEastAsia"/>
          <w:lang w:val="es-ES_tradnl"/>
        </w:rPr>
        <w:t>dfp</w:t>
      </w:r>
      <w:proofErr w:type="spellEnd"/>
      <w:r w:rsidRPr="00297B30">
        <w:rPr>
          <w:rFonts w:eastAsiaTheme="minorEastAsia"/>
          <w:lang w:val="es-ES_tradnl"/>
        </w:rPr>
        <w:t xml:space="preserve"> de la interferencia;</w:t>
      </w:r>
    </w:p>
    <w:p w:rsidR="00543337" w:rsidRPr="00297B30" w:rsidRDefault="00543337" w:rsidP="00543337">
      <w:pPr>
        <w:pStyle w:val="enumlev1"/>
        <w:rPr>
          <w:rFonts w:eastAsiaTheme="minorEastAsia"/>
          <w:lang w:val="es-ES_tradnl"/>
        </w:rPr>
      </w:pPr>
      <w:r w:rsidRPr="00297B30">
        <w:rPr>
          <w:rFonts w:eastAsiaTheme="minorEastAsia"/>
          <w:lang w:val="es-ES_tradnl"/>
        </w:rPr>
        <w:t>–</w:t>
      </w:r>
      <w:r w:rsidRPr="00297B30">
        <w:rPr>
          <w:rFonts w:eastAsiaTheme="minorEastAsia"/>
          <w:lang w:val="es-ES_tradnl"/>
        </w:rPr>
        <w:tab/>
        <w:t>protección a los servicios de búsqueda y salvamento (SAR) que utilicen técnicas de conformación o filtrado espectral.</w:t>
      </w:r>
    </w:p>
    <w:p w:rsidR="00543337" w:rsidRPr="00297B30" w:rsidRDefault="00543337" w:rsidP="00543337">
      <w:pPr>
        <w:pStyle w:val="Heading1"/>
        <w:rPr>
          <w:lang w:val="es-ES_tradnl"/>
        </w:rPr>
      </w:pPr>
      <w:r w:rsidRPr="00297B30">
        <w:rPr>
          <w:lang w:val="es-ES_tradnl"/>
        </w:rPr>
        <w:t>3</w:t>
      </w:r>
      <w:r w:rsidRPr="00297B30">
        <w:rPr>
          <w:lang w:val="es-ES_tradnl"/>
        </w:rPr>
        <w:tab/>
        <w:t xml:space="preserve">Nivel umbral de la </w:t>
      </w:r>
      <w:proofErr w:type="spellStart"/>
      <w:r w:rsidRPr="00297B30">
        <w:rPr>
          <w:lang w:val="es-ES_tradnl"/>
        </w:rPr>
        <w:t>dfp</w:t>
      </w:r>
      <w:proofErr w:type="spellEnd"/>
      <w:r w:rsidRPr="00297B30">
        <w:rPr>
          <w:lang w:val="es-ES_tradnl"/>
        </w:rPr>
        <w:t xml:space="preserve"> espectral de la interferencia</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adición de ruido de banda ancha al sistema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traerá como consecuencia el aumento de la proporción de bits erróneos (BER) del sistema y, por lo tanto, afectará negativamente a su calidad </w:t>
      </w:r>
      <w:r w:rsidRPr="00297B30">
        <w:rPr>
          <w:rFonts w:eastAsiaTheme="minorEastAsia"/>
          <w:szCs w:val="24"/>
          <w:lang w:val="es-ES_tradnl"/>
        </w:rPr>
        <w:lastRenderedPageBreak/>
        <w:t xml:space="preserve">de funcionamiento. Tal como han identificado los trabajos del UIT-R, la BER máxima aceptable en el enlace ascendente para el sistema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no puede exceder de 5 × 10</w:t>
      </w:r>
      <w:r w:rsidRPr="00297B30">
        <w:rPr>
          <w:rFonts w:eastAsiaTheme="minorEastAsia"/>
          <w:szCs w:val="24"/>
          <w:vertAlign w:val="superscript"/>
          <w:lang w:val="es-ES_tradnl"/>
        </w:rPr>
        <w:t>–5</w:t>
      </w:r>
      <w:r w:rsidRPr="00297B30">
        <w:rPr>
          <w:rFonts w:eastAsiaTheme="minorEastAsia"/>
          <w:szCs w:val="24"/>
          <w:lang w:val="es-ES_tradnl"/>
        </w:rPr>
        <w:t xml:space="preserve">. En base a este requisito, este análisis identifica la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máxima aceptable asociada al ruido de banda ancha en el enlace ascendente del sistema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En este análisis no se trata el efecto de las emisiones de banda estrecha (por ejemplo, líneas espectrales), que también afectarán negativamente a la calidad de funcionamiento del SARP, ni tampoco se consideran los requisitos de protección de todos los instrumentos C</w:t>
      </w:r>
      <w:r w:rsidRPr="00297B30">
        <w:rPr>
          <w:rFonts w:eastAsiaTheme="minorEastAsia"/>
          <w:szCs w:val="24"/>
          <w:lang w:val="es-ES_tradnl"/>
        </w:rPr>
        <w:noBreakHyphen/>
        <w:t>S (por ejemplo</w:t>
      </w:r>
      <w:bookmarkStart w:id="5" w:name="_GoBack"/>
      <w:bookmarkEnd w:id="5"/>
      <w:r w:rsidRPr="00297B30">
        <w:rPr>
          <w:rFonts w:eastAsiaTheme="minorEastAsia"/>
          <w:szCs w:val="24"/>
          <w:lang w:val="es-ES_tradnl"/>
        </w:rPr>
        <w:t xml:space="preserve">, repetidores de búsqueda y salvamento </w:t>
      </w:r>
      <w:proofErr w:type="spellStart"/>
      <w:r w:rsidRPr="00297B30">
        <w:rPr>
          <w:rFonts w:eastAsiaTheme="minorEastAsia"/>
          <w:szCs w:val="24"/>
          <w:lang w:val="es-ES_tradnl"/>
        </w:rPr>
        <w:t>Sarsat</w:t>
      </w:r>
      <w:proofErr w:type="spellEnd"/>
      <w:r w:rsidRPr="00297B30">
        <w:rPr>
          <w:rFonts w:eastAsiaTheme="minorEastAsia"/>
          <w:szCs w:val="24"/>
          <w:lang w:val="es-ES_tradnl"/>
        </w:rPr>
        <w:t>, SARP </w:t>
      </w:r>
      <w:proofErr w:type="spellStart"/>
      <w:r w:rsidRPr="00297B30">
        <w:rPr>
          <w:rFonts w:eastAsiaTheme="minorEastAsia"/>
          <w:szCs w:val="24"/>
          <w:lang w:val="es-ES_tradnl"/>
        </w:rPr>
        <w:t>Cospas</w:t>
      </w:r>
      <w:proofErr w:type="spellEnd"/>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szCs w:val="24"/>
          <w:lang w:val="es-ES_tradnl"/>
        </w:rPr>
        <w:t>En la Fig. 1 se muestra los principales elementos del soporte lógico a bordo de los satélites NOAA (y en los futuros satélites METOP).</w:t>
      </w:r>
    </w:p>
    <w:p w:rsidR="00543337" w:rsidRPr="00297B30" w:rsidRDefault="00543337" w:rsidP="00543337">
      <w:pPr>
        <w:pStyle w:val="FigureNo"/>
        <w:rPr>
          <w:rFonts w:eastAsiaTheme="minorEastAsia"/>
          <w:lang w:val="es-ES_tradnl"/>
        </w:rPr>
      </w:pPr>
      <w:r w:rsidRPr="00297B30">
        <w:rPr>
          <w:rFonts w:eastAsiaTheme="minorEastAsia"/>
          <w:lang w:val="es-ES_tradnl"/>
        </w:rPr>
        <w:t>figura 1</w:t>
      </w:r>
    </w:p>
    <w:p w:rsidR="00543337" w:rsidRPr="00297B30" w:rsidRDefault="00543337" w:rsidP="00543337">
      <w:pPr>
        <w:pStyle w:val="Figuretitle"/>
        <w:rPr>
          <w:rFonts w:eastAsiaTheme="minorEastAsia"/>
          <w:lang w:val="es-ES_tradnl"/>
        </w:rPr>
      </w:pPr>
      <w:r w:rsidRPr="00297B30">
        <w:rPr>
          <w:rFonts w:eastAsiaTheme="minorEastAsia"/>
          <w:lang w:val="es-ES_tradnl"/>
        </w:rPr>
        <w:t>Soporte físico a bordo</w:t>
      </w:r>
    </w:p>
    <w:p w:rsidR="00543337" w:rsidRPr="00297B30" w:rsidRDefault="00543337" w:rsidP="00543337">
      <w:pPr>
        <w:pStyle w:val="Figure"/>
        <w:rPr>
          <w:rFonts w:eastAsiaTheme="minorEastAsia"/>
          <w:lang w:val="es-ES_tradnl"/>
        </w:rPr>
      </w:pPr>
      <w:r w:rsidRPr="00297B30">
        <w:rPr>
          <w:rFonts w:eastAsiaTheme="minorEastAsia"/>
          <w:lang w:val="es-ES_tradnl"/>
        </w:rPr>
        <w:object w:dxaOrig="6319" w:dyaOrig="2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85pt;height:121.6pt" o:ole="">
            <v:imagedata r:id="rId13" o:title=""/>
          </v:shape>
          <o:OLEObject Type="Embed" ProgID="CorelDRAW.Graphic.14" ShapeID="_x0000_i1025" DrawAspect="Content" ObjectID="_1501062596" r:id="rId14"/>
        </w:object>
      </w:r>
    </w:p>
    <w:p w:rsidR="00543337" w:rsidRPr="00297B30" w:rsidRDefault="00543337" w:rsidP="00AD5121">
      <w:pPr>
        <w:pStyle w:val="Normalaftertitle"/>
        <w:rPr>
          <w:rFonts w:eastAsiaTheme="minorEastAsia"/>
          <w:lang w:val="es-ES_tradnl"/>
        </w:rPr>
      </w:pPr>
      <w:r w:rsidRPr="00297B30">
        <w:rPr>
          <w:rFonts w:eastAsiaTheme="minorEastAsia"/>
          <w:lang w:val="es-ES_tradnl"/>
        </w:rPr>
        <w:t>La especificación del diagrama de ganancia de la antena UDA se expresa conforme al ángulo nadir del Cuadro 1:</w:t>
      </w:r>
    </w:p>
    <w:p w:rsidR="00543337" w:rsidRPr="00297B30" w:rsidRDefault="00543337" w:rsidP="00543337">
      <w:pPr>
        <w:pStyle w:val="TableNo"/>
        <w:rPr>
          <w:lang w:val="es-ES_tradnl"/>
        </w:rPr>
      </w:pPr>
      <w:r w:rsidRPr="00297B30">
        <w:rPr>
          <w:lang w:val="es-ES_tradnl"/>
        </w:rPr>
        <w:t>CUADRO 1</w:t>
      </w:r>
    </w:p>
    <w:p w:rsidR="00543337" w:rsidRPr="00297B30" w:rsidRDefault="00543337" w:rsidP="00543337">
      <w:pPr>
        <w:pStyle w:val="Tabletitle"/>
        <w:rPr>
          <w:lang w:val="es-ES_tradnl"/>
        </w:rPr>
      </w:pPr>
      <w:r w:rsidRPr="00297B30">
        <w:rPr>
          <w:lang w:val="es-ES_tradnl"/>
        </w:rPr>
        <w:t>Diagrama de ganancia (UDA) de una antena de recepción SARP</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46"/>
        <w:gridCol w:w="766"/>
        <w:gridCol w:w="765"/>
        <w:gridCol w:w="765"/>
        <w:gridCol w:w="765"/>
        <w:gridCol w:w="822"/>
        <w:gridCol w:w="822"/>
        <w:gridCol w:w="822"/>
        <w:gridCol w:w="822"/>
        <w:gridCol w:w="822"/>
        <w:gridCol w:w="822"/>
      </w:tblGrid>
      <w:tr w:rsidR="00543337" w:rsidRPr="00AD5121" w:rsidTr="00B06A97">
        <w:trPr>
          <w:jc w:val="center"/>
        </w:trPr>
        <w:tc>
          <w:tcPr>
            <w:tcW w:w="1644" w:type="dxa"/>
          </w:tcPr>
          <w:p w:rsidR="00543337" w:rsidRPr="00AD5121" w:rsidRDefault="00543337" w:rsidP="00B06A97">
            <w:pPr>
              <w:pStyle w:val="Tabletext"/>
              <w:jc w:val="left"/>
              <w:rPr>
                <w:szCs w:val="22"/>
                <w:lang w:val="es-ES_tradnl"/>
              </w:rPr>
            </w:pPr>
            <w:r w:rsidRPr="00AD5121">
              <w:rPr>
                <w:szCs w:val="22"/>
                <w:lang w:val="es-ES_tradnl"/>
              </w:rPr>
              <w:t xml:space="preserve">Ángulo nadir del satélite </w:t>
            </w:r>
          </w:p>
        </w:tc>
        <w:tc>
          <w:tcPr>
            <w:tcW w:w="765" w:type="dxa"/>
            <w:vAlign w:val="center"/>
          </w:tcPr>
          <w:p w:rsidR="00543337" w:rsidRPr="00AD5121" w:rsidRDefault="00543337" w:rsidP="00B06A97">
            <w:pPr>
              <w:pStyle w:val="Tabletext"/>
              <w:jc w:val="center"/>
              <w:rPr>
                <w:szCs w:val="22"/>
                <w:lang w:val="es-ES_tradnl"/>
              </w:rPr>
            </w:pPr>
            <w:r w:rsidRPr="00AD5121">
              <w:rPr>
                <w:szCs w:val="22"/>
                <w:lang w:val="es-ES_tradnl"/>
              </w:rPr>
              <w:t>62</w:t>
            </w:r>
          </w:p>
        </w:tc>
        <w:tc>
          <w:tcPr>
            <w:tcW w:w="765" w:type="dxa"/>
            <w:vAlign w:val="center"/>
          </w:tcPr>
          <w:p w:rsidR="00543337" w:rsidRPr="00AD5121" w:rsidRDefault="00543337" w:rsidP="00B06A97">
            <w:pPr>
              <w:pStyle w:val="Tabletext"/>
              <w:jc w:val="center"/>
              <w:rPr>
                <w:szCs w:val="22"/>
                <w:lang w:val="es-ES_tradnl"/>
              </w:rPr>
            </w:pPr>
            <w:r w:rsidRPr="00AD5121">
              <w:rPr>
                <w:szCs w:val="22"/>
                <w:lang w:val="es-ES_tradnl"/>
              </w:rPr>
              <w:t>59</w:t>
            </w:r>
          </w:p>
        </w:tc>
        <w:tc>
          <w:tcPr>
            <w:tcW w:w="765" w:type="dxa"/>
            <w:vAlign w:val="center"/>
          </w:tcPr>
          <w:p w:rsidR="00543337" w:rsidRPr="00AD5121" w:rsidRDefault="00543337" w:rsidP="00B06A97">
            <w:pPr>
              <w:pStyle w:val="Tabletext"/>
              <w:jc w:val="center"/>
              <w:rPr>
                <w:szCs w:val="22"/>
                <w:lang w:val="es-ES_tradnl"/>
              </w:rPr>
            </w:pPr>
            <w:r w:rsidRPr="00AD5121">
              <w:rPr>
                <w:szCs w:val="22"/>
                <w:lang w:val="es-ES_tradnl"/>
              </w:rPr>
              <w:t>54</w:t>
            </w:r>
          </w:p>
        </w:tc>
        <w:tc>
          <w:tcPr>
            <w:tcW w:w="765" w:type="dxa"/>
            <w:vAlign w:val="center"/>
          </w:tcPr>
          <w:p w:rsidR="00543337" w:rsidRPr="00AD5121" w:rsidRDefault="00543337" w:rsidP="00B06A97">
            <w:pPr>
              <w:pStyle w:val="Tabletext"/>
              <w:jc w:val="center"/>
              <w:rPr>
                <w:szCs w:val="22"/>
                <w:lang w:val="es-ES_tradnl"/>
              </w:rPr>
            </w:pPr>
            <w:r w:rsidRPr="00AD5121">
              <w:rPr>
                <w:szCs w:val="22"/>
                <w:lang w:val="es-ES_tradnl"/>
              </w:rPr>
              <w:t>47</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39</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31</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22</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13</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5</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0</w:t>
            </w:r>
          </w:p>
        </w:tc>
      </w:tr>
      <w:tr w:rsidR="00543337" w:rsidRPr="00AD5121" w:rsidTr="00B06A97">
        <w:trPr>
          <w:jc w:val="center"/>
        </w:trPr>
        <w:tc>
          <w:tcPr>
            <w:tcW w:w="1644" w:type="dxa"/>
          </w:tcPr>
          <w:p w:rsidR="00543337" w:rsidRPr="00AD5121" w:rsidRDefault="00543337" w:rsidP="00B06A97">
            <w:pPr>
              <w:pStyle w:val="Tabletext"/>
              <w:jc w:val="left"/>
              <w:rPr>
                <w:szCs w:val="22"/>
                <w:lang w:val="es-ES_tradnl"/>
              </w:rPr>
            </w:pPr>
            <w:r w:rsidRPr="00AD5121">
              <w:rPr>
                <w:szCs w:val="22"/>
                <w:lang w:val="es-ES_tradnl"/>
              </w:rPr>
              <w:t xml:space="preserve">Ganancia con polarización dextrógira </w:t>
            </w:r>
          </w:p>
        </w:tc>
        <w:tc>
          <w:tcPr>
            <w:tcW w:w="765" w:type="dxa"/>
            <w:vAlign w:val="center"/>
          </w:tcPr>
          <w:p w:rsidR="00543337" w:rsidRPr="00AD5121" w:rsidRDefault="00543337" w:rsidP="00B06A97">
            <w:pPr>
              <w:pStyle w:val="Tabletext"/>
              <w:jc w:val="center"/>
              <w:rPr>
                <w:szCs w:val="22"/>
                <w:lang w:val="es-ES_tradnl"/>
              </w:rPr>
            </w:pPr>
            <w:r w:rsidRPr="00AD5121">
              <w:rPr>
                <w:szCs w:val="22"/>
                <w:lang w:val="es-ES_tradnl"/>
              </w:rPr>
              <w:t>3,85</w:t>
            </w:r>
          </w:p>
        </w:tc>
        <w:tc>
          <w:tcPr>
            <w:tcW w:w="765" w:type="dxa"/>
            <w:vAlign w:val="center"/>
          </w:tcPr>
          <w:p w:rsidR="00543337" w:rsidRPr="00AD5121" w:rsidRDefault="00543337" w:rsidP="00B06A97">
            <w:pPr>
              <w:pStyle w:val="Tabletext"/>
              <w:jc w:val="center"/>
              <w:rPr>
                <w:szCs w:val="22"/>
                <w:lang w:val="es-ES_tradnl"/>
              </w:rPr>
            </w:pPr>
            <w:r w:rsidRPr="00AD5121">
              <w:rPr>
                <w:szCs w:val="22"/>
                <w:lang w:val="es-ES_tradnl"/>
              </w:rPr>
              <w:t>3,54</w:t>
            </w:r>
          </w:p>
        </w:tc>
        <w:tc>
          <w:tcPr>
            <w:tcW w:w="765" w:type="dxa"/>
            <w:vAlign w:val="center"/>
          </w:tcPr>
          <w:p w:rsidR="00543337" w:rsidRPr="00AD5121" w:rsidRDefault="00543337" w:rsidP="00B06A97">
            <w:pPr>
              <w:pStyle w:val="Tabletext"/>
              <w:jc w:val="center"/>
              <w:rPr>
                <w:szCs w:val="22"/>
                <w:lang w:val="es-ES_tradnl"/>
              </w:rPr>
            </w:pPr>
            <w:r w:rsidRPr="00AD5121">
              <w:rPr>
                <w:szCs w:val="22"/>
                <w:lang w:val="es-ES_tradnl"/>
              </w:rPr>
              <w:t>2,62</w:t>
            </w:r>
          </w:p>
        </w:tc>
        <w:tc>
          <w:tcPr>
            <w:tcW w:w="765" w:type="dxa"/>
            <w:vAlign w:val="center"/>
          </w:tcPr>
          <w:p w:rsidR="00543337" w:rsidRPr="00AD5121" w:rsidRDefault="00543337" w:rsidP="00B06A97">
            <w:pPr>
              <w:pStyle w:val="Tabletext"/>
              <w:jc w:val="center"/>
              <w:rPr>
                <w:szCs w:val="22"/>
                <w:lang w:val="es-ES_tradnl"/>
              </w:rPr>
            </w:pPr>
            <w:r w:rsidRPr="00AD5121">
              <w:rPr>
                <w:szCs w:val="22"/>
                <w:lang w:val="es-ES_tradnl"/>
              </w:rPr>
              <w:t>1,24</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–0,17</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–1,33</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–2,24</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–3,08</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–3,80</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–3,96</w:t>
            </w:r>
          </w:p>
        </w:tc>
      </w:tr>
      <w:tr w:rsidR="00543337" w:rsidRPr="00AD5121" w:rsidTr="00B06A97">
        <w:trPr>
          <w:jc w:val="center"/>
        </w:trPr>
        <w:tc>
          <w:tcPr>
            <w:tcW w:w="1644" w:type="dxa"/>
          </w:tcPr>
          <w:p w:rsidR="00543337" w:rsidRPr="00AD5121" w:rsidRDefault="00543337" w:rsidP="00B06A97">
            <w:pPr>
              <w:pStyle w:val="Tabletext"/>
              <w:jc w:val="left"/>
              <w:rPr>
                <w:szCs w:val="22"/>
                <w:lang w:val="es-ES_tradnl"/>
              </w:rPr>
            </w:pPr>
            <w:r w:rsidRPr="00AD5121">
              <w:rPr>
                <w:szCs w:val="22"/>
                <w:lang w:val="es-ES_tradnl"/>
              </w:rPr>
              <w:t>Ganancia con polarización levógira</w:t>
            </w:r>
          </w:p>
        </w:tc>
        <w:tc>
          <w:tcPr>
            <w:tcW w:w="765" w:type="dxa"/>
            <w:vAlign w:val="center"/>
          </w:tcPr>
          <w:p w:rsidR="00543337" w:rsidRPr="00AD5121" w:rsidRDefault="00543337" w:rsidP="00B06A97">
            <w:pPr>
              <w:pStyle w:val="Tabletext"/>
              <w:jc w:val="center"/>
              <w:rPr>
                <w:szCs w:val="22"/>
                <w:lang w:val="es-ES_tradnl"/>
              </w:rPr>
            </w:pPr>
            <w:r w:rsidRPr="00AD5121">
              <w:rPr>
                <w:szCs w:val="22"/>
                <w:lang w:val="es-ES_tradnl"/>
              </w:rPr>
              <w:t>–5,69</w:t>
            </w:r>
          </w:p>
        </w:tc>
        <w:tc>
          <w:tcPr>
            <w:tcW w:w="765" w:type="dxa"/>
            <w:vAlign w:val="center"/>
          </w:tcPr>
          <w:p w:rsidR="00543337" w:rsidRPr="00AD5121" w:rsidRDefault="00543337" w:rsidP="00B06A97">
            <w:pPr>
              <w:pStyle w:val="Tabletext"/>
              <w:jc w:val="center"/>
              <w:rPr>
                <w:szCs w:val="22"/>
                <w:lang w:val="es-ES_tradnl"/>
              </w:rPr>
            </w:pPr>
            <w:r w:rsidRPr="00AD5121">
              <w:rPr>
                <w:szCs w:val="22"/>
                <w:lang w:val="es-ES_tradnl"/>
              </w:rPr>
              <w:t>–6,23</w:t>
            </w:r>
          </w:p>
        </w:tc>
        <w:tc>
          <w:tcPr>
            <w:tcW w:w="765" w:type="dxa"/>
            <w:vAlign w:val="center"/>
          </w:tcPr>
          <w:p w:rsidR="00543337" w:rsidRPr="00AD5121" w:rsidRDefault="00543337" w:rsidP="00B06A97">
            <w:pPr>
              <w:pStyle w:val="Tabletext"/>
              <w:jc w:val="center"/>
              <w:rPr>
                <w:szCs w:val="22"/>
                <w:lang w:val="es-ES_tradnl"/>
              </w:rPr>
            </w:pPr>
            <w:r w:rsidRPr="00AD5121">
              <w:rPr>
                <w:szCs w:val="22"/>
                <w:lang w:val="es-ES_tradnl"/>
              </w:rPr>
              <w:t>–7,52</w:t>
            </w:r>
          </w:p>
        </w:tc>
        <w:tc>
          <w:tcPr>
            <w:tcW w:w="765" w:type="dxa"/>
            <w:vAlign w:val="center"/>
          </w:tcPr>
          <w:p w:rsidR="00543337" w:rsidRPr="00AD5121" w:rsidRDefault="00543337" w:rsidP="00B06A97">
            <w:pPr>
              <w:pStyle w:val="Tabletext"/>
              <w:jc w:val="center"/>
              <w:rPr>
                <w:szCs w:val="22"/>
                <w:lang w:val="es-ES_tradnl"/>
              </w:rPr>
            </w:pPr>
            <w:r w:rsidRPr="00AD5121">
              <w:rPr>
                <w:szCs w:val="22"/>
                <w:lang w:val="es-ES_tradnl"/>
              </w:rPr>
              <w:t>–9,39</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–11,39</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–13,12</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–14,52</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–15,77</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–17,17</w:t>
            </w:r>
          </w:p>
        </w:tc>
        <w:tc>
          <w:tcPr>
            <w:tcW w:w="822" w:type="dxa"/>
            <w:vAlign w:val="center"/>
          </w:tcPr>
          <w:p w:rsidR="00543337" w:rsidRPr="00AD5121" w:rsidRDefault="00543337" w:rsidP="00B06A97">
            <w:pPr>
              <w:pStyle w:val="Tabletext"/>
              <w:jc w:val="center"/>
              <w:rPr>
                <w:szCs w:val="22"/>
                <w:lang w:val="es-ES_tradnl"/>
              </w:rPr>
            </w:pPr>
            <w:r w:rsidRPr="00AD5121">
              <w:rPr>
                <w:szCs w:val="22"/>
                <w:lang w:val="es-ES_tradnl"/>
              </w:rPr>
              <w:t>–18,00</w:t>
            </w:r>
          </w:p>
        </w:tc>
      </w:tr>
      <w:tr w:rsidR="00543337" w:rsidRPr="00AD5121" w:rsidTr="00B06A97">
        <w:trPr>
          <w:jc w:val="center"/>
        </w:trPr>
        <w:tc>
          <w:tcPr>
            <w:tcW w:w="1644" w:type="dxa"/>
          </w:tcPr>
          <w:p w:rsidR="00543337" w:rsidRPr="00AD5121" w:rsidRDefault="00543337" w:rsidP="00B06A97">
            <w:pPr>
              <w:pStyle w:val="Tabletext"/>
              <w:jc w:val="left"/>
              <w:rPr>
                <w:szCs w:val="22"/>
                <w:lang w:val="es-ES_tradnl"/>
              </w:rPr>
            </w:pPr>
            <w:r w:rsidRPr="00AD5121">
              <w:rPr>
                <w:szCs w:val="22"/>
                <w:lang w:val="es-ES_tradnl"/>
              </w:rPr>
              <w:t xml:space="preserve">Relación axial </w:t>
            </w:r>
          </w:p>
        </w:tc>
        <w:tc>
          <w:tcPr>
            <w:tcW w:w="765" w:type="dxa"/>
          </w:tcPr>
          <w:p w:rsidR="00543337" w:rsidRPr="00AD5121" w:rsidRDefault="00543337" w:rsidP="00B06A97">
            <w:pPr>
              <w:pStyle w:val="Tabletext"/>
              <w:jc w:val="center"/>
              <w:rPr>
                <w:szCs w:val="22"/>
                <w:lang w:val="es-ES_tradnl"/>
              </w:rPr>
            </w:pPr>
            <w:r w:rsidRPr="00AD5121">
              <w:rPr>
                <w:szCs w:val="22"/>
                <w:lang w:val="es-ES_tradnl"/>
              </w:rPr>
              <w:t>6,02</w:t>
            </w:r>
          </w:p>
        </w:tc>
        <w:tc>
          <w:tcPr>
            <w:tcW w:w="765" w:type="dxa"/>
          </w:tcPr>
          <w:p w:rsidR="00543337" w:rsidRPr="00AD5121" w:rsidRDefault="00543337" w:rsidP="00B06A97">
            <w:pPr>
              <w:pStyle w:val="Tabletext"/>
              <w:jc w:val="center"/>
              <w:rPr>
                <w:szCs w:val="22"/>
                <w:lang w:val="es-ES_tradnl"/>
              </w:rPr>
            </w:pPr>
            <w:r w:rsidRPr="00AD5121">
              <w:rPr>
                <w:szCs w:val="22"/>
                <w:lang w:val="es-ES_tradnl"/>
              </w:rPr>
              <w:t>5,85</w:t>
            </w:r>
          </w:p>
        </w:tc>
        <w:tc>
          <w:tcPr>
            <w:tcW w:w="765" w:type="dxa"/>
          </w:tcPr>
          <w:p w:rsidR="00543337" w:rsidRPr="00AD5121" w:rsidRDefault="00543337" w:rsidP="00B06A97">
            <w:pPr>
              <w:pStyle w:val="Tabletext"/>
              <w:jc w:val="center"/>
              <w:rPr>
                <w:szCs w:val="22"/>
                <w:lang w:val="es-ES_tradnl"/>
              </w:rPr>
            </w:pPr>
            <w:r w:rsidRPr="00AD5121">
              <w:rPr>
                <w:szCs w:val="22"/>
                <w:lang w:val="es-ES_tradnl"/>
              </w:rPr>
              <w:t>5,59</w:t>
            </w:r>
          </w:p>
        </w:tc>
        <w:tc>
          <w:tcPr>
            <w:tcW w:w="765" w:type="dxa"/>
          </w:tcPr>
          <w:p w:rsidR="00543337" w:rsidRPr="00AD5121" w:rsidRDefault="00543337" w:rsidP="00B06A97">
            <w:pPr>
              <w:pStyle w:val="Tabletext"/>
              <w:jc w:val="center"/>
              <w:rPr>
                <w:szCs w:val="22"/>
                <w:lang w:val="es-ES_tradnl"/>
              </w:rPr>
            </w:pPr>
            <w:r w:rsidRPr="00AD5121">
              <w:rPr>
                <w:szCs w:val="22"/>
                <w:lang w:val="es-ES_tradnl"/>
              </w:rPr>
              <w:t>5,26</w:t>
            </w:r>
          </w:p>
        </w:tc>
        <w:tc>
          <w:tcPr>
            <w:tcW w:w="822" w:type="dxa"/>
          </w:tcPr>
          <w:p w:rsidR="00543337" w:rsidRPr="00AD5121" w:rsidRDefault="00543337" w:rsidP="00B06A97">
            <w:pPr>
              <w:pStyle w:val="Tabletext"/>
              <w:jc w:val="center"/>
              <w:rPr>
                <w:szCs w:val="22"/>
                <w:lang w:val="es-ES_tradnl"/>
              </w:rPr>
            </w:pPr>
            <w:r w:rsidRPr="00AD5121">
              <w:rPr>
                <w:szCs w:val="22"/>
                <w:lang w:val="es-ES_tradnl"/>
              </w:rPr>
              <w:t>4,90</w:t>
            </w:r>
          </w:p>
        </w:tc>
        <w:tc>
          <w:tcPr>
            <w:tcW w:w="822" w:type="dxa"/>
          </w:tcPr>
          <w:p w:rsidR="00543337" w:rsidRPr="00AD5121" w:rsidRDefault="00543337" w:rsidP="00B06A97">
            <w:pPr>
              <w:pStyle w:val="Tabletext"/>
              <w:jc w:val="center"/>
              <w:rPr>
                <w:szCs w:val="22"/>
                <w:lang w:val="es-ES_tradnl"/>
              </w:rPr>
            </w:pPr>
            <w:r w:rsidRPr="00AD5121">
              <w:rPr>
                <w:szCs w:val="22"/>
                <w:lang w:val="es-ES_tradnl"/>
              </w:rPr>
              <w:t>4,57</w:t>
            </w:r>
          </w:p>
        </w:tc>
        <w:tc>
          <w:tcPr>
            <w:tcW w:w="822" w:type="dxa"/>
          </w:tcPr>
          <w:p w:rsidR="00543337" w:rsidRPr="00AD5121" w:rsidRDefault="00543337" w:rsidP="00B06A97">
            <w:pPr>
              <w:pStyle w:val="Tabletext"/>
              <w:jc w:val="center"/>
              <w:rPr>
                <w:szCs w:val="22"/>
                <w:lang w:val="es-ES_tradnl"/>
              </w:rPr>
            </w:pPr>
            <w:r w:rsidRPr="00AD5121">
              <w:rPr>
                <w:szCs w:val="22"/>
                <w:lang w:val="es-ES_tradnl"/>
              </w:rPr>
              <w:t>4,31</w:t>
            </w:r>
          </w:p>
        </w:tc>
        <w:tc>
          <w:tcPr>
            <w:tcW w:w="822" w:type="dxa"/>
          </w:tcPr>
          <w:p w:rsidR="00543337" w:rsidRPr="00AD5121" w:rsidRDefault="00543337" w:rsidP="00B06A97">
            <w:pPr>
              <w:pStyle w:val="Tabletext"/>
              <w:jc w:val="center"/>
              <w:rPr>
                <w:szCs w:val="22"/>
                <w:lang w:val="es-ES_tradnl"/>
              </w:rPr>
            </w:pPr>
            <w:r w:rsidRPr="00AD5121">
              <w:rPr>
                <w:szCs w:val="22"/>
                <w:lang w:val="es-ES_tradnl"/>
              </w:rPr>
              <w:t>4,11</w:t>
            </w:r>
          </w:p>
        </w:tc>
        <w:tc>
          <w:tcPr>
            <w:tcW w:w="822" w:type="dxa"/>
          </w:tcPr>
          <w:p w:rsidR="00543337" w:rsidRPr="00AD5121" w:rsidRDefault="00543337" w:rsidP="00B06A97">
            <w:pPr>
              <w:pStyle w:val="Tabletext"/>
              <w:jc w:val="center"/>
              <w:rPr>
                <w:szCs w:val="22"/>
                <w:lang w:val="es-ES_tradnl"/>
              </w:rPr>
            </w:pPr>
            <w:r w:rsidRPr="00AD5121">
              <w:rPr>
                <w:szCs w:val="22"/>
                <w:lang w:val="es-ES_tradnl"/>
              </w:rPr>
              <w:t>3,78</w:t>
            </w:r>
          </w:p>
        </w:tc>
        <w:tc>
          <w:tcPr>
            <w:tcW w:w="822" w:type="dxa"/>
          </w:tcPr>
          <w:p w:rsidR="00543337" w:rsidRPr="00AD5121" w:rsidRDefault="00543337" w:rsidP="00B06A97">
            <w:pPr>
              <w:pStyle w:val="Tabletext"/>
              <w:jc w:val="center"/>
              <w:rPr>
                <w:szCs w:val="22"/>
                <w:lang w:val="es-ES_tradnl"/>
              </w:rPr>
            </w:pPr>
            <w:r w:rsidRPr="00AD5121">
              <w:rPr>
                <w:szCs w:val="22"/>
                <w:lang w:val="es-ES_tradnl"/>
              </w:rPr>
              <w:t>3,49</w:t>
            </w:r>
          </w:p>
        </w:tc>
      </w:tr>
    </w:tbl>
    <w:p w:rsidR="00543337" w:rsidRPr="00297B30" w:rsidRDefault="00543337" w:rsidP="00543337">
      <w:pPr>
        <w:pStyle w:val="Tablefin"/>
        <w:rPr>
          <w:lang w:val="es-ES_tradnl"/>
        </w:rPr>
      </w:pP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Las cifras del Cuadro 1 son las especificadas para los diagramas de antena de los receptores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406 MHz para el SARP para los satélites NOAA y METOP.</w:t>
      </w:r>
    </w:p>
    <w:p w:rsidR="00543337" w:rsidRPr="00297B30" w:rsidRDefault="00543337" w:rsidP="00543337">
      <w:pPr>
        <w:rPr>
          <w:rFonts w:eastAsiaTheme="minorEastAsia"/>
          <w:szCs w:val="24"/>
          <w:lang w:val="es-ES_tradnl"/>
        </w:rPr>
      </w:pPr>
      <w:r w:rsidRPr="00297B30">
        <w:rPr>
          <w:rFonts w:eastAsiaTheme="minorEastAsia"/>
          <w:szCs w:val="24"/>
          <w:lang w:val="es-ES_tradnl"/>
        </w:rPr>
        <w:t>Las</w:t>
      </w:r>
      <w:r w:rsidRPr="00297B30">
        <w:rPr>
          <w:rFonts w:eastAsiaTheme="minorEastAsia"/>
          <w:sz w:val="23"/>
          <w:szCs w:val="23"/>
          <w:lang w:val="es-ES_tradnl"/>
        </w:rPr>
        <w:t xml:space="preserve"> </w:t>
      </w:r>
      <w:r w:rsidRPr="00297B30">
        <w:rPr>
          <w:rFonts w:eastAsiaTheme="minorEastAsia"/>
          <w:szCs w:val="24"/>
          <w:lang w:val="es-ES_tradnl"/>
        </w:rPr>
        <w:t>cifras</w:t>
      </w:r>
      <w:r w:rsidRPr="00297B30">
        <w:rPr>
          <w:rFonts w:eastAsiaTheme="minorEastAsia"/>
          <w:sz w:val="23"/>
          <w:szCs w:val="23"/>
          <w:lang w:val="es-ES_tradnl"/>
        </w:rPr>
        <w:t xml:space="preserve"> </w:t>
      </w:r>
      <w:r w:rsidRPr="00297B30">
        <w:rPr>
          <w:rFonts w:eastAsiaTheme="minorEastAsia"/>
          <w:szCs w:val="24"/>
          <w:lang w:val="es-ES_tradnl"/>
        </w:rPr>
        <w:t>típicas</w:t>
      </w:r>
      <w:r w:rsidRPr="00297B30">
        <w:rPr>
          <w:rFonts w:eastAsiaTheme="minorEastAsia"/>
          <w:sz w:val="23"/>
          <w:szCs w:val="23"/>
          <w:lang w:val="es-ES_tradnl"/>
        </w:rPr>
        <w:t xml:space="preserve"> </w:t>
      </w:r>
      <w:r w:rsidRPr="00297B30">
        <w:rPr>
          <w:rFonts w:eastAsiaTheme="minorEastAsia"/>
          <w:szCs w:val="24"/>
          <w:lang w:val="es-ES_tradnl"/>
        </w:rPr>
        <w:t>del</w:t>
      </w:r>
      <w:r w:rsidRPr="00297B30">
        <w:rPr>
          <w:rFonts w:eastAsiaTheme="minorEastAsia"/>
          <w:sz w:val="23"/>
          <w:szCs w:val="23"/>
          <w:lang w:val="es-ES_tradnl"/>
        </w:rPr>
        <w:t xml:space="preserve"> </w:t>
      </w:r>
      <w:r w:rsidRPr="00297B30">
        <w:rPr>
          <w:rFonts w:eastAsiaTheme="minorEastAsia"/>
          <w:szCs w:val="24"/>
          <w:lang w:val="es-ES_tradnl"/>
        </w:rPr>
        <w:t>equipo</w:t>
      </w:r>
      <w:r w:rsidRPr="00297B30">
        <w:rPr>
          <w:rFonts w:eastAsiaTheme="minorEastAsia"/>
          <w:sz w:val="23"/>
          <w:szCs w:val="23"/>
          <w:lang w:val="es-ES_tradnl"/>
        </w:rPr>
        <w:t xml:space="preserve"> </w:t>
      </w:r>
      <w:proofErr w:type="spellStart"/>
      <w:r w:rsidRPr="00297B30">
        <w:rPr>
          <w:rFonts w:eastAsiaTheme="minorEastAsia"/>
          <w:szCs w:val="24"/>
          <w:lang w:val="es-ES_tradnl"/>
        </w:rPr>
        <w:t>Sarsat</w:t>
      </w:r>
      <w:proofErr w:type="spellEnd"/>
      <w:r w:rsidRPr="00297B30">
        <w:rPr>
          <w:rFonts w:eastAsiaTheme="minorEastAsia"/>
          <w:sz w:val="23"/>
          <w:szCs w:val="23"/>
          <w:lang w:val="es-ES_tradnl"/>
        </w:rPr>
        <w:t xml:space="preserve"> </w:t>
      </w:r>
      <w:r w:rsidRPr="00297B30">
        <w:rPr>
          <w:rFonts w:eastAsiaTheme="minorEastAsia"/>
          <w:szCs w:val="24"/>
          <w:lang w:val="es-ES_tradnl"/>
        </w:rPr>
        <w:t>son</w:t>
      </w:r>
      <w:r w:rsidRPr="00297B30">
        <w:rPr>
          <w:rFonts w:eastAsiaTheme="minorEastAsia"/>
          <w:sz w:val="23"/>
          <w:szCs w:val="23"/>
          <w:lang w:val="es-ES_tradnl"/>
        </w:rPr>
        <w:t xml:space="preserve"> </w:t>
      </w:r>
      <w:r w:rsidRPr="00297B30">
        <w:rPr>
          <w:rFonts w:eastAsiaTheme="minorEastAsia"/>
          <w:szCs w:val="24"/>
          <w:lang w:val="es-ES_tradnl"/>
        </w:rPr>
        <w:t>las</w:t>
      </w:r>
      <w:r w:rsidRPr="00297B30">
        <w:rPr>
          <w:rFonts w:eastAsiaTheme="minorEastAsia"/>
          <w:sz w:val="23"/>
          <w:szCs w:val="23"/>
          <w:lang w:val="es-ES_tradnl"/>
        </w:rPr>
        <w:t xml:space="preserve"> </w:t>
      </w:r>
      <w:r w:rsidRPr="00297B30">
        <w:rPr>
          <w:rFonts w:eastAsiaTheme="minorEastAsia"/>
          <w:szCs w:val="24"/>
          <w:lang w:val="es-ES_tradnl"/>
        </w:rPr>
        <w:t>siguientes:</w:t>
      </w:r>
      <w:r w:rsidRPr="00297B30">
        <w:rPr>
          <w:rFonts w:eastAsiaTheme="minorEastAsia"/>
          <w:sz w:val="23"/>
          <w:szCs w:val="23"/>
          <w:lang w:val="es-ES_tradnl"/>
        </w:rPr>
        <w:t xml:space="preserve"> </w:t>
      </w:r>
      <w:r w:rsidRPr="00297B30">
        <w:rPr>
          <w:rFonts w:eastAsiaTheme="minorEastAsia"/>
          <w:szCs w:val="24"/>
          <w:lang w:val="es-ES_tradnl"/>
        </w:rPr>
        <w:t>factor</w:t>
      </w:r>
      <w:r w:rsidRPr="00297B30">
        <w:rPr>
          <w:rFonts w:eastAsiaTheme="minorEastAsia"/>
          <w:sz w:val="23"/>
          <w:szCs w:val="23"/>
          <w:lang w:val="es-ES_tradnl"/>
        </w:rPr>
        <w:t xml:space="preserve"> </w:t>
      </w:r>
      <w:r w:rsidRPr="00297B30">
        <w:rPr>
          <w:rFonts w:eastAsiaTheme="minorEastAsia"/>
          <w:szCs w:val="24"/>
          <w:lang w:val="es-ES_tradnl"/>
        </w:rPr>
        <w:t>de</w:t>
      </w:r>
      <w:r w:rsidRPr="00297B30">
        <w:rPr>
          <w:rFonts w:eastAsiaTheme="minorEastAsia"/>
          <w:sz w:val="23"/>
          <w:szCs w:val="23"/>
          <w:lang w:val="es-ES_tradnl"/>
        </w:rPr>
        <w:t xml:space="preserve"> </w:t>
      </w:r>
      <w:r w:rsidRPr="00297B30">
        <w:rPr>
          <w:rFonts w:eastAsiaTheme="minorEastAsia"/>
          <w:szCs w:val="24"/>
          <w:lang w:val="es-ES_tradnl"/>
        </w:rPr>
        <w:t>ruido</w:t>
      </w:r>
      <w:r w:rsidRPr="00297B30">
        <w:rPr>
          <w:rFonts w:eastAsiaTheme="minorEastAsia"/>
          <w:sz w:val="23"/>
          <w:szCs w:val="23"/>
          <w:lang w:val="es-ES_tradnl"/>
        </w:rPr>
        <w:t> = </w:t>
      </w:r>
      <w:r w:rsidRPr="00297B30">
        <w:rPr>
          <w:rFonts w:eastAsiaTheme="minorEastAsia"/>
          <w:szCs w:val="24"/>
          <w:lang w:val="es-ES_tradnl"/>
        </w:rPr>
        <w:t>2,5</w:t>
      </w:r>
      <w:r w:rsidRPr="00297B30">
        <w:rPr>
          <w:rFonts w:eastAsiaTheme="minorEastAsia"/>
          <w:sz w:val="23"/>
          <w:szCs w:val="23"/>
          <w:lang w:val="es-ES_tradnl"/>
        </w:rPr>
        <w:t xml:space="preserve"> </w:t>
      </w:r>
      <w:r w:rsidRPr="00297B30">
        <w:rPr>
          <w:rFonts w:eastAsiaTheme="minorEastAsia"/>
          <w:szCs w:val="24"/>
          <w:lang w:val="es-ES_tradnl"/>
        </w:rPr>
        <w:t>dB</w:t>
      </w:r>
      <w:r w:rsidRPr="00297B30">
        <w:rPr>
          <w:rFonts w:eastAsiaTheme="minorEastAsia"/>
          <w:sz w:val="23"/>
          <w:szCs w:val="23"/>
          <w:lang w:val="es-ES_tradnl"/>
        </w:rPr>
        <w:t xml:space="preserve"> </w:t>
      </w:r>
      <w:r w:rsidRPr="00297B30">
        <w:rPr>
          <w:rFonts w:eastAsiaTheme="minorEastAsia"/>
          <w:szCs w:val="24"/>
          <w:lang w:val="es-ES_tradnl"/>
        </w:rPr>
        <w:t>(parámetro</w:t>
      </w:r>
      <w:r w:rsidRPr="00297B30">
        <w:rPr>
          <w:rFonts w:eastAsiaTheme="minorEastAsia"/>
          <w:sz w:val="23"/>
          <w:szCs w:val="23"/>
          <w:lang w:val="es-ES_tradnl"/>
        </w:rPr>
        <w:t xml:space="preserve"> </w:t>
      </w:r>
      <w:r w:rsidRPr="00297B30">
        <w:rPr>
          <w:rFonts w:eastAsiaTheme="minorEastAsia"/>
          <w:szCs w:val="24"/>
          <w:lang w:val="es-ES_tradnl"/>
        </w:rPr>
        <w:t>de</w:t>
      </w:r>
      <w:r w:rsidRPr="00297B30">
        <w:rPr>
          <w:rFonts w:eastAsiaTheme="minorEastAsia"/>
          <w:sz w:val="23"/>
          <w:szCs w:val="23"/>
          <w:lang w:val="es-ES_tradnl"/>
        </w:rPr>
        <w:t xml:space="preserve"> </w:t>
      </w:r>
      <w:r w:rsidRPr="00297B30">
        <w:rPr>
          <w:rFonts w:eastAsiaTheme="minorEastAsia"/>
          <w:szCs w:val="24"/>
          <w:lang w:val="es-ES_tradnl"/>
        </w:rPr>
        <w:t>entrada para los SARP C</w:t>
      </w:r>
      <w:r w:rsidRPr="00297B30">
        <w:rPr>
          <w:rFonts w:eastAsiaTheme="minorEastAsia"/>
          <w:szCs w:val="24"/>
          <w:lang w:val="es-ES_tradnl"/>
        </w:rPr>
        <w:noBreakHyphen/>
        <w:t>S), temperatura de ruido de fondo nominal</w:t>
      </w:r>
      <w:r w:rsidRPr="00297B30">
        <w:rPr>
          <w:rFonts w:eastAsiaTheme="minorEastAsia"/>
          <w:sz w:val="23"/>
          <w:szCs w:val="23"/>
          <w:lang w:val="es-ES_tradnl"/>
        </w:rPr>
        <w:t> = </w:t>
      </w:r>
      <w:r w:rsidRPr="00297B30">
        <w:rPr>
          <w:rFonts w:eastAsiaTheme="minorEastAsia"/>
          <w:lang w:val="es-ES_tradnl"/>
        </w:rPr>
        <w:t>1 000</w:t>
      </w:r>
      <w:r w:rsidRPr="00297B30">
        <w:rPr>
          <w:rFonts w:eastAsiaTheme="minorEastAsia"/>
          <w:szCs w:val="24"/>
          <w:lang w:val="es-ES_tradnl"/>
        </w:rPr>
        <w:t xml:space="preserve"> K (parámetro de entrada de C</w:t>
      </w:r>
      <w:r w:rsidRPr="00297B30">
        <w:rPr>
          <w:rFonts w:eastAsiaTheme="minorEastAsia"/>
          <w:szCs w:val="24"/>
          <w:lang w:val="es-ES_tradnl"/>
        </w:rPr>
        <w:noBreakHyphen/>
        <w:t>S), la atenuación entre la antena y el receptor SARP</w:t>
      </w:r>
      <w:r w:rsidRPr="00297B30">
        <w:rPr>
          <w:rFonts w:eastAsiaTheme="minorEastAsia"/>
          <w:sz w:val="23"/>
          <w:szCs w:val="23"/>
          <w:lang w:val="es-ES_tradnl"/>
        </w:rPr>
        <w:t> = </w:t>
      </w:r>
      <w:r w:rsidRPr="00297B30">
        <w:rPr>
          <w:rFonts w:eastAsiaTheme="minorEastAsia"/>
          <w:szCs w:val="24"/>
          <w:lang w:val="es-ES_tradnl"/>
        </w:rPr>
        <w:t>1,6 dB. Por lo tanto, la temperatura de ruido del sistema a la entrada del receptor SARP (punto B de la Fig. 1) es igual a 1</w:t>
      </w:r>
      <w:r w:rsidRPr="00297B30">
        <w:rPr>
          <w:rFonts w:ascii="Tms Rmn" w:eastAsiaTheme="minorEastAsia" w:hAnsi="Tms Rmn" w:cs="Tms Rmn"/>
          <w:sz w:val="12"/>
          <w:szCs w:val="12"/>
          <w:lang w:val="es-ES_tradnl"/>
        </w:rPr>
        <w:t> </w:t>
      </w:r>
      <w:r w:rsidRPr="00297B30">
        <w:rPr>
          <w:rFonts w:eastAsiaTheme="minorEastAsia"/>
          <w:szCs w:val="24"/>
          <w:lang w:val="es-ES_tradnl"/>
        </w:rPr>
        <w:t xml:space="preserve">010 K y, por tanto, la densidad espectral de ruido es igual a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lang w:val="es-ES_tradnl"/>
        </w:rPr>
        <w:t>–</w:t>
      </w:r>
      <w:r w:rsidRPr="00297B30">
        <w:rPr>
          <w:rFonts w:eastAsiaTheme="minorEastAsia"/>
          <w:szCs w:val="24"/>
          <w:lang w:val="es-ES_tradnl"/>
        </w:rPr>
        <w:t>198,6 dB(W/Hz).</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especificación del caso peor establece que el SARP está diseñado para funcionar correctamente cuando la señal recibida tiene una potencia de </w:t>
      </w:r>
      <w:r w:rsidRPr="00297B30">
        <w:rPr>
          <w:rFonts w:eastAsiaTheme="minorEastAsia"/>
          <w:i/>
          <w:iCs/>
          <w:szCs w:val="24"/>
          <w:lang w:val="es-ES_tradnl"/>
        </w:rPr>
        <w:t>C</w:t>
      </w:r>
      <w:r w:rsidRPr="00297B30">
        <w:rPr>
          <w:rFonts w:eastAsiaTheme="minorEastAsia"/>
          <w:szCs w:val="24"/>
          <w:lang w:val="es-ES_tradnl"/>
        </w:rPr>
        <w:t xml:space="preserve"> = –161 </w:t>
      </w:r>
      <w:proofErr w:type="spellStart"/>
      <w:r w:rsidRPr="00297B30">
        <w:rPr>
          <w:rFonts w:eastAsiaTheme="minorEastAsia"/>
          <w:szCs w:val="24"/>
          <w:lang w:val="es-ES_tradnl"/>
        </w:rPr>
        <w:t>dBW</w:t>
      </w:r>
      <w:proofErr w:type="spellEnd"/>
      <w:r w:rsidRPr="00297B30">
        <w:rPr>
          <w:rFonts w:eastAsiaTheme="minorEastAsia"/>
          <w:szCs w:val="24"/>
          <w:lang w:val="es-ES_tradnl"/>
        </w:rPr>
        <w:t xml:space="preserve"> (nivel mínimo de la señal recibida) a la entrada del receptor, lo cual proporciona un valor efectivo de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ascii="Tms Rmn" w:eastAsiaTheme="minorEastAsia" w:hAnsi="Tms Rmn" w:cs="Tms Rmn"/>
          <w:sz w:val="4"/>
          <w:szCs w:val="4"/>
          <w:lang w:val="es-ES_tradnl"/>
        </w:rPr>
        <w:t> </w:t>
      </w:r>
      <w:r w:rsidRPr="00297B30">
        <w:rPr>
          <w:rFonts w:eastAsiaTheme="minorEastAsia"/>
          <w:szCs w:val="24"/>
          <w:lang w:val="es-ES_tradnl"/>
        </w:rPr>
        <w:t>/</w:t>
      </w:r>
      <w:r w:rsidRPr="00297B30">
        <w:rPr>
          <w:rFonts w:ascii="Tms Rmn" w:eastAsiaTheme="minorEastAsia" w:hAnsi="Tms Rmn" w:cs="Tms Rmn"/>
          <w:sz w:val="4"/>
          <w:szCs w:val="4"/>
          <w:lang w:val="es-ES_tradnl"/>
        </w:rPr>
        <w:t>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 9,1 dB en el detector binario </w:t>
      </w:r>
      <w:r w:rsidRPr="00297B30">
        <w:rPr>
          <w:rFonts w:eastAsiaTheme="minorEastAsia"/>
          <w:szCs w:val="24"/>
          <w:lang w:val="es-ES_tradnl"/>
        </w:rPr>
        <w:lastRenderedPageBreak/>
        <w:t>del SARP si se tiene en cuenta la forma de onda de la baliza y las diversas pérdidas existentes. En este caso, la correspondiente BER es 2,6 × 10</w:t>
      </w:r>
      <w:r w:rsidRPr="00297B30">
        <w:rPr>
          <w:rFonts w:eastAsiaTheme="minorEastAsia"/>
          <w:szCs w:val="24"/>
          <w:vertAlign w:val="superscript"/>
          <w:lang w:val="es-ES_tradnl"/>
        </w:rPr>
        <w:t>–5</w:t>
      </w:r>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szCs w:val="24"/>
          <w:lang w:val="es-ES_tradnl"/>
        </w:rPr>
        <w:t>Por lo tanto, para conseguir una BER de 5 </w:t>
      </w:r>
      <w:r w:rsidRPr="00297B30">
        <w:rPr>
          <w:rFonts w:eastAsiaTheme="minorEastAsia"/>
          <w:lang w:val="es-ES_tradnl"/>
        </w:rPr>
        <w:t>×</w:t>
      </w:r>
      <w:r w:rsidRPr="00297B30">
        <w:rPr>
          <w:rFonts w:eastAsiaTheme="minorEastAsia"/>
          <w:szCs w:val="24"/>
          <w:lang w:val="es-ES_tradnl"/>
        </w:rPr>
        <w:t> 10</w:t>
      </w:r>
      <w:r w:rsidRPr="00297B30">
        <w:rPr>
          <w:rFonts w:eastAsiaTheme="minorEastAsia"/>
          <w:szCs w:val="24"/>
          <w:vertAlign w:val="superscript"/>
          <w:lang w:val="es-ES_tradnl"/>
        </w:rPr>
        <w:t>–5</w:t>
      </w:r>
      <w:r w:rsidRPr="00297B30">
        <w:rPr>
          <w:rFonts w:eastAsiaTheme="minorEastAsia"/>
          <w:szCs w:val="24"/>
          <w:lang w:val="es-ES_tradnl"/>
        </w:rPr>
        <w:t xml:space="preserve"> (que es aproximadamente el doble de la BER) la degradación máxima aceptable es de 0,3 dB. Con una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ascii="Tms Rmn" w:eastAsiaTheme="minorEastAsia" w:hAnsi="Tms Rmn" w:cs="Tms Rmn"/>
          <w:sz w:val="4"/>
          <w:szCs w:val="4"/>
          <w:lang w:val="es-ES_tradnl"/>
        </w:rPr>
        <w:t> </w:t>
      </w:r>
      <w:r w:rsidRPr="00297B30">
        <w:rPr>
          <w:rFonts w:eastAsiaTheme="minorEastAsia"/>
          <w:szCs w:val="24"/>
          <w:lang w:val="es-ES_tradnl"/>
        </w:rPr>
        <w:t>/</w:t>
      </w:r>
      <w:r w:rsidRPr="00297B30">
        <w:rPr>
          <w:rFonts w:ascii="Tms Rmn" w:eastAsiaTheme="minorEastAsia" w:hAnsi="Tms Rmn" w:cs="Tms Rmn"/>
          <w:sz w:val="4"/>
          <w:szCs w:val="4"/>
          <w:lang w:val="es-ES_tradnl"/>
        </w:rPr>
        <w:t>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8,8 dB, la BER es 4,8 </w:t>
      </w:r>
      <w:r w:rsidRPr="00297B30">
        <w:rPr>
          <w:rFonts w:eastAsiaTheme="minorEastAsia"/>
          <w:lang w:val="es-ES_tradnl"/>
        </w:rPr>
        <w:t>×</w:t>
      </w:r>
      <w:r w:rsidRPr="00297B30">
        <w:rPr>
          <w:rFonts w:eastAsiaTheme="minorEastAsia"/>
          <w:szCs w:val="24"/>
          <w:lang w:val="es-ES_tradnl"/>
        </w:rPr>
        <w:t> 10</w:t>
      </w:r>
      <w:r w:rsidRPr="00297B30">
        <w:rPr>
          <w:rFonts w:eastAsiaTheme="minorEastAsia"/>
          <w:szCs w:val="24"/>
          <w:vertAlign w:val="superscript"/>
          <w:lang w:val="es-ES_tradnl"/>
        </w:rPr>
        <w:t>–5</w:t>
      </w:r>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szCs w:val="24"/>
          <w:lang w:val="es-ES_tradnl"/>
        </w:rPr>
        <w:t>A continuación se calcula el ruido aditivo correspondiente a una degradación de 0,3 dB para la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Sea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xml:space="preserve"> la densidad de potencia de ruido aditiva procedente de sistemas SMS no OSG interferentes.</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El ruido inicial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pasa a ser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relación señal/ruido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pasa a ser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szCs w:val="24"/>
          <w:lang w:val="es-ES_tradnl"/>
        </w:rPr>
        <w:t>La degradación es de 0,3 dB = 10 log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xml:space="preserve">))), por tanto,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ascii="Tms Rmn" w:eastAsiaTheme="minorEastAsia" w:hAnsi="Tms Rmn" w:cs="Tms Rmn"/>
          <w:sz w:val="4"/>
          <w:szCs w:val="4"/>
          <w:lang w:val="es-ES_tradnl"/>
        </w:rPr>
        <w:t> </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 –11,5 dB e </w:t>
      </w:r>
      <w:r w:rsidRPr="00297B30">
        <w:rPr>
          <w:rFonts w:eastAsiaTheme="minorEastAsia"/>
          <w:szCs w:val="24"/>
          <w:lang w:val="es-ES_tradnl"/>
        </w:rPr>
        <w:fldChar w:fldCharType="begin"/>
      </w:r>
      <w:r w:rsidRPr="00297B30">
        <w:rPr>
          <w:rFonts w:eastAsiaTheme="minorEastAsia"/>
          <w:szCs w:val="24"/>
          <w:lang w:val="es-ES_tradnl"/>
        </w:rPr>
        <w:instrText xml:space="preserve"> EQ  </w:instrText>
      </w:r>
      <w:r w:rsidRPr="00297B30">
        <w:rPr>
          <w:rFonts w:eastAsiaTheme="minorEastAsia"/>
          <w:i/>
          <w:iCs/>
          <w:szCs w:val="24"/>
          <w:lang w:val="es-ES_tradnl"/>
        </w:rPr>
        <w:instrText>I</w:instrText>
      </w:r>
      <w:r w:rsidRPr="00297B30">
        <w:rPr>
          <w:rFonts w:eastAsiaTheme="minorEastAsia"/>
          <w:szCs w:val="24"/>
          <w:vertAlign w:val="subscript"/>
          <w:lang w:val="es-ES_tradnl"/>
        </w:rPr>
        <w:instrText>0</w:instrText>
      </w:r>
      <w:r w:rsidRPr="00297B30">
        <w:rPr>
          <w:rFonts w:eastAsiaTheme="minorEastAsia"/>
          <w:szCs w:val="24"/>
          <w:lang w:val="es-ES_tradnl"/>
        </w:rPr>
        <w:instrText> </w:instrText>
      </w:r>
      <w:r w:rsidRPr="00297B30">
        <w:rPr>
          <w:rFonts w:ascii="Symbol" w:eastAsiaTheme="minorEastAsia" w:hAnsi="Symbol" w:cs="Symbol"/>
          <w:szCs w:val="24"/>
          <w:lang w:val="es-ES_tradnl"/>
        </w:rPr>
        <w:instrText></w:instrText>
      </w:r>
      <w:r w:rsidRPr="00297B30">
        <w:rPr>
          <w:rFonts w:eastAsiaTheme="minorEastAsia"/>
          <w:szCs w:val="24"/>
          <w:lang w:val="es-ES_tradnl"/>
        </w:rPr>
        <w:instrText> </w:instrText>
      </w:r>
      <w:r w:rsidRPr="00297B30">
        <w:rPr>
          <w:rFonts w:eastAsiaTheme="minorEastAsia"/>
          <w:lang w:val="es-ES_tradnl"/>
        </w:rPr>
        <w:instrText>–</w:instrText>
      </w:r>
      <w:r w:rsidRPr="00297B30">
        <w:rPr>
          <w:rFonts w:eastAsiaTheme="minorEastAsia"/>
          <w:szCs w:val="24"/>
          <w:lang w:val="es-ES_tradnl"/>
        </w:rPr>
        <w:instrText>210,1 dB(W/Hz)</w:instrText>
      </w:r>
      <w:r w:rsidRPr="00297B30">
        <w:rPr>
          <w:rFonts w:eastAsiaTheme="minorEastAsia"/>
          <w:szCs w:val="24"/>
          <w:lang w:val="es-ES_tradnl"/>
        </w:rPr>
        <w:fldChar w:fldCharType="end"/>
      </w:r>
      <w:r w:rsidRPr="00297B30">
        <w:rPr>
          <w:rFonts w:eastAsiaTheme="minorEastAsia"/>
          <w:szCs w:val="24"/>
          <w:lang w:val="es-ES_tradnl"/>
        </w:rPr>
        <w:t xml:space="preserve"> que corresponde a una temperatura de 70,8 K, y por tanto a un aumento de la temperatura de ruido del sistema del 7% a la entrada del receptor SARP.</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Por lo tanto, el máximo nivel admisible de nivel de densidad de ruido es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lang w:val="es-ES_tradnl"/>
        </w:rPr>
        <w:t>–</w:t>
      </w:r>
      <w:r w:rsidRPr="00297B30">
        <w:rPr>
          <w:rFonts w:eastAsiaTheme="minorEastAsia"/>
          <w:szCs w:val="24"/>
          <w:lang w:val="es-ES_tradnl"/>
        </w:rPr>
        <w:t>210,1 dB(W/Hz) (calculado para el punto B de la Fig. 1).</w:t>
      </w:r>
    </w:p>
    <w:p w:rsidR="00543337" w:rsidRPr="00297B30" w:rsidRDefault="00543337" w:rsidP="00543337">
      <w:pPr>
        <w:tabs>
          <w:tab w:val="clear" w:pos="794"/>
          <w:tab w:val="clear" w:pos="1191"/>
          <w:tab w:val="clear" w:pos="1588"/>
          <w:tab w:val="clear" w:pos="1985"/>
        </w:tabs>
        <w:overflowPunct/>
        <w:autoSpaceDE/>
        <w:autoSpaceDN/>
        <w:adjustRightInd/>
        <w:spacing w:before="0"/>
        <w:jc w:val="left"/>
        <w:textAlignment w:val="auto"/>
        <w:rPr>
          <w:rFonts w:eastAsiaTheme="minorEastAsia"/>
          <w:szCs w:val="24"/>
          <w:lang w:val="es-ES_tradnl"/>
        </w:rPr>
      </w:pPr>
      <w:r w:rsidRPr="00297B30">
        <w:rPr>
          <w:rFonts w:eastAsiaTheme="minorEastAsia"/>
          <w:szCs w:val="24"/>
          <w:lang w:val="es-ES_tradnl"/>
        </w:rPr>
        <w:t xml:space="preserve">Tal como se muestra en la Fig. 1, la densidad de ruido,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xml:space="preserve">, tiene en cuenta la atenuación y la ganancia de la antena. Dado que se necesita la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es preciso transformar esta cifra en dB(W/(m</w:t>
      </w:r>
      <w:r w:rsidRPr="00297B30">
        <w:rPr>
          <w:rFonts w:eastAsiaTheme="minorEastAsia"/>
          <w:szCs w:val="24"/>
          <w:vertAlign w:val="superscript"/>
          <w:lang w:val="es-ES_tradnl"/>
        </w:rPr>
        <w:t>2</w:t>
      </w:r>
      <w:r w:rsidRPr="00297B30">
        <w:rPr>
          <w:rFonts w:eastAsiaTheme="minorEastAsia"/>
          <w:szCs w:val="24"/>
          <w:lang w:val="es-ES_tradnl"/>
        </w:rPr>
        <w:t> · Hz)). El área de la superficie equivalente de una antena con una ganancia </w:t>
      </w:r>
      <w:r w:rsidRPr="00297B30">
        <w:rPr>
          <w:rFonts w:eastAsiaTheme="minorEastAsia"/>
          <w:i/>
          <w:iCs/>
          <w:szCs w:val="24"/>
          <w:lang w:val="es-ES_tradnl"/>
        </w:rPr>
        <w:t>G</w:t>
      </w:r>
      <w:r w:rsidRPr="00297B30">
        <w:rPr>
          <w:rFonts w:eastAsiaTheme="minorEastAsia"/>
          <w:szCs w:val="24"/>
          <w:lang w:val="es-ES_tradnl"/>
        </w:rPr>
        <w:t xml:space="preserve"> es </w:t>
      </w:r>
      <w:r w:rsidRPr="00297B30">
        <w:rPr>
          <w:rFonts w:eastAsiaTheme="minorEastAsia"/>
          <w:position w:val="-24"/>
          <w:szCs w:val="24"/>
          <w:lang w:val="es-ES_tradnl"/>
        </w:rPr>
        <w:object w:dxaOrig="900" w:dyaOrig="700">
          <v:shape id="_x0000_i1026" type="#_x0000_t75" style="width:44.85pt;height:34.65pt" o:ole="">
            <v:imagedata r:id="rId15" o:title=""/>
          </v:shape>
          <o:OLEObject Type="Embed" ProgID="Equation.3" ShapeID="_x0000_i1026" DrawAspect="Content" ObjectID="_1501062597" r:id="rId16"/>
        </w:object>
      </w:r>
      <w:r w:rsidRPr="00297B30">
        <w:rPr>
          <w:rFonts w:eastAsiaTheme="minorEastAsia"/>
          <w:szCs w:val="24"/>
          <w:lang w:val="es-ES_tradnl"/>
        </w:rPr>
        <w:t xml:space="preserve">. Por tanto, la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correspondiente es –210 + 1,6 (pérdidas) − 10 log</w:t>
      </w:r>
      <w:r w:rsidRPr="00297B30">
        <w:rPr>
          <w:rFonts w:eastAsiaTheme="minorEastAsia"/>
          <w:szCs w:val="24"/>
          <w:vertAlign w:val="subscript"/>
          <w:lang w:val="es-ES_tradnl"/>
        </w:rPr>
        <w:t xml:space="preserve">10 </w:t>
      </w:r>
      <w:r w:rsidRPr="00297B30">
        <w:rPr>
          <w:rFonts w:eastAsiaTheme="minorEastAsia"/>
          <w:szCs w:val="24"/>
          <w:vertAlign w:val="subscript"/>
          <w:lang w:val="es-ES_tradnl"/>
        </w:rPr>
        <w:fldChar w:fldCharType="begin"/>
      </w:r>
      <w:r w:rsidRPr="00297B30">
        <w:rPr>
          <w:rFonts w:eastAsiaTheme="minorEastAsia"/>
          <w:szCs w:val="24"/>
          <w:vertAlign w:val="subscript"/>
          <w:lang w:val="es-ES_tradnl"/>
        </w:rPr>
        <w:instrText xml:space="preserve"> EQ  </w:instrText>
      </w:r>
      <w:r w:rsidRPr="00297B30">
        <w:rPr>
          <w:rFonts w:eastAsiaTheme="minorEastAsia"/>
          <w:i/>
          <w:iCs/>
          <w:szCs w:val="24"/>
          <w:lang w:val="es-ES_tradnl"/>
        </w:rPr>
        <w:instrText>S</w:instrText>
      </w:r>
      <w:r w:rsidRPr="00297B30">
        <w:rPr>
          <w:rFonts w:eastAsiaTheme="minorEastAsia"/>
          <w:szCs w:val="24"/>
          <w:lang w:val="es-ES_tradnl"/>
        </w:rPr>
        <w:instrText> = –198,6 dB(W/(m</w:instrText>
      </w:r>
      <w:r w:rsidRPr="00297B30">
        <w:rPr>
          <w:rFonts w:eastAsiaTheme="minorEastAsia"/>
          <w:szCs w:val="24"/>
          <w:vertAlign w:val="superscript"/>
          <w:lang w:val="es-ES_tradnl"/>
        </w:rPr>
        <w:instrText>2</w:instrText>
      </w:r>
      <w:r w:rsidRPr="00297B30">
        <w:rPr>
          <w:rFonts w:eastAsiaTheme="minorEastAsia"/>
          <w:szCs w:val="24"/>
          <w:lang w:val="es-ES_tradnl"/>
        </w:rPr>
        <w:instrText> · Hz))</w:instrText>
      </w:r>
      <w:r w:rsidRPr="00297B30">
        <w:rPr>
          <w:rFonts w:eastAsiaTheme="minorEastAsia"/>
          <w:szCs w:val="24"/>
          <w:vertAlign w:val="subscript"/>
          <w:lang w:val="es-ES_tradnl"/>
        </w:rPr>
        <w:fldChar w:fldCharType="end"/>
      </w:r>
      <w:r w:rsidRPr="00297B30">
        <w:rPr>
          <w:rFonts w:eastAsiaTheme="minorEastAsia"/>
          <w:szCs w:val="24"/>
          <w:lang w:val="es-ES_tradnl"/>
        </w:rPr>
        <w:t>, teniendo en cuenta el ángulo nadir más elevado del satélite.</w:t>
      </w:r>
    </w:p>
    <w:p w:rsidR="00543337" w:rsidRPr="00297B30" w:rsidRDefault="00543337" w:rsidP="00543337">
      <w:pPr>
        <w:rPr>
          <w:rFonts w:eastAsiaTheme="minorEastAsia"/>
          <w:lang w:val="es-ES_tradnl"/>
        </w:rPr>
      </w:pPr>
      <w:r w:rsidRPr="00297B30">
        <w:rPr>
          <w:rFonts w:eastAsiaTheme="minorEastAsia"/>
          <w:lang w:val="es-ES_tradnl"/>
        </w:rPr>
        <w:t>El nivel máximo de interferencia de ruido de banda ancha en la banda 406</w:t>
      </w:r>
      <w:r w:rsidRPr="00297B30">
        <w:rPr>
          <w:rFonts w:eastAsiaTheme="minorEastAsia"/>
          <w:lang w:val="es-ES_tradnl"/>
        </w:rPr>
        <w:noBreakHyphen/>
        <w:t xml:space="preserve">406,1 MHz no deberá exceder de </w:t>
      </w:r>
      <w:r w:rsidRPr="00297B30">
        <w:rPr>
          <w:lang w:val="es-ES_tradnl"/>
        </w:rPr>
        <w:t>–</w:t>
      </w:r>
      <w:r w:rsidRPr="00297B30">
        <w:rPr>
          <w:rFonts w:eastAsiaTheme="minorEastAsia"/>
          <w:lang w:val="es-ES_tradnl"/>
        </w:rPr>
        <w:t>198,6 dB(W/(m</w:t>
      </w:r>
      <w:r w:rsidRPr="00297B30">
        <w:rPr>
          <w:rFonts w:eastAsiaTheme="minorEastAsia"/>
          <w:vertAlign w:val="superscript"/>
          <w:lang w:val="es-ES_tradnl"/>
        </w:rPr>
        <w:t>2</w:t>
      </w:r>
      <w:r w:rsidRPr="00297B30">
        <w:rPr>
          <w:rFonts w:eastAsiaTheme="minorEastAsia"/>
          <w:lang w:val="es-ES_tradnl"/>
        </w:rPr>
        <w:t xml:space="preserve"> · Hz)) para proteger los instrumentos del SARP </w:t>
      </w:r>
      <w:proofErr w:type="spellStart"/>
      <w:r w:rsidRPr="00297B30">
        <w:rPr>
          <w:rFonts w:eastAsiaTheme="minorEastAsia"/>
          <w:lang w:val="es-ES_tradnl"/>
        </w:rPr>
        <w:t>Sarsat</w:t>
      </w:r>
      <w:proofErr w:type="spellEnd"/>
      <w:r w:rsidRPr="00297B30">
        <w:rPr>
          <w:rFonts w:eastAsiaTheme="minorEastAsia"/>
          <w:lang w:val="es-ES_tradnl"/>
        </w:rPr>
        <w:t>.</w:t>
      </w:r>
    </w:p>
    <w:p w:rsidR="00543337" w:rsidRPr="00297B30" w:rsidRDefault="00543337" w:rsidP="00543337">
      <w:pPr>
        <w:pStyle w:val="Heading1"/>
        <w:rPr>
          <w:lang w:val="es-ES_tradnl"/>
        </w:rPr>
      </w:pPr>
      <w:r w:rsidRPr="00297B30">
        <w:rPr>
          <w:lang w:val="es-ES_tradnl"/>
        </w:rPr>
        <w:t>4</w:t>
      </w:r>
      <w:r w:rsidRPr="00297B30">
        <w:rPr>
          <w:lang w:val="es-ES_tradnl"/>
        </w:rPr>
        <w:tab/>
        <w:t xml:space="preserve">Límite superior del desplazamiento </w:t>
      </w:r>
      <w:proofErr w:type="spellStart"/>
      <w:r w:rsidRPr="00297B30">
        <w:rPr>
          <w:lang w:val="es-ES_tradnl"/>
        </w:rPr>
        <w:t>Doppler</w:t>
      </w:r>
      <w:proofErr w:type="spellEnd"/>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Cualquiera que sea la anchura de banda propuesta, se deberá tener en cuenta el desplazamiento debido al efecto </w:t>
      </w:r>
      <w:proofErr w:type="spellStart"/>
      <w:r w:rsidRPr="00297B30">
        <w:rPr>
          <w:rFonts w:eastAsiaTheme="minorEastAsia"/>
          <w:szCs w:val="24"/>
          <w:lang w:val="es-ES_tradnl"/>
        </w:rPr>
        <w:t>Doppler</w:t>
      </w:r>
      <w:proofErr w:type="spellEnd"/>
      <w:r w:rsidRPr="00297B30">
        <w:rPr>
          <w:rFonts w:eastAsiaTheme="minorEastAsia"/>
          <w:szCs w:val="24"/>
          <w:lang w:val="es-ES_tradnl"/>
        </w:rPr>
        <w:t xml:space="preserve">. El valor máximo del desplazamiento </w:t>
      </w:r>
      <w:proofErr w:type="spellStart"/>
      <w:r w:rsidRPr="00297B30">
        <w:rPr>
          <w:rFonts w:eastAsiaTheme="minorEastAsia"/>
          <w:szCs w:val="24"/>
          <w:lang w:val="es-ES_tradnl"/>
        </w:rPr>
        <w:t>Doppler</w:t>
      </w:r>
      <w:proofErr w:type="spellEnd"/>
      <w:r w:rsidRPr="00297B30">
        <w:rPr>
          <w:rFonts w:eastAsiaTheme="minorEastAsia"/>
          <w:szCs w:val="24"/>
          <w:lang w:val="es-ES_tradnl"/>
        </w:rPr>
        <w:t xml:space="preserve"> debe examinarse con cuidado. El caso peor tiene lugar cuando el satélite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y el satélite SMS no OSG están ubicados en la misma órbita y viajan en sentidos opuestos. En ese caso siempre es aplicable el análisis siguiente.</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señal SMS no OSG procede del punto A. El satélite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se representa por el punto B. El satélite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se desplaza a una velocidad </w:t>
      </w:r>
      <w:r w:rsidRPr="00297B30">
        <w:rPr>
          <w:rFonts w:eastAsiaTheme="minorEastAsia"/>
          <w:i/>
          <w:iCs/>
          <w:szCs w:val="24"/>
          <w:lang w:val="es-ES_tradnl"/>
        </w:rPr>
        <w:t>V</w:t>
      </w:r>
      <w:r w:rsidRPr="00297B30">
        <w:rPr>
          <w:rFonts w:eastAsiaTheme="minorEastAsia"/>
          <w:i/>
          <w:iCs/>
          <w:szCs w:val="24"/>
          <w:vertAlign w:val="subscript"/>
          <w:lang w:val="es-ES_tradnl"/>
        </w:rPr>
        <w:t>B</w:t>
      </w:r>
      <w:r w:rsidRPr="00297B30">
        <w:rPr>
          <w:rFonts w:eastAsiaTheme="minorEastAsia"/>
          <w:szCs w:val="24"/>
          <w:lang w:val="es-ES_tradnl"/>
        </w:rPr>
        <w:t xml:space="preserve">. Si el satélite SMS no OSG no se estuviera moviendo, la frecuencia recibida en </w:t>
      </w:r>
      <w:r w:rsidRPr="00297B30">
        <w:rPr>
          <w:rFonts w:eastAsiaTheme="minorEastAsia"/>
          <w:i/>
          <w:iCs/>
          <w:szCs w:val="24"/>
          <w:lang w:val="es-ES_tradnl"/>
        </w:rPr>
        <w:t>B</w:t>
      </w:r>
      <w:r w:rsidRPr="00297B30">
        <w:rPr>
          <w:rFonts w:eastAsiaTheme="minorEastAsia"/>
          <w:szCs w:val="24"/>
          <w:lang w:val="es-ES_tradnl"/>
        </w:rPr>
        <w:t xml:space="preserve"> sería </w:t>
      </w:r>
      <w:r>
        <w:rPr>
          <w:position w:val="-26"/>
        </w:rPr>
        <w:object w:dxaOrig="1460" w:dyaOrig="620">
          <v:shape id="_x0000_i1027" type="#_x0000_t75" style="width:73.35pt;height:31.25pt" o:ole="">
            <v:imagedata r:id="rId17" o:title=""/>
          </v:shape>
          <o:OLEObject Type="Embed" ProgID="Equation.3" ShapeID="_x0000_i1027" DrawAspect="Content" ObjectID="_1501062598" r:id="rId18"/>
        </w:object>
      </w:r>
      <w:r w:rsidRPr="00297B30">
        <w:rPr>
          <w:rFonts w:eastAsiaTheme="minorEastAsia"/>
          <w:szCs w:val="24"/>
          <w:lang w:val="es-ES_tradnl"/>
        </w:rPr>
        <w:t xml:space="preserve"> en el caso peor. Por otro lado, la frecuencia recibida en B tiene el mismo valor si el satélite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no se está moviendo y el satélite SMS no OSG se está moviendo. Si la altitud del satélite es de 850 km, su velocidad es de 7 426 m/s.</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Si ambos satélites se mueven en sentidos opuestos, el límite superior del desplazamiento </w:t>
      </w:r>
      <w:proofErr w:type="spellStart"/>
      <w:r w:rsidRPr="00297B30">
        <w:rPr>
          <w:rFonts w:eastAsiaTheme="minorEastAsia"/>
          <w:szCs w:val="24"/>
          <w:lang w:val="es-ES_tradnl"/>
        </w:rPr>
        <w:t>Doppler</w:t>
      </w:r>
      <w:proofErr w:type="spellEnd"/>
      <w:r w:rsidRPr="00297B30">
        <w:rPr>
          <w:rFonts w:eastAsiaTheme="minorEastAsia"/>
          <w:szCs w:val="24"/>
          <w:lang w:val="es-ES_tradnl"/>
        </w:rPr>
        <w:t xml:space="preserve"> es:</w:t>
      </w:r>
    </w:p>
    <w:p w:rsidR="00543337" w:rsidRPr="00297B30" w:rsidRDefault="00543337" w:rsidP="00543337">
      <w:pPr>
        <w:pStyle w:val="Equation"/>
        <w:jc w:val="left"/>
        <w:rPr>
          <w:rFonts w:eastAsiaTheme="minorEastAsia"/>
          <w:lang w:val="es-ES_tradnl"/>
        </w:rPr>
      </w:pPr>
      <w:r w:rsidRPr="00297B30">
        <w:rPr>
          <w:rFonts w:eastAsiaTheme="minorEastAsia"/>
          <w:position w:val="-10"/>
          <w:lang w:val="es-ES_tradnl"/>
        </w:rPr>
        <w:tab/>
      </w:r>
      <w:r w:rsidRPr="00297B30">
        <w:rPr>
          <w:rFonts w:eastAsiaTheme="minorEastAsia"/>
          <w:position w:val="-10"/>
          <w:lang w:val="es-ES_tradnl"/>
        </w:rPr>
        <w:tab/>
      </w:r>
      <w:r>
        <w:rPr>
          <w:position w:val="-10"/>
        </w:rPr>
        <w:object w:dxaOrig="2040" w:dyaOrig="340">
          <v:shape id="_x0000_i1028" type="#_x0000_t75" style="width:101.9pt;height:17pt" o:ole="">
            <v:imagedata r:id="rId19" o:title=""/>
          </v:shape>
          <o:OLEObject Type="Embed" ProgID="Equation.3" ShapeID="_x0000_i1028" DrawAspect="Content" ObjectID="_1501062599" r:id="rId20"/>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Se trata de la situación en el caso peor y no es necesariamente aplicable a todos los sistemas SMS propuestos.</w:t>
      </w:r>
    </w:p>
    <w:p w:rsidR="00543337" w:rsidRPr="00297B30" w:rsidRDefault="00543337" w:rsidP="00543337">
      <w:pPr>
        <w:pStyle w:val="Heading1"/>
        <w:rPr>
          <w:lang w:val="es-ES_tradnl"/>
        </w:rPr>
      </w:pPr>
      <w:r w:rsidRPr="00297B30">
        <w:rPr>
          <w:lang w:val="es-ES_tradnl"/>
        </w:rPr>
        <w:t>5</w:t>
      </w:r>
      <w:r w:rsidRPr="00297B30">
        <w:rPr>
          <w:lang w:val="es-ES_tradnl"/>
        </w:rPr>
        <w:tab/>
        <w:t>Conclusiones y recomendaciones</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Sobre la base de los cálculos anteriores, las conclusiones y recomendaciones sobre el impacto de las emisiones procedentes de las bandas de frecuencia adyacentes sobre el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son las siguientes:</w:t>
      </w:r>
    </w:p>
    <w:p w:rsidR="00543337" w:rsidRPr="00297B30" w:rsidRDefault="00543337" w:rsidP="00543337">
      <w:pPr>
        <w:pStyle w:val="enumlev1"/>
        <w:rPr>
          <w:lang w:val="es-ES_tradnl"/>
        </w:rPr>
      </w:pPr>
      <w:r w:rsidRPr="00297B30">
        <w:rPr>
          <w:lang w:val="es-ES_tradnl"/>
        </w:rPr>
        <w:lastRenderedPageBreak/>
        <w:t>–</w:t>
      </w:r>
      <w:r w:rsidRPr="00297B30">
        <w:rPr>
          <w:lang w:val="es-ES_tradnl"/>
        </w:rPr>
        <w:tab/>
        <w:t xml:space="preserve">el nivel máximo de interferencia debido a ruido de </w:t>
      </w:r>
      <w:r w:rsidR="005317B8">
        <w:rPr>
          <w:lang w:val="es-ES_tradnl"/>
        </w:rPr>
        <w:t>banda ancha en la banda de 406</w:t>
      </w:r>
      <w:r w:rsidR="005317B8">
        <w:rPr>
          <w:lang w:val="es-ES_tradnl"/>
        </w:rPr>
        <w:noBreakHyphen/>
      </w:r>
      <w:r w:rsidRPr="00297B30">
        <w:rPr>
          <w:lang w:val="es-ES_tradnl"/>
        </w:rPr>
        <w:t>406,1 MHz no excederá –198,6 dB(W/(m2 · Hz)) para proteger los instrumentos del SARP </w:t>
      </w:r>
      <w:proofErr w:type="spellStart"/>
      <w:r w:rsidRPr="00297B30">
        <w:rPr>
          <w:lang w:val="es-ES_tradnl"/>
        </w:rPr>
        <w:t>Sarsat</w:t>
      </w:r>
      <w:proofErr w:type="spellEnd"/>
      <w:r w:rsidRPr="00297B30">
        <w:rPr>
          <w:lang w:val="es-ES_tradnl"/>
        </w:rPr>
        <w:t>;</w:t>
      </w:r>
    </w:p>
    <w:p w:rsidR="00543337" w:rsidRPr="00297B30" w:rsidRDefault="00543337" w:rsidP="00543337">
      <w:pPr>
        <w:pStyle w:val="enumlev1"/>
        <w:rPr>
          <w:rFonts w:eastAsiaTheme="minorEastAsia"/>
          <w:szCs w:val="24"/>
          <w:lang w:val="es-ES_tradnl"/>
        </w:rPr>
      </w:pPr>
      <w:r w:rsidRPr="00297B30">
        <w:rPr>
          <w:rFonts w:eastAsiaTheme="minorEastAsia"/>
          <w:szCs w:val="24"/>
          <w:lang w:val="es-ES_tradnl"/>
        </w:rPr>
        <w:t>–</w:t>
      </w:r>
      <w:r w:rsidRPr="00297B30">
        <w:rPr>
          <w:rFonts w:eastAsiaTheme="minorEastAsia"/>
          <w:szCs w:val="24"/>
          <w:lang w:val="es-ES_tradnl"/>
        </w:rPr>
        <w:tab/>
        <w:t xml:space="preserve">el límite superior del desplazamiento </w:t>
      </w:r>
      <w:proofErr w:type="spellStart"/>
      <w:r w:rsidRPr="00297B30">
        <w:rPr>
          <w:rFonts w:eastAsiaTheme="minorEastAsia"/>
          <w:szCs w:val="24"/>
          <w:lang w:val="es-ES_tradnl"/>
        </w:rPr>
        <w:t>Doppler</w:t>
      </w:r>
      <w:proofErr w:type="spellEnd"/>
      <w:r w:rsidRPr="00297B30">
        <w:rPr>
          <w:rFonts w:eastAsiaTheme="minorEastAsia"/>
          <w:szCs w:val="24"/>
          <w:lang w:val="es-ES_tradnl"/>
        </w:rPr>
        <w:t xml:space="preserve"> es de 20 kHz;</w:t>
      </w:r>
    </w:p>
    <w:p w:rsidR="00543337" w:rsidRPr="00297B30" w:rsidRDefault="00543337" w:rsidP="00543337">
      <w:pPr>
        <w:pStyle w:val="enumlev1"/>
        <w:rPr>
          <w:rFonts w:eastAsiaTheme="minorEastAsia"/>
          <w:szCs w:val="24"/>
          <w:lang w:val="es-ES_tradnl"/>
        </w:rPr>
      </w:pPr>
      <w:r w:rsidRPr="00297B30">
        <w:rPr>
          <w:rFonts w:eastAsiaTheme="minorEastAsia"/>
          <w:szCs w:val="24"/>
          <w:lang w:val="es-ES_tradnl"/>
        </w:rPr>
        <w:t>–</w:t>
      </w:r>
      <w:r w:rsidRPr="00297B30">
        <w:rPr>
          <w:rFonts w:eastAsiaTheme="minorEastAsia"/>
          <w:szCs w:val="24"/>
          <w:lang w:val="es-ES_tradnl"/>
        </w:rPr>
        <w:tab/>
        <w:t>se recomienda que se realicen estudios adicionales para determinar el impacto sobre los C</w:t>
      </w:r>
      <w:r w:rsidRPr="00297B30">
        <w:rPr>
          <w:rFonts w:eastAsiaTheme="minorEastAsia"/>
          <w:szCs w:val="24"/>
          <w:lang w:val="es-ES_tradnl"/>
        </w:rPr>
        <w:noBreakHyphen/>
        <w:t xml:space="preserve">S de sistemas del SMS que hagan uso de la banda 405-406 MHz con una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de −198,6 dB(W/(m</w:t>
      </w:r>
      <w:r w:rsidRPr="00297B30">
        <w:rPr>
          <w:rFonts w:eastAsiaTheme="minorEastAsia"/>
          <w:szCs w:val="24"/>
          <w:vertAlign w:val="superscript"/>
          <w:lang w:val="es-ES_tradnl"/>
        </w:rPr>
        <w:t>2</w:t>
      </w:r>
      <w:r w:rsidRPr="00297B30">
        <w:rPr>
          <w:rFonts w:eastAsiaTheme="minorEastAsia"/>
          <w:szCs w:val="24"/>
          <w:lang w:val="es-ES_tradnl"/>
        </w:rPr>
        <w:t xml:space="preserve"> · Hz)), un desplazamiento </w:t>
      </w:r>
      <w:proofErr w:type="spellStart"/>
      <w:r w:rsidRPr="00297B30">
        <w:rPr>
          <w:rFonts w:eastAsiaTheme="minorEastAsia"/>
          <w:szCs w:val="24"/>
          <w:lang w:val="es-ES_tradnl"/>
        </w:rPr>
        <w:t>Doppler</w:t>
      </w:r>
      <w:proofErr w:type="spellEnd"/>
      <w:r w:rsidRPr="00297B30">
        <w:rPr>
          <w:rFonts w:eastAsiaTheme="minorEastAsia"/>
          <w:szCs w:val="24"/>
          <w:lang w:val="es-ES_tradnl"/>
        </w:rPr>
        <w:t xml:space="preserve"> adecuado y teniendo en cuenta el escenario del caso peor asociado a toda la constelación del SMS prevista.</w:t>
      </w:r>
    </w:p>
    <w:p w:rsidR="00543337" w:rsidRDefault="00543337" w:rsidP="00543337">
      <w:pPr>
        <w:pStyle w:val="enumlev1"/>
        <w:rPr>
          <w:rFonts w:eastAsiaTheme="minorEastAsia"/>
          <w:szCs w:val="24"/>
          <w:lang w:val="es-ES_tradnl"/>
        </w:rPr>
      </w:pPr>
    </w:p>
    <w:p w:rsidR="005317B8" w:rsidRPr="00297B30" w:rsidRDefault="005317B8" w:rsidP="00543337">
      <w:pPr>
        <w:pStyle w:val="enumlev1"/>
        <w:rPr>
          <w:rFonts w:eastAsiaTheme="minorEastAsia"/>
          <w:szCs w:val="24"/>
          <w:lang w:val="es-ES_tradnl"/>
        </w:rPr>
      </w:pPr>
    </w:p>
    <w:p w:rsidR="00543337" w:rsidRPr="00297B30" w:rsidRDefault="00543337" w:rsidP="00543337">
      <w:pPr>
        <w:pStyle w:val="AnnexNoTitle"/>
        <w:rPr>
          <w:lang w:val="es-ES_tradnl"/>
        </w:rPr>
      </w:pPr>
      <w:r w:rsidRPr="00297B30">
        <w:rPr>
          <w:lang w:val="es-ES_tradnl"/>
        </w:rPr>
        <w:t>Anexo 2</w:t>
      </w:r>
      <w:r w:rsidRPr="00297B30">
        <w:rPr>
          <w:lang w:val="es-ES_tradnl"/>
        </w:rPr>
        <w:br/>
      </w:r>
      <w:r w:rsidRPr="00297B30">
        <w:rPr>
          <w:lang w:val="es-ES_tradnl"/>
        </w:rPr>
        <w:br/>
        <w:t>Criterios de protección de los sistemas C-S en la banda 406</w:t>
      </w:r>
      <w:r w:rsidRPr="00297B30">
        <w:rPr>
          <w:lang w:val="es-ES_tradnl"/>
        </w:rPr>
        <w:noBreakHyphen/>
        <w:t>406,1 MHz</w:t>
      </w:r>
      <w:r w:rsidRPr="00297B30">
        <w:rPr>
          <w:lang w:val="es-ES_tradnl"/>
        </w:rPr>
        <w:br/>
        <w:t>contra emisiones no esenciales de banda estrecha</w:t>
      </w:r>
    </w:p>
    <w:p w:rsidR="00543337" w:rsidRPr="00297B30" w:rsidRDefault="00543337" w:rsidP="00543337">
      <w:pPr>
        <w:pStyle w:val="Heading1"/>
        <w:rPr>
          <w:lang w:val="es-ES_tradnl"/>
        </w:rPr>
      </w:pPr>
      <w:r w:rsidRPr="00297B30">
        <w:rPr>
          <w:lang w:val="es-ES_tradnl"/>
        </w:rPr>
        <w:t>1</w:t>
      </w:r>
      <w:r w:rsidRPr="00297B30">
        <w:rPr>
          <w:lang w:val="es-ES_tradnl"/>
        </w:rPr>
        <w:tab/>
        <w:t>Introducción</w:t>
      </w:r>
    </w:p>
    <w:p w:rsidR="00543337" w:rsidRPr="00297B30" w:rsidRDefault="00543337" w:rsidP="00543337">
      <w:pPr>
        <w:rPr>
          <w:rFonts w:eastAsiaTheme="minorEastAsia"/>
          <w:szCs w:val="24"/>
          <w:lang w:val="es-ES_tradnl"/>
        </w:rPr>
      </w:pPr>
      <w:r w:rsidRPr="00297B30">
        <w:rPr>
          <w:rFonts w:eastAsiaTheme="minorEastAsia"/>
          <w:szCs w:val="24"/>
          <w:lang w:val="es-ES_tradnl"/>
        </w:rPr>
        <w:t>En este Anexo se proporciona información sobre el sistema C</w:t>
      </w:r>
      <w:r w:rsidRPr="00297B30">
        <w:rPr>
          <w:rFonts w:eastAsiaTheme="minorEastAsia"/>
          <w:szCs w:val="24"/>
          <w:lang w:val="es-ES_tradnl"/>
        </w:rPr>
        <w:noBreakHyphen/>
        <w:t xml:space="preserve">S y sus requisitos de protección contra las emisiones no esenciales de banda estrecha. </w:t>
      </w:r>
    </w:p>
    <w:p w:rsidR="00543337" w:rsidRPr="00297B30" w:rsidRDefault="00543337" w:rsidP="00543337">
      <w:pPr>
        <w:pStyle w:val="Heading1"/>
        <w:rPr>
          <w:lang w:val="es-ES_tradnl"/>
        </w:rPr>
      </w:pPr>
      <w:r w:rsidRPr="00297B30">
        <w:rPr>
          <w:lang w:val="es-ES_tradnl"/>
        </w:rPr>
        <w:t>2</w:t>
      </w:r>
      <w:r w:rsidRPr="00297B30">
        <w:rPr>
          <w:lang w:val="es-ES_tradnl"/>
        </w:rPr>
        <w:tab/>
        <w:t>Antecedentes</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El Anexo 1 incluye los criterios de protección para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en la banda 406</w:t>
      </w:r>
      <w:r w:rsidRPr="00297B30">
        <w:rPr>
          <w:rFonts w:eastAsiaTheme="minorEastAsia"/>
          <w:szCs w:val="24"/>
          <w:lang w:val="es-ES_tradnl"/>
        </w:rPr>
        <w:noBreakHyphen/>
        <w:t xml:space="preserve">406,1 MHz que deben utilizarse como base para el análisis de interferencia procedentes de emisiones fuera de banda. Este Anexo proporciona los requisitos de protección para los instrumentos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en relación con la interferencia de emisiones no esenciales de banda estrecha (emisiones armónicas, emisiones parásitas, productos de intermodulación y productos de conversión de frecuencia).</w:t>
      </w:r>
    </w:p>
    <w:p w:rsidR="00543337" w:rsidRPr="00297B30" w:rsidRDefault="00543337" w:rsidP="00543337">
      <w:pPr>
        <w:rPr>
          <w:rFonts w:eastAsiaTheme="minorEastAsia"/>
          <w:szCs w:val="24"/>
          <w:lang w:val="es-ES_tradnl"/>
        </w:rPr>
      </w:pPr>
      <w:r w:rsidRPr="00297B30">
        <w:rPr>
          <w:rFonts w:eastAsiaTheme="minorEastAsia"/>
          <w:szCs w:val="24"/>
          <w:lang w:val="es-ES_tradnl"/>
        </w:rPr>
        <w:t>La terminología utilizada en este Anexo se deriva de la Recomendación UIT-R SM.328 – Espectros y anchuras de banda de las emisiones, y de la Recomendación UIT-R SM.329 – Emisiones no deseadas en el dominio no esencial.</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Este Anexo trata de los criterios de protección exclusivamente para instrumentos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y no representa necesariamente cuales deben ser los criterios de protección para todos los instrumentos </w:t>
      </w:r>
      <w:proofErr w:type="spellStart"/>
      <w:r w:rsidRPr="00297B30">
        <w:rPr>
          <w:rFonts w:eastAsiaTheme="minorEastAsia"/>
          <w:szCs w:val="24"/>
          <w:lang w:val="es-ES_tradnl"/>
        </w:rPr>
        <w:t>Cospas</w:t>
      </w:r>
      <w:r w:rsidRPr="00297B30">
        <w:rPr>
          <w:rFonts w:eastAsiaTheme="minorEastAsia"/>
          <w:szCs w:val="24"/>
          <w:lang w:val="es-ES_tradnl"/>
        </w:rPr>
        <w:noBreakHyphen/>
        <w:t>Sarsat</w:t>
      </w:r>
      <w:proofErr w:type="spellEnd"/>
      <w:r w:rsidRPr="00297B30">
        <w:rPr>
          <w:rFonts w:eastAsiaTheme="minorEastAsia"/>
          <w:szCs w:val="24"/>
          <w:lang w:val="es-ES_tradnl"/>
        </w:rPr>
        <w:t>.</w:t>
      </w:r>
    </w:p>
    <w:p w:rsidR="00543337" w:rsidRPr="00297B30" w:rsidRDefault="00543337" w:rsidP="00543337">
      <w:pPr>
        <w:pStyle w:val="Heading1"/>
        <w:rPr>
          <w:lang w:val="es-ES_tradnl"/>
        </w:rPr>
      </w:pPr>
      <w:r w:rsidRPr="00297B30">
        <w:rPr>
          <w:lang w:val="es-ES_tradnl"/>
        </w:rPr>
        <w:t>3</w:t>
      </w:r>
      <w:r w:rsidRPr="00297B30">
        <w:rPr>
          <w:lang w:val="es-ES_tradnl"/>
        </w:rPr>
        <w:tab/>
        <w:t>Requisitos de protección frente a emisiones no esenciales de banda estrecha</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Fig. 1 muestra los principales elementos del soporte físico del sistema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szCs w:val="24"/>
          <w:lang w:val="es-ES_tradnl"/>
        </w:rPr>
        <w:t>Para una comprensión más cabal de esta especificación, es necesario recordar brevemente cual es el funcionamiento de la instrumentación SARP.</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transmisión de la radiobaliza de socorro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comienza con una portadora de 160 ms. no modulada que permite que un bucle de enganche de fase se sincronice más fácilmente a la portadora. La Fig. 2 representa el formato del mensaje C</w:t>
      </w:r>
      <w:r w:rsidRPr="00297B30">
        <w:rPr>
          <w:rFonts w:eastAsiaTheme="minorEastAsia"/>
          <w:szCs w:val="24"/>
          <w:lang w:val="es-ES_tradnl"/>
        </w:rPr>
        <w:noBreakHyphen/>
        <w:t>S.</w:t>
      </w:r>
    </w:p>
    <w:p w:rsidR="00543337" w:rsidRPr="00297B30" w:rsidRDefault="00543337" w:rsidP="00543337">
      <w:pPr>
        <w:pStyle w:val="FigureNo"/>
        <w:rPr>
          <w:rFonts w:eastAsiaTheme="minorEastAsia"/>
          <w:lang w:val="es-ES_tradnl"/>
        </w:rPr>
      </w:pPr>
      <w:r w:rsidRPr="00297B30">
        <w:rPr>
          <w:rFonts w:eastAsiaTheme="minorEastAsia"/>
          <w:lang w:val="es-ES_tradnl"/>
        </w:rPr>
        <w:lastRenderedPageBreak/>
        <w:t>figura 2</w:t>
      </w:r>
    </w:p>
    <w:p w:rsidR="00543337" w:rsidRPr="00297B30" w:rsidRDefault="00543337" w:rsidP="00543337">
      <w:pPr>
        <w:pStyle w:val="Figuretitle"/>
        <w:rPr>
          <w:rFonts w:eastAsiaTheme="minorEastAsia"/>
          <w:lang w:val="es-ES_tradnl"/>
        </w:rPr>
      </w:pPr>
      <w:r w:rsidRPr="00297B30">
        <w:rPr>
          <w:rFonts w:eastAsiaTheme="minorEastAsia"/>
          <w:lang w:val="es-ES_tradnl"/>
        </w:rPr>
        <w:t>Formato del mensaje C-S</w:t>
      </w:r>
    </w:p>
    <w:p w:rsidR="00543337" w:rsidRPr="00297B30" w:rsidRDefault="00543337" w:rsidP="00543337">
      <w:pPr>
        <w:pStyle w:val="Figure"/>
        <w:rPr>
          <w:lang w:val="es-ES_tradnl"/>
        </w:rPr>
      </w:pPr>
      <w:r w:rsidRPr="00297B30">
        <w:rPr>
          <w:lang w:val="es-ES_tradnl"/>
        </w:rPr>
        <w:object w:dxaOrig="5098" w:dyaOrig="1039">
          <v:shape id="_x0000_i1029" type="#_x0000_t75" style="width:297.5pt;height:61.15pt" o:ole="">
            <v:imagedata r:id="rId21" o:title=""/>
          </v:shape>
          <o:OLEObject Type="Embed" ProgID="CorelDRAW.Graphic.14" ShapeID="_x0000_i1029" DrawAspect="Content" ObjectID="_1501062600" r:id="rId22"/>
        </w:object>
      </w:r>
    </w:p>
    <w:p w:rsidR="00543337" w:rsidRPr="00297B30" w:rsidRDefault="00543337" w:rsidP="00543337">
      <w:pPr>
        <w:rPr>
          <w:rFonts w:eastAsiaTheme="minorEastAsia"/>
          <w:lang w:val="es-ES_tradnl"/>
        </w:rPr>
      </w:pPr>
      <w:r w:rsidRPr="00297B30">
        <w:rPr>
          <w:rFonts w:eastAsiaTheme="minorEastAsia"/>
          <w:lang w:val="es-ES_tradnl"/>
        </w:rPr>
        <w:t>Un analizador de espectro de la instrumentación SARP supervisa continuamente toda la anchura de banda de cobertura en búsqueda de la parte de portadora pura que transmite una radiobaliza de socorro. Cuando el analizador de espectro detecta una de dichas líneas, considera que se trata del inicio de un mensaje C-S. La teoría se basa en la detección de una onda portadora pura (onda sinusoidal) en un entorno de ruido blanco, aditivo y gaussiano. La densidad espectral de potencia de la señal recibida (portadora pura + ruido) se calcula utilizando las técnicas de la transformada rápida de Fourier, procesándose toda seña que se encuentre por encima del umbral del sistema como si fuese una radiobaliza de socorro (véase la Fig. 3).</w:t>
      </w:r>
    </w:p>
    <w:p w:rsidR="00543337" w:rsidRPr="00297B30" w:rsidRDefault="00543337" w:rsidP="00543337">
      <w:pPr>
        <w:pStyle w:val="FigureNo"/>
        <w:rPr>
          <w:rFonts w:eastAsiaTheme="minorEastAsia"/>
          <w:lang w:val="es-ES_tradnl"/>
        </w:rPr>
      </w:pPr>
      <w:r w:rsidRPr="00297B30">
        <w:rPr>
          <w:rFonts w:eastAsiaTheme="minorEastAsia"/>
          <w:lang w:val="es-ES_tradnl"/>
        </w:rPr>
        <w:t>figura 3</w:t>
      </w:r>
    </w:p>
    <w:p w:rsidR="00543337" w:rsidRPr="00297B30" w:rsidRDefault="00543337" w:rsidP="00543337">
      <w:pPr>
        <w:pStyle w:val="Figuretitle"/>
        <w:rPr>
          <w:rFonts w:eastAsiaTheme="minorEastAsia"/>
          <w:lang w:val="es-ES_tradnl"/>
        </w:rPr>
      </w:pPr>
      <w:r w:rsidRPr="00297B30">
        <w:rPr>
          <w:rFonts w:eastAsiaTheme="minorEastAsia"/>
          <w:lang w:val="es-ES_tradnl"/>
        </w:rPr>
        <w:t>Detección de una onda sinusoidal en presencia</w:t>
      </w:r>
      <w:r w:rsidRPr="00297B30">
        <w:rPr>
          <w:rFonts w:eastAsiaTheme="minorEastAsia"/>
          <w:lang w:val="es-ES_tradnl"/>
        </w:rPr>
        <w:br/>
        <w:t>de ruido blanco Gaussiano</w:t>
      </w:r>
    </w:p>
    <w:p w:rsidR="00543337" w:rsidRPr="00297B30" w:rsidRDefault="00543337" w:rsidP="00543337">
      <w:pPr>
        <w:pStyle w:val="Figure"/>
        <w:rPr>
          <w:rFonts w:eastAsiaTheme="minorEastAsia"/>
          <w:lang w:val="es-ES_tradnl"/>
        </w:rPr>
      </w:pPr>
      <w:r w:rsidRPr="00297B30">
        <w:rPr>
          <w:rFonts w:eastAsiaTheme="minorEastAsia"/>
          <w:lang w:val="es-ES_tradnl"/>
        </w:rPr>
        <w:object w:dxaOrig="5657" w:dyaOrig="2851">
          <v:shape id="_x0000_i1030" type="#_x0000_t75" style="width:331.45pt;height:166.4pt" o:ole="">
            <v:imagedata r:id="rId23" o:title=""/>
          </v:shape>
          <o:OLEObject Type="Embed" ProgID="CorelDRAW.Graphic.14" ShapeID="_x0000_i1030" DrawAspect="Content" ObjectID="_1501062601" r:id="rId24"/>
        </w:object>
      </w:r>
    </w:p>
    <w:p w:rsidR="00543337" w:rsidRPr="00297B30" w:rsidRDefault="00543337" w:rsidP="003B6046">
      <w:pPr>
        <w:pStyle w:val="Normalaftertitle"/>
        <w:rPr>
          <w:rFonts w:eastAsiaTheme="minorEastAsia"/>
          <w:lang w:val="es-ES_tradnl"/>
        </w:rPr>
      </w:pPr>
      <w:r w:rsidRPr="00297B30">
        <w:rPr>
          <w:rFonts w:eastAsiaTheme="minorEastAsia"/>
          <w:lang w:val="es-ES_tradnl"/>
        </w:rPr>
        <w:t xml:space="preserve">Las señales que se encuentren por encima del umbral se asignan a una unidad de recuperación de datos (DRU, </w:t>
      </w:r>
      <w:r w:rsidRPr="00297B30">
        <w:rPr>
          <w:rFonts w:eastAsiaTheme="minorEastAsia"/>
          <w:i/>
          <w:iCs/>
          <w:lang w:val="es-ES_tradnl"/>
        </w:rPr>
        <w:t xml:space="preserve">data </w:t>
      </w:r>
      <w:proofErr w:type="spellStart"/>
      <w:r w:rsidRPr="00297B30">
        <w:rPr>
          <w:rFonts w:eastAsiaTheme="minorEastAsia"/>
          <w:i/>
          <w:iCs/>
          <w:lang w:val="es-ES_tradnl"/>
        </w:rPr>
        <w:t>recovery</w:t>
      </w:r>
      <w:proofErr w:type="spellEnd"/>
      <w:r w:rsidRPr="00297B30">
        <w:rPr>
          <w:rFonts w:eastAsiaTheme="minorEastAsia"/>
          <w:i/>
          <w:iCs/>
          <w:lang w:val="es-ES_tradnl"/>
        </w:rPr>
        <w:t xml:space="preserve"> </w:t>
      </w:r>
      <w:proofErr w:type="spellStart"/>
      <w:r w:rsidRPr="00297B30">
        <w:rPr>
          <w:rFonts w:eastAsiaTheme="minorEastAsia"/>
          <w:i/>
          <w:iCs/>
          <w:lang w:val="es-ES_tradnl"/>
        </w:rPr>
        <w:t>unit</w:t>
      </w:r>
      <w:proofErr w:type="spellEnd"/>
      <w:r w:rsidRPr="00297B30">
        <w:rPr>
          <w:rFonts w:eastAsiaTheme="minorEastAsia"/>
          <w:lang w:val="es-ES_tradnl"/>
        </w:rPr>
        <w:t>) abordo para su ulterior procesamiento y transmisión a la tierra sobre el canal de telemetría de la misión (véase la Fig. 4).</w:t>
      </w:r>
    </w:p>
    <w:p w:rsidR="00543337" w:rsidRPr="00297B30" w:rsidRDefault="00543337" w:rsidP="00543337">
      <w:pPr>
        <w:pStyle w:val="FigureNo"/>
        <w:rPr>
          <w:rFonts w:eastAsiaTheme="minorEastAsia"/>
          <w:lang w:val="es-ES_tradnl"/>
        </w:rPr>
      </w:pPr>
      <w:r w:rsidRPr="00297B30">
        <w:rPr>
          <w:rFonts w:eastAsiaTheme="minorEastAsia"/>
          <w:lang w:val="es-ES_tradnl"/>
        </w:rPr>
        <w:lastRenderedPageBreak/>
        <w:t>figura 4</w:t>
      </w:r>
    </w:p>
    <w:p w:rsidR="00543337" w:rsidRPr="00297B30" w:rsidRDefault="00543337" w:rsidP="00543337">
      <w:pPr>
        <w:pStyle w:val="Figuretitle"/>
        <w:rPr>
          <w:rFonts w:eastAsiaTheme="minorEastAsia"/>
          <w:lang w:val="es-ES_tradnl"/>
        </w:rPr>
      </w:pPr>
      <w:r w:rsidRPr="00297B30">
        <w:rPr>
          <w:rFonts w:eastAsiaTheme="minorEastAsia"/>
          <w:lang w:val="es-ES_tradnl"/>
        </w:rPr>
        <w:t>Diagrama funcional del SARP</w:t>
      </w:r>
    </w:p>
    <w:p w:rsidR="00543337" w:rsidRPr="00297B30" w:rsidRDefault="00543337" w:rsidP="00543337">
      <w:pPr>
        <w:pStyle w:val="Figure"/>
        <w:rPr>
          <w:rFonts w:eastAsiaTheme="minorEastAsia"/>
          <w:lang w:val="es-ES_tradnl"/>
        </w:rPr>
      </w:pPr>
      <w:r w:rsidRPr="00297B30">
        <w:rPr>
          <w:rFonts w:eastAsiaTheme="minorEastAsia"/>
          <w:lang w:val="es-ES_tradnl"/>
        </w:rPr>
        <w:object w:dxaOrig="7591" w:dyaOrig="3137">
          <v:shape id="_x0000_i1031" type="#_x0000_t75" style="width:445.6pt;height:184.1pt" o:ole="">
            <v:imagedata r:id="rId25" o:title=""/>
          </v:shape>
          <o:OLEObject Type="Embed" ProgID="CorelDRAW.Graphic.14" ShapeID="_x0000_i1031" DrawAspect="Content" ObjectID="_1501062602" r:id="rId26"/>
        </w:object>
      </w:r>
    </w:p>
    <w:p w:rsidR="00543337" w:rsidRPr="00297B30" w:rsidRDefault="00543337" w:rsidP="00AD5121">
      <w:pPr>
        <w:pStyle w:val="Normalaftertitle"/>
        <w:spacing w:before="240"/>
        <w:rPr>
          <w:rFonts w:eastAsiaTheme="minorEastAsia"/>
          <w:lang w:val="es-ES_tradnl"/>
        </w:rPr>
      </w:pPr>
      <w:r w:rsidRPr="00297B30">
        <w:rPr>
          <w:rFonts w:eastAsiaTheme="minorEastAsia"/>
          <w:lang w:val="es-ES_tradnl"/>
        </w:rPr>
        <w:t xml:space="preserve">Para satisfacer los requisitos de calidad de funcionamiento de los sistemas de SAR en lo que se refiere a las radiobalizas de socorro de baja potencia, los instrumentos SARP </w:t>
      </w:r>
      <w:proofErr w:type="spellStart"/>
      <w:r w:rsidRPr="00297B30">
        <w:rPr>
          <w:rFonts w:eastAsiaTheme="minorEastAsia"/>
          <w:lang w:val="es-ES_tradnl"/>
        </w:rPr>
        <w:t>Sarsat</w:t>
      </w:r>
      <w:proofErr w:type="spellEnd"/>
      <w:r w:rsidRPr="00297B30">
        <w:rPr>
          <w:rFonts w:eastAsiaTheme="minorEastAsia"/>
          <w:lang w:val="es-ES_tradnl"/>
        </w:rPr>
        <w:t xml:space="preserve"> han sido diseñados para detectar y procesar señales extremadamente débiles. Su calidad de funcionamiento es tal que cualquier señal, </w:t>
      </w:r>
      <w:proofErr w:type="spellStart"/>
      <w:r w:rsidRPr="00297B30">
        <w:rPr>
          <w:rFonts w:eastAsiaTheme="minorEastAsia"/>
          <w:i/>
          <w:iCs/>
          <w:lang w:val="es-ES_tradnl"/>
        </w:rPr>
        <w:t>C</w:t>
      </w:r>
      <w:r w:rsidRPr="00297B30">
        <w:rPr>
          <w:rFonts w:eastAsiaTheme="minorEastAsia"/>
          <w:i/>
          <w:iCs/>
          <w:vertAlign w:val="subscript"/>
          <w:lang w:val="es-ES_tradnl"/>
        </w:rPr>
        <w:t>mín</w:t>
      </w:r>
      <w:proofErr w:type="spellEnd"/>
      <w:r w:rsidRPr="00297B30">
        <w:rPr>
          <w:rFonts w:eastAsiaTheme="minorEastAsia"/>
          <w:lang w:val="es-ES_tradnl"/>
        </w:rPr>
        <w:t>, cuyo nivel de densidad de ruido local exceda los 21 dB(Hz) (</w:t>
      </w:r>
      <w:proofErr w:type="spellStart"/>
      <w:r w:rsidRPr="00297B30">
        <w:rPr>
          <w:rFonts w:eastAsiaTheme="minorEastAsia"/>
          <w:i/>
          <w:iCs/>
          <w:lang w:val="es-ES_tradnl"/>
        </w:rPr>
        <w:t>C</w:t>
      </w:r>
      <w:r w:rsidRPr="00297B30">
        <w:rPr>
          <w:rFonts w:eastAsiaTheme="minorEastAsia"/>
          <w:i/>
          <w:iCs/>
          <w:vertAlign w:val="subscript"/>
          <w:lang w:val="es-ES_tradnl"/>
        </w:rPr>
        <w:t>mín</w:t>
      </w:r>
      <w:proofErr w:type="spellEnd"/>
      <w:r w:rsidRPr="00297B30">
        <w:rPr>
          <w:rFonts w:ascii="Tms Rmn" w:eastAsiaTheme="minorEastAsia" w:hAnsi="Tms Rmn" w:cs="Tms Rmn"/>
          <w:sz w:val="4"/>
          <w:szCs w:val="4"/>
          <w:lang w:val="es-ES_tradnl"/>
        </w:rPr>
        <w:t> </w:t>
      </w:r>
      <w:r w:rsidRPr="00297B30">
        <w:rPr>
          <w:rFonts w:eastAsiaTheme="minorEastAsia"/>
          <w:lang w:val="es-ES_tradnl"/>
        </w:rPr>
        <w:t>/</w:t>
      </w:r>
      <w:r w:rsidRPr="00297B30">
        <w:rPr>
          <w:rFonts w:ascii="Tms Rmn" w:eastAsiaTheme="minorEastAsia" w:hAnsi="Tms Rmn" w:cs="Tms Rmn"/>
          <w:sz w:val="4"/>
          <w:szCs w:val="4"/>
          <w:lang w:val="es-ES_tradnl"/>
        </w:rPr>
        <w:t> </w:t>
      </w:r>
      <w:r w:rsidRPr="00297B30">
        <w:rPr>
          <w:rFonts w:eastAsiaTheme="minorEastAsia"/>
          <w:i/>
          <w:iCs/>
          <w:lang w:val="es-ES_tradnl"/>
        </w:rPr>
        <w:t>N</w:t>
      </w:r>
      <w:r w:rsidRPr="00297B30">
        <w:rPr>
          <w:rFonts w:eastAsiaTheme="minorEastAsia"/>
          <w:vertAlign w:val="subscript"/>
          <w:lang w:val="es-ES_tradnl"/>
        </w:rPr>
        <w:t>0</w:t>
      </w:r>
      <w:r w:rsidRPr="00297B30">
        <w:rPr>
          <w:rFonts w:eastAsiaTheme="minorEastAsia"/>
          <w:lang w:val="es-ES_tradnl"/>
        </w:rPr>
        <w:t> &gt; 21 dB(Hz)) se asigna a una DRU para su ulterior tratamiento. En consecuencia, las señales interferentes de banda estrecha que cumplan estos criterios hacen que se les asigne una DRU. En consecuencia, la calidad de funcionamiento de la SARP en términos de capacidad (es decir, el número de mensaje de socorro simultáneos que pueden ser procesados) se degradaría seriamente.</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Las cifras típicas del equipo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son las siguientes: factor de ruido = 2,5 dB (cifra típica de los SARP C</w:t>
      </w:r>
      <w:r w:rsidRPr="00297B30">
        <w:rPr>
          <w:rFonts w:eastAsiaTheme="minorEastAsia"/>
          <w:szCs w:val="24"/>
          <w:lang w:val="es-ES_tradnl"/>
        </w:rPr>
        <w:noBreakHyphen/>
        <w:t>S), temperatura de ruido de fondo nominal = 1 000 K (parámetro de entrada de C</w:t>
      </w:r>
      <w:r w:rsidRPr="00297B30">
        <w:rPr>
          <w:rFonts w:eastAsiaTheme="minorEastAsia"/>
          <w:szCs w:val="24"/>
          <w:lang w:val="es-ES_tradnl"/>
        </w:rPr>
        <w:noBreakHyphen/>
        <w:t>S), la atenuación entre la antena y el receptor SARP = 1,6 dB. Por lo tanto, la temperatura de ruido del sistema a la entrada del receptor SARP (punto B de la Fig. 1) es igual a 1</w:t>
      </w:r>
      <w:r w:rsidRPr="00297B30">
        <w:rPr>
          <w:rFonts w:ascii="Tms Rmn" w:eastAsiaTheme="minorEastAsia" w:hAnsi="Tms Rmn" w:cs="Tms Rmn"/>
          <w:sz w:val="12"/>
          <w:szCs w:val="12"/>
          <w:lang w:val="es-ES_tradnl"/>
        </w:rPr>
        <w:t> </w:t>
      </w:r>
      <w:r w:rsidRPr="00297B30">
        <w:rPr>
          <w:rFonts w:eastAsiaTheme="minorEastAsia"/>
          <w:szCs w:val="24"/>
          <w:lang w:val="es-ES_tradnl"/>
        </w:rPr>
        <w:t xml:space="preserve">010 K y, por tanto, la densidad espectral de ruido es igual a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w:t>
      </w:r>
      <w:r w:rsidRPr="00297B30">
        <w:rPr>
          <w:rFonts w:eastAsiaTheme="minorEastAsia"/>
          <w:lang w:val="es-ES_tradnl"/>
        </w:rPr>
        <w:t>=</w:t>
      </w:r>
      <w:r w:rsidRPr="00297B30">
        <w:rPr>
          <w:rFonts w:eastAsiaTheme="minorEastAsia"/>
          <w:szCs w:val="24"/>
          <w:lang w:val="es-ES_tradnl"/>
        </w:rPr>
        <w:t> −198,6 dB(W/Hz).</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Dado que </w:t>
      </w:r>
      <w:proofErr w:type="spellStart"/>
      <w:r w:rsidRPr="00297B30">
        <w:rPr>
          <w:rFonts w:eastAsiaTheme="minorEastAsia"/>
          <w:i/>
          <w:iCs/>
          <w:szCs w:val="24"/>
          <w:lang w:val="es-ES_tradnl"/>
        </w:rPr>
        <w:t>C</w:t>
      </w:r>
      <w:r w:rsidRPr="00297B30">
        <w:rPr>
          <w:rFonts w:eastAsiaTheme="minorEastAsia"/>
          <w:i/>
          <w:iCs/>
          <w:szCs w:val="24"/>
          <w:vertAlign w:val="subscript"/>
          <w:lang w:val="es-ES_tradnl"/>
        </w:rPr>
        <w:t>mín</w:t>
      </w:r>
      <w:proofErr w:type="spellEnd"/>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w:t>
      </w:r>
      <w:r w:rsidRPr="00297B30">
        <w:rPr>
          <w:rFonts w:eastAsiaTheme="minorEastAsia"/>
          <w:lang w:val="es-ES_tradnl"/>
        </w:rPr>
        <w:t>=</w:t>
      </w:r>
      <w:r w:rsidRPr="00297B30">
        <w:rPr>
          <w:rFonts w:eastAsiaTheme="minorEastAsia"/>
          <w:szCs w:val="24"/>
          <w:lang w:val="es-ES_tradnl"/>
        </w:rPr>
        <w:t xml:space="preserve"> 21 dB(Hz), entonces </w:t>
      </w:r>
      <w:proofErr w:type="spellStart"/>
      <w:r w:rsidRPr="00297B30">
        <w:rPr>
          <w:rFonts w:eastAsiaTheme="minorEastAsia"/>
          <w:i/>
          <w:iCs/>
          <w:szCs w:val="24"/>
          <w:lang w:val="es-ES_tradnl"/>
        </w:rPr>
        <w:t>C</w:t>
      </w:r>
      <w:r w:rsidRPr="00297B30">
        <w:rPr>
          <w:rFonts w:eastAsiaTheme="minorEastAsia"/>
          <w:i/>
          <w:iCs/>
          <w:szCs w:val="24"/>
          <w:vertAlign w:val="subscript"/>
          <w:lang w:val="es-ES_tradnl"/>
        </w:rPr>
        <w:t>mín</w:t>
      </w:r>
      <w:proofErr w:type="spellEnd"/>
      <w:r w:rsidRPr="00297B30">
        <w:rPr>
          <w:rFonts w:eastAsiaTheme="minorEastAsia"/>
          <w:szCs w:val="24"/>
          <w:lang w:val="es-ES_tradnl"/>
        </w:rPr>
        <w:t> </w:t>
      </w:r>
      <w:r w:rsidRPr="00297B30">
        <w:rPr>
          <w:rFonts w:eastAsiaTheme="minorEastAsia"/>
          <w:lang w:val="es-ES_tradnl"/>
        </w:rPr>
        <w:t>=</w:t>
      </w:r>
      <w:r w:rsidRPr="00297B30">
        <w:rPr>
          <w:rFonts w:eastAsiaTheme="minorEastAsia"/>
          <w:szCs w:val="24"/>
          <w:lang w:val="es-ES_tradnl"/>
        </w:rPr>
        <w:t> </w:t>
      </w:r>
      <w:r w:rsidRPr="00AA68D6">
        <w:rPr>
          <w:lang w:val="es-ES_tradnl"/>
        </w:rPr>
        <w:t>–</w:t>
      </w:r>
      <w:r w:rsidRPr="00297B30">
        <w:rPr>
          <w:rFonts w:eastAsiaTheme="minorEastAsia"/>
          <w:szCs w:val="24"/>
          <w:lang w:val="es-ES_tradnl"/>
        </w:rPr>
        <w:t xml:space="preserve">177,6 </w:t>
      </w:r>
      <w:proofErr w:type="spellStart"/>
      <w:r w:rsidRPr="00297B30">
        <w:rPr>
          <w:rFonts w:eastAsiaTheme="minorEastAsia"/>
          <w:szCs w:val="24"/>
          <w:lang w:val="es-ES_tradnl"/>
        </w:rPr>
        <w:t>dBW</w:t>
      </w:r>
      <w:proofErr w:type="spellEnd"/>
      <w:r w:rsidRPr="00297B30">
        <w:rPr>
          <w:rFonts w:eastAsiaTheme="minorEastAsia"/>
          <w:szCs w:val="24"/>
          <w:lang w:val="es-ES_tradnl"/>
        </w:rPr>
        <w:t xml:space="preserve">. Por lo tanto, cualquier emisión no esencial superior a </w:t>
      </w:r>
      <w:r w:rsidRPr="00AA68D6">
        <w:rPr>
          <w:lang w:val="es-ES_tradnl"/>
        </w:rPr>
        <w:t>–</w:t>
      </w:r>
      <w:r w:rsidRPr="00297B30">
        <w:rPr>
          <w:rFonts w:eastAsiaTheme="minorEastAsia"/>
          <w:szCs w:val="24"/>
          <w:lang w:val="es-ES_tradnl"/>
        </w:rPr>
        <w:t xml:space="preserve">177,6 </w:t>
      </w:r>
      <w:proofErr w:type="spellStart"/>
      <w:r w:rsidRPr="00297B30">
        <w:rPr>
          <w:rFonts w:eastAsiaTheme="minorEastAsia"/>
          <w:szCs w:val="24"/>
          <w:lang w:val="es-ES_tradnl"/>
        </w:rPr>
        <w:t>dBW</w:t>
      </w:r>
      <w:proofErr w:type="spellEnd"/>
      <w:r w:rsidRPr="00297B30">
        <w:rPr>
          <w:rFonts w:eastAsiaTheme="minorEastAsia"/>
          <w:szCs w:val="24"/>
          <w:lang w:val="es-ES_tradnl"/>
        </w:rPr>
        <w:t xml:space="preserve"> a la entrada del SARP (punto B de la Fig. 1), daría lugar a una degradación de la capacidad del sistema.</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Es por lo tanto necesario calcular dicho nivel máximo admisible de línea espectral a la entrada de la antena </w:t>
      </w:r>
      <w:proofErr w:type="spellStart"/>
      <w:r w:rsidRPr="00297B30">
        <w:rPr>
          <w:rFonts w:eastAsiaTheme="minorEastAsia"/>
          <w:szCs w:val="24"/>
          <w:lang w:val="es-ES_tradnl"/>
        </w:rPr>
        <w:t>Sarsat</w:t>
      </w:r>
      <w:proofErr w:type="spellEnd"/>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especificación del diagrama de ganancia de la antena de recepción del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se expresa en función del ángulo del nadir tal como se recoge en el Cuadro 2.</w:t>
      </w:r>
    </w:p>
    <w:p w:rsidR="00543337" w:rsidRPr="00297B30" w:rsidRDefault="00543337" w:rsidP="00AD5121">
      <w:pPr>
        <w:pStyle w:val="TableNo"/>
        <w:keepLines/>
        <w:spacing w:before="240"/>
        <w:rPr>
          <w:lang w:val="es-ES_tradnl"/>
        </w:rPr>
      </w:pPr>
      <w:r w:rsidRPr="00297B30">
        <w:rPr>
          <w:lang w:val="es-ES_tradnl"/>
        </w:rPr>
        <w:t>CUADRO  2</w:t>
      </w:r>
    </w:p>
    <w:p w:rsidR="00543337" w:rsidRPr="00297B30" w:rsidRDefault="00543337" w:rsidP="00543337">
      <w:pPr>
        <w:pStyle w:val="Tabletitle"/>
        <w:keepLines/>
        <w:rPr>
          <w:lang w:val="es-ES_tradnl"/>
        </w:rPr>
      </w:pPr>
      <w:r w:rsidRPr="00297B30">
        <w:rPr>
          <w:lang w:val="es-ES_tradnl"/>
        </w:rPr>
        <w:t>Diagrama de ganancia de la antena de recepción del SARP (UDA)</w:t>
      </w:r>
    </w:p>
    <w:tbl>
      <w:tblPr>
        <w:tblW w:w="963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87"/>
        <w:gridCol w:w="737"/>
        <w:gridCol w:w="737"/>
        <w:gridCol w:w="737"/>
        <w:gridCol w:w="737"/>
        <w:gridCol w:w="850"/>
        <w:gridCol w:w="850"/>
        <w:gridCol w:w="850"/>
        <w:gridCol w:w="850"/>
        <w:gridCol w:w="850"/>
        <w:gridCol w:w="850"/>
      </w:tblGrid>
      <w:tr w:rsidR="00543337" w:rsidRPr="00AD5121" w:rsidTr="00B06A97">
        <w:trPr>
          <w:cantSplit/>
          <w:jc w:val="center"/>
        </w:trPr>
        <w:tc>
          <w:tcPr>
            <w:tcW w:w="1587" w:type="dxa"/>
          </w:tcPr>
          <w:p w:rsidR="00543337" w:rsidRPr="00AD5121" w:rsidRDefault="00543337" w:rsidP="00B06A97">
            <w:pPr>
              <w:pStyle w:val="Tabletext"/>
              <w:keepNext/>
              <w:keepLines/>
              <w:jc w:val="left"/>
              <w:rPr>
                <w:szCs w:val="22"/>
                <w:lang w:val="es-ES_tradnl"/>
              </w:rPr>
            </w:pPr>
            <w:r w:rsidRPr="00AD5121">
              <w:rPr>
                <w:szCs w:val="22"/>
                <w:lang w:val="es-ES_tradnl"/>
              </w:rPr>
              <w:t xml:space="preserve">Ángulo nadir del satélite </w:t>
            </w:r>
          </w:p>
        </w:tc>
        <w:tc>
          <w:tcPr>
            <w:tcW w:w="737" w:type="dxa"/>
            <w:vAlign w:val="center"/>
          </w:tcPr>
          <w:p w:rsidR="00543337" w:rsidRPr="00AD5121" w:rsidRDefault="00543337" w:rsidP="00B06A97">
            <w:pPr>
              <w:pStyle w:val="Tabletext"/>
              <w:keepNext/>
              <w:keepLines/>
              <w:jc w:val="center"/>
              <w:rPr>
                <w:szCs w:val="22"/>
                <w:lang w:val="es-ES_tradnl"/>
              </w:rPr>
            </w:pPr>
            <w:r w:rsidRPr="00AD5121">
              <w:rPr>
                <w:szCs w:val="22"/>
                <w:lang w:val="es-ES_tradnl"/>
              </w:rPr>
              <w:t>62</w:t>
            </w:r>
          </w:p>
        </w:tc>
        <w:tc>
          <w:tcPr>
            <w:tcW w:w="737" w:type="dxa"/>
            <w:vAlign w:val="center"/>
          </w:tcPr>
          <w:p w:rsidR="00543337" w:rsidRPr="00AD5121" w:rsidRDefault="00543337" w:rsidP="00B06A97">
            <w:pPr>
              <w:pStyle w:val="Tabletext"/>
              <w:keepNext/>
              <w:keepLines/>
              <w:jc w:val="center"/>
              <w:rPr>
                <w:szCs w:val="22"/>
                <w:lang w:val="es-ES_tradnl"/>
              </w:rPr>
            </w:pPr>
            <w:r w:rsidRPr="00AD5121">
              <w:rPr>
                <w:szCs w:val="22"/>
                <w:lang w:val="es-ES_tradnl"/>
              </w:rPr>
              <w:t>59</w:t>
            </w:r>
          </w:p>
        </w:tc>
        <w:tc>
          <w:tcPr>
            <w:tcW w:w="737" w:type="dxa"/>
            <w:vAlign w:val="center"/>
          </w:tcPr>
          <w:p w:rsidR="00543337" w:rsidRPr="00AD5121" w:rsidRDefault="00543337" w:rsidP="00B06A97">
            <w:pPr>
              <w:pStyle w:val="Tabletext"/>
              <w:keepNext/>
              <w:keepLines/>
              <w:jc w:val="center"/>
              <w:rPr>
                <w:szCs w:val="22"/>
                <w:lang w:val="es-ES_tradnl"/>
              </w:rPr>
            </w:pPr>
            <w:r w:rsidRPr="00AD5121">
              <w:rPr>
                <w:szCs w:val="22"/>
                <w:lang w:val="es-ES_tradnl"/>
              </w:rPr>
              <w:t>54</w:t>
            </w:r>
          </w:p>
        </w:tc>
        <w:tc>
          <w:tcPr>
            <w:tcW w:w="737" w:type="dxa"/>
            <w:vAlign w:val="center"/>
          </w:tcPr>
          <w:p w:rsidR="00543337" w:rsidRPr="00AD5121" w:rsidRDefault="00543337" w:rsidP="00B06A97">
            <w:pPr>
              <w:pStyle w:val="Tabletext"/>
              <w:keepNext/>
              <w:keepLines/>
              <w:jc w:val="center"/>
              <w:rPr>
                <w:szCs w:val="22"/>
                <w:lang w:val="es-ES_tradnl"/>
              </w:rPr>
            </w:pPr>
            <w:r w:rsidRPr="00AD5121">
              <w:rPr>
                <w:szCs w:val="22"/>
                <w:lang w:val="es-ES_tradnl"/>
              </w:rPr>
              <w:t>47</w:t>
            </w:r>
          </w:p>
        </w:tc>
        <w:tc>
          <w:tcPr>
            <w:tcW w:w="850" w:type="dxa"/>
            <w:vAlign w:val="center"/>
          </w:tcPr>
          <w:p w:rsidR="00543337" w:rsidRPr="00AD5121" w:rsidRDefault="00543337" w:rsidP="00B06A97">
            <w:pPr>
              <w:pStyle w:val="Tabletext"/>
              <w:keepNext/>
              <w:keepLines/>
              <w:jc w:val="center"/>
              <w:rPr>
                <w:szCs w:val="22"/>
                <w:lang w:val="es-ES_tradnl"/>
              </w:rPr>
            </w:pPr>
            <w:r w:rsidRPr="00AD5121">
              <w:rPr>
                <w:szCs w:val="22"/>
                <w:lang w:val="es-ES_tradnl"/>
              </w:rPr>
              <w:t>39</w:t>
            </w:r>
          </w:p>
        </w:tc>
        <w:tc>
          <w:tcPr>
            <w:tcW w:w="850" w:type="dxa"/>
            <w:vAlign w:val="center"/>
          </w:tcPr>
          <w:p w:rsidR="00543337" w:rsidRPr="00AD5121" w:rsidRDefault="00543337" w:rsidP="00B06A97">
            <w:pPr>
              <w:pStyle w:val="Tabletext"/>
              <w:keepNext/>
              <w:keepLines/>
              <w:jc w:val="center"/>
              <w:rPr>
                <w:szCs w:val="22"/>
                <w:lang w:val="es-ES_tradnl"/>
              </w:rPr>
            </w:pPr>
            <w:r w:rsidRPr="00AD5121">
              <w:rPr>
                <w:szCs w:val="22"/>
                <w:lang w:val="es-ES_tradnl"/>
              </w:rPr>
              <w:t>31</w:t>
            </w:r>
          </w:p>
        </w:tc>
        <w:tc>
          <w:tcPr>
            <w:tcW w:w="850" w:type="dxa"/>
            <w:vAlign w:val="center"/>
          </w:tcPr>
          <w:p w:rsidR="00543337" w:rsidRPr="00AD5121" w:rsidRDefault="00543337" w:rsidP="00B06A97">
            <w:pPr>
              <w:pStyle w:val="Tabletext"/>
              <w:keepNext/>
              <w:keepLines/>
              <w:jc w:val="center"/>
              <w:rPr>
                <w:szCs w:val="22"/>
                <w:lang w:val="es-ES_tradnl"/>
              </w:rPr>
            </w:pPr>
            <w:r w:rsidRPr="00AD5121">
              <w:rPr>
                <w:szCs w:val="22"/>
                <w:lang w:val="es-ES_tradnl"/>
              </w:rPr>
              <w:t>22</w:t>
            </w:r>
          </w:p>
        </w:tc>
        <w:tc>
          <w:tcPr>
            <w:tcW w:w="850" w:type="dxa"/>
            <w:vAlign w:val="center"/>
          </w:tcPr>
          <w:p w:rsidR="00543337" w:rsidRPr="00AD5121" w:rsidRDefault="00543337" w:rsidP="00B06A97">
            <w:pPr>
              <w:pStyle w:val="Tabletext"/>
              <w:keepNext/>
              <w:keepLines/>
              <w:jc w:val="center"/>
              <w:rPr>
                <w:szCs w:val="22"/>
                <w:lang w:val="es-ES_tradnl"/>
              </w:rPr>
            </w:pPr>
            <w:r w:rsidRPr="00AD5121">
              <w:rPr>
                <w:szCs w:val="22"/>
                <w:lang w:val="es-ES_tradnl"/>
              </w:rPr>
              <w:t>13</w:t>
            </w:r>
          </w:p>
        </w:tc>
        <w:tc>
          <w:tcPr>
            <w:tcW w:w="850" w:type="dxa"/>
            <w:vAlign w:val="center"/>
          </w:tcPr>
          <w:p w:rsidR="00543337" w:rsidRPr="00AD5121" w:rsidRDefault="00543337" w:rsidP="00B06A97">
            <w:pPr>
              <w:pStyle w:val="Tabletext"/>
              <w:keepNext/>
              <w:keepLines/>
              <w:jc w:val="center"/>
              <w:rPr>
                <w:szCs w:val="22"/>
                <w:lang w:val="es-ES_tradnl"/>
              </w:rPr>
            </w:pPr>
            <w:r w:rsidRPr="00AD5121">
              <w:rPr>
                <w:szCs w:val="22"/>
                <w:lang w:val="es-ES_tradnl"/>
              </w:rPr>
              <w:t>5</w:t>
            </w:r>
          </w:p>
        </w:tc>
        <w:tc>
          <w:tcPr>
            <w:tcW w:w="850" w:type="dxa"/>
            <w:vAlign w:val="center"/>
          </w:tcPr>
          <w:p w:rsidR="00543337" w:rsidRPr="00AD5121" w:rsidRDefault="00543337" w:rsidP="00B06A97">
            <w:pPr>
              <w:pStyle w:val="Tabletext"/>
              <w:keepNext/>
              <w:keepLines/>
              <w:jc w:val="center"/>
              <w:rPr>
                <w:szCs w:val="22"/>
                <w:lang w:val="es-ES_tradnl"/>
              </w:rPr>
            </w:pPr>
            <w:r w:rsidRPr="00AD5121">
              <w:rPr>
                <w:szCs w:val="22"/>
                <w:lang w:val="es-ES_tradnl"/>
              </w:rPr>
              <w:t>0</w:t>
            </w:r>
          </w:p>
        </w:tc>
      </w:tr>
      <w:tr w:rsidR="00543337" w:rsidRPr="00AD5121" w:rsidTr="00B06A97">
        <w:trPr>
          <w:cantSplit/>
          <w:jc w:val="center"/>
        </w:trPr>
        <w:tc>
          <w:tcPr>
            <w:tcW w:w="1587" w:type="dxa"/>
          </w:tcPr>
          <w:p w:rsidR="00543337" w:rsidRPr="00AD5121" w:rsidRDefault="00543337" w:rsidP="00B06A97">
            <w:pPr>
              <w:pStyle w:val="Tabletext"/>
              <w:keepNext/>
              <w:keepLines/>
              <w:jc w:val="left"/>
              <w:rPr>
                <w:szCs w:val="22"/>
                <w:lang w:val="es-ES_tradnl"/>
              </w:rPr>
            </w:pPr>
            <w:r w:rsidRPr="00AD5121">
              <w:rPr>
                <w:szCs w:val="22"/>
                <w:lang w:val="es-ES_tradnl"/>
              </w:rPr>
              <w:t>Ganancia con polarización dextrógira</w:t>
            </w:r>
          </w:p>
        </w:tc>
        <w:tc>
          <w:tcPr>
            <w:tcW w:w="737" w:type="dxa"/>
            <w:vAlign w:val="center"/>
          </w:tcPr>
          <w:p w:rsidR="00543337" w:rsidRPr="00AD5121" w:rsidRDefault="00543337" w:rsidP="00B06A97">
            <w:pPr>
              <w:pStyle w:val="Tabletext"/>
              <w:keepNext/>
              <w:keepLines/>
              <w:jc w:val="center"/>
              <w:rPr>
                <w:rFonts w:eastAsiaTheme="minorEastAsia"/>
                <w:szCs w:val="22"/>
                <w:lang w:val="es-ES_tradnl"/>
              </w:rPr>
            </w:pPr>
            <w:r w:rsidRPr="00AD5121">
              <w:rPr>
                <w:rFonts w:eastAsiaTheme="minorEastAsia"/>
                <w:szCs w:val="22"/>
                <w:lang w:val="es-ES_tradnl"/>
              </w:rPr>
              <w:t>3,85</w:t>
            </w:r>
          </w:p>
        </w:tc>
        <w:tc>
          <w:tcPr>
            <w:tcW w:w="737" w:type="dxa"/>
            <w:vAlign w:val="center"/>
          </w:tcPr>
          <w:p w:rsidR="00543337" w:rsidRPr="00AD5121" w:rsidRDefault="00543337" w:rsidP="00B06A97">
            <w:pPr>
              <w:pStyle w:val="Tabletext"/>
              <w:keepNext/>
              <w:keepLines/>
              <w:jc w:val="center"/>
              <w:rPr>
                <w:rFonts w:eastAsiaTheme="minorEastAsia"/>
                <w:szCs w:val="22"/>
                <w:lang w:val="es-ES_tradnl"/>
              </w:rPr>
            </w:pPr>
            <w:r w:rsidRPr="00AD5121">
              <w:rPr>
                <w:rFonts w:eastAsiaTheme="minorEastAsia"/>
                <w:szCs w:val="22"/>
                <w:lang w:val="es-ES_tradnl"/>
              </w:rPr>
              <w:t>3,54</w:t>
            </w:r>
          </w:p>
        </w:tc>
        <w:tc>
          <w:tcPr>
            <w:tcW w:w="737" w:type="dxa"/>
            <w:vAlign w:val="center"/>
          </w:tcPr>
          <w:p w:rsidR="00543337" w:rsidRPr="00AD5121" w:rsidRDefault="00543337" w:rsidP="00B06A97">
            <w:pPr>
              <w:pStyle w:val="Tabletext"/>
              <w:keepNext/>
              <w:keepLines/>
              <w:jc w:val="center"/>
              <w:rPr>
                <w:rFonts w:eastAsiaTheme="minorEastAsia"/>
                <w:szCs w:val="22"/>
                <w:lang w:val="es-ES_tradnl"/>
              </w:rPr>
            </w:pPr>
            <w:r w:rsidRPr="00AD5121">
              <w:rPr>
                <w:rFonts w:eastAsiaTheme="minorEastAsia"/>
                <w:szCs w:val="22"/>
                <w:lang w:val="es-ES_tradnl"/>
              </w:rPr>
              <w:t>2,62</w:t>
            </w:r>
          </w:p>
        </w:tc>
        <w:tc>
          <w:tcPr>
            <w:tcW w:w="737" w:type="dxa"/>
            <w:vAlign w:val="center"/>
          </w:tcPr>
          <w:p w:rsidR="00543337" w:rsidRPr="00AD5121" w:rsidRDefault="00543337" w:rsidP="00B06A97">
            <w:pPr>
              <w:pStyle w:val="Tabletext"/>
              <w:keepNext/>
              <w:keepLines/>
              <w:jc w:val="center"/>
              <w:rPr>
                <w:rFonts w:eastAsiaTheme="minorEastAsia"/>
                <w:szCs w:val="22"/>
                <w:lang w:val="es-ES_tradnl"/>
              </w:rPr>
            </w:pPr>
            <w:r w:rsidRPr="00AD5121">
              <w:rPr>
                <w:rFonts w:eastAsiaTheme="minorEastAsia"/>
                <w:szCs w:val="22"/>
                <w:lang w:val="es-ES_tradnl"/>
              </w:rPr>
              <w:t>1,24</w:t>
            </w:r>
          </w:p>
        </w:tc>
        <w:tc>
          <w:tcPr>
            <w:tcW w:w="850" w:type="dxa"/>
            <w:vAlign w:val="center"/>
          </w:tcPr>
          <w:p w:rsidR="00543337" w:rsidRPr="00AD5121" w:rsidRDefault="00543337" w:rsidP="00B06A97">
            <w:pPr>
              <w:pStyle w:val="Tabletext"/>
              <w:keepNext/>
              <w:keepLines/>
              <w:jc w:val="center"/>
              <w:rPr>
                <w:rFonts w:eastAsiaTheme="minorEastAsia"/>
                <w:szCs w:val="22"/>
                <w:lang w:val="es-ES_tradnl"/>
              </w:rPr>
            </w:pPr>
            <w:r w:rsidRPr="00AD5121">
              <w:rPr>
                <w:rFonts w:eastAsiaTheme="minorEastAsia"/>
                <w:szCs w:val="22"/>
                <w:lang w:val="es-ES_tradnl"/>
              </w:rPr>
              <w:t>–0,17</w:t>
            </w:r>
          </w:p>
        </w:tc>
        <w:tc>
          <w:tcPr>
            <w:tcW w:w="850" w:type="dxa"/>
            <w:vAlign w:val="center"/>
          </w:tcPr>
          <w:p w:rsidR="00543337" w:rsidRPr="00AD5121" w:rsidRDefault="00543337" w:rsidP="00B06A97">
            <w:pPr>
              <w:pStyle w:val="Tabletext"/>
              <w:keepNext/>
              <w:keepLines/>
              <w:jc w:val="center"/>
              <w:rPr>
                <w:rFonts w:eastAsiaTheme="minorEastAsia"/>
                <w:szCs w:val="22"/>
                <w:lang w:val="es-ES_tradnl"/>
              </w:rPr>
            </w:pPr>
            <w:r w:rsidRPr="00AD5121">
              <w:rPr>
                <w:rFonts w:eastAsiaTheme="minorEastAsia"/>
                <w:szCs w:val="22"/>
                <w:lang w:val="es-ES_tradnl"/>
              </w:rPr>
              <w:t>–1,33</w:t>
            </w:r>
          </w:p>
        </w:tc>
        <w:tc>
          <w:tcPr>
            <w:tcW w:w="850" w:type="dxa"/>
            <w:vAlign w:val="center"/>
          </w:tcPr>
          <w:p w:rsidR="00543337" w:rsidRPr="00AD5121" w:rsidRDefault="00543337" w:rsidP="00B06A97">
            <w:pPr>
              <w:pStyle w:val="Tabletext"/>
              <w:keepNext/>
              <w:keepLines/>
              <w:jc w:val="center"/>
              <w:rPr>
                <w:rFonts w:eastAsiaTheme="minorEastAsia"/>
                <w:szCs w:val="22"/>
                <w:lang w:val="es-ES_tradnl"/>
              </w:rPr>
            </w:pPr>
            <w:r w:rsidRPr="00AD5121">
              <w:rPr>
                <w:rFonts w:eastAsiaTheme="minorEastAsia"/>
                <w:szCs w:val="22"/>
                <w:lang w:val="es-ES_tradnl"/>
              </w:rPr>
              <w:t>–2,24</w:t>
            </w:r>
          </w:p>
        </w:tc>
        <w:tc>
          <w:tcPr>
            <w:tcW w:w="850" w:type="dxa"/>
            <w:vAlign w:val="center"/>
          </w:tcPr>
          <w:p w:rsidR="00543337" w:rsidRPr="00AD5121" w:rsidRDefault="00543337" w:rsidP="00B06A97">
            <w:pPr>
              <w:pStyle w:val="Tabletext"/>
              <w:keepNext/>
              <w:keepLines/>
              <w:jc w:val="center"/>
              <w:rPr>
                <w:rFonts w:eastAsiaTheme="minorEastAsia"/>
                <w:szCs w:val="22"/>
                <w:lang w:val="es-ES_tradnl"/>
              </w:rPr>
            </w:pPr>
            <w:r w:rsidRPr="00AD5121">
              <w:rPr>
                <w:rFonts w:eastAsiaTheme="minorEastAsia"/>
                <w:szCs w:val="22"/>
                <w:lang w:val="es-ES_tradnl"/>
              </w:rPr>
              <w:t>–3,08</w:t>
            </w:r>
          </w:p>
        </w:tc>
        <w:tc>
          <w:tcPr>
            <w:tcW w:w="850" w:type="dxa"/>
            <w:vAlign w:val="center"/>
          </w:tcPr>
          <w:p w:rsidR="00543337" w:rsidRPr="00AD5121" w:rsidRDefault="00543337" w:rsidP="00B06A97">
            <w:pPr>
              <w:pStyle w:val="Tabletext"/>
              <w:keepNext/>
              <w:keepLines/>
              <w:jc w:val="center"/>
              <w:rPr>
                <w:rFonts w:eastAsiaTheme="minorEastAsia"/>
                <w:szCs w:val="22"/>
                <w:lang w:val="es-ES_tradnl"/>
              </w:rPr>
            </w:pPr>
            <w:r w:rsidRPr="00AD5121">
              <w:rPr>
                <w:rFonts w:eastAsiaTheme="minorEastAsia"/>
                <w:szCs w:val="22"/>
                <w:lang w:val="es-ES_tradnl"/>
              </w:rPr>
              <w:t>–3,80</w:t>
            </w:r>
          </w:p>
        </w:tc>
        <w:tc>
          <w:tcPr>
            <w:tcW w:w="850" w:type="dxa"/>
            <w:vAlign w:val="center"/>
          </w:tcPr>
          <w:p w:rsidR="00543337" w:rsidRPr="00AD5121" w:rsidRDefault="00543337" w:rsidP="00B06A97">
            <w:pPr>
              <w:pStyle w:val="Tabletext"/>
              <w:keepNext/>
              <w:keepLines/>
              <w:jc w:val="center"/>
              <w:rPr>
                <w:rFonts w:eastAsiaTheme="minorEastAsia"/>
                <w:szCs w:val="22"/>
                <w:lang w:val="es-ES_tradnl"/>
              </w:rPr>
            </w:pPr>
            <w:r w:rsidRPr="00AD5121">
              <w:rPr>
                <w:rFonts w:eastAsiaTheme="minorEastAsia"/>
                <w:szCs w:val="22"/>
                <w:lang w:val="es-ES_tradnl"/>
              </w:rPr>
              <w:t>–3,96</w:t>
            </w:r>
          </w:p>
        </w:tc>
      </w:tr>
      <w:tr w:rsidR="00543337" w:rsidRPr="00AD5121" w:rsidTr="00B06A97">
        <w:trPr>
          <w:cantSplit/>
          <w:jc w:val="center"/>
        </w:trPr>
        <w:tc>
          <w:tcPr>
            <w:tcW w:w="1587" w:type="dxa"/>
          </w:tcPr>
          <w:p w:rsidR="00543337" w:rsidRPr="00AD5121" w:rsidRDefault="00543337" w:rsidP="00B06A97">
            <w:pPr>
              <w:pStyle w:val="Tabletext"/>
              <w:jc w:val="left"/>
              <w:rPr>
                <w:szCs w:val="22"/>
                <w:lang w:val="es-ES_tradnl"/>
              </w:rPr>
            </w:pPr>
            <w:r w:rsidRPr="00AD5121">
              <w:rPr>
                <w:szCs w:val="22"/>
                <w:lang w:val="es-ES_tradnl"/>
              </w:rPr>
              <w:t>Ganancia con polarización levógira</w:t>
            </w:r>
          </w:p>
        </w:tc>
        <w:tc>
          <w:tcPr>
            <w:tcW w:w="737"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–5,69</w:t>
            </w:r>
          </w:p>
        </w:tc>
        <w:tc>
          <w:tcPr>
            <w:tcW w:w="737"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–6,23</w:t>
            </w:r>
          </w:p>
        </w:tc>
        <w:tc>
          <w:tcPr>
            <w:tcW w:w="737"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–7,52</w:t>
            </w:r>
          </w:p>
        </w:tc>
        <w:tc>
          <w:tcPr>
            <w:tcW w:w="737"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–9,39</w:t>
            </w:r>
          </w:p>
        </w:tc>
        <w:tc>
          <w:tcPr>
            <w:tcW w:w="850"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–11,39</w:t>
            </w:r>
          </w:p>
        </w:tc>
        <w:tc>
          <w:tcPr>
            <w:tcW w:w="850"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–13,12</w:t>
            </w:r>
          </w:p>
        </w:tc>
        <w:tc>
          <w:tcPr>
            <w:tcW w:w="850"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–14,52</w:t>
            </w:r>
          </w:p>
        </w:tc>
        <w:tc>
          <w:tcPr>
            <w:tcW w:w="850"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–15,77</w:t>
            </w:r>
          </w:p>
        </w:tc>
        <w:tc>
          <w:tcPr>
            <w:tcW w:w="850"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–17,17</w:t>
            </w:r>
          </w:p>
        </w:tc>
        <w:tc>
          <w:tcPr>
            <w:tcW w:w="850"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–18,00</w:t>
            </w:r>
          </w:p>
        </w:tc>
      </w:tr>
      <w:tr w:rsidR="00543337" w:rsidRPr="00AD5121" w:rsidTr="00B06A97">
        <w:trPr>
          <w:cantSplit/>
          <w:jc w:val="center"/>
        </w:trPr>
        <w:tc>
          <w:tcPr>
            <w:tcW w:w="1587" w:type="dxa"/>
          </w:tcPr>
          <w:p w:rsidR="00543337" w:rsidRPr="00AD5121" w:rsidRDefault="00543337" w:rsidP="00B06A97">
            <w:pPr>
              <w:pStyle w:val="Tabletext"/>
              <w:jc w:val="left"/>
              <w:rPr>
                <w:szCs w:val="22"/>
                <w:lang w:val="es-ES_tradnl"/>
              </w:rPr>
            </w:pPr>
            <w:r w:rsidRPr="00AD5121">
              <w:rPr>
                <w:szCs w:val="22"/>
                <w:lang w:val="es-ES_tradnl"/>
              </w:rPr>
              <w:t>Relación axial</w:t>
            </w:r>
          </w:p>
        </w:tc>
        <w:tc>
          <w:tcPr>
            <w:tcW w:w="737"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6,02</w:t>
            </w:r>
          </w:p>
        </w:tc>
        <w:tc>
          <w:tcPr>
            <w:tcW w:w="737"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5,85</w:t>
            </w:r>
          </w:p>
        </w:tc>
        <w:tc>
          <w:tcPr>
            <w:tcW w:w="737"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5,59</w:t>
            </w:r>
          </w:p>
        </w:tc>
        <w:tc>
          <w:tcPr>
            <w:tcW w:w="737"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5,26</w:t>
            </w:r>
          </w:p>
        </w:tc>
        <w:tc>
          <w:tcPr>
            <w:tcW w:w="850"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4,90</w:t>
            </w:r>
          </w:p>
        </w:tc>
        <w:tc>
          <w:tcPr>
            <w:tcW w:w="850"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4,57</w:t>
            </w:r>
          </w:p>
        </w:tc>
        <w:tc>
          <w:tcPr>
            <w:tcW w:w="850"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4,31</w:t>
            </w:r>
          </w:p>
        </w:tc>
        <w:tc>
          <w:tcPr>
            <w:tcW w:w="850"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4,11</w:t>
            </w:r>
          </w:p>
        </w:tc>
        <w:tc>
          <w:tcPr>
            <w:tcW w:w="850"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3,78</w:t>
            </w:r>
          </w:p>
        </w:tc>
        <w:tc>
          <w:tcPr>
            <w:tcW w:w="850" w:type="dxa"/>
            <w:vAlign w:val="center"/>
          </w:tcPr>
          <w:p w:rsidR="00543337" w:rsidRPr="00AD5121" w:rsidRDefault="00543337" w:rsidP="00B06A97">
            <w:pPr>
              <w:pStyle w:val="Tabletext"/>
              <w:jc w:val="center"/>
              <w:rPr>
                <w:rFonts w:eastAsiaTheme="minorEastAsia"/>
                <w:szCs w:val="22"/>
                <w:lang w:val="es-ES_tradnl"/>
              </w:rPr>
            </w:pPr>
            <w:r w:rsidRPr="00AD5121">
              <w:rPr>
                <w:rFonts w:eastAsiaTheme="minorEastAsia"/>
                <w:szCs w:val="22"/>
                <w:lang w:val="es-ES_tradnl"/>
              </w:rPr>
              <w:t>3,49</w:t>
            </w:r>
          </w:p>
        </w:tc>
      </w:tr>
    </w:tbl>
    <w:p w:rsidR="00543337" w:rsidRPr="00297B30" w:rsidRDefault="00543337" w:rsidP="00543337">
      <w:pPr>
        <w:rPr>
          <w:rFonts w:eastAsiaTheme="minorEastAsia"/>
          <w:szCs w:val="24"/>
          <w:lang w:val="es-ES_tradnl"/>
        </w:rPr>
      </w:pPr>
      <w:r w:rsidRPr="00297B30">
        <w:rPr>
          <w:rFonts w:eastAsiaTheme="minorEastAsia"/>
          <w:szCs w:val="24"/>
          <w:lang w:val="es-ES_tradnl"/>
        </w:rPr>
        <w:lastRenderedPageBreak/>
        <w:t xml:space="preserve">Por lo tanto, la máxima potencia admisible en el punto A de la Fig. 1 es </w:t>
      </w:r>
      <w:r>
        <w:rPr>
          <w:lang w:val="es-ES_tradnl"/>
        </w:rPr>
        <w:sym w:font="Symbol" w:char="F02D"/>
      </w:r>
      <w:r w:rsidRPr="00297B30">
        <w:rPr>
          <w:rFonts w:eastAsiaTheme="minorEastAsia"/>
          <w:szCs w:val="24"/>
          <w:lang w:val="es-ES_tradnl"/>
        </w:rPr>
        <w:t>177,6 + 1,6 (pérdidas)</w:t>
      </w:r>
      <w:r>
        <w:rPr>
          <w:rFonts w:eastAsiaTheme="minorEastAsia"/>
          <w:szCs w:val="24"/>
          <w:lang w:val="es-ES_tradnl"/>
        </w:rPr>
        <w:t> </w:t>
      </w:r>
      <w:r w:rsidRPr="00297B30">
        <w:rPr>
          <w:rFonts w:eastAsiaTheme="minorEastAsia"/>
          <w:szCs w:val="24"/>
          <w:lang w:val="es-ES_tradnl"/>
        </w:rPr>
        <w:t>=</w:t>
      </w:r>
      <w:r>
        <w:rPr>
          <w:rFonts w:eastAsiaTheme="minorEastAsia"/>
          <w:szCs w:val="24"/>
          <w:lang w:val="es-ES_tradnl"/>
        </w:rPr>
        <w:t> </w:t>
      </w:r>
      <w:r>
        <w:rPr>
          <w:lang w:val="es-ES_tradnl"/>
        </w:rPr>
        <w:sym w:font="Symbol" w:char="F02D"/>
      </w:r>
      <w:r w:rsidRPr="00297B30">
        <w:rPr>
          <w:rFonts w:eastAsiaTheme="minorEastAsia"/>
          <w:szCs w:val="24"/>
          <w:lang w:val="es-ES_tradnl"/>
        </w:rPr>
        <w:t>176 </w:t>
      </w:r>
      <w:proofErr w:type="spellStart"/>
      <w:r w:rsidRPr="00297B30">
        <w:rPr>
          <w:rFonts w:eastAsiaTheme="minorEastAsia"/>
          <w:szCs w:val="24"/>
          <w:lang w:val="es-ES_tradnl"/>
        </w:rPr>
        <w:t>dBW</w:t>
      </w:r>
      <w:proofErr w:type="spellEnd"/>
      <w:r w:rsidRPr="00297B30">
        <w:rPr>
          <w:rFonts w:eastAsiaTheme="minorEastAsia"/>
          <w:szCs w:val="24"/>
          <w:lang w:val="es-ES_tradnl"/>
        </w:rPr>
        <w:t xml:space="preserve">, teniendo en cuenta el máximo ángulo nadir del satélite. Dado que se necesita la </w:t>
      </w:r>
      <w:proofErr w:type="spellStart"/>
      <w:r w:rsidRPr="00297B30">
        <w:rPr>
          <w:rFonts w:eastAsiaTheme="minorEastAsia"/>
          <w:szCs w:val="24"/>
          <w:lang w:val="es-ES_tradnl"/>
        </w:rPr>
        <w:t>dfp</w:t>
      </w:r>
      <w:proofErr w:type="spellEnd"/>
      <w:r w:rsidRPr="00297B30">
        <w:rPr>
          <w:rFonts w:eastAsiaTheme="minorEastAsia"/>
          <w:szCs w:val="24"/>
          <w:lang w:val="es-ES_tradnl"/>
        </w:rPr>
        <w:t>, esta cifra debe convertirse en dB(W/m</w:t>
      </w:r>
      <w:r w:rsidRPr="00297B30">
        <w:rPr>
          <w:rFonts w:eastAsiaTheme="minorEastAsia"/>
          <w:szCs w:val="24"/>
          <w:vertAlign w:val="superscript"/>
          <w:lang w:val="es-ES_tradnl"/>
        </w:rPr>
        <w:t>2</w:t>
      </w:r>
      <w:r w:rsidRPr="00297B30">
        <w:rPr>
          <w:rFonts w:eastAsiaTheme="minorEastAsia"/>
          <w:szCs w:val="24"/>
          <w:lang w:val="es-ES_tradnl"/>
        </w:rPr>
        <w:t>). El área de la superficie equivalente de una antena cuya ganancia </w:t>
      </w:r>
      <w:r w:rsidRPr="00297B30">
        <w:rPr>
          <w:rFonts w:eastAsiaTheme="minorEastAsia"/>
          <w:i/>
          <w:iCs/>
          <w:szCs w:val="24"/>
          <w:lang w:val="es-ES_tradnl"/>
        </w:rPr>
        <w:t>G</w:t>
      </w:r>
      <w:r w:rsidRPr="00297B30">
        <w:rPr>
          <w:rFonts w:eastAsiaTheme="minorEastAsia"/>
          <w:szCs w:val="24"/>
          <w:lang w:val="es-ES_tradnl"/>
        </w:rPr>
        <w:t xml:space="preserve"> sea </w:t>
      </w:r>
      <w:r>
        <w:rPr>
          <w:position w:val="-24"/>
        </w:rPr>
        <w:object w:dxaOrig="1780" w:dyaOrig="660">
          <v:shape id="_x0000_i1032" type="#_x0000_t75" style="width:89pt;height:32.6pt" o:ole="">
            <v:imagedata r:id="rId27" o:title=""/>
          </v:shape>
          <o:OLEObject Type="Embed" ProgID="Equation.3" ShapeID="_x0000_i1032" DrawAspect="Content" ObjectID="_1501062603" r:id="rId28"/>
        </w:object>
      </w:r>
      <w:r w:rsidRPr="00297B30">
        <w:rPr>
          <w:rFonts w:eastAsiaTheme="minorEastAsia"/>
          <w:szCs w:val="24"/>
          <w:lang w:val="es-ES_tradnl"/>
        </w:rPr>
        <w:t xml:space="preserve"> corresponde al ángulo nadir más elevado del satélite. Por lo tanto, la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correspondiente es </w:t>
      </w:r>
      <w:r>
        <w:rPr>
          <w:rFonts w:eastAsiaTheme="minorEastAsia"/>
          <w:szCs w:val="24"/>
          <w:lang w:val="es-ES_tradnl"/>
        </w:rPr>
        <w:t>–</w:t>
      </w:r>
      <w:r w:rsidRPr="00297B30">
        <w:rPr>
          <w:rFonts w:eastAsiaTheme="minorEastAsia"/>
          <w:szCs w:val="24"/>
          <w:lang w:val="es-ES_tradnl"/>
        </w:rPr>
        <w:t>176 – 10 log</w:t>
      </w:r>
      <w:r w:rsidRPr="00297B30">
        <w:rPr>
          <w:rFonts w:eastAsiaTheme="minorEastAsia"/>
          <w:szCs w:val="24"/>
          <w:vertAlign w:val="subscript"/>
          <w:lang w:val="es-ES_tradnl"/>
        </w:rPr>
        <w:t>10</w:t>
      </w:r>
      <w:r w:rsidRPr="00297B30">
        <w:rPr>
          <w:rFonts w:eastAsiaTheme="minorEastAsia"/>
          <w:szCs w:val="24"/>
          <w:lang w:val="es-ES_tradnl"/>
        </w:rPr>
        <w:t xml:space="preserve"> </w:t>
      </w:r>
      <w:r w:rsidRPr="00297B30">
        <w:rPr>
          <w:rFonts w:eastAsiaTheme="minorEastAsia"/>
          <w:i/>
          <w:iCs/>
          <w:szCs w:val="24"/>
          <w:lang w:val="es-ES_tradnl"/>
        </w:rPr>
        <w:t>S</w:t>
      </w:r>
      <w:r w:rsidRPr="00297B30">
        <w:rPr>
          <w:rFonts w:eastAsiaTheme="minorEastAsia"/>
          <w:szCs w:val="24"/>
          <w:lang w:val="es-ES_tradnl"/>
        </w:rPr>
        <w:t> = −166,2 dB(W/m</w:t>
      </w:r>
      <w:r w:rsidRPr="00297B30">
        <w:rPr>
          <w:rFonts w:eastAsiaTheme="minorEastAsia"/>
          <w:szCs w:val="24"/>
          <w:vertAlign w:val="superscript"/>
          <w:lang w:val="es-ES_tradnl"/>
        </w:rPr>
        <w:t>2</w:t>
      </w:r>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El nivel de protección requerido es: no se debe producir ninguna emisión no esencial de banda estrecha superior a </w:t>
      </w:r>
      <w:r>
        <w:rPr>
          <w:rFonts w:eastAsiaTheme="minorEastAsia"/>
          <w:szCs w:val="24"/>
          <w:lang w:val="es-ES_tradnl"/>
        </w:rPr>
        <w:t>–</w:t>
      </w:r>
      <w:r w:rsidRPr="00297B30">
        <w:rPr>
          <w:rFonts w:eastAsiaTheme="minorEastAsia"/>
          <w:szCs w:val="24"/>
          <w:lang w:val="es-ES_tradnl"/>
        </w:rPr>
        <w:t>166,2 dB(W/m</w:t>
      </w:r>
      <w:r w:rsidRPr="00297B30">
        <w:rPr>
          <w:rFonts w:eastAsiaTheme="minorEastAsia"/>
          <w:szCs w:val="24"/>
          <w:vertAlign w:val="superscript"/>
          <w:lang w:val="es-ES_tradnl"/>
        </w:rPr>
        <w:t>2</w:t>
      </w:r>
      <w:r w:rsidRPr="00297B30">
        <w:rPr>
          <w:rFonts w:eastAsiaTheme="minorEastAsia"/>
          <w:szCs w:val="24"/>
          <w:lang w:val="es-ES_tradnl"/>
        </w:rPr>
        <w:t xml:space="preserve">) a la entrada de cualquier antena de satélite de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w:t>
      </w:r>
    </w:p>
    <w:p w:rsidR="00543337" w:rsidRPr="00297B30" w:rsidRDefault="00543337" w:rsidP="00543337">
      <w:pPr>
        <w:pStyle w:val="Heading1"/>
        <w:rPr>
          <w:lang w:val="es-ES_tradnl"/>
        </w:rPr>
      </w:pPr>
      <w:r w:rsidRPr="00297B30">
        <w:rPr>
          <w:lang w:val="es-ES_tradnl"/>
        </w:rPr>
        <w:t>4</w:t>
      </w:r>
      <w:r w:rsidRPr="00297B30">
        <w:rPr>
          <w:lang w:val="es-ES_tradnl"/>
        </w:rPr>
        <w:tab/>
        <w:t>Conclusión</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De acuerdo con los cálculos anteriores, las conclusiones y recomendaciones relativas al efecto de las emisiones no esenciales de banda estrecha sobre el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no deberán exceder de </w:t>
      </w:r>
      <w:r>
        <w:rPr>
          <w:rFonts w:eastAsiaTheme="minorEastAsia"/>
          <w:szCs w:val="24"/>
          <w:lang w:val="es-ES_tradnl"/>
        </w:rPr>
        <w:sym w:font="Symbol" w:char="F02D"/>
      </w:r>
      <w:r w:rsidRPr="00297B30">
        <w:rPr>
          <w:rFonts w:eastAsiaTheme="minorEastAsia"/>
          <w:szCs w:val="24"/>
          <w:lang w:val="es-ES_tradnl"/>
        </w:rPr>
        <w:t>166,2 dB(W/m</w:t>
      </w:r>
      <w:r w:rsidRPr="00297B30">
        <w:rPr>
          <w:rFonts w:eastAsiaTheme="minorEastAsia"/>
          <w:szCs w:val="24"/>
          <w:vertAlign w:val="superscript"/>
          <w:lang w:val="es-ES_tradnl"/>
        </w:rPr>
        <w:t>2</w:t>
      </w:r>
      <w:r w:rsidRPr="00297B30">
        <w:rPr>
          <w:rFonts w:eastAsiaTheme="minorEastAsia"/>
          <w:szCs w:val="24"/>
          <w:lang w:val="es-ES_tradnl"/>
        </w:rPr>
        <w:t xml:space="preserve">) a la entrada de cualquier antena de satélite de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w:t>
      </w:r>
    </w:p>
    <w:p w:rsidR="00543337" w:rsidRPr="00297B30" w:rsidRDefault="00543337" w:rsidP="00543337">
      <w:pPr>
        <w:rPr>
          <w:rFonts w:eastAsiaTheme="minorEastAsia"/>
          <w:szCs w:val="24"/>
          <w:lang w:val="es-ES_tradnl"/>
        </w:rPr>
      </w:pPr>
    </w:p>
    <w:p w:rsidR="00543337" w:rsidRPr="00297B30" w:rsidRDefault="00543337" w:rsidP="00543337">
      <w:pPr>
        <w:rPr>
          <w:rFonts w:eastAsiaTheme="minorEastAsia"/>
          <w:szCs w:val="24"/>
          <w:lang w:val="es-ES_tradnl"/>
        </w:rPr>
      </w:pPr>
    </w:p>
    <w:p w:rsidR="00543337" w:rsidRPr="00297B30" w:rsidRDefault="00543337" w:rsidP="00543337">
      <w:pPr>
        <w:pStyle w:val="AnnexNoTitle"/>
        <w:rPr>
          <w:lang w:val="es-ES_tradnl"/>
        </w:rPr>
      </w:pPr>
      <w:r w:rsidRPr="00297B30">
        <w:rPr>
          <w:lang w:val="es-ES_tradnl"/>
        </w:rPr>
        <w:t>Anexo 3</w:t>
      </w:r>
      <w:r w:rsidRPr="00297B30">
        <w:rPr>
          <w:lang w:val="es-ES_tradnl"/>
        </w:rPr>
        <w:br/>
      </w:r>
      <w:r w:rsidRPr="00297B30">
        <w:rPr>
          <w:lang w:val="es-ES_tradnl"/>
        </w:rPr>
        <w:br/>
        <w:t>Directrices para la utilización de los requisitos de protección</w:t>
      </w:r>
      <w:r w:rsidRPr="00297B30">
        <w:rPr>
          <w:lang w:val="es-ES_tradnl"/>
        </w:rPr>
        <w:br/>
        <w:t>en la banda 406-406,1 MHz (sistema C-S)</w:t>
      </w:r>
    </w:p>
    <w:p w:rsidR="00543337" w:rsidRPr="00297B30" w:rsidRDefault="00543337" w:rsidP="00543337">
      <w:pPr>
        <w:pStyle w:val="Heading1"/>
        <w:rPr>
          <w:lang w:val="es-ES_tradnl"/>
        </w:rPr>
      </w:pPr>
      <w:r w:rsidRPr="00297B30">
        <w:rPr>
          <w:lang w:val="es-ES_tradnl"/>
        </w:rPr>
        <w:t>1</w:t>
      </w:r>
      <w:r w:rsidRPr="00297B30">
        <w:rPr>
          <w:lang w:val="es-ES_tradnl"/>
        </w:rPr>
        <w:tab/>
        <w:t xml:space="preserve">Definición de las características de las emisiones </w:t>
      </w:r>
    </w:p>
    <w:p w:rsidR="00543337" w:rsidRPr="00297B30" w:rsidRDefault="00543337" w:rsidP="00543337">
      <w:pPr>
        <w:pStyle w:val="Heading2"/>
        <w:rPr>
          <w:lang w:val="es-ES_tradnl"/>
        </w:rPr>
      </w:pPr>
      <w:r w:rsidRPr="00297B30">
        <w:rPr>
          <w:lang w:val="es-ES_tradnl"/>
        </w:rPr>
        <w:t>1.1</w:t>
      </w:r>
      <w:r w:rsidRPr="00297B30">
        <w:rPr>
          <w:lang w:val="es-ES_tradnl"/>
        </w:rPr>
        <w:tab/>
        <w:t>Emisión fuera de banda</w:t>
      </w:r>
    </w:p>
    <w:p w:rsidR="00543337" w:rsidRPr="00297B30" w:rsidRDefault="00543337" w:rsidP="00543337">
      <w:pPr>
        <w:rPr>
          <w:rFonts w:eastAsiaTheme="minorEastAsia"/>
          <w:szCs w:val="24"/>
          <w:lang w:val="es-ES_tradnl"/>
        </w:rPr>
      </w:pPr>
      <w:r w:rsidRPr="00297B30">
        <w:rPr>
          <w:rFonts w:eastAsiaTheme="minorEastAsia"/>
          <w:szCs w:val="24"/>
          <w:lang w:val="es-ES_tradnl"/>
        </w:rPr>
        <w:t>Emisión en una o varias frecuencias situadas inmediatamente fuera de la anchura de banda necesaria, resultante del proceso de modulación, excluyendo las emisiones no esenciales.</w:t>
      </w:r>
    </w:p>
    <w:p w:rsidR="00543337" w:rsidRPr="00297B30" w:rsidRDefault="00543337" w:rsidP="00543337">
      <w:pPr>
        <w:pStyle w:val="Heading2"/>
        <w:rPr>
          <w:lang w:val="es-ES_tradnl"/>
        </w:rPr>
      </w:pPr>
      <w:r w:rsidRPr="00297B30">
        <w:rPr>
          <w:lang w:val="es-ES_tradnl"/>
        </w:rPr>
        <w:t>1.2</w:t>
      </w:r>
      <w:r w:rsidRPr="00297B30">
        <w:rPr>
          <w:lang w:val="es-ES_tradnl"/>
        </w:rPr>
        <w:tab/>
        <w:t>Emisión no esencial</w:t>
      </w:r>
    </w:p>
    <w:p w:rsidR="00543337" w:rsidRPr="00297B30" w:rsidRDefault="00543337" w:rsidP="00543337">
      <w:pPr>
        <w:rPr>
          <w:rFonts w:eastAsiaTheme="minorEastAsia"/>
          <w:szCs w:val="24"/>
          <w:lang w:val="es-ES_tradnl"/>
        </w:rPr>
      </w:pPr>
      <w:r w:rsidRPr="00297B30">
        <w:rPr>
          <w:rFonts w:eastAsiaTheme="minorEastAsia"/>
          <w:szCs w:val="24"/>
          <w:lang w:val="es-ES_tradnl"/>
        </w:rPr>
        <w:t>Emisión en una o varias frecuencias situadas fuera de la anchura de banda necesaria, cuyo nivel puede reducirse sin afectar la transmisión de la información correspondiente. Las emisiones armónicas, las emisiones parásitas, los productos de intermodulación y los productos de la conversión de frecuencia están comprendidos en las emisiones no esenciales, pero están excluidas las emisiones fuera de banda.</w:t>
      </w:r>
    </w:p>
    <w:p w:rsidR="00543337" w:rsidRPr="00297B30" w:rsidRDefault="00543337" w:rsidP="00543337">
      <w:pPr>
        <w:pStyle w:val="Heading2"/>
        <w:rPr>
          <w:lang w:val="es-ES_tradnl"/>
        </w:rPr>
      </w:pPr>
      <w:r w:rsidRPr="00297B30">
        <w:rPr>
          <w:lang w:val="es-ES_tradnl"/>
        </w:rPr>
        <w:t>1.3</w:t>
      </w:r>
      <w:r w:rsidRPr="00297B30">
        <w:rPr>
          <w:lang w:val="es-ES_tradnl"/>
        </w:rPr>
        <w:tab/>
        <w:t>Emisiones no deseadas</w:t>
      </w:r>
    </w:p>
    <w:p w:rsidR="00543337" w:rsidRPr="00297B30" w:rsidRDefault="00543337" w:rsidP="00543337">
      <w:pPr>
        <w:rPr>
          <w:rFonts w:eastAsiaTheme="minorEastAsia"/>
          <w:szCs w:val="24"/>
          <w:lang w:val="es-ES_tradnl"/>
        </w:rPr>
      </w:pPr>
      <w:r w:rsidRPr="00297B30">
        <w:rPr>
          <w:rFonts w:eastAsiaTheme="minorEastAsia"/>
          <w:szCs w:val="24"/>
          <w:lang w:val="es-ES_tradnl"/>
        </w:rPr>
        <w:t>Conjunto de las emisiones no esenciales y des las emisiones fuera de banda.</w:t>
      </w:r>
    </w:p>
    <w:p w:rsidR="00543337" w:rsidRPr="00297B30" w:rsidRDefault="00543337" w:rsidP="00543337">
      <w:pPr>
        <w:pStyle w:val="Heading2"/>
        <w:rPr>
          <w:lang w:val="es-ES_tradnl"/>
        </w:rPr>
      </w:pPr>
      <w:r w:rsidRPr="00297B30">
        <w:rPr>
          <w:lang w:val="es-ES_tradnl"/>
        </w:rPr>
        <w:t>1.4</w:t>
      </w:r>
      <w:r w:rsidRPr="00297B30">
        <w:rPr>
          <w:lang w:val="es-ES_tradnl"/>
        </w:rPr>
        <w:tab/>
        <w:t>Anchura de banda necesaria</w:t>
      </w:r>
    </w:p>
    <w:p w:rsidR="00543337" w:rsidRPr="00297B30" w:rsidRDefault="00543337" w:rsidP="00543337">
      <w:pPr>
        <w:rPr>
          <w:rFonts w:eastAsiaTheme="minorEastAsia"/>
          <w:szCs w:val="24"/>
          <w:lang w:val="es-ES_tradnl"/>
        </w:rPr>
      </w:pPr>
      <w:r w:rsidRPr="00297B30">
        <w:rPr>
          <w:rFonts w:eastAsiaTheme="minorEastAsia"/>
          <w:szCs w:val="24"/>
          <w:lang w:val="es-ES_tradnl"/>
        </w:rPr>
        <w:t>Para una clase de emisión dada, anchura de la banda de frecuencias estrictamente suficiente para asegurar la transmisión de la información a la velocidad y con la calidad requeridas en condiciones especificadas.</w:t>
      </w:r>
    </w:p>
    <w:p w:rsidR="00543337" w:rsidRPr="00297B30" w:rsidRDefault="00543337" w:rsidP="00543337">
      <w:pPr>
        <w:pStyle w:val="Heading1"/>
        <w:rPr>
          <w:lang w:val="es-ES_tradnl"/>
        </w:rPr>
      </w:pPr>
      <w:r w:rsidRPr="00297B30">
        <w:rPr>
          <w:lang w:val="es-ES_tradnl"/>
        </w:rPr>
        <w:lastRenderedPageBreak/>
        <w:t>2</w:t>
      </w:r>
      <w:r w:rsidRPr="00297B30">
        <w:rPr>
          <w:lang w:val="es-ES_tradnl"/>
        </w:rPr>
        <w:tab/>
        <w:t>Procedimiento de cálculo del nivel de emisiones no deseadas en relación con el SARP </w:t>
      </w:r>
      <w:proofErr w:type="spellStart"/>
      <w:r w:rsidRPr="00297B30">
        <w:rPr>
          <w:lang w:val="es-ES_tradnl"/>
        </w:rPr>
        <w:t>Sarsat</w:t>
      </w:r>
      <w:proofErr w:type="spellEnd"/>
    </w:p>
    <w:p w:rsidR="00543337" w:rsidRPr="00297B30" w:rsidRDefault="00543337" w:rsidP="00543337">
      <w:pPr>
        <w:pStyle w:val="Heading2"/>
        <w:rPr>
          <w:lang w:val="es-ES_tradnl"/>
        </w:rPr>
      </w:pPr>
      <w:r w:rsidRPr="00297B30">
        <w:rPr>
          <w:lang w:val="es-ES_tradnl"/>
        </w:rPr>
        <w:t>2.1</w:t>
      </w:r>
      <w:r w:rsidRPr="00297B30">
        <w:rPr>
          <w:lang w:val="es-ES_tradnl"/>
        </w:rPr>
        <w:tab/>
        <w:t>Emisiones fuera de banda</w:t>
      </w:r>
    </w:p>
    <w:p w:rsidR="00543337" w:rsidRPr="00297B30" w:rsidRDefault="00543337" w:rsidP="00543337">
      <w:pPr>
        <w:rPr>
          <w:rFonts w:eastAsiaTheme="minorEastAsia"/>
          <w:szCs w:val="24"/>
          <w:lang w:val="es-ES_tradnl"/>
        </w:rPr>
      </w:pPr>
      <w:r w:rsidRPr="00297B30">
        <w:rPr>
          <w:rFonts w:eastAsiaTheme="minorEastAsia"/>
          <w:szCs w:val="24"/>
          <w:lang w:val="es-ES_tradnl"/>
        </w:rPr>
        <w:t>La unidad de la emisión no deseada fuera de banda es el dB(W/(m</w:t>
      </w:r>
      <w:r w:rsidRPr="00297B30">
        <w:rPr>
          <w:rFonts w:eastAsiaTheme="minorEastAsia"/>
          <w:szCs w:val="24"/>
          <w:vertAlign w:val="superscript"/>
          <w:lang w:val="es-ES_tradnl"/>
        </w:rPr>
        <w:t>2</w:t>
      </w:r>
      <w:r w:rsidRPr="00297B30">
        <w:rPr>
          <w:rFonts w:eastAsiaTheme="minorEastAsia"/>
          <w:szCs w:val="24"/>
          <w:lang w:val="es-ES_tradnl"/>
        </w:rPr>
        <w:t> · Hz))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La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total es, de hecho, una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combinada que se define como la suma de todas las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espectrales procedentes de todas la fuentes potenciales de emisiones no deseadas fuera de banda.</w:t>
      </w:r>
    </w:p>
    <w:p w:rsidR="00543337" w:rsidRPr="00297B30" w:rsidRDefault="00543337" w:rsidP="00543337">
      <w:pPr>
        <w:pStyle w:val="Heading2"/>
        <w:rPr>
          <w:lang w:val="es-ES_tradnl"/>
        </w:rPr>
      </w:pPr>
      <w:r w:rsidRPr="00297B30">
        <w:rPr>
          <w:lang w:val="es-ES_tradnl"/>
        </w:rPr>
        <w:t>2.2</w:t>
      </w:r>
      <w:r w:rsidRPr="00297B30">
        <w:rPr>
          <w:lang w:val="es-ES_tradnl"/>
        </w:rPr>
        <w:tab/>
        <w:t>Emisiones no esenciales</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Los procesadores del receptor C-S se diseñan para detectar las componentes espectrales discretas (portadora no modulada de la baliza). Los requisitos de protección se expresan en términos de </w:t>
      </w:r>
      <w:proofErr w:type="spellStart"/>
      <w:r w:rsidRPr="00297B30">
        <w:rPr>
          <w:rFonts w:eastAsiaTheme="minorEastAsia"/>
          <w:szCs w:val="24"/>
          <w:lang w:val="es-ES_tradnl"/>
        </w:rPr>
        <w:t>dfp</w:t>
      </w:r>
      <w:proofErr w:type="spellEnd"/>
      <w:r w:rsidRPr="00297B30">
        <w:rPr>
          <w:rFonts w:eastAsiaTheme="minorEastAsia"/>
          <w:szCs w:val="24"/>
          <w:lang w:val="es-ES_tradnl"/>
        </w:rPr>
        <w:t>, siendo a unidad de la emisión no esencial el dB(W/m</w:t>
      </w:r>
      <w:r w:rsidRPr="00297B30">
        <w:rPr>
          <w:rFonts w:eastAsiaTheme="minorEastAsia"/>
          <w:szCs w:val="24"/>
          <w:vertAlign w:val="superscript"/>
          <w:lang w:val="es-ES_tradnl"/>
        </w:rPr>
        <w:t>2</w:t>
      </w:r>
      <w:r w:rsidRPr="00297B30">
        <w:rPr>
          <w:rFonts w:eastAsiaTheme="minorEastAsia"/>
          <w:szCs w:val="24"/>
          <w:lang w:val="es-ES_tradnl"/>
        </w:rPr>
        <w:t>) (</w:t>
      </w:r>
      <w:proofErr w:type="spellStart"/>
      <w:r w:rsidRPr="00297B30">
        <w:rPr>
          <w:rFonts w:eastAsiaTheme="minorEastAsia"/>
          <w:szCs w:val="24"/>
          <w:lang w:val="es-ES_tradnl"/>
        </w:rPr>
        <w:t>dfp</w:t>
      </w:r>
      <w:proofErr w:type="spellEnd"/>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anchura de banda de resolución de los instrumentos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es 19 Hz. Ello significa que la separación de frecuencia mínima entre líneas espectrales (también llamada potencia de resolución del análisis espectral) que puede detectar el receptor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es de 19 Hz. En consecuencia, el nivel de emisión no esencial debe calcularse en una anchura de banda de referencia de 19 Hz.</w:t>
      </w:r>
    </w:p>
    <w:p w:rsidR="00543337" w:rsidRPr="00297B30" w:rsidRDefault="00543337" w:rsidP="00543337">
      <w:pPr>
        <w:pStyle w:val="Heading2"/>
        <w:rPr>
          <w:lang w:val="es-ES_tradnl"/>
        </w:rPr>
      </w:pPr>
      <w:r w:rsidRPr="00297B30">
        <w:rPr>
          <w:lang w:val="es-ES_tradnl"/>
        </w:rPr>
        <w:t>2.3</w:t>
      </w:r>
      <w:r w:rsidRPr="00297B30">
        <w:rPr>
          <w:lang w:val="es-ES_tradnl"/>
        </w:rPr>
        <w:tab/>
        <w:t>Límites de las emisiones no deseadas</w:t>
      </w:r>
    </w:p>
    <w:p w:rsidR="00543337" w:rsidRPr="00297B30" w:rsidRDefault="00543337" w:rsidP="00543337">
      <w:pPr>
        <w:rPr>
          <w:rFonts w:eastAsiaTheme="minorEastAsia"/>
          <w:szCs w:val="24"/>
          <w:lang w:val="es-ES_tradnl"/>
        </w:rPr>
      </w:pPr>
      <w:r w:rsidRPr="00297B30">
        <w:rPr>
          <w:rFonts w:eastAsiaTheme="minorEastAsia"/>
          <w:szCs w:val="24"/>
          <w:lang w:val="es-ES_tradnl"/>
        </w:rPr>
        <w:t>En la Fig. 5 se recogen a modo de resumen los valores de los límites de las emisiones no deseadas.</w:t>
      </w:r>
    </w:p>
    <w:p w:rsidR="00543337" w:rsidRPr="00297B30" w:rsidRDefault="00543337" w:rsidP="00771708">
      <w:pPr>
        <w:pStyle w:val="FigureNo"/>
        <w:spacing w:before="240"/>
        <w:rPr>
          <w:rFonts w:eastAsiaTheme="minorEastAsia"/>
          <w:lang w:val="es-ES_tradnl"/>
        </w:rPr>
      </w:pPr>
      <w:r w:rsidRPr="00297B30">
        <w:rPr>
          <w:rFonts w:eastAsiaTheme="minorEastAsia"/>
          <w:lang w:val="es-ES_tradnl"/>
        </w:rPr>
        <w:t>figura 5</w:t>
      </w:r>
    </w:p>
    <w:p w:rsidR="00543337" w:rsidRPr="00297B30" w:rsidRDefault="00543337" w:rsidP="00543337">
      <w:pPr>
        <w:pStyle w:val="Figuretitle"/>
        <w:rPr>
          <w:rFonts w:eastAsiaTheme="minorEastAsia"/>
          <w:lang w:val="es-ES_tradnl"/>
        </w:rPr>
      </w:pPr>
      <w:r w:rsidRPr="00297B30">
        <w:rPr>
          <w:rFonts w:eastAsiaTheme="minorEastAsia"/>
          <w:lang w:val="es-ES_tradnl"/>
        </w:rPr>
        <w:t>Niveles de emisiones no deseadas</w:t>
      </w:r>
    </w:p>
    <w:p w:rsidR="00543337" w:rsidRPr="00297B30" w:rsidRDefault="00543337" w:rsidP="00543337">
      <w:pPr>
        <w:pStyle w:val="Figure"/>
        <w:rPr>
          <w:rFonts w:eastAsiaTheme="minorEastAsia"/>
          <w:lang w:val="es-ES_tradnl"/>
        </w:rPr>
      </w:pPr>
      <w:r w:rsidRPr="00297B30">
        <w:rPr>
          <w:rFonts w:eastAsiaTheme="minorEastAsia"/>
          <w:lang w:val="es-ES_tradnl"/>
        </w:rPr>
        <w:object w:dxaOrig="5359" w:dyaOrig="3338">
          <v:shape id="_x0000_i1033" type="#_x0000_t75" style="width:311.1pt;height:193.6pt" o:ole="">
            <v:imagedata r:id="rId29" o:title=""/>
          </v:shape>
          <o:OLEObject Type="Embed" ProgID="CorelDRAW.Graphic.14" ShapeID="_x0000_i1033" DrawAspect="Content" ObjectID="_1501062604" r:id="rId30"/>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Las emisiones no deseadas fuera de banda no deben superar los −198,6 dB(W/(m</w:t>
      </w:r>
      <w:r w:rsidRPr="00297B30">
        <w:rPr>
          <w:rFonts w:eastAsiaTheme="minorEastAsia"/>
          <w:szCs w:val="24"/>
          <w:vertAlign w:val="superscript"/>
          <w:lang w:val="es-ES_tradnl"/>
        </w:rPr>
        <w:t>2</w:t>
      </w:r>
      <w:r w:rsidRPr="00297B30">
        <w:rPr>
          <w:rFonts w:eastAsiaTheme="minorEastAsia"/>
          <w:szCs w:val="24"/>
          <w:lang w:val="es-ES_tradnl"/>
        </w:rPr>
        <w:t xml:space="preserve"> · Hz)) a la entrada de cualquier antena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esta cifra puede también convertirse en una densidad espectral de potencia (dB(W/Hz)):</w:t>
      </w:r>
    </w:p>
    <w:p w:rsidR="00543337" w:rsidRPr="00297B30" w:rsidRDefault="00543337" w:rsidP="00543337">
      <w:pPr>
        <w:pStyle w:val="enumlev1"/>
        <w:rPr>
          <w:rFonts w:eastAsiaTheme="minorEastAsia"/>
          <w:lang w:val="es-ES_tradnl"/>
        </w:rPr>
      </w:pPr>
      <w:r w:rsidRPr="00297B30">
        <w:rPr>
          <w:rFonts w:eastAsiaTheme="minorEastAsia"/>
          <w:lang w:val="es-ES_tradnl"/>
        </w:rPr>
        <w:tab/>
        <w:t xml:space="preserve">–210,1 dB(W/Hz) (a la entrada de los instrumentos SARP) + 1,6 (pérdidas) – 3,85 (ganancia de antena) </w:t>
      </w:r>
      <w:r>
        <w:rPr>
          <w:rFonts w:eastAsiaTheme="minorEastAsia"/>
          <w:lang w:val="es-ES_tradnl"/>
        </w:rPr>
        <w:t xml:space="preserve">= </w:t>
      </w:r>
      <w:r w:rsidRPr="00297B30">
        <w:rPr>
          <w:rFonts w:eastAsiaTheme="minorEastAsia"/>
          <w:lang w:val="es-ES_tradnl"/>
        </w:rPr>
        <w:t xml:space="preserve">−212,35 dB(W/Hz) a la entrada de cualquier antena SARP </w:t>
      </w:r>
      <w:proofErr w:type="spellStart"/>
      <w:r w:rsidRPr="00297B30">
        <w:rPr>
          <w:rFonts w:eastAsiaTheme="minorEastAsia"/>
          <w:lang w:val="es-ES_tradnl"/>
        </w:rPr>
        <w:t>Sarsat</w:t>
      </w:r>
      <w:proofErr w:type="spellEnd"/>
      <w:r w:rsidRPr="00297B30">
        <w:rPr>
          <w:rFonts w:eastAsiaTheme="minorEastAsia"/>
          <w:lang w:val="es-ES_tradnl"/>
        </w:rPr>
        <w:t>.</w:t>
      </w:r>
    </w:p>
    <w:p w:rsidR="00543337" w:rsidRPr="00297B30" w:rsidRDefault="00543337" w:rsidP="00543337">
      <w:pPr>
        <w:rPr>
          <w:rFonts w:eastAsiaTheme="minorEastAsia"/>
          <w:lang w:val="es-ES_tradnl"/>
        </w:rPr>
      </w:pPr>
      <w:r w:rsidRPr="00297B30">
        <w:rPr>
          <w:rFonts w:eastAsiaTheme="minorEastAsia"/>
          <w:lang w:val="es-ES_tradnl"/>
        </w:rPr>
        <w:t>La emisión no esencial de banda estrecha no debe superar los −166,2 dB(W/m</w:t>
      </w:r>
      <w:r w:rsidRPr="00297B30">
        <w:rPr>
          <w:rFonts w:eastAsiaTheme="minorEastAsia"/>
          <w:vertAlign w:val="superscript"/>
          <w:lang w:val="es-ES_tradnl"/>
        </w:rPr>
        <w:t>2</w:t>
      </w:r>
      <w:r w:rsidRPr="00297B30">
        <w:rPr>
          <w:rFonts w:eastAsiaTheme="minorEastAsia"/>
          <w:lang w:val="es-ES_tradnl"/>
        </w:rPr>
        <w:t xml:space="preserve">) a la entrada de cualquier antena de satélite </w:t>
      </w:r>
      <w:proofErr w:type="spellStart"/>
      <w:r w:rsidRPr="00297B30">
        <w:rPr>
          <w:rFonts w:eastAsiaTheme="minorEastAsia"/>
          <w:lang w:val="es-ES_tradnl"/>
        </w:rPr>
        <w:t>Sarsat</w:t>
      </w:r>
      <w:proofErr w:type="spellEnd"/>
      <w:r w:rsidRPr="00297B30">
        <w:rPr>
          <w:rFonts w:eastAsiaTheme="minorEastAsia"/>
          <w:lang w:val="es-ES_tradnl"/>
        </w:rPr>
        <w:t>: esta cifra puede también convertirse en una densidad espectral de potencia (</w:t>
      </w:r>
      <w:proofErr w:type="spellStart"/>
      <w:r w:rsidRPr="00297B30">
        <w:rPr>
          <w:rFonts w:eastAsiaTheme="minorEastAsia"/>
          <w:lang w:val="es-ES_tradnl"/>
        </w:rPr>
        <w:t>dBW</w:t>
      </w:r>
      <w:proofErr w:type="spellEnd"/>
      <w:r w:rsidRPr="00297B30">
        <w:rPr>
          <w:rFonts w:eastAsiaTheme="minorEastAsia"/>
          <w:lang w:val="es-ES_tradnl"/>
        </w:rPr>
        <w:t>):</w:t>
      </w:r>
    </w:p>
    <w:p w:rsidR="00543337" w:rsidRPr="00297B30" w:rsidRDefault="00543337" w:rsidP="00543337">
      <w:pPr>
        <w:pStyle w:val="enumlev1"/>
        <w:rPr>
          <w:rFonts w:eastAsiaTheme="minorEastAsia"/>
          <w:lang w:val="es-ES_tradnl"/>
        </w:rPr>
      </w:pPr>
      <w:r w:rsidRPr="00297B30">
        <w:rPr>
          <w:rFonts w:eastAsiaTheme="minorEastAsia"/>
          <w:lang w:val="es-ES_tradnl"/>
        </w:rPr>
        <w:tab/>
        <w:t xml:space="preserve">−177,6 </w:t>
      </w:r>
      <w:proofErr w:type="spellStart"/>
      <w:r w:rsidRPr="00297B30">
        <w:rPr>
          <w:rFonts w:eastAsiaTheme="minorEastAsia"/>
          <w:lang w:val="es-ES_tradnl"/>
        </w:rPr>
        <w:t>dBW</w:t>
      </w:r>
      <w:proofErr w:type="spellEnd"/>
      <w:r w:rsidRPr="00297B30">
        <w:rPr>
          <w:rFonts w:eastAsiaTheme="minorEastAsia"/>
          <w:lang w:val="es-ES_tradnl"/>
        </w:rPr>
        <w:t xml:space="preserve"> (a la entrada de los instrumentos SARP) + 1,6 (pérdidas) − 3,85 (ganancia de antena) = −179,85 </w:t>
      </w:r>
      <w:proofErr w:type="spellStart"/>
      <w:r w:rsidRPr="00297B30">
        <w:rPr>
          <w:rFonts w:eastAsiaTheme="minorEastAsia"/>
          <w:lang w:val="es-ES_tradnl"/>
        </w:rPr>
        <w:t>dBW</w:t>
      </w:r>
      <w:proofErr w:type="spellEnd"/>
      <w:r w:rsidRPr="00297B30">
        <w:rPr>
          <w:rFonts w:eastAsiaTheme="minorEastAsia"/>
          <w:lang w:val="es-ES_tradnl"/>
        </w:rPr>
        <w:t xml:space="preserve"> a la entrada de cualquier antena SARP </w:t>
      </w:r>
      <w:proofErr w:type="spellStart"/>
      <w:r w:rsidRPr="00297B30">
        <w:rPr>
          <w:rFonts w:eastAsiaTheme="minorEastAsia"/>
          <w:lang w:val="es-ES_tradnl"/>
        </w:rPr>
        <w:t>Sarsat</w:t>
      </w:r>
      <w:proofErr w:type="spellEnd"/>
      <w:r w:rsidRPr="00297B30">
        <w:rPr>
          <w:rFonts w:eastAsiaTheme="minorEastAsia"/>
          <w:lang w:val="es-ES_tradnl"/>
        </w:rPr>
        <w:t>.</w:t>
      </w:r>
    </w:p>
    <w:p w:rsidR="00543337" w:rsidRPr="00297B30" w:rsidRDefault="00543337" w:rsidP="00543337">
      <w:pPr>
        <w:rPr>
          <w:rFonts w:eastAsiaTheme="minorEastAsia"/>
          <w:lang w:val="es-ES_tradnl"/>
        </w:rPr>
      </w:pPr>
      <w:r w:rsidRPr="00297B30">
        <w:rPr>
          <w:rFonts w:eastAsiaTheme="minorEastAsia"/>
          <w:lang w:val="es-ES_tradnl"/>
        </w:rPr>
        <w:t xml:space="preserve">Todos los valores anteriores son válidos a la entrada de cualquier antena SARP </w:t>
      </w:r>
      <w:proofErr w:type="spellStart"/>
      <w:r w:rsidRPr="00297B30">
        <w:rPr>
          <w:rFonts w:eastAsiaTheme="minorEastAsia"/>
          <w:lang w:val="es-ES_tradnl"/>
        </w:rPr>
        <w:t>Sarsat</w:t>
      </w:r>
      <w:proofErr w:type="spellEnd"/>
      <w:r w:rsidRPr="00297B30">
        <w:rPr>
          <w:rFonts w:eastAsiaTheme="minorEastAsia"/>
          <w:lang w:val="es-ES_tradnl"/>
        </w:rPr>
        <w:t>.</w:t>
      </w:r>
    </w:p>
    <w:p w:rsidR="00543337" w:rsidRPr="00297B30" w:rsidRDefault="00543337" w:rsidP="00543337">
      <w:pPr>
        <w:pStyle w:val="AnnexNoTitle"/>
        <w:rPr>
          <w:lang w:val="es-ES_tradnl"/>
        </w:rPr>
      </w:pPr>
      <w:r w:rsidRPr="00297B30">
        <w:rPr>
          <w:lang w:val="es-ES_tradnl"/>
        </w:rPr>
        <w:lastRenderedPageBreak/>
        <w:t>Anexo 4</w:t>
      </w:r>
      <w:r w:rsidRPr="00297B30">
        <w:rPr>
          <w:lang w:val="es-ES_tradnl"/>
        </w:rPr>
        <w:br/>
      </w:r>
      <w:r w:rsidRPr="00297B30">
        <w:rPr>
          <w:lang w:val="es-ES_tradnl"/>
        </w:rPr>
        <w:br/>
        <w:t>Protección de servicios de seguridad con atribución primaria en la banda</w:t>
      </w:r>
      <w:r w:rsidRPr="00297B30">
        <w:rPr>
          <w:lang w:val="es-ES_tradnl"/>
        </w:rPr>
        <w:br/>
        <w:t>de 406-406,1 MHz (sistema C-S) de las emisiones del enlace descendente</w:t>
      </w:r>
      <w:r w:rsidRPr="00297B30">
        <w:rPr>
          <w:lang w:val="es-ES_tradnl"/>
        </w:rPr>
        <w:br/>
        <w:t>de sistemas SMS no OSG por debajo de 406 MHz</w:t>
      </w:r>
    </w:p>
    <w:p w:rsidR="00543337" w:rsidRPr="00297B30" w:rsidRDefault="00543337" w:rsidP="00543337">
      <w:pPr>
        <w:pStyle w:val="Heading1"/>
        <w:rPr>
          <w:lang w:val="es-ES_tradnl"/>
        </w:rPr>
      </w:pPr>
      <w:r w:rsidRPr="00297B30">
        <w:rPr>
          <w:lang w:val="es-ES_tradnl"/>
        </w:rPr>
        <w:t>1</w:t>
      </w:r>
      <w:r w:rsidRPr="00297B30">
        <w:rPr>
          <w:lang w:val="es-ES_tradnl"/>
        </w:rPr>
        <w:tab/>
        <w:t>Introducción</w:t>
      </w:r>
    </w:p>
    <w:p w:rsidR="00543337" w:rsidRPr="00297B30" w:rsidRDefault="00543337" w:rsidP="00543337">
      <w:pPr>
        <w:rPr>
          <w:rFonts w:eastAsiaTheme="minorEastAsia"/>
          <w:szCs w:val="24"/>
          <w:lang w:val="es-ES_tradnl"/>
        </w:rPr>
      </w:pPr>
      <w:r w:rsidRPr="00297B30">
        <w:rPr>
          <w:rFonts w:eastAsiaTheme="minorEastAsia"/>
          <w:szCs w:val="24"/>
          <w:lang w:val="es-ES_tradnl"/>
        </w:rPr>
        <w:t>El sistema internacional C-S ha estado operacional desde 1985 y ha contribuido a salvar miles de vidas en todo el mundo. Es por tanto esencial proteger adecuadamente su funcionamiento.</w:t>
      </w:r>
    </w:p>
    <w:p w:rsidR="00543337" w:rsidRPr="00297B30" w:rsidRDefault="00543337" w:rsidP="00543337">
      <w:pPr>
        <w:pStyle w:val="Heading1"/>
        <w:rPr>
          <w:lang w:val="es-ES_tradnl"/>
        </w:rPr>
      </w:pPr>
      <w:r w:rsidRPr="00297B30">
        <w:rPr>
          <w:lang w:val="es-ES_tradnl"/>
        </w:rPr>
        <w:t>2</w:t>
      </w:r>
      <w:r w:rsidRPr="00297B30">
        <w:rPr>
          <w:lang w:val="es-ES_tradnl"/>
        </w:rPr>
        <w:tab/>
        <w:t>Antecedentes</w:t>
      </w:r>
    </w:p>
    <w:p w:rsidR="00543337" w:rsidRPr="00297B30" w:rsidRDefault="00543337" w:rsidP="00543337">
      <w:pPr>
        <w:keepNext/>
        <w:keepLines/>
        <w:rPr>
          <w:rFonts w:eastAsiaTheme="minorEastAsia"/>
          <w:lang w:val="es-ES_tradnl"/>
        </w:rPr>
      </w:pPr>
      <w:r w:rsidRPr="00297B30">
        <w:rPr>
          <w:rFonts w:eastAsiaTheme="minorEastAsia"/>
          <w:lang w:val="es-ES_tradnl"/>
        </w:rPr>
        <w:t>Existen otros textos de la UIT que proporcionan información sustancial sobre los elementos siguientes:</w:t>
      </w:r>
    </w:p>
    <w:p w:rsidR="00543337" w:rsidRPr="00297B30" w:rsidRDefault="00543337" w:rsidP="00543337">
      <w:pPr>
        <w:pStyle w:val="enumlev1"/>
        <w:keepNext/>
        <w:keepLines/>
        <w:rPr>
          <w:rFonts w:eastAsiaTheme="minorEastAsia"/>
          <w:lang w:val="es-ES_tradnl"/>
        </w:rPr>
      </w:pPr>
      <w:r w:rsidRPr="00297B30">
        <w:rPr>
          <w:rFonts w:eastAsiaTheme="minorEastAsia"/>
          <w:lang w:val="es-ES_tradnl"/>
        </w:rPr>
        <w:t>–</w:t>
      </w:r>
      <w:r w:rsidRPr="00297B30">
        <w:rPr>
          <w:rFonts w:eastAsiaTheme="minorEastAsia"/>
          <w:lang w:val="es-ES_tradnl"/>
        </w:rPr>
        <w:tab/>
        <w:t>parámetros de varias redes del SMS no OSG;</w:t>
      </w:r>
    </w:p>
    <w:p w:rsidR="00543337" w:rsidRPr="00297B30" w:rsidRDefault="00543337" w:rsidP="00543337">
      <w:pPr>
        <w:pStyle w:val="enumlev1"/>
        <w:keepNext/>
        <w:keepLines/>
        <w:rPr>
          <w:rFonts w:eastAsiaTheme="minorEastAsia"/>
          <w:lang w:val="es-ES_tradnl"/>
        </w:rPr>
      </w:pPr>
      <w:r w:rsidRPr="00297B30">
        <w:rPr>
          <w:rFonts w:eastAsiaTheme="minorEastAsia"/>
          <w:lang w:val="es-ES_tradnl"/>
        </w:rPr>
        <w:t>–</w:t>
      </w:r>
      <w:r w:rsidRPr="00297B30">
        <w:rPr>
          <w:rFonts w:eastAsiaTheme="minorEastAsia"/>
          <w:lang w:val="es-ES_tradnl"/>
        </w:rPr>
        <w:tab/>
        <w:t xml:space="preserve">nivel del umbral de la </w:t>
      </w:r>
      <w:proofErr w:type="spellStart"/>
      <w:r w:rsidRPr="00297B30">
        <w:rPr>
          <w:rFonts w:eastAsiaTheme="minorEastAsia"/>
          <w:lang w:val="es-ES_tradnl"/>
        </w:rPr>
        <w:t>dfp</w:t>
      </w:r>
      <w:proofErr w:type="spellEnd"/>
      <w:r w:rsidRPr="00297B30">
        <w:rPr>
          <w:rFonts w:eastAsiaTheme="minorEastAsia"/>
          <w:lang w:val="es-ES_tradnl"/>
        </w:rPr>
        <w:t xml:space="preserve"> de la interferencia;</w:t>
      </w:r>
    </w:p>
    <w:p w:rsidR="00543337" w:rsidRPr="00297B30" w:rsidRDefault="00543337" w:rsidP="00543337">
      <w:pPr>
        <w:pStyle w:val="enumlev1"/>
        <w:keepNext/>
        <w:keepLines/>
        <w:rPr>
          <w:rFonts w:eastAsiaTheme="minorEastAsia"/>
          <w:lang w:val="es-ES_tradnl"/>
        </w:rPr>
      </w:pPr>
      <w:r w:rsidRPr="00297B30">
        <w:rPr>
          <w:rFonts w:eastAsiaTheme="minorEastAsia"/>
          <w:lang w:val="es-ES_tradnl"/>
        </w:rPr>
        <w:t>–</w:t>
      </w:r>
      <w:r w:rsidRPr="00297B30">
        <w:rPr>
          <w:rFonts w:eastAsiaTheme="minorEastAsia"/>
          <w:lang w:val="es-ES_tradnl"/>
        </w:rPr>
        <w:tab/>
        <w:t>protección de los SAR mediante técnicas de conformación o filtrado espectral.</w:t>
      </w:r>
    </w:p>
    <w:p w:rsidR="00543337" w:rsidRPr="00297B30" w:rsidRDefault="00543337" w:rsidP="00743E83">
      <w:pPr>
        <w:rPr>
          <w:rFonts w:eastAsiaTheme="minorEastAsia"/>
          <w:szCs w:val="24"/>
          <w:lang w:val="es-ES_tradnl"/>
        </w:rPr>
      </w:pPr>
      <w:r w:rsidRPr="00297B30">
        <w:rPr>
          <w:rFonts w:eastAsiaTheme="minorEastAsia"/>
          <w:szCs w:val="24"/>
          <w:lang w:val="es-ES_tradnl"/>
        </w:rPr>
        <w:t xml:space="preserve">En el Anexo 1 se proporcionan criterios de protección del SARP </w:t>
      </w:r>
      <w:proofErr w:type="spellStart"/>
      <w:r w:rsidRPr="00297B30">
        <w:rPr>
          <w:rFonts w:eastAsiaTheme="minorEastAsia"/>
          <w:szCs w:val="24"/>
          <w:lang w:val="es-ES_tradnl"/>
        </w:rPr>
        <w:t>Sarsat</w:t>
      </w:r>
      <w:proofErr w:type="spellEnd"/>
      <w:r w:rsidRPr="00297B30">
        <w:rPr>
          <w:rFonts w:eastAsiaTheme="minorEastAsia"/>
          <w:szCs w:val="24"/>
          <w:lang w:val="es-ES_tradnl"/>
        </w:rPr>
        <w:t xml:space="preserve"> en la banda de 406</w:t>
      </w:r>
      <w:r w:rsidR="00743E83">
        <w:rPr>
          <w:rFonts w:eastAsiaTheme="minorEastAsia"/>
          <w:szCs w:val="24"/>
          <w:lang w:val="es-ES_tradnl"/>
        </w:rPr>
        <w:noBreakHyphen/>
      </w:r>
      <w:r w:rsidRPr="00297B30">
        <w:rPr>
          <w:rFonts w:eastAsiaTheme="minorEastAsia"/>
          <w:szCs w:val="24"/>
          <w:lang w:val="es-ES_tradnl"/>
        </w:rPr>
        <w:t xml:space="preserve">406,1 MHz. Este Anexo proporciona información adicional relativa a los requisitos de protección del receptor SARP </w:t>
      </w:r>
      <w:proofErr w:type="spellStart"/>
      <w:r w:rsidRPr="00297B30">
        <w:rPr>
          <w:rFonts w:eastAsiaTheme="minorEastAsia"/>
          <w:szCs w:val="24"/>
          <w:lang w:val="es-ES_tradnl"/>
        </w:rPr>
        <w:t>Cospas</w:t>
      </w:r>
      <w:proofErr w:type="spellEnd"/>
      <w:r w:rsidRPr="00297B30">
        <w:rPr>
          <w:rFonts w:eastAsiaTheme="minorEastAsia"/>
          <w:szCs w:val="24"/>
          <w:lang w:val="es-ES_tradnl"/>
        </w:rPr>
        <w:t>.</w:t>
      </w:r>
    </w:p>
    <w:p w:rsidR="00543337" w:rsidRPr="00297B30" w:rsidRDefault="00543337" w:rsidP="00543337">
      <w:pPr>
        <w:pStyle w:val="Heading1"/>
        <w:rPr>
          <w:lang w:val="es-ES_tradnl"/>
        </w:rPr>
      </w:pPr>
      <w:r w:rsidRPr="00297B30">
        <w:rPr>
          <w:lang w:val="es-ES_tradnl"/>
        </w:rPr>
        <w:t>3</w:t>
      </w:r>
      <w:r w:rsidRPr="00297B30">
        <w:rPr>
          <w:lang w:val="es-ES_tradnl"/>
        </w:rPr>
        <w:tab/>
        <w:t xml:space="preserve">Criterios de protección del SARP </w:t>
      </w:r>
      <w:proofErr w:type="spellStart"/>
      <w:r w:rsidRPr="00297B30">
        <w:rPr>
          <w:lang w:val="es-ES_tradnl"/>
        </w:rPr>
        <w:t>Cospas</w:t>
      </w:r>
      <w:proofErr w:type="spellEnd"/>
      <w:r w:rsidRPr="00297B30">
        <w:rPr>
          <w:lang w:val="es-ES_tradnl"/>
        </w:rPr>
        <w:t xml:space="preserve"> en la banda de 406-406,1 MHz contra emisiones de banda ancha fuera de banda</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calidad de funcionamiento del SARP se expresa mediante su BER y está directamente relacionada con la relación señal/densidad ruido,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(dB(Hz)).</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temperatura de ruido del receptor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es de 300 K. La temperatura de ruido de fondo normal varía entre 300 K en la Antártida y 1 000 K en zonas muy densamente pobladas. Dado que una baliza de socorro puede ponerse en funcionamiento en cualquier punto del mundo y que su decodificación no debe verse degradada por la interferencia procedente de sistemas del SMS, la situación más sensible a la interferencia tiene lugar con la temperatura de ruido de fondo más baja, es decir, 300 K.</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atenuación entre la antena y el receptor SARP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es 1,6 dB. La temperatura de ruido del cable es 300 K. Por lo tanto, la temperatura de ruido del sistema a la entrada del receptor del SARP es de 600 K y, en consecuencia, la densidad espectral de ruido,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es –200,82 dB(W/Hz).</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BER del SARP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especificada es menor de 1 × 10</w:t>
      </w:r>
      <w:r w:rsidRPr="00297B30">
        <w:rPr>
          <w:rFonts w:eastAsiaTheme="minorEastAsia"/>
          <w:szCs w:val="24"/>
          <w:vertAlign w:val="superscript"/>
          <w:lang w:val="es-ES_tradnl"/>
        </w:rPr>
        <w:t>–5</w:t>
      </w:r>
      <w:r w:rsidRPr="00297B30">
        <w:rPr>
          <w:rFonts w:eastAsiaTheme="minorEastAsia"/>
          <w:szCs w:val="24"/>
          <w:lang w:val="es-ES_tradnl"/>
        </w:rPr>
        <w:t>. De acuerdo con la calidad de funcionamiento teórica de la modulación MDP</w:t>
      </w:r>
      <w:r w:rsidRPr="00297B30">
        <w:rPr>
          <w:rFonts w:eastAsiaTheme="minorEastAsia"/>
          <w:szCs w:val="24"/>
          <w:lang w:val="es-ES_tradnl"/>
        </w:rPr>
        <w:noBreakHyphen/>
        <w:t xml:space="preserve">2, ello corresponde a una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ascii="Tms Rmn" w:eastAsiaTheme="minorEastAsia" w:hAnsi="Tms Rmn" w:cs="Tms Rmn"/>
          <w:sz w:val="4"/>
          <w:szCs w:val="4"/>
          <w:lang w:val="es-ES_tradnl"/>
        </w:rPr>
        <w:t> </w:t>
      </w:r>
      <w:r w:rsidRPr="00297B30">
        <w:rPr>
          <w:rFonts w:eastAsiaTheme="minorEastAsia"/>
          <w:szCs w:val="24"/>
          <w:lang w:val="es-ES_tradnl"/>
        </w:rPr>
        <w:t>/</w:t>
      </w:r>
      <w:r w:rsidRPr="00297B30">
        <w:rPr>
          <w:rFonts w:ascii="Tms Rmn" w:eastAsiaTheme="minorEastAsia" w:hAnsi="Tms Rmn" w:cs="Tms Rmn"/>
          <w:sz w:val="4"/>
          <w:szCs w:val="4"/>
          <w:lang w:val="es-ES_tradnl"/>
        </w:rPr>
        <w:t>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9,6 dB en el detector de bits del SARP.</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Tal como se ha identificado en los trabajos realizados por el UIT-R, la máxima BER aceptable en el enlace ascendente </w:t>
      </w:r>
      <w:proofErr w:type="spellStart"/>
      <w:r w:rsidRPr="00297B30">
        <w:rPr>
          <w:rFonts w:eastAsiaTheme="minorEastAsia"/>
          <w:szCs w:val="24"/>
          <w:lang w:val="es-ES_tradnl"/>
        </w:rPr>
        <w:t>Cospas-Sarsat</w:t>
      </w:r>
      <w:proofErr w:type="spellEnd"/>
      <w:r w:rsidRPr="00297B30">
        <w:rPr>
          <w:rFonts w:eastAsiaTheme="minorEastAsia"/>
          <w:szCs w:val="24"/>
          <w:lang w:val="es-ES_tradnl"/>
        </w:rPr>
        <w:t xml:space="preserve"> no debe ser superior a 5 × 10</w:t>
      </w:r>
      <w:r w:rsidRPr="00297B30">
        <w:rPr>
          <w:rFonts w:eastAsiaTheme="minorEastAsia"/>
          <w:szCs w:val="24"/>
          <w:vertAlign w:val="superscript"/>
          <w:lang w:val="es-ES_tradnl"/>
        </w:rPr>
        <w:t>–5</w:t>
      </w:r>
      <w:r w:rsidRPr="00297B30">
        <w:rPr>
          <w:rFonts w:eastAsiaTheme="minorEastAsia"/>
          <w:szCs w:val="24"/>
          <w:lang w:val="es-ES_tradnl"/>
        </w:rPr>
        <w:t xml:space="preserve">, lo cual se consigue cuando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ascii="Tms Rmn" w:eastAsiaTheme="minorEastAsia" w:hAnsi="Tms Rmn" w:cs="Tms Rmn"/>
          <w:sz w:val="4"/>
          <w:szCs w:val="4"/>
          <w:lang w:val="es-ES_tradnl"/>
        </w:rPr>
        <w:t> </w:t>
      </w:r>
      <w:r w:rsidRPr="00297B30">
        <w:rPr>
          <w:rFonts w:eastAsiaTheme="minorEastAsia"/>
          <w:szCs w:val="24"/>
          <w:lang w:val="es-ES_tradnl"/>
        </w:rPr>
        <w:t>/</w:t>
      </w:r>
      <w:r w:rsidRPr="00297B30">
        <w:rPr>
          <w:rFonts w:ascii="Tms Rmn" w:eastAsiaTheme="minorEastAsia" w:hAnsi="Tms Rmn" w:cs="Tms Rmn"/>
          <w:sz w:val="4"/>
          <w:szCs w:val="4"/>
          <w:lang w:val="es-ES_tradnl"/>
        </w:rPr>
        <w:t>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8,8 dB.</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Por lo tanto, la máxima degradación aceptable de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es 0,8 dB, que corresponde a un aumento de densidad de ruido de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Pr>
          <w:rFonts w:eastAsiaTheme="minorEastAsia"/>
          <w:szCs w:val="24"/>
          <w:lang w:val="es-ES_tradnl"/>
        </w:rPr>
        <w:t>–</w:t>
      </w:r>
      <w:r w:rsidRPr="00297B30">
        <w:rPr>
          <w:rFonts w:eastAsiaTheme="minorEastAsia"/>
          <w:szCs w:val="24"/>
          <w:lang w:val="es-ES_tradnl"/>
        </w:rPr>
        <w:t>200,02 dB(W/Hz).</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Si </w:t>
      </w:r>
      <w:r w:rsidRPr="00297B30">
        <w:rPr>
          <w:rFonts w:eastAsiaTheme="minorEastAsia"/>
          <w:i/>
          <w:iCs/>
          <w:szCs w:val="24"/>
          <w:lang w:val="es-ES_tradnl"/>
        </w:rPr>
        <w:t>I</w:t>
      </w:r>
      <w:r w:rsidRPr="00297B30">
        <w:rPr>
          <w:rFonts w:eastAsiaTheme="minorEastAsia"/>
          <w:szCs w:val="24"/>
          <w:lang w:val="es-ES_tradnl"/>
        </w:rPr>
        <w:t xml:space="preserve"> es la contribución de la densidad de potencia aditiva procedente de sistemas interferentes del SMS no OSG, el valor de la densidad de ruido pasa a ser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eastAsiaTheme="minorEastAsia"/>
          <w:szCs w:val="24"/>
          <w:lang w:val="es-ES_tradnl"/>
        </w:rPr>
        <w:t xml:space="preserve"> y la relación de energía por bit a densidad de ruido es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szCs w:val="24"/>
          <w:lang w:val="es-ES_tradnl"/>
        </w:rPr>
        <w:lastRenderedPageBreak/>
        <w:t>La degradación aceptable es 0,8 dB = 10 log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ascii="Tms Rmn" w:eastAsiaTheme="minorEastAsia" w:hAnsi="Tms Rmn" w:cs="Tms Rmn"/>
          <w:sz w:val="4"/>
          <w:szCs w:val="4"/>
          <w:lang w:val="es-ES_tradnl"/>
        </w:rPr>
        <w:t> </w:t>
      </w:r>
      <w:r w:rsidRPr="00297B30">
        <w:rPr>
          <w:rFonts w:eastAsiaTheme="minorEastAsia"/>
          <w:szCs w:val="24"/>
          <w:lang w:val="es-ES_tradnl"/>
        </w:rPr>
        <w:t>/</w:t>
      </w:r>
      <w:r w:rsidRPr="00297B30">
        <w:rPr>
          <w:rFonts w:ascii="Tms Rmn" w:eastAsiaTheme="minorEastAsia" w:hAnsi="Tms Rmn" w:cs="Tms Rmn"/>
          <w:sz w:val="4"/>
          <w:szCs w:val="4"/>
          <w:lang w:val="es-ES_tradnl"/>
        </w:rPr>
        <w:t>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ascii="Tms Rmn" w:eastAsiaTheme="minorEastAsia" w:hAnsi="Tms Rmn" w:cs="Tms Rmn"/>
          <w:sz w:val="4"/>
          <w:szCs w:val="4"/>
          <w:lang w:val="es-ES_tradnl"/>
        </w:rPr>
        <w:t> </w:t>
      </w:r>
      <w:r w:rsidRPr="00297B30">
        <w:rPr>
          <w:rFonts w:eastAsiaTheme="minorEastAsia"/>
          <w:szCs w:val="24"/>
          <w:lang w:val="es-ES_tradnl"/>
        </w:rPr>
        <w:t>/</w:t>
      </w:r>
      <w:r w:rsidRPr="00297B30">
        <w:rPr>
          <w:rFonts w:ascii="Tms Rmn" w:eastAsiaTheme="minorEastAsia" w:hAnsi="Tms Rmn" w:cs="Tms Rmn"/>
          <w:sz w:val="4"/>
          <w:szCs w:val="4"/>
          <w:lang w:val="es-ES_tradnl"/>
        </w:rPr>
        <w:t> </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ascii="Tms Rmn" w:eastAsiaTheme="minorEastAsia" w:hAnsi="Tms Rmn" w:cs="Tms Rmn"/>
          <w:i/>
          <w:iCs/>
          <w:sz w:val="8"/>
          <w:szCs w:val="8"/>
          <w:lang w:val="es-ES_tradnl"/>
        </w:rPr>
        <w:t> </w:t>
      </w:r>
      <w:r w:rsidRPr="00297B30">
        <w:rPr>
          <w:rFonts w:eastAsiaTheme="minorEastAsia"/>
          <w:szCs w:val="24"/>
          <w:lang w:val="es-ES_tradnl"/>
        </w:rPr>
        <w:t xml:space="preserve">))). Por tanto </w:t>
      </w:r>
      <w:r w:rsidRPr="00297B30">
        <w:rPr>
          <w:rFonts w:eastAsiaTheme="minorEastAsia"/>
          <w:i/>
          <w:iCs/>
          <w:szCs w:val="24"/>
          <w:lang w:val="es-ES_tradnl"/>
        </w:rPr>
        <w:t>I</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 –6,94 dB e </w:t>
      </w:r>
      <w:r w:rsidRPr="00297B30">
        <w:rPr>
          <w:rFonts w:eastAsiaTheme="minorEastAsia"/>
          <w:i/>
          <w:iCs/>
          <w:szCs w:val="24"/>
          <w:lang w:val="es-ES_tradnl"/>
        </w:rPr>
        <w:t>I</w:t>
      </w:r>
      <w:r w:rsidRPr="00297B30">
        <w:rPr>
          <w:rFonts w:eastAsiaTheme="minorEastAsia"/>
          <w:szCs w:val="24"/>
          <w:lang w:val="es-ES_tradnl"/>
        </w:rPr>
        <w:t> = </w:t>
      </w:r>
      <w:r>
        <w:rPr>
          <w:rFonts w:eastAsiaTheme="minorEastAsia"/>
          <w:szCs w:val="24"/>
          <w:lang w:val="es-ES_tradnl"/>
        </w:rPr>
        <w:sym w:font="Symbol" w:char="F02D"/>
      </w:r>
      <w:r w:rsidRPr="00297B30">
        <w:rPr>
          <w:rFonts w:eastAsiaTheme="minorEastAsia"/>
          <w:szCs w:val="24"/>
          <w:lang w:val="es-ES_tradnl"/>
        </w:rPr>
        <w:t xml:space="preserve">207,8 dB(W/Hz) que corresponde a un aumento de temperatura de ruido de 120,23 K (un aumento del 20% en la temperatura de ruido del sistema a la entrada del receptor SARP </w:t>
      </w:r>
      <w:proofErr w:type="spellStart"/>
      <w:r w:rsidRPr="00297B30">
        <w:rPr>
          <w:rFonts w:eastAsiaTheme="minorEastAsia"/>
          <w:szCs w:val="24"/>
          <w:lang w:val="es-ES_tradnl"/>
        </w:rPr>
        <w:t>Cospas</w:t>
      </w:r>
      <w:proofErr w:type="spellEnd"/>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El nivel máximo admisible de densidad de ruido, </w:t>
      </w:r>
      <w:r w:rsidRPr="00297B30">
        <w:rPr>
          <w:rFonts w:eastAsiaTheme="minorEastAsia"/>
          <w:i/>
          <w:iCs/>
          <w:szCs w:val="24"/>
          <w:lang w:val="es-ES_tradnl"/>
        </w:rPr>
        <w:t>I</w:t>
      </w:r>
      <w:r w:rsidRPr="00297B30">
        <w:rPr>
          <w:rFonts w:eastAsiaTheme="minorEastAsia"/>
          <w:szCs w:val="24"/>
          <w:lang w:val="es-ES_tradnl"/>
        </w:rPr>
        <w:t>, es –207,8 dB(W/Hz) a la entrada del receptor del satélite.</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densidad de ruido, </w:t>
      </w:r>
      <w:r w:rsidRPr="00297B30">
        <w:rPr>
          <w:rFonts w:eastAsiaTheme="minorEastAsia"/>
          <w:i/>
          <w:iCs/>
          <w:szCs w:val="24"/>
          <w:lang w:val="es-ES_tradnl"/>
        </w:rPr>
        <w:t>I</w:t>
      </w:r>
      <w:r w:rsidRPr="00297B30">
        <w:rPr>
          <w:rFonts w:eastAsiaTheme="minorEastAsia"/>
          <w:szCs w:val="24"/>
          <w:lang w:val="es-ES_tradnl"/>
        </w:rPr>
        <w:t xml:space="preserve">, tiene en cuenta la atenuación y la ganancia de la antena. Para expresar la cifra en términos de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es necesario transformar este valor en dB(W/(m</w:t>
      </w:r>
      <w:r w:rsidRPr="00297B30">
        <w:rPr>
          <w:rFonts w:eastAsiaTheme="minorEastAsia"/>
          <w:szCs w:val="24"/>
          <w:vertAlign w:val="superscript"/>
          <w:lang w:val="es-ES_tradnl"/>
        </w:rPr>
        <w:t>2</w:t>
      </w:r>
      <w:r w:rsidRPr="00297B30">
        <w:rPr>
          <w:rFonts w:eastAsiaTheme="minorEastAsia"/>
          <w:szCs w:val="24"/>
          <w:lang w:val="es-ES_tradnl"/>
        </w:rPr>
        <w:t xml:space="preserve"> · Hz)). El área de la superficie equivalente de una antena con una ganancia </w:t>
      </w:r>
      <w:r w:rsidRPr="00297B30">
        <w:rPr>
          <w:rFonts w:eastAsiaTheme="minorEastAsia"/>
          <w:i/>
          <w:iCs/>
          <w:szCs w:val="24"/>
          <w:lang w:val="es-ES_tradnl"/>
        </w:rPr>
        <w:t>G</w:t>
      </w:r>
      <w:r w:rsidRPr="00297B30">
        <w:rPr>
          <w:rFonts w:eastAsiaTheme="minorEastAsia"/>
          <w:szCs w:val="24"/>
          <w:lang w:val="es-ES_tradnl"/>
        </w:rPr>
        <w:t xml:space="preserve"> es</w:t>
      </w:r>
      <w:r>
        <w:rPr>
          <w:position w:val="-24"/>
        </w:rPr>
        <w:object w:dxaOrig="900" w:dyaOrig="680">
          <v:shape id="_x0000_i1034" type="#_x0000_t75" style="width:44.85pt;height:33.95pt" o:ole="">
            <v:imagedata r:id="rId31" o:title=""/>
          </v:shape>
          <o:OLEObject Type="Embed" ProgID="Equation.3" ShapeID="_x0000_i1034" DrawAspect="Content" ObjectID="_1501062605" r:id="rId32"/>
        </w:object>
      </w:r>
      <w:r w:rsidRPr="00297B30">
        <w:rPr>
          <w:rFonts w:eastAsiaTheme="minorEastAsia"/>
          <w:szCs w:val="24"/>
          <w:lang w:val="es-ES_tradnl"/>
        </w:rPr>
        <w:t xml:space="preserve">. Dado que la máxima ganancia de una antena de cono en espiral instalada en un satélite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es de 6 </w:t>
      </w:r>
      <w:proofErr w:type="spellStart"/>
      <w:r w:rsidRPr="00297B30">
        <w:rPr>
          <w:rFonts w:eastAsiaTheme="minorEastAsia"/>
          <w:szCs w:val="24"/>
          <w:lang w:val="es-ES_tradnl"/>
        </w:rPr>
        <w:t>dBi</w:t>
      </w:r>
      <w:proofErr w:type="spellEnd"/>
      <w:r w:rsidRPr="00297B30">
        <w:rPr>
          <w:rFonts w:eastAsiaTheme="minorEastAsia"/>
          <w:szCs w:val="24"/>
          <w:lang w:val="es-ES_tradnl"/>
        </w:rPr>
        <w:t xml:space="preserve">, entonces </w:t>
      </w:r>
      <w:r w:rsidRPr="00297B30">
        <w:rPr>
          <w:rFonts w:eastAsiaTheme="minorEastAsia"/>
          <w:i/>
          <w:iCs/>
          <w:szCs w:val="24"/>
          <w:lang w:val="es-ES_tradnl"/>
        </w:rPr>
        <w:t>S</w:t>
      </w:r>
      <w:r w:rsidRPr="00297B30">
        <w:rPr>
          <w:rFonts w:eastAsiaTheme="minorEastAsia"/>
          <w:szCs w:val="24"/>
          <w:lang w:val="es-ES_tradnl"/>
        </w:rPr>
        <w:t> = 0,174 m</w:t>
      </w:r>
      <w:r w:rsidRPr="00297B30">
        <w:rPr>
          <w:rFonts w:eastAsiaTheme="minorEastAsia"/>
          <w:szCs w:val="24"/>
          <w:vertAlign w:val="superscript"/>
          <w:lang w:val="es-ES_tradnl"/>
        </w:rPr>
        <w:t>2</w:t>
      </w:r>
      <w:r w:rsidRPr="00297B30">
        <w:rPr>
          <w:rFonts w:eastAsiaTheme="minorEastAsia"/>
          <w:szCs w:val="24"/>
          <w:lang w:val="es-ES_tradnl"/>
        </w:rPr>
        <w:t xml:space="preserve">. Por lo tanto, la correspondiente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es </w:t>
      </w:r>
      <w:r w:rsidRPr="00297B30">
        <w:rPr>
          <w:rFonts w:eastAsiaTheme="minorEastAsia"/>
          <w:lang w:val="es-ES_tradnl"/>
        </w:rPr>
        <w:t>–</w:t>
      </w:r>
      <w:r w:rsidRPr="00297B30">
        <w:rPr>
          <w:rFonts w:eastAsiaTheme="minorEastAsia"/>
          <w:szCs w:val="24"/>
          <w:lang w:val="es-ES_tradnl"/>
        </w:rPr>
        <w:t>207,8 + 1,6 (pérdidas) – 10 log</w:t>
      </w:r>
      <w:r w:rsidRPr="00297B30">
        <w:rPr>
          <w:rFonts w:eastAsiaTheme="minorEastAsia"/>
          <w:szCs w:val="24"/>
          <w:vertAlign w:val="subscript"/>
          <w:lang w:val="es-ES_tradnl"/>
        </w:rPr>
        <w:t>10</w:t>
      </w:r>
      <w:r w:rsidRPr="00297B30">
        <w:rPr>
          <w:rFonts w:eastAsiaTheme="minorEastAsia"/>
          <w:szCs w:val="24"/>
          <w:lang w:val="es-ES_tradnl"/>
        </w:rPr>
        <w:t xml:space="preserve"> </w:t>
      </w:r>
      <w:r w:rsidRPr="00297B30">
        <w:rPr>
          <w:rFonts w:eastAsiaTheme="minorEastAsia"/>
          <w:i/>
          <w:iCs/>
          <w:szCs w:val="24"/>
          <w:lang w:val="es-ES_tradnl"/>
        </w:rPr>
        <w:t>S</w:t>
      </w:r>
      <w:r w:rsidRPr="00297B30">
        <w:rPr>
          <w:rFonts w:eastAsiaTheme="minorEastAsia"/>
          <w:szCs w:val="24"/>
          <w:lang w:val="es-ES_tradnl"/>
        </w:rPr>
        <w:t> = </w:t>
      </w:r>
      <w:r>
        <w:rPr>
          <w:rFonts w:eastAsiaTheme="minorEastAsia"/>
          <w:lang w:val="es-ES_tradnl"/>
        </w:rPr>
        <w:sym w:font="Symbol" w:char="F02D"/>
      </w:r>
      <w:r w:rsidRPr="00297B30">
        <w:rPr>
          <w:rFonts w:eastAsiaTheme="minorEastAsia"/>
          <w:szCs w:val="24"/>
          <w:lang w:val="es-ES_tradnl"/>
        </w:rPr>
        <w:t>198,6 dB(W/(m</w:t>
      </w:r>
      <w:r w:rsidRPr="00297B30">
        <w:rPr>
          <w:rFonts w:eastAsiaTheme="minorEastAsia"/>
          <w:szCs w:val="24"/>
          <w:vertAlign w:val="superscript"/>
          <w:lang w:val="es-ES_tradnl"/>
        </w:rPr>
        <w:t>2</w:t>
      </w:r>
      <w:r w:rsidRPr="00297B30">
        <w:rPr>
          <w:rFonts w:eastAsiaTheme="minorEastAsia"/>
          <w:szCs w:val="24"/>
          <w:lang w:val="es-ES_tradnl"/>
        </w:rPr>
        <w:t> · Hz)).</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El nivel máximo de ruido interferente de banda ancha en la banda de 406-406,1 MHz no deberá ser superior a </w:t>
      </w:r>
      <w:r w:rsidRPr="00297B30">
        <w:rPr>
          <w:rFonts w:eastAsiaTheme="minorEastAsia"/>
          <w:lang w:val="es-ES_tradnl"/>
        </w:rPr>
        <w:t>–198</w:t>
      </w:r>
      <w:r w:rsidRPr="00297B30">
        <w:rPr>
          <w:rFonts w:eastAsiaTheme="minorEastAsia"/>
          <w:szCs w:val="24"/>
          <w:lang w:val="es-ES_tradnl"/>
        </w:rPr>
        <w:t>,6 dB(W/(m</w:t>
      </w:r>
      <w:r w:rsidRPr="00297B30">
        <w:rPr>
          <w:rFonts w:eastAsiaTheme="minorEastAsia"/>
          <w:szCs w:val="24"/>
          <w:vertAlign w:val="superscript"/>
          <w:lang w:val="es-ES_tradnl"/>
        </w:rPr>
        <w:t>2</w:t>
      </w:r>
      <w:r w:rsidRPr="00297B30">
        <w:rPr>
          <w:rFonts w:eastAsiaTheme="minorEastAsia"/>
          <w:szCs w:val="24"/>
          <w:lang w:val="es-ES_tradnl"/>
        </w:rPr>
        <w:t xml:space="preserve"> · Hz)) a fin de proporcionar una protección adecuada a los instrumentos del SARP </w:t>
      </w:r>
      <w:proofErr w:type="spellStart"/>
      <w:r w:rsidRPr="00297B30">
        <w:rPr>
          <w:rFonts w:eastAsiaTheme="minorEastAsia"/>
          <w:szCs w:val="24"/>
          <w:lang w:val="es-ES_tradnl"/>
        </w:rPr>
        <w:t>Cospas</w:t>
      </w:r>
      <w:proofErr w:type="spellEnd"/>
      <w:r w:rsidRPr="00297B30">
        <w:rPr>
          <w:rFonts w:eastAsiaTheme="minorEastAsia"/>
          <w:szCs w:val="24"/>
          <w:lang w:val="es-ES_tradnl"/>
        </w:rPr>
        <w:t>.</w:t>
      </w:r>
    </w:p>
    <w:p w:rsidR="00543337" w:rsidRPr="00297B30" w:rsidRDefault="00543337" w:rsidP="00543337">
      <w:pPr>
        <w:pStyle w:val="Heading1"/>
        <w:rPr>
          <w:lang w:val="es-ES_tradnl"/>
        </w:rPr>
      </w:pPr>
      <w:r w:rsidRPr="00297B30">
        <w:rPr>
          <w:lang w:val="es-ES_tradnl"/>
        </w:rPr>
        <w:t>4</w:t>
      </w:r>
      <w:r w:rsidRPr="00297B30">
        <w:rPr>
          <w:lang w:val="es-ES_tradnl"/>
        </w:rPr>
        <w:tab/>
        <w:t xml:space="preserve">Criterio de protección para el SARP </w:t>
      </w:r>
      <w:proofErr w:type="spellStart"/>
      <w:r w:rsidRPr="00297B30">
        <w:rPr>
          <w:lang w:val="es-ES_tradnl"/>
        </w:rPr>
        <w:t>Cospas</w:t>
      </w:r>
      <w:proofErr w:type="spellEnd"/>
      <w:r w:rsidRPr="00297B30">
        <w:rPr>
          <w:lang w:val="es-ES_tradnl"/>
        </w:rPr>
        <w:t xml:space="preserve"> en la banda 406-406,1 MHz contra las emisiones no esenciales de banda estrecha</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El SARP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explora continuamente la banda 406-406,1 MHz (la duración de la exploración es de 60 ms) buscando señales de balizas que superen el umbral de detección del SARP. Después de detectar una señal, DRU del SARP se sincronizará al menos durante 520 ms a la frecuencia de la señal. Una única señal interferente procedente de un satélite del SMS en la banda 406-406,1 MHz podría capturar ambas DRU de abordo haciendo que un satélite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fuera incapaz de procesar señales de socorro procedentes de balizas.</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A fin de satisfacer los requisitos de calidad de funcionamiento de la SAR en lo que se refiere a las balizas de socorro de baja potencia, la instrumentación del SARP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se ha diseñado para detectar y procesar señales extremadamente débiles. Su calidad de funcionamiento es tal que cualquier emisión, </w:t>
      </w:r>
      <w:proofErr w:type="spellStart"/>
      <w:r w:rsidRPr="00297B30">
        <w:rPr>
          <w:rFonts w:eastAsiaTheme="minorEastAsia"/>
          <w:i/>
          <w:iCs/>
          <w:szCs w:val="24"/>
          <w:lang w:val="es-ES_tradnl"/>
        </w:rPr>
        <w:t>C</w:t>
      </w:r>
      <w:r w:rsidRPr="00297B30">
        <w:rPr>
          <w:rFonts w:eastAsiaTheme="minorEastAsia"/>
          <w:i/>
          <w:iCs/>
          <w:szCs w:val="24"/>
          <w:vertAlign w:val="subscript"/>
          <w:lang w:val="es-ES_tradnl"/>
        </w:rPr>
        <w:t>mín</w:t>
      </w:r>
      <w:proofErr w:type="spellEnd"/>
      <w:r w:rsidRPr="00297B30">
        <w:rPr>
          <w:rFonts w:eastAsiaTheme="minorEastAsia"/>
          <w:szCs w:val="24"/>
          <w:lang w:val="es-ES_tradnl"/>
        </w:rPr>
        <w:t>, a un nivel de potencia superior en 21 dB al nivel de densidad de potencia de ruido (</w:t>
      </w:r>
      <w:proofErr w:type="spellStart"/>
      <w:r w:rsidRPr="00297B30">
        <w:rPr>
          <w:rFonts w:eastAsiaTheme="minorEastAsia"/>
          <w:i/>
          <w:iCs/>
          <w:szCs w:val="24"/>
          <w:lang w:val="es-ES_tradnl"/>
        </w:rPr>
        <w:t>C</w:t>
      </w:r>
      <w:r w:rsidRPr="00297B30">
        <w:rPr>
          <w:rFonts w:eastAsiaTheme="minorEastAsia"/>
          <w:i/>
          <w:iCs/>
          <w:szCs w:val="24"/>
          <w:vertAlign w:val="subscript"/>
          <w:lang w:val="es-ES_tradnl"/>
        </w:rPr>
        <w:t>mín</w:t>
      </w:r>
      <w:proofErr w:type="spellEnd"/>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&gt; 21 dB(Hz)) sería asignada a una DRU para su procesamiento adicional. En consecuencia, cualquier señal interferente en la banda de procesamiento de 406-406,1 MHz que cumpliese estos criterios haría que se asignara una DRU a la misma. De esta forma, se podría perder el mensaje procedente de una baliza incluso si la señal interferente de banda estrecha no afectase directamente a la señal de la baliza.</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densidad espectral de ruido,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szCs w:val="24"/>
          <w:vertAlign w:val="subscript"/>
          <w:lang w:val="es-ES_tradnl"/>
        </w:rPr>
        <w:t xml:space="preserve"> </w:t>
      </w:r>
      <w:r w:rsidRPr="00297B30">
        <w:rPr>
          <w:rFonts w:eastAsiaTheme="minorEastAsia"/>
          <w:szCs w:val="24"/>
          <w:lang w:val="es-ES_tradnl"/>
        </w:rPr>
        <w:t xml:space="preserve">se ha calculado que sea </w:t>
      </w:r>
      <w:r>
        <w:rPr>
          <w:rFonts w:eastAsiaTheme="minorEastAsia"/>
          <w:szCs w:val="24"/>
          <w:lang w:val="es-ES_tradnl"/>
        </w:rPr>
        <w:t>–</w:t>
      </w:r>
      <w:r w:rsidRPr="00297B30">
        <w:rPr>
          <w:rFonts w:eastAsiaTheme="minorEastAsia"/>
          <w:szCs w:val="24"/>
          <w:lang w:val="es-ES_tradnl"/>
        </w:rPr>
        <w:t>200,82 dB(W/Hz).</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Dado que </w:t>
      </w:r>
      <w:proofErr w:type="spellStart"/>
      <w:r w:rsidRPr="00297B30">
        <w:rPr>
          <w:rFonts w:eastAsiaTheme="minorEastAsia"/>
          <w:i/>
          <w:iCs/>
          <w:szCs w:val="24"/>
          <w:lang w:val="es-ES_tradnl"/>
        </w:rPr>
        <w:t>C</w:t>
      </w:r>
      <w:r w:rsidRPr="00297B30">
        <w:rPr>
          <w:rFonts w:eastAsiaTheme="minorEastAsia"/>
          <w:i/>
          <w:iCs/>
          <w:szCs w:val="24"/>
          <w:vertAlign w:val="subscript"/>
          <w:lang w:val="es-ES_tradnl"/>
        </w:rPr>
        <w:t>mín</w:t>
      </w:r>
      <w:proofErr w:type="spellEnd"/>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 21 dB(Hz), </w:t>
      </w:r>
      <w:proofErr w:type="spellStart"/>
      <w:r w:rsidRPr="00297B30">
        <w:rPr>
          <w:rFonts w:eastAsiaTheme="minorEastAsia"/>
          <w:i/>
          <w:iCs/>
          <w:szCs w:val="24"/>
          <w:lang w:val="es-ES_tradnl"/>
        </w:rPr>
        <w:t>C</w:t>
      </w:r>
      <w:r w:rsidRPr="00297B30">
        <w:rPr>
          <w:rFonts w:eastAsiaTheme="minorEastAsia"/>
          <w:i/>
          <w:iCs/>
          <w:szCs w:val="24"/>
          <w:vertAlign w:val="subscript"/>
          <w:lang w:val="es-ES_tradnl"/>
        </w:rPr>
        <w:t>mín</w:t>
      </w:r>
      <w:proofErr w:type="spellEnd"/>
      <w:r w:rsidRPr="00297B30">
        <w:rPr>
          <w:rFonts w:eastAsiaTheme="minorEastAsia"/>
          <w:szCs w:val="24"/>
          <w:lang w:val="es-ES_tradnl"/>
        </w:rPr>
        <w:t xml:space="preserve"> = –179,82 </w:t>
      </w:r>
      <w:proofErr w:type="spellStart"/>
      <w:r w:rsidRPr="00297B30">
        <w:rPr>
          <w:rFonts w:eastAsiaTheme="minorEastAsia"/>
          <w:szCs w:val="24"/>
          <w:lang w:val="es-ES_tradnl"/>
        </w:rPr>
        <w:t>dBW</w:t>
      </w:r>
      <w:proofErr w:type="spellEnd"/>
      <w:r w:rsidRPr="00297B30">
        <w:rPr>
          <w:rFonts w:eastAsiaTheme="minorEastAsia"/>
          <w:szCs w:val="24"/>
          <w:lang w:val="es-ES_tradnl"/>
        </w:rPr>
        <w:t>. Por lo tanto, cualquier emisión no esencial de banda estrecha mayor que –179,82 </w:t>
      </w:r>
      <w:proofErr w:type="spellStart"/>
      <w:r w:rsidRPr="00297B30">
        <w:rPr>
          <w:rFonts w:eastAsiaTheme="minorEastAsia"/>
          <w:szCs w:val="24"/>
          <w:lang w:val="es-ES_tradnl"/>
        </w:rPr>
        <w:t>dBW</w:t>
      </w:r>
      <w:proofErr w:type="spellEnd"/>
      <w:r w:rsidRPr="00297B30">
        <w:rPr>
          <w:rFonts w:eastAsiaTheme="minorEastAsia"/>
          <w:szCs w:val="24"/>
          <w:lang w:val="es-ES_tradnl"/>
        </w:rPr>
        <w:t xml:space="preserve"> a la entrada del SARP degradaría la capacidad de procesamiento de la baliza SARP </w:t>
      </w:r>
      <w:proofErr w:type="spellStart"/>
      <w:r w:rsidRPr="00297B30">
        <w:rPr>
          <w:rFonts w:eastAsiaTheme="minorEastAsia"/>
          <w:szCs w:val="24"/>
          <w:lang w:val="es-ES_tradnl"/>
        </w:rPr>
        <w:t>Cospas</w:t>
      </w:r>
      <w:proofErr w:type="spellEnd"/>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ganancia máxima de la antena del receptor SARP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es de 6 </w:t>
      </w:r>
      <w:proofErr w:type="spellStart"/>
      <w:r w:rsidRPr="00297B30">
        <w:rPr>
          <w:rFonts w:eastAsiaTheme="minorEastAsia"/>
          <w:szCs w:val="24"/>
          <w:lang w:val="es-ES_tradnl"/>
        </w:rPr>
        <w:t>dBi</w:t>
      </w:r>
      <w:proofErr w:type="spellEnd"/>
      <w:r w:rsidRPr="00297B30">
        <w:rPr>
          <w:rFonts w:eastAsiaTheme="minorEastAsia"/>
          <w:szCs w:val="24"/>
          <w:lang w:val="es-ES_tradnl"/>
        </w:rPr>
        <w:t>. Por lo tanto, la máxima potencia admisible a la entrada de la antena es de –179,82 + 1,6 (pérdidas) = </w:t>
      </w:r>
      <w:r>
        <w:rPr>
          <w:rFonts w:eastAsiaTheme="minorEastAsia"/>
          <w:szCs w:val="24"/>
          <w:lang w:val="es-ES_tradnl"/>
        </w:rPr>
        <w:t>–</w:t>
      </w:r>
      <w:r w:rsidRPr="00297B30">
        <w:rPr>
          <w:rFonts w:eastAsiaTheme="minorEastAsia"/>
          <w:szCs w:val="24"/>
          <w:lang w:val="es-ES_tradnl"/>
        </w:rPr>
        <w:t>178,22 </w:t>
      </w:r>
      <w:proofErr w:type="spellStart"/>
      <w:r w:rsidRPr="00297B30">
        <w:rPr>
          <w:rFonts w:eastAsiaTheme="minorEastAsia"/>
          <w:szCs w:val="24"/>
          <w:lang w:val="es-ES_tradnl"/>
        </w:rPr>
        <w:t>dBW</w:t>
      </w:r>
      <w:proofErr w:type="spellEnd"/>
      <w:r w:rsidRPr="00297B30">
        <w:rPr>
          <w:rFonts w:eastAsiaTheme="minorEastAsia"/>
          <w:szCs w:val="24"/>
          <w:lang w:val="es-ES_tradnl"/>
        </w:rPr>
        <w:t xml:space="preserve">. Dado que se necesita la </w:t>
      </w:r>
      <w:proofErr w:type="spellStart"/>
      <w:r w:rsidRPr="00297B30">
        <w:rPr>
          <w:rFonts w:eastAsiaTheme="minorEastAsia"/>
          <w:szCs w:val="24"/>
          <w:lang w:val="es-ES_tradnl"/>
        </w:rPr>
        <w:t>dfp</w:t>
      </w:r>
      <w:proofErr w:type="spellEnd"/>
      <w:r w:rsidRPr="00297B30">
        <w:rPr>
          <w:rFonts w:eastAsiaTheme="minorEastAsia"/>
          <w:szCs w:val="24"/>
          <w:lang w:val="es-ES_tradnl"/>
        </w:rPr>
        <w:t>, es necesario transformar esta cifra en dB(W/m</w:t>
      </w:r>
      <w:r w:rsidRPr="00297B30">
        <w:rPr>
          <w:rFonts w:eastAsiaTheme="minorEastAsia"/>
          <w:szCs w:val="24"/>
          <w:vertAlign w:val="superscript"/>
          <w:lang w:val="es-ES_tradnl"/>
        </w:rPr>
        <w:t>2</w:t>
      </w:r>
      <w:r w:rsidRPr="00297B30">
        <w:rPr>
          <w:rFonts w:eastAsiaTheme="minorEastAsia"/>
          <w:szCs w:val="24"/>
          <w:lang w:val="es-ES_tradnl"/>
        </w:rPr>
        <w:t xml:space="preserve">). El área de la superficie equivalente de una antena con una ganancia </w:t>
      </w:r>
      <w:r w:rsidRPr="00297B30">
        <w:rPr>
          <w:rFonts w:eastAsiaTheme="minorEastAsia"/>
          <w:i/>
          <w:iCs/>
          <w:szCs w:val="24"/>
          <w:lang w:val="es-ES_tradnl"/>
        </w:rPr>
        <w:t>G</w:t>
      </w:r>
      <w:r w:rsidRPr="00297B30">
        <w:rPr>
          <w:rFonts w:eastAsiaTheme="minorEastAsia"/>
          <w:szCs w:val="24"/>
          <w:lang w:val="es-ES_tradnl"/>
        </w:rPr>
        <w:t> = 6 </w:t>
      </w:r>
      <w:proofErr w:type="spellStart"/>
      <w:r w:rsidRPr="00297B30">
        <w:rPr>
          <w:rFonts w:eastAsiaTheme="minorEastAsia"/>
          <w:szCs w:val="24"/>
          <w:lang w:val="es-ES_tradnl"/>
        </w:rPr>
        <w:t>dBi</w:t>
      </w:r>
      <w:proofErr w:type="spellEnd"/>
      <w:r w:rsidRPr="00297B30">
        <w:rPr>
          <w:rFonts w:eastAsiaTheme="minorEastAsia"/>
          <w:szCs w:val="24"/>
          <w:lang w:val="es-ES_tradnl"/>
        </w:rPr>
        <w:t xml:space="preserve"> es </w:t>
      </w:r>
      <w:r w:rsidRPr="00297B30">
        <w:rPr>
          <w:rFonts w:eastAsiaTheme="minorEastAsia"/>
          <w:position w:val="-24"/>
          <w:szCs w:val="24"/>
          <w:lang w:val="es-ES_tradnl"/>
        </w:rPr>
        <w:object w:dxaOrig="1900" w:dyaOrig="700">
          <v:shape id="_x0000_i1035" type="#_x0000_t75" style="width:95.75pt;height:34.65pt" o:ole="">
            <v:imagedata r:id="rId33" o:title=""/>
          </v:shape>
          <o:OLEObject Type="Embed" ProgID="Equation.3" ShapeID="_x0000_i1035" DrawAspect="Content" ObjectID="_1501062606" r:id="rId34"/>
        </w:object>
      </w:r>
      <w:r w:rsidRPr="00297B30">
        <w:rPr>
          <w:rFonts w:eastAsiaTheme="minorEastAsia"/>
          <w:szCs w:val="24"/>
          <w:lang w:val="es-ES_tradnl"/>
        </w:rPr>
        <w:t xml:space="preserve"> Por lo tanto, la correspondiente densidad de flujo es </w:t>
      </w:r>
      <w:r>
        <w:rPr>
          <w:rFonts w:eastAsiaTheme="minorEastAsia"/>
          <w:szCs w:val="24"/>
          <w:lang w:val="es-ES_tradnl"/>
        </w:rPr>
        <w:t>–</w:t>
      </w:r>
      <w:r w:rsidRPr="00297B30">
        <w:rPr>
          <w:rFonts w:eastAsiaTheme="minorEastAsia"/>
          <w:szCs w:val="24"/>
          <w:lang w:val="es-ES_tradnl"/>
        </w:rPr>
        <w:t>178,2 – 10 log</w:t>
      </w:r>
      <w:r w:rsidRPr="00297B30">
        <w:rPr>
          <w:rFonts w:eastAsiaTheme="minorEastAsia"/>
          <w:position w:val="-4"/>
          <w:sz w:val="16"/>
          <w:szCs w:val="16"/>
          <w:lang w:val="es-ES_tradnl"/>
        </w:rPr>
        <w:t>10</w:t>
      </w:r>
      <w:r w:rsidRPr="00297B30">
        <w:rPr>
          <w:rFonts w:eastAsiaTheme="minorEastAsia"/>
          <w:szCs w:val="24"/>
          <w:lang w:val="es-ES_tradnl"/>
        </w:rPr>
        <w:t xml:space="preserve"> </w:t>
      </w:r>
      <w:r w:rsidRPr="00297B30">
        <w:rPr>
          <w:rFonts w:eastAsiaTheme="minorEastAsia"/>
          <w:i/>
          <w:iCs/>
          <w:szCs w:val="24"/>
          <w:lang w:val="es-ES_tradnl"/>
        </w:rPr>
        <w:t>S</w:t>
      </w:r>
      <w:r w:rsidRPr="00297B30">
        <w:rPr>
          <w:rFonts w:eastAsiaTheme="minorEastAsia"/>
          <w:szCs w:val="24"/>
          <w:lang w:val="es-ES_tradnl"/>
        </w:rPr>
        <w:t> = </w:t>
      </w:r>
      <w:r>
        <w:rPr>
          <w:rFonts w:eastAsiaTheme="minorEastAsia"/>
          <w:szCs w:val="24"/>
          <w:lang w:val="es-ES_tradnl"/>
        </w:rPr>
        <w:t>–</w:t>
      </w:r>
      <w:r w:rsidRPr="00297B30">
        <w:rPr>
          <w:rFonts w:eastAsiaTheme="minorEastAsia"/>
          <w:szCs w:val="24"/>
          <w:lang w:val="es-ES_tradnl"/>
        </w:rPr>
        <w:t>170,6 dB(W/m</w:t>
      </w:r>
      <w:r w:rsidRPr="00297B30">
        <w:rPr>
          <w:rFonts w:eastAsiaTheme="minorEastAsia"/>
          <w:szCs w:val="24"/>
          <w:vertAlign w:val="superscript"/>
          <w:lang w:val="es-ES_tradnl"/>
        </w:rPr>
        <w:t>2</w:t>
      </w:r>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szCs w:val="24"/>
          <w:lang w:val="es-ES_tradnl"/>
        </w:rPr>
        <w:lastRenderedPageBreak/>
        <w:t>El nivel máximo de emisiones no esenciales no debe superar los –170,6 dB(W/m</w:t>
      </w:r>
      <w:r w:rsidRPr="00297B30">
        <w:rPr>
          <w:rFonts w:eastAsiaTheme="minorEastAsia"/>
          <w:szCs w:val="24"/>
          <w:vertAlign w:val="superscript"/>
          <w:lang w:val="es-ES_tradnl"/>
        </w:rPr>
        <w:t>2</w:t>
      </w:r>
      <w:r w:rsidRPr="00297B30">
        <w:rPr>
          <w:rFonts w:eastAsiaTheme="minorEastAsia"/>
          <w:szCs w:val="24"/>
          <w:lang w:val="es-ES_tradnl"/>
        </w:rPr>
        <w:t xml:space="preserve">) a la entrada de la antena de satélite del SARP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para proporcionar una protección adecuada a la instrumentación del SARP </w:t>
      </w:r>
      <w:proofErr w:type="spellStart"/>
      <w:r w:rsidRPr="00297B30">
        <w:rPr>
          <w:rFonts w:eastAsiaTheme="minorEastAsia"/>
          <w:szCs w:val="24"/>
          <w:lang w:val="es-ES_tradnl"/>
        </w:rPr>
        <w:t>Cospas</w:t>
      </w:r>
      <w:proofErr w:type="spellEnd"/>
      <w:r w:rsidRPr="00297B30">
        <w:rPr>
          <w:rFonts w:eastAsiaTheme="minorEastAsia"/>
          <w:szCs w:val="24"/>
          <w:lang w:val="es-ES_tradnl"/>
        </w:rPr>
        <w:t>.</w:t>
      </w:r>
    </w:p>
    <w:p w:rsidR="00543337" w:rsidRPr="00297B30" w:rsidRDefault="00543337" w:rsidP="00543337">
      <w:pPr>
        <w:rPr>
          <w:rFonts w:eastAsiaTheme="minorEastAsia"/>
          <w:szCs w:val="24"/>
          <w:lang w:val="es-ES_tradnl"/>
        </w:rPr>
      </w:pPr>
      <w:r w:rsidRPr="00297B30">
        <w:rPr>
          <w:rFonts w:eastAsiaTheme="minorEastAsia"/>
          <w:szCs w:val="24"/>
          <w:lang w:val="es-ES_tradnl"/>
        </w:rPr>
        <w:t>Los procesadores del receptor C-S están diseñados para detectar componentes espectrales discretas (portadoras de baliza no moduladas). Por lo tanto, los requisitos de protección se expresan en términos de espectro de potencia en lugar de densidad espectral de potencia y la unidad de emisiones no esenciales es dB(W/m</w:t>
      </w:r>
      <w:r w:rsidRPr="00297B30">
        <w:rPr>
          <w:rFonts w:eastAsiaTheme="minorEastAsia"/>
          <w:szCs w:val="24"/>
          <w:vertAlign w:val="superscript"/>
          <w:lang w:val="es-ES_tradnl"/>
        </w:rPr>
        <w:t>2</w:t>
      </w:r>
      <w:r w:rsidRPr="00297B30">
        <w:rPr>
          <w:rFonts w:eastAsiaTheme="minorEastAsia"/>
          <w:szCs w:val="24"/>
          <w:lang w:val="es-ES_tradnl"/>
        </w:rPr>
        <w:t>)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La anchura de banda de resolución del receptor de la instrumentación del SARP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es de 40 Hz. Por lo tanto, la separación de frecuencia mínima entre líneas espectrales, también llamada potencia de resolución del análisis espectral) que puede detectar el receptor del SARP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es de 40 Hz. En consecuencia, el nivel de emisión no esencial debe calcularse dentro de una anchura de banda de referencia de 40 Hz.</w:t>
      </w:r>
    </w:p>
    <w:p w:rsidR="00543337" w:rsidRPr="00297B30" w:rsidRDefault="00543337" w:rsidP="00543337">
      <w:pPr>
        <w:pStyle w:val="Heading1"/>
        <w:rPr>
          <w:lang w:val="es-ES_tradnl"/>
        </w:rPr>
      </w:pPr>
      <w:r w:rsidRPr="00297B30">
        <w:rPr>
          <w:lang w:val="es-ES_tradnl"/>
        </w:rPr>
        <w:t>5</w:t>
      </w:r>
      <w:r w:rsidRPr="00297B30">
        <w:rPr>
          <w:lang w:val="es-ES_tradnl"/>
        </w:rPr>
        <w:tab/>
        <w:t xml:space="preserve">Desensibilización y sobreexcitación de las etapas de entrada del receptor </w:t>
      </w:r>
      <w:proofErr w:type="spellStart"/>
      <w:r w:rsidRPr="00297B30">
        <w:rPr>
          <w:lang w:val="es-ES_tradnl"/>
        </w:rPr>
        <w:t>Cospas</w:t>
      </w:r>
      <w:proofErr w:type="spellEnd"/>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Los satélites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utilizan receptores de alta sensibilidad con amplificadores de bajo nivel de ruido (ABR) de banda ancha y pueden experimentar sobrecarga o, en el peor de los casos, una sobreexcitación de las etapas de entrada debido a emisiones de satélites del SMS no OSG.</w:t>
      </w:r>
    </w:p>
    <w:p w:rsidR="00543337" w:rsidRPr="00297B30" w:rsidRDefault="00543337" w:rsidP="00543337">
      <w:pPr>
        <w:rPr>
          <w:rFonts w:eastAsiaTheme="minorEastAsia"/>
          <w:szCs w:val="24"/>
          <w:lang w:val="es-ES_tradnl"/>
        </w:rPr>
      </w:pPr>
      <w:r w:rsidRPr="00297B30">
        <w:rPr>
          <w:rFonts w:eastAsiaTheme="minorEastAsia"/>
          <w:szCs w:val="24"/>
          <w:lang w:val="es-ES_tradnl"/>
        </w:rPr>
        <w:t>En general, se observa que se produce bloqueo o desensibilización cuando la ausencia del filtrado de RF da lugar a la saturación del ABR de la etapa de entrada y, por tanto, una disminución de su ganancia y de la sensibilidad del receptor. Conjuntamente con lo anterior, se pueden producir también otros efectos tales como la mezcla de la señal interferente con el ruido de fase del ABR. En general, la experiencia muestra que cuando un transmisor de banda estrecha trabaja cercano a un receptor de banda ancha, el bloqueo o la desensibilización es a menudo la causa dominante de los problemas de interferencia.</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Los ABR de los receptores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a 406 MHz pueden soportar señales de –60 </w:t>
      </w:r>
      <w:proofErr w:type="spellStart"/>
      <w:r w:rsidRPr="00297B30">
        <w:rPr>
          <w:rFonts w:eastAsiaTheme="minorEastAsia"/>
          <w:szCs w:val="24"/>
          <w:lang w:val="es-ES_tradnl"/>
        </w:rPr>
        <w:t>dBW</w:t>
      </w:r>
      <w:proofErr w:type="spellEnd"/>
      <w:r w:rsidRPr="00297B30">
        <w:rPr>
          <w:rFonts w:eastAsiaTheme="minorEastAsia"/>
          <w:szCs w:val="24"/>
          <w:lang w:val="es-ES_tradnl"/>
        </w:rPr>
        <w:t xml:space="preserve"> (sobre</w:t>
      </w:r>
      <w:r w:rsidRPr="00297B30">
        <w:rPr>
          <w:rFonts w:eastAsiaTheme="minorEastAsia"/>
          <w:szCs w:val="24"/>
          <w:lang w:val="es-ES_tradnl"/>
        </w:rPr>
        <w:softHyphen/>
        <w:t xml:space="preserve">excitación de las etapas de entrada) y de –100 </w:t>
      </w:r>
      <w:proofErr w:type="spellStart"/>
      <w:r w:rsidRPr="00297B30">
        <w:rPr>
          <w:rFonts w:eastAsiaTheme="minorEastAsia"/>
          <w:szCs w:val="24"/>
          <w:lang w:val="es-ES_tradnl"/>
        </w:rPr>
        <w:t>dBW</w:t>
      </w:r>
      <w:proofErr w:type="spellEnd"/>
      <w:r w:rsidRPr="00297B30">
        <w:rPr>
          <w:rFonts w:eastAsiaTheme="minorEastAsia"/>
          <w:szCs w:val="24"/>
          <w:lang w:val="es-ES_tradnl"/>
        </w:rPr>
        <w:t xml:space="preserve"> (desensibilización). Dado que la potencia del satélite SMS no OSG puede llegar a ser de hasta 24 </w:t>
      </w:r>
      <w:proofErr w:type="spellStart"/>
      <w:r w:rsidRPr="00297B30">
        <w:rPr>
          <w:rFonts w:eastAsiaTheme="minorEastAsia"/>
          <w:szCs w:val="24"/>
          <w:lang w:val="es-ES_tradnl"/>
        </w:rPr>
        <w:t>dBW</w:t>
      </w:r>
      <w:proofErr w:type="spellEnd"/>
      <w:r w:rsidRPr="00297B30">
        <w:rPr>
          <w:rFonts w:eastAsiaTheme="minorEastAsia"/>
          <w:szCs w:val="24"/>
          <w:lang w:val="es-ES_tradnl"/>
        </w:rPr>
        <w:t xml:space="preserve">, parece claro que la sobreexcitación de los receptores de los satélites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puede ocurrir si no se evita mediante la separación de frecuencias.</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El nivel de potencia de señales del SMS no OSG a la entrada del receptor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depende de muchos factores, siendo el más importante la distancia entre los satélites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y SMS no OSG, que en teoría puede llegar a ser 0 para algunas de las constelaciones de satélites SMS no OSG previstas. A la vista de las catastróficas consecuencias de a sobre excitación de las etapas de entrada de los receptores </w:t>
      </w:r>
      <w:proofErr w:type="spellStart"/>
      <w:r w:rsidRPr="00297B30">
        <w:rPr>
          <w:rFonts w:eastAsiaTheme="minorEastAsia"/>
          <w:szCs w:val="24"/>
          <w:lang w:val="es-ES_tradnl"/>
        </w:rPr>
        <w:t>front-end</w:t>
      </w:r>
      <w:proofErr w:type="spellEnd"/>
      <w:r w:rsidRPr="00297B30">
        <w:rPr>
          <w:rFonts w:eastAsiaTheme="minorEastAsia"/>
          <w:szCs w:val="24"/>
          <w:lang w:val="es-ES_tradnl"/>
        </w:rPr>
        <w:t xml:space="preserve"> </w:t>
      </w:r>
      <w:proofErr w:type="spellStart"/>
      <w:r w:rsidRPr="00297B30">
        <w:rPr>
          <w:rFonts w:eastAsiaTheme="minorEastAsia"/>
          <w:szCs w:val="24"/>
          <w:lang w:val="es-ES_tradnl"/>
        </w:rPr>
        <w:t>burn</w:t>
      </w:r>
      <w:proofErr w:type="spellEnd"/>
      <w:r w:rsidRPr="00297B30">
        <w:rPr>
          <w:rFonts w:eastAsiaTheme="minorEastAsia"/>
          <w:szCs w:val="24"/>
          <w:lang w:val="es-ES_tradnl"/>
        </w:rPr>
        <w:t xml:space="preserve"> </w:t>
      </w:r>
      <w:proofErr w:type="spellStart"/>
      <w:r w:rsidRPr="00297B30">
        <w:rPr>
          <w:rFonts w:eastAsiaTheme="minorEastAsia"/>
          <w:szCs w:val="24"/>
          <w:lang w:val="es-ES_tradnl"/>
        </w:rPr>
        <w:t>out</w:t>
      </w:r>
      <w:proofErr w:type="spellEnd"/>
      <w:r w:rsidRPr="00297B30">
        <w:rPr>
          <w:rFonts w:eastAsiaTheme="minorEastAsia"/>
          <w:szCs w:val="24"/>
          <w:lang w:val="es-ES_tradnl"/>
        </w:rPr>
        <w:t xml:space="preserve">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las frecuencias portadoras del SMS no OSG deben seleccionarse para garantizar que su anchura de banda declarada se extiende más allá de los 406 MHz. El Cuadro 3 presenta los factores clave necesarios para calcular la banda de guarda mínima necesaria para proteger a los receptores </w:t>
      </w:r>
      <w:proofErr w:type="spellStart"/>
      <w:r w:rsidRPr="00297B30">
        <w:rPr>
          <w:rFonts w:eastAsiaTheme="minorEastAsia"/>
          <w:szCs w:val="24"/>
          <w:lang w:val="es-ES_tradnl"/>
        </w:rPr>
        <w:t>Cospas</w:t>
      </w:r>
      <w:proofErr w:type="spellEnd"/>
      <w:r w:rsidRPr="00297B30">
        <w:rPr>
          <w:rFonts w:eastAsiaTheme="minorEastAsia"/>
          <w:szCs w:val="24"/>
          <w:lang w:val="es-ES_tradnl"/>
        </w:rPr>
        <w:t xml:space="preserve"> de la sobreexcitación debida a emisiones de satélites del SMS no OSG.</w:t>
      </w:r>
    </w:p>
    <w:p w:rsidR="00543337" w:rsidRPr="00297B30" w:rsidRDefault="00543337" w:rsidP="00543337">
      <w:pPr>
        <w:pStyle w:val="TableNo"/>
        <w:keepLines/>
        <w:rPr>
          <w:lang w:val="es-ES_tradnl"/>
        </w:rPr>
      </w:pPr>
      <w:r w:rsidRPr="00297B30">
        <w:rPr>
          <w:lang w:val="es-ES_tradnl"/>
        </w:rPr>
        <w:t>CUADRO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37"/>
        <w:gridCol w:w="3402"/>
      </w:tblGrid>
      <w:tr w:rsidR="00543337" w:rsidRPr="00297B30" w:rsidTr="00B06A97">
        <w:trPr>
          <w:jc w:val="center"/>
        </w:trPr>
        <w:tc>
          <w:tcPr>
            <w:tcW w:w="6237" w:type="dxa"/>
          </w:tcPr>
          <w:p w:rsidR="00543337" w:rsidRPr="00297B30" w:rsidRDefault="00543337" w:rsidP="00B06A97">
            <w:pPr>
              <w:pStyle w:val="Tabletext"/>
              <w:keepNext/>
              <w:keepLines/>
              <w:jc w:val="left"/>
              <w:rPr>
                <w:lang w:val="es-ES_tradnl"/>
              </w:rPr>
            </w:pPr>
            <w:r w:rsidRPr="00297B30">
              <w:rPr>
                <w:lang w:val="es-ES_tradnl"/>
              </w:rPr>
              <w:t xml:space="preserve">Desplazamiento </w:t>
            </w:r>
            <w:proofErr w:type="spellStart"/>
            <w:r w:rsidRPr="00297B30">
              <w:rPr>
                <w:lang w:val="es-ES_tradnl"/>
              </w:rPr>
              <w:t>Doppler</w:t>
            </w:r>
            <w:proofErr w:type="spellEnd"/>
            <w:r w:rsidRPr="00297B30">
              <w:rPr>
                <w:lang w:val="es-ES_tradnl"/>
              </w:rPr>
              <w:t xml:space="preserve"> definido</w:t>
            </w:r>
          </w:p>
        </w:tc>
        <w:tc>
          <w:tcPr>
            <w:tcW w:w="3402" w:type="dxa"/>
          </w:tcPr>
          <w:p w:rsidR="00543337" w:rsidRPr="00297B30" w:rsidRDefault="00543337" w:rsidP="00B06A97">
            <w:pPr>
              <w:pStyle w:val="Tabletext"/>
              <w:keepNext/>
              <w:keepLines/>
              <w:jc w:val="left"/>
              <w:rPr>
                <w:lang w:val="es-ES_tradnl"/>
              </w:rPr>
            </w:pPr>
            <w:r w:rsidRPr="00297B30">
              <w:rPr>
                <w:lang w:val="es-ES_tradnl"/>
              </w:rPr>
              <w:t>20 kHz</w:t>
            </w:r>
            <w:r w:rsidRPr="00297B30">
              <w:rPr>
                <w:lang w:val="es-ES_tradnl"/>
              </w:rPr>
              <w:br/>
              <w:t>2 × 406 000 × (7,4/300 000)</w:t>
            </w:r>
          </w:p>
        </w:tc>
      </w:tr>
      <w:tr w:rsidR="00543337" w:rsidRPr="00297B30" w:rsidTr="00B06A97">
        <w:trPr>
          <w:jc w:val="center"/>
        </w:trPr>
        <w:tc>
          <w:tcPr>
            <w:tcW w:w="6237" w:type="dxa"/>
          </w:tcPr>
          <w:p w:rsidR="00543337" w:rsidRPr="00297B30" w:rsidRDefault="00543337" w:rsidP="00B06A97">
            <w:pPr>
              <w:pStyle w:val="Tabletext"/>
              <w:keepNext/>
              <w:keepLines/>
              <w:jc w:val="left"/>
              <w:rPr>
                <w:lang w:val="es-ES_tradnl"/>
              </w:rPr>
            </w:pPr>
            <w:r w:rsidRPr="00297B30">
              <w:rPr>
                <w:lang w:val="es-ES_tradnl"/>
              </w:rPr>
              <w:t>Estabilidad del transmisor de la estación espacial en esta banda</w:t>
            </w:r>
          </w:p>
        </w:tc>
        <w:tc>
          <w:tcPr>
            <w:tcW w:w="3402" w:type="dxa"/>
          </w:tcPr>
          <w:p w:rsidR="00543337" w:rsidRPr="00297B30" w:rsidRDefault="00543337" w:rsidP="00B06A97">
            <w:pPr>
              <w:pStyle w:val="Tabletext"/>
              <w:keepNext/>
              <w:keepLines/>
              <w:jc w:val="left"/>
              <w:rPr>
                <w:lang w:val="es-ES_tradnl"/>
              </w:rPr>
            </w:pPr>
            <w:r w:rsidRPr="00297B30">
              <w:rPr>
                <w:lang w:val="es-ES_tradnl"/>
              </w:rPr>
              <w:t>8,12 kHz</w:t>
            </w:r>
            <w:r w:rsidRPr="00297B30">
              <w:rPr>
                <w:lang w:val="es-ES_tradnl"/>
              </w:rPr>
              <w:br/>
              <w:t>20 × 10</w:t>
            </w:r>
            <w:r w:rsidRPr="00C81A35">
              <w:rPr>
                <w:vertAlign w:val="superscript"/>
                <w:lang w:val="es-ES_tradnl"/>
              </w:rPr>
              <w:t>–6</w:t>
            </w:r>
            <w:r w:rsidRPr="00297B30">
              <w:rPr>
                <w:lang w:val="es-ES_tradnl"/>
              </w:rPr>
              <w:t xml:space="preserve"> × 406 000</w:t>
            </w:r>
          </w:p>
        </w:tc>
      </w:tr>
      <w:tr w:rsidR="00543337" w:rsidRPr="00297B30" w:rsidTr="00B06A97">
        <w:trPr>
          <w:jc w:val="center"/>
        </w:trPr>
        <w:tc>
          <w:tcPr>
            <w:tcW w:w="6237" w:type="dxa"/>
          </w:tcPr>
          <w:p w:rsidR="00543337" w:rsidRPr="00297B30" w:rsidRDefault="00543337" w:rsidP="00B06A97">
            <w:pPr>
              <w:pStyle w:val="Tabletext"/>
              <w:keepNext/>
              <w:keepLines/>
              <w:jc w:val="left"/>
              <w:rPr>
                <w:lang w:val="es-ES_tradnl"/>
              </w:rPr>
            </w:pPr>
            <w:r w:rsidRPr="00297B30">
              <w:rPr>
                <w:lang w:val="es-ES_tradnl"/>
              </w:rPr>
              <w:t>Estabilidad del receptor del SARP por año, suponiendo una vida del satélite de 12 años (el Sarsat</w:t>
            </w:r>
            <w:r w:rsidRPr="00297B30">
              <w:rPr>
                <w:lang w:val="es-ES_tradnl"/>
              </w:rPr>
              <w:noBreakHyphen/>
              <w:t>3 se lanzó en 1986)</w:t>
            </w:r>
          </w:p>
        </w:tc>
        <w:tc>
          <w:tcPr>
            <w:tcW w:w="3402" w:type="dxa"/>
          </w:tcPr>
          <w:p w:rsidR="00543337" w:rsidRPr="00297B30" w:rsidRDefault="00543337" w:rsidP="00B06A97">
            <w:pPr>
              <w:pStyle w:val="Tabletext"/>
              <w:keepNext/>
              <w:keepLines/>
              <w:jc w:val="left"/>
              <w:rPr>
                <w:lang w:val="es-ES_tradnl"/>
              </w:rPr>
            </w:pPr>
            <w:r w:rsidRPr="00297B30">
              <w:rPr>
                <w:lang w:val="es-ES_tradnl"/>
              </w:rPr>
              <w:t>2,45 kHz</w:t>
            </w:r>
          </w:p>
        </w:tc>
      </w:tr>
      <w:tr w:rsidR="00543337" w:rsidRPr="00297B30" w:rsidTr="00B06A97">
        <w:trPr>
          <w:jc w:val="center"/>
        </w:trPr>
        <w:tc>
          <w:tcPr>
            <w:tcW w:w="6237" w:type="dxa"/>
          </w:tcPr>
          <w:p w:rsidR="00543337" w:rsidRPr="00297B30" w:rsidRDefault="00543337" w:rsidP="00B06A97">
            <w:pPr>
              <w:pStyle w:val="Tabletext"/>
              <w:jc w:val="left"/>
              <w:rPr>
                <w:lang w:val="es-ES_tradnl"/>
              </w:rPr>
            </w:pPr>
            <w:r w:rsidRPr="00297B30">
              <w:rPr>
                <w:lang w:val="es-ES_tradnl"/>
              </w:rPr>
              <w:t>Anchura de banda declarada de los satélites del SMS no OSG/2</w:t>
            </w:r>
          </w:p>
        </w:tc>
        <w:tc>
          <w:tcPr>
            <w:tcW w:w="3402" w:type="dxa"/>
          </w:tcPr>
          <w:p w:rsidR="00543337" w:rsidRPr="00297B30" w:rsidRDefault="00543337" w:rsidP="00B06A97">
            <w:pPr>
              <w:pStyle w:val="Tabletext"/>
              <w:jc w:val="left"/>
              <w:rPr>
                <w:lang w:val="es-ES_tradnl"/>
              </w:rPr>
            </w:pPr>
            <w:r w:rsidRPr="00297B30">
              <w:rPr>
                <w:lang w:val="es-ES_tradnl"/>
              </w:rPr>
              <w:t>1,2-500 kHz</w:t>
            </w:r>
            <w:r w:rsidRPr="00297B30">
              <w:rPr>
                <w:lang w:val="es-ES_tradnl"/>
              </w:rPr>
              <w:br/>
              <w:t>(2,4-1 000)/2</w:t>
            </w:r>
          </w:p>
        </w:tc>
      </w:tr>
      <w:tr w:rsidR="00543337" w:rsidRPr="00297B30" w:rsidTr="00B06A97">
        <w:trPr>
          <w:jc w:val="center"/>
        </w:trPr>
        <w:tc>
          <w:tcPr>
            <w:tcW w:w="6237" w:type="dxa"/>
          </w:tcPr>
          <w:p w:rsidR="00543337" w:rsidRPr="00297B30" w:rsidRDefault="00543337" w:rsidP="00B06A97">
            <w:pPr>
              <w:pStyle w:val="Tabletext"/>
              <w:jc w:val="left"/>
              <w:rPr>
                <w:lang w:val="es-ES_tradnl"/>
              </w:rPr>
            </w:pPr>
            <w:r w:rsidRPr="00297B30">
              <w:rPr>
                <w:lang w:val="es-ES_tradnl"/>
              </w:rPr>
              <w:t>Banda de guarda</w:t>
            </w:r>
          </w:p>
        </w:tc>
        <w:tc>
          <w:tcPr>
            <w:tcW w:w="3402" w:type="dxa"/>
          </w:tcPr>
          <w:p w:rsidR="00543337" w:rsidRPr="00297B30" w:rsidRDefault="00543337" w:rsidP="00B06A97">
            <w:pPr>
              <w:pStyle w:val="Tabletext"/>
              <w:jc w:val="left"/>
              <w:rPr>
                <w:lang w:val="es-ES_tradnl"/>
              </w:rPr>
            </w:pPr>
            <w:r w:rsidRPr="00297B30">
              <w:rPr>
                <w:lang w:val="es-ES_tradnl"/>
              </w:rPr>
              <w:t>31,8-530,6 kHz</w:t>
            </w:r>
          </w:p>
        </w:tc>
      </w:tr>
    </w:tbl>
    <w:p w:rsidR="00543337" w:rsidRPr="00297B30" w:rsidRDefault="00543337" w:rsidP="00543337">
      <w:pPr>
        <w:pStyle w:val="Tablefin"/>
        <w:rPr>
          <w:lang w:val="es-ES_tradnl"/>
        </w:rPr>
      </w:pPr>
    </w:p>
    <w:p w:rsidR="00543337" w:rsidRPr="00297B30" w:rsidRDefault="00543337" w:rsidP="00543337">
      <w:pPr>
        <w:rPr>
          <w:rFonts w:eastAsiaTheme="minorEastAsia"/>
          <w:szCs w:val="24"/>
          <w:lang w:val="es-ES_tradnl"/>
        </w:rPr>
      </w:pPr>
      <w:r w:rsidRPr="00297B30">
        <w:rPr>
          <w:rFonts w:eastAsiaTheme="minorEastAsia"/>
          <w:szCs w:val="24"/>
          <w:lang w:val="es-ES_tradnl"/>
        </w:rPr>
        <w:lastRenderedPageBreak/>
        <w:t>Los resultados del Cuadro 3 indican que se necesita una banda de guarda de al menos 32 kHz (405,968-406 MHz) en caso de que se atribuyera la banda de frecuencias 405-406 MHz para ser utilizada por satélites del SMS no OSG.</w:t>
      </w:r>
    </w:p>
    <w:p w:rsidR="00543337" w:rsidRPr="00297B30" w:rsidRDefault="00543337" w:rsidP="00543337">
      <w:pPr>
        <w:rPr>
          <w:rFonts w:eastAsiaTheme="minorEastAsia"/>
          <w:szCs w:val="24"/>
          <w:lang w:val="es-ES_tradnl"/>
        </w:rPr>
      </w:pPr>
    </w:p>
    <w:p w:rsidR="00543337" w:rsidRPr="00297B30" w:rsidRDefault="00543337" w:rsidP="00543337">
      <w:pPr>
        <w:rPr>
          <w:rFonts w:eastAsiaTheme="minorEastAsia"/>
          <w:szCs w:val="24"/>
          <w:lang w:val="es-ES_tradnl"/>
        </w:rPr>
      </w:pPr>
    </w:p>
    <w:p w:rsidR="00543337" w:rsidRPr="00297B30" w:rsidRDefault="00543337" w:rsidP="00543337">
      <w:pPr>
        <w:pStyle w:val="AnnexNoTitle"/>
        <w:rPr>
          <w:lang w:val="es-ES_tradnl"/>
        </w:rPr>
      </w:pPr>
      <w:r w:rsidRPr="00297B30">
        <w:rPr>
          <w:lang w:val="es-ES_tradnl"/>
        </w:rPr>
        <w:t>Anexo 5</w:t>
      </w:r>
      <w:r w:rsidRPr="00297B30">
        <w:rPr>
          <w:lang w:val="es-ES_tradnl"/>
        </w:rPr>
        <w:br/>
      </w:r>
      <w:r w:rsidRPr="00297B30">
        <w:rPr>
          <w:lang w:val="es-ES_tradnl"/>
        </w:rPr>
        <w:br/>
        <w:t>Criterios de protección en la banda 406-406,1 MHz</w:t>
      </w:r>
      <w:r w:rsidRPr="00297B30">
        <w:rPr>
          <w:lang w:val="es-ES_tradnl"/>
        </w:rPr>
        <w:br/>
        <w:t xml:space="preserve">para los instrumentos SARR de </w:t>
      </w:r>
      <w:proofErr w:type="spellStart"/>
      <w:r w:rsidRPr="00297B30">
        <w:rPr>
          <w:lang w:val="es-ES_tradnl"/>
        </w:rPr>
        <w:t>Sarsat</w:t>
      </w:r>
      <w:proofErr w:type="spellEnd"/>
    </w:p>
    <w:p w:rsidR="00543337" w:rsidRPr="00297B30" w:rsidRDefault="00543337" w:rsidP="00543337">
      <w:pPr>
        <w:pStyle w:val="Heading1"/>
        <w:rPr>
          <w:lang w:val="es-ES_tradnl"/>
        </w:rPr>
      </w:pPr>
      <w:r w:rsidRPr="00297B30">
        <w:rPr>
          <w:lang w:val="es-ES_tradnl"/>
        </w:rPr>
        <w:t>1</w:t>
      </w:r>
      <w:r w:rsidRPr="00297B30">
        <w:rPr>
          <w:lang w:val="es-ES_tradnl"/>
        </w:rPr>
        <w:tab/>
        <w:t>Mínima calidad de funcionamiento aceptable para el canal SARR de 406 MHz en satélites NOAA</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Para detectar con fiabilidad las radiobalizas de socorro de 406 MHz utilizando los repetidores del satélite LEO de 406 MHz de </w:t>
      </w:r>
      <w:proofErr w:type="spellStart"/>
      <w:r w:rsidRPr="00297B30">
        <w:rPr>
          <w:rFonts w:eastAsiaTheme="minorEastAsia"/>
          <w:szCs w:val="24"/>
          <w:lang w:val="es-ES_tradnl"/>
        </w:rPr>
        <w:t>Sarsat</w:t>
      </w:r>
      <w:proofErr w:type="spellEnd"/>
      <w:r w:rsidRPr="00297B30">
        <w:rPr>
          <w:rFonts w:eastAsiaTheme="minorEastAsia"/>
          <w:szCs w:val="24"/>
          <w:lang w:val="es-ES_tradnl"/>
        </w:rPr>
        <w:t>, la BER del canal no debe rebasar el valor de 5 </w:t>
      </w:r>
      <w:r w:rsidRPr="00297B30">
        <w:rPr>
          <w:lang w:val="es-ES_tradnl"/>
        </w:rPr>
        <w:t>×</w:t>
      </w:r>
      <w:r w:rsidRPr="00297B30">
        <w:rPr>
          <w:rFonts w:eastAsiaTheme="minorEastAsia"/>
          <w:szCs w:val="24"/>
          <w:lang w:val="es-ES_tradnl"/>
        </w:rPr>
        <w:t> 10</w:t>
      </w:r>
      <w:r w:rsidRPr="00297B30">
        <w:rPr>
          <w:rFonts w:eastAsiaTheme="minorEastAsia"/>
          <w:szCs w:val="24"/>
          <w:vertAlign w:val="superscript"/>
          <w:lang w:val="es-ES_tradnl"/>
        </w:rPr>
        <w:t>–5</w:t>
      </w:r>
      <w:r w:rsidRPr="00297B30">
        <w:rPr>
          <w:rFonts w:eastAsiaTheme="minorEastAsia"/>
          <w:szCs w:val="24"/>
          <w:lang w:val="es-ES_tradnl"/>
        </w:rPr>
        <w:t>.</w:t>
      </w:r>
    </w:p>
    <w:p w:rsidR="00543337" w:rsidRPr="00297B30" w:rsidRDefault="00543337" w:rsidP="00543337">
      <w:pPr>
        <w:pStyle w:val="Heading1"/>
        <w:rPr>
          <w:lang w:val="es-ES_tradnl"/>
        </w:rPr>
      </w:pPr>
      <w:r w:rsidRPr="00297B30">
        <w:rPr>
          <w:lang w:val="es-ES_tradnl"/>
        </w:rPr>
        <w:t>2</w:t>
      </w:r>
      <w:r w:rsidRPr="00297B30">
        <w:rPr>
          <w:lang w:val="es-ES_tradnl"/>
        </w:rPr>
        <w:tab/>
        <w:t xml:space="preserve">Análisis de la </w:t>
      </w:r>
      <w:proofErr w:type="spellStart"/>
      <w:r w:rsidRPr="00297B30">
        <w:rPr>
          <w:lang w:val="es-ES_tradnl"/>
        </w:rPr>
        <w:t>dfp</w:t>
      </w:r>
      <w:proofErr w:type="spellEnd"/>
      <w:r w:rsidRPr="00297B30">
        <w:rPr>
          <w:lang w:val="es-ES_tradnl"/>
        </w:rPr>
        <w:t xml:space="preserve"> espectral que causa la interferencia</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BER de un canal de comunicaciones se obtiene a partir de la relación entre la energía contenida en cada bit de datos,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 xml:space="preserve">, y la densidad de ruido, que viene determinada por el ruido provocado por los equipos de </w:t>
      </w:r>
      <w:proofErr w:type="spellStart"/>
      <w:r w:rsidRPr="00297B30">
        <w:rPr>
          <w:rFonts w:eastAsiaTheme="minorEastAsia"/>
          <w:szCs w:val="24"/>
          <w:lang w:val="es-ES_tradnl"/>
        </w:rPr>
        <w:t>Cospas-Sarsat</w:t>
      </w:r>
      <w:proofErr w:type="spellEnd"/>
      <w:r w:rsidRPr="00297B30">
        <w:rPr>
          <w:rFonts w:eastAsiaTheme="minorEastAsia"/>
          <w:szCs w:val="24"/>
          <w:lang w:val="es-ES_tradnl"/>
        </w:rPr>
        <w:t xml:space="preserve">,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y el ruido causado por la interferencia procedente de otros sistemas,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La Fig. 6 representa el canal de 406 MHz SARR LEO con interferencia en el enlace ascendente.</w:t>
      </w:r>
    </w:p>
    <w:p w:rsidR="00543337" w:rsidRPr="00297B30" w:rsidRDefault="00543337" w:rsidP="00543337">
      <w:pPr>
        <w:pStyle w:val="FigureNo"/>
        <w:rPr>
          <w:lang w:val="es-ES_tradnl"/>
        </w:rPr>
      </w:pPr>
      <w:r w:rsidRPr="00297B30">
        <w:rPr>
          <w:lang w:val="es-ES_tradnl"/>
        </w:rPr>
        <w:t>figura 6</w:t>
      </w:r>
    </w:p>
    <w:p w:rsidR="00543337" w:rsidRPr="00297B30" w:rsidRDefault="00543337" w:rsidP="00543337">
      <w:pPr>
        <w:pStyle w:val="Figuretitle"/>
        <w:rPr>
          <w:lang w:val="es-ES_tradnl"/>
        </w:rPr>
      </w:pPr>
      <w:r w:rsidRPr="00297B30">
        <w:rPr>
          <w:lang w:val="es-ES_tradnl"/>
        </w:rPr>
        <w:t>Repetidor SARR de 406 MHz con interferencia en el enlace ascendente</w:t>
      </w:r>
    </w:p>
    <w:p w:rsidR="00543337" w:rsidRPr="00297B30" w:rsidRDefault="00543337" w:rsidP="00543337">
      <w:pPr>
        <w:pStyle w:val="Figure"/>
        <w:rPr>
          <w:rFonts w:eastAsiaTheme="minorEastAsia"/>
          <w:szCs w:val="18"/>
          <w:lang w:val="es-ES_tradnl"/>
        </w:rPr>
      </w:pPr>
      <w:r w:rsidRPr="00297B30">
        <w:rPr>
          <w:rFonts w:eastAsiaTheme="minorEastAsia"/>
          <w:lang w:val="es-ES_tradnl"/>
        </w:rPr>
        <w:object w:dxaOrig="8010" w:dyaOrig="3836">
          <v:shape id="_x0000_i1036" type="#_x0000_t75" style="width:465.3pt;height:225.5pt" o:ole="">
            <v:imagedata r:id="rId35" o:title=""/>
          </v:shape>
          <o:OLEObject Type="Embed" ProgID="CorelDRAW.Graphic.14" ShapeID="_x0000_i1036" DrawAspect="Content" ObjectID="_1501062607" r:id="rId36"/>
        </w:object>
      </w:r>
    </w:p>
    <w:p w:rsidR="00543337" w:rsidRPr="00297B30" w:rsidRDefault="00543337" w:rsidP="00743E83">
      <w:pPr>
        <w:pStyle w:val="Normalaftertitle"/>
        <w:rPr>
          <w:rFonts w:eastAsiaTheme="minorEastAsia"/>
          <w:lang w:val="es-ES_tradnl"/>
        </w:rPr>
      </w:pPr>
      <w:r w:rsidRPr="00297B30">
        <w:rPr>
          <w:rFonts w:eastAsiaTheme="minorEastAsia"/>
          <w:lang w:val="es-ES_tradnl"/>
        </w:rPr>
        <w:t>Para lograr una BER de 5 × 10</w:t>
      </w:r>
      <w:r w:rsidRPr="00297B30">
        <w:rPr>
          <w:rFonts w:eastAsiaTheme="minorEastAsia"/>
          <w:vertAlign w:val="superscript"/>
          <w:lang w:val="es-ES_tradnl"/>
        </w:rPr>
        <w:t>–5</w:t>
      </w:r>
      <w:r w:rsidRPr="00297B30">
        <w:rPr>
          <w:rFonts w:eastAsiaTheme="minorEastAsia"/>
          <w:lang w:val="es-ES_tradnl"/>
        </w:rPr>
        <w:t xml:space="preserve">, la relación entre la energía por bit y la densidad de ruido más interferencia, </w:t>
      </w:r>
      <w:r w:rsidRPr="00297B30">
        <w:rPr>
          <w:rFonts w:eastAsiaTheme="minorEastAsia"/>
          <w:i/>
          <w:iCs/>
          <w:lang w:val="es-ES_tradnl"/>
        </w:rPr>
        <w:t>E</w:t>
      </w:r>
      <w:r w:rsidRPr="00297B30">
        <w:rPr>
          <w:rFonts w:eastAsiaTheme="minorEastAsia"/>
          <w:i/>
          <w:iCs/>
          <w:vertAlign w:val="subscript"/>
          <w:lang w:val="es-ES_tradnl"/>
        </w:rPr>
        <w:t>b</w:t>
      </w:r>
      <w:r w:rsidRPr="00297B30">
        <w:rPr>
          <w:rFonts w:eastAsiaTheme="minorEastAsia"/>
          <w:lang w:val="es-ES_tradnl"/>
        </w:rPr>
        <w:t>/(</w:t>
      </w:r>
      <w:r w:rsidRPr="00297B30">
        <w:rPr>
          <w:rFonts w:eastAsiaTheme="minorEastAsia"/>
          <w:i/>
          <w:iCs/>
          <w:lang w:val="es-ES_tradnl"/>
        </w:rPr>
        <w:t>N</w:t>
      </w:r>
      <w:r w:rsidRPr="00297B30">
        <w:rPr>
          <w:rFonts w:eastAsiaTheme="minorEastAsia"/>
          <w:vertAlign w:val="subscript"/>
          <w:lang w:val="es-ES_tradnl"/>
        </w:rPr>
        <w:t>0</w:t>
      </w:r>
      <w:r w:rsidRPr="00297B30">
        <w:rPr>
          <w:rFonts w:eastAsiaTheme="minorEastAsia"/>
          <w:lang w:val="es-ES_tradnl"/>
        </w:rPr>
        <w:t> + </w:t>
      </w:r>
      <w:r w:rsidRPr="00297B30">
        <w:rPr>
          <w:rFonts w:eastAsiaTheme="minorEastAsia"/>
          <w:i/>
          <w:iCs/>
          <w:lang w:val="es-ES_tradnl"/>
        </w:rPr>
        <w:t>I</w:t>
      </w:r>
      <w:r w:rsidRPr="00297B30">
        <w:rPr>
          <w:rFonts w:eastAsiaTheme="minorEastAsia"/>
          <w:vertAlign w:val="subscript"/>
          <w:lang w:val="es-ES_tradnl"/>
        </w:rPr>
        <w:t>0</w:t>
      </w:r>
      <w:r w:rsidRPr="00297B30">
        <w:rPr>
          <w:rFonts w:eastAsiaTheme="minorEastAsia"/>
          <w:lang w:val="es-ES_tradnl"/>
        </w:rPr>
        <w:t xml:space="preserve">), en el demodulador del terminal local de usuario del satélite LEO (LEOLUT) debe ser igual o superior a 8,8 dB. Este análisis determina la máxima cantidad de interferencia similar al ruido de banda ancha especificada como </w:t>
      </w:r>
      <w:proofErr w:type="spellStart"/>
      <w:r w:rsidRPr="00297B30">
        <w:rPr>
          <w:rFonts w:eastAsiaTheme="minorEastAsia"/>
          <w:lang w:val="es-ES_tradnl"/>
        </w:rPr>
        <w:t>dfp</w:t>
      </w:r>
      <w:proofErr w:type="spellEnd"/>
      <w:r w:rsidRPr="00297B30">
        <w:rPr>
          <w:rFonts w:eastAsiaTheme="minorEastAsia"/>
          <w:lang w:val="es-ES_tradnl"/>
        </w:rPr>
        <w:t xml:space="preserve"> espectral a la entrada de la antena </w:t>
      </w:r>
      <w:r w:rsidRPr="00297B30">
        <w:rPr>
          <w:rFonts w:eastAsiaTheme="minorEastAsia"/>
          <w:lang w:val="es-ES_tradnl"/>
        </w:rPr>
        <w:lastRenderedPageBreak/>
        <w:t xml:space="preserve">del satélite LEO de 406 MHz </w:t>
      </w:r>
      <w:proofErr w:type="spellStart"/>
      <w:r w:rsidRPr="00297B30">
        <w:rPr>
          <w:rFonts w:eastAsiaTheme="minorEastAsia"/>
          <w:lang w:val="es-ES_tradnl"/>
        </w:rPr>
        <w:t>Sarsat</w:t>
      </w:r>
      <w:proofErr w:type="spellEnd"/>
      <w:r w:rsidRPr="00297B30">
        <w:rPr>
          <w:rFonts w:eastAsiaTheme="minorEastAsia"/>
          <w:lang w:val="es-ES_tradnl"/>
        </w:rPr>
        <w:t xml:space="preserve"> que podría admitirse sin degradar en el enlace la relación global </w:t>
      </w:r>
      <w:r w:rsidRPr="00297B30">
        <w:rPr>
          <w:rFonts w:eastAsiaTheme="minorEastAsia"/>
          <w:i/>
          <w:iCs/>
          <w:lang w:val="es-ES_tradnl"/>
        </w:rPr>
        <w:t>E</w:t>
      </w:r>
      <w:r w:rsidRPr="00297B30">
        <w:rPr>
          <w:rFonts w:eastAsiaTheme="minorEastAsia"/>
          <w:i/>
          <w:iCs/>
          <w:vertAlign w:val="subscript"/>
          <w:lang w:val="es-ES_tradnl"/>
        </w:rPr>
        <w:t>b</w:t>
      </w:r>
      <w:r w:rsidRPr="00297B30">
        <w:rPr>
          <w:rFonts w:eastAsiaTheme="minorEastAsia"/>
          <w:lang w:val="es-ES_tradnl"/>
        </w:rPr>
        <w:t>/(</w:t>
      </w:r>
      <w:r w:rsidRPr="00297B30">
        <w:rPr>
          <w:rFonts w:eastAsiaTheme="minorEastAsia"/>
          <w:i/>
          <w:iCs/>
          <w:lang w:val="es-ES_tradnl"/>
        </w:rPr>
        <w:t>N</w:t>
      </w:r>
      <w:r w:rsidRPr="00297B30">
        <w:rPr>
          <w:rFonts w:eastAsiaTheme="minorEastAsia"/>
          <w:vertAlign w:val="subscript"/>
          <w:lang w:val="es-ES_tradnl"/>
        </w:rPr>
        <w:t>0</w:t>
      </w:r>
      <w:r w:rsidRPr="00297B30">
        <w:rPr>
          <w:rFonts w:eastAsiaTheme="minorEastAsia"/>
          <w:lang w:val="es-ES_tradnl"/>
        </w:rPr>
        <w:t> + </w:t>
      </w:r>
      <w:r w:rsidRPr="00297B30">
        <w:rPr>
          <w:rFonts w:eastAsiaTheme="minorEastAsia"/>
          <w:i/>
          <w:iCs/>
          <w:lang w:val="es-ES_tradnl"/>
        </w:rPr>
        <w:t>I</w:t>
      </w:r>
      <w:r w:rsidRPr="00297B30">
        <w:rPr>
          <w:rFonts w:eastAsiaTheme="minorEastAsia"/>
          <w:vertAlign w:val="subscript"/>
          <w:lang w:val="es-ES_tradnl"/>
        </w:rPr>
        <w:t>0</w:t>
      </w:r>
      <w:r w:rsidRPr="00297B30">
        <w:rPr>
          <w:rFonts w:eastAsiaTheme="minorEastAsia"/>
          <w:lang w:val="es-ES_tradnl"/>
        </w:rPr>
        <w:t>) a un valor por debajo de 8,8 dB.</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Como se representa en la Fig. 6, las señales de la radiobaliza de socorro de 406 MHz son recibidas por el repetidor de búsqueda y salvamento LEO y moduladas en fase sobre una portadora del enlace descendente de </w:t>
      </w:r>
      <w:r w:rsidRPr="00297B30">
        <w:rPr>
          <w:rFonts w:eastAsiaTheme="minorEastAsia"/>
          <w:lang w:val="es-ES_tradnl"/>
        </w:rPr>
        <w:t>1 544</w:t>
      </w:r>
      <w:r w:rsidRPr="00297B30">
        <w:rPr>
          <w:rFonts w:eastAsiaTheme="minorEastAsia"/>
          <w:szCs w:val="24"/>
          <w:lang w:val="es-ES_tradnl"/>
        </w:rPr>
        <w:t xml:space="preserve">,5 MHz para su detección y procesamiento por el LEOLUT. Los valores de la ganancia de antena y de temperatura del ruido del sistema en el repetidor del satélite son, respectivamente, </w:t>
      </w:r>
      <w:r>
        <w:rPr>
          <w:rFonts w:eastAsiaTheme="minorEastAsia"/>
          <w:szCs w:val="24"/>
          <w:lang w:val="es-ES_tradnl"/>
        </w:rPr>
        <w:t>–</w:t>
      </w:r>
      <w:r w:rsidRPr="00297B30">
        <w:rPr>
          <w:rFonts w:eastAsiaTheme="minorEastAsia"/>
          <w:szCs w:val="24"/>
          <w:lang w:val="es-ES_tradnl"/>
        </w:rPr>
        <w:t>4 </w:t>
      </w:r>
      <w:proofErr w:type="spellStart"/>
      <w:r w:rsidRPr="00297B30">
        <w:rPr>
          <w:rFonts w:eastAsiaTheme="minorEastAsia"/>
          <w:szCs w:val="24"/>
          <w:lang w:val="es-ES_tradnl"/>
        </w:rPr>
        <w:t>dB</w:t>
      </w:r>
      <w:r>
        <w:rPr>
          <w:rFonts w:eastAsiaTheme="minorEastAsia"/>
          <w:szCs w:val="24"/>
          <w:lang w:val="es-ES_tradnl"/>
        </w:rPr>
        <w:t>i</w:t>
      </w:r>
      <w:proofErr w:type="spellEnd"/>
      <w:r w:rsidRPr="00297B30">
        <w:rPr>
          <w:rFonts w:eastAsiaTheme="minorEastAsia"/>
          <w:szCs w:val="24"/>
          <w:lang w:val="es-ES_tradnl"/>
        </w:rPr>
        <w:t xml:space="preserve"> y </w:t>
      </w:r>
      <w:r w:rsidRPr="00297B30">
        <w:rPr>
          <w:rFonts w:eastAsiaTheme="minorEastAsia"/>
          <w:lang w:val="es-ES_tradnl"/>
        </w:rPr>
        <w:t>1 000</w:t>
      </w:r>
      <w:r w:rsidRPr="00297B30">
        <w:rPr>
          <w:rFonts w:eastAsiaTheme="minorEastAsia"/>
          <w:szCs w:val="24"/>
          <w:lang w:val="es-ES_tradnl"/>
        </w:rPr>
        <w:t> K en el punto B (véase la Fig. 6).</w:t>
      </w:r>
    </w:p>
    <w:p w:rsidR="00543337" w:rsidRPr="00297B30" w:rsidRDefault="00543337" w:rsidP="00543337">
      <w:pPr>
        <w:rPr>
          <w:rFonts w:ascii="TimesNewRoman" w:eastAsiaTheme="minorEastAsia" w:hAnsi="TimesNewRoman" w:cs="TimesNewRoman"/>
          <w:szCs w:val="24"/>
          <w:lang w:val="es-ES_tradnl"/>
        </w:rPr>
      </w:pPr>
      <w:r w:rsidRPr="00297B30">
        <w:rPr>
          <w:rFonts w:eastAsiaTheme="minorEastAsia"/>
          <w:szCs w:val="24"/>
          <w:lang w:val="es-ES_tradnl"/>
        </w:rPr>
        <w:t xml:space="preserve">Este análisis supone tres radiobalizas activas transmitiendo simultáneamente en el mismo instante con tres frecuencias distintas en la banda </w:t>
      </w:r>
      <w:r w:rsidRPr="00297B30">
        <w:rPr>
          <w:rFonts w:ascii="TimesNewRoman" w:eastAsiaTheme="minorEastAsia" w:hAnsi="TimesNewRoman" w:cs="TimesNewRoman"/>
          <w:szCs w:val="24"/>
          <w:lang w:val="es-ES_tradnl"/>
        </w:rPr>
        <w:t>406-406,1 MHz. La radiobaliza deseada tiene un ángulo de elevación de 5° con respecto al vehículo espacial. Las otras dos radiobalizas se incluyen en el análisis porque comparten la potencia del repetidor del satélite disponible.</w:t>
      </w:r>
    </w:p>
    <w:p w:rsidR="00543337" w:rsidRPr="00297B30" w:rsidRDefault="00543337" w:rsidP="00543337">
      <w:pPr>
        <w:rPr>
          <w:rFonts w:ascii="TimesNewRoman" w:eastAsiaTheme="minorEastAsia" w:hAnsi="TimesNewRoman" w:cs="TimesNewRoman"/>
          <w:szCs w:val="24"/>
          <w:lang w:val="es-ES_tradnl"/>
        </w:rPr>
      </w:pPr>
      <w:r w:rsidRPr="00297B30">
        <w:rPr>
          <w:rFonts w:ascii="TimesNewRoman" w:eastAsiaTheme="minorEastAsia" w:hAnsi="TimesNewRoman" w:cs="TimesNewRoman"/>
          <w:szCs w:val="24"/>
          <w:lang w:val="es-ES_tradnl"/>
        </w:rPr>
        <w:t xml:space="preserve">Cuando no hay ninguna fuente de interferencia externa, el valor global de </w:t>
      </w:r>
      <w:r w:rsidRPr="00297B30">
        <w:rPr>
          <w:rFonts w:ascii="TimesNewRoman" w:eastAsiaTheme="minorEastAsia" w:hAnsi="TimesNewRoman" w:cs="TimesNewRoman"/>
          <w:i/>
          <w:iCs/>
          <w:szCs w:val="24"/>
          <w:lang w:val="es-ES_tradnl"/>
        </w:rPr>
        <w:t>C</w:t>
      </w:r>
      <w:r w:rsidRPr="00297B30">
        <w:rPr>
          <w:rFonts w:ascii="TimesNewRoman" w:eastAsiaTheme="minorEastAsia" w:hAnsi="TimesNewRoman" w:cs="TimesNewRoman"/>
          <w:szCs w:val="24"/>
          <w:lang w:val="es-ES_tradnl"/>
        </w:rPr>
        <w:t>/</w:t>
      </w:r>
      <w:r w:rsidRPr="00297B30">
        <w:rPr>
          <w:rFonts w:ascii="TimesNewRoman" w:eastAsiaTheme="minorEastAsia" w:hAnsi="TimesNewRoman" w:cs="TimesNewRoman"/>
          <w:i/>
          <w:iCs/>
          <w:szCs w:val="24"/>
          <w:lang w:val="es-ES_tradnl"/>
        </w:rPr>
        <w:t>N</w:t>
      </w:r>
      <w:r w:rsidRPr="00297B30">
        <w:rPr>
          <w:rFonts w:eastAsiaTheme="minorEastAsia"/>
          <w:szCs w:val="24"/>
          <w:vertAlign w:val="subscript"/>
          <w:lang w:val="es-ES_tradnl"/>
        </w:rPr>
        <w:t>0</w:t>
      </w:r>
      <w:r w:rsidRPr="00297B30">
        <w:rPr>
          <w:rFonts w:ascii="TimesNewRoman" w:eastAsiaTheme="minorEastAsia" w:hAnsi="TimesNewRoman" w:cs="TimesNewRoman"/>
          <w:szCs w:val="24"/>
          <w:lang w:val="es-ES_tradnl"/>
        </w:rPr>
        <w:t xml:space="preserve"> es de 38,8 dB(Hz), que equivale a un valor de </w:t>
      </w:r>
      <w:r w:rsidRPr="00297B30">
        <w:rPr>
          <w:rFonts w:ascii="TimesNewRoman" w:eastAsiaTheme="minorEastAsia" w:hAnsi="TimesNewRoman" w:cs="TimesNewRoman"/>
          <w:i/>
          <w:iCs/>
          <w:szCs w:val="24"/>
          <w:lang w:val="es-ES_tradnl"/>
        </w:rPr>
        <w:t>E</w:t>
      </w:r>
      <w:r w:rsidRPr="00297B30">
        <w:rPr>
          <w:rFonts w:ascii="TimesNewRoman" w:eastAsiaTheme="minorEastAsia" w:hAnsi="TimesNewRoman" w:cs="TimesNewRoman"/>
          <w:i/>
          <w:iCs/>
          <w:szCs w:val="24"/>
          <w:vertAlign w:val="subscript"/>
          <w:lang w:val="es-ES_tradnl"/>
        </w:rPr>
        <w:t>b</w:t>
      </w:r>
      <w:r w:rsidRPr="00297B30">
        <w:rPr>
          <w:rFonts w:ascii="TimesNewRoman" w:eastAsiaTheme="minorEastAsia" w:hAnsi="TimesNewRoman" w:cs="TimesNewRoman"/>
          <w:szCs w:val="24"/>
          <w:lang w:val="es-ES_tradnl"/>
        </w:rPr>
        <w:t>/</w:t>
      </w:r>
      <w:r w:rsidRPr="00297B30">
        <w:rPr>
          <w:rFonts w:ascii="TimesNewRoman" w:eastAsiaTheme="minorEastAsia" w:hAnsi="TimesNewRoman" w:cs="TimesNewRoman"/>
          <w:i/>
          <w:iCs/>
          <w:szCs w:val="24"/>
          <w:lang w:val="es-ES_tradnl"/>
        </w:rPr>
        <w:t>N</w:t>
      </w:r>
      <w:r w:rsidRPr="00297B30">
        <w:rPr>
          <w:rFonts w:ascii="TimesNewRoman" w:eastAsiaTheme="minorEastAsia" w:hAnsi="TimesNewRoman" w:cs="TimesNewRoman"/>
          <w:szCs w:val="24"/>
          <w:vertAlign w:val="subscript"/>
          <w:lang w:val="es-ES_tradnl"/>
        </w:rPr>
        <w:t>0</w:t>
      </w:r>
      <w:r w:rsidRPr="00297B30">
        <w:rPr>
          <w:rFonts w:ascii="TimesNewRoman" w:eastAsiaTheme="minorEastAsia" w:hAnsi="TimesNewRoman" w:cs="TimesNewRoman"/>
          <w:szCs w:val="24"/>
          <w:lang w:val="es-ES_tradnl"/>
        </w:rPr>
        <w:t xml:space="preserve"> de 12,8 dB. Teniendo en cuenta las pérdidas de realización y de demodulación de datos de la radiobaliza, la relación efectiva </w:t>
      </w:r>
      <w:r w:rsidRPr="00297B30">
        <w:rPr>
          <w:rFonts w:ascii="TimesNewRoman" w:eastAsiaTheme="minorEastAsia" w:hAnsi="TimesNewRoman" w:cs="TimesNewRoman"/>
          <w:i/>
          <w:iCs/>
          <w:szCs w:val="24"/>
          <w:lang w:val="es-ES_tradnl"/>
        </w:rPr>
        <w:t>E</w:t>
      </w:r>
      <w:r w:rsidRPr="00297B30">
        <w:rPr>
          <w:rFonts w:ascii="TimesNewRoman" w:eastAsiaTheme="minorEastAsia" w:hAnsi="TimesNewRoman" w:cs="TimesNewRoman"/>
          <w:i/>
          <w:iCs/>
          <w:szCs w:val="24"/>
          <w:vertAlign w:val="subscript"/>
          <w:lang w:val="es-ES_tradnl"/>
        </w:rPr>
        <w:t>b</w:t>
      </w:r>
      <w:r w:rsidRPr="00297B30">
        <w:rPr>
          <w:rFonts w:ascii="TimesNewRoman" w:eastAsiaTheme="minorEastAsia" w:hAnsi="TimesNewRoman" w:cs="TimesNewRoman"/>
          <w:szCs w:val="24"/>
          <w:lang w:val="es-ES_tradnl"/>
        </w:rPr>
        <w:t>/</w:t>
      </w:r>
      <w:r w:rsidRPr="00297B30">
        <w:rPr>
          <w:rFonts w:ascii="TimesNewRoman" w:eastAsiaTheme="minorEastAsia" w:hAnsi="TimesNewRoman" w:cs="TimesNewRoman"/>
          <w:i/>
          <w:iCs/>
          <w:szCs w:val="24"/>
          <w:lang w:val="es-ES_tradnl"/>
        </w:rPr>
        <w:t>N</w:t>
      </w:r>
      <w:r w:rsidRPr="00297B30">
        <w:rPr>
          <w:rFonts w:ascii="TimesNewRoman" w:eastAsiaTheme="minorEastAsia" w:hAnsi="TimesNewRoman" w:cs="TimesNewRoman"/>
          <w:szCs w:val="24"/>
          <w:vertAlign w:val="subscript"/>
          <w:lang w:val="es-ES_tradnl"/>
        </w:rPr>
        <w:t>0</w:t>
      </w:r>
      <w:r w:rsidRPr="00297B30">
        <w:rPr>
          <w:rFonts w:ascii="TimesNewRoman" w:eastAsiaTheme="minorEastAsia" w:hAnsi="TimesNewRoman" w:cs="TimesNewRoman"/>
          <w:szCs w:val="24"/>
          <w:lang w:val="es-ES_tradnl"/>
        </w:rPr>
        <w:t xml:space="preserve"> toma un valor de 10,8 dB. Como el canal exige un valor global de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ascii="TimesNewRoman" w:eastAsiaTheme="minorEastAsia" w:hAnsi="TimesNewRoman" w:cs="TimesNewRoman"/>
          <w:szCs w:val="24"/>
          <w:lang w:val="es-ES_tradnl"/>
        </w:rPr>
        <w:t xml:space="preserve"> de al menos 8,8 dB para satisfacer con fiabilidad los requisitos de calidad, no puede admitirse una acumulación de la interferencia de banda ancha en el enlace ascendente que reduzca la relación global portadora/densidad de ruido más interferencia más de 2 dB.</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Dado que el valor global de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en ausencia de interferencia es de 38,8 dB(Hz), la interferencia similar al ruido de banda ancha en el enlace ascendente que degrada el enlace global 2 dB da lugar a una relación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vertAlign w:val="subscript"/>
          <w:lang w:val="es-ES_tradnl"/>
        </w:rPr>
        <w:t>global</w:t>
      </w:r>
      <w:r w:rsidRPr="00297B30">
        <w:rPr>
          <w:rFonts w:eastAsiaTheme="minorEastAsia"/>
          <w:szCs w:val="24"/>
          <w:lang w:val="es-ES_tradnl"/>
        </w:rPr>
        <w:t xml:space="preserve"> de:</w:t>
      </w:r>
    </w:p>
    <w:p w:rsidR="00543337" w:rsidRPr="00297B30" w:rsidRDefault="00543337" w:rsidP="00543337">
      <w:pPr>
        <w:pStyle w:val="Equation"/>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9E6912">
        <w:rPr>
          <w:rFonts w:eastAsiaTheme="minorEastAsia"/>
          <w:position w:val="-14"/>
          <w:lang w:val="es-ES_tradnl"/>
        </w:rPr>
        <w:object w:dxaOrig="5319" w:dyaOrig="380">
          <v:shape id="_x0000_i1037" type="#_x0000_t75" style="width:264.9pt;height:19.7pt" o:ole="">
            <v:imagedata r:id="rId37" o:title=""/>
          </v:shape>
          <o:OLEObject Type="Embed" ProgID="Equation.3" ShapeID="_x0000_i1037" DrawAspect="Content" ObjectID="_1501062608" r:id="rId38"/>
        </w:object>
      </w:r>
    </w:p>
    <w:p w:rsidR="00543337" w:rsidRPr="00297B30" w:rsidRDefault="00543337" w:rsidP="00543337">
      <w:pPr>
        <w:pStyle w:val="Equation"/>
        <w:spacing w:before="100"/>
        <w:rPr>
          <w:rFonts w:eastAsiaTheme="minorEastAsia"/>
          <w:lang w:val="es-ES_tradnl"/>
        </w:rPr>
      </w:pPr>
      <w:r w:rsidRPr="00297B30">
        <w:rPr>
          <w:rFonts w:eastAsiaTheme="minorEastAsia"/>
          <w:lang w:val="es-ES_tradnl"/>
        </w:rPr>
        <w:tab/>
      </w:r>
      <w:r w:rsidRPr="00297B30">
        <w:rPr>
          <w:rFonts w:eastAsiaTheme="minorEastAsia"/>
          <w:lang w:val="es-ES_tradnl"/>
        </w:rPr>
        <w:tab/>
      </w:r>
      <w:r w:rsidRPr="009E6912">
        <w:rPr>
          <w:rFonts w:eastAsiaTheme="minorEastAsia"/>
          <w:position w:val="-12"/>
          <w:lang w:val="es-ES_tradnl"/>
        </w:rPr>
        <w:object w:dxaOrig="2940" w:dyaOrig="360">
          <v:shape id="_x0000_i1038" type="#_x0000_t75" style="width:146.7pt;height:18.35pt" o:ole="">
            <v:imagedata r:id="rId39" o:title=""/>
          </v:shape>
          <o:OLEObject Type="Embed" ProgID="Equation.3" ShapeID="_x0000_i1038" DrawAspect="Content" ObjectID="_1501062609" r:id="rId40"/>
        </w:object>
      </w:r>
      <w:r w:rsidRPr="00297B30">
        <w:rPr>
          <w:rFonts w:eastAsiaTheme="minorEastAsia"/>
          <w:lang w:val="es-ES_tradnl"/>
        </w:rPr>
        <w:tab/>
        <w:t>(1)</w:t>
      </w:r>
    </w:p>
    <w:p w:rsidR="00543337" w:rsidRPr="00297B30" w:rsidRDefault="00543337" w:rsidP="00543337">
      <w:pPr>
        <w:pStyle w:val="Equation"/>
        <w:spacing w:before="100"/>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2"/>
          <w:lang w:val="es-ES_tradnl"/>
        </w:rPr>
        <w:object w:dxaOrig="2299" w:dyaOrig="360">
          <v:shape id="_x0000_i1039" type="#_x0000_t75" style="width:114.1pt;height:18.35pt" o:ole="">
            <v:imagedata r:id="rId41" o:title=""/>
          </v:shape>
          <o:OLEObject Type="Embed" ProgID="Equation.3" ShapeID="_x0000_i1039" DrawAspect="Content" ObjectID="_1501062610" r:id="rId42"/>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El valor de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vertAlign w:val="subscript"/>
          <w:lang w:val="es-ES_tradnl"/>
        </w:rPr>
        <w:t>OI</w:t>
      </w:r>
      <w:r w:rsidRPr="00297B30">
        <w:rPr>
          <w:rFonts w:eastAsiaTheme="minorEastAsia"/>
          <w:szCs w:val="24"/>
          <w:lang w:val="es-ES_tradnl"/>
        </w:rPr>
        <w:t xml:space="preserve"> puede calcularse a partir de las relaciones entre la portadora y la densidad de ruido más interferencia del enlace ascendente y el enlace descendente, como se indica a continuación:</w:t>
      </w:r>
    </w:p>
    <w:p w:rsidR="00543337" w:rsidRPr="00297B30" w:rsidRDefault="00543337" w:rsidP="00543337">
      <w:pPr>
        <w:pStyle w:val="Equation"/>
        <w:rPr>
          <w:rFonts w:eastAsiaTheme="minorEastAsia"/>
          <w:lang w:val="es-ES_tradnl"/>
        </w:rPr>
      </w:pPr>
      <w:r w:rsidRPr="00297B30">
        <w:rPr>
          <w:rFonts w:eastAsiaTheme="minorEastAsia"/>
          <w:lang w:val="es-ES_tradnl"/>
        </w:rPr>
        <w:tab/>
      </w:r>
      <w:r w:rsidR="00D67803" w:rsidRPr="00297B30">
        <w:rPr>
          <w:rFonts w:eastAsiaTheme="minorEastAsia"/>
          <w:position w:val="-14"/>
          <w:lang w:val="es-ES_tradnl"/>
        </w:rPr>
        <w:object w:dxaOrig="7200" w:dyaOrig="440">
          <v:shape id="_x0000_i1162" type="#_x0000_t75" style="width:360.7pt;height:22.4pt" o:ole="">
            <v:imagedata r:id="rId43" o:title=""/>
          </v:shape>
          <o:OLEObject Type="Embed" ProgID="Equation.3" ShapeID="_x0000_i1162" DrawAspect="Content" ObjectID="_1501062611" r:id="rId44"/>
        </w:object>
      </w:r>
      <w:r w:rsidR="00D67803">
        <w:rPr>
          <w:rFonts w:eastAsiaTheme="minorEastAsia"/>
          <w:lang w:val="es-ES_tradnl"/>
        </w:rPr>
        <w:t>(numérico)</w:t>
      </w:r>
      <w:r w:rsidRPr="00297B30">
        <w:rPr>
          <w:rFonts w:eastAsiaTheme="minorEastAsia"/>
          <w:lang w:val="es-ES_tradnl"/>
        </w:rPr>
        <w:tab/>
        <w:t>(2)</w:t>
      </w:r>
    </w:p>
    <w:p w:rsidR="00543337" w:rsidRPr="00297B30" w:rsidRDefault="00543337" w:rsidP="00543337">
      <w:pPr>
        <w:rPr>
          <w:rFonts w:eastAsiaTheme="minorEastAsia"/>
          <w:szCs w:val="24"/>
          <w:lang w:val="es-ES_tradnl"/>
        </w:rPr>
      </w:pPr>
      <w:r w:rsidRPr="00297B30">
        <w:rPr>
          <w:rFonts w:eastAsiaTheme="minorEastAsia"/>
          <w:szCs w:val="24"/>
          <w:lang w:val="es-ES_tradnl"/>
        </w:rPr>
        <w:t>Como este análisis se refiere a la interferencia en el enlace ascendente,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vertAlign w:val="subscript"/>
          <w:lang w:val="es-ES_tradnl"/>
        </w:rPr>
        <w:t>ascendente con interferencia</w:t>
      </w:r>
      <w:r w:rsidRPr="00297B30">
        <w:rPr>
          <w:rFonts w:eastAsiaTheme="minorEastAsia"/>
          <w:szCs w:val="24"/>
          <w:lang w:val="es-ES_tradnl"/>
        </w:rPr>
        <w:t xml:space="preserve"> en la ecuación (2) pasa a ser:</w:t>
      </w:r>
    </w:p>
    <w:p w:rsidR="00543337" w:rsidRPr="00297B30" w:rsidRDefault="00543337" w:rsidP="00543337">
      <w:pPr>
        <w:pStyle w:val="Equation"/>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6"/>
          <w:lang w:val="es-ES_tradnl"/>
        </w:rPr>
        <w:object w:dxaOrig="5960" w:dyaOrig="420">
          <v:shape id="_x0000_i1041" type="#_x0000_t75" style="width:297.5pt;height:21.05pt" o:ole="">
            <v:imagedata r:id="rId45" o:title=""/>
          </v:shape>
          <o:OLEObject Type="Embed" ProgID="Equation.3" ShapeID="_x0000_i1041" DrawAspect="Content" ObjectID="_1501062612" r:id="rId46"/>
        </w:object>
      </w:r>
      <w:r w:rsidRPr="00297B30">
        <w:rPr>
          <w:rFonts w:eastAsiaTheme="minorEastAsia"/>
          <w:lang w:val="es-ES_tradnl"/>
        </w:rPr>
        <w:tab/>
        <w:t>(3)</w:t>
      </w:r>
    </w:p>
    <w:p w:rsidR="00543337" w:rsidRPr="00297B30" w:rsidRDefault="00543337" w:rsidP="00543337">
      <w:pPr>
        <w:rPr>
          <w:rFonts w:eastAsiaTheme="minorEastAsia"/>
          <w:szCs w:val="24"/>
          <w:lang w:val="es-ES_tradnl"/>
        </w:rPr>
      </w:pPr>
      <w:r w:rsidRPr="00297B30">
        <w:rPr>
          <w:rFonts w:eastAsiaTheme="minorEastAsia"/>
          <w:szCs w:val="24"/>
          <w:lang w:val="es-ES_tradnl"/>
        </w:rPr>
        <w:t>La fuente de interferencia también afecta la relación portadora/densidad de ruido en el enlace descendente,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vertAlign w:val="subscript"/>
          <w:lang w:val="es-ES_tradnl"/>
        </w:rPr>
        <w:sym w:font="Symbol" w:char="F0AF"/>
      </w:r>
      <w:r w:rsidRPr="00297B30">
        <w:rPr>
          <w:rFonts w:eastAsiaTheme="minorEastAsia"/>
          <w:szCs w:val="24"/>
          <w:lang w:val="es-ES_tradnl"/>
        </w:rPr>
        <w:t>, aumentando la potencia total compartida en la anchura de banda SAR. Este aumento de la potencia total reduce las pérdidas de compartición de potencia y afecta a la relación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vertAlign w:val="subscript"/>
          <w:lang w:val="es-ES_tradnl"/>
        </w:rPr>
        <w:sym w:font="Symbol" w:char="F0AF"/>
      </w:r>
      <w:r w:rsidRPr="00297B30">
        <w:rPr>
          <w:rFonts w:eastAsiaTheme="minorEastAsia"/>
          <w:szCs w:val="24"/>
          <w:lang w:val="es-ES_tradnl"/>
        </w:rPr>
        <w:t xml:space="preserve"> de la forma siguiente:</w:t>
      </w:r>
    </w:p>
    <w:p w:rsidR="00543337" w:rsidRPr="00297B30" w:rsidRDefault="00543337" w:rsidP="00543337">
      <w:pPr>
        <w:pStyle w:val="Equation"/>
        <w:rPr>
          <w:rFonts w:eastAsiaTheme="minorEastAsia"/>
          <w:lang w:val="es-ES_tradnl"/>
        </w:rPr>
      </w:pPr>
      <w:r w:rsidRPr="00297B30">
        <w:rPr>
          <w:rFonts w:eastAsiaTheme="minorEastAsia"/>
          <w:lang w:val="es-ES_tradnl"/>
        </w:rPr>
        <w:tab/>
      </w:r>
      <w:r w:rsidRPr="00297B30">
        <w:rPr>
          <w:rFonts w:eastAsiaTheme="minorEastAsia"/>
          <w:lang w:val="es-ES_tradnl"/>
        </w:rPr>
        <w:tab/>
      </w:r>
      <w:r w:rsidR="00D67803" w:rsidRPr="00297B30">
        <w:rPr>
          <w:rFonts w:eastAsiaTheme="minorEastAsia"/>
          <w:position w:val="-16"/>
          <w:lang w:val="es-ES_tradnl"/>
        </w:rPr>
        <w:object w:dxaOrig="5400" w:dyaOrig="400">
          <v:shape id="_x0000_i1164" type="#_x0000_t75" style="width:270.35pt;height:21.05pt" o:ole="">
            <v:imagedata r:id="rId47" o:title=""/>
          </v:shape>
          <o:OLEObject Type="Embed" ProgID="Equation.3" ShapeID="_x0000_i1164" DrawAspect="Content" ObjectID="_1501062613" r:id="rId48"/>
        </w:object>
      </w:r>
      <w:r w:rsidR="00D67803">
        <w:rPr>
          <w:rFonts w:eastAsiaTheme="minorEastAsia"/>
          <w:lang w:val="es-ES_tradnl"/>
        </w:rPr>
        <w:t>(numérico)</w:t>
      </w:r>
      <w:r w:rsidRPr="00297B30">
        <w:rPr>
          <w:rFonts w:eastAsiaTheme="minorEastAsia"/>
          <w:lang w:val="es-ES_tradnl"/>
        </w:rPr>
        <w:tab/>
        <w:t>(4)</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siendo </w:t>
      </w:r>
      <w:proofErr w:type="spellStart"/>
      <w:r w:rsidRPr="00297B30">
        <w:rPr>
          <w:rFonts w:eastAsiaTheme="minorEastAsia"/>
          <w:i/>
          <w:iCs/>
          <w:szCs w:val="24"/>
          <w:lang w:val="es-ES_tradnl"/>
        </w:rPr>
        <w:t>Lps</w:t>
      </w:r>
      <w:proofErr w:type="spellEnd"/>
      <w:r w:rsidRPr="00297B30">
        <w:rPr>
          <w:rFonts w:eastAsiaTheme="minorEastAsia"/>
          <w:szCs w:val="24"/>
          <w:lang w:val="es-ES_tradnl"/>
        </w:rPr>
        <w:t xml:space="preserve"> las pérdidas de compartición de potencia sin interferencia y </w:t>
      </w:r>
      <w:proofErr w:type="spellStart"/>
      <w:r w:rsidRPr="00297B30">
        <w:rPr>
          <w:rFonts w:eastAsiaTheme="minorEastAsia"/>
          <w:i/>
          <w:iCs/>
          <w:szCs w:val="24"/>
          <w:lang w:val="es-ES_tradnl"/>
        </w:rPr>
        <w:t>Lpsi</w:t>
      </w:r>
      <w:proofErr w:type="spellEnd"/>
      <w:r w:rsidRPr="00297B30">
        <w:rPr>
          <w:rFonts w:eastAsiaTheme="minorEastAsia"/>
          <w:szCs w:val="24"/>
          <w:lang w:val="es-ES_tradnl"/>
        </w:rPr>
        <w:t xml:space="preserve"> las pérdidas de compartición de potencia con interferencia. </w:t>
      </w:r>
      <w:proofErr w:type="spellStart"/>
      <w:r w:rsidRPr="00297B30">
        <w:rPr>
          <w:rFonts w:eastAsiaTheme="minorEastAsia"/>
          <w:i/>
          <w:iCs/>
          <w:szCs w:val="24"/>
          <w:lang w:val="es-ES_tradnl"/>
        </w:rPr>
        <w:t>Lpsi</w:t>
      </w:r>
      <w:proofErr w:type="spellEnd"/>
      <w:r w:rsidRPr="00297B30">
        <w:rPr>
          <w:rFonts w:eastAsiaTheme="minorEastAsia"/>
          <w:szCs w:val="24"/>
          <w:lang w:val="es-ES_tradnl"/>
        </w:rPr>
        <w:t xml:space="preserve"> se calcula como sigue:</w:t>
      </w:r>
    </w:p>
    <w:p w:rsidR="00543337" w:rsidRPr="009E6912" w:rsidRDefault="00543337" w:rsidP="00D67803">
      <w:pPr>
        <w:pStyle w:val="Equation"/>
        <w:tabs>
          <w:tab w:val="left" w:pos="7088"/>
        </w:tabs>
        <w:rPr>
          <w:rFonts w:eastAsiaTheme="minorEastAsia"/>
          <w:lang w:val="es-ES_tradnl"/>
        </w:rPr>
      </w:pPr>
      <w:r w:rsidRPr="00297B30">
        <w:rPr>
          <w:rFonts w:eastAsiaTheme="minorEastAsia"/>
          <w:lang w:val="es-ES_tradnl"/>
        </w:rPr>
        <w:tab/>
      </w:r>
      <w:r w:rsidRPr="00297B30">
        <w:rPr>
          <w:rFonts w:eastAsiaTheme="minorEastAsia"/>
          <w:lang w:val="es-ES_tradnl"/>
        </w:rPr>
        <w:tab/>
      </w:r>
      <w:proofErr w:type="spellStart"/>
      <w:r w:rsidRPr="009E6912">
        <w:rPr>
          <w:i/>
          <w:lang w:val="es-ES_tradnl" w:eastAsia="ru-RU"/>
        </w:rPr>
        <w:t>Lpsi</w:t>
      </w:r>
      <w:proofErr w:type="spellEnd"/>
      <w:r w:rsidRPr="009E6912">
        <w:rPr>
          <w:i/>
          <w:lang w:val="es-ES_tradnl" w:eastAsia="ru-RU"/>
        </w:rPr>
        <w:t xml:space="preserve"> = C</w:t>
      </w:r>
      <w:r w:rsidRPr="007779AF">
        <w:rPr>
          <w:iCs/>
          <w:szCs w:val="24"/>
          <w:vertAlign w:val="subscript"/>
        </w:rPr>
        <w:sym w:font="Symbol" w:char="F0AD"/>
      </w:r>
      <w:r w:rsidRPr="009E6912">
        <w:rPr>
          <w:i/>
          <w:lang w:val="es-ES_tradnl" w:eastAsia="ru-RU"/>
        </w:rPr>
        <w:t xml:space="preserve"> </w:t>
      </w:r>
      <w:r w:rsidRPr="009E6912">
        <w:rPr>
          <w:iCs/>
          <w:lang w:val="es-ES_tradnl" w:eastAsia="ru-RU"/>
        </w:rPr>
        <w:t>/(</w:t>
      </w:r>
      <w:r w:rsidRPr="009E6912">
        <w:rPr>
          <w:i/>
          <w:lang w:val="es-ES_tradnl" w:eastAsia="ru-RU"/>
        </w:rPr>
        <w:t>C</w:t>
      </w:r>
      <w:r w:rsidRPr="007779AF">
        <w:rPr>
          <w:iCs/>
          <w:szCs w:val="24"/>
          <w:vertAlign w:val="subscript"/>
        </w:rPr>
        <w:sym w:font="Symbol" w:char="F0AD"/>
      </w:r>
      <w:r w:rsidRPr="009E6912">
        <w:rPr>
          <w:i/>
          <w:lang w:val="es-ES_tradnl" w:eastAsia="ru-RU"/>
        </w:rPr>
        <w:t xml:space="preserve"> +</w:t>
      </w:r>
      <w:r w:rsidRPr="009E6912">
        <w:rPr>
          <w:iCs/>
          <w:lang w:val="es-ES_tradnl" w:eastAsia="ru-RU"/>
        </w:rPr>
        <w:t xml:space="preserve"> 2</w:t>
      </w:r>
      <w:r w:rsidRPr="009E6912">
        <w:rPr>
          <w:i/>
          <w:lang w:val="es-ES_tradnl" w:eastAsia="ru-RU"/>
        </w:rPr>
        <w:t xml:space="preserve"> × C</w:t>
      </w:r>
      <w:r w:rsidRPr="009E6912">
        <w:rPr>
          <w:iCs/>
          <w:vertAlign w:val="subscript"/>
          <w:lang w:val="es-ES_tradnl" w:eastAsia="ru-RU"/>
        </w:rPr>
        <w:t>2</w:t>
      </w:r>
      <w:r w:rsidRPr="009E6912">
        <w:rPr>
          <w:i/>
          <w:lang w:val="es-ES_tradnl" w:eastAsia="ru-RU"/>
        </w:rPr>
        <w:t xml:space="preserve"> + N</w:t>
      </w:r>
      <w:r w:rsidRPr="007779AF">
        <w:rPr>
          <w:iCs/>
          <w:szCs w:val="24"/>
          <w:vertAlign w:val="subscript"/>
        </w:rPr>
        <w:sym w:font="Symbol" w:char="F0AD"/>
      </w:r>
      <w:r w:rsidRPr="009E6912">
        <w:rPr>
          <w:i/>
          <w:lang w:val="es-ES_tradnl" w:eastAsia="ru-RU"/>
        </w:rPr>
        <w:t xml:space="preserve"> + I</w:t>
      </w:r>
      <w:r w:rsidRPr="009E6912">
        <w:rPr>
          <w:iCs/>
          <w:vertAlign w:val="subscript"/>
          <w:lang w:val="es-ES_tradnl" w:eastAsia="ru-RU"/>
        </w:rPr>
        <w:t>0</w:t>
      </w:r>
      <w:r w:rsidRPr="009E6912">
        <w:rPr>
          <w:i/>
          <w:lang w:val="es-ES_tradnl" w:eastAsia="ru-RU"/>
        </w:rPr>
        <w:t>B</w:t>
      </w:r>
      <w:r w:rsidRPr="009E6912">
        <w:rPr>
          <w:iCs/>
          <w:lang w:val="es-ES_tradnl" w:eastAsia="ru-RU"/>
        </w:rPr>
        <w:t>)</w:t>
      </w:r>
      <w:r w:rsidR="00D67803">
        <w:rPr>
          <w:i/>
          <w:lang w:val="es-ES_tradnl" w:eastAsia="ru-RU"/>
        </w:rPr>
        <w:tab/>
      </w:r>
      <w:r w:rsidRPr="009E6912">
        <w:rPr>
          <w:lang w:val="es-ES_tradnl" w:eastAsia="ru-RU"/>
        </w:rPr>
        <w:t>(numérico)</w:t>
      </w:r>
      <w:r w:rsidRPr="009E6912">
        <w:rPr>
          <w:rFonts w:eastAsiaTheme="minorEastAsia"/>
          <w:lang w:val="es-ES_tradnl"/>
        </w:rPr>
        <w:tab/>
        <w:t>(5)</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donde </w:t>
      </w:r>
      <w:r w:rsidRPr="00297B30">
        <w:rPr>
          <w:rFonts w:eastAsiaTheme="minorEastAsia"/>
          <w:i/>
          <w:iCs/>
          <w:szCs w:val="24"/>
          <w:lang w:val="es-ES_tradnl"/>
        </w:rPr>
        <w:t>C</w:t>
      </w:r>
      <w:r w:rsidRPr="009E6912">
        <w:rPr>
          <w:rFonts w:eastAsiaTheme="minorEastAsia"/>
          <w:szCs w:val="24"/>
          <w:vertAlign w:val="subscript"/>
          <w:lang w:val="es-ES_tradnl"/>
        </w:rPr>
        <w:t>2</w:t>
      </w:r>
      <w:r w:rsidRPr="00297B30">
        <w:rPr>
          <w:rFonts w:eastAsiaTheme="minorEastAsia"/>
          <w:szCs w:val="24"/>
          <w:lang w:val="es-ES_tradnl"/>
        </w:rPr>
        <w:t xml:space="preserve"> es el nivel de la potencia procedente de una de las otras dos radiobalizas recibidas simultáneamente por el repetidor LEOSAR.</w:t>
      </w:r>
    </w:p>
    <w:p w:rsidR="00543337" w:rsidRPr="00297B30" w:rsidRDefault="00543337" w:rsidP="00543337">
      <w:pPr>
        <w:keepNext/>
        <w:keepLines/>
        <w:rPr>
          <w:rFonts w:eastAsiaTheme="minorEastAsia"/>
          <w:szCs w:val="24"/>
          <w:lang w:val="es-ES_tradnl"/>
        </w:rPr>
      </w:pPr>
      <w:r w:rsidRPr="00297B30">
        <w:rPr>
          <w:rFonts w:eastAsiaTheme="minorEastAsia"/>
          <w:szCs w:val="24"/>
          <w:lang w:val="es-ES_tradnl"/>
        </w:rPr>
        <w:lastRenderedPageBreak/>
        <w:t xml:space="preserve">Sustituyendo la ecuación (5) en la ecuación (4), sustituyendo a continuación las ecuaciones (3) y (4) en la ecuación (2) y resolviendo para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xml:space="preserve"> se obtiene la siguiente ecuación:</w:t>
      </w:r>
    </w:p>
    <w:p w:rsidR="00543337" w:rsidRPr="00297B30" w:rsidRDefault="00543337" w:rsidP="00543337">
      <w:pPr>
        <w:pStyle w:val="Equation"/>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2"/>
          <w:lang w:val="es-ES_tradnl"/>
        </w:rPr>
        <w:object w:dxaOrig="7400" w:dyaOrig="420">
          <v:shape id="_x0000_i1043" type="#_x0000_t75" style="width:369.5pt;height:21.05pt" o:ole="">
            <v:imagedata r:id="rId49" o:title=""/>
          </v:shape>
          <o:OLEObject Type="Embed" ProgID="Equation.3" ShapeID="_x0000_i1043" DrawAspect="Content" ObjectID="_1501062614" r:id="rId50"/>
        </w:object>
      </w:r>
      <w:r w:rsidRPr="00297B30">
        <w:rPr>
          <w:rFonts w:eastAsiaTheme="minorEastAsia"/>
          <w:lang w:val="es-ES_tradnl"/>
        </w:rPr>
        <w:tab/>
        <w:t>(6)</w:t>
      </w:r>
    </w:p>
    <w:p w:rsidR="00543337" w:rsidRPr="00297B30" w:rsidRDefault="00543337" w:rsidP="00543337">
      <w:pPr>
        <w:rPr>
          <w:rFonts w:eastAsiaTheme="minorEastAsia"/>
          <w:szCs w:val="24"/>
          <w:lang w:val="es-ES_tradnl"/>
        </w:rPr>
      </w:pPr>
      <w:r w:rsidRPr="00297B30">
        <w:rPr>
          <w:rFonts w:eastAsiaTheme="minorEastAsia"/>
          <w:szCs w:val="24"/>
          <w:lang w:val="es-ES_tradnl"/>
        </w:rPr>
        <w:t>(</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vertAlign w:val="subscript"/>
          <w:lang w:val="es-ES_tradnl"/>
        </w:rPr>
        <w:t>OI</w:t>
      </w:r>
      <w:r w:rsidRPr="00297B30">
        <w:rPr>
          <w:rFonts w:eastAsiaTheme="minorEastAsia"/>
          <w:szCs w:val="24"/>
          <w:lang w:val="es-ES_tradnl"/>
        </w:rPr>
        <w:t xml:space="preserve"> es 36,8 dB(Hz) (véase la ecuación (1)), </w:t>
      </w:r>
      <w:r w:rsidRPr="00297B30">
        <w:rPr>
          <w:rFonts w:eastAsiaTheme="minorEastAsia"/>
          <w:i/>
          <w:iCs/>
          <w:szCs w:val="24"/>
          <w:lang w:val="es-ES_tradnl"/>
        </w:rPr>
        <w:t>C</w:t>
      </w:r>
      <w:r w:rsidRPr="00297B30">
        <w:rPr>
          <w:rFonts w:eastAsiaTheme="minorEastAsia"/>
          <w:vertAlign w:val="subscript"/>
          <w:lang w:val="es-ES_tradnl"/>
        </w:rPr>
        <w:sym w:font="Symbol" w:char="F0AD"/>
      </w:r>
      <w:r w:rsidRPr="00297B30">
        <w:rPr>
          <w:rFonts w:eastAsiaTheme="minorEastAsia"/>
          <w:szCs w:val="24"/>
          <w:lang w:val="es-ES_tradnl"/>
        </w:rPr>
        <w:t xml:space="preserve"> es –157,3 dB,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Pr>
          <w:rFonts w:eastAsiaTheme="minorEastAsia"/>
          <w:szCs w:val="24"/>
          <w:lang w:val="es-ES_tradnl"/>
        </w:rPr>
        <w:t xml:space="preserve"> </w:t>
      </w:r>
      <w:r w:rsidRPr="00297B30">
        <w:rPr>
          <w:rFonts w:eastAsiaTheme="minorEastAsia"/>
          <w:vertAlign w:val="subscript"/>
          <w:lang w:val="es-ES_tradnl"/>
        </w:rPr>
        <w:sym w:font="Symbol" w:char="F0AF"/>
      </w:r>
      <w:r w:rsidRPr="00297B30">
        <w:rPr>
          <w:rFonts w:eastAsiaTheme="minorEastAsia"/>
          <w:szCs w:val="24"/>
          <w:lang w:val="es-ES_tradnl"/>
        </w:rPr>
        <w:t xml:space="preserve"> es 42,5 dB(Hz),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vertAlign w:val="subscript"/>
          <w:lang w:val="es-ES_tradnl"/>
        </w:rPr>
        <w:sym w:font="Symbol" w:char="F0AD"/>
      </w:r>
      <w:r w:rsidRPr="00297B30">
        <w:rPr>
          <w:rFonts w:eastAsiaTheme="minorEastAsia"/>
          <w:sz w:val="20"/>
          <w:lang w:val="es-ES_tradnl"/>
        </w:rPr>
        <w:t xml:space="preserve"> </w:t>
      </w:r>
      <w:r w:rsidRPr="00297B30">
        <w:rPr>
          <w:rFonts w:eastAsiaTheme="minorEastAsia"/>
          <w:sz w:val="20"/>
          <w:lang w:val="es-ES_tradnl"/>
        </w:rPr>
        <w:fldChar w:fldCharType="begin"/>
      </w:r>
      <w:r w:rsidRPr="00297B30">
        <w:rPr>
          <w:rFonts w:eastAsiaTheme="minorEastAsia"/>
          <w:sz w:val="20"/>
          <w:lang w:val="es-ES_tradnl"/>
        </w:rPr>
        <w:instrText xml:space="preserve"> EQ  </w:instrText>
      </w:r>
      <w:r w:rsidRPr="00297B30">
        <w:rPr>
          <w:rFonts w:eastAsiaTheme="minorEastAsia"/>
          <w:szCs w:val="24"/>
          <w:lang w:val="es-ES_tradnl"/>
        </w:rPr>
        <w:instrText xml:space="preserve">es </w:instrText>
      </w:r>
      <w:r w:rsidRPr="00297B30">
        <w:rPr>
          <w:rFonts w:eastAsiaTheme="minorEastAsia"/>
          <w:lang w:val="es-ES_tradnl"/>
        </w:rPr>
        <w:instrText>–</w:instrText>
      </w:r>
      <w:r w:rsidRPr="00297B30">
        <w:rPr>
          <w:rFonts w:eastAsiaTheme="minorEastAsia"/>
          <w:szCs w:val="24"/>
          <w:lang w:val="es-ES_tradnl"/>
        </w:rPr>
        <w:instrText>198,6</w:instrText>
      </w:r>
      <w:r w:rsidRPr="00297B30">
        <w:rPr>
          <w:rFonts w:eastAsiaTheme="minorEastAsia"/>
          <w:sz w:val="20"/>
          <w:lang w:val="es-ES_tradnl"/>
        </w:rPr>
        <w:fldChar w:fldCharType="end"/>
      </w:r>
      <w:r w:rsidRPr="00297B30">
        <w:rPr>
          <w:rFonts w:eastAsiaTheme="minorEastAsia"/>
          <w:szCs w:val="24"/>
          <w:lang w:val="es-ES_tradnl"/>
        </w:rPr>
        <w:t xml:space="preserve">, </w:t>
      </w:r>
      <w:proofErr w:type="spellStart"/>
      <w:r w:rsidRPr="00297B30">
        <w:rPr>
          <w:rFonts w:eastAsiaTheme="minorEastAsia"/>
          <w:i/>
          <w:iCs/>
          <w:szCs w:val="24"/>
          <w:lang w:val="es-ES_tradnl"/>
        </w:rPr>
        <w:t>Lps</w:t>
      </w:r>
      <w:proofErr w:type="spellEnd"/>
      <w:r w:rsidRPr="00297B30">
        <w:rPr>
          <w:rFonts w:eastAsiaTheme="minorEastAsia"/>
          <w:szCs w:val="24"/>
          <w:lang w:val="es-ES_tradnl"/>
        </w:rPr>
        <w:t xml:space="preserve"> es –15,3 y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lang w:val="es-ES_tradnl"/>
        </w:rPr>
        <w:t>)</w:t>
      </w:r>
      <w:r w:rsidRPr="00297B30">
        <w:rPr>
          <w:rFonts w:eastAsiaTheme="minorEastAsia"/>
          <w:vertAlign w:val="subscript"/>
          <w:lang w:val="es-ES_tradnl"/>
        </w:rPr>
        <w:sym w:font="Symbol" w:char="F0AF"/>
      </w:r>
      <w:r w:rsidRPr="00297B30">
        <w:rPr>
          <w:rFonts w:eastAsiaTheme="minorEastAsia"/>
          <w:lang w:val="es-ES_tradnl"/>
        </w:rPr>
        <w:t xml:space="preserve"> </w:t>
      </w:r>
      <w:r w:rsidRPr="00297B30">
        <w:rPr>
          <w:rFonts w:eastAsiaTheme="minorEastAsia"/>
          <w:szCs w:val="24"/>
          <w:lang w:val="es-ES_tradnl"/>
        </w:rPr>
        <w:t xml:space="preserve">es 42,5 dB(Hz) menos 10 log(80 k) o </w:t>
      </w:r>
      <w:r w:rsidRPr="00297B30">
        <w:rPr>
          <w:rFonts w:eastAsiaTheme="minorEastAsia"/>
          <w:lang w:val="es-ES_tradnl"/>
        </w:rPr>
        <w:t>–</w:t>
      </w:r>
      <w:r w:rsidRPr="00297B30">
        <w:rPr>
          <w:rFonts w:eastAsiaTheme="minorEastAsia"/>
          <w:szCs w:val="24"/>
          <w:lang w:val="es-ES_tradnl"/>
        </w:rPr>
        <w:t>6,5 dB. Entrando con estos valores numéricos en la ecuación (6) se obtiene:</w:t>
      </w:r>
    </w:p>
    <w:p w:rsidR="00543337" w:rsidRPr="00297B30" w:rsidRDefault="00543337" w:rsidP="00543337">
      <w:pPr>
        <w:pStyle w:val="Equation"/>
        <w:jc w:val="left"/>
        <w:rPr>
          <w:rFonts w:eastAsiaTheme="minorEastAsia"/>
          <w:lang w:val="es-ES_tradnl"/>
        </w:rPr>
      </w:pPr>
      <w:r w:rsidRPr="00297B30">
        <w:rPr>
          <w:rFonts w:eastAsiaTheme="minorEastAsia"/>
          <w:position w:val="-12"/>
          <w:lang w:val="es-ES_tradnl"/>
        </w:rPr>
        <w:tab/>
      </w:r>
      <w:r w:rsidRPr="00297B30">
        <w:rPr>
          <w:rFonts w:eastAsiaTheme="minorEastAsia"/>
          <w:position w:val="-12"/>
          <w:lang w:val="es-ES_tradnl"/>
        </w:rPr>
        <w:tab/>
      </w:r>
      <w:r w:rsidRPr="00297B30">
        <w:rPr>
          <w:rFonts w:eastAsiaTheme="minorEastAsia"/>
          <w:position w:val="-12"/>
          <w:lang w:val="es-ES_tradnl"/>
        </w:rPr>
        <w:object w:dxaOrig="2280" w:dyaOrig="360">
          <v:shape id="_x0000_i1044" type="#_x0000_t75" style="width:114.1pt;height:18.35pt" o:ole="">
            <v:imagedata r:id="rId51" o:title=""/>
          </v:shape>
          <o:OLEObject Type="Embed" ProgID="Equation.3" ShapeID="_x0000_i1044" DrawAspect="Content" ObjectID="_1501062615" r:id="rId52"/>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Es conveniente caracterizar los criterios de protección en términos del umbral de interferencia de la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especificada en dB(W/(m</w:t>
      </w:r>
      <w:r w:rsidRPr="00297B30">
        <w:rPr>
          <w:rFonts w:eastAsiaTheme="minorEastAsia"/>
          <w:szCs w:val="24"/>
          <w:vertAlign w:val="superscript"/>
          <w:lang w:val="es-ES_tradnl"/>
        </w:rPr>
        <w:t>2 </w:t>
      </w:r>
      <w:r w:rsidRPr="00297B30">
        <w:rPr>
          <w:rFonts w:eastAsiaTheme="minorEastAsia"/>
          <w:szCs w:val="24"/>
          <w:lang w:val="es-ES_tradnl"/>
        </w:rPr>
        <w:t xml:space="preserve">∙ Hz)) a la entrada de la antena de recepción de 406 MHz del satélite. La apertura efectiva de una antena, </w:t>
      </w:r>
      <w:proofErr w:type="spellStart"/>
      <w:r w:rsidRPr="00297B30">
        <w:rPr>
          <w:rFonts w:eastAsiaTheme="minorEastAsia"/>
          <w:i/>
          <w:iCs/>
          <w:szCs w:val="24"/>
          <w:lang w:val="es-ES_tradnl"/>
        </w:rPr>
        <w:t>A</w:t>
      </w:r>
      <w:r w:rsidRPr="00297B30">
        <w:rPr>
          <w:rFonts w:eastAsiaTheme="minorEastAsia"/>
          <w:i/>
          <w:iCs/>
          <w:szCs w:val="24"/>
          <w:vertAlign w:val="subscript"/>
          <w:lang w:val="es-ES_tradnl"/>
        </w:rPr>
        <w:t>e</w:t>
      </w:r>
      <w:proofErr w:type="spellEnd"/>
      <w:r w:rsidRPr="00297B30">
        <w:rPr>
          <w:rFonts w:eastAsiaTheme="minorEastAsia"/>
          <w:szCs w:val="24"/>
          <w:lang w:val="es-ES_tradnl"/>
        </w:rPr>
        <w:t xml:space="preserve">, de ganancia </w:t>
      </w:r>
      <w:r w:rsidRPr="00297B30">
        <w:rPr>
          <w:rFonts w:eastAsiaTheme="minorEastAsia"/>
          <w:i/>
          <w:iCs/>
          <w:szCs w:val="24"/>
          <w:lang w:val="es-ES_tradnl"/>
        </w:rPr>
        <w:t>G</w:t>
      </w:r>
      <w:r w:rsidRPr="00297B30">
        <w:rPr>
          <w:rFonts w:eastAsiaTheme="minorEastAsia"/>
          <w:szCs w:val="24"/>
          <w:lang w:val="es-ES_tradnl"/>
        </w:rPr>
        <w:t xml:space="preserve"> es </w:t>
      </w:r>
      <w:proofErr w:type="spellStart"/>
      <w:r w:rsidRPr="00297B30">
        <w:rPr>
          <w:rFonts w:eastAsiaTheme="minorEastAsia"/>
          <w:i/>
          <w:iCs/>
          <w:szCs w:val="24"/>
          <w:lang w:val="es-ES_tradnl"/>
        </w:rPr>
        <w:t>A</w:t>
      </w:r>
      <w:r w:rsidRPr="00297B30">
        <w:rPr>
          <w:rFonts w:eastAsiaTheme="minorEastAsia"/>
          <w:i/>
          <w:iCs/>
          <w:szCs w:val="24"/>
          <w:vertAlign w:val="subscript"/>
          <w:lang w:val="es-ES_tradnl"/>
        </w:rPr>
        <w:t>e</w:t>
      </w:r>
      <w:proofErr w:type="spellEnd"/>
      <w:r w:rsidRPr="00297B30">
        <w:rPr>
          <w:rFonts w:eastAsiaTheme="minorEastAsia"/>
          <w:szCs w:val="24"/>
          <w:lang w:val="es-ES_tradnl"/>
        </w:rPr>
        <w:t> = </w:t>
      </w:r>
      <w:r w:rsidRPr="00297B30">
        <w:rPr>
          <w:rFonts w:eastAsiaTheme="minorEastAsia"/>
          <w:i/>
          <w:iCs/>
          <w:szCs w:val="24"/>
          <w:lang w:val="es-ES_tradnl"/>
        </w:rPr>
        <w:t>G</w:t>
      </w:r>
      <w:r w:rsidRPr="00297B30">
        <w:rPr>
          <w:rFonts w:eastAsiaTheme="minorEastAsia"/>
          <w:szCs w:val="24"/>
          <w:lang w:val="es-ES_tradnl"/>
        </w:rPr>
        <w:t> </w:t>
      </w:r>
      <w:r w:rsidRPr="00297B30">
        <w:rPr>
          <w:rFonts w:eastAsiaTheme="minorEastAsia"/>
          <w:szCs w:val="24"/>
          <w:lang w:val="es-ES_tradnl"/>
        </w:rPr>
        <w:sym w:font="Symbol" w:char="F06C"/>
      </w:r>
      <w:r w:rsidRPr="00297B30">
        <w:rPr>
          <w:rFonts w:eastAsiaTheme="minorEastAsia"/>
          <w:szCs w:val="24"/>
          <w:vertAlign w:val="superscript"/>
          <w:lang w:val="es-ES_tradnl"/>
        </w:rPr>
        <w:t>2</w:t>
      </w:r>
      <w:r w:rsidRPr="00297B30">
        <w:rPr>
          <w:rFonts w:eastAsiaTheme="minorEastAsia"/>
          <w:szCs w:val="24"/>
          <w:lang w:val="es-ES_tradnl"/>
        </w:rPr>
        <w:t>/4</w:t>
      </w:r>
      <w:r w:rsidRPr="00297B30">
        <w:rPr>
          <w:rFonts w:eastAsiaTheme="minorEastAsia"/>
          <w:szCs w:val="24"/>
          <w:lang w:val="es-ES_tradnl"/>
        </w:rPr>
        <w:sym w:font="Symbol" w:char="F070"/>
      </w:r>
      <w:r w:rsidRPr="00297B30">
        <w:rPr>
          <w:rFonts w:eastAsiaTheme="minorEastAsia"/>
          <w:szCs w:val="24"/>
          <w:lang w:val="es-ES_tradnl"/>
        </w:rPr>
        <w:t>. Para una antena receptora de un satélite LEO con una ganancia de –3,4 dB, la apertura efectiva es 0,02 m</w:t>
      </w:r>
      <w:r w:rsidRPr="00297B30">
        <w:rPr>
          <w:rFonts w:eastAsiaTheme="minorEastAsia"/>
          <w:szCs w:val="24"/>
          <w:vertAlign w:val="superscript"/>
          <w:lang w:val="es-ES_tradnl"/>
        </w:rPr>
        <w:t>2</w:t>
      </w:r>
      <w:r w:rsidRPr="00297B30">
        <w:rPr>
          <w:rFonts w:eastAsiaTheme="minorEastAsia"/>
          <w:szCs w:val="24"/>
          <w:lang w:val="es-ES_tradnl"/>
        </w:rPr>
        <w:t xml:space="preserve">. Por consiguiente, la máxima interferencia combinada aceptable especificada como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es:</w:t>
      </w:r>
    </w:p>
    <w:p w:rsidR="00543337" w:rsidRPr="00297B30" w:rsidRDefault="00543337" w:rsidP="00543337">
      <w:pPr>
        <w:pStyle w:val="Equation"/>
        <w:jc w:val="left"/>
        <w:rPr>
          <w:rFonts w:eastAsiaTheme="minorEastAsia"/>
          <w:lang w:val="es-ES_tradnl"/>
        </w:rPr>
      </w:pPr>
      <w:r w:rsidRPr="00297B30">
        <w:rPr>
          <w:rFonts w:eastAsiaTheme="minorEastAsia"/>
          <w:position w:val="-12"/>
          <w:lang w:val="es-ES_tradnl"/>
        </w:rPr>
        <w:tab/>
      </w:r>
      <w:r w:rsidRPr="00297B30">
        <w:rPr>
          <w:rFonts w:eastAsiaTheme="minorEastAsia"/>
          <w:position w:val="-12"/>
          <w:lang w:val="es-ES_tradnl"/>
        </w:rPr>
        <w:tab/>
      </w:r>
      <w:r w:rsidRPr="00297B30">
        <w:rPr>
          <w:rFonts w:eastAsiaTheme="minorEastAsia"/>
          <w:position w:val="-12"/>
          <w:lang w:val="es-ES_tradnl"/>
        </w:rPr>
        <w:object w:dxaOrig="3100" w:dyaOrig="360">
          <v:shape id="_x0000_i1045" type="#_x0000_t75" style="width:151.45pt;height:18.35pt" o:ole="">
            <v:imagedata r:id="rId53" o:title=""/>
          </v:shape>
          <o:OLEObject Type="Embed" ProgID="Equation.3" ShapeID="_x0000_i1045" DrawAspect="Content" ObjectID="_1501062616" r:id="rId54"/>
        </w:object>
      </w:r>
    </w:p>
    <w:p w:rsidR="00543337" w:rsidRPr="00297B30" w:rsidRDefault="00543337" w:rsidP="00543337">
      <w:pPr>
        <w:keepNext/>
        <w:keepLines/>
        <w:rPr>
          <w:rFonts w:eastAsiaTheme="minorEastAsia"/>
          <w:szCs w:val="24"/>
          <w:lang w:val="es-ES_tradnl"/>
        </w:rPr>
      </w:pPr>
      <w:r w:rsidRPr="00297B30">
        <w:rPr>
          <w:rFonts w:eastAsiaTheme="minorEastAsia"/>
          <w:szCs w:val="24"/>
          <w:lang w:val="es-ES_tradnl"/>
        </w:rPr>
        <w:t>Suponiendo unas pérdidas en la línea de 0,6 dB (véase la Fig. 6):</w:t>
      </w:r>
    </w:p>
    <w:p w:rsidR="00543337" w:rsidRPr="00297B30" w:rsidRDefault="00543337" w:rsidP="00543337">
      <w:pPr>
        <w:pStyle w:val="Equation"/>
        <w:jc w:val="left"/>
        <w:rPr>
          <w:rFonts w:eastAsiaTheme="minorEastAsia"/>
          <w:lang w:val="es-ES_tradnl"/>
        </w:rPr>
      </w:pPr>
      <w:r w:rsidRPr="00297B30">
        <w:rPr>
          <w:rFonts w:eastAsiaTheme="minorEastAsia"/>
          <w:position w:val="-10"/>
          <w:lang w:val="es-ES_tradnl"/>
        </w:rPr>
        <w:tab/>
      </w:r>
      <w:r w:rsidRPr="00297B30">
        <w:rPr>
          <w:rFonts w:eastAsiaTheme="minorEastAsia"/>
          <w:position w:val="-10"/>
          <w:lang w:val="es-ES_tradnl"/>
        </w:rPr>
        <w:tab/>
      </w:r>
      <w:r w:rsidRPr="009E6912">
        <w:rPr>
          <w:rFonts w:eastAsiaTheme="minorEastAsia"/>
          <w:position w:val="-12"/>
          <w:lang w:val="es-ES_tradnl"/>
        </w:rPr>
        <w:object w:dxaOrig="6500" w:dyaOrig="400">
          <v:shape id="_x0000_i1046" type="#_x0000_t75" style="width:318.55pt;height:19pt" o:ole="">
            <v:imagedata r:id="rId55" o:title=""/>
          </v:shape>
          <o:OLEObject Type="Embed" ProgID="Equation.3" ShapeID="_x0000_i1046" DrawAspect="Content" ObjectID="_1501062617" r:id="rId56"/>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El máximo nivel de interferencia similar al ruido de banda ancha en la banda 406</w:t>
      </w:r>
      <w:r w:rsidRPr="00297B30">
        <w:rPr>
          <w:rFonts w:eastAsiaTheme="minorEastAsia"/>
          <w:szCs w:val="24"/>
          <w:lang w:val="es-ES_tradnl"/>
        </w:rPr>
        <w:noBreakHyphen/>
        <w:t>406,1 MHz medido en la antena del satélite LEO no deberá rebasar el valor de –181,3 dB(W/(m</w:t>
      </w:r>
      <w:r w:rsidRPr="00297B30">
        <w:rPr>
          <w:rFonts w:eastAsiaTheme="minorEastAsia"/>
          <w:szCs w:val="24"/>
          <w:vertAlign w:val="superscript"/>
          <w:lang w:val="es-ES_tradnl"/>
        </w:rPr>
        <w:t>2</w:t>
      </w:r>
      <w:r w:rsidRPr="00297B30">
        <w:rPr>
          <w:rFonts w:eastAsiaTheme="minorEastAsia"/>
          <w:szCs w:val="24"/>
          <w:lang w:val="es-ES_tradnl"/>
        </w:rPr>
        <w:t> ∙ Hz)).</w:t>
      </w:r>
    </w:p>
    <w:p w:rsidR="00543337" w:rsidRPr="00297B30" w:rsidRDefault="00543337" w:rsidP="00543337">
      <w:pPr>
        <w:pStyle w:val="Heading1"/>
        <w:rPr>
          <w:lang w:val="es-ES_tradnl"/>
        </w:rPr>
      </w:pPr>
      <w:r w:rsidRPr="00297B30">
        <w:rPr>
          <w:lang w:val="es-ES_tradnl"/>
        </w:rPr>
        <w:t>3</w:t>
      </w:r>
      <w:r w:rsidRPr="00297B30">
        <w:rPr>
          <w:lang w:val="es-ES_tradnl"/>
        </w:rPr>
        <w:tab/>
        <w:t>Procedimiento para calcular el nivel de interferencia causada al canal del repetidor LEOSAR de 406 MHz</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interferencia provocada al </w:t>
      </w:r>
      <w:proofErr w:type="spellStart"/>
      <w:r w:rsidRPr="00297B30">
        <w:rPr>
          <w:rFonts w:eastAsiaTheme="minorEastAsia"/>
          <w:szCs w:val="24"/>
          <w:lang w:val="es-ES_tradnl"/>
        </w:rPr>
        <w:t>Cospas</w:t>
      </w:r>
      <w:r w:rsidRPr="00297B30">
        <w:rPr>
          <w:rFonts w:eastAsiaTheme="minorEastAsia"/>
          <w:szCs w:val="24"/>
          <w:lang w:val="es-ES_tradnl"/>
        </w:rPr>
        <w:noBreakHyphen/>
        <w:t>Sarsat</w:t>
      </w:r>
      <w:proofErr w:type="spellEnd"/>
      <w:r w:rsidRPr="00297B30">
        <w:rPr>
          <w:rFonts w:eastAsiaTheme="minorEastAsia"/>
          <w:szCs w:val="24"/>
          <w:lang w:val="es-ES_tradnl"/>
        </w:rPr>
        <w:t xml:space="preserve"> es a menudo el resultado de emisiones fuera de banda procedentes de servicios que funcionan en bandas adyacentes o casi adyacentes.</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Debe examinarse la anchura de banda de la emisión para determinar si se transmite energía en la banda 406-406,1 MHz. Hay que tener especial precaución cuando se analizan las repercusiones de los sistemas móviles (por ejemplo, los satélites no geoestacionarios y los transmisores a bordo de aeronaves) para tener en cuenta los efectos del desplazamiento </w:t>
      </w:r>
      <w:proofErr w:type="spellStart"/>
      <w:r w:rsidRPr="00297B30">
        <w:rPr>
          <w:rFonts w:eastAsiaTheme="minorEastAsia"/>
          <w:szCs w:val="24"/>
          <w:lang w:val="es-ES_tradnl"/>
        </w:rPr>
        <w:t>Doppler</w:t>
      </w:r>
      <w:proofErr w:type="spellEnd"/>
      <w:r w:rsidRPr="00297B30">
        <w:rPr>
          <w:rFonts w:eastAsiaTheme="minorEastAsia"/>
          <w:szCs w:val="24"/>
          <w:lang w:val="es-ES_tradnl"/>
        </w:rPr>
        <w:t xml:space="preserve"> generados por su movimiento.</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Se calcula el nivel de interferencia procedente de todas las fuentes que transmiten energía en la banda 406-406,1 MHz expresada como nivel de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en la antena del satélite. El nivel combinado de todas las fuentes de interferencia no debe rebasar el valor de </w:t>
      </w:r>
      <w:r w:rsidRPr="00297B30">
        <w:rPr>
          <w:lang w:val="es-ES_tradnl"/>
        </w:rPr>
        <w:t>–</w:t>
      </w:r>
      <w:r w:rsidRPr="00297B30">
        <w:rPr>
          <w:rFonts w:eastAsiaTheme="minorEastAsia"/>
          <w:szCs w:val="24"/>
          <w:lang w:val="es-ES_tradnl"/>
        </w:rPr>
        <w:t>181,3 dB(W/(m</w:t>
      </w:r>
      <w:r w:rsidRPr="00297B30">
        <w:rPr>
          <w:rFonts w:eastAsiaTheme="minorEastAsia"/>
          <w:szCs w:val="24"/>
          <w:vertAlign w:val="superscript"/>
          <w:lang w:val="es-ES_tradnl"/>
        </w:rPr>
        <w:t>2</w:t>
      </w:r>
      <w:r w:rsidRPr="00297B30">
        <w:rPr>
          <w:rFonts w:eastAsiaTheme="minorEastAsia"/>
          <w:szCs w:val="24"/>
          <w:lang w:val="es-ES_tradnl"/>
        </w:rPr>
        <w:t> ∙ Hz)) en ninguna parte de esta gama.</w:t>
      </w:r>
    </w:p>
    <w:p w:rsidR="00543337" w:rsidRPr="00297B30" w:rsidRDefault="00543337" w:rsidP="00543337">
      <w:pPr>
        <w:rPr>
          <w:rFonts w:eastAsiaTheme="minorEastAsia"/>
          <w:szCs w:val="24"/>
          <w:lang w:val="es-ES_tradnl"/>
        </w:rPr>
      </w:pPr>
    </w:p>
    <w:p w:rsidR="00543337" w:rsidRDefault="00543337" w:rsidP="00543337">
      <w:pPr>
        <w:rPr>
          <w:rFonts w:eastAsiaTheme="minorEastAsia"/>
          <w:szCs w:val="24"/>
          <w:lang w:val="es-ES_tradnl"/>
        </w:rPr>
      </w:pPr>
    </w:p>
    <w:p w:rsidR="000B4E30" w:rsidRDefault="000B4E30" w:rsidP="00543337">
      <w:pPr>
        <w:rPr>
          <w:rFonts w:eastAsiaTheme="minorEastAsia"/>
          <w:szCs w:val="24"/>
          <w:lang w:val="es-ES_tradnl"/>
        </w:rPr>
      </w:pPr>
    </w:p>
    <w:p w:rsidR="000B4E30" w:rsidRPr="00297B30" w:rsidRDefault="000B4E30" w:rsidP="00543337">
      <w:pPr>
        <w:rPr>
          <w:rFonts w:eastAsiaTheme="minorEastAsia"/>
          <w:szCs w:val="24"/>
          <w:lang w:val="es-ES_tradnl"/>
        </w:rPr>
      </w:pPr>
    </w:p>
    <w:p w:rsidR="00543337" w:rsidRPr="00297B30" w:rsidRDefault="00543337" w:rsidP="00543337">
      <w:pPr>
        <w:pStyle w:val="AnnexNoTitle"/>
        <w:spacing w:before="240"/>
        <w:rPr>
          <w:lang w:val="es-ES_tradnl"/>
        </w:rPr>
      </w:pPr>
      <w:r w:rsidRPr="00297B30">
        <w:rPr>
          <w:lang w:val="es-ES_tradnl"/>
        </w:rPr>
        <w:lastRenderedPageBreak/>
        <w:t>Anexo 6</w:t>
      </w:r>
      <w:r w:rsidRPr="00297B30">
        <w:rPr>
          <w:lang w:val="es-ES_tradnl"/>
        </w:rPr>
        <w:br/>
      </w:r>
      <w:r w:rsidRPr="00297B30">
        <w:rPr>
          <w:lang w:val="es-ES_tradnl"/>
        </w:rPr>
        <w:br/>
        <w:t>Criterios de protección en la banda 406-406,1 MHz</w:t>
      </w:r>
      <w:r w:rsidRPr="00297B30">
        <w:rPr>
          <w:lang w:val="es-ES_tradnl"/>
        </w:rPr>
        <w:br/>
        <w:t>para los servicios GOES GEOSAR y la serie GOES-R</w:t>
      </w:r>
    </w:p>
    <w:p w:rsidR="00543337" w:rsidRPr="00297B30" w:rsidRDefault="00543337" w:rsidP="00543337">
      <w:pPr>
        <w:pStyle w:val="Heading1"/>
        <w:rPr>
          <w:lang w:val="es-ES_tradnl"/>
        </w:rPr>
      </w:pPr>
      <w:r w:rsidRPr="00297B30">
        <w:rPr>
          <w:lang w:val="es-ES_tradnl"/>
        </w:rPr>
        <w:t>1</w:t>
      </w:r>
      <w:r w:rsidRPr="00297B30">
        <w:rPr>
          <w:lang w:val="es-ES_tradnl"/>
        </w:rPr>
        <w:tab/>
        <w:t>Mínima calidad de funcionamiento aceptable para la detección de señales de las radiobalizas de localización de siniestros retransmitidas a través del canal SARR 406 MHz GOES</w:t>
      </w:r>
    </w:p>
    <w:p w:rsidR="00543337" w:rsidRPr="00297B30" w:rsidRDefault="00543337" w:rsidP="00543337">
      <w:pPr>
        <w:rPr>
          <w:rFonts w:eastAsiaTheme="minorEastAsia"/>
          <w:szCs w:val="24"/>
          <w:lang w:val="es-ES_tradnl"/>
        </w:rPr>
      </w:pPr>
      <w:r w:rsidRPr="00297B30">
        <w:rPr>
          <w:rFonts w:eastAsiaTheme="minorEastAsia"/>
          <w:szCs w:val="24"/>
          <w:lang w:val="es-ES_tradnl"/>
        </w:rPr>
        <w:t>Para detectar con fiabilidad las señales de las radiobalizas de socorro a 406 MHz utilizando repetidores del satélite GOES de 406 MHz, la BER del canal no debe rebasar el valor de 5 × 10</w:t>
      </w:r>
      <w:r w:rsidRPr="00297B30">
        <w:rPr>
          <w:rFonts w:eastAsiaTheme="minorEastAsia"/>
          <w:szCs w:val="24"/>
          <w:vertAlign w:val="superscript"/>
          <w:lang w:val="es-ES_tradnl"/>
        </w:rPr>
        <w:t>–5</w:t>
      </w:r>
      <w:r w:rsidRPr="00297B30">
        <w:rPr>
          <w:rFonts w:eastAsiaTheme="minorEastAsia"/>
          <w:szCs w:val="24"/>
          <w:lang w:val="es-ES_tradnl"/>
        </w:rPr>
        <w:t>.</w:t>
      </w:r>
    </w:p>
    <w:p w:rsidR="00543337" w:rsidRPr="00297B30" w:rsidRDefault="00543337" w:rsidP="00543337">
      <w:pPr>
        <w:pStyle w:val="Heading1"/>
        <w:rPr>
          <w:lang w:val="es-ES_tradnl"/>
        </w:rPr>
      </w:pPr>
      <w:r w:rsidRPr="00297B30">
        <w:rPr>
          <w:lang w:val="es-ES_tradnl"/>
        </w:rPr>
        <w:t>2</w:t>
      </w:r>
      <w:r w:rsidRPr="00297B30">
        <w:rPr>
          <w:lang w:val="es-ES_tradnl"/>
        </w:rPr>
        <w:tab/>
        <w:t xml:space="preserve">Análisis de la </w:t>
      </w:r>
      <w:proofErr w:type="spellStart"/>
      <w:r w:rsidRPr="00297B30">
        <w:rPr>
          <w:lang w:val="es-ES_tradnl"/>
        </w:rPr>
        <w:t>dfp</w:t>
      </w:r>
      <w:proofErr w:type="spellEnd"/>
      <w:r w:rsidRPr="00297B30">
        <w:rPr>
          <w:lang w:val="es-ES_tradnl"/>
        </w:rPr>
        <w:t xml:space="preserve"> espectral que provoca interferencia</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BER de un canal de comunicaciones se obtiene a partir de la relación entre la energía contenida en cada bit de datos,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 xml:space="preserve">, y la densidad de ruido, que viene determinada por el ruido desarrollado por el equipo </w:t>
      </w:r>
      <w:proofErr w:type="spellStart"/>
      <w:r w:rsidRPr="00297B30">
        <w:rPr>
          <w:rFonts w:eastAsiaTheme="minorEastAsia"/>
          <w:szCs w:val="24"/>
          <w:lang w:val="es-ES_tradnl"/>
        </w:rPr>
        <w:t>Cospas</w:t>
      </w:r>
      <w:r w:rsidRPr="00297B30">
        <w:rPr>
          <w:rFonts w:eastAsiaTheme="minorEastAsia"/>
          <w:szCs w:val="24"/>
          <w:lang w:val="es-ES_tradnl"/>
        </w:rPr>
        <w:noBreakHyphen/>
        <w:t>Sarsat</w:t>
      </w:r>
      <w:proofErr w:type="spellEnd"/>
      <w:r w:rsidRPr="00297B30">
        <w:rPr>
          <w:rFonts w:eastAsiaTheme="minorEastAsia"/>
          <w:szCs w:val="24"/>
          <w:lang w:val="es-ES_tradnl"/>
        </w:rPr>
        <w:t xml:space="preserve">,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y el ruido provocado por la interferencia procedente de otros sistemas,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La Fig. 7 representa el canal SARR de 406 MHz GOES con interferencia en el enlace ascendente.</w:t>
      </w:r>
    </w:p>
    <w:p w:rsidR="00543337" w:rsidRPr="00297B30" w:rsidRDefault="00543337" w:rsidP="00543337">
      <w:pPr>
        <w:pStyle w:val="FigureNo"/>
        <w:keepNext w:val="0"/>
        <w:keepLines w:val="0"/>
        <w:rPr>
          <w:lang w:val="es-ES_tradnl"/>
        </w:rPr>
      </w:pPr>
      <w:r w:rsidRPr="00297B30">
        <w:rPr>
          <w:lang w:val="es-ES_tradnl"/>
        </w:rPr>
        <w:t>figura 7</w:t>
      </w:r>
    </w:p>
    <w:p w:rsidR="00543337" w:rsidRPr="00297B30" w:rsidRDefault="00543337" w:rsidP="00543337">
      <w:pPr>
        <w:pStyle w:val="Figuretitle"/>
        <w:rPr>
          <w:lang w:val="es-ES_tradnl"/>
        </w:rPr>
      </w:pPr>
      <w:r w:rsidRPr="00297B30">
        <w:rPr>
          <w:lang w:val="es-ES_tradnl"/>
        </w:rPr>
        <w:t>Repetidor GOES de 406 MHz con interferencia en el enlace ascendente</w:t>
      </w:r>
    </w:p>
    <w:p w:rsidR="00543337" w:rsidRPr="00297B30" w:rsidRDefault="00543337" w:rsidP="00543337">
      <w:pPr>
        <w:pStyle w:val="Figure"/>
        <w:rPr>
          <w:rFonts w:eastAsiaTheme="minorEastAsia"/>
          <w:lang w:val="es-ES_tradnl"/>
        </w:rPr>
      </w:pPr>
      <w:r w:rsidRPr="00297B30">
        <w:rPr>
          <w:rFonts w:eastAsiaTheme="minorEastAsia"/>
          <w:lang w:val="es-ES_tradnl"/>
        </w:rPr>
        <w:object w:dxaOrig="7785" w:dyaOrig="4084">
          <v:shape id="_x0000_i1047" type="#_x0000_t75" style="width:457.15pt;height:238.4pt" o:ole="">
            <v:imagedata r:id="rId57" o:title=""/>
          </v:shape>
          <o:OLEObject Type="Embed" ProgID="CorelDRAW.Graphic.14" ShapeID="_x0000_i1047" DrawAspect="Content" ObjectID="_1501062618" r:id="rId58"/>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Para lograr una BER de 5 × 10</w:t>
      </w:r>
      <w:r w:rsidRPr="00297B30">
        <w:rPr>
          <w:rFonts w:eastAsiaTheme="minorEastAsia"/>
          <w:szCs w:val="24"/>
          <w:vertAlign w:val="superscript"/>
          <w:lang w:val="es-ES_tradnl"/>
        </w:rPr>
        <w:t>–5</w:t>
      </w:r>
      <w:r w:rsidRPr="00297B30">
        <w:rPr>
          <w:rFonts w:eastAsiaTheme="minorEastAsia"/>
          <w:szCs w:val="24"/>
          <w:lang w:val="es-ES_tradnl"/>
        </w:rPr>
        <w:t xml:space="preserve">, la relación entre la energía por bit y la densidad de ruido más interferencia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xml:space="preserve">) en el demodulador del terminal local de usuario del satélite geoestacionario, GEOLUT, debe ser igual o superior a 8,8 dB. Este análisis determina la máxima cantidad de interferencia similar al ruido de banda ancha especificada como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a la entrada de la antena del satélite GOES de 406 MHz que podría admitirse sin degradar en el enlace la relación global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a un valor por debajo de 8,8 dB.</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Como se representa en la Fig. 7, las señales de la radiobaliza de socorro de 406 MHz son recibidas por el repetidor de búsqueda y salvamento GOES y moduladas en fase sobre una portadora del enlace descendente de 1 544,5 MHz para detección y procesamiento por el GEOLUT. Los valores de ganancia de antena y de temperatura de ruido del sistema en el repetidor del satélite son, </w:t>
      </w:r>
      <w:r w:rsidRPr="00297B30">
        <w:rPr>
          <w:rFonts w:eastAsiaTheme="minorEastAsia"/>
          <w:szCs w:val="24"/>
          <w:lang w:val="es-ES_tradnl"/>
        </w:rPr>
        <w:lastRenderedPageBreak/>
        <w:t xml:space="preserve">respectivamente, </w:t>
      </w:r>
      <w:r>
        <w:rPr>
          <w:rFonts w:eastAsiaTheme="minorEastAsia"/>
          <w:szCs w:val="24"/>
          <w:lang w:val="es-ES_tradnl"/>
        </w:rPr>
        <w:t xml:space="preserve">10,1 </w:t>
      </w:r>
      <w:proofErr w:type="spellStart"/>
      <w:r w:rsidRPr="00297B30">
        <w:rPr>
          <w:rFonts w:eastAsiaTheme="minorEastAsia"/>
          <w:szCs w:val="24"/>
          <w:lang w:val="es-ES_tradnl"/>
        </w:rPr>
        <w:t>dB</w:t>
      </w:r>
      <w:r>
        <w:rPr>
          <w:rFonts w:eastAsiaTheme="minorEastAsia"/>
          <w:szCs w:val="24"/>
          <w:lang w:val="es-ES_tradnl"/>
        </w:rPr>
        <w:t>i</w:t>
      </w:r>
      <w:proofErr w:type="spellEnd"/>
      <w:r w:rsidRPr="00297B30">
        <w:rPr>
          <w:rFonts w:eastAsiaTheme="minorEastAsia"/>
          <w:szCs w:val="24"/>
          <w:lang w:val="es-ES_tradnl"/>
        </w:rPr>
        <w:t xml:space="preserve"> y 359 K en el punto B (véase la Fig. 7). Para la serie GOES-R, la ganancia de la antena será de 12,4 </w:t>
      </w:r>
      <w:proofErr w:type="spellStart"/>
      <w:r w:rsidRPr="00297B30">
        <w:rPr>
          <w:rFonts w:eastAsiaTheme="minorEastAsia"/>
          <w:szCs w:val="24"/>
          <w:lang w:val="es-ES_tradnl"/>
        </w:rPr>
        <w:t>dBi</w:t>
      </w:r>
      <w:proofErr w:type="spellEnd"/>
      <w:r w:rsidRPr="00297B30">
        <w:rPr>
          <w:rFonts w:eastAsiaTheme="minorEastAsia"/>
          <w:szCs w:val="24"/>
          <w:lang w:val="es-ES_tradnl"/>
        </w:rPr>
        <w:t xml:space="preserve"> y la temperatura de ruido del sistema de 531 K. Utilizando técnicas sofisticadas de procesamiento de la señal digital y de integración de ráfagas, puede determinarse que cuando no hay interferencia el valor global de la relación portadora/densidad de ruido,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es de 31,1 dB(Hz).</w:t>
      </w:r>
    </w:p>
    <w:p w:rsidR="00543337" w:rsidRPr="00297B30" w:rsidRDefault="00543337" w:rsidP="00543337">
      <w:pPr>
        <w:rPr>
          <w:rFonts w:eastAsiaTheme="minorEastAsia"/>
          <w:szCs w:val="24"/>
          <w:lang w:val="es-ES_tradnl"/>
        </w:rPr>
      </w:pPr>
      <w:r w:rsidRPr="00297B30">
        <w:rPr>
          <w:rFonts w:eastAsiaTheme="minorEastAsia"/>
          <w:szCs w:val="24"/>
          <w:lang w:val="es-ES_tradnl"/>
        </w:rPr>
        <w:t>Este análisis supone tres radiobalizas activas transmitiendo simultáneamente en el mismo instante con tres frecuencias distintas en la banda 406-406,1 MHz para representar un entorno operativo realista. La radiobaliza deseada tiene un ángulo de elevación de 5° con respecto al vehículo espacial. Las otras dos radiobalizas se incluyen en el análisis porque comparten la potencia del repetidor del satélite disponible.</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Cuando no hay ninguna fuente de interferencia externa, el valor global de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es 31,1 dB(Hz) lo que equivale a un valor de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de 5,1 dB. Teniendo en cuenta las pérdidas de realización y de demodulación de los datos de la radiobaliza y la ganancia de procesamiento, la relación efectiva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toma un valor de 10,1 dB. Como el canal exige un valor global de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de al menos 8,8 dB para funcionar eficazmente, no puede aceptarse una interferencia de banda ancha en el enlace ascendente que reduzca el valor global de la relación portadora/densidad de ruido más interferencia más de 1,3 dB.</w:t>
      </w:r>
    </w:p>
    <w:p w:rsidR="00543337" w:rsidRPr="00297B30" w:rsidRDefault="00543337" w:rsidP="00543337">
      <w:pPr>
        <w:keepNext/>
        <w:keepLines/>
        <w:rPr>
          <w:rFonts w:eastAsiaTheme="minorEastAsia"/>
          <w:szCs w:val="24"/>
          <w:lang w:val="es-ES_tradnl"/>
        </w:rPr>
      </w:pPr>
      <w:r w:rsidRPr="00297B30">
        <w:rPr>
          <w:rFonts w:eastAsiaTheme="minorEastAsia"/>
          <w:szCs w:val="24"/>
          <w:lang w:val="es-ES_tradnl"/>
        </w:rPr>
        <w:t xml:space="preserve">Dado que el valor global de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en ausencia de interferencia es de 31,1 dB(Hz), la interferencia similar al ruido de banda ancha en el enlace ascendente que degrada el enlace global 1,3 dB, da lugar a una relación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vertAlign w:val="subscript"/>
          <w:lang w:val="es-ES_tradnl"/>
        </w:rPr>
        <w:t>global con interferencia</w:t>
      </w:r>
      <w:r w:rsidRPr="00297B30">
        <w:rPr>
          <w:rFonts w:eastAsiaTheme="minorEastAsia"/>
          <w:szCs w:val="24"/>
          <w:lang w:val="es-ES_tradnl"/>
        </w:rPr>
        <w:t xml:space="preserve"> de:</w:t>
      </w:r>
    </w:p>
    <w:p w:rsidR="00543337" w:rsidRPr="00297B30" w:rsidRDefault="00543337" w:rsidP="00543337">
      <w:pPr>
        <w:pStyle w:val="Equation"/>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6"/>
          <w:lang w:val="es-ES_tradnl"/>
        </w:rPr>
        <w:object w:dxaOrig="5899" w:dyaOrig="400">
          <v:shape id="_x0000_i1048" type="#_x0000_t75" style="width:295.45pt;height:21.05pt" o:ole="">
            <v:imagedata r:id="rId59" o:title=""/>
          </v:shape>
          <o:OLEObject Type="Embed" ProgID="Equation.3" ShapeID="_x0000_i1048" DrawAspect="Content" ObjectID="_1501062619" r:id="rId60"/>
        </w:object>
      </w:r>
    </w:p>
    <w:p w:rsidR="00543337" w:rsidRPr="00297B30" w:rsidRDefault="00543337" w:rsidP="00543337">
      <w:pPr>
        <w:pStyle w:val="Equation"/>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2"/>
          <w:lang w:val="es-ES_tradnl"/>
        </w:rPr>
        <w:object w:dxaOrig="3180" w:dyaOrig="360">
          <v:shape id="_x0000_i1049" type="#_x0000_t75" style="width:158.95pt;height:18.35pt" o:ole="">
            <v:imagedata r:id="rId61" o:title=""/>
          </v:shape>
          <o:OLEObject Type="Embed" ProgID="Equation.3" ShapeID="_x0000_i1049" DrawAspect="Content" ObjectID="_1501062620" r:id="rId62"/>
        </w:object>
      </w:r>
      <w:r w:rsidRPr="00297B30">
        <w:rPr>
          <w:rFonts w:eastAsiaTheme="minorEastAsia"/>
          <w:lang w:val="es-ES_tradnl"/>
        </w:rPr>
        <w:tab/>
        <w:t>(7)</w:t>
      </w:r>
    </w:p>
    <w:p w:rsidR="00543337" w:rsidRPr="00297B30" w:rsidRDefault="00543337" w:rsidP="00543337">
      <w:pPr>
        <w:pStyle w:val="Equation"/>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2"/>
          <w:lang w:val="es-ES_tradnl"/>
        </w:rPr>
        <w:object w:dxaOrig="2400" w:dyaOrig="360">
          <v:shape id="_x0000_i1050" type="#_x0000_t75" style="width:118.85pt;height:18.35pt" o:ole="">
            <v:imagedata r:id="rId63" o:title=""/>
          </v:shape>
          <o:OLEObject Type="Embed" ProgID="Equation.3" ShapeID="_x0000_i1050" DrawAspect="Content" ObjectID="_1501062621" r:id="rId64"/>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El valor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vertAlign w:val="subscript"/>
          <w:lang w:val="es-ES_tradnl"/>
        </w:rPr>
        <w:t>OI</w:t>
      </w:r>
      <w:r w:rsidRPr="00297B30">
        <w:rPr>
          <w:rFonts w:eastAsiaTheme="minorEastAsia"/>
          <w:szCs w:val="24"/>
          <w:lang w:val="es-ES_tradnl"/>
        </w:rPr>
        <w:t xml:space="preserve"> se calcula a partir de las relaciones entre la portadora y la densidad de ruido más interferencia del enlace ascendente y del enlace descendente como se indica a continuación:</w:t>
      </w:r>
    </w:p>
    <w:p w:rsidR="00543337" w:rsidRPr="00297B30" w:rsidRDefault="00543337" w:rsidP="00543337">
      <w:pPr>
        <w:pStyle w:val="Equation"/>
        <w:jc w:val="center"/>
        <w:rPr>
          <w:rFonts w:eastAsiaTheme="minorEastAsia"/>
          <w:lang w:val="es-ES_tradnl"/>
        </w:rPr>
      </w:pPr>
      <w:r w:rsidRPr="00297B30">
        <w:rPr>
          <w:rFonts w:eastAsiaTheme="minorEastAsia"/>
          <w:position w:val="-14"/>
          <w:lang w:val="es-ES_tradnl"/>
        </w:rPr>
        <w:object w:dxaOrig="8880" w:dyaOrig="440">
          <v:shape id="_x0000_i1051" type="#_x0000_t75" style="width:439.45pt;height:22.4pt" o:ole="">
            <v:imagedata r:id="rId65" o:title=""/>
          </v:shape>
          <o:OLEObject Type="Embed" ProgID="Equation.3" ShapeID="_x0000_i1051" DrawAspect="Content" ObjectID="_1501062622" r:id="rId66"/>
        </w:object>
      </w:r>
      <w:r w:rsidRPr="00297B30">
        <w:rPr>
          <w:rFonts w:eastAsiaTheme="minorEastAsia"/>
          <w:lang w:val="es-ES_tradnl"/>
        </w:rPr>
        <w:tab/>
        <w:t>(8)</w:t>
      </w:r>
    </w:p>
    <w:p w:rsidR="00543337" w:rsidRPr="00297B30" w:rsidRDefault="00543337" w:rsidP="00543337">
      <w:pPr>
        <w:rPr>
          <w:rFonts w:eastAsiaTheme="minorEastAsia"/>
          <w:szCs w:val="24"/>
          <w:lang w:val="es-ES_tradnl"/>
        </w:rPr>
      </w:pPr>
      <w:r w:rsidRPr="00297B30">
        <w:rPr>
          <w:rFonts w:eastAsiaTheme="minorEastAsia"/>
          <w:szCs w:val="24"/>
          <w:lang w:val="es-ES_tradnl"/>
        </w:rPr>
        <w:t>Como este análisis se refiere a la interferencia en el enlace ascendente,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vertAlign w:val="subscript"/>
          <w:lang w:val="es-ES_tradnl"/>
        </w:rPr>
        <w:t>enlace descendente con interferencia</w:t>
      </w:r>
      <w:r w:rsidRPr="00297B30">
        <w:rPr>
          <w:rFonts w:eastAsiaTheme="minorEastAsia"/>
          <w:szCs w:val="24"/>
          <w:lang w:val="es-ES_tradnl"/>
        </w:rPr>
        <w:t xml:space="preserve"> en la ecuación (8) se convierte en:</w:t>
      </w:r>
    </w:p>
    <w:p w:rsidR="00543337" w:rsidRPr="00297B30" w:rsidRDefault="00543337" w:rsidP="00543337">
      <w:pPr>
        <w:pStyle w:val="Equation"/>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6"/>
          <w:lang w:val="es-ES_tradnl"/>
        </w:rPr>
        <w:object w:dxaOrig="6560" w:dyaOrig="420">
          <v:shape id="_x0000_i1052" type="#_x0000_t75" style="width:324pt;height:21.05pt" o:ole="">
            <v:imagedata r:id="rId67" o:title=""/>
          </v:shape>
          <o:OLEObject Type="Embed" ProgID="Equation.3" ShapeID="_x0000_i1052" DrawAspect="Content" ObjectID="_1501062623" r:id="rId68"/>
        </w:object>
      </w:r>
      <w:r w:rsidRPr="00297B30">
        <w:rPr>
          <w:rFonts w:eastAsiaTheme="minorEastAsia"/>
          <w:lang w:val="es-ES_tradnl"/>
        </w:rPr>
        <w:tab/>
        <w:t>(9)</w:t>
      </w:r>
    </w:p>
    <w:p w:rsidR="00543337" w:rsidRPr="00297B30" w:rsidRDefault="00543337" w:rsidP="00543337">
      <w:pPr>
        <w:rPr>
          <w:rFonts w:eastAsiaTheme="minorEastAsia"/>
          <w:szCs w:val="24"/>
          <w:lang w:val="es-ES_tradnl"/>
        </w:rPr>
      </w:pPr>
      <w:r w:rsidRPr="00297B30">
        <w:rPr>
          <w:rFonts w:eastAsiaTheme="minorEastAsia"/>
          <w:szCs w:val="24"/>
          <w:lang w:val="es-ES_tradnl"/>
        </w:rPr>
        <w:t>La fuente de interferencia también afecta a la relación entre la portadora del enlace descendente y la densidad de ruido,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vertAlign w:val="subscript"/>
          <w:lang w:val="es-ES_tradnl"/>
        </w:rPr>
        <w:sym w:font="Symbol" w:char="F0AF"/>
      </w:r>
      <w:r w:rsidRPr="00297B30">
        <w:rPr>
          <w:rFonts w:eastAsiaTheme="minorEastAsia"/>
          <w:szCs w:val="24"/>
          <w:lang w:val="es-ES_tradnl"/>
        </w:rPr>
        <w:t>, aumentando la potencia total compartida en la anchura de banda SAR. Este aumento de la potencia total reduce las pérdidas de compartición de potencia y afecta al valor de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vertAlign w:val="subscript"/>
          <w:lang w:val="es-ES_tradnl"/>
        </w:rPr>
        <w:sym w:font="Symbol" w:char="F0AF"/>
      </w:r>
      <w:r w:rsidRPr="00297B30">
        <w:rPr>
          <w:rFonts w:eastAsiaTheme="minorEastAsia"/>
          <w:szCs w:val="24"/>
          <w:lang w:val="es-ES_tradnl"/>
        </w:rPr>
        <w:t xml:space="preserve"> de la forma siguiente:</w:t>
      </w:r>
    </w:p>
    <w:p w:rsidR="00543337" w:rsidRPr="00297B30" w:rsidRDefault="00543337" w:rsidP="00543337">
      <w:pPr>
        <w:pStyle w:val="Equation"/>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6"/>
          <w:lang w:val="es-ES_tradnl"/>
        </w:rPr>
        <w:object w:dxaOrig="7100" w:dyaOrig="400">
          <v:shape id="_x0000_i1053" type="#_x0000_t75" style="width:355.9pt;height:21.05pt" o:ole="">
            <v:imagedata r:id="rId69" o:title=""/>
          </v:shape>
          <o:OLEObject Type="Embed" ProgID="Equation.3" ShapeID="_x0000_i1053" DrawAspect="Content" ObjectID="_1501062624" r:id="rId70"/>
        </w:object>
      </w:r>
      <w:r w:rsidRPr="00297B30">
        <w:rPr>
          <w:rFonts w:eastAsiaTheme="minorEastAsia"/>
          <w:lang w:val="es-ES_tradnl"/>
        </w:rPr>
        <w:tab/>
        <w:t>(10)</w:t>
      </w:r>
    </w:p>
    <w:p w:rsidR="00543337" w:rsidRPr="00297B30" w:rsidRDefault="00543337" w:rsidP="00543337">
      <w:pPr>
        <w:keepNext/>
        <w:keepLines/>
        <w:rPr>
          <w:rFonts w:eastAsiaTheme="minorEastAsia"/>
          <w:szCs w:val="24"/>
          <w:lang w:val="es-ES_tradnl"/>
        </w:rPr>
      </w:pPr>
      <w:r w:rsidRPr="00297B30">
        <w:rPr>
          <w:rFonts w:eastAsiaTheme="minorEastAsia"/>
          <w:szCs w:val="24"/>
          <w:lang w:val="es-ES_tradnl"/>
        </w:rPr>
        <w:t xml:space="preserve">siendo </w:t>
      </w:r>
      <w:proofErr w:type="spellStart"/>
      <w:r w:rsidRPr="00297B30">
        <w:rPr>
          <w:rFonts w:eastAsiaTheme="minorEastAsia"/>
          <w:i/>
          <w:iCs/>
          <w:szCs w:val="24"/>
          <w:lang w:val="es-ES_tradnl"/>
        </w:rPr>
        <w:t>Lps</w:t>
      </w:r>
      <w:proofErr w:type="spellEnd"/>
      <w:r w:rsidRPr="00297B30">
        <w:rPr>
          <w:rFonts w:eastAsiaTheme="minorEastAsia"/>
          <w:szCs w:val="24"/>
          <w:lang w:val="es-ES_tradnl"/>
        </w:rPr>
        <w:t xml:space="preserve"> las pérdidas de compartición de potencia sin interferencia y </w:t>
      </w:r>
      <w:proofErr w:type="spellStart"/>
      <w:r w:rsidRPr="00297B30">
        <w:rPr>
          <w:rFonts w:eastAsiaTheme="minorEastAsia"/>
          <w:i/>
          <w:iCs/>
          <w:szCs w:val="24"/>
          <w:lang w:val="es-ES_tradnl"/>
        </w:rPr>
        <w:t>Lpsi</w:t>
      </w:r>
      <w:proofErr w:type="spellEnd"/>
      <w:r w:rsidRPr="00297B30">
        <w:rPr>
          <w:rFonts w:eastAsiaTheme="minorEastAsia"/>
          <w:szCs w:val="24"/>
          <w:lang w:val="es-ES_tradnl"/>
        </w:rPr>
        <w:t xml:space="preserve"> las pérdidas de compartición de potencia con interferencia. </w:t>
      </w:r>
      <w:proofErr w:type="spellStart"/>
      <w:r w:rsidRPr="00297B30">
        <w:rPr>
          <w:rFonts w:eastAsiaTheme="minorEastAsia"/>
          <w:i/>
          <w:iCs/>
          <w:szCs w:val="24"/>
          <w:lang w:val="es-ES_tradnl"/>
        </w:rPr>
        <w:t>Lpsi</w:t>
      </w:r>
      <w:proofErr w:type="spellEnd"/>
      <w:r w:rsidRPr="00297B30">
        <w:rPr>
          <w:rFonts w:eastAsiaTheme="minorEastAsia"/>
          <w:szCs w:val="24"/>
          <w:lang w:val="es-ES_tradnl"/>
        </w:rPr>
        <w:t xml:space="preserve"> se calcula como sigue:</w:t>
      </w:r>
    </w:p>
    <w:p w:rsidR="00543337" w:rsidRPr="00297B30" w:rsidRDefault="00543337" w:rsidP="00543337">
      <w:pPr>
        <w:pStyle w:val="Equation"/>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2"/>
          <w:lang w:val="es-ES_tradnl"/>
        </w:rPr>
        <w:object w:dxaOrig="4940" w:dyaOrig="360">
          <v:shape id="_x0000_i1054" type="#_x0000_t75" style="width:244.55pt;height:18.35pt" o:ole="">
            <v:imagedata r:id="rId71" o:title=""/>
          </v:shape>
          <o:OLEObject Type="Embed" ProgID="Equation.3" ShapeID="_x0000_i1054" DrawAspect="Content" ObjectID="_1501062625" r:id="rId72"/>
        </w:object>
      </w:r>
      <w:r w:rsidRPr="00297B30">
        <w:rPr>
          <w:rFonts w:eastAsiaTheme="minorEastAsia"/>
          <w:lang w:val="es-ES_tradnl"/>
        </w:rPr>
        <w:tab/>
        <w:t>(11)</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donde </w:t>
      </w:r>
      <w:r w:rsidRPr="00297B30">
        <w:rPr>
          <w:rFonts w:eastAsiaTheme="minorEastAsia"/>
          <w:i/>
          <w:iCs/>
          <w:szCs w:val="24"/>
          <w:lang w:val="es-ES_tradnl"/>
        </w:rPr>
        <w:t>C</w:t>
      </w:r>
      <w:r w:rsidRPr="00297B30">
        <w:rPr>
          <w:rFonts w:eastAsiaTheme="minorEastAsia"/>
          <w:szCs w:val="24"/>
          <w:lang w:val="es-ES_tradnl"/>
        </w:rPr>
        <w:t>2 es el nivel de la potencia procedente de una de las otras dos radiobalizas recibidas simultáneamente por el GOES SARR y B es la anchura de banda del receptor GOES.</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Sustituyendo la ecuación (11) en la ecuación (10), sustituyendo a continuación las ecuaciones (9) y (10) en la ecuación (8) y resolviendo para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xml:space="preserve"> se obtiene:</w:t>
      </w:r>
    </w:p>
    <w:p w:rsidR="00543337" w:rsidRPr="00297B30" w:rsidRDefault="00543337" w:rsidP="00543337">
      <w:pPr>
        <w:pStyle w:val="Equation"/>
        <w:rPr>
          <w:rFonts w:eastAsiaTheme="minorEastAsia"/>
          <w:lang w:val="es-ES_tradnl"/>
        </w:rPr>
      </w:pPr>
      <w:r w:rsidRPr="00297B30">
        <w:rPr>
          <w:rFonts w:eastAsiaTheme="minorEastAsia"/>
          <w:lang w:val="es-ES_tradnl"/>
        </w:rPr>
        <w:lastRenderedPageBreak/>
        <w:tab/>
      </w:r>
      <w:r w:rsidRPr="00297B30">
        <w:rPr>
          <w:rFonts w:eastAsiaTheme="minorEastAsia"/>
          <w:position w:val="-12"/>
          <w:lang w:val="es-ES_tradnl"/>
        </w:rPr>
        <w:object w:dxaOrig="7400" w:dyaOrig="420">
          <v:shape id="_x0000_i1055" type="#_x0000_t75" style="width:369.5pt;height:21.05pt" o:ole="">
            <v:imagedata r:id="rId73" o:title=""/>
          </v:shape>
          <o:OLEObject Type="Embed" ProgID="Equation.3" ShapeID="_x0000_i1055" DrawAspect="Content" ObjectID="_1501062626" r:id="rId74"/>
        </w:object>
      </w:r>
      <w:r w:rsidRPr="00297B30">
        <w:rPr>
          <w:rFonts w:eastAsiaTheme="minorEastAsia"/>
          <w:lang w:val="es-ES_tradnl"/>
        </w:rPr>
        <w:tab/>
        <w:t>(12)</w:t>
      </w:r>
    </w:p>
    <w:p w:rsidR="00543337" w:rsidRPr="00297B30" w:rsidRDefault="00543337" w:rsidP="00543337">
      <w:pPr>
        <w:rPr>
          <w:rFonts w:eastAsiaTheme="minorEastAsia"/>
          <w:szCs w:val="24"/>
          <w:lang w:val="es-ES_tradnl"/>
        </w:rPr>
      </w:pPr>
      <w:r w:rsidRPr="00297B30">
        <w:rPr>
          <w:rFonts w:eastAsiaTheme="minorEastAsia"/>
          <w:szCs w:val="24"/>
          <w:lang w:val="es-ES_tradnl"/>
        </w:rPr>
        <w:t>(</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vertAlign w:val="subscript"/>
          <w:lang w:val="es-ES_tradnl"/>
        </w:rPr>
        <w:t>OI</w:t>
      </w:r>
      <w:r w:rsidRPr="00297B30">
        <w:rPr>
          <w:rFonts w:eastAsiaTheme="minorEastAsia"/>
          <w:szCs w:val="24"/>
          <w:lang w:val="es-ES_tradnl"/>
        </w:rPr>
        <w:t xml:space="preserve"> es 29,8 dB(Hz) (véase la ecuación (7)), </w:t>
      </w:r>
      <w:r w:rsidRPr="00297B30">
        <w:rPr>
          <w:rFonts w:eastAsiaTheme="minorEastAsia"/>
          <w:i/>
          <w:iCs/>
          <w:szCs w:val="24"/>
          <w:lang w:val="es-ES_tradnl"/>
        </w:rPr>
        <w:t>C</w:t>
      </w:r>
      <w:r w:rsidRPr="00297B30">
        <w:rPr>
          <w:rFonts w:eastAsiaTheme="minorEastAsia"/>
          <w:vertAlign w:val="subscript"/>
          <w:lang w:val="es-ES_tradnl"/>
        </w:rPr>
        <w:sym w:font="Symbol" w:char="F0AD"/>
      </w:r>
      <w:r w:rsidRPr="00297B30">
        <w:rPr>
          <w:rFonts w:eastAsiaTheme="minorEastAsia"/>
          <w:szCs w:val="24"/>
          <w:lang w:val="es-ES_tradnl"/>
        </w:rPr>
        <w:t xml:space="preserve"> es –171,7 </w:t>
      </w:r>
      <w:proofErr w:type="spellStart"/>
      <w:r w:rsidRPr="00297B30">
        <w:rPr>
          <w:rFonts w:eastAsiaTheme="minorEastAsia"/>
          <w:szCs w:val="24"/>
          <w:lang w:val="es-ES_tradnl"/>
        </w:rPr>
        <w:t>dBW</w:t>
      </w:r>
      <w:proofErr w:type="spellEnd"/>
      <w:r w:rsidRPr="00297B30">
        <w:rPr>
          <w:rFonts w:eastAsiaTheme="minorEastAsia"/>
          <w:szCs w:val="24"/>
          <w:lang w:val="es-ES_tradnl"/>
        </w:rPr>
        <w:t>,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vertAlign w:val="subscript"/>
          <w:lang w:val="es-ES_tradnl"/>
        </w:rPr>
        <w:sym w:font="Symbol" w:char="F0AF"/>
      </w:r>
      <w:r w:rsidRPr="00297B30">
        <w:rPr>
          <w:rFonts w:eastAsiaTheme="minorEastAsia"/>
          <w:szCs w:val="24"/>
          <w:lang w:val="es-ES_tradnl"/>
        </w:rPr>
        <w:t xml:space="preserve"> es 43,8 dB(Hz),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vertAlign w:val="subscript"/>
          <w:lang w:val="es-ES_tradnl"/>
        </w:rPr>
        <w:sym w:font="Symbol" w:char="F0AD"/>
      </w:r>
      <w:r w:rsidRPr="00297B30">
        <w:rPr>
          <w:rFonts w:eastAsiaTheme="minorEastAsia"/>
          <w:szCs w:val="24"/>
          <w:lang w:val="es-ES_tradnl"/>
        </w:rPr>
        <w:t xml:space="preserve"> es –203 dB(W/Hz), </w:t>
      </w:r>
      <w:proofErr w:type="spellStart"/>
      <w:r w:rsidRPr="00297B30">
        <w:rPr>
          <w:rFonts w:eastAsiaTheme="minorEastAsia"/>
          <w:i/>
          <w:iCs/>
          <w:szCs w:val="24"/>
          <w:lang w:val="es-ES_tradnl"/>
        </w:rPr>
        <w:t>Lps</w:t>
      </w:r>
      <w:proofErr w:type="spellEnd"/>
      <w:r w:rsidRPr="00297B30">
        <w:rPr>
          <w:rFonts w:eastAsiaTheme="minorEastAsia"/>
          <w:szCs w:val="24"/>
          <w:lang w:val="es-ES_tradnl"/>
        </w:rPr>
        <w:t xml:space="preserve"> es –18,3 dB y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ascii="Tms Rmn" w:eastAsiaTheme="minorEastAsia" w:hAnsi="Tms Rmn" w:cs="Tms Rmn"/>
          <w:sz w:val="4"/>
          <w:szCs w:val="4"/>
          <w:lang w:val="es-ES_tradnl"/>
        </w:rPr>
        <w:t> </w:t>
      </w:r>
      <w:r w:rsidRPr="00297B30">
        <w:rPr>
          <w:rFonts w:eastAsiaTheme="minorEastAsia"/>
          <w:szCs w:val="24"/>
          <w:lang w:val="es-ES_tradnl"/>
        </w:rPr>
        <w:t>)</w:t>
      </w:r>
      <w:r w:rsidRPr="00297B30">
        <w:rPr>
          <w:rFonts w:eastAsiaTheme="minorEastAsia"/>
          <w:vertAlign w:val="subscript"/>
          <w:lang w:val="es-ES_tradnl"/>
        </w:rPr>
        <w:sym w:font="Symbol" w:char="F0AF"/>
      </w:r>
      <w:r w:rsidRPr="00297B30">
        <w:rPr>
          <w:rFonts w:eastAsiaTheme="minorEastAsia"/>
          <w:szCs w:val="24"/>
          <w:lang w:val="es-ES_tradnl"/>
        </w:rPr>
        <w:t xml:space="preserve"> es 43,8 dB(Hz) menos 10 log(80 kHz) o –5,2 dB. Entrando con estos valores numéricos en la ecuación (12) se obtiene:</w:t>
      </w:r>
    </w:p>
    <w:p w:rsidR="00543337" w:rsidRPr="00297B30" w:rsidRDefault="00543337" w:rsidP="00543337">
      <w:pPr>
        <w:pStyle w:val="Equation"/>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2"/>
          <w:lang w:val="es-ES_tradnl"/>
        </w:rPr>
        <w:object w:dxaOrig="7720" w:dyaOrig="400">
          <v:shape id="_x0000_i1056" type="#_x0000_t75" style="width:379.7pt;height:19.7pt" o:ole="">
            <v:imagedata r:id="rId75" o:title=""/>
          </v:shape>
          <o:OLEObject Type="Embed" ProgID="Equation.3" ShapeID="_x0000_i1056" DrawAspect="Content" ObjectID="_1501062627" r:id="rId76"/>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o:</w:t>
      </w:r>
    </w:p>
    <w:p w:rsidR="00543337" w:rsidRDefault="00543337" w:rsidP="00543337">
      <w:pPr>
        <w:pStyle w:val="Equation"/>
        <w:jc w:val="center"/>
        <w:rPr>
          <w:rFonts w:eastAsiaTheme="minorEastAsia"/>
          <w:lang w:val="es-ES_tradnl"/>
        </w:rPr>
      </w:pPr>
      <w:r w:rsidRPr="00297B30">
        <w:rPr>
          <w:rFonts w:eastAsiaTheme="minorEastAsia"/>
          <w:position w:val="-12"/>
          <w:lang w:val="es-ES_tradnl"/>
        </w:rPr>
        <w:object w:dxaOrig="2920" w:dyaOrig="360">
          <v:shape id="_x0000_i1057" type="#_x0000_t75" style="width:143.3pt;height:18.35pt" o:ole="">
            <v:imagedata r:id="rId77" o:title=""/>
          </v:shape>
          <o:OLEObject Type="Embed" ProgID="Equation.3" ShapeID="_x0000_i1057" DrawAspect="Content" ObjectID="_1501062628" r:id="rId78"/>
        </w:object>
      </w:r>
    </w:p>
    <w:p w:rsidR="00543337" w:rsidRDefault="00543337" w:rsidP="000B4E30">
      <w:pPr>
        <w:rPr>
          <w:lang w:val="en-US"/>
        </w:rPr>
      </w:pPr>
      <w:r>
        <w:rPr>
          <w:lang w:val="en-US"/>
        </w:rPr>
        <w:t>o:</w:t>
      </w:r>
    </w:p>
    <w:p w:rsidR="00543337" w:rsidRDefault="00543337" w:rsidP="00543337">
      <w:pPr>
        <w:jc w:val="center"/>
        <w:rPr>
          <w:lang w:val="en-US"/>
        </w:rPr>
      </w:pPr>
      <w:r w:rsidRPr="00367CD0">
        <w:rPr>
          <w:position w:val="-12"/>
        </w:rPr>
        <w:object w:dxaOrig="3480" w:dyaOrig="360">
          <v:shape id="_x0000_i1058" type="#_x0000_t75" style="width:176.6pt;height:17pt" o:ole="">
            <v:imagedata r:id="rId79" o:title=""/>
          </v:shape>
          <o:OLEObject Type="Embed" ProgID="Equation.3" ShapeID="_x0000_i1058" DrawAspect="Content" ObjectID="_1501062629" r:id="rId80"/>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Es conveniente caracterizar los criterios de protección en términos del umbral de interferencia de la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de la interferencia especificada en dB(W/(m</w:t>
      </w:r>
      <w:r w:rsidRPr="00297B30">
        <w:rPr>
          <w:rFonts w:eastAsiaTheme="minorEastAsia"/>
          <w:szCs w:val="24"/>
          <w:vertAlign w:val="superscript"/>
          <w:lang w:val="es-ES_tradnl"/>
        </w:rPr>
        <w:t>2</w:t>
      </w:r>
      <w:r w:rsidRPr="00297B30">
        <w:rPr>
          <w:rFonts w:eastAsiaTheme="minorEastAsia"/>
          <w:szCs w:val="24"/>
          <w:lang w:val="es-ES_tradnl"/>
        </w:rPr>
        <w:t xml:space="preserve"> ∙ Hz)) a la entrada de la antena receptora del satélite de 406 MHz. La apertura efectiva de una antena, </w:t>
      </w:r>
      <w:proofErr w:type="spellStart"/>
      <w:r w:rsidRPr="00297B30">
        <w:rPr>
          <w:rFonts w:eastAsiaTheme="minorEastAsia"/>
          <w:i/>
          <w:iCs/>
          <w:szCs w:val="24"/>
          <w:lang w:val="es-ES_tradnl"/>
        </w:rPr>
        <w:t>A</w:t>
      </w:r>
      <w:r w:rsidRPr="00297B30">
        <w:rPr>
          <w:rFonts w:eastAsiaTheme="minorEastAsia"/>
          <w:i/>
          <w:iCs/>
          <w:szCs w:val="24"/>
          <w:vertAlign w:val="subscript"/>
          <w:lang w:val="es-ES_tradnl"/>
        </w:rPr>
        <w:t>e</w:t>
      </w:r>
      <w:proofErr w:type="spellEnd"/>
      <w:r w:rsidRPr="00297B30">
        <w:rPr>
          <w:rFonts w:eastAsiaTheme="minorEastAsia"/>
          <w:szCs w:val="24"/>
          <w:lang w:val="es-ES_tradnl"/>
        </w:rPr>
        <w:t xml:space="preserve">, de ganancia </w:t>
      </w:r>
      <w:r w:rsidRPr="00297B30">
        <w:rPr>
          <w:rFonts w:eastAsiaTheme="minorEastAsia"/>
          <w:i/>
          <w:iCs/>
          <w:szCs w:val="24"/>
          <w:lang w:val="es-ES_tradnl"/>
        </w:rPr>
        <w:t>G</w:t>
      </w:r>
      <w:r w:rsidRPr="00297B30">
        <w:rPr>
          <w:rFonts w:eastAsiaTheme="minorEastAsia"/>
          <w:szCs w:val="24"/>
          <w:lang w:val="es-ES_tradnl"/>
        </w:rPr>
        <w:t xml:space="preserve"> es </w:t>
      </w:r>
      <w:proofErr w:type="spellStart"/>
      <w:r w:rsidRPr="00297B30">
        <w:rPr>
          <w:rFonts w:eastAsiaTheme="minorEastAsia"/>
          <w:i/>
          <w:iCs/>
          <w:szCs w:val="24"/>
          <w:lang w:val="es-ES_tradnl"/>
        </w:rPr>
        <w:t>A</w:t>
      </w:r>
      <w:r w:rsidRPr="00297B30">
        <w:rPr>
          <w:rFonts w:eastAsiaTheme="minorEastAsia"/>
          <w:i/>
          <w:iCs/>
          <w:szCs w:val="24"/>
          <w:vertAlign w:val="subscript"/>
          <w:lang w:val="es-ES_tradnl"/>
        </w:rPr>
        <w:t>e</w:t>
      </w:r>
      <w:proofErr w:type="spellEnd"/>
      <w:r w:rsidRPr="00297B30">
        <w:rPr>
          <w:rFonts w:eastAsiaTheme="minorEastAsia"/>
          <w:szCs w:val="24"/>
          <w:lang w:val="es-ES_tradnl"/>
        </w:rPr>
        <w:t> = </w:t>
      </w:r>
      <w:r w:rsidRPr="00297B30">
        <w:rPr>
          <w:rFonts w:eastAsiaTheme="minorEastAsia"/>
          <w:i/>
          <w:iCs/>
          <w:szCs w:val="24"/>
          <w:lang w:val="es-ES_tradnl"/>
        </w:rPr>
        <w:t>G</w:t>
      </w:r>
      <w:r w:rsidRPr="00297B30">
        <w:rPr>
          <w:rFonts w:eastAsiaTheme="minorEastAsia"/>
          <w:szCs w:val="24"/>
          <w:lang w:val="es-ES_tradnl"/>
        </w:rPr>
        <w:t> </w:t>
      </w:r>
      <w:r w:rsidRPr="00297B30">
        <w:rPr>
          <w:rFonts w:eastAsiaTheme="minorEastAsia"/>
          <w:szCs w:val="24"/>
          <w:lang w:val="es-ES_tradnl"/>
        </w:rPr>
        <w:sym w:font="Symbol" w:char="F06C"/>
      </w:r>
      <w:r w:rsidRPr="00297B30">
        <w:rPr>
          <w:rFonts w:eastAsiaTheme="minorEastAsia"/>
          <w:szCs w:val="24"/>
          <w:vertAlign w:val="superscript"/>
          <w:lang w:val="es-ES_tradnl"/>
        </w:rPr>
        <w:t>2</w:t>
      </w:r>
      <w:r w:rsidRPr="00297B30">
        <w:rPr>
          <w:rFonts w:eastAsiaTheme="minorEastAsia"/>
          <w:szCs w:val="24"/>
          <w:lang w:val="es-ES_tradnl"/>
        </w:rPr>
        <w:t>/4</w:t>
      </w:r>
      <w:r w:rsidRPr="00297B30">
        <w:rPr>
          <w:rFonts w:eastAsiaTheme="minorEastAsia"/>
          <w:szCs w:val="24"/>
          <w:lang w:val="es-ES_tradnl"/>
        </w:rPr>
        <w:sym w:font="Symbol" w:char="F070"/>
      </w:r>
      <w:r w:rsidRPr="00297B30">
        <w:rPr>
          <w:rFonts w:eastAsiaTheme="minorEastAsia"/>
          <w:lang w:val="es-ES_tradnl"/>
        </w:rPr>
        <w:t>.</w:t>
      </w:r>
      <w:r w:rsidRPr="00297B30">
        <w:rPr>
          <w:rFonts w:ascii="Arial" w:eastAsiaTheme="minorEastAsia" w:hAnsi="Arial" w:cs="Arial"/>
          <w:szCs w:val="24"/>
          <w:lang w:val="es-ES_tradnl"/>
        </w:rPr>
        <w:t xml:space="preserve"> </w:t>
      </w:r>
      <w:r w:rsidRPr="00297B30">
        <w:rPr>
          <w:rFonts w:eastAsiaTheme="minorEastAsia"/>
          <w:szCs w:val="24"/>
          <w:lang w:val="es-ES_tradnl"/>
        </w:rPr>
        <w:t>Para una antena receptora GOES con una ganancia de 12 </w:t>
      </w:r>
      <w:proofErr w:type="spellStart"/>
      <w:r w:rsidRPr="00297B30">
        <w:rPr>
          <w:rFonts w:eastAsiaTheme="minorEastAsia"/>
          <w:szCs w:val="24"/>
          <w:lang w:val="es-ES_tradnl"/>
        </w:rPr>
        <w:t>dBi</w:t>
      </w:r>
      <w:proofErr w:type="spellEnd"/>
      <w:r w:rsidRPr="00297B30">
        <w:rPr>
          <w:rFonts w:eastAsiaTheme="minorEastAsia"/>
          <w:szCs w:val="24"/>
          <w:lang w:val="es-ES_tradnl"/>
        </w:rPr>
        <w:t>, la apertura efectiva es 0,689 m</w:t>
      </w:r>
      <w:r w:rsidRPr="00297B30">
        <w:rPr>
          <w:rFonts w:eastAsiaTheme="minorEastAsia"/>
          <w:szCs w:val="24"/>
          <w:vertAlign w:val="superscript"/>
          <w:lang w:val="es-ES_tradnl"/>
        </w:rPr>
        <w:t>2</w:t>
      </w:r>
      <w:r w:rsidRPr="00297B30">
        <w:rPr>
          <w:rFonts w:eastAsiaTheme="minorEastAsia"/>
          <w:szCs w:val="24"/>
          <w:lang w:val="es-ES_tradnl"/>
        </w:rPr>
        <w:t xml:space="preserve">. Por lo tanto, la máxima interferencia combinada aceptable especificada como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es:</w:t>
      </w:r>
    </w:p>
    <w:p w:rsidR="00543337" w:rsidRPr="00297B30" w:rsidRDefault="00543337" w:rsidP="00543337">
      <w:pPr>
        <w:pStyle w:val="Blanc"/>
        <w:rPr>
          <w:rFonts w:eastAsiaTheme="minorEastAsia"/>
          <w:sz w:val="10"/>
          <w:lang w:val="es-ES_tradnl"/>
        </w:rPr>
      </w:pPr>
    </w:p>
    <w:p w:rsidR="00543337" w:rsidRPr="00297B30" w:rsidRDefault="00543337" w:rsidP="00543337">
      <w:pPr>
        <w:pStyle w:val="Equation"/>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2"/>
          <w:lang w:val="es-ES_tradnl"/>
        </w:rPr>
        <w:object w:dxaOrig="3040" w:dyaOrig="360">
          <v:shape id="_x0000_i1059" type="#_x0000_t75" style="width:149.45pt;height:18.35pt" o:ole="">
            <v:imagedata r:id="rId81" o:title=""/>
          </v:shape>
          <o:OLEObject Type="Embed" ProgID="Equation.3" ShapeID="_x0000_i1059" DrawAspect="Content" ObjectID="_1501062630" r:id="rId82"/>
        </w:object>
      </w:r>
    </w:p>
    <w:p w:rsidR="00543337" w:rsidRPr="00297B30" w:rsidRDefault="00543337" w:rsidP="00543337">
      <w:pPr>
        <w:pStyle w:val="Blanc"/>
        <w:rPr>
          <w:rFonts w:eastAsiaTheme="minorEastAsia"/>
          <w:sz w:val="10"/>
          <w:lang w:val="es-ES_tradnl"/>
        </w:rPr>
      </w:pPr>
    </w:p>
    <w:p w:rsidR="00543337" w:rsidRPr="00297B30" w:rsidRDefault="00543337" w:rsidP="00543337">
      <w:pPr>
        <w:rPr>
          <w:rFonts w:eastAsiaTheme="minorEastAsia"/>
          <w:szCs w:val="24"/>
          <w:lang w:val="es-ES_tradnl"/>
        </w:rPr>
      </w:pPr>
      <w:r w:rsidRPr="00297B30">
        <w:rPr>
          <w:rFonts w:eastAsiaTheme="minorEastAsia"/>
          <w:szCs w:val="24"/>
          <w:lang w:val="es-ES_tradnl"/>
        </w:rPr>
        <w:t>Suponiendo unas pérdidas en la línea de 1,9 dB (véase la Fig. 7):</w:t>
      </w:r>
    </w:p>
    <w:p w:rsidR="00543337" w:rsidRPr="00297B30" w:rsidRDefault="00543337" w:rsidP="00543337">
      <w:pPr>
        <w:pStyle w:val="Blanc"/>
        <w:rPr>
          <w:rFonts w:eastAsiaTheme="minorEastAsia"/>
          <w:sz w:val="10"/>
          <w:lang w:val="es-ES_tradnl"/>
        </w:rPr>
      </w:pPr>
    </w:p>
    <w:p w:rsidR="00543337" w:rsidRPr="00297B30" w:rsidRDefault="00543337" w:rsidP="00543337">
      <w:pPr>
        <w:pStyle w:val="Equation"/>
        <w:rPr>
          <w:rFonts w:eastAsiaTheme="minorEastAsia"/>
          <w:lang w:val="es-ES_tradnl"/>
        </w:rPr>
      </w:pPr>
      <w:r w:rsidRPr="00297B30">
        <w:rPr>
          <w:rFonts w:eastAsiaTheme="minorEastAsia"/>
          <w:lang w:val="es-ES_tradnl"/>
        </w:rPr>
        <w:tab/>
      </w:r>
      <w:r w:rsidRPr="00297B30">
        <w:rPr>
          <w:rFonts w:eastAsiaTheme="minorEastAsia"/>
          <w:lang w:val="es-ES_tradnl"/>
        </w:rPr>
        <w:tab/>
      </w:r>
      <w:r w:rsidRPr="00F240C1">
        <w:rPr>
          <w:color w:val="FF0000"/>
          <w:position w:val="-10"/>
        </w:rPr>
        <w:object w:dxaOrig="6600" w:dyaOrig="380">
          <v:shape id="_x0000_i1060" type="#_x0000_t75" style="width:330.1pt;height:19pt" o:ole="">
            <v:imagedata r:id="rId83" o:title=""/>
          </v:shape>
          <o:OLEObject Type="Embed" ProgID="Equation.3" ShapeID="_x0000_i1060" DrawAspect="Content" ObjectID="_1501062631" r:id="rId84"/>
        </w:object>
      </w:r>
    </w:p>
    <w:p w:rsidR="00543337" w:rsidRPr="00297B30" w:rsidRDefault="00543337" w:rsidP="00543337">
      <w:pPr>
        <w:pStyle w:val="Blanc"/>
        <w:rPr>
          <w:rFonts w:eastAsiaTheme="minorEastAsia"/>
          <w:sz w:val="10"/>
          <w:lang w:val="es-ES_tradnl"/>
        </w:rPr>
      </w:pPr>
    </w:p>
    <w:p w:rsidR="00543337" w:rsidRPr="00297B30" w:rsidRDefault="00543337" w:rsidP="00543337">
      <w:pPr>
        <w:pStyle w:val="Equation"/>
        <w:jc w:val="left"/>
        <w:rPr>
          <w:lang w:val="es-ES_tradnl"/>
        </w:rPr>
      </w:pPr>
      <w:r w:rsidRPr="00297B30">
        <w:rPr>
          <w:lang w:val="es-ES_tradnl"/>
        </w:rPr>
        <w:t xml:space="preserve">Para la serie GOES-R, la ganancia de la </w:t>
      </w:r>
      <w:proofErr w:type="spellStart"/>
      <w:r w:rsidRPr="00297B30">
        <w:rPr>
          <w:lang w:val="es-ES_tradnl"/>
        </w:rPr>
        <w:t>antenna</w:t>
      </w:r>
      <w:proofErr w:type="spellEnd"/>
      <w:r w:rsidRPr="00297B30">
        <w:rPr>
          <w:lang w:val="es-ES_tradnl"/>
        </w:rPr>
        <w:t xml:space="preserve"> receptora es de 14,3 </w:t>
      </w:r>
      <w:proofErr w:type="spellStart"/>
      <w:r w:rsidRPr="00297B30">
        <w:rPr>
          <w:lang w:val="es-ES_tradnl"/>
        </w:rPr>
        <w:t>dBi</w:t>
      </w:r>
      <w:proofErr w:type="spellEnd"/>
      <w:r w:rsidRPr="00297B30">
        <w:rPr>
          <w:lang w:val="es-ES_tradnl"/>
        </w:rPr>
        <w:t xml:space="preserve">, la </w:t>
      </w:r>
      <w:proofErr w:type="spellStart"/>
      <w:r w:rsidRPr="00297B30">
        <w:rPr>
          <w:lang w:val="es-ES_tradnl"/>
        </w:rPr>
        <w:t>aperture</w:t>
      </w:r>
      <w:proofErr w:type="spellEnd"/>
      <w:r w:rsidRPr="00297B30">
        <w:rPr>
          <w:lang w:val="es-ES_tradnl"/>
        </w:rPr>
        <w:t xml:space="preserve"> efectiva es de 1,617 m</w:t>
      </w:r>
      <w:r w:rsidRPr="00297B30">
        <w:rPr>
          <w:vertAlign w:val="superscript"/>
          <w:lang w:val="es-ES_tradnl"/>
        </w:rPr>
        <w:t>2</w:t>
      </w:r>
      <w:r w:rsidRPr="00297B30">
        <w:rPr>
          <w:lang w:val="es-ES_tradnl"/>
        </w:rPr>
        <w:t xml:space="preserve">. La interferencia combinada máxima </w:t>
      </w:r>
      <w:proofErr w:type="spellStart"/>
      <w:r w:rsidRPr="00297B30">
        <w:rPr>
          <w:lang w:val="es-ES_tradnl"/>
        </w:rPr>
        <w:t>acceptable</w:t>
      </w:r>
      <w:proofErr w:type="spellEnd"/>
      <w:r w:rsidRPr="00297B30">
        <w:rPr>
          <w:lang w:val="es-ES_tradnl"/>
        </w:rPr>
        <w:t xml:space="preserve"> expresada mediante la </w:t>
      </w:r>
      <w:proofErr w:type="spellStart"/>
      <w:r w:rsidRPr="00297B30">
        <w:rPr>
          <w:lang w:val="es-ES_tradnl"/>
        </w:rPr>
        <w:t>dfp</w:t>
      </w:r>
      <w:proofErr w:type="spellEnd"/>
      <w:r w:rsidRPr="00297B30">
        <w:rPr>
          <w:lang w:val="es-ES_tradnl"/>
        </w:rPr>
        <w:t xml:space="preserve"> espectral es:</w:t>
      </w:r>
    </w:p>
    <w:p w:rsidR="00543337" w:rsidRPr="00297B30" w:rsidRDefault="00543337" w:rsidP="00543337">
      <w:pPr>
        <w:pStyle w:val="Blanc"/>
        <w:rPr>
          <w:rFonts w:eastAsiaTheme="minorEastAsia"/>
          <w:sz w:val="10"/>
          <w:lang w:val="es-ES_tradnl"/>
        </w:rPr>
      </w:pPr>
    </w:p>
    <w:p w:rsidR="00543337" w:rsidRPr="00297B30" w:rsidRDefault="00543337" w:rsidP="00543337">
      <w:pPr>
        <w:pStyle w:val="Equation"/>
        <w:rPr>
          <w:lang w:val="es-ES_tradnl"/>
        </w:rPr>
      </w:pPr>
      <w:r w:rsidRPr="00297B30">
        <w:rPr>
          <w:lang w:val="es-ES_tradnl"/>
        </w:rPr>
        <w:tab/>
      </w:r>
      <w:r w:rsidRPr="00297B30">
        <w:rPr>
          <w:lang w:val="es-ES_tradnl"/>
        </w:rPr>
        <w:tab/>
      </w:r>
      <w:r w:rsidRPr="00297B30">
        <w:rPr>
          <w:color w:val="FF0000"/>
          <w:position w:val="-10"/>
          <w:lang w:val="es-ES_tradnl"/>
        </w:rPr>
        <w:object w:dxaOrig="6740" w:dyaOrig="360">
          <v:shape id="_x0000_i1061" type="#_x0000_t75" style="width:338.25pt;height:17.65pt" o:ole="">
            <v:imagedata r:id="rId85" o:title=""/>
          </v:shape>
          <o:OLEObject Type="Embed" ProgID="Equation.3" ShapeID="_x0000_i1061" DrawAspect="Content" ObjectID="_1501062632" r:id="rId86"/>
        </w:object>
      </w:r>
    </w:p>
    <w:p w:rsidR="00543337" w:rsidRPr="00297B30" w:rsidRDefault="00543337" w:rsidP="00543337">
      <w:pPr>
        <w:pStyle w:val="Blanc"/>
        <w:rPr>
          <w:rFonts w:eastAsiaTheme="minorEastAsia"/>
          <w:sz w:val="10"/>
          <w:lang w:val="es-ES_tradnl"/>
        </w:rPr>
      </w:pPr>
    </w:p>
    <w:p w:rsidR="00543337" w:rsidRPr="00297B30" w:rsidRDefault="00543337" w:rsidP="00543337">
      <w:pPr>
        <w:rPr>
          <w:rFonts w:eastAsiaTheme="minorEastAsia"/>
          <w:szCs w:val="24"/>
          <w:lang w:val="es-ES_tradnl"/>
        </w:rPr>
      </w:pPr>
      <w:r w:rsidRPr="00297B30">
        <w:rPr>
          <w:rFonts w:eastAsiaTheme="minorEastAsia"/>
          <w:szCs w:val="24"/>
          <w:lang w:val="es-ES_tradnl"/>
        </w:rPr>
        <w:t>El máximo nivel de la interferencia similar al ruido de banda ancha en la banda 406-406,1 MHz medida en la antena del satélite GOES no deberá rebasar el valor de –204,2 dB(W/(m</w:t>
      </w:r>
      <w:r w:rsidRPr="00297B30">
        <w:rPr>
          <w:rFonts w:eastAsiaTheme="minorEastAsia"/>
          <w:szCs w:val="24"/>
          <w:vertAlign w:val="superscript"/>
          <w:lang w:val="es-ES_tradnl"/>
        </w:rPr>
        <w:t>2</w:t>
      </w:r>
      <w:r w:rsidRPr="00297B30">
        <w:rPr>
          <w:rFonts w:eastAsiaTheme="minorEastAsia"/>
          <w:szCs w:val="24"/>
          <w:lang w:val="es-ES_tradnl"/>
        </w:rPr>
        <w:t xml:space="preserve"> ∙ Hz)) </w:t>
      </w:r>
      <w:r w:rsidRPr="00297B30">
        <w:rPr>
          <w:lang w:val="es-ES_tradnl"/>
        </w:rPr>
        <w:t>para los actuales satélites GOES y el valor de –204,7 dB(W/(m</w:t>
      </w:r>
      <w:r w:rsidRPr="00297B30">
        <w:rPr>
          <w:vertAlign w:val="superscript"/>
          <w:lang w:val="es-ES_tradnl"/>
        </w:rPr>
        <w:t>2</w:t>
      </w:r>
      <w:r w:rsidRPr="00297B30">
        <w:rPr>
          <w:lang w:val="es-ES_tradnl"/>
        </w:rPr>
        <w:t> ∙ Hz)) para la serie GOES-R</w:t>
      </w:r>
      <w:r w:rsidRPr="00297B30">
        <w:rPr>
          <w:rFonts w:eastAsiaTheme="minorEastAsia"/>
          <w:szCs w:val="24"/>
          <w:lang w:val="es-ES_tradnl"/>
        </w:rPr>
        <w:t>.</w:t>
      </w:r>
    </w:p>
    <w:p w:rsidR="00543337" w:rsidRPr="00297B30" w:rsidRDefault="00543337" w:rsidP="00543337">
      <w:pPr>
        <w:pStyle w:val="Heading1"/>
        <w:rPr>
          <w:lang w:val="es-ES_tradnl"/>
        </w:rPr>
      </w:pPr>
      <w:r w:rsidRPr="00297B30">
        <w:rPr>
          <w:lang w:val="es-ES_tradnl"/>
        </w:rPr>
        <w:t>3</w:t>
      </w:r>
      <w:r w:rsidRPr="00297B30">
        <w:rPr>
          <w:lang w:val="es-ES_tradnl"/>
        </w:rPr>
        <w:tab/>
        <w:t>Procedimiento para calcular el nivel de interferencia causada al canal SARR GOES de 406 MHz</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interferencia provocada al </w:t>
      </w:r>
      <w:proofErr w:type="spellStart"/>
      <w:r w:rsidRPr="00297B30">
        <w:rPr>
          <w:rFonts w:eastAsiaTheme="minorEastAsia"/>
          <w:szCs w:val="24"/>
          <w:lang w:val="es-ES_tradnl"/>
        </w:rPr>
        <w:t>Cospas</w:t>
      </w:r>
      <w:r w:rsidRPr="00297B30">
        <w:rPr>
          <w:rFonts w:eastAsiaTheme="minorEastAsia"/>
          <w:szCs w:val="24"/>
          <w:lang w:val="es-ES_tradnl"/>
        </w:rPr>
        <w:noBreakHyphen/>
        <w:t>Sarsat</w:t>
      </w:r>
      <w:proofErr w:type="spellEnd"/>
      <w:r w:rsidRPr="00297B30">
        <w:rPr>
          <w:rFonts w:eastAsiaTheme="minorEastAsia"/>
          <w:szCs w:val="24"/>
          <w:lang w:val="es-ES_tradnl"/>
        </w:rPr>
        <w:t xml:space="preserve"> es a menudo el resultado de emisiones fuera de banda procedentes de servicios que funcionan en bandas adyacentes o casi adyacentes.</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Debe examinarse la anchura de banda de la emisión para determinar si se transmite energía en la banda 406-406,1 MHz. Hay que tener especial precaución al analizar la repercusión de los sistemas móviles (por ejemplo, satélites no geoestacionarios y transmisores a bordo de aeronaves) para tener en cuenta los efectos del desplazamiento </w:t>
      </w:r>
      <w:proofErr w:type="spellStart"/>
      <w:r w:rsidRPr="00297B30">
        <w:rPr>
          <w:rFonts w:eastAsiaTheme="minorEastAsia"/>
          <w:szCs w:val="24"/>
          <w:lang w:val="es-ES_tradnl"/>
        </w:rPr>
        <w:t>Doppler</w:t>
      </w:r>
      <w:proofErr w:type="spellEnd"/>
      <w:r w:rsidRPr="00297B30">
        <w:rPr>
          <w:rFonts w:eastAsiaTheme="minorEastAsia"/>
          <w:szCs w:val="24"/>
          <w:lang w:val="es-ES_tradnl"/>
        </w:rPr>
        <w:t xml:space="preserve"> generados por su movimiento.</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Se calcula el nivel de interferencia procedente de todas las fuentes que transmiten energía en la banda expresada como nivel de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en la antena del satélite. El nivel combinado de todas las fuentes interferentes no debe rebasar el valor de –204,2 dB(W/(m</w:t>
      </w:r>
      <w:r w:rsidRPr="00297B30">
        <w:rPr>
          <w:rFonts w:eastAsiaTheme="minorEastAsia"/>
          <w:szCs w:val="24"/>
          <w:vertAlign w:val="superscript"/>
          <w:lang w:val="es-ES_tradnl"/>
        </w:rPr>
        <w:t>2</w:t>
      </w:r>
      <w:r w:rsidRPr="00297B30">
        <w:rPr>
          <w:rFonts w:eastAsiaTheme="minorEastAsia"/>
          <w:szCs w:val="24"/>
          <w:lang w:val="es-ES_tradnl"/>
        </w:rPr>
        <w:t xml:space="preserve"> ∙ Hz)) en cualquier parte de esta gama para los sistemas GOES antiguos y el valor de </w:t>
      </w:r>
      <w:r w:rsidRPr="00297B30">
        <w:rPr>
          <w:lang w:val="es-ES_tradnl"/>
        </w:rPr>
        <w:t>–204,7 dB(W/(m</w:t>
      </w:r>
      <w:r w:rsidRPr="00297B30">
        <w:rPr>
          <w:vertAlign w:val="superscript"/>
          <w:lang w:val="es-ES_tradnl"/>
        </w:rPr>
        <w:t>2</w:t>
      </w:r>
      <w:r w:rsidRPr="00297B30">
        <w:rPr>
          <w:lang w:val="es-ES_tradnl"/>
        </w:rPr>
        <w:t> ∙ Hz)) para la serie GOES-R</w:t>
      </w:r>
      <w:r w:rsidRPr="00297B30">
        <w:rPr>
          <w:rFonts w:eastAsiaTheme="minorEastAsia"/>
          <w:szCs w:val="24"/>
          <w:lang w:val="es-ES_tradnl"/>
        </w:rPr>
        <w:t>.</w:t>
      </w:r>
    </w:p>
    <w:p w:rsidR="00543337" w:rsidRPr="00297B30" w:rsidRDefault="00543337" w:rsidP="00543337">
      <w:pPr>
        <w:rPr>
          <w:rFonts w:eastAsiaTheme="minorEastAsia"/>
          <w:szCs w:val="24"/>
          <w:lang w:val="es-ES_tradnl"/>
        </w:rPr>
      </w:pPr>
    </w:p>
    <w:p w:rsidR="00543337" w:rsidRPr="00297B30" w:rsidRDefault="00543337" w:rsidP="00543337">
      <w:pPr>
        <w:pStyle w:val="AnnexNoTitle"/>
        <w:rPr>
          <w:lang w:val="es-ES_tradnl"/>
        </w:rPr>
      </w:pPr>
      <w:r w:rsidRPr="00297B30">
        <w:rPr>
          <w:lang w:val="es-ES_tradnl"/>
        </w:rPr>
        <w:lastRenderedPageBreak/>
        <w:t>Anexo 7</w:t>
      </w:r>
      <w:r w:rsidRPr="00297B30">
        <w:rPr>
          <w:lang w:val="es-ES_tradnl"/>
        </w:rPr>
        <w:br/>
      </w:r>
      <w:r w:rsidRPr="00297B30">
        <w:rPr>
          <w:lang w:val="es-ES_tradnl"/>
        </w:rPr>
        <w:br/>
        <w:t>Criterios de protección en la banda 406-406,1 MHz</w:t>
      </w:r>
      <w:r w:rsidRPr="00297B30">
        <w:rPr>
          <w:lang w:val="es-ES_tradnl"/>
        </w:rPr>
        <w:br/>
        <w:t>para los servicios MSG GEOSAR</w:t>
      </w:r>
    </w:p>
    <w:p w:rsidR="00543337" w:rsidRPr="00297B30" w:rsidRDefault="00543337" w:rsidP="00543337">
      <w:pPr>
        <w:pStyle w:val="Heading1"/>
        <w:rPr>
          <w:rFonts w:eastAsiaTheme="minorEastAsia"/>
          <w:lang w:val="es-ES_tradnl"/>
        </w:rPr>
      </w:pPr>
      <w:r w:rsidRPr="00297B30">
        <w:rPr>
          <w:lang w:val="es-ES_tradnl"/>
        </w:rPr>
        <w:t>1</w:t>
      </w:r>
      <w:r w:rsidRPr="00297B30">
        <w:rPr>
          <w:rFonts w:eastAsiaTheme="minorEastAsia"/>
          <w:lang w:val="es-ES_tradnl"/>
        </w:rPr>
        <w:tab/>
        <w:t>Mínima calidad de funcionamiento aceptable para la detección de señales de las radiobalizas de localización de siniestros retransmitidas a través del canal SARR de 406 MHz MSG</w:t>
      </w:r>
    </w:p>
    <w:p w:rsidR="00543337" w:rsidRPr="00297B30" w:rsidRDefault="00543337" w:rsidP="00543337">
      <w:pPr>
        <w:rPr>
          <w:rFonts w:eastAsiaTheme="minorEastAsia"/>
          <w:szCs w:val="24"/>
          <w:lang w:val="es-ES_tradnl"/>
        </w:rPr>
      </w:pPr>
      <w:r w:rsidRPr="00297B30">
        <w:rPr>
          <w:rFonts w:eastAsiaTheme="minorEastAsia"/>
          <w:szCs w:val="24"/>
          <w:lang w:val="es-ES_tradnl"/>
        </w:rPr>
        <w:t>Para detectar con fiabilidad las señales de las radiobalizas de socorro a 406 MHz utilizando repetidores del satélite MSG de 406 MHz, la BER del canal no debe rebasar el valor de 5 × 10</w:t>
      </w:r>
      <w:r w:rsidRPr="00297B30">
        <w:rPr>
          <w:rFonts w:eastAsiaTheme="minorEastAsia"/>
          <w:szCs w:val="24"/>
          <w:vertAlign w:val="superscript"/>
          <w:lang w:val="es-ES_tradnl"/>
        </w:rPr>
        <w:t>–5</w:t>
      </w:r>
      <w:r w:rsidRPr="00297B30">
        <w:rPr>
          <w:rFonts w:eastAsiaTheme="minorEastAsia"/>
          <w:szCs w:val="24"/>
          <w:lang w:val="es-ES_tradnl"/>
        </w:rPr>
        <w:t>.</w:t>
      </w:r>
    </w:p>
    <w:p w:rsidR="00543337" w:rsidRPr="00297B30" w:rsidRDefault="00543337" w:rsidP="00543337">
      <w:pPr>
        <w:pStyle w:val="Heading1"/>
        <w:rPr>
          <w:lang w:val="es-ES_tradnl"/>
        </w:rPr>
      </w:pPr>
      <w:r w:rsidRPr="00297B30">
        <w:rPr>
          <w:lang w:val="es-ES_tradnl"/>
        </w:rPr>
        <w:t>2</w:t>
      </w:r>
      <w:r w:rsidRPr="00297B30">
        <w:rPr>
          <w:lang w:val="es-ES_tradnl"/>
        </w:rPr>
        <w:tab/>
        <w:t xml:space="preserve">Análisis de la </w:t>
      </w:r>
      <w:proofErr w:type="spellStart"/>
      <w:r w:rsidRPr="00297B30">
        <w:rPr>
          <w:lang w:val="es-ES_tradnl"/>
        </w:rPr>
        <w:t>dfp</w:t>
      </w:r>
      <w:proofErr w:type="spellEnd"/>
      <w:r w:rsidRPr="00297B30">
        <w:rPr>
          <w:lang w:val="es-ES_tradnl"/>
        </w:rPr>
        <w:t xml:space="preserve"> espectral que provoca interferencia</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BER de un canal de comunicaciones se obtiene a partir de la relación entre la energía contenida de cada bit de datos,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 xml:space="preserve">, y la densidad de ruido, que viene determinada por el ruido desarrollado por el equipo </w:t>
      </w:r>
      <w:proofErr w:type="spellStart"/>
      <w:r w:rsidRPr="00297B30">
        <w:rPr>
          <w:rFonts w:eastAsiaTheme="minorEastAsia"/>
          <w:szCs w:val="24"/>
          <w:lang w:val="es-ES_tradnl"/>
        </w:rPr>
        <w:t>Cospas</w:t>
      </w:r>
      <w:r w:rsidRPr="00297B30">
        <w:rPr>
          <w:rFonts w:eastAsiaTheme="minorEastAsia"/>
          <w:szCs w:val="24"/>
          <w:lang w:val="es-ES_tradnl"/>
        </w:rPr>
        <w:noBreakHyphen/>
        <w:t>Sarsat</w:t>
      </w:r>
      <w:proofErr w:type="spellEnd"/>
      <w:r w:rsidRPr="00297B30">
        <w:rPr>
          <w:rFonts w:eastAsiaTheme="minorEastAsia"/>
          <w:szCs w:val="24"/>
          <w:lang w:val="es-ES_tradnl"/>
        </w:rPr>
        <w:t xml:space="preserve">,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y el ruido causado por la interferencia procedente de otros sistemas,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La Fig. 8 representa el canal SARR de 406 MHz MSG con interferencia en el enlace ascendente.</w:t>
      </w:r>
    </w:p>
    <w:p w:rsidR="00543337" w:rsidRPr="00297B30" w:rsidRDefault="00543337" w:rsidP="00543337">
      <w:pPr>
        <w:pStyle w:val="FigureNo"/>
        <w:rPr>
          <w:lang w:val="es-ES_tradnl"/>
        </w:rPr>
      </w:pPr>
      <w:r w:rsidRPr="00297B30">
        <w:rPr>
          <w:lang w:val="es-ES_tradnl"/>
        </w:rPr>
        <w:t>figura 8</w:t>
      </w:r>
    </w:p>
    <w:p w:rsidR="00543337" w:rsidRPr="00297B30" w:rsidRDefault="00543337" w:rsidP="00543337">
      <w:pPr>
        <w:pStyle w:val="Figuretitle"/>
        <w:rPr>
          <w:lang w:val="es-ES_tradnl"/>
        </w:rPr>
      </w:pPr>
      <w:r w:rsidRPr="00297B30">
        <w:rPr>
          <w:lang w:val="es-ES_tradnl"/>
        </w:rPr>
        <w:t>Repetidor MSG de 406 MHz con interferencia en el enlace ascendente</w:t>
      </w:r>
    </w:p>
    <w:p w:rsidR="00543337" w:rsidRPr="00297B30" w:rsidRDefault="00543337" w:rsidP="00543337">
      <w:pPr>
        <w:pStyle w:val="Figure"/>
        <w:rPr>
          <w:rFonts w:eastAsiaTheme="minorEastAsia"/>
          <w:lang w:val="es-ES_tradnl"/>
        </w:rPr>
      </w:pPr>
      <w:r w:rsidRPr="00297B30">
        <w:rPr>
          <w:rFonts w:eastAsiaTheme="minorEastAsia"/>
          <w:lang w:val="es-ES_tradnl"/>
        </w:rPr>
        <w:object w:dxaOrig="9654" w:dyaOrig="5105">
          <v:shape id="_x0000_i1062" type="#_x0000_t75" style="width:454.4pt;height:239.1pt" o:ole="">
            <v:imagedata r:id="rId87" o:title=""/>
          </v:shape>
          <o:OLEObject Type="Embed" ProgID="CorelDRAW.Graphic.14" ShapeID="_x0000_i1062" DrawAspect="Content" ObjectID="_1501062633" r:id="rId88"/>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Para lograr una BER de 5 × 10</w:t>
      </w:r>
      <w:r w:rsidRPr="00297B30">
        <w:rPr>
          <w:rFonts w:eastAsiaTheme="minorEastAsia"/>
          <w:szCs w:val="24"/>
          <w:vertAlign w:val="superscript"/>
          <w:lang w:val="es-ES_tradnl"/>
        </w:rPr>
        <w:t>–5</w:t>
      </w:r>
      <w:r w:rsidRPr="00297B30">
        <w:rPr>
          <w:rFonts w:eastAsiaTheme="minorEastAsia"/>
          <w:szCs w:val="24"/>
          <w:lang w:val="es-ES_tradnl"/>
        </w:rPr>
        <w:t xml:space="preserve">, la relación entre la energía por bit y la densidad de ruido más interferencia,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xml:space="preserve">) en el demodulador GEOLUT debe ser igual o superior a 8,8 dB. Este análisis determina la máxima cantidad de interferencia similar al ruido de banda ancha especificada como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a la entrada de la antena del satélite MSG de 406 MHz que podría admitirse sin degradar en el enlace la relación global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a un valor por debajo de 8,8 dB.</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Como se representa en la Fig. 8, las señales de la radiobaliza de socorro de 406 MHz son recibidas por el repetidor de búsqueda y salvamento MSG y se modulan en fase en una portadora del enlace descendente de </w:t>
      </w:r>
      <w:r w:rsidRPr="00297B30">
        <w:rPr>
          <w:rFonts w:eastAsiaTheme="minorEastAsia"/>
          <w:lang w:val="es-ES_tradnl"/>
        </w:rPr>
        <w:t>1 544</w:t>
      </w:r>
      <w:r w:rsidRPr="00297B30">
        <w:rPr>
          <w:rFonts w:eastAsiaTheme="minorEastAsia"/>
          <w:szCs w:val="24"/>
          <w:lang w:val="es-ES_tradnl"/>
        </w:rPr>
        <w:t>,5 MHz para su detección y procesamiento por los GEOLUT. La ganancia de antena y la temperatura de ruido del sistema en el repetidor del satélite son de 3 </w:t>
      </w:r>
      <w:proofErr w:type="spellStart"/>
      <w:r w:rsidRPr="00297B30">
        <w:rPr>
          <w:rFonts w:eastAsiaTheme="minorEastAsia"/>
          <w:szCs w:val="24"/>
          <w:lang w:val="es-ES_tradnl"/>
        </w:rPr>
        <w:t>dB</w:t>
      </w:r>
      <w:r>
        <w:rPr>
          <w:rFonts w:eastAsiaTheme="minorEastAsia"/>
          <w:szCs w:val="24"/>
          <w:lang w:val="es-ES_tradnl"/>
        </w:rPr>
        <w:t>i</w:t>
      </w:r>
      <w:proofErr w:type="spellEnd"/>
      <w:r w:rsidRPr="00297B30">
        <w:rPr>
          <w:rFonts w:eastAsiaTheme="minorEastAsia"/>
          <w:szCs w:val="24"/>
          <w:lang w:val="es-ES_tradnl"/>
        </w:rPr>
        <w:t xml:space="preserve"> y 326 K en el punto A, respectivamente (véase la Fig. 8). Utilizando técnicas sofisticadas de procesamiento de la </w:t>
      </w:r>
      <w:r w:rsidRPr="00297B30">
        <w:rPr>
          <w:rFonts w:eastAsiaTheme="minorEastAsia"/>
          <w:szCs w:val="24"/>
          <w:lang w:val="es-ES_tradnl"/>
        </w:rPr>
        <w:lastRenderedPageBreak/>
        <w:t xml:space="preserve">señal digital y de integración de ráfagas, puede determinarse que cuando no hay interferencia el valor global de la relación portadora/densidad de ruido,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es de 27,4 dB(Hz).</w:t>
      </w:r>
    </w:p>
    <w:p w:rsidR="00543337" w:rsidRPr="00297B30" w:rsidRDefault="00543337" w:rsidP="00543337">
      <w:pPr>
        <w:rPr>
          <w:rFonts w:eastAsiaTheme="minorEastAsia"/>
          <w:szCs w:val="24"/>
          <w:lang w:val="es-ES_tradnl"/>
        </w:rPr>
      </w:pPr>
      <w:r w:rsidRPr="00297B30">
        <w:rPr>
          <w:rFonts w:eastAsiaTheme="minorEastAsia"/>
          <w:szCs w:val="24"/>
          <w:lang w:val="es-ES_tradnl"/>
        </w:rPr>
        <w:t>Este análisis supone tres radiobalizas activas transmitiendo simultáneamente en el mismo instante con tres frecuencias distintas en la banda 406-406,1 MHz para representar un entorno de funcionamiento realista. La radiobaliza deseada tiene un ángulo de elevación de 5° con respecto al vehículo espacial. Las otras dos radiobalizas se incluyen en el análisis porque comparten la potencia del repetidor del satélite disponible.</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Cuando no hay fuentes externas de interferencias, el valor global de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es 27,4 dB(Hz), que equivale a un valor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de 1,4 dB. Teniendo en cuenta las pérdidas de realización y de demodulación de datos de la radiobaliza así como la ganancia de procesamiento, el valor efectivo de la relación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es de 8,9 dB. Como el canal exige un valor global de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de al menos 8,8 dB para funcionar con eficacia, no puede admitirse una interferencia de banda ancha en el enlace ascendente que reduzca el valor global de la relación portadora/densidad de ruido más interferencia más de 0,1 dB.</w:t>
      </w:r>
    </w:p>
    <w:p w:rsidR="00543337" w:rsidRPr="00297B30" w:rsidRDefault="00543337" w:rsidP="00543337">
      <w:pPr>
        <w:keepNext/>
        <w:keepLines/>
        <w:rPr>
          <w:rFonts w:eastAsiaTheme="minorEastAsia"/>
          <w:szCs w:val="24"/>
          <w:lang w:val="es-ES_tradnl"/>
        </w:rPr>
      </w:pPr>
      <w:r w:rsidRPr="00297B30">
        <w:rPr>
          <w:rFonts w:eastAsiaTheme="minorEastAsia"/>
          <w:szCs w:val="24"/>
          <w:lang w:val="es-ES_tradnl"/>
        </w:rPr>
        <w:t xml:space="preserve">Dado que el valor global de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xml:space="preserve"> en ausencia de interferencia es de 27,4 dB(Hz), la interferencia similar al ruido de banda ancha en el enlace ascendente que degrada el enlace global 0,1 dB da lugar a una relación de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vertAlign w:val="subscript"/>
          <w:lang w:val="es-ES_tradnl"/>
        </w:rPr>
        <w:t>global con interferencia</w:t>
      </w:r>
      <w:r w:rsidRPr="00297B30">
        <w:rPr>
          <w:rFonts w:eastAsiaTheme="minorEastAsia"/>
          <w:szCs w:val="24"/>
          <w:lang w:val="es-ES_tradnl"/>
        </w:rPr>
        <w:t xml:space="preserve"> de:</w:t>
      </w:r>
    </w:p>
    <w:p w:rsidR="00543337" w:rsidRPr="00297B30" w:rsidRDefault="00543337" w:rsidP="00543337">
      <w:pPr>
        <w:pStyle w:val="Equation"/>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6"/>
          <w:lang w:val="es-ES_tradnl"/>
        </w:rPr>
        <w:object w:dxaOrig="5920" w:dyaOrig="400">
          <v:shape id="_x0000_i1063" type="#_x0000_t75" style="width:292.75pt;height:21.05pt" o:ole="">
            <v:imagedata r:id="rId89" o:title=""/>
          </v:shape>
          <o:OLEObject Type="Embed" ProgID="Equation.3" ShapeID="_x0000_i1063" DrawAspect="Content" ObjectID="_1501062634" r:id="rId90"/>
        </w:object>
      </w:r>
    </w:p>
    <w:p w:rsidR="00543337" w:rsidRPr="00297B30" w:rsidRDefault="00543337" w:rsidP="00543337">
      <w:pPr>
        <w:pStyle w:val="Equation"/>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2"/>
          <w:lang w:val="es-ES_tradnl"/>
        </w:rPr>
        <w:object w:dxaOrig="3240" w:dyaOrig="360">
          <v:shape id="_x0000_i1064" type="#_x0000_t75" style="width:158.95pt;height:18.35pt" o:ole="">
            <v:imagedata r:id="rId91" o:title=""/>
          </v:shape>
          <o:OLEObject Type="Embed" ProgID="Equation.3" ShapeID="_x0000_i1064" DrawAspect="Content" ObjectID="_1501062635" r:id="rId92"/>
        </w:object>
      </w:r>
    </w:p>
    <w:p w:rsidR="00543337" w:rsidRPr="00297B30" w:rsidRDefault="00543337" w:rsidP="00543337">
      <w:pPr>
        <w:pStyle w:val="Equation"/>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2"/>
          <w:lang w:val="es-ES_tradnl"/>
        </w:rPr>
        <w:object w:dxaOrig="2400" w:dyaOrig="360">
          <v:shape id="_x0000_i1065" type="#_x0000_t75" style="width:120.9pt;height:18.35pt" o:ole="">
            <v:imagedata r:id="rId93" o:title=""/>
          </v:shape>
          <o:OLEObject Type="Embed" ProgID="Equation.3" ShapeID="_x0000_i1065" DrawAspect="Content" ObjectID="_1501062636" r:id="rId94"/>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El valor total de la relación portadora/densidad de ruido más interferencia puede calcularse a partir de las relaciones entre la portadora y la densidad de ruido más interferencia en el enlace ascendente y en el enlace descendente como se indica a continuación:</w:t>
      </w:r>
    </w:p>
    <w:p w:rsidR="00543337" w:rsidRPr="00297B30" w:rsidRDefault="00543337" w:rsidP="00543337">
      <w:pPr>
        <w:pStyle w:val="Equation"/>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4"/>
          <w:lang w:val="es-ES_tradnl"/>
        </w:rPr>
        <w:object w:dxaOrig="5520" w:dyaOrig="460">
          <v:shape id="_x0000_i1066" type="#_x0000_t75" style="width:275.1pt;height:23.75pt" o:ole="">
            <v:imagedata r:id="rId95" o:title=""/>
          </v:shape>
          <o:OLEObject Type="Embed" ProgID="Equation.3" ShapeID="_x0000_i1066" DrawAspect="Content" ObjectID="_1501062637" r:id="rId96"/>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Como ese análisis se refiere únicamente al enlace ascendente, se supone que no hay interferencia en el enlace descendente y la ecuación se puede simplificar para que quede:</w:t>
      </w:r>
    </w:p>
    <w:p w:rsidR="00543337" w:rsidRPr="00297B30" w:rsidRDefault="00543337" w:rsidP="00543337">
      <w:pPr>
        <w:pStyle w:val="Equation"/>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4"/>
          <w:lang w:val="es-ES_tradnl"/>
        </w:rPr>
        <w:object w:dxaOrig="5060" w:dyaOrig="460">
          <v:shape id="_x0000_i1067" type="#_x0000_t75" style="width:252pt;height:23.75pt" o:ole="">
            <v:imagedata r:id="rId97" o:title=""/>
          </v:shape>
          <o:OLEObject Type="Embed" ProgID="Equation.3" ShapeID="_x0000_i1067" DrawAspect="Content" ObjectID="_1501062638" r:id="rId98"/>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Sustituyendo los valores para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vertAlign w:val="subscript"/>
          <w:lang w:val="es-ES_tradnl"/>
        </w:rPr>
        <w:t>global</w:t>
      </w:r>
      <w:r w:rsidRPr="00297B30">
        <w:rPr>
          <w:rFonts w:eastAsiaTheme="minorEastAsia"/>
          <w:szCs w:val="24"/>
          <w:lang w:val="es-ES_tradnl"/>
        </w:rPr>
        <w:t xml:space="preserve"> (27,3 dB(Hz)) y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vertAlign w:val="subscript"/>
          <w:lang w:val="es-ES_tradnl"/>
        </w:rPr>
        <w:sym w:font="Symbol" w:char="F0AF"/>
      </w:r>
      <w:r w:rsidRPr="00297B30">
        <w:rPr>
          <w:rFonts w:eastAsiaTheme="minorEastAsia"/>
          <w:szCs w:val="24"/>
          <w:lang w:val="es-ES_tradnl"/>
        </w:rPr>
        <w:t xml:space="preserve"> (35,5 dB(Hz)), el valor de la relación aceptable de caso más desfavorable entre la portadora y la densidad de ruido más interferencia </w:t>
      </w:r>
      <w:r w:rsidRPr="00297B30">
        <w:rPr>
          <w:rFonts w:eastAsiaTheme="minorEastAsia"/>
          <w:sz w:val="28"/>
          <w:szCs w:val="28"/>
          <w:lang w:val="es-ES_tradnl"/>
        </w:rPr>
        <w:t>(</w:t>
      </w:r>
      <w:r w:rsidRPr="00297B30">
        <w:rPr>
          <w:rFonts w:eastAsiaTheme="minorEastAsia"/>
          <w:szCs w:val="24"/>
          <w:lang w:val="es-ES_tradnl"/>
        </w:rPr>
        <w:t>(</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vertAlign w:val="subscript"/>
          <w:lang w:val="es-ES_tradnl"/>
        </w:rPr>
        <w:sym w:font="Symbol" w:char="F0AD"/>
      </w:r>
      <w:r w:rsidRPr="00297B30">
        <w:rPr>
          <w:rFonts w:eastAsiaTheme="minorEastAsia"/>
          <w:sz w:val="28"/>
          <w:szCs w:val="28"/>
          <w:lang w:val="es-ES_tradnl"/>
        </w:rPr>
        <w:t>)</w:t>
      </w:r>
      <w:r w:rsidRPr="00297B30">
        <w:rPr>
          <w:rFonts w:eastAsiaTheme="minorEastAsia"/>
          <w:szCs w:val="24"/>
          <w:lang w:val="es-ES_tradnl"/>
        </w:rPr>
        <w:t xml:space="preserve"> es 28 dB(Hz):</w:t>
      </w:r>
    </w:p>
    <w:p w:rsidR="00543337" w:rsidRPr="00297B30" w:rsidRDefault="00543337" w:rsidP="00543337">
      <w:pPr>
        <w:pStyle w:val="Equation"/>
        <w:keepNext/>
        <w:keepLines/>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4"/>
          <w:lang w:val="es-ES_tradnl"/>
        </w:rPr>
        <w:object w:dxaOrig="5100" w:dyaOrig="440">
          <v:shape id="_x0000_i1068" type="#_x0000_t75" style="width:252pt;height:22.4pt" o:ole="">
            <v:imagedata r:id="rId99" o:title=""/>
          </v:shape>
          <o:OLEObject Type="Embed" ProgID="Equation.3" ShapeID="_x0000_i1068" DrawAspect="Content" ObjectID="_1501062639" r:id="rId100"/>
        </w:object>
      </w:r>
    </w:p>
    <w:p w:rsidR="00543337" w:rsidRPr="00297B30" w:rsidRDefault="00543337" w:rsidP="00543337">
      <w:pPr>
        <w:keepNext/>
        <w:keepLines/>
        <w:rPr>
          <w:rFonts w:eastAsiaTheme="minorEastAsia"/>
          <w:szCs w:val="24"/>
          <w:lang w:val="es-ES_tradnl"/>
        </w:rPr>
      </w:pPr>
      <w:r w:rsidRPr="00297B30">
        <w:rPr>
          <w:rFonts w:eastAsiaTheme="minorEastAsia"/>
          <w:szCs w:val="24"/>
          <w:lang w:val="es-ES_tradnl"/>
        </w:rPr>
        <w:t>o:</w:t>
      </w:r>
    </w:p>
    <w:p w:rsidR="00543337" w:rsidRPr="00297B30" w:rsidRDefault="00543337" w:rsidP="00543337">
      <w:pPr>
        <w:pStyle w:val="Equation"/>
        <w:keepNext/>
        <w:keepLines/>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4"/>
          <w:lang w:val="es-ES_tradnl"/>
        </w:rPr>
        <w:object w:dxaOrig="4800" w:dyaOrig="440">
          <v:shape id="_x0000_i1069" type="#_x0000_t75" style="width:241.15pt;height:22.4pt" o:ole="">
            <v:imagedata r:id="rId101" o:title=""/>
          </v:shape>
          <o:OLEObject Type="Embed" ProgID="Equation.3" ShapeID="_x0000_i1069" DrawAspect="Content" ObjectID="_1501062640" r:id="rId102"/>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entonces:</w:t>
      </w:r>
    </w:p>
    <w:p w:rsidR="00543337" w:rsidRPr="00297B30" w:rsidRDefault="00543337" w:rsidP="00543337">
      <w:pPr>
        <w:pStyle w:val="Equation"/>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4"/>
          <w:lang w:val="es-ES_tradnl"/>
        </w:rPr>
        <w:object w:dxaOrig="2640" w:dyaOrig="380">
          <v:shape id="_x0000_i1070" type="#_x0000_t75" style="width:130.4pt;height:18.35pt" o:ole="">
            <v:imagedata r:id="rId103" o:title=""/>
          </v:shape>
          <o:OLEObject Type="Embed" ProgID="Equation.3" ShapeID="_x0000_i1070" DrawAspect="Content" ObjectID="_1501062641" r:id="rId104"/>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Resolviendo para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xml:space="preserve"> se obtiene:</w:t>
      </w:r>
    </w:p>
    <w:p w:rsidR="00543337" w:rsidRPr="00297B30" w:rsidRDefault="00543337" w:rsidP="00543337">
      <w:pPr>
        <w:pStyle w:val="Equation"/>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2"/>
          <w:lang w:val="es-ES_tradnl"/>
        </w:rPr>
        <w:object w:dxaOrig="4740" w:dyaOrig="420">
          <v:shape id="_x0000_i1071" type="#_x0000_t75" style="width:234.35pt;height:21.05pt" o:ole="">
            <v:imagedata r:id="rId105" o:title=""/>
          </v:shape>
          <o:OLEObject Type="Embed" ProgID="Equation.3" ShapeID="_x0000_i1071" DrawAspect="Content" ObjectID="_1501062642" r:id="rId106"/>
        </w:object>
      </w:r>
    </w:p>
    <w:p w:rsidR="00543337" w:rsidRPr="00297B30" w:rsidRDefault="00543337" w:rsidP="006D1D5B">
      <w:pPr>
        <w:rPr>
          <w:rFonts w:eastAsiaTheme="minorEastAsia"/>
          <w:szCs w:val="24"/>
          <w:lang w:val="es-ES_tradnl"/>
        </w:rPr>
      </w:pPr>
      <w:r w:rsidRPr="00297B30">
        <w:rPr>
          <w:rFonts w:eastAsiaTheme="minorEastAsia"/>
          <w:szCs w:val="24"/>
          <w:lang w:val="es-ES_tradnl"/>
        </w:rPr>
        <w:lastRenderedPageBreak/>
        <w:t xml:space="preserve">La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del enlace ascendente sin interferencia en el punto A es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k T</w:t>
      </w:r>
      <w:r w:rsidRPr="00297B30">
        <w:rPr>
          <w:rFonts w:eastAsiaTheme="minorEastAsia"/>
          <w:szCs w:val="24"/>
          <w:lang w:val="es-ES_tradnl"/>
        </w:rPr>
        <w:t xml:space="preserve">, siendo </w:t>
      </w:r>
      <w:r w:rsidRPr="00297B30">
        <w:rPr>
          <w:rFonts w:eastAsiaTheme="minorEastAsia"/>
          <w:i/>
          <w:iCs/>
          <w:szCs w:val="24"/>
          <w:lang w:val="es-ES_tradnl"/>
        </w:rPr>
        <w:t>k</w:t>
      </w:r>
      <w:r w:rsidRPr="00297B30">
        <w:rPr>
          <w:rFonts w:eastAsiaTheme="minorEastAsia"/>
          <w:szCs w:val="24"/>
          <w:lang w:val="es-ES_tradnl"/>
        </w:rPr>
        <w:t xml:space="preserve"> la constante</w:t>
      </w:r>
      <w:r w:rsidR="006D1D5B">
        <w:rPr>
          <w:rFonts w:eastAsiaTheme="minorEastAsia"/>
          <w:szCs w:val="24"/>
          <w:lang w:val="es-ES_tradnl"/>
        </w:rPr>
        <w:t> </w:t>
      </w:r>
      <w:r w:rsidRPr="00297B30">
        <w:rPr>
          <w:rFonts w:eastAsiaTheme="minorEastAsia"/>
          <w:szCs w:val="24"/>
          <w:lang w:val="es-ES_tradnl"/>
        </w:rPr>
        <w:t xml:space="preserve">de </w:t>
      </w:r>
      <w:proofErr w:type="spellStart"/>
      <w:r w:rsidRPr="00297B30">
        <w:rPr>
          <w:rFonts w:eastAsiaTheme="minorEastAsia"/>
          <w:szCs w:val="24"/>
          <w:lang w:val="es-ES_tradnl"/>
        </w:rPr>
        <w:t>Boltzmann</w:t>
      </w:r>
      <w:proofErr w:type="spellEnd"/>
      <w:r w:rsidRPr="00297B30">
        <w:rPr>
          <w:rFonts w:eastAsiaTheme="minorEastAsia"/>
          <w:szCs w:val="24"/>
          <w:lang w:val="es-ES_tradnl"/>
        </w:rPr>
        <w:t xml:space="preserve"> y </w:t>
      </w:r>
      <w:r w:rsidRPr="00297B30">
        <w:rPr>
          <w:rFonts w:eastAsiaTheme="minorEastAsia"/>
          <w:i/>
          <w:iCs/>
          <w:szCs w:val="24"/>
          <w:lang w:val="es-ES_tradnl"/>
        </w:rPr>
        <w:t>T</w:t>
      </w:r>
      <w:r w:rsidRPr="00297B30">
        <w:rPr>
          <w:rFonts w:eastAsiaTheme="minorEastAsia"/>
          <w:szCs w:val="24"/>
          <w:lang w:val="es-ES_tradnl"/>
        </w:rPr>
        <w:t xml:space="preserve"> la temperatura de ruido del repetidor con referencia al punto A. Por lo tanto,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vertAlign w:val="subscript"/>
          <w:lang w:val="es-ES_tradnl"/>
        </w:rPr>
        <w:sym w:font="Symbol" w:char="F0AD"/>
      </w:r>
      <w:r w:rsidRPr="00297B30">
        <w:rPr>
          <w:rFonts w:eastAsiaTheme="minorEastAsia"/>
          <w:szCs w:val="24"/>
          <w:lang w:val="es-ES_tradnl"/>
        </w:rPr>
        <w:t xml:space="preserve"> = –228,6 + 25,1 = –203,5 dB(W/Hz). La potencia de portadora del enlace ascendente es </w:t>
      </w:r>
      <w:r w:rsidRPr="00297B30">
        <w:rPr>
          <w:rFonts w:eastAsiaTheme="minorEastAsia"/>
          <w:i/>
          <w:iCs/>
          <w:szCs w:val="24"/>
          <w:lang w:val="es-ES_tradnl"/>
        </w:rPr>
        <w:t>C</w:t>
      </w:r>
      <w:r w:rsidRPr="00297B30">
        <w:rPr>
          <w:rFonts w:eastAsiaTheme="minorEastAsia"/>
          <w:vertAlign w:val="subscript"/>
          <w:lang w:val="es-ES_tradnl"/>
        </w:rPr>
        <w:sym w:font="Symbol" w:char="F0AD"/>
      </w:r>
      <w:r w:rsidRPr="00297B30">
        <w:rPr>
          <w:rFonts w:eastAsiaTheme="minorEastAsia"/>
          <w:szCs w:val="24"/>
          <w:lang w:val="es-ES_tradnl"/>
        </w:rPr>
        <w:t> = –</w:t>
      </w:r>
      <w:proofErr w:type="spellStart"/>
      <w:r w:rsidRPr="00297B30">
        <w:rPr>
          <w:rFonts w:eastAsiaTheme="minorEastAsia"/>
          <w:szCs w:val="24"/>
          <w:lang w:val="es-ES_tradnl"/>
        </w:rPr>
        <w:t>ef</w:t>
      </w:r>
      <w:proofErr w:type="spellEnd"/>
      <w:r w:rsidRPr="00297B30">
        <w:rPr>
          <w:rFonts w:eastAsiaTheme="minorEastAsia"/>
          <w:szCs w:val="24"/>
          <w:lang w:val="es-ES_tradnl"/>
        </w:rPr>
        <w:t>= –175,7 </w:t>
      </w:r>
      <w:proofErr w:type="spellStart"/>
      <w:r w:rsidRPr="00297B30">
        <w:rPr>
          <w:rFonts w:eastAsiaTheme="minorEastAsia"/>
          <w:szCs w:val="24"/>
          <w:lang w:val="es-ES_tradnl"/>
        </w:rPr>
        <w:t>dBW</w:t>
      </w:r>
      <w:proofErr w:type="spellEnd"/>
      <w:r w:rsidRPr="00297B30">
        <w:rPr>
          <w:rFonts w:eastAsiaTheme="minorEastAsia"/>
          <w:szCs w:val="24"/>
          <w:lang w:val="es-ES_tradnl"/>
        </w:rPr>
        <w:t>. Por lo tanto, el máximo valor aceptable para la densidad de ruido en el enlace ascendente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vertAlign w:val="subscript"/>
          <w:lang w:val="es-ES_tradnl"/>
        </w:rPr>
        <w:sym w:font="Symbol" w:char="F0AD"/>
      </w:r>
      <w:r w:rsidRPr="00297B30">
        <w:rPr>
          <w:rFonts w:eastAsiaTheme="minorEastAsia"/>
          <w:szCs w:val="24"/>
          <w:lang w:val="es-ES_tradnl"/>
        </w:rPr>
        <w:t> es:</w:t>
      </w:r>
    </w:p>
    <w:p w:rsidR="00543337" w:rsidRPr="00297B30" w:rsidRDefault="00543337" w:rsidP="00543337">
      <w:pPr>
        <w:pStyle w:val="Equation"/>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2"/>
          <w:lang w:val="es-ES_tradnl"/>
        </w:rPr>
        <w:object w:dxaOrig="4360" w:dyaOrig="420">
          <v:shape id="_x0000_i1072" type="#_x0000_t75" style="width:3in;height:21.05pt" o:ole="">
            <v:imagedata r:id="rId107" o:title=""/>
          </v:shape>
          <o:OLEObject Type="Embed" ProgID="Equation.3" ShapeID="_x0000_i1072" DrawAspect="Content" ObjectID="_1501062643" r:id="rId108"/>
        </w:object>
      </w:r>
    </w:p>
    <w:p w:rsidR="00543337" w:rsidRPr="00297B30" w:rsidRDefault="00543337" w:rsidP="00543337">
      <w:pPr>
        <w:spacing w:before="0"/>
        <w:rPr>
          <w:rFonts w:eastAsiaTheme="minorEastAsia"/>
          <w:szCs w:val="24"/>
          <w:lang w:val="es-ES_tradnl"/>
        </w:rPr>
      </w:pPr>
      <w:r w:rsidRPr="00297B30">
        <w:rPr>
          <w:rFonts w:eastAsiaTheme="minorEastAsia"/>
          <w:szCs w:val="24"/>
          <w:lang w:val="es-ES_tradnl"/>
        </w:rPr>
        <w:t>o:</w:t>
      </w:r>
    </w:p>
    <w:p w:rsidR="00543337" w:rsidRPr="00297B30" w:rsidRDefault="00543337" w:rsidP="00543337">
      <w:pPr>
        <w:pStyle w:val="Equation"/>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2"/>
          <w:lang w:val="es-ES_tradnl"/>
        </w:rPr>
        <w:object w:dxaOrig="2420" w:dyaOrig="360">
          <v:shape id="_x0000_i1073" type="#_x0000_t75" style="width:120.9pt;height:18.35pt" o:ole="">
            <v:imagedata r:id="rId109" o:title=""/>
          </v:shape>
          <o:OLEObject Type="Embed" ProgID="Equation.3" ShapeID="_x0000_i1073" DrawAspect="Content" ObjectID="_1501062644" r:id="rId110"/>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Es conveniente caracterizar los criterios de protección en términos del valor umbral de la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de la interferencia especificada en dB(W/(m</w:t>
      </w:r>
      <w:r w:rsidRPr="00297B30">
        <w:rPr>
          <w:rFonts w:eastAsiaTheme="minorEastAsia"/>
          <w:szCs w:val="24"/>
          <w:vertAlign w:val="superscript"/>
          <w:lang w:val="es-ES_tradnl"/>
        </w:rPr>
        <w:t>2</w:t>
      </w:r>
      <w:r w:rsidRPr="00297B30">
        <w:rPr>
          <w:rFonts w:eastAsiaTheme="minorEastAsia"/>
          <w:szCs w:val="24"/>
          <w:lang w:val="es-ES_tradnl"/>
        </w:rPr>
        <w:t xml:space="preserve"> · Hz)) a la entrada de la antena receptora del satélite de 406 MHz. La apertura efectiva de una antena, </w:t>
      </w:r>
      <w:proofErr w:type="spellStart"/>
      <w:r w:rsidRPr="00297B30">
        <w:rPr>
          <w:rFonts w:eastAsiaTheme="minorEastAsia"/>
          <w:i/>
          <w:iCs/>
          <w:szCs w:val="24"/>
          <w:lang w:val="es-ES_tradnl"/>
        </w:rPr>
        <w:t>A</w:t>
      </w:r>
      <w:r w:rsidRPr="00297B30">
        <w:rPr>
          <w:rFonts w:eastAsiaTheme="minorEastAsia"/>
          <w:i/>
          <w:iCs/>
          <w:szCs w:val="24"/>
          <w:vertAlign w:val="subscript"/>
          <w:lang w:val="es-ES_tradnl"/>
        </w:rPr>
        <w:t>e</w:t>
      </w:r>
      <w:proofErr w:type="spellEnd"/>
      <w:r w:rsidRPr="00297B30">
        <w:rPr>
          <w:rFonts w:eastAsiaTheme="minorEastAsia"/>
          <w:szCs w:val="24"/>
          <w:lang w:val="es-ES_tradnl"/>
        </w:rPr>
        <w:t xml:space="preserve">, de ganancia </w:t>
      </w:r>
      <w:r w:rsidRPr="00297B30">
        <w:rPr>
          <w:rFonts w:eastAsiaTheme="minorEastAsia"/>
          <w:i/>
          <w:iCs/>
          <w:szCs w:val="24"/>
          <w:lang w:val="es-ES_tradnl"/>
        </w:rPr>
        <w:t>G</w:t>
      </w:r>
      <w:r w:rsidRPr="00297B30">
        <w:rPr>
          <w:rFonts w:eastAsiaTheme="minorEastAsia"/>
          <w:szCs w:val="24"/>
          <w:lang w:val="es-ES_tradnl"/>
        </w:rPr>
        <w:t xml:space="preserve"> es </w:t>
      </w:r>
      <w:proofErr w:type="spellStart"/>
      <w:r w:rsidRPr="00297B30">
        <w:rPr>
          <w:rFonts w:eastAsiaTheme="minorEastAsia"/>
          <w:i/>
          <w:iCs/>
          <w:szCs w:val="24"/>
          <w:lang w:val="es-ES_tradnl"/>
        </w:rPr>
        <w:t>A</w:t>
      </w:r>
      <w:r w:rsidRPr="00297B30">
        <w:rPr>
          <w:rFonts w:eastAsiaTheme="minorEastAsia"/>
          <w:i/>
          <w:iCs/>
          <w:szCs w:val="24"/>
          <w:vertAlign w:val="subscript"/>
          <w:lang w:val="es-ES_tradnl"/>
        </w:rPr>
        <w:t>e</w:t>
      </w:r>
      <w:proofErr w:type="spellEnd"/>
      <w:r w:rsidRPr="00297B30">
        <w:rPr>
          <w:rFonts w:eastAsiaTheme="minorEastAsia"/>
          <w:szCs w:val="24"/>
          <w:lang w:val="es-ES_tradnl"/>
        </w:rPr>
        <w:t> = </w:t>
      </w:r>
      <w:r w:rsidRPr="00297B30">
        <w:rPr>
          <w:rFonts w:eastAsiaTheme="minorEastAsia"/>
          <w:i/>
          <w:iCs/>
          <w:szCs w:val="24"/>
          <w:lang w:val="es-ES_tradnl"/>
        </w:rPr>
        <w:t>G</w:t>
      </w:r>
      <w:r w:rsidRPr="00297B30">
        <w:rPr>
          <w:rFonts w:eastAsiaTheme="minorEastAsia"/>
          <w:szCs w:val="24"/>
          <w:lang w:val="es-ES_tradnl"/>
        </w:rPr>
        <w:t> </w:t>
      </w:r>
      <w:r w:rsidRPr="00297B30">
        <w:rPr>
          <w:rFonts w:eastAsiaTheme="minorEastAsia"/>
          <w:szCs w:val="24"/>
          <w:lang w:val="es-ES_tradnl"/>
        </w:rPr>
        <w:sym w:font="Symbol" w:char="F06C"/>
      </w:r>
      <w:r w:rsidRPr="00297B30">
        <w:rPr>
          <w:rFonts w:eastAsiaTheme="minorEastAsia"/>
          <w:szCs w:val="24"/>
          <w:vertAlign w:val="superscript"/>
          <w:lang w:val="es-ES_tradnl"/>
        </w:rPr>
        <w:t>2</w:t>
      </w:r>
      <w:r w:rsidRPr="00297B30">
        <w:rPr>
          <w:rFonts w:eastAsiaTheme="minorEastAsia"/>
          <w:szCs w:val="24"/>
          <w:lang w:val="es-ES_tradnl"/>
        </w:rPr>
        <w:t>/4</w:t>
      </w:r>
      <w:r w:rsidRPr="00297B30">
        <w:rPr>
          <w:rFonts w:eastAsiaTheme="minorEastAsia"/>
          <w:szCs w:val="24"/>
          <w:lang w:val="es-ES_tradnl"/>
        </w:rPr>
        <w:sym w:font="Symbol" w:char="F070"/>
      </w:r>
      <w:r w:rsidRPr="00297B30">
        <w:rPr>
          <w:rFonts w:eastAsiaTheme="minorEastAsia"/>
          <w:szCs w:val="24"/>
          <w:lang w:val="es-ES_tradnl"/>
        </w:rPr>
        <w:t>. Para antenas receptoras MSG con ganancias de 3 </w:t>
      </w:r>
      <w:proofErr w:type="spellStart"/>
      <w:r w:rsidRPr="00297B30">
        <w:rPr>
          <w:rFonts w:eastAsiaTheme="minorEastAsia"/>
          <w:szCs w:val="24"/>
          <w:lang w:val="es-ES_tradnl"/>
        </w:rPr>
        <w:t>dBi</w:t>
      </w:r>
      <w:proofErr w:type="spellEnd"/>
      <w:r w:rsidRPr="00297B30">
        <w:rPr>
          <w:rFonts w:eastAsiaTheme="minorEastAsia"/>
          <w:szCs w:val="24"/>
          <w:lang w:val="es-ES_tradnl"/>
        </w:rPr>
        <w:t xml:space="preserve"> la apertura efectiva es de 0,087 m</w:t>
      </w:r>
      <w:r w:rsidRPr="00297B30">
        <w:rPr>
          <w:rFonts w:eastAsiaTheme="minorEastAsia"/>
          <w:szCs w:val="24"/>
          <w:vertAlign w:val="superscript"/>
          <w:lang w:val="es-ES_tradnl"/>
        </w:rPr>
        <w:t>2</w:t>
      </w:r>
      <w:r w:rsidRPr="00297B30">
        <w:rPr>
          <w:rFonts w:eastAsiaTheme="minorEastAsia"/>
          <w:szCs w:val="24"/>
          <w:lang w:val="es-ES_tradnl"/>
        </w:rPr>
        <w:t xml:space="preserve">. Por lo tanto, la máxima interferencia combinada aceptable especificada como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es:</w:t>
      </w:r>
    </w:p>
    <w:p w:rsidR="00543337" w:rsidRPr="00297B30" w:rsidRDefault="00543337" w:rsidP="00543337">
      <w:pPr>
        <w:pStyle w:val="Equation"/>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2"/>
          <w:lang w:val="es-ES_tradnl"/>
        </w:rPr>
        <w:object w:dxaOrig="2860" w:dyaOrig="360">
          <v:shape id="_x0000_i1074" type="#_x0000_t75" style="width:141.95pt;height:18.35pt" o:ole="">
            <v:imagedata r:id="rId111" o:title=""/>
          </v:shape>
          <o:OLEObject Type="Embed" ProgID="Equation.3" ShapeID="_x0000_i1074" DrawAspect="Content" ObjectID="_1501062645" r:id="rId112"/>
        </w:object>
      </w:r>
    </w:p>
    <w:p w:rsidR="00543337" w:rsidRPr="00297B30" w:rsidRDefault="00543337" w:rsidP="00543337">
      <w:pPr>
        <w:pStyle w:val="Equation"/>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0"/>
          <w:lang w:val="es-ES_tradnl"/>
        </w:rPr>
        <w:object w:dxaOrig="6320" w:dyaOrig="400">
          <v:shape id="_x0000_i1075" type="#_x0000_t75" style="width:316.55pt;height:19pt" o:ole="">
            <v:imagedata r:id="rId113" o:title=""/>
          </v:shape>
          <o:OLEObject Type="Embed" ProgID="Equation.3" ShapeID="_x0000_i1075" DrawAspect="Content" ObjectID="_1501062646" r:id="rId114"/>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El máximo nivel de la interferencia similar al ruido de banda ancha en la banda 406-406,1 MHz medida en la antena del satélite MSG no deberá rebasar el valor de –206,4 dB(W/(m</w:t>
      </w:r>
      <w:r w:rsidRPr="00297B30">
        <w:rPr>
          <w:rFonts w:eastAsiaTheme="minorEastAsia"/>
          <w:szCs w:val="24"/>
          <w:vertAlign w:val="superscript"/>
          <w:lang w:val="es-ES_tradnl"/>
        </w:rPr>
        <w:t>2</w:t>
      </w:r>
      <w:r w:rsidRPr="00297B30">
        <w:rPr>
          <w:rFonts w:eastAsiaTheme="minorEastAsia"/>
          <w:szCs w:val="24"/>
          <w:lang w:val="es-ES_tradnl"/>
        </w:rPr>
        <w:t> · Hz)).</w:t>
      </w:r>
    </w:p>
    <w:p w:rsidR="00543337" w:rsidRPr="00297B30" w:rsidRDefault="00543337" w:rsidP="00543337">
      <w:pPr>
        <w:pStyle w:val="Heading1"/>
        <w:rPr>
          <w:lang w:val="es-ES_tradnl"/>
        </w:rPr>
      </w:pPr>
      <w:r w:rsidRPr="00297B30">
        <w:rPr>
          <w:lang w:val="es-ES_tradnl"/>
        </w:rPr>
        <w:t>3</w:t>
      </w:r>
      <w:r w:rsidRPr="00297B30">
        <w:rPr>
          <w:lang w:val="es-ES_tradnl"/>
        </w:rPr>
        <w:tab/>
        <w:t>Procedimiento para calcular el nivel de interferencia causada a un canal SARR MSG de 406 MHz</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interferencia provocada al </w:t>
      </w:r>
      <w:proofErr w:type="spellStart"/>
      <w:r w:rsidRPr="00297B30">
        <w:rPr>
          <w:rFonts w:eastAsiaTheme="minorEastAsia"/>
          <w:szCs w:val="24"/>
          <w:lang w:val="es-ES_tradnl"/>
        </w:rPr>
        <w:t>Cospas-Sarsat</w:t>
      </w:r>
      <w:proofErr w:type="spellEnd"/>
      <w:r w:rsidRPr="00297B30">
        <w:rPr>
          <w:rFonts w:eastAsiaTheme="minorEastAsia"/>
          <w:szCs w:val="24"/>
          <w:lang w:val="es-ES_tradnl"/>
        </w:rPr>
        <w:t xml:space="preserve"> es a menudo el resultado de las emisiones fuera de banda procedentes de servicios que funcionan en bandas adyacentes o casi adyacentes.</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Debe examinarse la anchura de banda de la emisión para determinar si se transmite energía en la banda 406-406,1 MHz. Hay que tener especial precaución al analizar la repercusión de los sistemas móviles (por ejemplo, satélites no geoestacionarios y transmisores a bordo de aeronaves) para tener en cuenta los efectos del desplazamiento </w:t>
      </w:r>
      <w:proofErr w:type="spellStart"/>
      <w:r w:rsidRPr="00297B30">
        <w:rPr>
          <w:rFonts w:eastAsiaTheme="minorEastAsia"/>
          <w:szCs w:val="24"/>
          <w:lang w:val="es-ES_tradnl"/>
        </w:rPr>
        <w:t>Doppler</w:t>
      </w:r>
      <w:proofErr w:type="spellEnd"/>
      <w:r w:rsidRPr="00297B30">
        <w:rPr>
          <w:rFonts w:eastAsiaTheme="minorEastAsia"/>
          <w:szCs w:val="24"/>
          <w:lang w:val="es-ES_tradnl"/>
        </w:rPr>
        <w:t xml:space="preserve"> generados por su movimiento.</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Se calcula el nivel de interferencia procedente de todas las fuentes que transmiten energía en la banda expresado como nivel de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en la antena del satélite. El nivel combinado de todas las fuentes interferentes no debe rebasar el valor de –206,4 dB(W/(m</w:t>
      </w:r>
      <w:r w:rsidRPr="00297B30">
        <w:rPr>
          <w:rFonts w:eastAsiaTheme="minorEastAsia"/>
          <w:szCs w:val="24"/>
          <w:vertAlign w:val="superscript"/>
          <w:lang w:val="es-ES_tradnl"/>
        </w:rPr>
        <w:t>2</w:t>
      </w:r>
      <w:r w:rsidRPr="00297B30">
        <w:rPr>
          <w:rFonts w:eastAsiaTheme="minorEastAsia"/>
          <w:szCs w:val="24"/>
          <w:lang w:val="es-ES_tradnl"/>
        </w:rPr>
        <w:t> · Hz)) en cualquier parte de esta gama.</w:t>
      </w:r>
    </w:p>
    <w:p w:rsidR="00543337" w:rsidRDefault="00543337" w:rsidP="00543337">
      <w:pPr>
        <w:rPr>
          <w:rFonts w:eastAsiaTheme="minorEastAsia"/>
          <w:szCs w:val="24"/>
          <w:lang w:val="es-ES_tradnl"/>
        </w:rPr>
      </w:pPr>
    </w:p>
    <w:p w:rsidR="00107FE4" w:rsidRPr="00297B30" w:rsidRDefault="00107FE4" w:rsidP="00543337">
      <w:pPr>
        <w:rPr>
          <w:rFonts w:eastAsiaTheme="minorEastAsia"/>
          <w:szCs w:val="24"/>
          <w:lang w:val="es-ES_tradnl"/>
        </w:rPr>
      </w:pPr>
    </w:p>
    <w:p w:rsidR="00543337" w:rsidRPr="00297B30" w:rsidRDefault="00543337" w:rsidP="00543337">
      <w:pPr>
        <w:pStyle w:val="AnnexNoTitle"/>
        <w:rPr>
          <w:lang w:val="es-ES_tradnl"/>
        </w:rPr>
      </w:pPr>
      <w:r w:rsidRPr="00297B30">
        <w:rPr>
          <w:lang w:val="es-ES_tradnl"/>
        </w:rPr>
        <w:t>Anexo 8</w:t>
      </w:r>
      <w:r w:rsidRPr="00297B30">
        <w:rPr>
          <w:lang w:val="es-ES_tradnl"/>
        </w:rPr>
        <w:br/>
      </w:r>
      <w:r w:rsidRPr="00297B30">
        <w:rPr>
          <w:lang w:val="es-ES_tradnl"/>
        </w:rPr>
        <w:br/>
        <w:t xml:space="preserve">Criterios de protección para instrumentos </w:t>
      </w:r>
      <w:proofErr w:type="spellStart"/>
      <w:r w:rsidRPr="00297B30">
        <w:rPr>
          <w:lang w:val="es-ES_tradnl"/>
        </w:rPr>
        <w:t>Cospas-Sarsat</w:t>
      </w:r>
      <w:proofErr w:type="spellEnd"/>
      <w:r w:rsidRPr="00297B30">
        <w:rPr>
          <w:lang w:val="es-ES_tradnl"/>
        </w:rPr>
        <w:t xml:space="preserve"> de búsqueda y salvamento en la banda 406-406,1 MHz (satélites SAR/Electro)</w:t>
      </w:r>
    </w:p>
    <w:p w:rsidR="00543337" w:rsidRPr="00297B30" w:rsidRDefault="00543337" w:rsidP="00543337">
      <w:pPr>
        <w:pStyle w:val="Heading1"/>
        <w:rPr>
          <w:lang w:val="es-ES_tradnl"/>
        </w:rPr>
      </w:pPr>
      <w:r w:rsidRPr="00297B30">
        <w:rPr>
          <w:lang w:val="es-ES_tradnl"/>
        </w:rPr>
        <w:t>1</w:t>
      </w:r>
      <w:r w:rsidRPr="00297B30">
        <w:rPr>
          <w:lang w:val="es-ES_tradnl"/>
        </w:rPr>
        <w:tab/>
        <w:t>Introducción</w:t>
      </w:r>
    </w:p>
    <w:p w:rsidR="00543337" w:rsidRPr="00297B30" w:rsidRDefault="00543337" w:rsidP="00543337">
      <w:pPr>
        <w:rPr>
          <w:rFonts w:eastAsiaTheme="minorEastAsia"/>
          <w:szCs w:val="24"/>
          <w:lang w:val="es-ES_tradnl" w:eastAsia="zh-CN"/>
        </w:rPr>
      </w:pPr>
      <w:r w:rsidRPr="00297B30">
        <w:rPr>
          <w:rFonts w:eastAsiaTheme="minorEastAsia"/>
          <w:szCs w:val="24"/>
          <w:lang w:val="es-ES_tradnl" w:eastAsia="zh-CN"/>
        </w:rPr>
        <w:t xml:space="preserve">Los repetidores </w:t>
      </w:r>
      <w:proofErr w:type="spellStart"/>
      <w:r w:rsidRPr="00297B30">
        <w:rPr>
          <w:rFonts w:eastAsiaTheme="minorEastAsia"/>
          <w:szCs w:val="24"/>
          <w:lang w:val="es-ES_tradnl" w:eastAsia="zh-CN"/>
        </w:rPr>
        <w:t>Cospas-Sarsat</w:t>
      </w:r>
      <w:proofErr w:type="spellEnd"/>
      <w:r w:rsidRPr="00297B30">
        <w:rPr>
          <w:rFonts w:eastAsiaTheme="minorEastAsia"/>
          <w:szCs w:val="24"/>
          <w:lang w:val="es-ES_tradnl" w:eastAsia="zh-CN"/>
        </w:rPr>
        <w:t xml:space="preserve"> de búsqueda y salvamento situados a bordo de satélites Electro reciben señales de radiobalizas de socorro de 406 MHz y retransmiten las señales a los GEOLUT </w:t>
      </w:r>
      <w:proofErr w:type="spellStart"/>
      <w:r w:rsidRPr="00297B30">
        <w:rPr>
          <w:rFonts w:eastAsiaTheme="minorEastAsia"/>
          <w:szCs w:val="24"/>
          <w:lang w:val="es-ES_tradnl" w:eastAsia="zh-CN"/>
        </w:rPr>
        <w:t>Cospas-</w:t>
      </w:r>
      <w:r w:rsidRPr="00297B30">
        <w:rPr>
          <w:rFonts w:eastAsiaTheme="minorEastAsia"/>
          <w:szCs w:val="24"/>
          <w:lang w:val="es-ES_tradnl" w:eastAsia="zh-CN"/>
        </w:rPr>
        <w:lastRenderedPageBreak/>
        <w:t>Sarsat</w:t>
      </w:r>
      <w:proofErr w:type="spellEnd"/>
      <w:r w:rsidRPr="00297B30">
        <w:rPr>
          <w:rFonts w:eastAsiaTheme="minorEastAsia"/>
          <w:szCs w:val="24"/>
          <w:lang w:val="es-ES_tradnl" w:eastAsia="zh-CN"/>
        </w:rPr>
        <w:t xml:space="preserve"> en frecuencias de enlace descendente de la banda 1 544-1 545 MHz. El análisis que se presenta en este Anexo establece los criterios de protección contra interferencias en la banda 406,0-406,1 MHz para servicios Electro GEOSAR.</w:t>
      </w:r>
    </w:p>
    <w:p w:rsidR="00543337" w:rsidRPr="00297B30" w:rsidRDefault="00543337" w:rsidP="00543337">
      <w:pPr>
        <w:pStyle w:val="Heading1"/>
        <w:rPr>
          <w:lang w:val="es-ES_tradnl"/>
        </w:rPr>
      </w:pPr>
      <w:r w:rsidRPr="00297B30">
        <w:rPr>
          <w:lang w:val="es-ES_tradnl"/>
        </w:rPr>
        <w:t>2</w:t>
      </w:r>
      <w:r w:rsidRPr="00297B30">
        <w:rPr>
          <w:lang w:val="es-ES_tradnl"/>
        </w:rPr>
        <w:tab/>
        <w:t xml:space="preserve">Mínima calidad de funcionamiento aceptable para la detección de señales de radiobalizas de socorro a 406 MHz retransmitidas a través de satélites Electro </w:t>
      </w:r>
    </w:p>
    <w:p w:rsidR="00543337" w:rsidRPr="00297B30" w:rsidRDefault="00543337" w:rsidP="00543337">
      <w:pPr>
        <w:rPr>
          <w:rFonts w:eastAsiaTheme="minorEastAsia"/>
          <w:szCs w:val="24"/>
          <w:lang w:val="es-ES_tradnl"/>
        </w:rPr>
      </w:pPr>
      <w:r w:rsidRPr="00297B30">
        <w:rPr>
          <w:rFonts w:eastAsiaTheme="minorEastAsia"/>
          <w:szCs w:val="24"/>
          <w:lang w:val="es-ES_tradnl"/>
        </w:rPr>
        <w:t>Para detectar con fiabilidad las señales de las radiobalizas de socorro a 406 MHz utilizando repetidores del satélite GOES de 406 MHz, la BER del canal no debe rebasar el valor de 5 × 10</w:t>
      </w:r>
      <w:r w:rsidRPr="00297B30">
        <w:rPr>
          <w:rFonts w:eastAsiaTheme="minorEastAsia"/>
          <w:szCs w:val="24"/>
          <w:vertAlign w:val="superscript"/>
          <w:lang w:val="es-ES_tradnl"/>
        </w:rPr>
        <w:t>–5</w:t>
      </w:r>
      <w:r w:rsidRPr="00297B30">
        <w:rPr>
          <w:rFonts w:eastAsiaTheme="minorEastAsia"/>
          <w:szCs w:val="24"/>
          <w:lang w:val="es-ES_tradnl"/>
        </w:rPr>
        <w:t>.</w:t>
      </w:r>
    </w:p>
    <w:p w:rsidR="00543337" w:rsidRPr="00297B30" w:rsidRDefault="00543337" w:rsidP="00543337">
      <w:pPr>
        <w:pStyle w:val="Heading1"/>
        <w:rPr>
          <w:lang w:val="es-ES_tradnl"/>
        </w:rPr>
      </w:pPr>
      <w:r w:rsidRPr="00297B30">
        <w:rPr>
          <w:lang w:val="es-ES_tradnl"/>
        </w:rPr>
        <w:t>3</w:t>
      </w:r>
      <w:r w:rsidRPr="00297B30">
        <w:rPr>
          <w:lang w:val="es-ES_tradnl"/>
        </w:rPr>
        <w:tab/>
        <w:t xml:space="preserve">Análisis de la </w:t>
      </w:r>
      <w:proofErr w:type="spellStart"/>
      <w:r w:rsidRPr="00297B30">
        <w:rPr>
          <w:lang w:val="es-ES_tradnl"/>
        </w:rPr>
        <w:t>dfp</w:t>
      </w:r>
      <w:proofErr w:type="spellEnd"/>
      <w:r w:rsidRPr="00297B30">
        <w:rPr>
          <w:lang w:val="es-ES_tradnl"/>
        </w:rPr>
        <w:t xml:space="preserve"> espectral de la interferencia</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BER de un canal de comunicaciones se obtiene a partir de la relación entre la energía contenida en cada bit de datos,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 xml:space="preserve">, y la densidad de ruido, que viene determinada por el ruido desarrollado por el equipo </w:t>
      </w:r>
      <w:proofErr w:type="spellStart"/>
      <w:r w:rsidRPr="00297B30">
        <w:rPr>
          <w:rFonts w:eastAsiaTheme="minorEastAsia"/>
          <w:szCs w:val="24"/>
          <w:lang w:val="es-ES_tradnl"/>
        </w:rPr>
        <w:t>Cospas</w:t>
      </w:r>
      <w:r w:rsidRPr="00297B30">
        <w:rPr>
          <w:rFonts w:eastAsiaTheme="minorEastAsia"/>
          <w:szCs w:val="24"/>
          <w:lang w:val="es-ES_tradnl"/>
        </w:rPr>
        <w:noBreakHyphen/>
        <w:t>Sarsat</w:t>
      </w:r>
      <w:proofErr w:type="spellEnd"/>
      <w:r w:rsidRPr="00297B30">
        <w:rPr>
          <w:rFonts w:eastAsiaTheme="minorEastAsia"/>
          <w:szCs w:val="24"/>
          <w:lang w:val="es-ES_tradnl"/>
        </w:rPr>
        <w:t xml:space="preserve">,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y el ruido provocado por la interferencia procedente de otros sistemas,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La Fig. 9 representa el canal SARR de 406 MHz GOES con interferencia en el enlace ascendente.</w:t>
      </w:r>
    </w:p>
    <w:p w:rsidR="00543337" w:rsidRPr="00297B30" w:rsidRDefault="00543337" w:rsidP="00543337">
      <w:pPr>
        <w:pStyle w:val="FigureNo"/>
        <w:rPr>
          <w:lang w:val="es-ES_tradnl"/>
        </w:rPr>
      </w:pPr>
      <w:r w:rsidRPr="00297B30">
        <w:rPr>
          <w:lang w:val="es-ES_tradnl"/>
        </w:rPr>
        <w:t>Figura 9</w:t>
      </w:r>
    </w:p>
    <w:p w:rsidR="00543337" w:rsidRPr="00297B30" w:rsidRDefault="00543337" w:rsidP="00543337">
      <w:pPr>
        <w:pStyle w:val="Figuretitle"/>
        <w:rPr>
          <w:lang w:val="es-ES_tradnl"/>
        </w:rPr>
      </w:pPr>
      <w:r w:rsidRPr="00297B30">
        <w:rPr>
          <w:lang w:val="es-ES_tradnl"/>
        </w:rPr>
        <w:t>Repetidor Electro GEOSAR con interferencia en el enlace ascendente</w:t>
      </w:r>
    </w:p>
    <w:p w:rsidR="00543337" w:rsidRPr="00297B30" w:rsidRDefault="00543337" w:rsidP="00543337">
      <w:pPr>
        <w:pStyle w:val="Figure"/>
        <w:rPr>
          <w:rFonts w:eastAsiaTheme="minorEastAsia"/>
          <w:lang w:val="es-ES_tradnl"/>
        </w:rPr>
      </w:pPr>
      <w:r w:rsidRPr="00297B30">
        <w:rPr>
          <w:rFonts w:eastAsiaTheme="minorEastAsia"/>
          <w:lang w:val="es-ES_tradnl"/>
        </w:rPr>
        <w:object w:dxaOrig="7748" w:dyaOrig="4747">
          <v:shape id="_x0000_i1076" type="#_x0000_t75" style="width:362.7pt;height:222.1pt" o:ole="">
            <v:imagedata r:id="rId115" o:title=""/>
          </v:shape>
          <o:OLEObject Type="Embed" ProgID="CorelDRAW.Graphic.14" ShapeID="_x0000_i1076" DrawAspect="Content" ObjectID="_1501062647" r:id="rId116"/>
        </w:object>
      </w:r>
    </w:p>
    <w:p w:rsidR="00543337" w:rsidRPr="00297B30" w:rsidRDefault="00543337" w:rsidP="00A52022">
      <w:pPr>
        <w:pStyle w:val="Normalaftertitle"/>
        <w:rPr>
          <w:rFonts w:eastAsiaTheme="minorEastAsia"/>
          <w:lang w:val="es-ES_tradnl"/>
        </w:rPr>
      </w:pPr>
      <w:r w:rsidRPr="00297B30">
        <w:rPr>
          <w:rFonts w:eastAsiaTheme="minorEastAsia"/>
          <w:lang w:val="es-ES_tradnl"/>
        </w:rPr>
        <w:t>Para lograr una BER de 5 × 10</w:t>
      </w:r>
      <w:r w:rsidRPr="00297B30">
        <w:rPr>
          <w:rFonts w:eastAsiaTheme="minorEastAsia"/>
          <w:vertAlign w:val="superscript"/>
          <w:lang w:val="es-ES_tradnl"/>
        </w:rPr>
        <w:t>–5</w:t>
      </w:r>
      <w:r w:rsidRPr="00297B30">
        <w:rPr>
          <w:rFonts w:eastAsiaTheme="minorEastAsia"/>
          <w:lang w:val="es-ES_tradnl"/>
        </w:rPr>
        <w:t xml:space="preserve">, la relación entre la energía por bit y la densidad de ruido más interferencia </w:t>
      </w:r>
      <w:r w:rsidRPr="00297B30">
        <w:rPr>
          <w:rFonts w:eastAsiaTheme="minorEastAsia"/>
          <w:i/>
          <w:iCs/>
          <w:lang w:val="es-ES_tradnl"/>
        </w:rPr>
        <w:t>E</w:t>
      </w:r>
      <w:r w:rsidRPr="00297B30">
        <w:rPr>
          <w:rFonts w:eastAsiaTheme="minorEastAsia"/>
          <w:i/>
          <w:iCs/>
          <w:vertAlign w:val="subscript"/>
          <w:lang w:val="es-ES_tradnl"/>
        </w:rPr>
        <w:t>b</w:t>
      </w:r>
      <w:r w:rsidRPr="00297B30">
        <w:rPr>
          <w:rFonts w:eastAsiaTheme="minorEastAsia"/>
          <w:lang w:val="es-ES_tradnl"/>
        </w:rPr>
        <w:t>/(</w:t>
      </w:r>
      <w:r w:rsidRPr="00297B30">
        <w:rPr>
          <w:rFonts w:eastAsiaTheme="minorEastAsia"/>
          <w:i/>
          <w:iCs/>
          <w:lang w:val="es-ES_tradnl"/>
        </w:rPr>
        <w:t>N</w:t>
      </w:r>
      <w:r w:rsidRPr="00297B30">
        <w:rPr>
          <w:rFonts w:eastAsiaTheme="minorEastAsia"/>
          <w:vertAlign w:val="subscript"/>
          <w:lang w:val="es-ES_tradnl"/>
        </w:rPr>
        <w:t>0</w:t>
      </w:r>
      <w:r w:rsidRPr="00297B30">
        <w:rPr>
          <w:rFonts w:eastAsiaTheme="minorEastAsia"/>
          <w:lang w:val="es-ES_tradnl"/>
        </w:rPr>
        <w:t> + </w:t>
      </w:r>
      <w:r w:rsidRPr="00297B30">
        <w:rPr>
          <w:rFonts w:eastAsiaTheme="minorEastAsia"/>
          <w:i/>
          <w:iCs/>
          <w:lang w:val="es-ES_tradnl"/>
        </w:rPr>
        <w:t>I</w:t>
      </w:r>
      <w:r w:rsidRPr="00297B30">
        <w:rPr>
          <w:rFonts w:eastAsiaTheme="minorEastAsia"/>
          <w:vertAlign w:val="subscript"/>
          <w:lang w:val="es-ES_tradnl"/>
        </w:rPr>
        <w:t>0</w:t>
      </w:r>
      <w:r w:rsidRPr="00297B30">
        <w:rPr>
          <w:rFonts w:eastAsiaTheme="minorEastAsia"/>
          <w:lang w:val="es-ES_tradnl"/>
        </w:rPr>
        <w:t xml:space="preserve">) en el demodulador del terminal local de usuario del satélite geoestacionario, GEOLUT, debe ser igual o superior a 8,8 dB. Este análisis determina la máxima cantidad de interferencia similar al ruido de banda ancha especificada como </w:t>
      </w:r>
      <w:proofErr w:type="spellStart"/>
      <w:r w:rsidRPr="00297B30">
        <w:rPr>
          <w:rFonts w:eastAsiaTheme="minorEastAsia"/>
          <w:lang w:val="es-ES_tradnl"/>
        </w:rPr>
        <w:t>dfp</w:t>
      </w:r>
      <w:proofErr w:type="spellEnd"/>
      <w:r w:rsidRPr="00297B30">
        <w:rPr>
          <w:rFonts w:eastAsiaTheme="minorEastAsia"/>
          <w:lang w:val="es-ES_tradnl"/>
        </w:rPr>
        <w:t xml:space="preserve"> espectral a la entrada de la antena del satélite GOES de 406 MHz que podría admitirse sin degradar en el enlace la relación global </w:t>
      </w:r>
      <w:r w:rsidRPr="00297B30">
        <w:rPr>
          <w:rFonts w:eastAsiaTheme="minorEastAsia"/>
          <w:i/>
          <w:iCs/>
          <w:lang w:val="es-ES_tradnl"/>
        </w:rPr>
        <w:t>E</w:t>
      </w:r>
      <w:r w:rsidRPr="00297B30">
        <w:rPr>
          <w:rFonts w:eastAsiaTheme="minorEastAsia"/>
          <w:i/>
          <w:iCs/>
          <w:vertAlign w:val="subscript"/>
          <w:lang w:val="es-ES_tradnl"/>
        </w:rPr>
        <w:t>b</w:t>
      </w:r>
      <w:r w:rsidRPr="00297B30">
        <w:rPr>
          <w:rFonts w:eastAsiaTheme="minorEastAsia"/>
          <w:lang w:val="es-ES_tradnl"/>
        </w:rPr>
        <w:t>/(</w:t>
      </w:r>
      <w:r w:rsidRPr="00297B30">
        <w:rPr>
          <w:rFonts w:eastAsiaTheme="minorEastAsia"/>
          <w:i/>
          <w:iCs/>
          <w:lang w:val="es-ES_tradnl"/>
        </w:rPr>
        <w:t>N</w:t>
      </w:r>
      <w:r w:rsidRPr="00297B30">
        <w:rPr>
          <w:rFonts w:eastAsiaTheme="minorEastAsia"/>
          <w:vertAlign w:val="subscript"/>
          <w:lang w:val="es-ES_tradnl"/>
        </w:rPr>
        <w:t>0</w:t>
      </w:r>
      <w:r w:rsidRPr="00297B30">
        <w:rPr>
          <w:rFonts w:eastAsiaTheme="minorEastAsia"/>
          <w:lang w:val="es-ES_tradnl"/>
        </w:rPr>
        <w:t> + </w:t>
      </w:r>
      <w:r w:rsidRPr="00297B30">
        <w:rPr>
          <w:rFonts w:eastAsiaTheme="minorEastAsia"/>
          <w:i/>
          <w:iCs/>
          <w:lang w:val="es-ES_tradnl"/>
        </w:rPr>
        <w:t>I</w:t>
      </w:r>
      <w:r w:rsidRPr="00297B30">
        <w:rPr>
          <w:rFonts w:eastAsiaTheme="minorEastAsia"/>
          <w:vertAlign w:val="subscript"/>
          <w:lang w:val="es-ES_tradnl"/>
        </w:rPr>
        <w:t>0</w:t>
      </w:r>
      <w:r w:rsidRPr="00297B30">
        <w:rPr>
          <w:rFonts w:eastAsiaTheme="minorEastAsia"/>
          <w:lang w:val="es-ES_tradnl"/>
        </w:rPr>
        <w:t>) a un valor por debajo de 8,8 dB.</w:t>
      </w:r>
    </w:p>
    <w:p w:rsidR="00543337" w:rsidRPr="00297B30" w:rsidRDefault="00543337" w:rsidP="00543337">
      <w:pPr>
        <w:rPr>
          <w:rFonts w:eastAsiaTheme="minorEastAsia"/>
          <w:color w:val="000000"/>
          <w:szCs w:val="24"/>
          <w:lang w:val="es-ES_tradnl" w:eastAsia="zh-CN"/>
        </w:rPr>
      </w:pPr>
      <w:r w:rsidRPr="00297B30">
        <w:rPr>
          <w:rFonts w:eastAsiaTheme="minorEastAsia"/>
          <w:color w:val="000000"/>
          <w:szCs w:val="24"/>
          <w:lang w:val="es-ES_tradnl" w:eastAsia="zh-CN"/>
        </w:rPr>
        <w:t>Este análisis supone la presencia de tres radiobalizas activas simultáneamente, que retransmiten en el mismo instante en tres frecuencias distintas de la banda 406,0-406,1</w:t>
      </w:r>
      <w:r w:rsidRPr="00297B30">
        <w:rPr>
          <w:rFonts w:eastAsiaTheme="minorEastAsia"/>
          <w:szCs w:val="24"/>
          <w:lang w:val="es-ES_tradnl" w:eastAsia="zh-CN"/>
        </w:rPr>
        <w:t> </w:t>
      </w:r>
      <w:r w:rsidRPr="00297B30">
        <w:rPr>
          <w:rFonts w:eastAsiaTheme="minorEastAsia"/>
          <w:color w:val="000000"/>
          <w:szCs w:val="24"/>
          <w:lang w:val="es-ES_tradnl" w:eastAsia="zh-CN"/>
        </w:rPr>
        <w:t>MHz. La radiobaliza de «nivel bajo», que es objeto del presente análisis, tiene un ángulo de elevación de 5 grados con respecto al vehículo espacial. Las otras dos radiobalizas retransmiten a «niveles nominales» y con ángulos de elevación de 40 grados con respecto al vehículo espacial. Las dos radiobalizas de «nivel nominal» están incluidas en el análisis porque comparten la potencia disponible del repetidor del satélite y, por lo tanto, afectan al balance del enlace.</w:t>
      </w:r>
    </w:p>
    <w:p w:rsidR="00543337" w:rsidRPr="00297B30" w:rsidRDefault="00543337" w:rsidP="00543337">
      <w:pPr>
        <w:rPr>
          <w:rFonts w:eastAsiaTheme="minorEastAsia"/>
          <w:color w:val="000000"/>
          <w:szCs w:val="24"/>
          <w:lang w:val="es-ES_tradnl" w:eastAsia="zh-CN"/>
        </w:rPr>
      </w:pPr>
      <w:r w:rsidRPr="00297B30">
        <w:rPr>
          <w:rFonts w:eastAsiaTheme="minorEastAsia"/>
          <w:color w:val="000000"/>
          <w:szCs w:val="24"/>
          <w:lang w:val="es-ES_tradnl" w:eastAsia="zh-CN"/>
        </w:rPr>
        <w:lastRenderedPageBreak/>
        <w:t>Como se observa en la Fig. 9, las señales de 406</w:t>
      </w:r>
      <w:r w:rsidRPr="00297B30">
        <w:rPr>
          <w:rFonts w:eastAsiaTheme="minorEastAsia"/>
          <w:szCs w:val="24"/>
          <w:lang w:val="es-ES_tradnl" w:eastAsia="zh-CN"/>
        </w:rPr>
        <w:t> </w:t>
      </w:r>
      <w:r w:rsidRPr="00297B30">
        <w:rPr>
          <w:rFonts w:eastAsiaTheme="minorEastAsia"/>
          <w:color w:val="000000"/>
          <w:szCs w:val="24"/>
          <w:lang w:val="es-ES_tradnl" w:eastAsia="zh-CN"/>
        </w:rPr>
        <w:t>MHz de las radiobalizas de socorro son recibidas por el Electro SAR. La carga útil es modulada en fase y retransmitida a un enlace descendente de 1</w:t>
      </w:r>
      <w:r w:rsidRPr="00297B30">
        <w:rPr>
          <w:rFonts w:eastAsiaTheme="minorEastAsia"/>
          <w:szCs w:val="24"/>
          <w:lang w:val="es-ES_tradnl" w:eastAsia="zh-CN"/>
        </w:rPr>
        <w:t> </w:t>
      </w:r>
      <w:r w:rsidRPr="00297B30">
        <w:rPr>
          <w:rFonts w:eastAsiaTheme="minorEastAsia"/>
          <w:color w:val="000000"/>
          <w:szCs w:val="24"/>
          <w:lang w:val="es-ES_tradnl" w:eastAsia="zh-CN"/>
        </w:rPr>
        <w:t>544,5</w:t>
      </w:r>
      <w:r w:rsidRPr="00297B30">
        <w:rPr>
          <w:rFonts w:eastAsiaTheme="minorEastAsia"/>
          <w:szCs w:val="24"/>
          <w:lang w:val="es-ES_tradnl" w:eastAsia="zh-CN"/>
        </w:rPr>
        <w:t> </w:t>
      </w:r>
      <w:r w:rsidRPr="00297B30">
        <w:rPr>
          <w:rFonts w:eastAsiaTheme="minorEastAsia"/>
          <w:color w:val="000000"/>
          <w:szCs w:val="24"/>
          <w:lang w:val="es-ES_tradnl" w:eastAsia="zh-CN"/>
        </w:rPr>
        <w:t>MHz para su detección y procesamiento en los GEOLUT. Los valores de ganancia de antena y de temperatura de ruido del sistema en el repetidor del satélite son de 12</w:t>
      </w:r>
      <w:r w:rsidRPr="00297B30">
        <w:rPr>
          <w:rFonts w:eastAsiaTheme="minorEastAsia"/>
          <w:szCs w:val="24"/>
          <w:lang w:val="es-ES_tradnl" w:eastAsia="zh-CN"/>
        </w:rPr>
        <w:t> </w:t>
      </w:r>
      <w:proofErr w:type="spellStart"/>
      <w:r w:rsidRPr="00297B30">
        <w:rPr>
          <w:rFonts w:eastAsiaTheme="minorEastAsia"/>
          <w:color w:val="000000"/>
          <w:szCs w:val="24"/>
          <w:lang w:val="es-ES_tradnl" w:eastAsia="zh-CN"/>
        </w:rPr>
        <w:t>dBi</w:t>
      </w:r>
      <w:proofErr w:type="spellEnd"/>
      <w:r w:rsidRPr="00297B30">
        <w:rPr>
          <w:rFonts w:eastAsiaTheme="minorEastAsia"/>
          <w:color w:val="000000"/>
          <w:szCs w:val="24"/>
          <w:lang w:val="es-ES_tradnl" w:eastAsia="zh-CN"/>
        </w:rPr>
        <w:t xml:space="preserve"> y 891</w:t>
      </w:r>
      <w:r w:rsidRPr="00297B30">
        <w:rPr>
          <w:rFonts w:eastAsiaTheme="minorEastAsia"/>
          <w:szCs w:val="24"/>
          <w:lang w:val="es-ES_tradnl" w:eastAsia="zh-CN"/>
        </w:rPr>
        <w:t> </w:t>
      </w:r>
      <w:r w:rsidRPr="00297B30">
        <w:rPr>
          <w:rFonts w:eastAsiaTheme="minorEastAsia"/>
          <w:color w:val="000000"/>
          <w:szCs w:val="24"/>
          <w:lang w:val="es-ES_tradnl" w:eastAsia="zh-CN"/>
        </w:rPr>
        <w:t>K (29,5</w:t>
      </w:r>
      <w:r w:rsidRPr="00297B30">
        <w:rPr>
          <w:rFonts w:eastAsiaTheme="minorEastAsia"/>
          <w:szCs w:val="24"/>
          <w:lang w:val="es-ES_tradnl" w:eastAsia="zh-CN"/>
        </w:rPr>
        <w:t> </w:t>
      </w:r>
      <w:r w:rsidRPr="00297B30">
        <w:rPr>
          <w:rFonts w:eastAsiaTheme="minorEastAsia"/>
          <w:color w:val="000000"/>
          <w:szCs w:val="24"/>
          <w:lang w:val="es-ES_tradnl" w:eastAsia="zh-CN"/>
        </w:rPr>
        <w:t>dB</w:t>
      </w:r>
      <w:r>
        <w:rPr>
          <w:rFonts w:eastAsiaTheme="minorEastAsia"/>
          <w:color w:val="000000"/>
          <w:szCs w:val="24"/>
          <w:lang w:val="es-ES_tradnl" w:eastAsia="zh-CN"/>
        </w:rPr>
        <w:t>(</w:t>
      </w:r>
      <w:r w:rsidRPr="00297B30">
        <w:rPr>
          <w:rFonts w:eastAsiaTheme="minorEastAsia"/>
          <w:color w:val="000000"/>
          <w:szCs w:val="24"/>
          <w:lang w:val="es-ES_tradnl" w:eastAsia="zh-CN"/>
        </w:rPr>
        <w:t xml:space="preserve">K), respectivamente. La relación </w:t>
      </w:r>
      <w:r w:rsidRPr="00297B30">
        <w:rPr>
          <w:rFonts w:eastAsiaTheme="minorEastAsia"/>
          <w:i/>
          <w:iCs/>
          <w:color w:val="000000"/>
          <w:szCs w:val="24"/>
          <w:lang w:val="es-ES_tradnl" w:eastAsia="zh-CN"/>
        </w:rPr>
        <w:t>G</w:t>
      </w:r>
      <w:r w:rsidRPr="00297B30">
        <w:rPr>
          <w:rFonts w:eastAsiaTheme="minorEastAsia"/>
          <w:color w:val="000000"/>
          <w:szCs w:val="24"/>
          <w:lang w:val="es-ES_tradnl" w:eastAsia="zh-CN"/>
        </w:rPr>
        <w:t>/</w:t>
      </w:r>
      <w:r w:rsidRPr="00297B30">
        <w:rPr>
          <w:rFonts w:eastAsiaTheme="minorEastAsia"/>
          <w:i/>
          <w:iCs/>
          <w:color w:val="000000"/>
          <w:szCs w:val="24"/>
          <w:lang w:val="es-ES_tradnl" w:eastAsia="zh-CN"/>
        </w:rPr>
        <w:t>T</w:t>
      </w:r>
      <w:r w:rsidRPr="00297B30">
        <w:rPr>
          <w:rFonts w:eastAsiaTheme="minorEastAsia"/>
          <w:color w:val="000000"/>
          <w:szCs w:val="24"/>
          <w:lang w:val="es-ES_tradnl" w:eastAsia="zh-CN"/>
        </w:rPr>
        <w:t xml:space="preserve"> correspondiente es de </w:t>
      </w:r>
      <w:r>
        <w:rPr>
          <w:rFonts w:eastAsiaTheme="minorEastAsia"/>
          <w:color w:val="000000"/>
          <w:szCs w:val="24"/>
          <w:lang w:val="es-ES_tradnl" w:eastAsia="zh-CN"/>
        </w:rPr>
        <w:t>–</w:t>
      </w:r>
      <w:r w:rsidRPr="00297B30">
        <w:rPr>
          <w:rFonts w:eastAsiaTheme="minorEastAsia"/>
          <w:color w:val="000000"/>
          <w:szCs w:val="24"/>
          <w:lang w:val="es-ES_tradnl" w:eastAsia="zh-CN"/>
        </w:rPr>
        <w:t>17,5</w:t>
      </w:r>
      <w:r w:rsidRPr="00297B30">
        <w:rPr>
          <w:rFonts w:eastAsiaTheme="minorEastAsia"/>
          <w:szCs w:val="24"/>
          <w:lang w:val="es-ES_tradnl" w:eastAsia="zh-CN"/>
        </w:rPr>
        <w:t> </w:t>
      </w:r>
      <w:r w:rsidRPr="00297B30">
        <w:rPr>
          <w:rFonts w:eastAsiaTheme="minorEastAsia"/>
          <w:color w:val="000000"/>
          <w:szCs w:val="24"/>
          <w:lang w:val="es-ES_tradnl" w:eastAsia="zh-CN"/>
        </w:rPr>
        <w:t>dB/K.</w:t>
      </w:r>
    </w:p>
    <w:p w:rsidR="00543337" w:rsidRPr="00297B30" w:rsidRDefault="00543337" w:rsidP="00543337">
      <w:pPr>
        <w:rPr>
          <w:rFonts w:eastAsiaTheme="minorEastAsia"/>
          <w:color w:val="000000"/>
          <w:szCs w:val="24"/>
          <w:lang w:val="es-ES_tradnl" w:eastAsia="zh-CN"/>
        </w:rPr>
      </w:pPr>
      <w:r w:rsidRPr="00297B30">
        <w:rPr>
          <w:rFonts w:eastAsiaTheme="minorEastAsia"/>
          <w:color w:val="000000"/>
          <w:szCs w:val="24"/>
          <w:lang w:val="es-ES_tradnl" w:eastAsia="zh-CN"/>
        </w:rPr>
        <w:t>La señal de radiobaliza de 3 </w:t>
      </w:r>
      <w:proofErr w:type="spellStart"/>
      <w:r w:rsidRPr="00297B30">
        <w:rPr>
          <w:rFonts w:eastAsiaTheme="minorEastAsia"/>
          <w:color w:val="000000"/>
          <w:szCs w:val="24"/>
          <w:lang w:val="es-ES_tradnl" w:eastAsia="zh-CN"/>
        </w:rPr>
        <w:t>dBW</w:t>
      </w:r>
      <w:proofErr w:type="spellEnd"/>
      <w:r w:rsidRPr="00297B30">
        <w:rPr>
          <w:rFonts w:eastAsiaTheme="minorEastAsia"/>
          <w:color w:val="000000"/>
          <w:szCs w:val="24"/>
          <w:lang w:val="es-ES_tradnl" w:eastAsia="zh-CN"/>
        </w:rPr>
        <w:t xml:space="preserve"> </w:t>
      </w:r>
      <w:proofErr w:type="spellStart"/>
      <w:r w:rsidRPr="00297B30">
        <w:rPr>
          <w:rFonts w:eastAsiaTheme="minorEastAsia"/>
          <w:color w:val="000000"/>
          <w:szCs w:val="24"/>
          <w:lang w:val="es-ES_tradnl" w:eastAsia="zh-CN"/>
        </w:rPr>
        <w:t>p.i.r.e</w:t>
      </w:r>
      <w:proofErr w:type="spellEnd"/>
      <w:r w:rsidRPr="00297B30">
        <w:rPr>
          <w:rFonts w:eastAsiaTheme="minorEastAsia"/>
          <w:color w:val="000000"/>
          <w:szCs w:val="24"/>
          <w:lang w:val="es-ES_tradnl" w:eastAsia="zh-CN"/>
        </w:rPr>
        <w:t xml:space="preserve">. tiene un ángulo de elevación de </w:t>
      </w:r>
      <w:r w:rsidRPr="00C85DFD">
        <w:rPr>
          <w:color w:val="000000"/>
          <w:szCs w:val="24"/>
          <w:lang w:val="es-ES_tradnl" w:eastAsia="zh-CN"/>
        </w:rPr>
        <w:t>5°</w:t>
      </w:r>
      <w:r w:rsidRPr="00297B30">
        <w:rPr>
          <w:rFonts w:eastAsiaTheme="minorEastAsia"/>
          <w:color w:val="000000"/>
          <w:szCs w:val="24"/>
          <w:lang w:val="es-ES_tradnl" w:eastAsia="zh-CN"/>
        </w:rPr>
        <w:t xml:space="preserve"> con respecto al vehículo espacial. De no haber fuentes externas de interferencia, la relación global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color w:val="000000"/>
          <w:szCs w:val="24"/>
          <w:lang w:val="es-ES_tradnl" w:eastAsia="zh-CN"/>
        </w:rPr>
        <w:t xml:space="preserve"> es de 32,2 dB-Hz, lo cual equivale a una relación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color w:val="000000"/>
          <w:szCs w:val="24"/>
          <w:lang w:val="es-ES_tradnl" w:eastAsia="zh-CN"/>
        </w:rPr>
        <w:t xml:space="preserve"> de 6,2</w:t>
      </w:r>
      <w:r w:rsidRPr="00297B30">
        <w:rPr>
          <w:rFonts w:eastAsiaTheme="minorEastAsia"/>
          <w:szCs w:val="24"/>
          <w:lang w:val="es-ES_tradnl" w:eastAsia="zh-CN"/>
        </w:rPr>
        <w:t> </w:t>
      </w:r>
      <w:r w:rsidRPr="00297B30">
        <w:rPr>
          <w:rFonts w:eastAsiaTheme="minorEastAsia"/>
          <w:color w:val="000000"/>
          <w:szCs w:val="24"/>
          <w:lang w:val="es-ES_tradnl" w:eastAsia="zh-CN"/>
        </w:rPr>
        <w:t>dB (32,2 dB</w:t>
      </w:r>
      <w:r>
        <w:rPr>
          <w:rFonts w:eastAsiaTheme="minorEastAsia"/>
          <w:color w:val="000000"/>
          <w:szCs w:val="24"/>
          <w:lang w:val="es-ES_tradnl" w:eastAsia="zh-CN"/>
        </w:rPr>
        <w:t>(</w:t>
      </w:r>
      <w:r w:rsidRPr="00297B30">
        <w:rPr>
          <w:rFonts w:eastAsiaTheme="minorEastAsia"/>
          <w:color w:val="000000"/>
          <w:szCs w:val="24"/>
          <w:lang w:val="es-ES_tradnl" w:eastAsia="zh-CN"/>
        </w:rPr>
        <w:t>Hz</w:t>
      </w:r>
      <w:r>
        <w:rPr>
          <w:rFonts w:eastAsiaTheme="minorEastAsia"/>
          <w:color w:val="000000"/>
          <w:szCs w:val="24"/>
          <w:lang w:val="es-ES_tradnl" w:eastAsia="zh-CN"/>
        </w:rPr>
        <w:t>) </w:t>
      </w:r>
      <w:r w:rsidRPr="00297B30">
        <w:rPr>
          <w:rFonts w:eastAsiaTheme="minorEastAsia"/>
          <w:color w:val="000000"/>
          <w:szCs w:val="24"/>
          <w:lang w:val="es-ES_tradnl" w:eastAsia="zh-CN"/>
        </w:rPr>
        <w:t>− 26 dB/s) para 400</w:t>
      </w:r>
      <w:r w:rsidRPr="00297B30">
        <w:rPr>
          <w:rFonts w:eastAsiaTheme="minorEastAsia"/>
          <w:szCs w:val="24"/>
          <w:lang w:val="es-ES_tradnl" w:eastAsia="zh-CN"/>
        </w:rPr>
        <w:t> </w:t>
      </w:r>
      <w:r w:rsidRPr="00297B30">
        <w:rPr>
          <w:rFonts w:eastAsiaTheme="minorEastAsia"/>
          <w:color w:val="000000"/>
          <w:szCs w:val="24"/>
          <w:lang w:val="es-ES_tradnl" w:eastAsia="zh-CN"/>
        </w:rPr>
        <w:t>bit/s. Teniendo en cuenta las pérdidas de realización (1,0</w:t>
      </w:r>
      <w:r w:rsidRPr="00297B30">
        <w:rPr>
          <w:rFonts w:eastAsiaTheme="minorEastAsia"/>
          <w:szCs w:val="24"/>
          <w:lang w:val="es-ES_tradnl" w:eastAsia="zh-CN"/>
        </w:rPr>
        <w:t> </w:t>
      </w:r>
      <w:r w:rsidRPr="00297B30">
        <w:rPr>
          <w:rFonts w:eastAsiaTheme="minorEastAsia"/>
          <w:color w:val="000000"/>
          <w:szCs w:val="24"/>
          <w:lang w:val="es-ES_tradnl" w:eastAsia="zh-CN"/>
        </w:rPr>
        <w:t xml:space="preserve">dB), </w:t>
      </w:r>
      <w:r w:rsidRPr="00297B30">
        <w:rPr>
          <w:rFonts w:eastAsiaTheme="minorEastAsia"/>
          <w:szCs w:val="24"/>
          <w:lang w:val="es-ES_tradnl"/>
        </w:rPr>
        <w:t>las pérdidas de modulación de los datos de la radiobaliza</w:t>
      </w:r>
      <w:r w:rsidRPr="00297B30">
        <w:rPr>
          <w:rFonts w:eastAsiaTheme="minorEastAsia"/>
          <w:color w:val="000000"/>
          <w:szCs w:val="24"/>
          <w:lang w:val="es-ES_tradnl" w:eastAsia="zh-CN"/>
        </w:rPr>
        <w:t xml:space="preserve"> (1,0</w:t>
      </w:r>
      <w:r w:rsidRPr="00297B30">
        <w:rPr>
          <w:rFonts w:eastAsiaTheme="minorEastAsia"/>
          <w:szCs w:val="24"/>
          <w:lang w:val="es-ES_tradnl" w:eastAsia="zh-CN"/>
        </w:rPr>
        <w:t> </w:t>
      </w:r>
      <w:r w:rsidRPr="00297B30">
        <w:rPr>
          <w:rFonts w:eastAsiaTheme="minorEastAsia"/>
          <w:color w:val="000000"/>
          <w:szCs w:val="24"/>
          <w:lang w:val="es-ES_tradnl" w:eastAsia="zh-CN"/>
        </w:rPr>
        <w:t>dB) y la ganancia de procesamiento (7,0</w:t>
      </w:r>
      <w:r w:rsidRPr="00297B30">
        <w:rPr>
          <w:rFonts w:eastAsiaTheme="minorEastAsia"/>
          <w:szCs w:val="24"/>
          <w:lang w:val="es-ES_tradnl" w:eastAsia="zh-CN"/>
        </w:rPr>
        <w:t> </w:t>
      </w:r>
      <w:r w:rsidRPr="00297B30">
        <w:rPr>
          <w:rFonts w:eastAsiaTheme="minorEastAsia"/>
          <w:color w:val="000000"/>
          <w:szCs w:val="24"/>
          <w:lang w:val="es-ES_tradnl" w:eastAsia="zh-CN"/>
        </w:rPr>
        <w:t xml:space="preserve">dB) en el GEOLUT, se obtiene un valor eficaz de la relación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color w:val="000000"/>
          <w:szCs w:val="24"/>
          <w:lang w:val="es-ES_tradnl" w:eastAsia="zh-CN"/>
        </w:rPr>
        <w:t xml:space="preserve"> de 11,2</w:t>
      </w:r>
      <w:r w:rsidRPr="00297B30">
        <w:rPr>
          <w:rFonts w:eastAsiaTheme="minorEastAsia"/>
          <w:szCs w:val="24"/>
          <w:lang w:val="es-ES_tradnl" w:eastAsia="zh-CN"/>
        </w:rPr>
        <w:t> </w:t>
      </w:r>
      <w:r w:rsidRPr="00297B30">
        <w:rPr>
          <w:rFonts w:eastAsiaTheme="minorEastAsia"/>
          <w:color w:val="000000"/>
          <w:szCs w:val="24"/>
          <w:lang w:val="es-ES_tradnl" w:eastAsia="zh-CN"/>
        </w:rPr>
        <w:t xml:space="preserve">dB. Como el canal requiere un valor global de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color w:val="000000"/>
          <w:szCs w:val="24"/>
          <w:lang w:val="es-ES_tradnl" w:eastAsia="zh-CN"/>
        </w:rPr>
        <w:t xml:space="preserve"> de al menos 8,8</w:t>
      </w:r>
      <w:r w:rsidRPr="00297B30">
        <w:rPr>
          <w:rFonts w:eastAsiaTheme="minorEastAsia"/>
          <w:szCs w:val="24"/>
          <w:lang w:val="es-ES_tradnl" w:eastAsia="zh-CN"/>
        </w:rPr>
        <w:t> </w:t>
      </w:r>
      <w:r w:rsidRPr="00297B30">
        <w:rPr>
          <w:rFonts w:eastAsiaTheme="minorEastAsia"/>
          <w:color w:val="000000"/>
          <w:szCs w:val="24"/>
          <w:lang w:val="es-ES_tradnl" w:eastAsia="zh-CN"/>
        </w:rPr>
        <w:t>dB para satisfacer con fiabilidad la mínima calidad de funcionamiento, no puede aceptarse una acumulación de la interferencia de banda ancha en el enlace ascendente que reduzca más de 2,4 dB la relación global entre portadora y densidad de ruido más interferencia.</w:t>
      </w:r>
    </w:p>
    <w:p w:rsidR="00543337" w:rsidRPr="00297B30" w:rsidRDefault="00543337" w:rsidP="00543337">
      <w:pPr>
        <w:rPr>
          <w:rFonts w:eastAsiaTheme="minorEastAsia"/>
          <w:color w:val="000000"/>
          <w:szCs w:val="24"/>
          <w:lang w:val="es-ES_tradnl" w:eastAsia="zh-CN"/>
        </w:rPr>
      </w:pPr>
      <w:r w:rsidRPr="00297B30">
        <w:rPr>
          <w:rFonts w:eastAsiaTheme="minorEastAsia"/>
          <w:color w:val="000000"/>
          <w:szCs w:val="24"/>
          <w:lang w:val="es-ES_tradnl" w:eastAsia="zh-CN"/>
        </w:rPr>
        <w:t xml:space="preserve">Dado que el valor global de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color w:val="000000"/>
          <w:szCs w:val="24"/>
          <w:lang w:val="es-ES_tradnl" w:eastAsia="zh-CN"/>
        </w:rPr>
        <w:t xml:space="preserve"> en ausencia de interferencia es de 32,2</w:t>
      </w:r>
      <w:r w:rsidRPr="00297B30">
        <w:rPr>
          <w:rFonts w:eastAsiaTheme="minorEastAsia"/>
          <w:szCs w:val="24"/>
          <w:lang w:val="es-ES_tradnl" w:eastAsia="zh-CN"/>
        </w:rPr>
        <w:t> </w:t>
      </w:r>
      <w:r w:rsidRPr="00297B30">
        <w:rPr>
          <w:rFonts w:eastAsiaTheme="minorEastAsia"/>
          <w:color w:val="000000"/>
          <w:szCs w:val="24"/>
          <w:lang w:val="es-ES_tradnl" w:eastAsia="zh-CN"/>
        </w:rPr>
        <w:t>dB</w:t>
      </w:r>
      <w:r>
        <w:rPr>
          <w:rFonts w:eastAsiaTheme="minorEastAsia"/>
          <w:color w:val="000000"/>
          <w:szCs w:val="24"/>
          <w:lang w:val="es-ES_tradnl" w:eastAsia="zh-CN"/>
        </w:rPr>
        <w:t>(</w:t>
      </w:r>
      <w:r w:rsidRPr="00297B30">
        <w:rPr>
          <w:rFonts w:eastAsiaTheme="minorEastAsia"/>
          <w:color w:val="000000"/>
          <w:szCs w:val="24"/>
          <w:lang w:val="es-ES_tradnl" w:eastAsia="zh-CN"/>
        </w:rPr>
        <w:t>Hz</w:t>
      </w:r>
      <w:r>
        <w:rPr>
          <w:rFonts w:eastAsiaTheme="minorEastAsia"/>
          <w:color w:val="000000"/>
          <w:szCs w:val="24"/>
          <w:lang w:val="es-ES_tradnl" w:eastAsia="zh-CN"/>
        </w:rPr>
        <w:t>)</w:t>
      </w:r>
      <w:r w:rsidRPr="00297B30">
        <w:rPr>
          <w:rFonts w:eastAsiaTheme="minorEastAsia"/>
          <w:color w:val="000000"/>
          <w:szCs w:val="24"/>
          <w:lang w:val="es-ES_tradnl" w:eastAsia="zh-CN"/>
        </w:rPr>
        <w:t xml:space="preserve">, la interferencia similar al ruido de banda ancha en el enlace ascendente que degrada el enlace global 2,4 dB da lugar a una relación </w:t>
      </w:r>
      <w:r w:rsidRPr="00297B30">
        <w:rPr>
          <w:rFonts w:eastAsiaTheme="minorEastAsia"/>
          <w:szCs w:val="24"/>
          <w:lang w:val="es-ES_tradnl"/>
        </w:rPr>
        <w:t>(</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vertAlign w:val="subscript"/>
          <w:lang w:val="es-ES_tradnl"/>
        </w:rPr>
        <w:t>global con interferencia</w:t>
      </w:r>
      <w:r w:rsidRPr="00297B30">
        <w:rPr>
          <w:rFonts w:eastAsiaTheme="minorEastAsia"/>
          <w:color w:val="000000"/>
          <w:szCs w:val="24"/>
          <w:lang w:val="es-ES_tradnl" w:eastAsia="zh-CN"/>
        </w:rPr>
        <w:t xml:space="preserve"> de:</w:t>
      </w:r>
    </w:p>
    <w:p w:rsidR="00543337" w:rsidRPr="00297B30" w:rsidRDefault="00543337" w:rsidP="00543337">
      <w:pPr>
        <w:pStyle w:val="Equation"/>
        <w:rPr>
          <w:rFonts w:eastAsiaTheme="minorEastAsia"/>
          <w:color w:val="000000"/>
          <w:lang w:val="es-ES_tradnl" w:eastAsia="zh-CN"/>
        </w:rPr>
      </w:pPr>
      <w:r w:rsidRPr="00297B30">
        <w:rPr>
          <w:rFonts w:eastAsiaTheme="minorEastAsia"/>
          <w:lang w:val="es-ES_tradnl"/>
        </w:rPr>
        <w:tab/>
      </w:r>
      <w:r w:rsidRPr="00297B30">
        <w:rPr>
          <w:rFonts w:eastAsiaTheme="minorEastAsia"/>
          <w:lang w:val="es-ES_tradnl"/>
        </w:rPr>
        <w:tab/>
        <w:t>(</w:t>
      </w:r>
      <w:r w:rsidRPr="00C85DFD">
        <w:rPr>
          <w:rFonts w:eastAsiaTheme="minorEastAsia"/>
          <w:i/>
          <w:iCs/>
          <w:lang w:val="es-ES_tradnl"/>
        </w:rPr>
        <w:t>C</w:t>
      </w:r>
      <w:r w:rsidRPr="00297B30">
        <w:rPr>
          <w:rFonts w:eastAsiaTheme="minorEastAsia"/>
          <w:lang w:val="es-ES_tradnl"/>
        </w:rPr>
        <w:t>/</w:t>
      </w:r>
      <w:r w:rsidRPr="00C85DFD">
        <w:rPr>
          <w:rFonts w:eastAsiaTheme="minorEastAsia"/>
          <w:i/>
          <w:iCs/>
          <w:lang w:val="es-ES_tradnl"/>
        </w:rPr>
        <w:t>N</w:t>
      </w:r>
      <w:r w:rsidRPr="00297B30">
        <w:rPr>
          <w:rFonts w:eastAsiaTheme="minorEastAsia"/>
          <w:vertAlign w:val="subscript"/>
          <w:lang w:val="es-ES_tradnl"/>
        </w:rPr>
        <w:t>0</w:t>
      </w:r>
      <w:r w:rsidRPr="00297B30">
        <w:rPr>
          <w:rFonts w:eastAsiaTheme="minorEastAsia"/>
          <w:lang w:val="es-ES_tradnl"/>
        </w:rPr>
        <w:t>)</w:t>
      </w:r>
      <w:r w:rsidRPr="00297B30">
        <w:rPr>
          <w:rFonts w:eastAsiaTheme="minorEastAsia"/>
          <w:i/>
          <w:iCs/>
          <w:vertAlign w:val="subscript"/>
          <w:lang w:val="es-ES_tradnl"/>
        </w:rPr>
        <w:t>global con interferencia</w:t>
      </w:r>
      <w:r w:rsidRPr="00297B30">
        <w:rPr>
          <w:rFonts w:eastAsiaTheme="minorEastAsia"/>
          <w:lang w:val="es-ES_tradnl"/>
        </w:rPr>
        <w:t xml:space="preserve"> = (</w:t>
      </w:r>
      <w:r w:rsidRPr="00C85DFD">
        <w:rPr>
          <w:rFonts w:eastAsiaTheme="minorEastAsia"/>
          <w:i/>
          <w:iCs/>
          <w:lang w:val="es-ES_tradnl"/>
        </w:rPr>
        <w:t>C</w:t>
      </w:r>
      <w:r w:rsidRPr="00297B30">
        <w:rPr>
          <w:rFonts w:eastAsiaTheme="minorEastAsia"/>
          <w:lang w:val="es-ES_tradnl"/>
        </w:rPr>
        <w:t>/</w:t>
      </w:r>
      <w:r w:rsidRPr="00C85DFD">
        <w:rPr>
          <w:rFonts w:eastAsiaTheme="minorEastAsia"/>
          <w:i/>
          <w:iCs/>
          <w:lang w:val="es-ES_tradnl"/>
        </w:rPr>
        <w:t>N</w:t>
      </w:r>
      <w:r w:rsidRPr="00297B30">
        <w:rPr>
          <w:rFonts w:eastAsiaTheme="minorEastAsia"/>
          <w:vertAlign w:val="subscript"/>
          <w:lang w:val="es-ES_tradnl"/>
        </w:rPr>
        <w:t>0</w:t>
      </w:r>
      <w:r w:rsidRPr="00297B30">
        <w:rPr>
          <w:rFonts w:eastAsiaTheme="minorEastAsia"/>
          <w:lang w:val="es-ES_tradnl"/>
        </w:rPr>
        <w:t>)</w:t>
      </w:r>
      <w:r w:rsidRPr="00C85DFD">
        <w:rPr>
          <w:rFonts w:eastAsiaTheme="minorEastAsia"/>
          <w:i/>
          <w:iCs/>
          <w:vertAlign w:val="subscript"/>
          <w:lang w:val="es-ES_tradnl"/>
        </w:rPr>
        <w:t>OI</w:t>
      </w:r>
      <w:r w:rsidRPr="00297B30">
        <w:rPr>
          <w:rFonts w:eastAsiaTheme="minorEastAsia"/>
          <w:lang w:val="es-ES_tradnl"/>
        </w:rPr>
        <w:t xml:space="preserve"> = (</w:t>
      </w:r>
      <w:r w:rsidRPr="00C85DFD">
        <w:rPr>
          <w:rFonts w:eastAsiaTheme="minorEastAsia"/>
          <w:i/>
          <w:iCs/>
          <w:lang w:val="es-ES_tradnl"/>
        </w:rPr>
        <w:t>C</w:t>
      </w:r>
      <w:r w:rsidRPr="00297B30">
        <w:rPr>
          <w:rFonts w:eastAsiaTheme="minorEastAsia"/>
          <w:lang w:val="es-ES_tradnl"/>
        </w:rPr>
        <w:t>/(</w:t>
      </w:r>
      <w:r w:rsidRPr="00C85DFD">
        <w:rPr>
          <w:rFonts w:eastAsiaTheme="minorEastAsia"/>
          <w:i/>
          <w:iCs/>
          <w:lang w:val="es-ES_tradnl"/>
        </w:rPr>
        <w:t>N</w:t>
      </w:r>
      <w:r w:rsidRPr="00297B30">
        <w:rPr>
          <w:rFonts w:eastAsiaTheme="minorEastAsia"/>
          <w:vertAlign w:val="subscript"/>
          <w:lang w:val="es-ES_tradnl"/>
        </w:rPr>
        <w:t>0</w:t>
      </w:r>
      <w:r w:rsidRPr="00297B30">
        <w:rPr>
          <w:rFonts w:eastAsiaTheme="minorEastAsia"/>
          <w:lang w:val="es-ES_tradnl"/>
        </w:rPr>
        <w:t>)</w:t>
      </w:r>
      <w:r w:rsidRPr="00297B30">
        <w:rPr>
          <w:rFonts w:eastAsiaTheme="minorEastAsia"/>
          <w:i/>
          <w:iCs/>
          <w:vertAlign w:val="subscript"/>
          <w:lang w:val="es-ES_tradnl"/>
        </w:rPr>
        <w:t>global</w:t>
      </w:r>
      <w:r w:rsidRPr="00297B30">
        <w:rPr>
          <w:rFonts w:eastAsiaTheme="minorEastAsia"/>
          <w:lang w:val="es-ES_tradnl"/>
        </w:rPr>
        <w:t xml:space="preserve"> −</w:t>
      </w:r>
      <w:r w:rsidRPr="00297B30">
        <w:rPr>
          <w:rFonts w:eastAsiaTheme="minorEastAsia"/>
          <w:color w:val="000000"/>
          <w:lang w:val="es-ES_tradnl" w:eastAsia="zh-CN"/>
        </w:rPr>
        <w:t xml:space="preserve"> 2,4 dB</w:t>
      </w:r>
    </w:p>
    <w:p w:rsidR="00543337" w:rsidRPr="00297B30" w:rsidRDefault="00543337" w:rsidP="00543337">
      <w:pPr>
        <w:pStyle w:val="Equation"/>
        <w:rPr>
          <w:rFonts w:eastAsiaTheme="minorEastAsia"/>
          <w:lang w:val="es-ES_tradnl" w:eastAsia="zh-CN"/>
        </w:rPr>
      </w:pPr>
      <w:r w:rsidRPr="00297B30">
        <w:rPr>
          <w:rFonts w:eastAsiaTheme="minorEastAsia"/>
          <w:lang w:val="es-ES_tradnl" w:eastAsia="zh-CN"/>
        </w:rPr>
        <w:tab/>
      </w:r>
      <w:r w:rsidRPr="00297B30">
        <w:rPr>
          <w:rFonts w:eastAsiaTheme="minorEastAsia"/>
          <w:lang w:val="es-ES_tradnl" w:eastAsia="zh-CN"/>
        </w:rPr>
        <w:tab/>
        <w:t>= 32,2 dB(Hz) − 2,4 dB = 29,8 dB(Hz)</w:t>
      </w:r>
      <w:r w:rsidRPr="00297B30">
        <w:rPr>
          <w:rFonts w:eastAsiaTheme="minorEastAsia"/>
          <w:lang w:val="es-ES_tradnl" w:eastAsia="zh-CN"/>
        </w:rPr>
        <w:tab/>
      </w:r>
      <w:r w:rsidRPr="00297B30">
        <w:rPr>
          <w:rFonts w:eastAsiaTheme="minorEastAsia"/>
          <w:color w:val="000000"/>
          <w:lang w:val="es-ES_tradnl" w:eastAsia="zh-CN"/>
        </w:rPr>
        <w:t>(13)</w:t>
      </w:r>
    </w:p>
    <w:p w:rsidR="00543337" w:rsidRPr="00297B30" w:rsidRDefault="00543337" w:rsidP="00543337">
      <w:pPr>
        <w:pStyle w:val="Equation"/>
        <w:rPr>
          <w:rFonts w:eastAsiaTheme="minorEastAsia"/>
          <w:lang w:val="es-ES_tradnl" w:eastAsia="zh-CN"/>
        </w:rPr>
      </w:pPr>
      <w:r w:rsidRPr="00297B30">
        <w:rPr>
          <w:rFonts w:eastAsiaTheme="minorEastAsia"/>
          <w:lang w:val="es-ES_tradnl"/>
        </w:rPr>
        <w:tab/>
      </w:r>
      <w:r w:rsidRPr="00297B30">
        <w:rPr>
          <w:rFonts w:eastAsiaTheme="minorEastAsia"/>
          <w:lang w:val="es-ES_tradnl"/>
        </w:rPr>
        <w:tab/>
        <w:t>(</w:t>
      </w:r>
      <w:r w:rsidRPr="00297B30">
        <w:rPr>
          <w:rFonts w:eastAsiaTheme="minorEastAsia"/>
          <w:i/>
          <w:iCs/>
          <w:lang w:val="es-ES_tradnl"/>
        </w:rPr>
        <w:t>C</w:t>
      </w:r>
      <w:r w:rsidRPr="00297B30">
        <w:rPr>
          <w:rFonts w:eastAsiaTheme="minorEastAsia"/>
          <w:lang w:val="es-ES_tradnl"/>
        </w:rPr>
        <w:t>/</w:t>
      </w:r>
      <w:r w:rsidRPr="00297B30">
        <w:rPr>
          <w:rFonts w:eastAsiaTheme="minorEastAsia"/>
          <w:i/>
          <w:iCs/>
          <w:lang w:val="es-ES_tradnl"/>
        </w:rPr>
        <w:t>N</w:t>
      </w:r>
      <w:r w:rsidRPr="00297B30">
        <w:rPr>
          <w:rFonts w:eastAsiaTheme="minorEastAsia"/>
          <w:vertAlign w:val="subscript"/>
          <w:lang w:val="es-ES_tradnl"/>
        </w:rPr>
        <w:t>0</w:t>
      </w:r>
      <w:r w:rsidRPr="00297B30">
        <w:rPr>
          <w:rFonts w:eastAsiaTheme="minorEastAsia"/>
          <w:lang w:val="es-ES_tradnl"/>
        </w:rPr>
        <w:t>)</w:t>
      </w:r>
      <w:r w:rsidRPr="00297B30">
        <w:rPr>
          <w:rFonts w:eastAsiaTheme="minorEastAsia"/>
          <w:i/>
          <w:iCs/>
          <w:vertAlign w:val="subscript"/>
          <w:lang w:val="es-ES_tradnl"/>
        </w:rPr>
        <w:t>OI</w:t>
      </w:r>
      <w:r w:rsidRPr="00297B30">
        <w:rPr>
          <w:rFonts w:eastAsiaTheme="minorEastAsia"/>
          <w:lang w:val="es-ES_tradnl"/>
        </w:rPr>
        <w:t xml:space="preserve"> =</w:t>
      </w:r>
      <w:r w:rsidRPr="00297B30">
        <w:rPr>
          <w:rFonts w:eastAsiaTheme="minorEastAsia"/>
          <w:lang w:val="es-ES_tradnl" w:eastAsia="zh-CN"/>
        </w:rPr>
        <w:t>29,8 dB(Hz)</w:t>
      </w:r>
    </w:p>
    <w:p w:rsidR="00543337" w:rsidRDefault="00543337" w:rsidP="00543337">
      <w:pPr>
        <w:rPr>
          <w:rFonts w:eastAsiaTheme="minorEastAsia"/>
          <w:szCs w:val="24"/>
          <w:lang w:val="es-ES_tradnl"/>
        </w:rPr>
      </w:pPr>
      <w:r w:rsidRPr="00297B30">
        <w:rPr>
          <w:rFonts w:eastAsiaTheme="minorEastAsia"/>
          <w:szCs w:val="24"/>
          <w:lang w:val="es-ES_tradnl"/>
        </w:rPr>
        <w:t>El valor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vertAlign w:val="subscript"/>
          <w:lang w:val="es-ES_tradnl"/>
        </w:rPr>
        <w:t>OI</w:t>
      </w:r>
      <w:r w:rsidRPr="00297B30">
        <w:rPr>
          <w:rFonts w:eastAsiaTheme="minorEastAsia"/>
          <w:szCs w:val="24"/>
          <w:lang w:val="es-ES_tradnl"/>
        </w:rPr>
        <w:t xml:space="preserve"> se calcula a partir de las relaciones entre la portadora y la densidad de ruido más interferencia del enlace ascendente y del enlace descendente como se indica a continuación:</w:t>
      </w:r>
    </w:p>
    <w:p w:rsidR="00543337" w:rsidRPr="00297B30" w:rsidRDefault="00107FE4" w:rsidP="00543337">
      <w:pPr>
        <w:pStyle w:val="Equation"/>
        <w:rPr>
          <w:rFonts w:eastAsiaTheme="minorEastAsia"/>
          <w:lang w:val="es-ES_tradnl"/>
        </w:rPr>
      </w:pPr>
      <w:r w:rsidRPr="00297B30">
        <w:rPr>
          <w:rFonts w:eastAsiaTheme="minorEastAsia"/>
          <w:position w:val="-14"/>
          <w:lang w:val="es-ES_tradnl"/>
        </w:rPr>
        <w:object w:dxaOrig="7640" w:dyaOrig="440">
          <v:shape id="_x0000_i1166" type="#_x0000_t75" style="width:378.35pt;height:22.4pt" o:ole="">
            <v:imagedata r:id="rId117" o:title=""/>
          </v:shape>
          <o:OLEObject Type="Embed" ProgID="Equation.3" ShapeID="_x0000_i1166" DrawAspect="Content" ObjectID="_1501062648" r:id="rId118"/>
        </w:object>
      </w:r>
      <w:r>
        <w:rPr>
          <w:rFonts w:eastAsiaTheme="minorEastAsia"/>
          <w:lang w:val="es-ES_tradnl"/>
        </w:rPr>
        <w:t xml:space="preserve">  (numérico)</w:t>
      </w:r>
      <w:r w:rsidR="00543337" w:rsidRPr="00297B30">
        <w:rPr>
          <w:rFonts w:ascii="TimesNewRomanPSMT" w:eastAsiaTheme="minorEastAsia" w:hAnsi="TimesNewRomanPSMT" w:cs="TimesNewRomanPSMT"/>
          <w:lang w:val="es-ES_tradnl" w:eastAsia="ru-RU"/>
        </w:rPr>
        <w:tab/>
      </w:r>
      <w:r w:rsidR="00543337" w:rsidRPr="00235AA4">
        <w:rPr>
          <w:rFonts w:eastAsiaTheme="minorEastAsia"/>
          <w:lang w:val="es-ES_tradnl" w:eastAsia="ru-RU"/>
        </w:rPr>
        <w:t>(14)</w:t>
      </w:r>
    </w:p>
    <w:p w:rsidR="00543337" w:rsidRPr="00297B30" w:rsidRDefault="00543337" w:rsidP="00543337">
      <w:pPr>
        <w:rPr>
          <w:rFonts w:eastAsiaTheme="minorEastAsia"/>
          <w:szCs w:val="24"/>
          <w:lang w:val="es-ES_tradnl"/>
        </w:rPr>
      </w:pPr>
      <w:r w:rsidRPr="00297B30">
        <w:rPr>
          <w:rFonts w:eastAsiaTheme="minorEastAsia"/>
          <w:szCs w:val="24"/>
          <w:lang w:val="es-ES_tradnl"/>
        </w:rPr>
        <w:t>Como este análisis se refiere a la interferencia en el enlace ascendente,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vertAlign w:val="subscript"/>
          <w:lang w:val="es-ES_tradnl"/>
        </w:rPr>
        <w:t>enlace descendente con interferencia</w:t>
      </w:r>
      <w:r w:rsidRPr="00297B30">
        <w:rPr>
          <w:rFonts w:eastAsiaTheme="minorEastAsia"/>
          <w:szCs w:val="24"/>
          <w:lang w:val="es-ES_tradnl"/>
        </w:rPr>
        <w:t xml:space="preserve"> en la ecuación (2) se convierte en:</w:t>
      </w:r>
    </w:p>
    <w:p w:rsidR="00543337" w:rsidRPr="00297B30" w:rsidRDefault="00543337" w:rsidP="00543337">
      <w:pPr>
        <w:pStyle w:val="Equation"/>
        <w:rPr>
          <w:rFonts w:eastAsiaTheme="minorEastAsia"/>
          <w:lang w:val="es-ES_tradnl" w:eastAsia="ru-RU"/>
        </w:rPr>
      </w:pPr>
      <w:r w:rsidRPr="00297B30">
        <w:rPr>
          <w:rFonts w:eastAsiaTheme="minorEastAsia"/>
          <w:color w:val="000000"/>
          <w:lang w:val="es-ES_tradnl" w:eastAsia="zh-CN"/>
        </w:rPr>
        <w:tab/>
      </w:r>
      <w:r w:rsidRPr="00297B30">
        <w:rPr>
          <w:rFonts w:eastAsiaTheme="minorEastAsia"/>
          <w:color w:val="000000"/>
          <w:lang w:val="es-ES_tradnl" w:eastAsia="zh-CN"/>
        </w:rPr>
        <w:tab/>
      </w:r>
      <w:r w:rsidRPr="00297B30">
        <w:rPr>
          <w:rFonts w:eastAsiaTheme="minorEastAsia"/>
          <w:position w:val="-16"/>
          <w:lang w:val="es-ES_tradnl"/>
        </w:rPr>
        <w:object w:dxaOrig="6619" w:dyaOrig="420">
          <v:shape id="_x0000_i1078" type="#_x0000_t75" style="width:327.4pt;height:21.05pt" o:ole="">
            <v:imagedata r:id="rId119" o:title=""/>
          </v:shape>
          <o:OLEObject Type="Embed" ProgID="Equation.3" ShapeID="_x0000_i1078" DrawAspect="Content" ObjectID="_1501062649" r:id="rId120"/>
        </w:object>
      </w:r>
      <w:r w:rsidRPr="00297B30">
        <w:rPr>
          <w:rFonts w:eastAsiaTheme="minorEastAsia"/>
          <w:lang w:val="es-ES_tradnl" w:eastAsia="ru-RU"/>
        </w:rPr>
        <w:tab/>
        <w:t>(15)</w:t>
      </w:r>
    </w:p>
    <w:p w:rsidR="00543337" w:rsidRPr="00297B30" w:rsidRDefault="00543337" w:rsidP="00543337">
      <w:pPr>
        <w:rPr>
          <w:rFonts w:eastAsiaTheme="minorEastAsia"/>
          <w:szCs w:val="24"/>
          <w:lang w:val="es-ES_tradnl"/>
        </w:rPr>
      </w:pPr>
      <w:r w:rsidRPr="00297B30">
        <w:rPr>
          <w:rFonts w:eastAsiaTheme="minorEastAsia"/>
          <w:szCs w:val="24"/>
          <w:lang w:val="es-ES_tradnl"/>
        </w:rPr>
        <w:t>La fuente de interferencia también afecta a la relación entre la portadora del enlace descendente y la densidad de ruido,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szCs w:val="24"/>
          <w:vertAlign w:val="subscript"/>
          <w:lang w:val="es-ES_tradnl"/>
        </w:rPr>
        <w:sym w:font="Symbol" w:char="F0AF"/>
      </w:r>
      <w:r w:rsidRPr="00297B30">
        <w:rPr>
          <w:rFonts w:eastAsiaTheme="minorEastAsia"/>
          <w:szCs w:val="24"/>
          <w:lang w:val="es-ES_tradnl"/>
        </w:rPr>
        <w:t>, aumentando la potencia total compartida en la anchura de banda SAR. Este aumento de la potencia total reduce las pérdidas de compartición de potencia y afecta al valor de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szCs w:val="24"/>
          <w:vertAlign w:val="subscript"/>
          <w:lang w:val="es-ES_tradnl"/>
        </w:rPr>
        <w:sym w:font="Symbol" w:char="F0AF"/>
      </w:r>
      <w:r w:rsidRPr="00297B30">
        <w:rPr>
          <w:rFonts w:eastAsiaTheme="minorEastAsia"/>
          <w:szCs w:val="24"/>
          <w:lang w:val="es-ES_tradnl"/>
        </w:rPr>
        <w:t xml:space="preserve"> de la forma siguiente:</w:t>
      </w:r>
    </w:p>
    <w:p w:rsidR="00543337" w:rsidRPr="00297B30" w:rsidRDefault="00543337" w:rsidP="00543337">
      <w:pPr>
        <w:pStyle w:val="Equation"/>
        <w:rPr>
          <w:rFonts w:eastAsiaTheme="minorEastAsia"/>
          <w:lang w:val="es-ES_tradnl"/>
        </w:rPr>
      </w:pPr>
      <w:r w:rsidRPr="00297B30">
        <w:rPr>
          <w:rFonts w:eastAsiaTheme="minorEastAsia"/>
          <w:lang w:val="es-ES_tradnl"/>
        </w:rPr>
        <w:tab/>
      </w:r>
      <w:r w:rsidRPr="00297B30">
        <w:rPr>
          <w:rFonts w:eastAsiaTheme="minorEastAsia"/>
          <w:lang w:val="es-ES_tradnl"/>
        </w:rPr>
        <w:tab/>
      </w:r>
      <w:r w:rsidRPr="00C85DFD">
        <w:rPr>
          <w:rFonts w:eastAsiaTheme="minorEastAsia"/>
          <w:position w:val="-14"/>
          <w:lang w:val="es-ES_tradnl"/>
        </w:rPr>
        <w:object w:dxaOrig="6520" w:dyaOrig="380">
          <v:shape id="_x0000_i1079" type="#_x0000_t75" style="width:326.7pt;height:19.7pt" o:ole="">
            <v:imagedata r:id="rId121" o:title=""/>
          </v:shape>
          <o:OLEObject Type="Embed" ProgID="Equation.3" ShapeID="_x0000_i1079" DrawAspect="Content" ObjectID="_1501062650" r:id="rId122"/>
        </w:object>
      </w:r>
      <w:r w:rsidRPr="00297B30">
        <w:rPr>
          <w:rFonts w:eastAsiaTheme="minorEastAsia"/>
          <w:lang w:val="es-ES_tradnl"/>
        </w:rPr>
        <w:tab/>
        <w:t>(16)</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siendo </w:t>
      </w:r>
      <w:proofErr w:type="spellStart"/>
      <w:r w:rsidRPr="00297B30">
        <w:rPr>
          <w:rFonts w:eastAsiaTheme="minorEastAsia"/>
          <w:i/>
          <w:iCs/>
          <w:szCs w:val="24"/>
          <w:lang w:val="es-ES_tradnl"/>
        </w:rPr>
        <w:t>Lps</w:t>
      </w:r>
      <w:proofErr w:type="spellEnd"/>
      <w:r w:rsidRPr="00297B30">
        <w:rPr>
          <w:rFonts w:eastAsiaTheme="minorEastAsia"/>
          <w:szCs w:val="24"/>
          <w:lang w:val="es-ES_tradnl"/>
        </w:rPr>
        <w:t xml:space="preserve"> las pérdidas de compartición de potencia sin interferencia y </w:t>
      </w:r>
      <w:proofErr w:type="spellStart"/>
      <w:r w:rsidRPr="00297B30">
        <w:rPr>
          <w:rFonts w:eastAsiaTheme="minorEastAsia"/>
          <w:i/>
          <w:iCs/>
          <w:szCs w:val="24"/>
          <w:lang w:val="es-ES_tradnl"/>
        </w:rPr>
        <w:t>Lpsi</w:t>
      </w:r>
      <w:proofErr w:type="spellEnd"/>
      <w:r w:rsidRPr="00297B30">
        <w:rPr>
          <w:rFonts w:eastAsiaTheme="minorEastAsia"/>
          <w:szCs w:val="24"/>
          <w:lang w:val="es-ES_tradnl"/>
        </w:rPr>
        <w:t xml:space="preserve"> las pérdidas de compartición de potencia con interferencia. </w:t>
      </w:r>
      <w:proofErr w:type="spellStart"/>
      <w:r w:rsidRPr="00297B30">
        <w:rPr>
          <w:rFonts w:eastAsiaTheme="minorEastAsia"/>
          <w:i/>
          <w:iCs/>
          <w:szCs w:val="24"/>
          <w:lang w:val="es-ES_tradnl"/>
        </w:rPr>
        <w:t>Lpsi</w:t>
      </w:r>
      <w:proofErr w:type="spellEnd"/>
      <w:r w:rsidRPr="00297B30">
        <w:rPr>
          <w:rFonts w:eastAsiaTheme="minorEastAsia"/>
          <w:szCs w:val="24"/>
          <w:lang w:val="es-ES_tradnl"/>
        </w:rPr>
        <w:t xml:space="preserve"> se calcula como sigue:</w:t>
      </w:r>
    </w:p>
    <w:p w:rsidR="00543337" w:rsidRPr="00297B30" w:rsidRDefault="00543337" w:rsidP="00543337">
      <w:pPr>
        <w:pStyle w:val="Equation"/>
        <w:rPr>
          <w:rFonts w:eastAsiaTheme="minorEastAsia"/>
          <w:lang w:val="es-ES_tradnl" w:eastAsia="ru-RU"/>
        </w:rPr>
      </w:pPr>
      <w:r w:rsidRPr="00297B30">
        <w:rPr>
          <w:rFonts w:eastAsiaTheme="minorEastAsia"/>
          <w:i/>
          <w:iCs/>
          <w:lang w:val="es-ES_tradnl" w:eastAsia="ru-RU"/>
        </w:rPr>
        <w:tab/>
      </w:r>
      <w:r w:rsidRPr="00297B30">
        <w:rPr>
          <w:rFonts w:eastAsiaTheme="minorEastAsia"/>
          <w:i/>
          <w:iCs/>
          <w:lang w:val="es-ES_tradnl" w:eastAsia="ru-RU"/>
        </w:rPr>
        <w:tab/>
      </w:r>
      <w:r w:rsidRPr="00297B30">
        <w:rPr>
          <w:rFonts w:eastAsiaTheme="minorEastAsia"/>
          <w:position w:val="-12"/>
          <w:lang w:val="es-ES_tradnl"/>
        </w:rPr>
        <w:object w:dxaOrig="5040" w:dyaOrig="360">
          <v:shape id="_x0000_i1080" type="#_x0000_t75" style="width:249.3pt;height:18.35pt" o:ole="">
            <v:imagedata r:id="rId123" o:title=""/>
          </v:shape>
          <o:OLEObject Type="Embed" ProgID="Equation.3" ShapeID="_x0000_i1080" DrawAspect="Content" ObjectID="_1501062651" r:id="rId124"/>
        </w:object>
      </w:r>
      <w:r w:rsidRPr="00297B30">
        <w:rPr>
          <w:rFonts w:eastAsiaTheme="minorEastAsia"/>
          <w:i/>
          <w:iCs/>
          <w:lang w:val="es-ES_tradnl" w:eastAsia="ru-RU"/>
        </w:rPr>
        <w:tab/>
      </w:r>
      <w:r w:rsidRPr="00297B30">
        <w:rPr>
          <w:rFonts w:eastAsiaTheme="minorEastAsia"/>
          <w:lang w:val="es-ES_tradnl" w:eastAsia="ru-RU"/>
        </w:rPr>
        <w:t>(17)</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donde </w:t>
      </w:r>
      <w:r w:rsidRPr="00297B30">
        <w:rPr>
          <w:rFonts w:eastAsiaTheme="minorEastAsia"/>
          <w:i/>
          <w:iCs/>
          <w:szCs w:val="24"/>
          <w:lang w:val="es-ES_tradnl"/>
        </w:rPr>
        <w:t>C</w:t>
      </w:r>
      <w:r w:rsidRPr="00297B30">
        <w:rPr>
          <w:rFonts w:eastAsiaTheme="minorEastAsia"/>
          <w:szCs w:val="24"/>
          <w:vertAlign w:val="subscript"/>
          <w:lang w:val="es-ES_tradnl"/>
        </w:rPr>
        <w:t>2</w:t>
      </w:r>
      <w:r w:rsidRPr="00297B30">
        <w:rPr>
          <w:rFonts w:eastAsiaTheme="minorEastAsia"/>
          <w:szCs w:val="24"/>
          <w:lang w:val="es-ES_tradnl"/>
        </w:rPr>
        <w:t xml:space="preserve"> es el nivel de la potencia procedente de una de las otras dos radiobalizas recibidas simultáneamente por el GOES SARR y B es la anchura de banda del receptor GOES.</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Sustituyendo la ecuación (17) en la ecuación (16), sustituyendo a continuación las ecuaciones (15) y (16) en la ecuación (14) y resolviendo para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xml:space="preserve"> se obtiene:</w:t>
      </w:r>
    </w:p>
    <w:p w:rsidR="00543337" w:rsidRPr="00297B30" w:rsidRDefault="00543337" w:rsidP="00543337">
      <w:pPr>
        <w:pStyle w:val="Equation"/>
        <w:rPr>
          <w:rFonts w:eastAsiaTheme="minorEastAsia"/>
          <w:lang w:val="es-ES_tradnl" w:eastAsia="ru-RU"/>
        </w:rPr>
      </w:pPr>
      <w:r w:rsidRPr="00297B30">
        <w:rPr>
          <w:rFonts w:eastAsiaTheme="minorEastAsia"/>
          <w:lang w:val="es-ES_tradnl" w:eastAsia="ru-RU"/>
        </w:rPr>
        <w:tab/>
      </w:r>
      <w:r w:rsidRPr="00297B30">
        <w:rPr>
          <w:rFonts w:eastAsiaTheme="minorEastAsia"/>
          <w:lang w:val="es-ES_tradnl" w:eastAsia="ru-RU"/>
        </w:rPr>
        <w:tab/>
      </w:r>
      <w:r w:rsidRPr="00297B30">
        <w:rPr>
          <w:rFonts w:eastAsiaTheme="minorEastAsia"/>
          <w:position w:val="-12"/>
          <w:lang w:val="es-ES_tradnl"/>
        </w:rPr>
        <w:object w:dxaOrig="7560" w:dyaOrig="420">
          <v:shape id="_x0000_i1081" type="#_x0000_t75" style="width:378.35pt;height:21.05pt" o:ole="">
            <v:imagedata r:id="rId125" o:title=""/>
          </v:shape>
          <o:OLEObject Type="Embed" ProgID="Equation.3" ShapeID="_x0000_i1081" DrawAspect="Content" ObjectID="_1501062652" r:id="rId126"/>
        </w:object>
      </w:r>
      <w:r w:rsidRPr="00297B30">
        <w:rPr>
          <w:rFonts w:eastAsiaTheme="minorEastAsia"/>
          <w:lang w:val="es-ES_tradnl"/>
        </w:rPr>
        <w:tab/>
      </w:r>
      <w:r w:rsidRPr="00297B30">
        <w:rPr>
          <w:rFonts w:eastAsiaTheme="minorEastAsia"/>
          <w:lang w:val="es-ES_tradnl" w:eastAsia="ru-RU"/>
        </w:rPr>
        <w:t>(18)</w:t>
      </w:r>
    </w:p>
    <w:p w:rsidR="00543337" w:rsidRPr="00297B30" w:rsidRDefault="00543337" w:rsidP="00543337">
      <w:pPr>
        <w:rPr>
          <w:rFonts w:eastAsiaTheme="minorEastAsia"/>
          <w:szCs w:val="24"/>
          <w:lang w:val="es-ES_tradnl" w:eastAsia="ru-RU"/>
        </w:rPr>
      </w:pPr>
      <w:r w:rsidRPr="00297B30">
        <w:rPr>
          <w:rFonts w:eastAsiaTheme="minorEastAsia"/>
          <w:i/>
          <w:iCs/>
          <w:szCs w:val="24"/>
          <w:lang w:val="es-ES_tradnl" w:eastAsia="ru-RU"/>
        </w:rPr>
        <w:lastRenderedPageBreak/>
        <w:t>C</w:t>
      </w:r>
      <w:r w:rsidRPr="00297B30">
        <w:rPr>
          <w:rFonts w:eastAsiaTheme="minorEastAsia"/>
          <w:szCs w:val="24"/>
          <w:vertAlign w:val="subscript"/>
          <w:lang w:val="es-ES_tradnl" w:eastAsia="ru-RU"/>
        </w:rPr>
        <w:t>2</w:t>
      </w:r>
      <w:r w:rsidRPr="00297B30">
        <w:rPr>
          <w:rFonts w:eastAsiaTheme="minorEastAsia"/>
          <w:szCs w:val="24"/>
          <w:lang w:val="es-ES_tradnl" w:eastAsia="ru-RU"/>
        </w:rPr>
        <w:t xml:space="preserve"> es –161,1</w:t>
      </w:r>
      <w:r w:rsidRPr="00297B30">
        <w:rPr>
          <w:rFonts w:eastAsiaTheme="minorEastAsia"/>
          <w:szCs w:val="24"/>
          <w:lang w:val="es-ES_tradnl" w:eastAsia="zh-CN"/>
        </w:rPr>
        <w:t> </w:t>
      </w:r>
      <w:proofErr w:type="spellStart"/>
      <w:r w:rsidRPr="00297B30">
        <w:rPr>
          <w:rFonts w:eastAsiaTheme="minorEastAsia"/>
          <w:szCs w:val="24"/>
          <w:lang w:val="es-ES_tradnl" w:eastAsia="ru-RU"/>
        </w:rPr>
        <w:t>dBW</w:t>
      </w:r>
      <w:proofErr w:type="spellEnd"/>
      <w:r w:rsidRPr="00297B30">
        <w:rPr>
          <w:rFonts w:eastAsiaTheme="minorEastAsia"/>
          <w:szCs w:val="24"/>
          <w:lang w:val="es-ES_tradnl" w:eastAsia="ru-RU"/>
        </w:rPr>
        <w:t xml:space="preserve">, </w:t>
      </w:r>
      <w:r w:rsidRPr="00297B30">
        <w:rPr>
          <w:rFonts w:eastAsiaTheme="minorEastAsia"/>
          <w:i/>
          <w:iCs/>
          <w:szCs w:val="24"/>
          <w:lang w:val="es-ES_tradnl" w:eastAsia="ru-RU"/>
        </w:rPr>
        <w:t>B</w:t>
      </w:r>
      <w:r w:rsidRPr="00297B30">
        <w:rPr>
          <w:rFonts w:eastAsiaTheme="minorEastAsia"/>
          <w:szCs w:val="24"/>
          <w:lang w:val="es-ES_tradnl" w:eastAsia="ru-RU"/>
        </w:rPr>
        <w:t xml:space="preserve"> es 80</w:t>
      </w:r>
      <w:r w:rsidRPr="00297B30">
        <w:rPr>
          <w:rFonts w:eastAsiaTheme="minorEastAsia"/>
          <w:szCs w:val="24"/>
          <w:lang w:val="es-ES_tradnl" w:eastAsia="zh-CN"/>
        </w:rPr>
        <w:t> </w:t>
      </w:r>
      <w:r w:rsidRPr="00297B30">
        <w:rPr>
          <w:rFonts w:eastAsiaTheme="minorEastAsia"/>
          <w:szCs w:val="24"/>
          <w:lang w:val="es-ES_tradnl" w:eastAsia="ru-RU"/>
        </w:rPr>
        <w:t>kHz, (</w:t>
      </w:r>
      <w:r w:rsidRPr="00297B30">
        <w:rPr>
          <w:rFonts w:eastAsiaTheme="minorEastAsia"/>
          <w:i/>
          <w:iCs/>
          <w:szCs w:val="24"/>
          <w:lang w:val="es-ES_tradnl" w:eastAsia="ru-RU"/>
        </w:rPr>
        <w:t>C</w:t>
      </w:r>
      <w:r w:rsidRPr="00297B30">
        <w:rPr>
          <w:rFonts w:eastAsiaTheme="minorEastAsia"/>
          <w:szCs w:val="24"/>
          <w:lang w:val="es-ES_tradnl" w:eastAsia="ru-RU"/>
        </w:rPr>
        <w:t>/</w:t>
      </w:r>
      <w:r w:rsidRPr="00297B30">
        <w:rPr>
          <w:rFonts w:eastAsiaTheme="minorEastAsia"/>
          <w:i/>
          <w:iCs/>
          <w:szCs w:val="24"/>
          <w:lang w:val="es-ES_tradnl" w:eastAsia="ru-RU"/>
        </w:rPr>
        <w:t>N</w:t>
      </w:r>
      <w:r w:rsidRPr="00297B30">
        <w:rPr>
          <w:rFonts w:eastAsiaTheme="minorEastAsia"/>
          <w:szCs w:val="24"/>
          <w:vertAlign w:val="subscript"/>
          <w:lang w:val="es-ES_tradnl" w:eastAsia="ru-RU"/>
        </w:rPr>
        <w:t>0</w:t>
      </w:r>
      <w:r w:rsidRPr="00297B30">
        <w:rPr>
          <w:rFonts w:eastAsiaTheme="minorEastAsia"/>
          <w:szCs w:val="24"/>
          <w:lang w:val="es-ES_tradnl" w:eastAsia="ru-RU"/>
        </w:rPr>
        <w:t>)</w:t>
      </w:r>
      <w:r w:rsidRPr="00297B30">
        <w:rPr>
          <w:rFonts w:eastAsiaTheme="minorEastAsia"/>
          <w:i/>
          <w:iCs/>
          <w:szCs w:val="24"/>
          <w:vertAlign w:val="subscript"/>
          <w:lang w:val="es-ES_tradnl" w:eastAsia="ru-RU"/>
        </w:rPr>
        <w:t>OI</w:t>
      </w:r>
      <w:r w:rsidRPr="00297B30">
        <w:rPr>
          <w:rFonts w:eastAsiaTheme="minorEastAsia"/>
          <w:szCs w:val="24"/>
          <w:lang w:val="es-ES_tradnl" w:eastAsia="ru-RU"/>
        </w:rPr>
        <w:t xml:space="preserve"> es 29,8</w:t>
      </w:r>
      <w:r w:rsidRPr="00297B30">
        <w:rPr>
          <w:rFonts w:eastAsiaTheme="minorEastAsia"/>
          <w:szCs w:val="24"/>
          <w:lang w:val="es-ES_tradnl" w:eastAsia="zh-CN"/>
        </w:rPr>
        <w:t> </w:t>
      </w:r>
      <w:r w:rsidRPr="00297B30">
        <w:rPr>
          <w:rFonts w:eastAsiaTheme="minorEastAsia"/>
          <w:szCs w:val="24"/>
          <w:lang w:val="es-ES_tradnl" w:eastAsia="ru-RU"/>
        </w:rPr>
        <w:t xml:space="preserve">dB(Hz), </w:t>
      </w:r>
      <w:r w:rsidRPr="00297B30">
        <w:rPr>
          <w:rFonts w:eastAsiaTheme="minorEastAsia"/>
          <w:i/>
          <w:iCs/>
          <w:szCs w:val="24"/>
          <w:lang w:val="es-ES_tradnl" w:eastAsia="ru-RU"/>
        </w:rPr>
        <w:t>C</w:t>
      </w:r>
      <w:r w:rsidRPr="00297B30">
        <w:rPr>
          <w:rFonts w:eastAsiaTheme="minorEastAsia"/>
          <w:szCs w:val="24"/>
          <w:vertAlign w:val="subscript"/>
          <w:lang w:val="es-ES_tradnl"/>
        </w:rPr>
        <w:sym w:font="Symbol" w:char="F0AD"/>
      </w:r>
      <w:r w:rsidRPr="00297B30">
        <w:rPr>
          <w:rFonts w:eastAsiaTheme="minorEastAsia"/>
          <w:szCs w:val="24"/>
          <w:vertAlign w:val="subscript"/>
          <w:lang w:val="es-ES_tradnl"/>
        </w:rPr>
        <w:t xml:space="preserve"> </w:t>
      </w:r>
      <w:r w:rsidRPr="00297B30">
        <w:rPr>
          <w:rFonts w:eastAsiaTheme="minorEastAsia"/>
          <w:szCs w:val="24"/>
          <w:lang w:val="es-ES_tradnl" w:eastAsia="ru-RU"/>
        </w:rPr>
        <w:t>es −166,8</w:t>
      </w:r>
      <w:r w:rsidRPr="00297B30">
        <w:rPr>
          <w:rFonts w:eastAsiaTheme="minorEastAsia"/>
          <w:szCs w:val="24"/>
          <w:lang w:val="es-ES_tradnl" w:eastAsia="zh-CN"/>
        </w:rPr>
        <w:t> </w:t>
      </w:r>
      <w:proofErr w:type="spellStart"/>
      <w:r w:rsidRPr="00297B30">
        <w:rPr>
          <w:rFonts w:eastAsiaTheme="minorEastAsia"/>
          <w:szCs w:val="24"/>
          <w:lang w:val="es-ES_tradnl" w:eastAsia="ru-RU"/>
        </w:rPr>
        <w:t>dBW</w:t>
      </w:r>
      <w:proofErr w:type="spellEnd"/>
      <w:r w:rsidRPr="00297B30">
        <w:rPr>
          <w:rFonts w:eastAsiaTheme="minorEastAsia"/>
          <w:szCs w:val="24"/>
          <w:lang w:val="es-ES_tradnl" w:eastAsia="ru-RU"/>
        </w:rPr>
        <w:t>, (</w:t>
      </w:r>
      <w:r w:rsidRPr="00297B30">
        <w:rPr>
          <w:rFonts w:eastAsiaTheme="minorEastAsia"/>
          <w:i/>
          <w:iCs/>
          <w:szCs w:val="24"/>
          <w:lang w:val="es-ES_tradnl" w:eastAsia="ru-RU"/>
        </w:rPr>
        <w:t>C</w:t>
      </w:r>
      <w:r w:rsidRPr="00297B30">
        <w:rPr>
          <w:rFonts w:eastAsiaTheme="minorEastAsia"/>
          <w:szCs w:val="24"/>
          <w:lang w:val="es-ES_tradnl" w:eastAsia="ru-RU"/>
        </w:rPr>
        <w:t>/</w:t>
      </w:r>
      <w:r w:rsidRPr="00297B30">
        <w:rPr>
          <w:rFonts w:eastAsiaTheme="minorEastAsia"/>
          <w:i/>
          <w:iCs/>
          <w:szCs w:val="24"/>
          <w:lang w:val="es-ES_tradnl" w:eastAsia="ru-RU"/>
        </w:rPr>
        <w:t>N</w:t>
      </w:r>
      <w:r w:rsidRPr="00297B30">
        <w:rPr>
          <w:rFonts w:eastAsiaTheme="minorEastAsia"/>
          <w:szCs w:val="24"/>
          <w:vertAlign w:val="subscript"/>
          <w:lang w:val="es-ES_tradnl" w:eastAsia="ru-RU"/>
        </w:rPr>
        <w:t>0</w:t>
      </w:r>
      <w:r w:rsidRPr="00297B30">
        <w:rPr>
          <w:rFonts w:eastAsiaTheme="minorEastAsia"/>
          <w:szCs w:val="24"/>
          <w:lang w:val="es-ES_tradnl" w:eastAsia="ru-RU"/>
        </w:rPr>
        <w:t>)</w:t>
      </w:r>
      <w:r w:rsidRPr="00297B30">
        <w:rPr>
          <w:rFonts w:eastAsiaTheme="minorEastAsia"/>
          <w:szCs w:val="24"/>
          <w:vertAlign w:val="subscript"/>
          <w:lang w:val="es-ES_tradnl"/>
        </w:rPr>
        <w:sym w:font="Symbol" w:char="F0AF"/>
      </w:r>
      <w:r w:rsidRPr="00297B30">
        <w:rPr>
          <w:rFonts w:eastAsiaTheme="minorEastAsia"/>
          <w:szCs w:val="24"/>
          <w:lang w:val="es-ES_tradnl" w:eastAsia="ru-RU"/>
        </w:rPr>
        <w:t xml:space="preserve"> es 48,5</w:t>
      </w:r>
      <w:r w:rsidRPr="00297B30">
        <w:rPr>
          <w:rFonts w:eastAsiaTheme="minorEastAsia"/>
          <w:szCs w:val="24"/>
          <w:lang w:val="es-ES_tradnl" w:eastAsia="zh-CN"/>
        </w:rPr>
        <w:t> </w:t>
      </w:r>
      <w:r w:rsidRPr="00297B30">
        <w:rPr>
          <w:rFonts w:eastAsiaTheme="minorEastAsia"/>
          <w:szCs w:val="24"/>
          <w:lang w:val="es-ES_tradnl" w:eastAsia="ru-RU"/>
        </w:rPr>
        <w:t xml:space="preserve">dB(Hz), </w:t>
      </w:r>
      <w:r w:rsidRPr="00297B30">
        <w:rPr>
          <w:rFonts w:eastAsiaTheme="minorEastAsia"/>
          <w:i/>
          <w:iCs/>
          <w:szCs w:val="24"/>
          <w:lang w:val="es-ES_tradnl" w:eastAsia="ru-RU"/>
        </w:rPr>
        <w:t>N</w:t>
      </w:r>
      <w:r w:rsidRPr="00297B30">
        <w:rPr>
          <w:rFonts w:eastAsiaTheme="minorEastAsia"/>
          <w:szCs w:val="24"/>
          <w:vertAlign w:val="subscript"/>
          <w:lang w:val="es-ES_tradnl" w:eastAsia="ru-RU"/>
        </w:rPr>
        <w:t>0</w:t>
      </w:r>
      <w:r w:rsidRPr="00297B30">
        <w:rPr>
          <w:rFonts w:eastAsiaTheme="minorEastAsia"/>
          <w:szCs w:val="24"/>
          <w:vertAlign w:val="subscript"/>
          <w:lang w:val="es-ES_tradnl"/>
        </w:rPr>
        <w:sym w:font="Symbol" w:char="F0AD"/>
      </w:r>
      <w:r w:rsidRPr="00297B30">
        <w:rPr>
          <w:rFonts w:eastAsiaTheme="minorEastAsia"/>
          <w:szCs w:val="24"/>
          <w:lang w:val="es-ES_tradnl" w:eastAsia="zh-CN"/>
        </w:rPr>
        <w:t> </w:t>
      </w:r>
      <w:r w:rsidRPr="00297B30">
        <w:rPr>
          <w:rFonts w:eastAsiaTheme="minorEastAsia"/>
          <w:szCs w:val="24"/>
          <w:lang w:val="es-ES_tradnl" w:eastAsia="ru-RU"/>
        </w:rPr>
        <w:t>=</w:t>
      </w:r>
      <w:r w:rsidRPr="00297B30">
        <w:rPr>
          <w:rFonts w:eastAsiaTheme="minorEastAsia"/>
          <w:szCs w:val="24"/>
          <w:lang w:val="es-ES_tradnl" w:eastAsia="zh-CN"/>
        </w:rPr>
        <w:t> −</w:t>
      </w:r>
      <w:r w:rsidRPr="00297B30">
        <w:rPr>
          <w:rFonts w:eastAsiaTheme="minorEastAsia"/>
          <w:szCs w:val="24"/>
          <w:lang w:val="es-ES_tradnl" w:eastAsia="ru-RU"/>
        </w:rPr>
        <w:t xml:space="preserve">199,1 dB(W/Hz), </w:t>
      </w:r>
      <w:proofErr w:type="spellStart"/>
      <w:r w:rsidRPr="00297B30">
        <w:rPr>
          <w:rFonts w:eastAsiaTheme="minorEastAsia"/>
          <w:i/>
          <w:iCs/>
          <w:szCs w:val="24"/>
          <w:lang w:val="es-ES_tradnl" w:eastAsia="ru-RU"/>
        </w:rPr>
        <w:t>Lps</w:t>
      </w:r>
      <w:proofErr w:type="spellEnd"/>
      <w:r w:rsidRPr="00297B30">
        <w:rPr>
          <w:rFonts w:eastAsiaTheme="minorEastAsia"/>
          <w:szCs w:val="24"/>
          <w:lang w:val="es-ES_tradnl" w:eastAsia="ru-RU"/>
        </w:rPr>
        <w:t xml:space="preserve"> es −17,4 dB, y</w:t>
      </w:r>
      <w:r w:rsidRPr="00297B30">
        <w:rPr>
          <w:rFonts w:eastAsiaTheme="minorEastAsia"/>
          <w:i/>
          <w:iCs/>
          <w:szCs w:val="24"/>
          <w:lang w:val="es-ES_tradnl" w:eastAsia="ru-RU"/>
        </w:rPr>
        <w:t xml:space="preserve"> </w:t>
      </w:r>
      <w:r w:rsidRPr="00297B30">
        <w:rPr>
          <w:rFonts w:eastAsiaTheme="minorEastAsia"/>
          <w:szCs w:val="24"/>
          <w:lang w:val="es-ES_tradnl" w:eastAsia="ru-RU"/>
        </w:rPr>
        <w:t>(</w:t>
      </w:r>
      <w:r w:rsidRPr="00297B30">
        <w:rPr>
          <w:rFonts w:eastAsiaTheme="minorEastAsia"/>
          <w:i/>
          <w:iCs/>
          <w:szCs w:val="24"/>
          <w:lang w:val="es-ES_tradnl" w:eastAsia="ru-RU"/>
        </w:rPr>
        <w:t>C</w:t>
      </w:r>
      <w:r w:rsidRPr="00297B30">
        <w:rPr>
          <w:rFonts w:eastAsiaTheme="minorEastAsia"/>
          <w:szCs w:val="24"/>
          <w:lang w:val="es-ES_tradnl" w:eastAsia="ru-RU"/>
        </w:rPr>
        <w:t>/</w:t>
      </w:r>
      <w:r w:rsidRPr="00297B30">
        <w:rPr>
          <w:rFonts w:eastAsiaTheme="minorEastAsia"/>
          <w:i/>
          <w:iCs/>
          <w:szCs w:val="24"/>
          <w:lang w:val="es-ES_tradnl" w:eastAsia="ru-RU"/>
        </w:rPr>
        <w:t>N</w:t>
      </w:r>
      <w:r w:rsidRPr="00297B30">
        <w:rPr>
          <w:rFonts w:eastAsiaTheme="minorEastAsia"/>
          <w:szCs w:val="24"/>
          <w:lang w:val="es-ES_tradnl" w:eastAsia="ru-RU"/>
        </w:rPr>
        <w:t>)</w:t>
      </w:r>
      <w:r w:rsidRPr="00297B30">
        <w:rPr>
          <w:rFonts w:eastAsiaTheme="minorEastAsia"/>
          <w:szCs w:val="24"/>
          <w:vertAlign w:val="subscript"/>
          <w:lang w:val="es-ES_tradnl"/>
        </w:rPr>
        <w:sym w:font="Symbol" w:char="F0AF"/>
      </w:r>
      <w:r w:rsidRPr="00297B30">
        <w:rPr>
          <w:rFonts w:eastAsiaTheme="minorEastAsia"/>
          <w:szCs w:val="24"/>
          <w:lang w:val="es-ES_tradnl" w:eastAsia="ru-RU"/>
        </w:rPr>
        <w:t xml:space="preserve"> es 48,5</w:t>
      </w:r>
      <w:r w:rsidRPr="00297B30">
        <w:rPr>
          <w:rFonts w:eastAsiaTheme="minorEastAsia"/>
          <w:szCs w:val="24"/>
          <w:lang w:val="es-ES_tradnl" w:eastAsia="zh-CN"/>
        </w:rPr>
        <w:t> </w:t>
      </w:r>
      <w:r w:rsidRPr="00297B30">
        <w:rPr>
          <w:rFonts w:eastAsiaTheme="minorEastAsia"/>
          <w:szCs w:val="24"/>
          <w:lang w:val="es-ES_tradnl" w:eastAsia="ru-RU"/>
        </w:rPr>
        <w:t>dB(Hz) menos 10</w:t>
      </w:r>
      <w:r w:rsidRPr="00297B30">
        <w:rPr>
          <w:rFonts w:eastAsiaTheme="minorEastAsia"/>
          <w:szCs w:val="24"/>
          <w:lang w:val="es-ES_tradnl" w:eastAsia="zh-CN"/>
        </w:rPr>
        <w:t> </w:t>
      </w:r>
      <w:r w:rsidRPr="00297B30">
        <w:rPr>
          <w:rFonts w:eastAsiaTheme="minorEastAsia"/>
          <w:szCs w:val="24"/>
          <w:lang w:val="es-ES_tradnl" w:eastAsia="ru-RU"/>
        </w:rPr>
        <w:t>log(80k) o −0,53 dB. Entrando con estos valores numéricos en la ecuación</w:t>
      </w:r>
      <w:r w:rsidRPr="00297B30">
        <w:rPr>
          <w:rFonts w:eastAsiaTheme="minorEastAsia"/>
          <w:szCs w:val="24"/>
          <w:lang w:val="es-ES_tradnl" w:eastAsia="zh-CN"/>
        </w:rPr>
        <w:t xml:space="preserve"> </w:t>
      </w:r>
      <w:r w:rsidRPr="00297B30">
        <w:rPr>
          <w:rFonts w:eastAsiaTheme="minorEastAsia"/>
          <w:szCs w:val="24"/>
          <w:lang w:val="es-ES_tradnl" w:eastAsia="ru-RU"/>
        </w:rPr>
        <w:t>(18) se obtiene:</w:t>
      </w:r>
    </w:p>
    <w:p w:rsidR="00543337" w:rsidRPr="00297B30" w:rsidRDefault="00543337" w:rsidP="00543337">
      <w:pPr>
        <w:pStyle w:val="Equation"/>
        <w:rPr>
          <w:rFonts w:eastAsiaTheme="minorEastAsia"/>
          <w:lang w:val="es-ES_tradnl" w:eastAsia="ru-RU"/>
        </w:rPr>
      </w:pPr>
      <w:r w:rsidRPr="00297B30">
        <w:rPr>
          <w:rFonts w:eastAsiaTheme="minorEastAsia"/>
          <w:i/>
          <w:iCs/>
          <w:lang w:val="es-ES_tradnl"/>
        </w:rPr>
        <w:tab/>
      </w:r>
      <w:r w:rsidRPr="00297B30">
        <w:rPr>
          <w:rFonts w:eastAsiaTheme="minorEastAsia"/>
          <w:i/>
          <w:iCs/>
          <w:lang w:val="es-ES_tradnl"/>
        </w:rPr>
        <w:tab/>
        <w:t>I</w:t>
      </w:r>
      <w:r w:rsidRPr="00297B30">
        <w:rPr>
          <w:rFonts w:eastAsiaTheme="minorEastAsia"/>
          <w:vertAlign w:val="subscript"/>
          <w:lang w:val="es-ES_tradnl"/>
        </w:rPr>
        <w:t>0</w:t>
      </w:r>
      <w:r w:rsidRPr="00297B30">
        <w:rPr>
          <w:rFonts w:eastAsiaTheme="minorEastAsia"/>
          <w:lang w:val="es-ES_tradnl"/>
        </w:rPr>
        <w:t> </w:t>
      </w:r>
      <w:r w:rsidRPr="00297B30">
        <w:rPr>
          <w:rFonts w:eastAsiaTheme="minorEastAsia"/>
          <w:lang w:val="es-ES_tradnl" w:eastAsia="ru-RU"/>
        </w:rPr>
        <w:t>= (10</w:t>
      </w:r>
      <w:r w:rsidRPr="00297B30">
        <w:rPr>
          <w:rFonts w:eastAsiaTheme="minorEastAsia"/>
          <w:vertAlign w:val="superscript"/>
          <w:lang w:val="es-ES_tradnl" w:eastAsia="ru-RU"/>
        </w:rPr>
        <w:t>−166,8/10</w:t>
      </w:r>
      <w:r w:rsidRPr="00297B30">
        <w:rPr>
          <w:rFonts w:eastAsiaTheme="minorEastAsia"/>
          <w:lang w:val="es-ES_tradnl" w:eastAsia="ru-RU"/>
        </w:rPr>
        <w:t xml:space="preserve"> (10</w:t>
      </w:r>
      <w:r w:rsidRPr="00297B30">
        <w:rPr>
          <w:rFonts w:eastAsiaTheme="minorEastAsia"/>
          <w:vertAlign w:val="superscript"/>
          <w:lang w:val="es-ES_tradnl" w:eastAsia="ru-RU"/>
        </w:rPr>
        <w:t>−29,8/10</w:t>
      </w:r>
      <w:r w:rsidRPr="00297B30">
        <w:rPr>
          <w:rFonts w:eastAsiaTheme="minorEastAsia"/>
          <w:lang w:val="es-ES_tradnl" w:eastAsia="ru-RU"/>
        </w:rPr>
        <w:t xml:space="preserve"> − 10</w:t>
      </w:r>
      <w:r w:rsidRPr="00297B30">
        <w:rPr>
          <w:rFonts w:eastAsiaTheme="minorEastAsia"/>
          <w:vertAlign w:val="superscript"/>
          <w:lang w:val="es-ES_tradnl" w:eastAsia="ru-RU"/>
        </w:rPr>
        <w:t>−48,5/10</w:t>
      </w:r>
      <w:r w:rsidRPr="00297B30">
        <w:rPr>
          <w:rFonts w:eastAsiaTheme="minorEastAsia"/>
          <w:lang w:val="es-ES_tradnl" w:eastAsia="ru-RU"/>
        </w:rPr>
        <w:t>) − 10</w:t>
      </w:r>
      <w:r w:rsidRPr="00297B30">
        <w:rPr>
          <w:rFonts w:eastAsiaTheme="minorEastAsia"/>
          <w:vertAlign w:val="superscript"/>
          <w:lang w:val="es-ES_tradnl" w:eastAsia="ru-RU"/>
        </w:rPr>
        <w:t>−199,1/10</w:t>
      </w:r>
      <w:r w:rsidRPr="00297B30">
        <w:rPr>
          <w:rFonts w:eastAsiaTheme="minorEastAsia"/>
          <w:lang w:val="es-ES_tradnl" w:eastAsia="ru-RU"/>
        </w:rPr>
        <w:t>) / (1 + 10</w:t>
      </w:r>
      <w:r w:rsidRPr="00297B30">
        <w:rPr>
          <w:rFonts w:eastAsiaTheme="minorEastAsia"/>
          <w:vertAlign w:val="superscript"/>
          <w:lang w:val="es-ES_tradnl" w:eastAsia="ru-RU"/>
        </w:rPr>
        <w:t>−17,4/10</w:t>
      </w:r>
      <w:r w:rsidRPr="00297B30">
        <w:rPr>
          <w:rFonts w:eastAsiaTheme="minorEastAsia"/>
          <w:lang w:val="es-ES_tradnl" w:eastAsia="ru-RU"/>
        </w:rPr>
        <w:t xml:space="preserve"> × 10</w:t>
      </w:r>
      <w:r w:rsidRPr="00297B30">
        <w:rPr>
          <w:rFonts w:eastAsiaTheme="minorEastAsia"/>
          <w:vertAlign w:val="superscript"/>
          <w:lang w:val="es-ES_tradnl" w:eastAsia="ru-RU"/>
        </w:rPr>
        <w:t>0,53/10</w:t>
      </w:r>
      <w:r w:rsidRPr="00297B30">
        <w:rPr>
          <w:rFonts w:eastAsiaTheme="minorEastAsia"/>
          <w:lang w:val="es-ES_tradnl" w:eastAsia="ru-RU"/>
        </w:rPr>
        <w:t>)</w:t>
      </w:r>
    </w:p>
    <w:p w:rsidR="00543337" w:rsidRPr="00297B30" w:rsidRDefault="00543337" w:rsidP="00543337">
      <w:pPr>
        <w:pStyle w:val="Equation"/>
        <w:rPr>
          <w:rFonts w:eastAsiaTheme="minorEastAsia"/>
          <w:lang w:val="es-ES_tradnl" w:eastAsia="ru-RU"/>
        </w:rPr>
      </w:pPr>
      <w:r w:rsidRPr="00297B30">
        <w:rPr>
          <w:rFonts w:eastAsiaTheme="minorEastAsia"/>
          <w:i/>
          <w:iCs/>
          <w:lang w:val="es-ES_tradnl"/>
        </w:rPr>
        <w:tab/>
      </w:r>
      <w:r w:rsidRPr="00297B30">
        <w:rPr>
          <w:rFonts w:eastAsiaTheme="minorEastAsia"/>
          <w:i/>
          <w:iCs/>
          <w:lang w:val="es-ES_tradnl"/>
        </w:rPr>
        <w:tab/>
        <w:t>I</w:t>
      </w:r>
      <w:r w:rsidRPr="00297B30">
        <w:rPr>
          <w:rFonts w:eastAsiaTheme="minorEastAsia"/>
          <w:vertAlign w:val="subscript"/>
          <w:lang w:val="es-ES_tradnl"/>
        </w:rPr>
        <w:t>0</w:t>
      </w:r>
      <w:r w:rsidRPr="00297B30">
        <w:rPr>
          <w:rFonts w:eastAsiaTheme="minorEastAsia"/>
          <w:lang w:val="es-ES_tradnl" w:eastAsia="ru-RU"/>
        </w:rPr>
        <w:t xml:space="preserve"> = −200,3 dB(W/Hz)</w:t>
      </w:r>
    </w:p>
    <w:p w:rsidR="00543337" w:rsidRPr="00297B30" w:rsidRDefault="00543337" w:rsidP="00543337">
      <w:pPr>
        <w:keepNext/>
        <w:keepLines/>
        <w:rPr>
          <w:rFonts w:eastAsiaTheme="minorEastAsia"/>
          <w:szCs w:val="24"/>
          <w:lang w:val="es-ES_tradnl"/>
        </w:rPr>
      </w:pPr>
      <w:r w:rsidRPr="00297B30">
        <w:rPr>
          <w:rFonts w:eastAsiaTheme="minorEastAsia"/>
          <w:szCs w:val="24"/>
          <w:lang w:val="es-ES_tradnl"/>
        </w:rPr>
        <w:t xml:space="preserve">Es conveniente caracterizar los criterios de protección en términos del umbral de interferencia de la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de la interferencia especificada en dB(W/(m</w:t>
      </w:r>
      <w:r w:rsidRPr="00297B30">
        <w:rPr>
          <w:rFonts w:eastAsiaTheme="minorEastAsia"/>
          <w:szCs w:val="24"/>
          <w:vertAlign w:val="superscript"/>
          <w:lang w:val="es-ES_tradnl"/>
        </w:rPr>
        <w:t>2</w:t>
      </w:r>
      <w:r w:rsidRPr="00297B30">
        <w:rPr>
          <w:rFonts w:eastAsiaTheme="minorEastAsia"/>
          <w:szCs w:val="24"/>
          <w:lang w:val="es-ES_tradnl"/>
        </w:rPr>
        <w:t xml:space="preserve"> ∙ Hz)) a la entrada de la antena receptora del satélite de 406 MHz. La apertura efectiva de una antena, </w:t>
      </w:r>
      <w:proofErr w:type="spellStart"/>
      <w:r w:rsidRPr="00297B30">
        <w:rPr>
          <w:rFonts w:eastAsiaTheme="minorEastAsia"/>
          <w:i/>
          <w:iCs/>
          <w:szCs w:val="24"/>
          <w:lang w:val="es-ES_tradnl"/>
        </w:rPr>
        <w:t>A</w:t>
      </w:r>
      <w:r w:rsidRPr="00297B30">
        <w:rPr>
          <w:rFonts w:eastAsiaTheme="minorEastAsia"/>
          <w:i/>
          <w:iCs/>
          <w:szCs w:val="24"/>
          <w:vertAlign w:val="subscript"/>
          <w:lang w:val="es-ES_tradnl"/>
        </w:rPr>
        <w:t>e</w:t>
      </w:r>
      <w:proofErr w:type="spellEnd"/>
      <w:r w:rsidRPr="00297B30">
        <w:rPr>
          <w:rFonts w:eastAsiaTheme="minorEastAsia"/>
          <w:szCs w:val="24"/>
          <w:lang w:val="es-ES_tradnl"/>
        </w:rPr>
        <w:t xml:space="preserve">, de ganancia </w:t>
      </w:r>
      <w:r w:rsidRPr="00297B30">
        <w:rPr>
          <w:rFonts w:eastAsiaTheme="minorEastAsia"/>
          <w:i/>
          <w:iCs/>
          <w:szCs w:val="24"/>
          <w:lang w:val="es-ES_tradnl"/>
        </w:rPr>
        <w:t>G</w:t>
      </w:r>
      <w:r w:rsidRPr="00297B30">
        <w:rPr>
          <w:rFonts w:eastAsiaTheme="minorEastAsia"/>
          <w:szCs w:val="24"/>
          <w:lang w:val="es-ES_tradnl"/>
        </w:rPr>
        <w:t xml:space="preserve"> es </w:t>
      </w:r>
      <w:proofErr w:type="spellStart"/>
      <w:r w:rsidRPr="00297B30">
        <w:rPr>
          <w:rFonts w:eastAsiaTheme="minorEastAsia"/>
          <w:i/>
          <w:iCs/>
          <w:szCs w:val="24"/>
          <w:lang w:val="es-ES_tradnl"/>
        </w:rPr>
        <w:t>A</w:t>
      </w:r>
      <w:r w:rsidRPr="00297B30">
        <w:rPr>
          <w:rFonts w:eastAsiaTheme="minorEastAsia"/>
          <w:i/>
          <w:iCs/>
          <w:szCs w:val="24"/>
          <w:vertAlign w:val="subscript"/>
          <w:lang w:val="es-ES_tradnl"/>
        </w:rPr>
        <w:t>e</w:t>
      </w:r>
      <w:proofErr w:type="spellEnd"/>
      <w:r w:rsidRPr="00297B30">
        <w:rPr>
          <w:rFonts w:eastAsiaTheme="minorEastAsia"/>
          <w:szCs w:val="24"/>
          <w:lang w:val="es-ES_tradnl"/>
        </w:rPr>
        <w:t> = </w:t>
      </w:r>
      <w:r w:rsidRPr="00297B30">
        <w:rPr>
          <w:rFonts w:eastAsiaTheme="minorEastAsia"/>
          <w:i/>
          <w:iCs/>
          <w:szCs w:val="24"/>
          <w:lang w:val="es-ES_tradnl"/>
        </w:rPr>
        <w:t>G</w:t>
      </w:r>
      <w:r w:rsidRPr="00297B30">
        <w:rPr>
          <w:rFonts w:eastAsiaTheme="minorEastAsia"/>
          <w:szCs w:val="24"/>
          <w:lang w:val="es-ES_tradnl"/>
        </w:rPr>
        <w:t> </w:t>
      </w:r>
      <w:r w:rsidRPr="00297B30">
        <w:rPr>
          <w:rFonts w:eastAsiaTheme="minorEastAsia"/>
          <w:szCs w:val="24"/>
          <w:lang w:val="es-ES_tradnl"/>
        </w:rPr>
        <w:sym w:font="Symbol" w:char="F06C"/>
      </w:r>
      <w:r w:rsidRPr="00297B30">
        <w:rPr>
          <w:rFonts w:eastAsiaTheme="minorEastAsia"/>
          <w:szCs w:val="24"/>
          <w:vertAlign w:val="superscript"/>
          <w:lang w:val="es-ES_tradnl"/>
        </w:rPr>
        <w:t>2</w:t>
      </w:r>
      <w:r w:rsidRPr="00297B30">
        <w:rPr>
          <w:rFonts w:eastAsiaTheme="minorEastAsia"/>
          <w:szCs w:val="24"/>
          <w:lang w:val="es-ES_tradnl"/>
        </w:rPr>
        <w:t>/4</w:t>
      </w:r>
      <w:r w:rsidRPr="00297B30">
        <w:rPr>
          <w:rFonts w:eastAsiaTheme="minorEastAsia"/>
          <w:szCs w:val="24"/>
          <w:lang w:val="es-ES_tradnl"/>
        </w:rPr>
        <w:sym w:font="Symbol" w:char="F070"/>
      </w:r>
      <w:r w:rsidRPr="00297B30">
        <w:rPr>
          <w:rFonts w:ascii="Arial" w:eastAsiaTheme="minorEastAsia" w:hAnsi="Arial" w:cs="Arial"/>
          <w:szCs w:val="24"/>
          <w:lang w:val="es-ES_tradnl"/>
        </w:rPr>
        <w:t xml:space="preserve">. </w:t>
      </w:r>
      <w:r w:rsidRPr="00297B30">
        <w:rPr>
          <w:rFonts w:eastAsiaTheme="minorEastAsia"/>
          <w:szCs w:val="24"/>
          <w:lang w:val="es-ES_tradnl"/>
        </w:rPr>
        <w:t>Para una antena receptora GOES con una ganancia de 12 </w:t>
      </w:r>
      <w:proofErr w:type="spellStart"/>
      <w:r w:rsidRPr="00297B30">
        <w:rPr>
          <w:rFonts w:eastAsiaTheme="minorEastAsia"/>
          <w:szCs w:val="24"/>
          <w:lang w:val="es-ES_tradnl"/>
        </w:rPr>
        <w:t>dBi</w:t>
      </w:r>
      <w:proofErr w:type="spellEnd"/>
      <w:r w:rsidRPr="00297B30">
        <w:rPr>
          <w:rFonts w:eastAsiaTheme="minorEastAsia"/>
          <w:szCs w:val="24"/>
          <w:lang w:val="es-ES_tradnl"/>
        </w:rPr>
        <w:t>, la apertura efectiva es 0,7 m</w:t>
      </w:r>
      <w:r w:rsidRPr="00297B30">
        <w:rPr>
          <w:rFonts w:eastAsiaTheme="minorEastAsia"/>
          <w:szCs w:val="24"/>
          <w:vertAlign w:val="superscript"/>
          <w:lang w:val="es-ES_tradnl"/>
        </w:rPr>
        <w:t>2</w:t>
      </w:r>
      <w:r w:rsidRPr="00297B30">
        <w:rPr>
          <w:rFonts w:eastAsiaTheme="minorEastAsia"/>
          <w:szCs w:val="24"/>
          <w:lang w:val="es-ES_tradnl"/>
        </w:rPr>
        <w:t xml:space="preserve">. Por lo tanto, la máxima interferencia combinada aceptable especificada como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es:</w:t>
      </w:r>
    </w:p>
    <w:p w:rsidR="00543337" w:rsidRPr="00297B30" w:rsidRDefault="00543337" w:rsidP="00543337">
      <w:pPr>
        <w:pStyle w:val="Equation"/>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2"/>
          <w:lang w:val="es-ES_tradnl"/>
        </w:rPr>
        <w:object w:dxaOrig="3040" w:dyaOrig="360">
          <v:shape id="_x0000_i1082" type="#_x0000_t75" style="width:149.45pt;height:18.35pt" o:ole="">
            <v:imagedata r:id="rId127" o:title=""/>
          </v:shape>
          <o:OLEObject Type="Embed" ProgID="Equation.3" ShapeID="_x0000_i1082" DrawAspect="Content" ObjectID="_1501062653" r:id="rId128"/>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Suponiendo que </w:t>
      </w:r>
      <w:proofErr w:type="spellStart"/>
      <w:r w:rsidRPr="00297B30">
        <w:rPr>
          <w:rFonts w:eastAsiaTheme="minorEastAsia"/>
          <w:i/>
          <w:iCs/>
          <w:szCs w:val="24"/>
          <w:lang w:val="es-ES_tradnl"/>
        </w:rPr>
        <w:t>L</w:t>
      </w:r>
      <w:r w:rsidRPr="00297B30">
        <w:rPr>
          <w:rFonts w:eastAsiaTheme="minorEastAsia"/>
          <w:i/>
          <w:iCs/>
          <w:szCs w:val="24"/>
          <w:vertAlign w:val="subscript"/>
          <w:lang w:val="es-ES_tradnl"/>
        </w:rPr>
        <w:t>Línea</w:t>
      </w:r>
      <w:proofErr w:type="spellEnd"/>
      <w:r w:rsidRPr="00297B30">
        <w:rPr>
          <w:rFonts w:eastAsiaTheme="minorEastAsia"/>
          <w:szCs w:val="24"/>
          <w:lang w:val="es-ES_tradnl"/>
        </w:rPr>
        <w:t xml:space="preserve"> = 0:</w:t>
      </w:r>
    </w:p>
    <w:p w:rsidR="00543337" w:rsidRPr="00297B30" w:rsidRDefault="00543337" w:rsidP="00543337">
      <w:pPr>
        <w:pStyle w:val="Equation"/>
        <w:jc w:val="left"/>
        <w:rPr>
          <w:rFonts w:eastAsiaTheme="minorEastAsia"/>
          <w:lang w:val="es-ES_tradnl" w:eastAsia="zh-CN"/>
        </w:rPr>
      </w:pPr>
      <w:r w:rsidRPr="00297B30">
        <w:rPr>
          <w:rFonts w:eastAsiaTheme="minorEastAsia"/>
          <w:i/>
          <w:iCs/>
          <w:lang w:val="es-ES_tradnl" w:eastAsia="zh-CN"/>
        </w:rPr>
        <w:tab/>
      </w:r>
      <w:r w:rsidRPr="00297B30">
        <w:rPr>
          <w:rFonts w:eastAsiaTheme="minorEastAsia"/>
          <w:i/>
          <w:iCs/>
          <w:lang w:val="es-ES_tradnl" w:eastAsia="zh-CN"/>
        </w:rPr>
        <w:tab/>
      </w:r>
      <w:proofErr w:type="spellStart"/>
      <w:r w:rsidRPr="00297B30">
        <w:rPr>
          <w:rFonts w:eastAsiaTheme="minorEastAsia"/>
          <w:i/>
          <w:iCs/>
          <w:lang w:val="es-ES_tradnl" w:eastAsia="zh-CN"/>
        </w:rPr>
        <w:t>dfp</w:t>
      </w:r>
      <w:proofErr w:type="spellEnd"/>
      <w:r w:rsidRPr="00297B30">
        <w:rPr>
          <w:rFonts w:eastAsiaTheme="minorEastAsia"/>
          <w:i/>
          <w:iCs/>
          <w:lang w:val="es-ES_tradnl" w:eastAsia="zh-CN"/>
        </w:rPr>
        <w:t xml:space="preserve"> espectral</w:t>
      </w:r>
      <w:r w:rsidRPr="00297B30">
        <w:rPr>
          <w:rFonts w:eastAsiaTheme="minorEastAsia"/>
          <w:lang w:val="es-ES_tradnl" w:eastAsia="zh-CN"/>
        </w:rPr>
        <w:t xml:space="preserve"> = −200,3 − 0 − 10 log (0,7)</w:t>
      </w:r>
    </w:p>
    <w:p w:rsidR="00543337" w:rsidRPr="00297B30" w:rsidRDefault="00543337" w:rsidP="00543337">
      <w:pPr>
        <w:pStyle w:val="Equation"/>
        <w:jc w:val="left"/>
        <w:rPr>
          <w:rFonts w:eastAsiaTheme="minorEastAsia"/>
          <w:lang w:val="es-ES_tradnl"/>
        </w:rPr>
      </w:pPr>
      <w:r w:rsidRPr="00297B30">
        <w:rPr>
          <w:rFonts w:eastAsiaTheme="minorEastAsia"/>
          <w:i/>
          <w:iCs/>
          <w:lang w:val="es-ES_tradnl"/>
        </w:rPr>
        <w:tab/>
      </w:r>
      <w:r w:rsidRPr="00297B30">
        <w:rPr>
          <w:rFonts w:eastAsiaTheme="minorEastAsia"/>
          <w:i/>
          <w:iCs/>
          <w:lang w:val="es-ES_tradnl"/>
        </w:rPr>
        <w:tab/>
      </w:r>
      <w:proofErr w:type="spellStart"/>
      <w:r w:rsidRPr="00297B30">
        <w:rPr>
          <w:rFonts w:eastAsiaTheme="minorEastAsia"/>
          <w:i/>
          <w:iCs/>
          <w:lang w:val="es-ES_tradnl"/>
        </w:rPr>
        <w:t>dfp</w:t>
      </w:r>
      <w:proofErr w:type="spellEnd"/>
      <w:r w:rsidRPr="00297B30">
        <w:rPr>
          <w:rFonts w:eastAsiaTheme="minorEastAsia"/>
          <w:i/>
          <w:iCs/>
          <w:lang w:val="es-ES_tradnl"/>
        </w:rPr>
        <w:t xml:space="preserve"> espectral</w:t>
      </w:r>
      <w:r w:rsidRPr="00297B30">
        <w:rPr>
          <w:rFonts w:eastAsiaTheme="minorEastAsia"/>
          <w:lang w:val="es-ES_tradnl"/>
        </w:rPr>
        <w:t xml:space="preserve"> = −198,7 dB(W/(m</w:t>
      </w:r>
      <w:r w:rsidRPr="00297B30">
        <w:rPr>
          <w:rFonts w:eastAsiaTheme="minorEastAsia"/>
          <w:vertAlign w:val="superscript"/>
          <w:lang w:val="es-ES_tradnl"/>
        </w:rPr>
        <w:t>2</w:t>
      </w:r>
      <w:r w:rsidRPr="00297B30">
        <w:rPr>
          <w:rFonts w:eastAsiaTheme="minorEastAsia"/>
          <w:lang w:val="es-ES_tradnl"/>
        </w:rPr>
        <w:t> ∙ Hz))</w:t>
      </w:r>
    </w:p>
    <w:p w:rsidR="00543337" w:rsidRPr="00297B30" w:rsidRDefault="00543337" w:rsidP="00543337">
      <w:pPr>
        <w:rPr>
          <w:rFonts w:eastAsiaTheme="minorEastAsia"/>
          <w:szCs w:val="24"/>
          <w:lang w:val="es-ES_tradnl"/>
        </w:rPr>
      </w:pPr>
      <w:r w:rsidRPr="00297B30">
        <w:rPr>
          <w:rFonts w:eastAsiaTheme="minorEastAsia"/>
          <w:szCs w:val="24"/>
          <w:lang w:val="es-ES_tradnl"/>
        </w:rPr>
        <w:t>El máximo nivel de la interferencia similar al ruido de banda ancha en la banda 406-406,1 MHz medida en la antena del satélite GOES no deberá rebasar el valor de –198,7 dB(W/(m</w:t>
      </w:r>
      <w:r w:rsidRPr="00297B30">
        <w:rPr>
          <w:rFonts w:eastAsiaTheme="minorEastAsia"/>
          <w:szCs w:val="24"/>
          <w:vertAlign w:val="superscript"/>
          <w:lang w:val="es-ES_tradnl"/>
        </w:rPr>
        <w:t>2</w:t>
      </w:r>
      <w:r w:rsidRPr="00297B30">
        <w:rPr>
          <w:rFonts w:eastAsiaTheme="minorEastAsia"/>
          <w:szCs w:val="24"/>
          <w:lang w:val="es-ES_tradnl"/>
        </w:rPr>
        <w:t> ∙ Hz)).</w:t>
      </w:r>
    </w:p>
    <w:p w:rsidR="00543337" w:rsidRPr="00297B30" w:rsidRDefault="00543337" w:rsidP="00543337">
      <w:pPr>
        <w:pStyle w:val="Heading1"/>
        <w:rPr>
          <w:lang w:val="es-ES_tradnl"/>
        </w:rPr>
      </w:pPr>
      <w:r w:rsidRPr="00297B30">
        <w:rPr>
          <w:lang w:val="es-ES_tradnl"/>
        </w:rPr>
        <w:t>4</w:t>
      </w:r>
      <w:r w:rsidRPr="00297B30">
        <w:rPr>
          <w:lang w:val="es-ES_tradnl"/>
        </w:rPr>
        <w:tab/>
        <w:t>Procedimiento para calcular el nivel de interferencia causada al canal SARR GOES de 406 MHz</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interferencia provocada al </w:t>
      </w:r>
      <w:proofErr w:type="spellStart"/>
      <w:r w:rsidRPr="00297B30">
        <w:rPr>
          <w:rFonts w:eastAsiaTheme="minorEastAsia"/>
          <w:szCs w:val="24"/>
          <w:lang w:val="es-ES_tradnl"/>
        </w:rPr>
        <w:t>Cospas</w:t>
      </w:r>
      <w:r w:rsidRPr="00297B30">
        <w:rPr>
          <w:rFonts w:eastAsiaTheme="minorEastAsia"/>
          <w:szCs w:val="24"/>
          <w:lang w:val="es-ES_tradnl"/>
        </w:rPr>
        <w:noBreakHyphen/>
        <w:t>Sarsat</w:t>
      </w:r>
      <w:proofErr w:type="spellEnd"/>
      <w:r w:rsidRPr="00297B30">
        <w:rPr>
          <w:rFonts w:eastAsiaTheme="minorEastAsia"/>
          <w:szCs w:val="24"/>
          <w:lang w:val="es-ES_tradnl"/>
        </w:rPr>
        <w:t xml:space="preserve"> es a menudo el resultado de emisiones fuera de banda procedentes de servicios que funcionan en bandas adyacentes o casi adyacentes.</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Debe examinarse la anchura de banda de la emisión para determinar si se transmite energía en la banda 406-406,1 MHz. Hay que tener especial precaución al analizar la repercusión de los sistemas móviles (por ejemplo, satélites no geoestacionarios y transmisores a bordo de aeronaves) para tener en cuenta los efectos del desplazamiento </w:t>
      </w:r>
      <w:proofErr w:type="spellStart"/>
      <w:r w:rsidRPr="00297B30">
        <w:rPr>
          <w:rFonts w:eastAsiaTheme="minorEastAsia"/>
          <w:szCs w:val="24"/>
          <w:lang w:val="es-ES_tradnl"/>
        </w:rPr>
        <w:t>Doppler</w:t>
      </w:r>
      <w:proofErr w:type="spellEnd"/>
      <w:r w:rsidRPr="00297B30">
        <w:rPr>
          <w:rFonts w:eastAsiaTheme="minorEastAsia"/>
          <w:szCs w:val="24"/>
          <w:lang w:val="es-ES_tradnl"/>
        </w:rPr>
        <w:t xml:space="preserve"> generados por su movimiento.</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Se calcula el nivel de interferencia procedente de todas las fuentes que transmiten energía en la banda 406-406,1 MHz expresada como nivel de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en la antena del satélite. El nivel combinado de todas las fuentes interferentes no debe rebasar el valor de –198,7 dB(W/(m</w:t>
      </w:r>
      <w:r w:rsidRPr="00297B30">
        <w:rPr>
          <w:rFonts w:eastAsiaTheme="minorEastAsia"/>
          <w:szCs w:val="24"/>
          <w:vertAlign w:val="superscript"/>
          <w:lang w:val="es-ES_tradnl"/>
        </w:rPr>
        <w:t>2</w:t>
      </w:r>
      <w:r w:rsidRPr="00297B30">
        <w:rPr>
          <w:rFonts w:eastAsiaTheme="minorEastAsia"/>
          <w:szCs w:val="24"/>
          <w:lang w:val="es-ES_tradnl"/>
        </w:rPr>
        <w:t> ∙ Hz)) en cualquier parte de esta gama.</w:t>
      </w:r>
    </w:p>
    <w:p w:rsidR="00543337" w:rsidRPr="00297B30" w:rsidRDefault="00543337" w:rsidP="00543337">
      <w:pPr>
        <w:rPr>
          <w:rFonts w:eastAsiaTheme="minorEastAsia"/>
          <w:szCs w:val="24"/>
          <w:lang w:val="es-ES_tradnl"/>
        </w:rPr>
      </w:pPr>
    </w:p>
    <w:p w:rsidR="00543337" w:rsidRPr="00297B30" w:rsidRDefault="00543337" w:rsidP="00543337">
      <w:pPr>
        <w:rPr>
          <w:rFonts w:eastAsiaTheme="minorEastAsia"/>
          <w:szCs w:val="24"/>
          <w:lang w:val="es-ES_tradnl"/>
        </w:rPr>
      </w:pPr>
    </w:p>
    <w:p w:rsidR="00543337" w:rsidRPr="00297B30" w:rsidRDefault="00543337" w:rsidP="00543337">
      <w:pPr>
        <w:pStyle w:val="AnnexNoTitle"/>
        <w:rPr>
          <w:lang w:val="es-ES_tradnl"/>
        </w:rPr>
      </w:pPr>
      <w:r w:rsidRPr="00297B30">
        <w:rPr>
          <w:lang w:val="es-ES_tradnl"/>
        </w:rPr>
        <w:t>Anexo 9</w:t>
      </w:r>
      <w:r w:rsidRPr="00297B30">
        <w:rPr>
          <w:lang w:val="es-ES_tradnl"/>
        </w:rPr>
        <w:br/>
      </w:r>
      <w:r w:rsidRPr="00297B30">
        <w:rPr>
          <w:lang w:val="es-ES_tradnl"/>
        </w:rPr>
        <w:br/>
        <w:t xml:space="preserve">Criterios de protección para instrumentos </w:t>
      </w:r>
      <w:proofErr w:type="spellStart"/>
      <w:r w:rsidRPr="00297B30">
        <w:rPr>
          <w:lang w:val="es-ES_tradnl"/>
        </w:rPr>
        <w:t>Cospas-Sarsat</w:t>
      </w:r>
      <w:proofErr w:type="spellEnd"/>
      <w:r w:rsidRPr="00297B30">
        <w:rPr>
          <w:lang w:val="es-ES_tradnl"/>
        </w:rPr>
        <w:t xml:space="preserve"> de búsqueda y salvamento en la banda 406-406,1 MHz (SAR/GLONASS) </w:t>
      </w:r>
    </w:p>
    <w:p w:rsidR="00543337" w:rsidRPr="00297B30" w:rsidRDefault="00543337" w:rsidP="00543337">
      <w:pPr>
        <w:pStyle w:val="Heading1"/>
        <w:rPr>
          <w:lang w:val="es-ES_tradnl"/>
        </w:rPr>
      </w:pPr>
      <w:r w:rsidRPr="00297B30">
        <w:rPr>
          <w:lang w:val="es-ES_tradnl"/>
        </w:rPr>
        <w:t>1</w:t>
      </w:r>
      <w:r w:rsidRPr="00297B30">
        <w:rPr>
          <w:lang w:val="es-ES_tradnl"/>
        </w:rPr>
        <w:tab/>
        <w:t>Introducción</w:t>
      </w:r>
    </w:p>
    <w:p w:rsidR="00543337" w:rsidRPr="00297B30" w:rsidRDefault="00543337" w:rsidP="00543337">
      <w:pPr>
        <w:rPr>
          <w:rFonts w:eastAsiaTheme="minorEastAsia"/>
          <w:szCs w:val="24"/>
          <w:lang w:val="es-ES_tradnl" w:eastAsia="zh-CN"/>
        </w:rPr>
      </w:pPr>
      <w:r w:rsidRPr="00297B30">
        <w:rPr>
          <w:rFonts w:eastAsiaTheme="minorEastAsia"/>
          <w:szCs w:val="24"/>
          <w:lang w:val="es-ES_tradnl" w:eastAsia="zh-CN"/>
        </w:rPr>
        <w:t xml:space="preserve">Los repetidores </w:t>
      </w:r>
      <w:proofErr w:type="spellStart"/>
      <w:r w:rsidRPr="00297B30">
        <w:rPr>
          <w:rFonts w:eastAsiaTheme="minorEastAsia"/>
          <w:szCs w:val="24"/>
          <w:lang w:val="es-ES_tradnl" w:eastAsia="zh-CN"/>
        </w:rPr>
        <w:t>Cospas-Sarsat</w:t>
      </w:r>
      <w:proofErr w:type="spellEnd"/>
      <w:r w:rsidRPr="00297B30">
        <w:rPr>
          <w:rFonts w:eastAsiaTheme="minorEastAsia"/>
          <w:szCs w:val="24"/>
          <w:lang w:val="es-ES_tradnl" w:eastAsia="zh-CN"/>
        </w:rPr>
        <w:t xml:space="preserve"> de búsqueda y salvamento situados a bordos de satélites GLONASS reciben señales de radiobalizas de socorro de 406 MHz y retransmiten las señales a MEOLUT </w:t>
      </w:r>
      <w:proofErr w:type="spellStart"/>
      <w:r w:rsidRPr="00297B30">
        <w:rPr>
          <w:rFonts w:eastAsiaTheme="minorEastAsia"/>
          <w:szCs w:val="24"/>
          <w:lang w:val="es-ES_tradnl" w:eastAsia="zh-CN"/>
        </w:rPr>
        <w:t>Cospas-Sarsat</w:t>
      </w:r>
      <w:proofErr w:type="spellEnd"/>
      <w:r w:rsidRPr="00297B30">
        <w:rPr>
          <w:rFonts w:eastAsiaTheme="minorEastAsia"/>
          <w:szCs w:val="24"/>
          <w:lang w:val="es-ES_tradnl" w:eastAsia="zh-CN"/>
        </w:rPr>
        <w:t xml:space="preserve"> en frecuencias de enlace descendente de la banda 1 544-1 545 MHz. El análisis </w:t>
      </w:r>
      <w:r w:rsidRPr="00297B30">
        <w:rPr>
          <w:rFonts w:eastAsiaTheme="minorEastAsia"/>
          <w:szCs w:val="24"/>
          <w:lang w:val="es-ES_tradnl" w:eastAsia="zh-CN"/>
        </w:rPr>
        <w:lastRenderedPageBreak/>
        <w:t>presente en este Anexo establece los criterios de protección contra interferencias en la banda 406,0</w:t>
      </w:r>
      <w:r>
        <w:rPr>
          <w:rFonts w:eastAsiaTheme="minorEastAsia"/>
          <w:szCs w:val="24"/>
          <w:lang w:val="es-ES_tradnl" w:eastAsia="zh-CN"/>
        </w:rPr>
        <w:noBreakHyphen/>
      </w:r>
      <w:r w:rsidRPr="00297B30">
        <w:rPr>
          <w:rFonts w:eastAsiaTheme="minorEastAsia"/>
          <w:szCs w:val="24"/>
          <w:lang w:val="es-ES_tradnl" w:eastAsia="zh-CN"/>
        </w:rPr>
        <w:t>406,1 MHz para servicios GLONASS MEOSAR.</w:t>
      </w:r>
    </w:p>
    <w:p w:rsidR="00543337" w:rsidRPr="00297B30" w:rsidRDefault="00543337" w:rsidP="00543337">
      <w:pPr>
        <w:pStyle w:val="Heading1"/>
        <w:rPr>
          <w:lang w:val="es-ES_tradnl"/>
        </w:rPr>
      </w:pPr>
      <w:r w:rsidRPr="00297B30">
        <w:rPr>
          <w:lang w:val="es-ES_tradnl"/>
        </w:rPr>
        <w:t>2</w:t>
      </w:r>
      <w:r w:rsidRPr="00297B30">
        <w:rPr>
          <w:lang w:val="es-ES_tradnl"/>
        </w:rPr>
        <w:tab/>
        <w:t>Mínima calidad de funcionamiento aceptable para la detección de señales de radiobalizas de socorro a 406 MHz retransmitidas a través de satélites GLONASS</w:t>
      </w:r>
    </w:p>
    <w:p w:rsidR="00543337" w:rsidRPr="00297B30" w:rsidRDefault="00543337" w:rsidP="00543337">
      <w:pPr>
        <w:rPr>
          <w:rFonts w:eastAsiaTheme="minorEastAsia"/>
          <w:szCs w:val="24"/>
          <w:lang w:val="es-ES_tradnl"/>
        </w:rPr>
      </w:pPr>
      <w:r w:rsidRPr="00297B30">
        <w:rPr>
          <w:rFonts w:eastAsiaTheme="minorEastAsia"/>
          <w:szCs w:val="24"/>
          <w:lang w:val="es-ES_tradnl"/>
        </w:rPr>
        <w:t>Para detectar con fiabilidad las señales de las radiobalizas de socorro a 406 MHz utilizando repetidores del satélite GLONASS de 406 MHz, la BER del canal no debe rebasar el valor de 5 × 10</w:t>
      </w:r>
      <w:r>
        <w:rPr>
          <w:rFonts w:eastAsiaTheme="minorEastAsia"/>
          <w:szCs w:val="24"/>
          <w:vertAlign w:val="superscript"/>
          <w:lang w:val="es-ES_tradnl"/>
        </w:rPr>
        <w:sym w:font="Symbol" w:char="F02D"/>
      </w:r>
      <w:r w:rsidRPr="00297B30">
        <w:rPr>
          <w:rFonts w:eastAsiaTheme="minorEastAsia"/>
          <w:szCs w:val="24"/>
          <w:vertAlign w:val="superscript"/>
          <w:lang w:val="es-ES_tradnl"/>
        </w:rPr>
        <w:t>5</w:t>
      </w:r>
      <w:r w:rsidRPr="00297B30">
        <w:rPr>
          <w:rFonts w:eastAsiaTheme="minorEastAsia"/>
          <w:szCs w:val="24"/>
          <w:lang w:val="es-ES_tradnl"/>
        </w:rPr>
        <w:t>.</w:t>
      </w:r>
    </w:p>
    <w:p w:rsidR="00543337" w:rsidRPr="00297B30" w:rsidRDefault="00543337" w:rsidP="00543337">
      <w:pPr>
        <w:pStyle w:val="Heading1"/>
        <w:rPr>
          <w:lang w:val="es-ES_tradnl"/>
        </w:rPr>
      </w:pPr>
      <w:r w:rsidRPr="00297B30">
        <w:rPr>
          <w:lang w:val="es-ES_tradnl"/>
        </w:rPr>
        <w:t>3</w:t>
      </w:r>
      <w:r w:rsidRPr="00297B30">
        <w:rPr>
          <w:lang w:val="es-ES_tradnl"/>
        </w:rPr>
        <w:tab/>
        <w:t xml:space="preserve">Análisis de la </w:t>
      </w:r>
      <w:proofErr w:type="spellStart"/>
      <w:r w:rsidRPr="00297B30">
        <w:rPr>
          <w:lang w:val="es-ES_tradnl"/>
        </w:rPr>
        <w:t>dfp</w:t>
      </w:r>
      <w:proofErr w:type="spellEnd"/>
      <w:r w:rsidRPr="00297B30">
        <w:rPr>
          <w:lang w:val="es-ES_tradnl"/>
        </w:rPr>
        <w:t xml:space="preserve"> espectral que provoca interferencia</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BER de un canal de comunicaciones se obtiene a partir de la relación entre la energía contenida de cada bit de datos,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 xml:space="preserve">, y la densidad de ruido, que viene determinada por el ruido desarrollado por el equipo </w:t>
      </w:r>
      <w:proofErr w:type="spellStart"/>
      <w:r w:rsidRPr="00297B30">
        <w:rPr>
          <w:rFonts w:eastAsiaTheme="minorEastAsia"/>
          <w:szCs w:val="24"/>
          <w:lang w:val="es-ES_tradnl"/>
        </w:rPr>
        <w:t>Cospas</w:t>
      </w:r>
      <w:r w:rsidRPr="00297B30">
        <w:rPr>
          <w:rFonts w:eastAsiaTheme="minorEastAsia"/>
          <w:szCs w:val="24"/>
          <w:lang w:val="es-ES_tradnl"/>
        </w:rPr>
        <w:noBreakHyphen/>
        <w:t>Sarsat</w:t>
      </w:r>
      <w:proofErr w:type="spellEnd"/>
      <w:r w:rsidRPr="00297B30">
        <w:rPr>
          <w:rFonts w:eastAsiaTheme="minorEastAsia"/>
          <w:szCs w:val="24"/>
          <w:lang w:val="es-ES_tradnl"/>
        </w:rPr>
        <w:t xml:space="preserve">, </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y el ruido causado por la interferencia procedente de otros sistemas,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La Fig. 10 representa el canal SARR de 406 MHz GLONASS con interferencia en el enlace ascendente.</w:t>
      </w:r>
    </w:p>
    <w:p w:rsidR="00543337" w:rsidRPr="00297B30" w:rsidRDefault="00543337" w:rsidP="00543337">
      <w:pPr>
        <w:pStyle w:val="FigureNo"/>
        <w:rPr>
          <w:lang w:val="es-ES_tradnl"/>
        </w:rPr>
      </w:pPr>
      <w:r w:rsidRPr="00297B30">
        <w:rPr>
          <w:lang w:val="es-ES_tradnl"/>
        </w:rPr>
        <w:t>FigurA 10</w:t>
      </w:r>
    </w:p>
    <w:p w:rsidR="00543337" w:rsidRPr="00297B30" w:rsidRDefault="00543337" w:rsidP="00543337">
      <w:pPr>
        <w:pStyle w:val="Figuretitle"/>
        <w:rPr>
          <w:lang w:val="es-ES_tradnl" w:eastAsia="zh-CN"/>
        </w:rPr>
      </w:pPr>
      <w:r w:rsidRPr="00297B30">
        <w:rPr>
          <w:lang w:val="es-ES_tradnl" w:eastAsia="zh-CN"/>
        </w:rPr>
        <w:t>Repetidor GLONASS MEOSAR con interferencia en el enlace ascendente</w:t>
      </w:r>
    </w:p>
    <w:p w:rsidR="00543337" w:rsidRPr="00297B30" w:rsidRDefault="00543337" w:rsidP="00543337">
      <w:pPr>
        <w:pStyle w:val="Blanc"/>
        <w:rPr>
          <w:rFonts w:eastAsiaTheme="minorEastAsia"/>
          <w:lang w:val="es-ES_tradnl" w:eastAsia="zh-CN"/>
        </w:rPr>
      </w:pPr>
    </w:p>
    <w:p w:rsidR="00543337" w:rsidRPr="00297B30" w:rsidRDefault="00543337" w:rsidP="00543337">
      <w:pPr>
        <w:pStyle w:val="Figure"/>
        <w:rPr>
          <w:rFonts w:eastAsiaTheme="minorEastAsia"/>
          <w:noProof/>
          <w:lang w:val="es-ES_tradnl" w:eastAsia="zh-CN"/>
        </w:rPr>
      </w:pPr>
      <w:r w:rsidRPr="00297B30">
        <w:rPr>
          <w:rFonts w:eastAsiaTheme="minorEastAsia"/>
          <w:noProof/>
          <w:lang w:val="es-ES_tradnl" w:eastAsia="zh-CN"/>
        </w:rPr>
        <w:object w:dxaOrig="7748" w:dyaOrig="4743">
          <v:shape id="_x0000_i1083" type="#_x0000_t75" style="width:362.7pt;height:222.1pt" o:ole="">
            <v:imagedata r:id="rId129" o:title=""/>
          </v:shape>
          <o:OLEObject Type="Embed" ProgID="CorelDRAW.Graphic.14" ShapeID="_x0000_i1083" DrawAspect="Content" ObjectID="_1501062654" r:id="rId130"/>
        </w:object>
      </w:r>
    </w:p>
    <w:p w:rsidR="00543337" w:rsidRPr="00297B30" w:rsidRDefault="00543337" w:rsidP="00D242B4">
      <w:pPr>
        <w:pStyle w:val="Normalaftertitle"/>
        <w:rPr>
          <w:rFonts w:eastAsiaTheme="minorEastAsia"/>
          <w:lang w:val="es-ES_tradnl"/>
        </w:rPr>
      </w:pPr>
      <w:r w:rsidRPr="00297B30">
        <w:rPr>
          <w:rFonts w:eastAsiaTheme="minorEastAsia"/>
          <w:lang w:val="es-ES_tradnl"/>
        </w:rPr>
        <w:t>Para lograr una BER de 5 × 10</w:t>
      </w:r>
      <w:r w:rsidRPr="00297B30">
        <w:rPr>
          <w:rFonts w:eastAsiaTheme="minorEastAsia"/>
          <w:vertAlign w:val="superscript"/>
          <w:lang w:val="es-ES_tradnl"/>
        </w:rPr>
        <w:t>–5</w:t>
      </w:r>
      <w:r w:rsidRPr="00297B30">
        <w:rPr>
          <w:rFonts w:eastAsiaTheme="minorEastAsia"/>
          <w:lang w:val="es-ES_tradnl"/>
        </w:rPr>
        <w:t xml:space="preserve">, la relación entre la energía por bit y la densidad de ruido más interferencia, </w:t>
      </w:r>
      <w:r w:rsidRPr="00297B30">
        <w:rPr>
          <w:rFonts w:eastAsiaTheme="minorEastAsia"/>
          <w:i/>
          <w:iCs/>
          <w:lang w:val="es-ES_tradnl"/>
        </w:rPr>
        <w:t>E</w:t>
      </w:r>
      <w:r w:rsidRPr="00297B30">
        <w:rPr>
          <w:rFonts w:eastAsiaTheme="minorEastAsia"/>
          <w:i/>
          <w:iCs/>
          <w:vertAlign w:val="subscript"/>
          <w:lang w:val="es-ES_tradnl"/>
        </w:rPr>
        <w:t>b</w:t>
      </w:r>
      <w:r w:rsidRPr="00297B30">
        <w:rPr>
          <w:rFonts w:eastAsiaTheme="minorEastAsia"/>
          <w:lang w:val="es-ES_tradnl"/>
        </w:rPr>
        <w:t>/(</w:t>
      </w:r>
      <w:r w:rsidRPr="00297B30">
        <w:rPr>
          <w:rFonts w:eastAsiaTheme="minorEastAsia"/>
          <w:i/>
          <w:iCs/>
          <w:lang w:val="es-ES_tradnl"/>
        </w:rPr>
        <w:t>N</w:t>
      </w:r>
      <w:r w:rsidRPr="00297B30">
        <w:rPr>
          <w:rFonts w:eastAsiaTheme="minorEastAsia"/>
          <w:vertAlign w:val="subscript"/>
          <w:lang w:val="es-ES_tradnl"/>
        </w:rPr>
        <w:t>0</w:t>
      </w:r>
      <w:r w:rsidRPr="00297B30">
        <w:rPr>
          <w:rFonts w:eastAsiaTheme="minorEastAsia"/>
          <w:lang w:val="es-ES_tradnl"/>
        </w:rPr>
        <w:t> + </w:t>
      </w:r>
      <w:r w:rsidRPr="00297B30">
        <w:rPr>
          <w:rFonts w:eastAsiaTheme="minorEastAsia"/>
          <w:i/>
          <w:iCs/>
          <w:lang w:val="es-ES_tradnl"/>
        </w:rPr>
        <w:t>I</w:t>
      </w:r>
      <w:r w:rsidRPr="00297B30">
        <w:rPr>
          <w:rFonts w:eastAsiaTheme="minorEastAsia"/>
          <w:vertAlign w:val="subscript"/>
          <w:lang w:val="es-ES_tradnl"/>
        </w:rPr>
        <w:t>0</w:t>
      </w:r>
      <w:r w:rsidRPr="00297B30">
        <w:rPr>
          <w:rFonts w:eastAsiaTheme="minorEastAsia"/>
          <w:lang w:val="es-ES_tradnl"/>
        </w:rPr>
        <w:t xml:space="preserve">) en el demodulador MEOLUT debe ser igual o superior a 8,8 dB. Este análisis determina la máxima cantidad de interferencia similar al ruido de banda ancha especificada como </w:t>
      </w:r>
      <w:proofErr w:type="spellStart"/>
      <w:r w:rsidRPr="00297B30">
        <w:rPr>
          <w:rFonts w:eastAsiaTheme="minorEastAsia"/>
          <w:lang w:val="es-ES_tradnl"/>
        </w:rPr>
        <w:t>dfp</w:t>
      </w:r>
      <w:proofErr w:type="spellEnd"/>
      <w:r w:rsidRPr="00297B30">
        <w:rPr>
          <w:rFonts w:eastAsiaTheme="minorEastAsia"/>
          <w:lang w:val="es-ES_tradnl"/>
        </w:rPr>
        <w:t xml:space="preserve"> espectral a la entrada de la antena del satélite GLONASS de 406 MHz que podría admitirse sin degradar en el enlace la relación global </w:t>
      </w:r>
      <w:r w:rsidRPr="00297B30">
        <w:rPr>
          <w:rFonts w:eastAsiaTheme="minorEastAsia"/>
          <w:i/>
          <w:iCs/>
          <w:lang w:val="es-ES_tradnl"/>
        </w:rPr>
        <w:t>E</w:t>
      </w:r>
      <w:r w:rsidRPr="00297B30">
        <w:rPr>
          <w:rFonts w:eastAsiaTheme="minorEastAsia"/>
          <w:i/>
          <w:iCs/>
          <w:vertAlign w:val="subscript"/>
          <w:lang w:val="es-ES_tradnl"/>
        </w:rPr>
        <w:t>b</w:t>
      </w:r>
      <w:r w:rsidRPr="00297B30">
        <w:rPr>
          <w:rFonts w:eastAsiaTheme="minorEastAsia"/>
          <w:lang w:val="es-ES_tradnl"/>
        </w:rPr>
        <w:t>/(</w:t>
      </w:r>
      <w:r w:rsidRPr="00297B30">
        <w:rPr>
          <w:rFonts w:eastAsiaTheme="minorEastAsia"/>
          <w:i/>
          <w:iCs/>
          <w:lang w:val="es-ES_tradnl"/>
        </w:rPr>
        <w:t>N</w:t>
      </w:r>
      <w:r w:rsidRPr="00297B30">
        <w:rPr>
          <w:rFonts w:eastAsiaTheme="minorEastAsia"/>
          <w:vertAlign w:val="subscript"/>
          <w:lang w:val="es-ES_tradnl"/>
        </w:rPr>
        <w:t>0</w:t>
      </w:r>
      <w:r w:rsidRPr="00297B30">
        <w:rPr>
          <w:rFonts w:eastAsiaTheme="minorEastAsia"/>
          <w:lang w:val="es-ES_tradnl"/>
        </w:rPr>
        <w:t> + </w:t>
      </w:r>
      <w:r w:rsidRPr="00297B30">
        <w:rPr>
          <w:rFonts w:eastAsiaTheme="minorEastAsia"/>
          <w:i/>
          <w:iCs/>
          <w:lang w:val="es-ES_tradnl"/>
        </w:rPr>
        <w:t>I</w:t>
      </w:r>
      <w:r w:rsidRPr="00297B30">
        <w:rPr>
          <w:rFonts w:eastAsiaTheme="minorEastAsia"/>
          <w:vertAlign w:val="subscript"/>
          <w:lang w:val="es-ES_tradnl"/>
        </w:rPr>
        <w:t>0</w:t>
      </w:r>
      <w:r w:rsidRPr="00297B30">
        <w:rPr>
          <w:rFonts w:eastAsiaTheme="minorEastAsia"/>
          <w:lang w:val="es-ES_tradnl"/>
        </w:rPr>
        <w:t>) a un valor por debajo de 8,8 dB.</w:t>
      </w:r>
    </w:p>
    <w:p w:rsidR="00543337" w:rsidRPr="00297B30" w:rsidRDefault="00543337" w:rsidP="00543337">
      <w:pPr>
        <w:rPr>
          <w:rFonts w:eastAsiaTheme="minorEastAsia"/>
          <w:color w:val="000000"/>
          <w:szCs w:val="24"/>
          <w:lang w:val="es-ES_tradnl" w:eastAsia="zh-CN"/>
        </w:rPr>
      </w:pPr>
      <w:r w:rsidRPr="00297B30">
        <w:rPr>
          <w:rFonts w:eastAsiaTheme="minorEastAsia"/>
          <w:color w:val="000000"/>
          <w:szCs w:val="24"/>
          <w:lang w:val="es-ES_tradnl" w:eastAsia="zh-CN"/>
        </w:rPr>
        <w:t>Este análisis supone la presencia de tres radiobalizas activas simultáneamente, que retransmiten en el mismo instante en tres frecuencias distintas de la banda 406,0-406,1</w:t>
      </w:r>
      <w:r w:rsidRPr="00297B30">
        <w:rPr>
          <w:rFonts w:eastAsiaTheme="minorEastAsia"/>
          <w:szCs w:val="24"/>
          <w:lang w:val="es-ES_tradnl" w:eastAsia="zh-CN"/>
        </w:rPr>
        <w:t> </w:t>
      </w:r>
      <w:r w:rsidRPr="00297B30">
        <w:rPr>
          <w:rFonts w:eastAsiaTheme="minorEastAsia"/>
          <w:color w:val="000000"/>
          <w:szCs w:val="24"/>
          <w:lang w:val="es-ES_tradnl" w:eastAsia="zh-CN"/>
        </w:rPr>
        <w:t>MHz. La radiobaliza de «nivel bajo», que es objeto del presente análisis, tiene un ángulo de elevación de 5 grados con respecto al vehículo espacial. Las otras dos radiobalizas retransmiten a «niveles nominales» y con ángulos de elevación de 40 grados con respecto al vehículo espacial. Las dos radiobalizas de «nivel nominal» están incluidas en el análisis porque comparten la potencia disponible del repetidor del satélite y, por lo tanto, afectan al balance del enlace.</w:t>
      </w:r>
    </w:p>
    <w:p w:rsidR="00543337" w:rsidRPr="00297B30" w:rsidRDefault="00543337" w:rsidP="00543337">
      <w:pPr>
        <w:rPr>
          <w:rFonts w:eastAsiaTheme="minorEastAsia"/>
          <w:lang w:val="es-ES_tradnl" w:eastAsia="zh-CN"/>
        </w:rPr>
      </w:pPr>
      <w:r w:rsidRPr="00297B30">
        <w:rPr>
          <w:rFonts w:eastAsiaTheme="minorEastAsia"/>
          <w:lang w:val="es-ES_tradnl" w:eastAsia="zh-CN"/>
        </w:rPr>
        <w:lastRenderedPageBreak/>
        <w:t>Como se observa en la Fig. 10, las señales de 406 MHz de la radiobaliza de socorro son recibidas por el GLONASS SAR y la carga útil es retransmitida a un enlace descendente de 1 544,9 MHz para su detección y procesamiento en los MEOLUT. Los valores de ganancia de antena y de temperatura de ruido del sistema en el repetidor del satélite son de 11,5 </w:t>
      </w:r>
      <w:proofErr w:type="spellStart"/>
      <w:r w:rsidRPr="00297B30">
        <w:rPr>
          <w:rFonts w:eastAsiaTheme="minorEastAsia"/>
          <w:lang w:val="es-ES_tradnl" w:eastAsia="zh-CN"/>
        </w:rPr>
        <w:t>dBi</w:t>
      </w:r>
      <w:proofErr w:type="spellEnd"/>
      <w:r w:rsidRPr="00297B30">
        <w:rPr>
          <w:rFonts w:eastAsiaTheme="minorEastAsia"/>
          <w:lang w:val="es-ES_tradnl" w:eastAsia="zh-CN"/>
        </w:rPr>
        <w:t xml:space="preserve"> y 700 K (28,5 dB</w:t>
      </w:r>
      <w:r>
        <w:rPr>
          <w:rFonts w:eastAsiaTheme="minorEastAsia"/>
          <w:lang w:val="es-ES_tradnl" w:eastAsia="zh-CN"/>
        </w:rPr>
        <w:t>(</w:t>
      </w:r>
      <w:r w:rsidRPr="00297B30">
        <w:rPr>
          <w:rFonts w:eastAsiaTheme="minorEastAsia"/>
          <w:lang w:val="es-ES_tradnl" w:eastAsia="zh-CN"/>
        </w:rPr>
        <w:t>K)</w:t>
      </w:r>
      <w:r>
        <w:rPr>
          <w:rFonts w:eastAsiaTheme="minorEastAsia"/>
          <w:lang w:val="es-ES_tradnl" w:eastAsia="zh-CN"/>
        </w:rPr>
        <w:t>)</w:t>
      </w:r>
      <w:r w:rsidRPr="00297B30">
        <w:rPr>
          <w:rFonts w:eastAsiaTheme="minorEastAsia"/>
          <w:lang w:val="es-ES_tradnl" w:eastAsia="zh-CN"/>
        </w:rPr>
        <w:t xml:space="preserve"> respectivamente. La relación </w:t>
      </w:r>
      <w:r w:rsidRPr="00297B30">
        <w:rPr>
          <w:rFonts w:eastAsiaTheme="minorEastAsia"/>
          <w:i/>
          <w:iCs/>
          <w:lang w:val="es-ES_tradnl" w:eastAsia="zh-CN"/>
        </w:rPr>
        <w:t>G</w:t>
      </w:r>
      <w:r w:rsidRPr="00297B30">
        <w:rPr>
          <w:rFonts w:eastAsiaTheme="minorEastAsia"/>
          <w:lang w:val="es-ES_tradnl" w:eastAsia="zh-CN"/>
        </w:rPr>
        <w:t>/</w:t>
      </w:r>
      <w:r w:rsidRPr="00297B30">
        <w:rPr>
          <w:rFonts w:eastAsiaTheme="minorEastAsia"/>
          <w:i/>
          <w:iCs/>
          <w:lang w:val="es-ES_tradnl" w:eastAsia="zh-CN"/>
        </w:rPr>
        <w:t>T</w:t>
      </w:r>
      <w:r w:rsidRPr="00297B30">
        <w:rPr>
          <w:rFonts w:eastAsiaTheme="minorEastAsia"/>
          <w:lang w:val="es-ES_tradnl" w:eastAsia="zh-CN"/>
        </w:rPr>
        <w:t xml:space="preserve"> correspondiente es de </w:t>
      </w:r>
      <w:r>
        <w:rPr>
          <w:rFonts w:eastAsiaTheme="minorEastAsia"/>
          <w:lang w:val="es-ES_tradnl" w:eastAsia="zh-CN"/>
        </w:rPr>
        <w:t>–</w:t>
      </w:r>
      <w:r w:rsidRPr="00297B30">
        <w:rPr>
          <w:rFonts w:eastAsiaTheme="minorEastAsia"/>
          <w:lang w:val="es-ES_tradnl" w:eastAsia="zh-CN"/>
        </w:rPr>
        <w:t>17,0 dB/K.</w:t>
      </w:r>
    </w:p>
    <w:p w:rsidR="00543337" w:rsidRPr="00297B30" w:rsidRDefault="00543337" w:rsidP="00543337">
      <w:pPr>
        <w:rPr>
          <w:rFonts w:eastAsiaTheme="minorEastAsia"/>
          <w:color w:val="000000"/>
          <w:szCs w:val="24"/>
          <w:lang w:val="es-ES_tradnl" w:eastAsia="zh-CN"/>
        </w:rPr>
      </w:pPr>
      <w:r w:rsidRPr="00297B30">
        <w:rPr>
          <w:rFonts w:eastAsiaTheme="minorEastAsia"/>
          <w:color w:val="000000"/>
          <w:szCs w:val="24"/>
          <w:lang w:val="es-ES_tradnl" w:eastAsia="zh-CN"/>
        </w:rPr>
        <w:t xml:space="preserve">La señal de radiobaliza tiene un ángulo de elevación de 5º con respecto al vehículo espacial. De no haber fuentes externas de interferencia, la relación global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color w:val="000000"/>
          <w:szCs w:val="24"/>
          <w:lang w:val="es-ES_tradnl" w:eastAsia="zh-CN"/>
        </w:rPr>
        <w:t xml:space="preserve"> es de 35,5 dB</w:t>
      </w:r>
      <w:r>
        <w:rPr>
          <w:rFonts w:eastAsiaTheme="minorEastAsia"/>
          <w:color w:val="000000"/>
          <w:szCs w:val="24"/>
          <w:lang w:val="es-ES_tradnl" w:eastAsia="zh-CN"/>
        </w:rPr>
        <w:t>(</w:t>
      </w:r>
      <w:r w:rsidRPr="00297B30">
        <w:rPr>
          <w:rFonts w:eastAsiaTheme="minorEastAsia"/>
          <w:color w:val="000000"/>
          <w:szCs w:val="24"/>
          <w:lang w:val="es-ES_tradnl" w:eastAsia="zh-CN"/>
        </w:rPr>
        <w:t>Hz</w:t>
      </w:r>
      <w:r>
        <w:rPr>
          <w:rFonts w:eastAsiaTheme="minorEastAsia"/>
          <w:color w:val="000000"/>
          <w:szCs w:val="24"/>
          <w:lang w:val="es-ES_tradnl" w:eastAsia="zh-CN"/>
        </w:rPr>
        <w:t>)</w:t>
      </w:r>
      <w:r w:rsidRPr="00297B30">
        <w:rPr>
          <w:rFonts w:eastAsiaTheme="minorEastAsia"/>
          <w:color w:val="000000"/>
          <w:szCs w:val="24"/>
          <w:lang w:val="es-ES_tradnl" w:eastAsia="zh-CN"/>
        </w:rPr>
        <w:t xml:space="preserve">, lo cual equivale a una relación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color w:val="000000"/>
          <w:szCs w:val="24"/>
          <w:lang w:val="es-ES_tradnl" w:eastAsia="zh-CN"/>
        </w:rPr>
        <w:t xml:space="preserve"> de 9,5 dB (35,5 dB</w:t>
      </w:r>
      <w:r>
        <w:rPr>
          <w:rFonts w:eastAsiaTheme="minorEastAsia"/>
          <w:color w:val="000000"/>
          <w:szCs w:val="24"/>
          <w:lang w:val="es-ES_tradnl" w:eastAsia="zh-CN"/>
        </w:rPr>
        <w:t>(</w:t>
      </w:r>
      <w:r w:rsidRPr="00297B30">
        <w:rPr>
          <w:rFonts w:eastAsiaTheme="minorEastAsia"/>
          <w:color w:val="000000"/>
          <w:szCs w:val="24"/>
          <w:lang w:val="es-ES_tradnl" w:eastAsia="zh-CN"/>
        </w:rPr>
        <w:t>Hz</w:t>
      </w:r>
      <w:r>
        <w:rPr>
          <w:rFonts w:eastAsiaTheme="minorEastAsia"/>
          <w:color w:val="000000"/>
          <w:szCs w:val="24"/>
          <w:lang w:val="es-ES_tradnl" w:eastAsia="zh-CN"/>
        </w:rPr>
        <w:t>)</w:t>
      </w:r>
      <w:r w:rsidRPr="00297B30">
        <w:rPr>
          <w:rFonts w:eastAsiaTheme="minorEastAsia"/>
          <w:color w:val="000000"/>
          <w:szCs w:val="24"/>
          <w:lang w:val="es-ES_tradnl" w:eastAsia="zh-CN"/>
        </w:rPr>
        <w:t> − 26 dB/s para 400 bit/s). Teniendo en cuenta las pérdidas de realización (1,0</w:t>
      </w:r>
      <w:r w:rsidRPr="00297B30">
        <w:rPr>
          <w:rFonts w:eastAsiaTheme="minorEastAsia"/>
          <w:szCs w:val="24"/>
          <w:lang w:val="es-ES_tradnl" w:eastAsia="zh-CN"/>
        </w:rPr>
        <w:t> </w:t>
      </w:r>
      <w:r w:rsidRPr="00297B30">
        <w:rPr>
          <w:rFonts w:eastAsiaTheme="minorEastAsia"/>
          <w:color w:val="000000"/>
          <w:szCs w:val="24"/>
          <w:lang w:val="es-ES_tradnl" w:eastAsia="zh-CN"/>
        </w:rPr>
        <w:t xml:space="preserve">dB), </w:t>
      </w:r>
      <w:r w:rsidRPr="00297B30">
        <w:rPr>
          <w:rFonts w:eastAsiaTheme="minorEastAsia"/>
          <w:szCs w:val="24"/>
          <w:lang w:val="es-ES_tradnl"/>
        </w:rPr>
        <w:t>las pérdidas de modulación de los datos de la radiobaliza</w:t>
      </w:r>
      <w:r w:rsidRPr="00297B30">
        <w:rPr>
          <w:rFonts w:eastAsiaTheme="minorEastAsia"/>
          <w:color w:val="000000"/>
          <w:szCs w:val="24"/>
          <w:lang w:val="es-ES_tradnl" w:eastAsia="zh-CN"/>
        </w:rPr>
        <w:t xml:space="preserve"> (1,0</w:t>
      </w:r>
      <w:r w:rsidRPr="00297B30">
        <w:rPr>
          <w:rFonts w:eastAsiaTheme="minorEastAsia"/>
          <w:szCs w:val="24"/>
          <w:lang w:val="es-ES_tradnl" w:eastAsia="zh-CN"/>
        </w:rPr>
        <w:t> </w:t>
      </w:r>
      <w:r w:rsidRPr="00297B30">
        <w:rPr>
          <w:rFonts w:eastAsiaTheme="minorEastAsia"/>
          <w:color w:val="000000"/>
          <w:szCs w:val="24"/>
          <w:lang w:val="es-ES_tradnl" w:eastAsia="zh-CN"/>
        </w:rPr>
        <w:t>dB) y la ganancia de procesamiento (2,0</w:t>
      </w:r>
      <w:r w:rsidRPr="00297B30">
        <w:rPr>
          <w:rFonts w:eastAsiaTheme="minorEastAsia"/>
          <w:szCs w:val="24"/>
          <w:lang w:val="es-ES_tradnl" w:eastAsia="zh-CN"/>
        </w:rPr>
        <w:t> </w:t>
      </w:r>
      <w:r w:rsidRPr="00297B30">
        <w:rPr>
          <w:rFonts w:eastAsiaTheme="minorEastAsia"/>
          <w:color w:val="000000"/>
          <w:szCs w:val="24"/>
          <w:lang w:val="es-ES_tradnl" w:eastAsia="zh-CN"/>
        </w:rPr>
        <w:t>dB) en el MEOLUT, se obtiene un valor eficaz de la relación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color w:val="000000"/>
          <w:szCs w:val="24"/>
          <w:lang w:val="es-ES_tradnl" w:eastAsia="zh-CN"/>
        </w:rPr>
        <w:t xml:space="preserve"> de 9,5 dB. Como el canal requiere un valor global de </w:t>
      </w:r>
      <w:r w:rsidRPr="00297B30">
        <w:rPr>
          <w:rFonts w:eastAsiaTheme="minorEastAsia"/>
          <w:i/>
          <w:iCs/>
          <w:szCs w:val="24"/>
          <w:lang w:val="es-ES_tradnl"/>
        </w:rPr>
        <w:t>E</w:t>
      </w:r>
      <w:r w:rsidRPr="00297B30">
        <w:rPr>
          <w:rFonts w:eastAsiaTheme="minorEastAsia"/>
          <w:i/>
          <w:iCs/>
          <w:szCs w:val="24"/>
          <w:vertAlign w:val="subscript"/>
          <w:lang w:val="es-ES_tradnl"/>
        </w:rPr>
        <w:t>b</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 +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color w:val="000000"/>
          <w:szCs w:val="24"/>
          <w:lang w:val="es-ES_tradnl" w:eastAsia="zh-CN"/>
        </w:rPr>
        <w:t xml:space="preserve"> de al menos 8,8</w:t>
      </w:r>
      <w:r w:rsidRPr="00297B30">
        <w:rPr>
          <w:rFonts w:eastAsiaTheme="minorEastAsia"/>
          <w:szCs w:val="24"/>
          <w:lang w:val="es-ES_tradnl" w:eastAsia="zh-CN"/>
        </w:rPr>
        <w:t> </w:t>
      </w:r>
      <w:r w:rsidRPr="00297B30">
        <w:rPr>
          <w:rFonts w:eastAsiaTheme="minorEastAsia"/>
          <w:color w:val="000000"/>
          <w:szCs w:val="24"/>
          <w:lang w:val="es-ES_tradnl" w:eastAsia="zh-CN"/>
        </w:rPr>
        <w:t>dB para satisfacer con fiabilidad la mínima calidad de funcionamiento, no puede aceptarse una acumulación de la interferencia de banda ancha en el enlace ascendente que reduzca más de 0,7 dB la relación global entre portadora y densidad de ruido más interferencia.</w:t>
      </w:r>
    </w:p>
    <w:p w:rsidR="00543337" w:rsidRPr="00297B30" w:rsidRDefault="00543337" w:rsidP="00543337">
      <w:pPr>
        <w:rPr>
          <w:rFonts w:eastAsiaTheme="minorEastAsia"/>
          <w:color w:val="000000"/>
          <w:szCs w:val="24"/>
          <w:lang w:val="es-ES_tradnl" w:eastAsia="zh-CN"/>
        </w:rPr>
      </w:pPr>
      <w:r w:rsidRPr="00297B30">
        <w:rPr>
          <w:rFonts w:eastAsiaTheme="minorEastAsia"/>
          <w:color w:val="000000"/>
          <w:szCs w:val="24"/>
          <w:lang w:val="es-ES_tradnl" w:eastAsia="zh-CN"/>
        </w:rPr>
        <w:t xml:space="preserve">Dado que el valor global de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color w:val="000000"/>
          <w:szCs w:val="24"/>
          <w:lang w:val="es-ES_tradnl" w:eastAsia="zh-CN"/>
        </w:rPr>
        <w:t xml:space="preserve"> en ausencia de interferencia es de 35,5</w:t>
      </w:r>
      <w:r w:rsidRPr="00297B30">
        <w:rPr>
          <w:rFonts w:eastAsiaTheme="minorEastAsia"/>
          <w:szCs w:val="24"/>
          <w:lang w:val="es-ES_tradnl" w:eastAsia="zh-CN"/>
        </w:rPr>
        <w:t> </w:t>
      </w:r>
      <w:r w:rsidRPr="00297B30">
        <w:rPr>
          <w:rFonts w:eastAsiaTheme="minorEastAsia"/>
          <w:color w:val="000000"/>
          <w:szCs w:val="24"/>
          <w:lang w:val="es-ES_tradnl" w:eastAsia="zh-CN"/>
        </w:rPr>
        <w:t xml:space="preserve">dB-Hz, la interferencia similar al ruido de banda ancha en el enlace ascendente que lo degrada 0,7 dB da lugar a una relación </w:t>
      </w:r>
      <w:r w:rsidRPr="00297B30">
        <w:rPr>
          <w:rFonts w:eastAsiaTheme="minorEastAsia"/>
          <w:szCs w:val="24"/>
          <w:lang w:val="es-ES_tradnl"/>
        </w:rPr>
        <w:t>(</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vertAlign w:val="subscript"/>
          <w:lang w:val="es-ES_tradnl"/>
        </w:rPr>
        <w:t xml:space="preserve">global </w:t>
      </w:r>
      <w:r w:rsidRPr="00297B30">
        <w:rPr>
          <w:rFonts w:eastAsiaTheme="minorEastAsia"/>
          <w:color w:val="000000"/>
          <w:szCs w:val="24"/>
          <w:lang w:val="es-ES_tradnl" w:eastAsia="zh-CN"/>
        </w:rPr>
        <w:t>de:</w:t>
      </w:r>
    </w:p>
    <w:p w:rsidR="00543337" w:rsidRPr="00E60BAE" w:rsidRDefault="00543337" w:rsidP="00543337">
      <w:pPr>
        <w:pStyle w:val="Equation"/>
        <w:rPr>
          <w:rFonts w:eastAsiaTheme="minorEastAsia"/>
          <w:color w:val="000000"/>
          <w:lang w:val="en-GB" w:eastAsia="zh-CN"/>
        </w:rPr>
      </w:pPr>
      <w:r w:rsidRPr="00297B30">
        <w:rPr>
          <w:rFonts w:eastAsiaTheme="minorEastAsia"/>
          <w:lang w:val="es-ES_tradnl"/>
        </w:rPr>
        <w:tab/>
      </w:r>
      <w:r w:rsidRPr="00297B30">
        <w:rPr>
          <w:rFonts w:eastAsiaTheme="minorEastAsia"/>
          <w:lang w:val="es-ES_tradnl"/>
        </w:rPr>
        <w:tab/>
      </w:r>
      <w:r w:rsidRPr="00E60BAE">
        <w:rPr>
          <w:rFonts w:eastAsiaTheme="minorEastAsia"/>
          <w:lang w:val="en-GB"/>
        </w:rPr>
        <w:t>(</w:t>
      </w:r>
      <w:r w:rsidRPr="00E60BAE">
        <w:rPr>
          <w:rFonts w:eastAsiaTheme="minorEastAsia"/>
          <w:i/>
          <w:iCs/>
          <w:lang w:val="en-GB"/>
        </w:rPr>
        <w:t>C</w:t>
      </w:r>
      <w:r w:rsidRPr="00E60BAE">
        <w:rPr>
          <w:rFonts w:eastAsiaTheme="minorEastAsia"/>
          <w:lang w:val="en-GB"/>
        </w:rPr>
        <w:t>/(</w:t>
      </w:r>
      <w:r w:rsidRPr="00E60BAE">
        <w:rPr>
          <w:rFonts w:eastAsiaTheme="minorEastAsia"/>
          <w:i/>
          <w:iCs/>
          <w:lang w:val="en-GB"/>
        </w:rPr>
        <w:t>N</w:t>
      </w:r>
      <w:r w:rsidRPr="00E60BAE">
        <w:rPr>
          <w:rFonts w:eastAsiaTheme="minorEastAsia"/>
          <w:vertAlign w:val="subscript"/>
          <w:lang w:val="en-GB"/>
        </w:rPr>
        <w:t>0</w:t>
      </w:r>
      <w:r w:rsidRPr="00E60BAE">
        <w:rPr>
          <w:rFonts w:eastAsiaTheme="minorEastAsia"/>
          <w:lang w:val="en-GB"/>
        </w:rPr>
        <w:t>+</w:t>
      </w:r>
      <w:r w:rsidRPr="00E60BAE">
        <w:rPr>
          <w:rFonts w:eastAsiaTheme="minorEastAsia"/>
          <w:i/>
          <w:iCs/>
          <w:lang w:val="en-GB"/>
        </w:rPr>
        <w:t>I</w:t>
      </w:r>
      <w:r w:rsidRPr="00E60BAE">
        <w:rPr>
          <w:rFonts w:eastAsiaTheme="minorEastAsia"/>
          <w:i/>
          <w:iCs/>
          <w:vertAlign w:val="subscript"/>
          <w:lang w:val="en-GB"/>
        </w:rPr>
        <w:t>0</w:t>
      </w:r>
      <w:r w:rsidRPr="00E60BAE">
        <w:rPr>
          <w:rFonts w:eastAsiaTheme="minorEastAsia"/>
          <w:lang w:val="en-GB"/>
        </w:rPr>
        <w:t>))</w:t>
      </w:r>
      <w:r w:rsidRPr="00E60BAE">
        <w:rPr>
          <w:rFonts w:eastAsiaTheme="minorEastAsia"/>
          <w:i/>
          <w:iCs/>
          <w:vertAlign w:val="subscript"/>
          <w:lang w:val="en-GB"/>
        </w:rPr>
        <w:t>global</w:t>
      </w:r>
      <w:r w:rsidRPr="00E60BAE">
        <w:rPr>
          <w:rFonts w:eastAsiaTheme="minorEastAsia"/>
          <w:lang w:val="en-GB"/>
        </w:rPr>
        <w:t xml:space="preserve"> = (</w:t>
      </w:r>
      <w:r w:rsidRPr="00E60BAE">
        <w:rPr>
          <w:rFonts w:eastAsiaTheme="minorEastAsia"/>
          <w:i/>
          <w:iCs/>
          <w:lang w:val="en-GB"/>
        </w:rPr>
        <w:t>C</w:t>
      </w:r>
      <w:r w:rsidRPr="00E60BAE">
        <w:rPr>
          <w:rFonts w:eastAsiaTheme="minorEastAsia"/>
          <w:lang w:val="en-GB"/>
        </w:rPr>
        <w:t>/(</w:t>
      </w:r>
      <w:r w:rsidRPr="00E60BAE">
        <w:rPr>
          <w:rFonts w:eastAsiaTheme="minorEastAsia"/>
          <w:i/>
          <w:iCs/>
          <w:lang w:val="en-GB"/>
        </w:rPr>
        <w:t>N</w:t>
      </w:r>
      <w:r w:rsidRPr="00E60BAE">
        <w:rPr>
          <w:rFonts w:eastAsiaTheme="minorEastAsia"/>
          <w:vertAlign w:val="subscript"/>
          <w:lang w:val="en-GB"/>
        </w:rPr>
        <w:t>0</w:t>
      </w:r>
      <w:r w:rsidRPr="00E60BAE">
        <w:rPr>
          <w:rFonts w:eastAsiaTheme="minorEastAsia"/>
          <w:lang w:val="en-GB"/>
        </w:rPr>
        <w:t>)</w:t>
      </w:r>
      <w:r w:rsidRPr="00E60BAE">
        <w:rPr>
          <w:rFonts w:eastAsiaTheme="minorEastAsia"/>
          <w:i/>
          <w:iCs/>
          <w:vertAlign w:val="subscript"/>
          <w:lang w:val="en-GB"/>
        </w:rPr>
        <w:t>global</w:t>
      </w:r>
      <w:r w:rsidRPr="00E60BAE">
        <w:rPr>
          <w:rFonts w:eastAsiaTheme="minorEastAsia"/>
          <w:lang w:val="en-GB"/>
        </w:rPr>
        <w:t xml:space="preserve"> −</w:t>
      </w:r>
      <w:r w:rsidRPr="00E60BAE">
        <w:rPr>
          <w:rFonts w:eastAsiaTheme="minorEastAsia"/>
          <w:color w:val="000000"/>
          <w:lang w:val="en-GB" w:eastAsia="zh-CN"/>
        </w:rPr>
        <w:t xml:space="preserve"> 0,7 dB</w:t>
      </w:r>
    </w:p>
    <w:p w:rsidR="00543337" w:rsidRPr="00E60BAE" w:rsidRDefault="00543337" w:rsidP="00543337">
      <w:pPr>
        <w:pStyle w:val="Equation"/>
        <w:rPr>
          <w:rFonts w:eastAsiaTheme="minorEastAsia"/>
          <w:lang w:val="en-GB" w:eastAsia="zh-CN"/>
        </w:rPr>
      </w:pPr>
      <w:r w:rsidRPr="00E60BAE">
        <w:rPr>
          <w:rFonts w:eastAsiaTheme="minorEastAsia"/>
          <w:lang w:val="en-GB" w:eastAsia="zh-CN"/>
        </w:rPr>
        <w:tab/>
      </w:r>
      <w:r w:rsidRPr="00E60BAE">
        <w:rPr>
          <w:rFonts w:eastAsiaTheme="minorEastAsia"/>
          <w:lang w:val="en-GB" w:eastAsia="zh-CN"/>
        </w:rPr>
        <w:tab/>
        <w:t>= 35,5 dB(Hz) – 0,7 dB</w:t>
      </w:r>
      <w:r w:rsidRPr="00E60BAE">
        <w:rPr>
          <w:rFonts w:eastAsiaTheme="minorEastAsia"/>
          <w:lang w:val="en-GB" w:eastAsia="zh-CN"/>
        </w:rPr>
        <w:tab/>
        <w:t>(19)</w:t>
      </w:r>
    </w:p>
    <w:p w:rsidR="00543337" w:rsidRPr="00E60BAE" w:rsidRDefault="00543337" w:rsidP="00543337">
      <w:pPr>
        <w:pStyle w:val="Equation"/>
        <w:rPr>
          <w:rFonts w:eastAsiaTheme="minorEastAsia"/>
          <w:lang w:val="en-GB" w:eastAsia="zh-CN"/>
        </w:rPr>
      </w:pPr>
      <w:r w:rsidRPr="00E60BAE">
        <w:rPr>
          <w:rFonts w:eastAsiaTheme="minorEastAsia"/>
          <w:lang w:val="en-GB"/>
        </w:rPr>
        <w:tab/>
      </w:r>
      <w:r w:rsidRPr="00E60BAE">
        <w:rPr>
          <w:rFonts w:eastAsiaTheme="minorEastAsia"/>
          <w:lang w:val="en-GB"/>
        </w:rPr>
        <w:tab/>
        <w:t>= 34</w:t>
      </w:r>
      <w:r w:rsidRPr="00E60BAE">
        <w:rPr>
          <w:rFonts w:eastAsiaTheme="minorEastAsia"/>
          <w:lang w:val="en-GB" w:eastAsia="zh-CN"/>
        </w:rPr>
        <w:t>,8 dB(Hz)</w:t>
      </w:r>
    </w:p>
    <w:p w:rsidR="00543337" w:rsidRPr="00297B30" w:rsidRDefault="00543337" w:rsidP="00543337">
      <w:pPr>
        <w:rPr>
          <w:rFonts w:eastAsiaTheme="minorEastAsia"/>
          <w:szCs w:val="24"/>
          <w:lang w:val="es-ES_tradnl"/>
        </w:rPr>
      </w:pPr>
      <w:r w:rsidRPr="00297B30">
        <w:rPr>
          <w:rFonts w:eastAsiaTheme="minorEastAsia"/>
          <w:szCs w:val="24"/>
          <w:lang w:val="es-ES_tradnl"/>
        </w:rPr>
        <w:t>El valor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vertAlign w:val="subscript"/>
          <w:lang w:val="es-ES_tradnl"/>
        </w:rPr>
        <w:t>OI</w:t>
      </w:r>
      <w:r w:rsidRPr="00297B30">
        <w:rPr>
          <w:rFonts w:eastAsiaTheme="minorEastAsia"/>
          <w:szCs w:val="24"/>
          <w:lang w:val="es-ES_tradnl"/>
        </w:rPr>
        <w:t xml:space="preserve"> se calcula a partir de las relaciones entre la portadora y la densidad de ruido más interferencia del enlace ascendente y del enlace descendente como se indica a continuación:</w:t>
      </w:r>
    </w:p>
    <w:p w:rsidR="00543337" w:rsidRPr="00297B30" w:rsidRDefault="00F952FE" w:rsidP="00543337">
      <w:pPr>
        <w:pStyle w:val="Equation"/>
        <w:rPr>
          <w:rFonts w:eastAsiaTheme="minorEastAsia"/>
          <w:lang w:val="es-ES_tradnl"/>
        </w:rPr>
      </w:pPr>
      <w:r w:rsidRPr="00297B30">
        <w:rPr>
          <w:rFonts w:eastAsiaTheme="minorEastAsia"/>
          <w:position w:val="-14"/>
          <w:lang w:val="es-ES_tradnl"/>
        </w:rPr>
        <w:object w:dxaOrig="8000" w:dyaOrig="440">
          <v:shape id="_x0000_i1160" type="#_x0000_t75" style="width:396pt;height:22.4pt" o:ole="">
            <v:imagedata r:id="rId131" o:title=""/>
          </v:shape>
          <o:OLEObject Type="Embed" ProgID="Equation.3" ShapeID="_x0000_i1160" DrawAspect="Content" ObjectID="_1501062655" r:id="rId132"/>
        </w:object>
      </w:r>
      <w:r>
        <w:rPr>
          <w:rFonts w:eastAsiaTheme="minorEastAsia"/>
          <w:lang w:val="es-ES_tradnl"/>
        </w:rPr>
        <w:t>(numérico)</w:t>
      </w:r>
      <w:r w:rsidR="00543337" w:rsidRPr="00297B30">
        <w:rPr>
          <w:rFonts w:eastAsiaTheme="minorEastAsia"/>
          <w:lang w:val="es-ES_tradnl"/>
        </w:rPr>
        <w:tab/>
        <w:t>(20)</w:t>
      </w:r>
    </w:p>
    <w:p w:rsidR="00543337" w:rsidRPr="00297B30" w:rsidRDefault="00543337" w:rsidP="00543337">
      <w:pPr>
        <w:rPr>
          <w:rFonts w:eastAsiaTheme="minorEastAsia"/>
          <w:szCs w:val="24"/>
          <w:lang w:val="es-ES_tradnl"/>
        </w:rPr>
      </w:pPr>
      <w:r w:rsidRPr="00297B30">
        <w:rPr>
          <w:rFonts w:eastAsiaTheme="minorEastAsia"/>
          <w:szCs w:val="24"/>
          <w:lang w:val="es-ES_tradnl"/>
        </w:rPr>
        <w:t>Como este análisis se refiere a la interferencia en el enlace ascendente,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i/>
          <w:iCs/>
          <w:szCs w:val="24"/>
          <w:vertAlign w:val="subscript"/>
          <w:lang w:val="es-ES_tradnl"/>
        </w:rPr>
        <w:t>enlace descendente con interferencia</w:t>
      </w:r>
      <w:r w:rsidRPr="00297B30">
        <w:rPr>
          <w:rFonts w:eastAsiaTheme="minorEastAsia"/>
          <w:szCs w:val="24"/>
          <w:lang w:val="es-ES_tradnl"/>
        </w:rPr>
        <w:t xml:space="preserve"> en la ecuación (2) se convierte en:</w:t>
      </w:r>
    </w:p>
    <w:p w:rsidR="00543337" w:rsidRPr="00297B30" w:rsidRDefault="00543337" w:rsidP="00543337">
      <w:pPr>
        <w:pStyle w:val="Equation"/>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6"/>
          <w:lang w:val="es-ES_tradnl"/>
        </w:rPr>
        <w:object w:dxaOrig="6560" w:dyaOrig="420">
          <v:shape id="_x0000_i1085" type="#_x0000_t75" style="width:324.7pt;height:21.05pt" o:ole="">
            <v:imagedata r:id="rId133" o:title=""/>
          </v:shape>
          <o:OLEObject Type="Embed" ProgID="Equation.3" ShapeID="_x0000_i1085" DrawAspect="Content" ObjectID="_1501062656" r:id="rId134"/>
        </w:object>
      </w:r>
      <w:r w:rsidRPr="00297B30">
        <w:rPr>
          <w:rFonts w:eastAsiaTheme="minorEastAsia"/>
          <w:lang w:val="es-ES_tradnl"/>
        </w:rPr>
        <w:tab/>
        <w:t>(21)</w:t>
      </w:r>
    </w:p>
    <w:p w:rsidR="00543337" w:rsidRPr="00297B30" w:rsidRDefault="00543337" w:rsidP="00543337">
      <w:pPr>
        <w:rPr>
          <w:rFonts w:eastAsiaTheme="minorEastAsia"/>
          <w:szCs w:val="24"/>
          <w:lang w:val="es-ES_tradnl"/>
        </w:rPr>
      </w:pPr>
      <w:r w:rsidRPr="00297B30">
        <w:rPr>
          <w:rFonts w:eastAsiaTheme="minorEastAsia"/>
          <w:szCs w:val="24"/>
          <w:lang w:val="es-ES_tradnl"/>
        </w:rPr>
        <w:t>La fuente de interferencia también afecta a la relación entre la portadora del enlace descendente y la densidad de ruido,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szCs w:val="24"/>
          <w:vertAlign w:val="subscript"/>
          <w:lang w:val="es-ES_tradnl"/>
        </w:rPr>
        <w:sym w:font="Symbol" w:char="F0AF"/>
      </w:r>
      <w:r w:rsidRPr="00297B30">
        <w:rPr>
          <w:rFonts w:eastAsiaTheme="minorEastAsia"/>
          <w:szCs w:val="24"/>
          <w:lang w:val="es-ES_tradnl"/>
        </w:rPr>
        <w:t>, aumentando la potencia total compartida en la anchura de banda SAR. Este aumento de la potencia total reduce las pérdidas de compartición de potencia y afecta al valor de (</w:t>
      </w:r>
      <w:r w:rsidRPr="00297B30">
        <w:rPr>
          <w:rFonts w:eastAsiaTheme="minorEastAsia"/>
          <w:i/>
          <w:iCs/>
          <w:szCs w:val="24"/>
          <w:lang w:val="es-ES_tradnl"/>
        </w:rPr>
        <w:t>C</w:t>
      </w:r>
      <w:r w:rsidRPr="00297B30">
        <w:rPr>
          <w:rFonts w:eastAsiaTheme="minorEastAsia"/>
          <w:szCs w:val="24"/>
          <w:lang w:val="es-ES_tradnl"/>
        </w:rPr>
        <w:t>/</w:t>
      </w:r>
      <w:r w:rsidRPr="00297B30">
        <w:rPr>
          <w:rFonts w:eastAsiaTheme="minorEastAsia"/>
          <w:i/>
          <w:iCs/>
          <w:szCs w:val="24"/>
          <w:lang w:val="es-ES_tradnl"/>
        </w:rPr>
        <w:t>N</w:t>
      </w:r>
      <w:r w:rsidRPr="00297B30">
        <w:rPr>
          <w:rFonts w:eastAsiaTheme="minorEastAsia"/>
          <w:szCs w:val="24"/>
          <w:vertAlign w:val="subscript"/>
          <w:lang w:val="es-ES_tradnl"/>
        </w:rPr>
        <w:t>0</w:t>
      </w:r>
      <w:r w:rsidRPr="00297B30">
        <w:rPr>
          <w:rFonts w:eastAsiaTheme="minorEastAsia"/>
          <w:szCs w:val="24"/>
          <w:lang w:val="es-ES_tradnl"/>
        </w:rPr>
        <w:t>)</w:t>
      </w:r>
      <w:r w:rsidRPr="00297B30">
        <w:rPr>
          <w:rFonts w:eastAsiaTheme="minorEastAsia"/>
          <w:szCs w:val="24"/>
          <w:vertAlign w:val="subscript"/>
          <w:lang w:val="es-ES_tradnl"/>
        </w:rPr>
        <w:sym w:font="Symbol" w:char="F0AF"/>
      </w:r>
      <w:r w:rsidRPr="00297B30">
        <w:rPr>
          <w:rFonts w:eastAsiaTheme="minorEastAsia"/>
          <w:szCs w:val="24"/>
          <w:lang w:val="es-ES_tradnl"/>
        </w:rPr>
        <w:t xml:space="preserve"> de la forma siguiente:</w:t>
      </w:r>
    </w:p>
    <w:p w:rsidR="00543337" w:rsidRPr="00297B30" w:rsidRDefault="00543337" w:rsidP="00543337">
      <w:pPr>
        <w:pStyle w:val="Equation"/>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6"/>
          <w:lang w:val="es-ES_tradnl"/>
        </w:rPr>
        <w:object w:dxaOrig="7100" w:dyaOrig="400">
          <v:shape id="_x0000_i1086" type="#_x0000_t75" style="width:355.25pt;height:21.05pt" o:ole="">
            <v:imagedata r:id="rId135" o:title=""/>
          </v:shape>
          <o:OLEObject Type="Embed" ProgID="Equation.3" ShapeID="_x0000_i1086" DrawAspect="Content" ObjectID="_1501062657" r:id="rId136"/>
        </w:object>
      </w:r>
      <w:r w:rsidRPr="00297B30">
        <w:rPr>
          <w:rFonts w:eastAsiaTheme="minorEastAsia"/>
          <w:lang w:val="es-ES_tradnl"/>
        </w:rPr>
        <w:tab/>
        <w:t>(22)</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siendo </w:t>
      </w:r>
      <w:proofErr w:type="spellStart"/>
      <w:r w:rsidRPr="00297B30">
        <w:rPr>
          <w:rFonts w:eastAsiaTheme="minorEastAsia"/>
          <w:i/>
          <w:iCs/>
          <w:szCs w:val="24"/>
          <w:lang w:val="es-ES_tradnl"/>
        </w:rPr>
        <w:t>Lps</w:t>
      </w:r>
      <w:proofErr w:type="spellEnd"/>
      <w:r w:rsidRPr="00297B30">
        <w:rPr>
          <w:rFonts w:eastAsiaTheme="minorEastAsia"/>
          <w:szCs w:val="24"/>
          <w:lang w:val="es-ES_tradnl"/>
        </w:rPr>
        <w:t xml:space="preserve"> las pérdidas de compartición de potencia sin interferencia y </w:t>
      </w:r>
      <w:proofErr w:type="spellStart"/>
      <w:r w:rsidRPr="00297B30">
        <w:rPr>
          <w:rFonts w:eastAsiaTheme="minorEastAsia"/>
          <w:i/>
          <w:iCs/>
          <w:szCs w:val="24"/>
          <w:lang w:val="es-ES_tradnl"/>
        </w:rPr>
        <w:t>Lpsi</w:t>
      </w:r>
      <w:proofErr w:type="spellEnd"/>
      <w:r w:rsidRPr="00297B30">
        <w:rPr>
          <w:rFonts w:eastAsiaTheme="minorEastAsia"/>
          <w:szCs w:val="24"/>
          <w:lang w:val="es-ES_tradnl"/>
        </w:rPr>
        <w:t xml:space="preserve"> las pérdidas de compartición de potencia con interferencia. </w:t>
      </w:r>
      <w:proofErr w:type="spellStart"/>
      <w:r w:rsidRPr="00297B30">
        <w:rPr>
          <w:rFonts w:eastAsiaTheme="minorEastAsia"/>
          <w:i/>
          <w:iCs/>
          <w:szCs w:val="24"/>
          <w:lang w:val="es-ES_tradnl"/>
        </w:rPr>
        <w:t>Lpsi</w:t>
      </w:r>
      <w:proofErr w:type="spellEnd"/>
      <w:r w:rsidRPr="00297B30">
        <w:rPr>
          <w:rFonts w:eastAsiaTheme="minorEastAsia"/>
          <w:szCs w:val="24"/>
          <w:lang w:val="es-ES_tradnl"/>
        </w:rPr>
        <w:t xml:space="preserve"> se calcula como sigue:</w:t>
      </w:r>
    </w:p>
    <w:p w:rsidR="00543337" w:rsidRPr="00297B30" w:rsidRDefault="00543337" w:rsidP="00543337">
      <w:pPr>
        <w:pStyle w:val="Equation"/>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2"/>
          <w:lang w:val="es-ES_tradnl"/>
        </w:rPr>
        <w:object w:dxaOrig="5040" w:dyaOrig="360">
          <v:shape id="_x0000_i1087" type="#_x0000_t75" style="width:249.3pt;height:18.35pt" o:ole="">
            <v:imagedata r:id="rId137" o:title=""/>
          </v:shape>
          <o:OLEObject Type="Embed" ProgID="Equation.3" ShapeID="_x0000_i1087" DrawAspect="Content" ObjectID="_1501062658" r:id="rId138"/>
        </w:object>
      </w:r>
      <w:r w:rsidRPr="00297B30">
        <w:rPr>
          <w:rFonts w:eastAsiaTheme="minorEastAsia"/>
          <w:lang w:val="es-ES_tradnl"/>
        </w:rPr>
        <w:tab/>
        <w:t>(23)</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donde </w:t>
      </w:r>
      <w:r w:rsidRPr="00297B30">
        <w:rPr>
          <w:rFonts w:eastAsiaTheme="minorEastAsia"/>
          <w:i/>
          <w:iCs/>
          <w:szCs w:val="24"/>
          <w:lang w:val="es-ES_tradnl"/>
        </w:rPr>
        <w:t>C</w:t>
      </w:r>
      <w:r w:rsidRPr="00297B30">
        <w:rPr>
          <w:rFonts w:eastAsiaTheme="minorEastAsia"/>
          <w:szCs w:val="24"/>
          <w:vertAlign w:val="subscript"/>
          <w:lang w:val="es-ES_tradnl"/>
        </w:rPr>
        <w:t>2</w:t>
      </w:r>
      <w:r w:rsidRPr="00297B30">
        <w:rPr>
          <w:rFonts w:eastAsiaTheme="minorEastAsia"/>
          <w:szCs w:val="24"/>
          <w:lang w:val="es-ES_tradnl"/>
        </w:rPr>
        <w:t xml:space="preserve"> es el nivel de la potencia procedente de una de las otras dos radiobalizas recibidas simultáneamente por el GLONASS SARR y B es la anchura de banda del receptor GLONASS.</w:t>
      </w:r>
    </w:p>
    <w:p w:rsidR="00543337" w:rsidRPr="00297B30" w:rsidRDefault="00543337" w:rsidP="00543337">
      <w:pPr>
        <w:keepNext/>
        <w:keepLines/>
        <w:rPr>
          <w:rFonts w:eastAsiaTheme="minorEastAsia"/>
          <w:szCs w:val="24"/>
          <w:lang w:val="es-ES_tradnl"/>
        </w:rPr>
      </w:pPr>
      <w:r w:rsidRPr="00297B30">
        <w:rPr>
          <w:rFonts w:eastAsiaTheme="minorEastAsia"/>
          <w:szCs w:val="24"/>
          <w:lang w:val="es-ES_tradnl"/>
        </w:rPr>
        <w:t xml:space="preserve">Sustituyendo la ecuación (23) en la ecuación (22), sustituyendo a continuación las ecuaciones (21) y (22) en la ecuación (20) y resolviendo para </w:t>
      </w:r>
      <w:r w:rsidRPr="00297B30">
        <w:rPr>
          <w:rFonts w:eastAsiaTheme="minorEastAsia"/>
          <w:i/>
          <w:iCs/>
          <w:szCs w:val="24"/>
          <w:lang w:val="es-ES_tradnl"/>
        </w:rPr>
        <w:t>I</w:t>
      </w:r>
      <w:r w:rsidRPr="00297B30">
        <w:rPr>
          <w:rFonts w:eastAsiaTheme="minorEastAsia"/>
          <w:szCs w:val="24"/>
          <w:vertAlign w:val="subscript"/>
          <w:lang w:val="es-ES_tradnl"/>
        </w:rPr>
        <w:t>0</w:t>
      </w:r>
      <w:r w:rsidRPr="00297B30">
        <w:rPr>
          <w:rFonts w:eastAsiaTheme="minorEastAsia"/>
          <w:szCs w:val="24"/>
          <w:lang w:val="es-ES_tradnl"/>
        </w:rPr>
        <w:t xml:space="preserve"> se obtiene:</w:t>
      </w:r>
    </w:p>
    <w:p w:rsidR="00543337" w:rsidRPr="00297B30" w:rsidRDefault="00543337" w:rsidP="00543337">
      <w:pPr>
        <w:pStyle w:val="Equation"/>
        <w:rPr>
          <w:rFonts w:eastAsiaTheme="minorEastAsia"/>
          <w:lang w:val="es-ES_tradnl"/>
        </w:rPr>
      </w:pPr>
      <w:r w:rsidRPr="00297B30">
        <w:rPr>
          <w:rFonts w:eastAsiaTheme="minorEastAsia"/>
          <w:lang w:val="es-ES_tradnl"/>
        </w:rPr>
        <w:tab/>
      </w:r>
      <w:r w:rsidRPr="00297B30">
        <w:rPr>
          <w:rFonts w:eastAsiaTheme="minorEastAsia"/>
          <w:position w:val="-12"/>
          <w:lang w:val="es-ES_tradnl"/>
        </w:rPr>
        <w:object w:dxaOrig="7560" w:dyaOrig="420">
          <v:shape id="_x0000_i1088" type="#_x0000_t75" style="width:378.35pt;height:21.05pt" o:ole="">
            <v:imagedata r:id="rId139" o:title=""/>
          </v:shape>
          <o:OLEObject Type="Embed" ProgID="Equation.3" ShapeID="_x0000_i1088" DrawAspect="Content" ObjectID="_1501062659" r:id="rId140"/>
        </w:object>
      </w:r>
      <w:r w:rsidRPr="00297B30">
        <w:rPr>
          <w:rFonts w:eastAsiaTheme="minorEastAsia"/>
          <w:lang w:val="es-ES_tradnl"/>
        </w:rPr>
        <w:tab/>
        <w:t>(24)</w:t>
      </w:r>
    </w:p>
    <w:p w:rsidR="00543337" w:rsidRPr="00297B30" w:rsidRDefault="00543337" w:rsidP="00543337">
      <w:pPr>
        <w:rPr>
          <w:rFonts w:eastAsiaTheme="minorEastAsia"/>
          <w:szCs w:val="24"/>
          <w:lang w:val="es-ES_tradnl" w:eastAsia="ru-RU"/>
        </w:rPr>
      </w:pPr>
      <w:r w:rsidRPr="00297B30">
        <w:rPr>
          <w:rFonts w:eastAsiaTheme="minorEastAsia"/>
          <w:i/>
          <w:iCs/>
          <w:szCs w:val="24"/>
          <w:lang w:val="es-ES_tradnl" w:eastAsia="ru-RU"/>
        </w:rPr>
        <w:lastRenderedPageBreak/>
        <w:t>C</w:t>
      </w:r>
      <w:r w:rsidRPr="00297B30">
        <w:rPr>
          <w:rFonts w:eastAsiaTheme="minorEastAsia"/>
          <w:szCs w:val="24"/>
          <w:vertAlign w:val="subscript"/>
          <w:lang w:val="es-ES_tradnl" w:eastAsia="ru-RU"/>
        </w:rPr>
        <w:t>2</w:t>
      </w:r>
      <w:r w:rsidRPr="00297B30">
        <w:rPr>
          <w:rFonts w:eastAsiaTheme="minorEastAsia"/>
          <w:szCs w:val="24"/>
          <w:lang w:val="es-ES_tradnl"/>
        </w:rPr>
        <w:t xml:space="preserve"> es </w:t>
      </w:r>
      <w:r>
        <w:rPr>
          <w:rFonts w:eastAsiaTheme="minorEastAsia"/>
          <w:szCs w:val="24"/>
          <w:lang w:val="es-ES_tradnl"/>
        </w:rPr>
        <w:t>–</w:t>
      </w:r>
      <w:r w:rsidRPr="00297B30">
        <w:rPr>
          <w:rFonts w:eastAsiaTheme="minorEastAsia"/>
          <w:szCs w:val="24"/>
          <w:lang w:val="es-ES_tradnl"/>
        </w:rPr>
        <w:t>158,5 </w:t>
      </w:r>
      <w:proofErr w:type="spellStart"/>
      <w:r w:rsidRPr="00297B30">
        <w:rPr>
          <w:rFonts w:eastAsiaTheme="minorEastAsia"/>
          <w:szCs w:val="24"/>
          <w:lang w:val="es-ES_tradnl"/>
        </w:rPr>
        <w:t>dBW</w:t>
      </w:r>
      <w:proofErr w:type="spellEnd"/>
      <w:r w:rsidRPr="00297B30">
        <w:rPr>
          <w:rFonts w:eastAsiaTheme="minorEastAsia"/>
          <w:szCs w:val="24"/>
          <w:lang w:val="es-ES_tradnl"/>
        </w:rPr>
        <w:t xml:space="preserve">, </w:t>
      </w:r>
      <w:r w:rsidRPr="00297B30">
        <w:rPr>
          <w:rFonts w:eastAsiaTheme="minorEastAsia"/>
          <w:i/>
          <w:iCs/>
          <w:szCs w:val="24"/>
          <w:lang w:val="es-ES_tradnl"/>
        </w:rPr>
        <w:t>B</w:t>
      </w:r>
      <w:r w:rsidRPr="00297B30">
        <w:rPr>
          <w:rFonts w:eastAsiaTheme="minorEastAsia"/>
          <w:szCs w:val="24"/>
          <w:lang w:val="es-ES_tradnl"/>
        </w:rPr>
        <w:t xml:space="preserve"> es 80 kHz, (</w:t>
      </w:r>
      <w:r w:rsidRPr="00297B30">
        <w:rPr>
          <w:rFonts w:eastAsiaTheme="minorEastAsia"/>
          <w:i/>
          <w:iCs/>
          <w:szCs w:val="24"/>
          <w:lang w:val="es-ES_tradnl" w:eastAsia="ru-RU"/>
        </w:rPr>
        <w:t>C</w:t>
      </w:r>
      <w:r w:rsidRPr="00297B30">
        <w:rPr>
          <w:rFonts w:eastAsiaTheme="minorEastAsia"/>
          <w:szCs w:val="24"/>
          <w:lang w:val="es-ES_tradnl" w:eastAsia="ru-RU"/>
        </w:rPr>
        <w:t>/</w:t>
      </w:r>
      <w:r w:rsidRPr="00297B30">
        <w:rPr>
          <w:rFonts w:eastAsiaTheme="minorEastAsia"/>
          <w:i/>
          <w:iCs/>
          <w:szCs w:val="24"/>
          <w:lang w:val="es-ES_tradnl" w:eastAsia="ru-RU"/>
        </w:rPr>
        <w:t>N</w:t>
      </w:r>
      <w:r w:rsidRPr="00297B30">
        <w:rPr>
          <w:rFonts w:eastAsiaTheme="minorEastAsia"/>
          <w:szCs w:val="24"/>
          <w:vertAlign w:val="subscript"/>
          <w:lang w:val="es-ES_tradnl" w:eastAsia="ru-RU"/>
        </w:rPr>
        <w:t>0</w:t>
      </w:r>
      <w:r w:rsidRPr="00297B30">
        <w:rPr>
          <w:rFonts w:eastAsiaTheme="minorEastAsia"/>
          <w:szCs w:val="24"/>
          <w:lang w:val="es-ES_tradnl" w:eastAsia="ru-RU"/>
        </w:rPr>
        <w:t>)</w:t>
      </w:r>
      <w:r w:rsidRPr="00297B30">
        <w:rPr>
          <w:rFonts w:eastAsiaTheme="minorEastAsia"/>
          <w:i/>
          <w:iCs/>
          <w:szCs w:val="24"/>
          <w:vertAlign w:val="subscript"/>
          <w:lang w:val="es-ES_tradnl" w:eastAsia="ru-RU"/>
        </w:rPr>
        <w:t xml:space="preserve">OI </w:t>
      </w:r>
      <w:r w:rsidRPr="00297B30">
        <w:rPr>
          <w:rFonts w:eastAsiaTheme="minorEastAsia"/>
          <w:szCs w:val="24"/>
          <w:lang w:val="es-ES_tradnl" w:eastAsia="ru-RU"/>
        </w:rPr>
        <w:t xml:space="preserve">es 34,8 dB(Hz), </w:t>
      </w:r>
      <w:r w:rsidRPr="00297B30">
        <w:rPr>
          <w:rFonts w:eastAsiaTheme="minorEastAsia"/>
          <w:i/>
          <w:iCs/>
          <w:szCs w:val="24"/>
          <w:lang w:val="es-ES_tradnl" w:eastAsia="ru-RU"/>
        </w:rPr>
        <w:t>C</w:t>
      </w:r>
      <w:r w:rsidRPr="00297B30">
        <w:rPr>
          <w:rFonts w:eastAsiaTheme="minorEastAsia"/>
          <w:szCs w:val="24"/>
          <w:vertAlign w:val="subscript"/>
          <w:lang w:val="es-ES_tradnl"/>
        </w:rPr>
        <w:sym w:font="Symbol" w:char="F0AD"/>
      </w:r>
      <w:r w:rsidRPr="00297B30">
        <w:rPr>
          <w:rFonts w:eastAsiaTheme="minorEastAsia"/>
          <w:szCs w:val="24"/>
          <w:vertAlign w:val="subscript"/>
          <w:lang w:val="es-ES_tradnl"/>
        </w:rPr>
        <w:t xml:space="preserve"> </w:t>
      </w:r>
      <w:r w:rsidRPr="00297B30">
        <w:rPr>
          <w:rFonts w:eastAsiaTheme="minorEastAsia"/>
          <w:szCs w:val="24"/>
          <w:lang w:val="es-ES_tradnl" w:eastAsia="ru-RU"/>
        </w:rPr>
        <w:t xml:space="preserve">es </w:t>
      </w:r>
      <w:r>
        <w:rPr>
          <w:rFonts w:eastAsiaTheme="minorEastAsia"/>
          <w:szCs w:val="24"/>
          <w:lang w:val="es-ES_tradnl" w:eastAsia="ru-RU"/>
        </w:rPr>
        <w:t>–</w:t>
      </w:r>
      <w:r w:rsidRPr="00297B30">
        <w:rPr>
          <w:rFonts w:eastAsiaTheme="minorEastAsia"/>
          <w:szCs w:val="24"/>
          <w:lang w:val="es-ES_tradnl" w:eastAsia="ru-RU"/>
        </w:rPr>
        <w:t>164,3 </w:t>
      </w:r>
      <w:proofErr w:type="spellStart"/>
      <w:r w:rsidRPr="00297B30">
        <w:rPr>
          <w:rFonts w:eastAsiaTheme="minorEastAsia"/>
          <w:szCs w:val="24"/>
          <w:lang w:val="es-ES_tradnl" w:eastAsia="ru-RU"/>
        </w:rPr>
        <w:t>dBW</w:t>
      </w:r>
      <w:proofErr w:type="spellEnd"/>
      <w:r w:rsidRPr="00297B30">
        <w:rPr>
          <w:rFonts w:eastAsiaTheme="minorEastAsia"/>
          <w:szCs w:val="24"/>
          <w:lang w:val="es-ES_tradnl" w:eastAsia="ru-RU"/>
        </w:rPr>
        <w:t>, (</w:t>
      </w:r>
      <w:r w:rsidRPr="00297B30">
        <w:rPr>
          <w:rFonts w:eastAsiaTheme="minorEastAsia"/>
          <w:i/>
          <w:iCs/>
          <w:szCs w:val="24"/>
          <w:lang w:val="es-ES_tradnl" w:eastAsia="ru-RU"/>
        </w:rPr>
        <w:t>C</w:t>
      </w:r>
      <w:r w:rsidRPr="00297B30">
        <w:rPr>
          <w:rFonts w:eastAsiaTheme="minorEastAsia"/>
          <w:szCs w:val="24"/>
          <w:lang w:val="es-ES_tradnl" w:eastAsia="ru-RU"/>
        </w:rPr>
        <w:t>/</w:t>
      </w:r>
      <w:r w:rsidRPr="00297B30">
        <w:rPr>
          <w:rFonts w:eastAsiaTheme="minorEastAsia"/>
          <w:i/>
          <w:iCs/>
          <w:szCs w:val="24"/>
          <w:lang w:val="es-ES_tradnl" w:eastAsia="ru-RU"/>
        </w:rPr>
        <w:t>N</w:t>
      </w:r>
      <w:r w:rsidRPr="00297B30">
        <w:rPr>
          <w:rFonts w:eastAsiaTheme="minorEastAsia"/>
          <w:szCs w:val="24"/>
          <w:vertAlign w:val="subscript"/>
          <w:lang w:val="es-ES_tradnl" w:eastAsia="ru-RU"/>
        </w:rPr>
        <w:t>0</w:t>
      </w:r>
      <w:r w:rsidRPr="00297B30">
        <w:rPr>
          <w:rFonts w:eastAsiaTheme="minorEastAsia"/>
          <w:szCs w:val="24"/>
          <w:lang w:val="es-ES_tradnl" w:eastAsia="ru-RU"/>
        </w:rPr>
        <w:t>)</w:t>
      </w:r>
      <w:r w:rsidRPr="00297B30">
        <w:rPr>
          <w:rFonts w:eastAsiaTheme="minorEastAsia"/>
          <w:szCs w:val="24"/>
          <w:vertAlign w:val="subscript"/>
          <w:lang w:val="es-ES_tradnl"/>
        </w:rPr>
        <w:sym w:font="Symbol" w:char="F0AF"/>
      </w:r>
      <w:r w:rsidRPr="00297B30">
        <w:rPr>
          <w:rFonts w:eastAsiaTheme="minorEastAsia"/>
          <w:szCs w:val="24"/>
          <w:lang w:val="es-ES_tradnl" w:eastAsia="ru-RU"/>
        </w:rPr>
        <w:t xml:space="preserve"> es 47,6 dB(Hz), </w:t>
      </w:r>
      <w:r w:rsidRPr="00297B30">
        <w:rPr>
          <w:rFonts w:eastAsiaTheme="minorEastAsia"/>
          <w:i/>
          <w:iCs/>
          <w:szCs w:val="24"/>
          <w:lang w:val="es-ES_tradnl" w:eastAsia="ru-RU"/>
        </w:rPr>
        <w:t>N</w:t>
      </w:r>
      <w:r w:rsidRPr="00297B30">
        <w:rPr>
          <w:rFonts w:eastAsiaTheme="minorEastAsia"/>
          <w:szCs w:val="24"/>
          <w:vertAlign w:val="subscript"/>
          <w:lang w:val="es-ES_tradnl" w:eastAsia="ru-RU"/>
        </w:rPr>
        <w:t>0</w:t>
      </w:r>
      <w:r w:rsidRPr="00297B30">
        <w:rPr>
          <w:rFonts w:eastAsiaTheme="minorEastAsia"/>
          <w:szCs w:val="24"/>
          <w:vertAlign w:val="subscript"/>
          <w:lang w:val="es-ES_tradnl"/>
        </w:rPr>
        <w:sym w:font="Symbol" w:char="F0AD"/>
      </w:r>
      <w:r w:rsidRPr="00297B30">
        <w:rPr>
          <w:rFonts w:eastAsiaTheme="minorEastAsia"/>
          <w:szCs w:val="24"/>
          <w:lang w:val="es-ES_tradnl"/>
        </w:rPr>
        <w:t> </w:t>
      </w:r>
      <w:r w:rsidRPr="00297B30">
        <w:rPr>
          <w:rFonts w:eastAsiaTheme="minorEastAsia"/>
          <w:szCs w:val="24"/>
          <w:lang w:val="es-ES_tradnl" w:eastAsia="ru-RU"/>
        </w:rPr>
        <w:t>= </w:t>
      </w:r>
      <w:r>
        <w:rPr>
          <w:rFonts w:eastAsiaTheme="minorEastAsia"/>
          <w:szCs w:val="24"/>
          <w:lang w:val="es-ES_tradnl" w:eastAsia="ru-RU"/>
        </w:rPr>
        <w:t>–</w:t>
      </w:r>
      <w:r w:rsidRPr="00297B30">
        <w:rPr>
          <w:rFonts w:eastAsiaTheme="minorEastAsia"/>
          <w:szCs w:val="24"/>
          <w:lang w:val="es-ES_tradnl" w:eastAsia="ru-RU"/>
        </w:rPr>
        <w:t xml:space="preserve">200,2 dB(W/Hz), </w:t>
      </w:r>
      <w:proofErr w:type="spellStart"/>
      <w:r w:rsidRPr="00297B30">
        <w:rPr>
          <w:rFonts w:eastAsiaTheme="minorEastAsia"/>
          <w:i/>
          <w:iCs/>
          <w:szCs w:val="24"/>
          <w:lang w:val="es-ES_tradnl" w:eastAsia="ru-RU"/>
        </w:rPr>
        <w:t>Lps</w:t>
      </w:r>
      <w:proofErr w:type="spellEnd"/>
      <w:r w:rsidRPr="00297B30">
        <w:rPr>
          <w:rFonts w:eastAsiaTheme="minorEastAsia"/>
          <w:szCs w:val="24"/>
          <w:lang w:val="es-ES_tradnl" w:eastAsia="ru-RU"/>
        </w:rPr>
        <w:t xml:space="preserve"> es </w:t>
      </w:r>
      <w:r>
        <w:rPr>
          <w:rFonts w:eastAsiaTheme="minorEastAsia"/>
          <w:szCs w:val="24"/>
          <w:lang w:val="es-ES_tradnl" w:eastAsia="ru-RU"/>
        </w:rPr>
        <w:t>–</w:t>
      </w:r>
      <w:r w:rsidRPr="00297B30">
        <w:rPr>
          <w:rFonts w:eastAsiaTheme="minorEastAsia"/>
          <w:szCs w:val="24"/>
          <w:lang w:val="es-ES_tradnl" w:eastAsia="ru-RU"/>
        </w:rPr>
        <w:t>14,7 dB, y (</w:t>
      </w:r>
      <w:r w:rsidRPr="00297B30">
        <w:rPr>
          <w:rFonts w:eastAsiaTheme="minorEastAsia"/>
          <w:i/>
          <w:iCs/>
          <w:szCs w:val="24"/>
          <w:lang w:val="es-ES_tradnl" w:eastAsia="ru-RU"/>
        </w:rPr>
        <w:t>C</w:t>
      </w:r>
      <w:r w:rsidRPr="00297B30">
        <w:rPr>
          <w:rFonts w:eastAsiaTheme="minorEastAsia"/>
          <w:szCs w:val="24"/>
          <w:lang w:val="es-ES_tradnl" w:eastAsia="ru-RU"/>
        </w:rPr>
        <w:t>/</w:t>
      </w:r>
      <w:r w:rsidRPr="00297B30">
        <w:rPr>
          <w:rFonts w:eastAsiaTheme="minorEastAsia"/>
          <w:i/>
          <w:iCs/>
          <w:szCs w:val="24"/>
          <w:lang w:val="es-ES_tradnl" w:eastAsia="ru-RU"/>
        </w:rPr>
        <w:t>N</w:t>
      </w:r>
      <w:r w:rsidRPr="00297B30">
        <w:rPr>
          <w:rFonts w:eastAsiaTheme="minorEastAsia"/>
          <w:szCs w:val="24"/>
          <w:lang w:val="es-ES_tradnl" w:eastAsia="ru-RU"/>
        </w:rPr>
        <w:t>)</w:t>
      </w:r>
      <w:r w:rsidRPr="00297B30">
        <w:rPr>
          <w:rFonts w:eastAsiaTheme="minorEastAsia"/>
          <w:szCs w:val="24"/>
          <w:vertAlign w:val="subscript"/>
          <w:lang w:val="es-ES_tradnl"/>
        </w:rPr>
        <w:sym w:font="Symbol" w:char="F0AF"/>
      </w:r>
      <w:r w:rsidRPr="00297B30">
        <w:rPr>
          <w:rFonts w:eastAsiaTheme="minorEastAsia"/>
          <w:szCs w:val="24"/>
          <w:lang w:val="es-ES_tradnl" w:eastAsia="ru-RU"/>
        </w:rPr>
        <w:t xml:space="preserve"> es 47,6 dB(Hz) menos 10 log(80k) o </w:t>
      </w:r>
      <w:r>
        <w:rPr>
          <w:rFonts w:eastAsiaTheme="minorEastAsia"/>
          <w:szCs w:val="24"/>
          <w:lang w:val="es-ES_tradnl" w:eastAsia="ru-RU"/>
        </w:rPr>
        <w:t>–</w:t>
      </w:r>
      <w:r w:rsidRPr="00297B30">
        <w:rPr>
          <w:rFonts w:eastAsiaTheme="minorEastAsia"/>
          <w:szCs w:val="24"/>
          <w:lang w:val="es-ES_tradnl" w:eastAsia="ru-RU"/>
        </w:rPr>
        <w:t>1,4 dB. Entrando con estos valores en la ecuación (24) se obtiene:</w:t>
      </w:r>
    </w:p>
    <w:p w:rsidR="00543337" w:rsidRPr="00297B30" w:rsidRDefault="00543337" w:rsidP="00543337">
      <w:pPr>
        <w:pStyle w:val="Equation"/>
        <w:jc w:val="left"/>
        <w:rPr>
          <w:rFonts w:eastAsiaTheme="minorEastAsia"/>
          <w:lang w:val="es-ES_tradnl" w:eastAsia="ru-RU"/>
        </w:rPr>
      </w:pPr>
      <w:r w:rsidRPr="00297B30">
        <w:rPr>
          <w:rFonts w:eastAsiaTheme="minorEastAsia"/>
          <w:lang w:val="es-ES_tradnl"/>
        </w:rPr>
        <w:tab/>
      </w:r>
      <w:r w:rsidRPr="00297B30">
        <w:rPr>
          <w:rFonts w:eastAsiaTheme="minorEastAsia"/>
          <w:lang w:val="es-ES_tradnl"/>
        </w:rPr>
        <w:tab/>
      </w:r>
      <w:r w:rsidRPr="00297B30">
        <w:rPr>
          <w:rFonts w:eastAsiaTheme="minorEastAsia"/>
          <w:i/>
          <w:iCs/>
          <w:lang w:val="es-ES_tradnl"/>
        </w:rPr>
        <w:t>I</w:t>
      </w:r>
      <w:r w:rsidRPr="00297B30">
        <w:rPr>
          <w:rFonts w:eastAsiaTheme="minorEastAsia"/>
          <w:vertAlign w:val="subscript"/>
          <w:lang w:val="es-ES_tradnl"/>
        </w:rPr>
        <w:t>0</w:t>
      </w:r>
      <w:r w:rsidRPr="00297B30">
        <w:rPr>
          <w:rFonts w:eastAsiaTheme="minorEastAsia"/>
          <w:lang w:val="es-ES_tradnl"/>
        </w:rPr>
        <w:t> </w:t>
      </w:r>
      <w:r w:rsidRPr="00297B30">
        <w:rPr>
          <w:rFonts w:eastAsiaTheme="minorEastAsia"/>
          <w:lang w:val="es-ES_tradnl" w:eastAsia="ru-RU"/>
        </w:rPr>
        <w:t>= (10</w:t>
      </w:r>
      <w:r w:rsidRPr="00297B30">
        <w:rPr>
          <w:rFonts w:eastAsiaTheme="minorEastAsia"/>
          <w:vertAlign w:val="superscript"/>
          <w:lang w:val="es-ES_tradnl" w:eastAsia="ru-RU"/>
        </w:rPr>
        <w:t>−164,3/10</w:t>
      </w:r>
      <w:r w:rsidRPr="00297B30">
        <w:rPr>
          <w:rFonts w:eastAsiaTheme="minorEastAsia"/>
          <w:lang w:val="es-ES_tradnl" w:eastAsia="ru-RU"/>
        </w:rPr>
        <w:t xml:space="preserve"> (10</w:t>
      </w:r>
      <w:r w:rsidRPr="00297B30">
        <w:rPr>
          <w:rFonts w:eastAsiaTheme="minorEastAsia"/>
          <w:vertAlign w:val="superscript"/>
          <w:lang w:val="es-ES_tradnl" w:eastAsia="ru-RU"/>
        </w:rPr>
        <w:t>−34,8/10</w:t>
      </w:r>
      <w:r w:rsidRPr="00297B30">
        <w:rPr>
          <w:rFonts w:eastAsiaTheme="minorEastAsia"/>
          <w:lang w:val="es-ES_tradnl" w:eastAsia="ru-RU"/>
        </w:rPr>
        <w:t xml:space="preserve"> − 10</w:t>
      </w:r>
      <w:r w:rsidRPr="00297B30">
        <w:rPr>
          <w:rFonts w:eastAsiaTheme="minorEastAsia"/>
          <w:vertAlign w:val="superscript"/>
          <w:lang w:val="es-ES_tradnl" w:eastAsia="ru-RU"/>
        </w:rPr>
        <w:t>−47,6/10</w:t>
      </w:r>
      <w:r w:rsidRPr="00297B30">
        <w:rPr>
          <w:rFonts w:eastAsiaTheme="minorEastAsia"/>
          <w:lang w:val="es-ES_tradnl" w:eastAsia="ru-RU"/>
        </w:rPr>
        <w:t>) − 10</w:t>
      </w:r>
      <w:r w:rsidRPr="00297B30">
        <w:rPr>
          <w:rFonts w:eastAsiaTheme="minorEastAsia"/>
          <w:vertAlign w:val="superscript"/>
          <w:lang w:val="es-ES_tradnl" w:eastAsia="ru-RU"/>
        </w:rPr>
        <w:t>−200,2/10</w:t>
      </w:r>
      <w:r w:rsidRPr="00297B30">
        <w:rPr>
          <w:rFonts w:eastAsiaTheme="minorEastAsia"/>
          <w:lang w:val="es-ES_tradnl" w:eastAsia="ru-RU"/>
        </w:rPr>
        <w:t>) / (1 + 10</w:t>
      </w:r>
      <w:r w:rsidRPr="00297B30">
        <w:rPr>
          <w:rFonts w:eastAsiaTheme="minorEastAsia"/>
          <w:vertAlign w:val="superscript"/>
          <w:lang w:val="es-ES_tradnl" w:eastAsia="ru-RU"/>
        </w:rPr>
        <w:t>−14,7/10</w:t>
      </w:r>
      <w:r w:rsidRPr="00297B30">
        <w:rPr>
          <w:rFonts w:eastAsiaTheme="minorEastAsia"/>
          <w:lang w:val="es-ES_tradnl" w:eastAsia="ru-RU"/>
        </w:rPr>
        <w:t xml:space="preserve"> × 10</w:t>
      </w:r>
      <w:r w:rsidRPr="00297B30">
        <w:rPr>
          <w:rFonts w:eastAsiaTheme="minorEastAsia"/>
          <w:vertAlign w:val="superscript"/>
          <w:lang w:val="es-ES_tradnl" w:eastAsia="ru-RU"/>
        </w:rPr>
        <w:t>1,4/10</w:t>
      </w:r>
      <w:r w:rsidRPr="00297B30">
        <w:rPr>
          <w:rFonts w:eastAsiaTheme="minorEastAsia"/>
          <w:lang w:val="es-ES_tradnl" w:eastAsia="ru-RU"/>
        </w:rPr>
        <w:t>)</w:t>
      </w:r>
    </w:p>
    <w:p w:rsidR="00543337" w:rsidRPr="00297B30" w:rsidRDefault="00543337" w:rsidP="00543337">
      <w:pPr>
        <w:pStyle w:val="Equation"/>
        <w:rPr>
          <w:rFonts w:eastAsiaTheme="minorEastAsia"/>
          <w:lang w:val="es-ES_tradnl" w:eastAsia="ru-RU"/>
        </w:rPr>
      </w:pPr>
      <w:r w:rsidRPr="00297B30">
        <w:rPr>
          <w:rFonts w:eastAsiaTheme="minorEastAsia"/>
          <w:i/>
          <w:iCs/>
          <w:lang w:val="es-ES_tradnl"/>
        </w:rPr>
        <w:tab/>
      </w:r>
      <w:r w:rsidRPr="00297B30">
        <w:rPr>
          <w:rFonts w:eastAsiaTheme="minorEastAsia"/>
          <w:i/>
          <w:iCs/>
          <w:lang w:val="es-ES_tradnl"/>
        </w:rPr>
        <w:tab/>
        <w:t>I</w:t>
      </w:r>
      <w:r w:rsidRPr="00297B30">
        <w:rPr>
          <w:rFonts w:eastAsiaTheme="minorEastAsia"/>
          <w:vertAlign w:val="subscript"/>
          <w:lang w:val="es-ES_tradnl"/>
        </w:rPr>
        <w:t>0</w:t>
      </w:r>
      <w:r w:rsidRPr="00297B30">
        <w:rPr>
          <w:rFonts w:eastAsiaTheme="minorEastAsia"/>
          <w:lang w:val="es-ES_tradnl" w:eastAsia="ru-RU"/>
        </w:rPr>
        <w:t xml:space="preserve"> = −207,3 dB(W/Hz)</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Es conveniente caracterizar los criterios de protección en términos del umbral de interferencia de la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de la interferencia especificada en dB(W/(m</w:t>
      </w:r>
      <w:r w:rsidRPr="00297B30">
        <w:rPr>
          <w:rFonts w:eastAsiaTheme="minorEastAsia"/>
          <w:szCs w:val="24"/>
          <w:vertAlign w:val="superscript"/>
          <w:lang w:val="es-ES_tradnl"/>
        </w:rPr>
        <w:t>2</w:t>
      </w:r>
      <w:r w:rsidRPr="00297B30">
        <w:rPr>
          <w:rFonts w:eastAsiaTheme="minorEastAsia"/>
          <w:szCs w:val="24"/>
          <w:lang w:val="es-ES_tradnl"/>
        </w:rPr>
        <w:t xml:space="preserve"> ∙ Hz)) a la entrada de la antena receptora del satélite de 406 MHz. La apertura efectiva de una antena, </w:t>
      </w:r>
      <w:proofErr w:type="spellStart"/>
      <w:r w:rsidRPr="00297B30">
        <w:rPr>
          <w:rFonts w:eastAsiaTheme="minorEastAsia"/>
          <w:i/>
          <w:iCs/>
          <w:szCs w:val="24"/>
          <w:lang w:val="es-ES_tradnl"/>
        </w:rPr>
        <w:t>A</w:t>
      </w:r>
      <w:r w:rsidRPr="00297B30">
        <w:rPr>
          <w:rFonts w:eastAsiaTheme="minorEastAsia"/>
          <w:i/>
          <w:iCs/>
          <w:szCs w:val="24"/>
          <w:vertAlign w:val="subscript"/>
          <w:lang w:val="es-ES_tradnl"/>
        </w:rPr>
        <w:t>e</w:t>
      </w:r>
      <w:proofErr w:type="spellEnd"/>
      <w:r w:rsidRPr="00297B30">
        <w:rPr>
          <w:rFonts w:eastAsiaTheme="minorEastAsia"/>
          <w:szCs w:val="24"/>
          <w:lang w:val="es-ES_tradnl"/>
        </w:rPr>
        <w:t xml:space="preserve">, de ganancia </w:t>
      </w:r>
      <w:r w:rsidRPr="00297B30">
        <w:rPr>
          <w:rFonts w:eastAsiaTheme="minorEastAsia"/>
          <w:i/>
          <w:iCs/>
          <w:szCs w:val="24"/>
          <w:lang w:val="es-ES_tradnl"/>
        </w:rPr>
        <w:t>G</w:t>
      </w:r>
      <w:r w:rsidRPr="00297B30">
        <w:rPr>
          <w:rFonts w:eastAsiaTheme="minorEastAsia"/>
          <w:szCs w:val="24"/>
          <w:lang w:val="es-ES_tradnl"/>
        </w:rPr>
        <w:t xml:space="preserve"> es </w:t>
      </w:r>
      <w:proofErr w:type="spellStart"/>
      <w:r w:rsidRPr="00297B30">
        <w:rPr>
          <w:rFonts w:eastAsiaTheme="minorEastAsia"/>
          <w:i/>
          <w:iCs/>
          <w:szCs w:val="24"/>
          <w:lang w:val="es-ES_tradnl"/>
        </w:rPr>
        <w:t>A</w:t>
      </w:r>
      <w:r w:rsidRPr="00297B30">
        <w:rPr>
          <w:rFonts w:eastAsiaTheme="minorEastAsia"/>
          <w:i/>
          <w:iCs/>
          <w:szCs w:val="24"/>
          <w:vertAlign w:val="subscript"/>
          <w:lang w:val="es-ES_tradnl"/>
        </w:rPr>
        <w:t>e</w:t>
      </w:r>
      <w:proofErr w:type="spellEnd"/>
      <w:r w:rsidRPr="00297B30">
        <w:rPr>
          <w:rFonts w:eastAsiaTheme="minorEastAsia"/>
          <w:szCs w:val="24"/>
          <w:lang w:val="es-ES_tradnl"/>
        </w:rPr>
        <w:t> = </w:t>
      </w:r>
      <w:r w:rsidRPr="00297B30">
        <w:rPr>
          <w:rFonts w:eastAsiaTheme="minorEastAsia"/>
          <w:i/>
          <w:iCs/>
          <w:szCs w:val="24"/>
          <w:lang w:val="es-ES_tradnl"/>
        </w:rPr>
        <w:t>G</w:t>
      </w:r>
      <w:r w:rsidRPr="00297B30">
        <w:rPr>
          <w:rFonts w:eastAsiaTheme="minorEastAsia"/>
          <w:szCs w:val="24"/>
          <w:lang w:val="es-ES_tradnl"/>
        </w:rPr>
        <w:t> </w:t>
      </w:r>
      <w:r w:rsidRPr="00297B30">
        <w:rPr>
          <w:rFonts w:eastAsiaTheme="minorEastAsia"/>
          <w:szCs w:val="24"/>
          <w:lang w:val="es-ES_tradnl"/>
        </w:rPr>
        <w:sym w:font="Symbol" w:char="F06C"/>
      </w:r>
      <w:r w:rsidRPr="00297B30">
        <w:rPr>
          <w:rFonts w:eastAsiaTheme="minorEastAsia"/>
          <w:szCs w:val="24"/>
          <w:vertAlign w:val="superscript"/>
          <w:lang w:val="es-ES_tradnl"/>
        </w:rPr>
        <w:t>2</w:t>
      </w:r>
      <w:r w:rsidRPr="00297B30">
        <w:rPr>
          <w:rFonts w:eastAsiaTheme="minorEastAsia"/>
          <w:szCs w:val="24"/>
          <w:lang w:val="es-ES_tradnl"/>
        </w:rPr>
        <w:t>/4</w:t>
      </w:r>
      <w:r w:rsidRPr="00297B30">
        <w:rPr>
          <w:rFonts w:eastAsiaTheme="minorEastAsia"/>
          <w:szCs w:val="24"/>
          <w:lang w:val="es-ES_tradnl"/>
        </w:rPr>
        <w:sym w:font="Symbol" w:char="F070"/>
      </w:r>
      <w:r w:rsidRPr="00297B30">
        <w:rPr>
          <w:rFonts w:ascii="Arial" w:eastAsiaTheme="minorEastAsia" w:hAnsi="Arial" w:cs="Arial"/>
          <w:szCs w:val="24"/>
          <w:lang w:val="es-ES_tradnl"/>
        </w:rPr>
        <w:t xml:space="preserve">. </w:t>
      </w:r>
      <w:r w:rsidRPr="00297B30">
        <w:rPr>
          <w:rFonts w:eastAsiaTheme="minorEastAsia"/>
          <w:szCs w:val="24"/>
          <w:lang w:val="es-ES_tradnl"/>
        </w:rPr>
        <w:t>Para una antena receptora GLONASS con una ganancia de 11,5 </w:t>
      </w:r>
      <w:proofErr w:type="spellStart"/>
      <w:r w:rsidRPr="00297B30">
        <w:rPr>
          <w:rFonts w:eastAsiaTheme="minorEastAsia"/>
          <w:szCs w:val="24"/>
          <w:lang w:val="es-ES_tradnl"/>
        </w:rPr>
        <w:t>dBi</w:t>
      </w:r>
      <w:proofErr w:type="spellEnd"/>
      <w:r w:rsidRPr="00297B30">
        <w:rPr>
          <w:rFonts w:eastAsiaTheme="minorEastAsia"/>
          <w:szCs w:val="24"/>
          <w:lang w:val="es-ES_tradnl"/>
        </w:rPr>
        <w:t>, la apertura efectiva es 0,61 m</w:t>
      </w:r>
      <w:r w:rsidRPr="00297B30">
        <w:rPr>
          <w:rFonts w:eastAsiaTheme="minorEastAsia"/>
          <w:szCs w:val="24"/>
          <w:vertAlign w:val="superscript"/>
          <w:lang w:val="es-ES_tradnl"/>
        </w:rPr>
        <w:t>2</w:t>
      </w:r>
      <w:r w:rsidRPr="00297B30">
        <w:rPr>
          <w:rFonts w:eastAsiaTheme="minorEastAsia"/>
          <w:szCs w:val="24"/>
          <w:lang w:val="es-ES_tradnl"/>
        </w:rPr>
        <w:t xml:space="preserve">. Por lo tanto, la máxima interferencia combinada aceptable especificada como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es:</w:t>
      </w:r>
    </w:p>
    <w:p w:rsidR="00543337" w:rsidRPr="00297B30" w:rsidRDefault="00543337" w:rsidP="00543337">
      <w:pPr>
        <w:pStyle w:val="Equation"/>
        <w:jc w:val="left"/>
        <w:rPr>
          <w:rFonts w:eastAsiaTheme="minorEastAsia"/>
          <w:lang w:val="es-ES_tradnl"/>
        </w:rPr>
      </w:pPr>
      <w:r w:rsidRPr="00297B30">
        <w:rPr>
          <w:rFonts w:eastAsiaTheme="minorEastAsia"/>
          <w:lang w:val="es-ES_tradnl"/>
        </w:rPr>
        <w:tab/>
      </w:r>
      <w:r w:rsidRPr="00297B30">
        <w:rPr>
          <w:rFonts w:eastAsiaTheme="minorEastAsia"/>
          <w:lang w:val="es-ES_tradnl"/>
        </w:rPr>
        <w:tab/>
      </w:r>
      <w:r w:rsidRPr="00297B30">
        <w:rPr>
          <w:rFonts w:eastAsiaTheme="minorEastAsia"/>
          <w:position w:val="-12"/>
          <w:lang w:val="es-ES_tradnl"/>
        </w:rPr>
        <w:object w:dxaOrig="3040" w:dyaOrig="360">
          <v:shape id="_x0000_i1089" type="#_x0000_t75" style="width:149.45pt;height:18.35pt" o:ole="">
            <v:imagedata r:id="rId141" o:title=""/>
          </v:shape>
          <o:OLEObject Type="Embed" ProgID="Equation.3" ShapeID="_x0000_i1089" DrawAspect="Content" ObjectID="_1501062660" r:id="rId142"/>
        </w:objec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Suponiendo que </w:t>
      </w:r>
      <w:r w:rsidRPr="00297B30">
        <w:rPr>
          <w:rFonts w:eastAsiaTheme="minorEastAsia"/>
          <w:i/>
          <w:iCs/>
          <w:szCs w:val="24"/>
          <w:lang w:val="es-ES_tradnl"/>
        </w:rPr>
        <w:t>L</w:t>
      </w:r>
      <w:r w:rsidRPr="00297B30">
        <w:rPr>
          <w:rFonts w:eastAsiaTheme="minorEastAsia"/>
          <w:i/>
          <w:iCs/>
          <w:szCs w:val="24"/>
          <w:vertAlign w:val="subscript"/>
          <w:lang w:val="es-ES_tradnl"/>
        </w:rPr>
        <w:t>LÍNEA</w:t>
      </w:r>
      <w:r w:rsidRPr="00297B30">
        <w:rPr>
          <w:rFonts w:eastAsiaTheme="minorEastAsia"/>
          <w:szCs w:val="24"/>
          <w:lang w:val="es-ES_tradnl"/>
        </w:rPr>
        <w:t xml:space="preserve"> = 0:</w:t>
      </w:r>
    </w:p>
    <w:p w:rsidR="00543337" w:rsidRPr="00297B30" w:rsidRDefault="00543337" w:rsidP="00543337">
      <w:pPr>
        <w:pStyle w:val="Equation"/>
        <w:jc w:val="left"/>
        <w:rPr>
          <w:rFonts w:eastAsiaTheme="minorEastAsia"/>
          <w:lang w:val="es-ES_tradnl" w:eastAsia="zh-CN"/>
        </w:rPr>
      </w:pPr>
      <w:r w:rsidRPr="00297B30">
        <w:rPr>
          <w:rFonts w:eastAsiaTheme="minorEastAsia"/>
          <w:i/>
          <w:iCs/>
          <w:lang w:val="es-ES_tradnl" w:eastAsia="zh-CN"/>
        </w:rPr>
        <w:tab/>
      </w:r>
      <w:r w:rsidRPr="00297B30">
        <w:rPr>
          <w:rFonts w:eastAsiaTheme="minorEastAsia"/>
          <w:i/>
          <w:iCs/>
          <w:lang w:val="es-ES_tradnl" w:eastAsia="zh-CN"/>
        </w:rPr>
        <w:tab/>
      </w:r>
      <w:proofErr w:type="spellStart"/>
      <w:r w:rsidRPr="00297B30">
        <w:rPr>
          <w:rFonts w:eastAsiaTheme="minorEastAsia"/>
          <w:i/>
          <w:iCs/>
          <w:lang w:val="es-ES_tradnl" w:eastAsia="zh-CN"/>
        </w:rPr>
        <w:t>dfp</w:t>
      </w:r>
      <w:proofErr w:type="spellEnd"/>
      <w:r w:rsidRPr="00297B30">
        <w:rPr>
          <w:rFonts w:eastAsiaTheme="minorEastAsia"/>
          <w:i/>
          <w:iCs/>
          <w:lang w:val="es-ES_tradnl" w:eastAsia="zh-CN"/>
        </w:rPr>
        <w:t xml:space="preserve"> espectral</w:t>
      </w:r>
      <w:r w:rsidRPr="00297B30">
        <w:rPr>
          <w:rFonts w:eastAsiaTheme="minorEastAsia"/>
          <w:lang w:val="es-ES_tradnl" w:eastAsia="zh-CN"/>
        </w:rPr>
        <w:t xml:space="preserve"> = −207,3 − 0 − 10 log (0,61)</w:t>
      </w:r>
    </w:p>
    <w:p w:rsidR="00543337" w:rsidRPr="00297B30" w:rsidRDefault="00543337" w:rsidP="00543337">
      <w:pPr>
        <w:pStyle w:val="Equation"/>
        <w:jc w:val="left"/>
        <w:rPr>
          <w:rFonts w:eastAsiaTheme="minorEastAsia"/>
          <w:lang w:val="es-ES_tradnl"/>
        </w:rPr>
      </w:pPr>
      <w:r w:rsidRPr="00297B30">
        <w:rPr>
          <w:rFonts w:eastAsiaTheme="minorEastAsia"/>
          <w:i/>
          <w:iCs/>
          <w:lang w:val="es-ES_tradnl"/>
        </w:rPr>
        <w:tab/>
      </w:r>
      <w:r w:rsidRPr="00297B30">
        <w:rPr>
          <w:rFonts w:eastAsiaTheme="minorEastAsia"/>
          <w:i/>
          <w:iCs/>
          <w:lang w:val="es-ES_tradnl"/>
        </w:rPr>
        <w:tab/>
      </w:r>
      <w:proofErr w:type="spellStart"/>
      <w:r w:rsidRPr="00297B30">
        <w:rPr>
          <w:rFonts w:eastAsiaTheme="minorEastAsia"/>
          <w:i/>
          <w:iCs/>
          <w:lang w:val="es-ES_tradnl"/>
        </w:rPr>
        <w:t>dfp</w:t>
      </w:r>
      <w:proofErr w:type="spellEnd"/>
      <w:r w:rsidRPr="00297B30">
        <w:rPr>
          <w:rFonts w:eastAsiaTheme="minorEastAsia"/>
          <w:i/>
          <w:iCs/>
          <w:lang w:val="es-ES_tradnl"/>
        </w:rPr>
        <w:t xml:space="preserve"> espectral</w:t>
      </w:r>
      <w:r w:rsidRPr="00297B30">
        <w:rPr>
          <w:rFonts w:eastAsiaTheme="minorEastAsia"/>
          <w:lang w:val="es-ES_tradnl"/>
        </w:rPr>
        <w:t xml:space="preserve"> = </w:t>
      </w:r>
      <w:r w:rsidRPr="00297B30">
        <w:rPr>
          <w:rFonts w:eastAsiaTheme="minorEastAsia"/>
          <w:lang w:val="es-ES_tradnl" w:eastAsia="zh-CN"/>
        </w:rPr>
        <w:t>−</w:t>
      </w:r>
      <w:r w:rsidRPr="00297B30">
        <w:rPr>
          <w:rFonts w:eastAsiaTheme="minorEastAsia"/>
          <w:lang w:val="es-ES_tradnl"/>
        </w:rPr>
        <w:t>205,2 dB(W/(m</w:t>
      </w:r>
      <w:r w:rsidRPr="00297B30">
        <w:rPr>
          <w:rFonts w:eastAsiaTheme="minorEastAsia"/>
          <w:vertAlign w:val="superscript"/>
          <w:lang w:val="es-ES_tradnl"/>
        </w:rPr>
        <w:t>2</w:t>
      </w:r>
      <w:r w:rsidRPr="00297B30">
        <w:rPr>
          <w:rFonts w:eastAsiaTheme="minorEastAsia"/>
          <w:lang w:val="es-ES_tradnl"/>
        </w:rPr>
        <w:t> ∙ Hz))</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El máximo nivel de la interferencia similar al ruido de banda ancha en la banda 406-406,1 MHz medida en la antena del satélite GLONASS no deberá rebasar el valor de </w:t>
      </w:r>
      <w:r>
        <w:rPr>
          <w:rFonts w:eastAsiaTheme="minorEastAsia"/>
          <w:szCs w:val="24"/>
          <w:lang w:val="es-ES_tradnl"/>
        </w:rPr>
        <w:t>–</w:t>
      </w:r>
      <w:r w:rsidRPr="00297B30">
        <w:rPr>
          <w:rFonts w:eastAsiaTheme="minorEastAsia"/>
          <w:szCs w:val="24"/>
          <w:lang w:val="es-ES_tradnl"/>
        </w:rPr>
        <w:t>205,2 dB(W/(m</w:t>
      </w:r>
      <w:r w:rsidRPr="00297B30">
        <w:rPr>
          <w:rFonts w:eastAsiaTheme="minorEastAsia"/>
          <w:szCs w:val="24"/>
          <w:vertAlign w:val="superscript"/>
          <w:lang w:val="es-ES_tradnl"/>
        </w:rPr>
        <w:t>2</w:t>
      </w:r>
      <w:r w:rsidRPr="00297B30">
        <w:rPr>
          <w:rFonts w:eastAsiaTheme="minorEastAsia"/>
          <w:szCs w:val="24"/>
          <w:lang w:val="es-ES_tradnl"/>
        </w:rPr>
        <w:t> ∙ Hz)).</w:t>
      </w:r>
    </w:p>
    <w:p w:rsidR="00543337" w:rsidRPr="00297B30" w:rsidRDefault="00543337" w:rsidP="00543337">
      <w:pPr>
        <w:pStyle w:val="Heading1"/>
        <w:rPr>
          <w:lang w:val="es-ES_tradnl"/>
        </w:rPr>
      </w:pPr>
      <w:r w:rsidRPr="00297B30">
        <w:rPr>
          <w:lang w:val="es-ES_tradnl"/>
        </w:rPr>
        <w:t>4</w:t>
      </w:r>
      <w:r w:rsidRPr="00297B30">
        <w:rPr>
          <w:lang w:val="es-ES_tradnl"/>
        </w:rPr>
        <w:tab/>
        <w:t>Procedimiento para calcular en nivel de interferencia en el canal</w:t>
      </w:r>
      <w:r w:rsidR="005D0E11">
        <w:rPr>
          <w:lang w:val="es-ES_tradnl"/>
        </w:rPr>
        <w:t xml:space="preserve"> SAR/GLOBASS de </w:t>
      </w:r>
      <w:r w:rsidRPr="00297B30">
        <w:rPr>
          <w:lang w:val="es-ES_tradnl"/>
        </w:rPr>
        <w:t>406 MHz</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La interferencia provocada al </w:t>
      </w:r>
      <w:proofErr w:type="spellStart"/>
      <w:r w:rsidRPr="00297B30">
        <w:rPr>
          <w:rFonts w:eastAsiaTheme="minorEastAsia"/>
          <w:szCs w:val="24"/>
          <w:lang w:val="es-ES_tradnl"/>
        </w:rPr>
        <w:t>Cospas</w:t>
      </w:r>
      <w:r w:rsidRPr="00297B30">
        <w:rPr>
          <w:rFonts w:eastAsiaTheme="minorEastAsia"/>
          <w:szCs w:val="24"/>
          <w:lang w:val="es-ES_tradnl"/>
        </w:rPr>
        <w:noBreakHyphen/>
        <w:t>Sarsat</w:t>
      </w:r>
      <w:proofErr w:type="spellEnd"/>
      <w:r w:rsidRPr="00297B30">
        <w:rPr>
          <w:rFonts w:eastAsiaTheme="minorEastAsia"/>
          <w:szCs w:val="24"/>
          <w:lang w:val="es-ES_tradnl"/>
        </w:rPr>
        <w:t xml:space="preserve"> es a menudo el resultado de emisiones fuera de banda procedentes de servicios que funcionan en bandas adyacentes o casi adyacentes.</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Debe examinarse la anchura de banda de la emisión para determinar si se transmite energía en la banda 406-406,1 MHz. Hay que tener especial precaución al analizar la repercusión de los sistemas móviles (por ejemplo, satélites no geoestacionarios y transmisores a bordo de aeronaves) para tener en cuenta los efectos del desplazamiento </w:t>
      </w:r>
      <w:proofErr w:type="spellStart"/>
      <w:r w:rsidRPr="00297B30">
        <w:rPr>
          <w:rFonts w:eastAsiaTheme="minorEastAsia"/>
          <w:szCs w:val="24"/>
          <w:lang w:val="es-ES_tradnl"/>
        </w:rPr>
        <w:t>Doppler</w:t>
      </w:r>
      <w:proofErr w:type="spellEnd"/>
      <w:r w:rsidRPr="00297B30">
        <w:rPr>
          <w:rFonts w:eastAsiaTheme="minorEastAsia"/>
          <w:szCs w:val="24"/>
          <w:lang w:val="es-ES_tradnl"/>
        </w:rPr>
        <w:t xml:space="preserve"> generados por su movimiento.</w:t>
      </w:r>
    </w:p>
    <w:p w:rsidR="00543337" w:rsidRPr="00297B30" w:rsidRDefault="00543337" w:rsidP="00543337">
      <w:pPr>
        <w:rPr>
          <w:rFonts w:eastAsiaTheme="minorEastAsia"/>
          <w:szCs w:val="24"/>
          <w:lang w:val="es-ES_tradnl"/>
        </w:rPr>
      </w:pPr>
      <w:r w:rsidRPr="00297B30">
        <w:rPr>
          <w:rFonts w:eastAsiaTheme="minorEastAsia"/>
          <w:szCs w:val="24"/>
          <w:lang w:val="es-ES_tradnl"/>
        </w:rPr>
        <w:t xml:space="preserve">Se calcula el nivel de interferencia procedente de todas las fuentes que transmiten energía en la banda expresada como nivel de </w:t>
      </w:r>
      <w:proofErr w:type="spellStart"/>
      <w:r w:rsidRPr="00297B30">
        <w:rPr>
          <w:rFonts w:eastAsiaTheme="minorEastAsia"/>
          <w:szCs w:val="24"/>
          <w:lang w:val="es-ES_tradnl"/>
        </w:rPr>
        <w:t>dfp</w:t>
      </w:r>
      <w:proofErr w:type="spellEnd"/>
      <w:r w:rsidRPr="00297B30">
        <w:rPr>
          <w:rFonts w:eastAsiaTheme="minorEastAsia"/>
          <w:szCs w:val="24"/>
          <w:lang w:val="es-ES_tradnl"/>
        </w:rPr>
        <w:t xml:space="preserve"> espectral en la antena del satélite. El nivel combinado de todas las fuentes interferentes no debe rebasar el valor de </w:t>
      </w:r>
      <w:r>
        <w:rPr>
          <w:rFonts w:eastAsiaTheme="minorEastAsia"/>
          <w:szCs w:val="24"/>
          <w:lang w:val="es-ES_tradnl"/>
        </w:rPr>
        <w:t>–</w:t>
      </w:r>
      <w:r w:rsidRPr="00297B30">
        <w:rPr>
          <w:rFonts w:eastAsiaTheme="minorEastAsia"/>
          <w:szCs w:val="24"/>
          <w:lang w:val="es-ES_tradnl"/>
        </w:rPr>
        <w:t>205,2 dB(W/(m</w:t>
      </w:r>
      <w:r w:rsidRPr="00297B30">
        <w:rPr>
          <w:rFonts w:eastAsiaTheme="minorEastAsia"/>
          <w:szCs w:val="24"/>
          <w:vertAlign w:val="superscript"/>
          <w:lang w:val="es-ES_tradnl"/>
        </w:rPr>
        <w:t>2</w:t>
      </w:r>
      <w:r w:rsidRPr="00297B30">
        <w:rPr>
          <w:rFonts w:eastAsiaTheme="minorEastAsia"/>
          <w:szCs w:val="24"/>
          <w:lang w:val="es-ES_tradnl"/>
        </w:rPr>
        <w:t> ∙ Hz)) en cualquier parte de esta gama.</w:t>
      </w:r>
    </w:p>
    <w:p w:rsidR="00543337" w:rsidRDefault="00543337" w:rsidP="00543337">
      <w:pPr>
        <w:rPr>
          <w:rFonts w:eastAsiaTheme="minorEastAsia"/>
          <w:szCs w:val="24"/>
          <w:lang w:val="es-ES_tradnl"/>
        </w:rPr>
      </w:pPr>
    </w:p>
    <w:p w:rsidR="006C148A" w:rsidRPr="00297B30" w:rsidRDefault="006C148A" w:rsidP="00543337">
      <w:pPr>
        <w:rPr>
          <w:rFonts w:eastAsiaTheme="minorEastAsia"/>
          <w:szCs w:val="24"/>
          <w:lang w:val="es-ES_tradnl"/>
        </w:rPr>
      </w:pPr>
    </w:p>
    <w:p w:rsidR="00543337" w:rsidRPr="00297B30" w:rsidRDefault="00543337" w:rsidP="00543337">
      <w:pPr>
        <w:pStyle w:val="AnnexNoTitle"/>
        <w:rPr>
          <w:lang w:val="es-ES_tradnl"/>
        </w:rPr>
      </w:pPr>
      <w:r w:rsidRPr="00297B30">
        <w:rPr>
          <w:lang w:val="es-ES_tradnl"/>
        </w:rPr>
        <w:t>Anexo 10</w:t>
      </w:r>
      <w:r w:rsidRPr="00297B30">
        <w:rPr>
          <w:lang w:val="es-ES_tradnl"/>
        </w:rPr>
        <w:br/>
      </w:r>
      <w:r w:rsidRPr="00297B30">
        <w:rPr>
          <w:lang w:val="es-ES_tradnl"/>
        </w:rPr>
        <w:br/>
        <w:t xml:space="preserve">Criterios de protección de los instrumentos </w:t>
      </w:r>
      <w:proofErr w:type="spellStart"/>
      <w:r w:rsidRPr="00297B30">
        <w:rPr>
          <w:lang w:val="es-ES_tradnl"/>
        </w:rPr>
        <w:t>Cospas-Sarsat</w:t>
      </w:r>
      <w:proofErr w:type="spellEnd"/>
      <w:r w:rsidRPr="00297B30">
        <w:rPr>
          <w:lang w:val="es-ES_tradnl"/>
        </w:rPr>
        <w:t xml:space="preserve"> de búsqueda y salvamento en la banda 406-406,1</w:t>
      </w:r>
      <w:r w:rsidRPr="00297B30">
        <w:rPr>
          <w:szCs w:val="24"/>
          <w:lang w:val="es-ES_tradnl" w:eastAsia="zh-CN"/>
        </w:rPr>
        <w:t> </w:t>
      </w:r>
      <w:r w:rsidRPr="00297B30">
        <w:rPr>
          <w:lang w:val="es-ES_tradnl"/>
        </w:rPr>
        <w:t>MHz (SAR/Galileo)</w:t>
      </w:r>
    </w:p>
    <w:p w:rsidR="00543337" w:rsidRPr="00297B30" w:rsidRDefault="00543337" w:rsidP="00543337">
      <w:pPr>
        <w:pStyle w:val="Heading1"/>
        <w:rPr>
          <w:lang w:val="es-ES_tradnl"/>
        </w:rPr>
      </w:pPr>
      <w:r w:rsidRPr="00297B30">
        <w:rPr>
          <w:lang w:val="es-ES_tradnl"/>
        </w:rPr>
        <w:t>1</w:t>
      </w:r>
      <w:r w:rsidRPr="00297B30">
        <w:rPr>
          <w:lang w:val="es-ES_tradnl"/>
        </w:rPr>
        <w:tab/>
        <w:t>Introducción</w:t>
      </w:r>
    </w:p>
    <w:p w:rsidR="00543337" w:rsidRPr="00297B30" w:rsidRDefault="00543337" w:rsidP="00543337">
      <w:pPr>
        <w:rPr>
          <w:lang w:val="es-ES_tradnl" w:eastAsia="zh-CN"/>
        </w:rPr>
      </w:pPr>
      <w:r w:rsidRPr="00297B30">
        <w:rPr>
          <w:lang w:val="es-ES_tradnl" w:eastAsia="zh-CN"/>
        </w:rPr>
        <w:t xml:space="preserve">Los transpondedores de búsqueda y salvamento </w:t>
      </w:r>
      <w:proofErr w:type="spellStart"/>
      <w:r w:rsidRPr="00297B30">
        <w:rPr>
          <w:lang w:val="es-ES_tradnl" w:eastAsia="zh-CN"/>
        </w:rPr>
        <w:t>Cospas-Sarsat</w:t>
      </w:r>
      <w:proofErr w:type="spellEnd"/>
      <w:r w:rsidRPr="00297B30">
        <w:rPr>
          <w:lang w:val="es-ES_tradnl" w:eastAsia="zh-CN"/>
        </w:rPr>
        <w:t xml:space="preserve"> se encuentran a bordo de los satélites Galileo. Estos repetidores reciben señales en 406 MHz procedentes de radiobalizas de socorro y retransmiten las señales a los MEOLUT </w:t>
      </w:r>
      <w:proofErr w:type="spellStart"/>
      <w:r w:rsidRPr="00297B30">
        <w:rPr>
          <w:lang w:val="es-ES_tradnl" w:eastAsia="zh-CN"/>
        </w:rPr>
        <w:t>Cospas-Sarsat</w:t>
      </w:r>
      <w:proofErr w:type="spellEnd"/>
      <w:r w:rsidRPr="00297B30">
        <w:rPr>
          <w:lang w:val="es-ES_tradnl" w:eastAsia="zh-CN"/>
        </w:rPr>
        <w:t xml:space="preserve"> en frecuencias del enlace descendente en la banda 1</w:t>
      </w:r>
      <w:r>
        <w:rPr>
          <w:sz w:val="16"/>
          <w:szCs w:val="16"/>
          <w:lang w:val="es-ES_tradnl" w:eastAsia="zh-CN"/>
        </w:rPr>
        <w:t> </w:t>
      </w:r>
      <w:r w:rsidRPr="00297B30">
        <w:rPr>
          <w:lang w:val="es-ES_tradnl" w:eastAsia="zh-CN"/>
        </w:rPr>
        <w:t>544-1</w:t>
      </w:r>
      <w:r>
        <w:rPr>
          <w:sz w:val="16"/>
          <w:szCs w:val="16"/>
          <w:lang w:val="es-ES_tradnl" w:eastAsia="zh-CN"/>
        </w:rPr>
        <w:t> </w:t>
      </w:r>
      <w:r w:rsidRPr="00297B30">
        <w:rPr>
          <w:lang w:val="es-ES_tradnl" w:eastAsia="zh-CN"/>
        </w:rPr>
        <w:t xml:space="preserve">545 MHz. El análisis que figura en el presente Anexo establece los criterios de </w:t>
      </w:r>
      <w:r w:rsidRPr="00297B30">
        <w:rPr>
          <w:lang w:val="es-ES_tradnl" w:eastAsia="zh-CN"/>
        </w:rPr>
        <w:lastRenderedPageBreak/>
        <w:t>protección contra la interferencia para los satélites Galileo que reciben las señales del enlace descendente de radiobalizas de Socorro.</w:t>
      </w:r>
    </w:p>
    <w:p w:rsidR="00543337" w:rsidRPr="00297B30" w:rsidRDefault="00543337" w:rsidP="00543337">
      <w:pPr>
        <w:pStyle w:val="Heading1"/>
        <w:rPr>
          <w:b w:val="0"/>
          <w:lang w:val="es-ES_tradnl"/>
        </w:rPr>
      </w:pPr>
      <w:r w:rsidRPr="00297B30">
        <w:rPr>
          <w:lang w:val="es-ES_tradnl"/>
        </w:rPr>
        <w:t>2</w:t>
      </w:r>
      <w:r w:rsidRPr="00297B30">
        <w:rPr>
          <w:lang w:val="es-ES_tradnl"/>
        </w:rPr>
        <w:tab/>
        <w:t xml:space="preserve">Mínima calidad de funcionamiento aceptable para la detección de las señales de radiobalizas de socorro de 406 MHz retransmitidas por los satélites SAR/Galileo </w:t>
      </w:r>
    </w:p>
    <w:p w:rsidR="00543337" w:rsidRPr="00297B30" w:rsidRDefault="00543337" w:rsidP="00543337">
      <w:pPr>
        <w:rPr>
          <w:lang w:val="es-ES_tradnl" w:eastAsia="zh-CN"/>
        </w:rPr>
      </w:pPr>
      <w:r w:rsidRPr="00297B30">
        <w:rPr>
          <w:lang w:val="es-ES_tradnl" w:eastAsia="zh-CN"/>
        </w:rPr>
        <w:t>A fin de evaluar el nivel máximo aceptable para las emisiones de banda ancha, el parámetro de calidad de funcionamiento considerado es la BER (tasa de error</w:t>
      </w:r>
      <w:r>
        <w:rPr>
          <w:lang w:val="es-ES_tradnl" w:eastAsia="zh-CN"/>
        </w:rPr>
        <w:t>e</w:t>
      </w:r>
      <w:r w:rsidRPr="00297B30">
        <w:rPr>
          <w:lang w:val="es-ES_tradnl" w:eastAsia="zh-CN"/>
        </w:rPr>
        <w:t xml:space="preserve">s en los bits) mínima admisible: a fin de detectar </w:t>
      </w:r>
      <w:r>
        <w:rPr>
          <w:lang w:val="es-ES_tradnl" w:eastAsia="zh-CN"/>
        </w:rPr>
        <w:t>con fiabilidad las radiobalizas de socorro a</w:t>
      </w:r>
      <w:r w:rsidRPr="00297B30">
        <w:rPr>
          <w:lang w:val="es-ES_tradnl" w:eastAsia="zh-CN"/>
        </w:rPr>
        <w:t xml:space="preserve"> 406 MHz </w:t>
      </w:r>
      <w:r>
        <w:rPr>
          <w:lang w:val="es-ES_tradnl" w:eastAsia="zh-CN"/>
        </w:rPr>
        <w:t xml:space="preserve">utilizado repetidores de satélites </w:t>
      </w:r>
      <w:r w:rsidRPr="00297B30">
        <w:rPr>
          <w:lang w:val="es-ES_tradnl"/>
        </w:rPr>
        <w:t>Galileo</w:t>
      </w:r>
      <w:r w:rsidRPr="00297B30">
        <w:rPr>
          <w:lang w:val="es-ES_tradnl" w:eastAsia="zh-CN"/>
        </w:rPr>
        <w:t xml:space="preserve"> 406 MHz, </w:t>
      </w:r>
      <w:r>
        <w:rPr>
          <w:lang w:val="es-ES_tradnl" w:eastAsia="zh-CN"/>
        </w:rPr>
        <w:t xml:space="preserve">la </w:t>
      </w:r>
      <w:r w:rsidRPr="00297B30">
        <w:rPr>
          <w:lang w:val="es-ES_tradnl" w:eastAsia="zh-CN"/>
        </w:rPr>
        <w:t xml:space="preserve">BER </w:t>
      </w:r>
      <w:r>
        <w:rPr>
          <w:lang w:val="es-ES_tradnl" w:eastAsia="zh-CN"/>
        </w:rPr>
        <w:t xml:space="preserve">del canal no debe rebasar </w:t>
      </w:r>
      <w:r w:rsidRPr="00297B30">
        <w:rPr>
          <w:lang w:val="es-ES_tradnl" w:eastAsia="zh-CN"/>
        </w:rPr>
        <w:t xml:space="preserve">5 </w:t>
      </w:r>
      <w:r w:rsidRPr="00297B30">
        <w:rPr>
          <w:lang w:val="es-ES_tradnl" w:eastAsia="zh-CN"/>
        </w:rPr>
        <w:sym w:font="Symbol" w:char="F0B4"/>
      </w:r>
      <w:r w:rsidRPr="00297B30">
        <w:rPr>
          <w:lang w:val="es-ES_tradnl" w:eastAsia="zh-CN"/>
        </w:rPr>
        <w:t xml:space="preserve"> 10</w:t>
      </w:r>
      <w:r w:rsidRPr="00297B30">
        <w:rPr>
          <w:vertAlign w:val="superscript"/>
          <w:lang w:val="es-ES_tradnl" w:eastAsia="zh-CN"/>
        </w:rPr>
        <w:t>−5</w:t>
      </w:r>
      <w:r w:rsidRPr="00297B30">
        <w:rPr>
          <w:lang w:val="es-ES_tradnl" w:eastAsia="zh-CN"/>
        </w:rPr>
        <w:t>.</w:t>
      </w:r>
      <w:r w:rsidRPr="00297B30">
        <w:rPr>
          <w:rFonts w:ascii="Arial" w:hAnsi="Arial" w:cs="Arial"/>
          <w:szCs w:val="24"/>
          <w:lang w:val="es-ES_tradnl" w:eastAsia="it-IT"/>
        </w:rPr>
        <w:t xml:space="preserve"> </w:t>
      </w:r>
      <w:r>
        <w:rPr>
          <w:lang w:val="es-ES_tradnl" w:eastAsia="zh-CN"/>
        </w:rPr>
        <w:t>Además</w:t>
      </w:r>
      <w:r w:rsidRPr="00297B30">
        <w:rPr>
          <w:lang w:val="es-ES_tradnl" w:eastAsia="zh-CN"/>
        </w:rPr>
        <w:t xml:space="preserve">, </w:t>
      </w:r>
      <w:r>
        <w:rPr>
          <w:lang w:val="es-ES_tradnl" w:eastAsia="zh-CN"/>
        </w:rPr>
        <w:t xml:space="preserve">dado que el enlace ascendente es dominante en el enlace de extremo a extremo </w:t>
      </w:r>
      <w:r w:rsidRPr="00297B30">
        <w:rPr>
          <w:lang w:val="es-ES_tradnl" w:eastAsia="zh-CN"/>
        </w:rPr>
        <w:t>(</w:t>
      </w:r>
      <w:r>
        <w:rPr>
          <w:lang w:val="es-ES_tradnl" w:eastAsia="zh-CN"/>
        </w:rPr>
        <w:t xml:space="preserve">en </w:t>
      </w:r>
      <w:r w:rsidRPr="00297B30">
        <w:rPr>
          <w:lang w:val="es-ES_tradnl" w:eastAsia="zh-CN"/>
        </w:rPr>
        <w:t>t</w:t>
      </w:r>
      <w:r>
        <w:rPr>
          <w:lang w:val="es-ES_tradnl" w:eastAsia="zh-CN"/>
        </w:rPr>
        <w:t>é</w:t>
      </w:r>
      <w:r w:rsidRPr="00297B30">
        <w:rPr>
          <w:lang w:val="es-ES_tradnl" w:eastAsia="zh-CN"/>
        </w:rPr>
        <w:t>rm</w:t>
      </w:r>
      <w:r>
        <w:rPr>
          <w:lang w:val="es-ES_tradnl" w:eastAsia="zh-CN"/>
        </w:rPr>
        <w:t>ino</w:t>
      </w:r>
      <w:r w:rsidRPr="00297B30">
        <w:rPr>
          <w:lang w:val="es-ES_tradnl" w:eastAsia="zh-CN"/>
        </w:rPr>
        <w:t xml:space="preserve">s </w:t>
      </w:r>
      <w:r>
        <w:rPr>
          <w:lang w:val="es-ES_tradnl" w:eastAsia="zh-CN"/>
        </w:rPr>
        <w:t xml:space="preserve">de </w:t>
      </w:r>
      <w:r w:rsidRPr="00297B30">
        <w:rPr>
          <w:i/>
          <w:iCs/>
          <w:lang w:val="es-ES_tradnl" w:eastAsia="zh-CN"/>
        </w:rPr>
        <w:t>C</w:t>
      </w:r>
      <w:r w:rsidRPr="00297B30">
        <w:rPr>
          <w:lang w:val="es-ES_tradnl" w:eastAsia="zh-CN"/>
        </w:rPr>
        <w:t>/</w:t>
      </w:r>
      <w:r w:rsidRPr="00297B30">
        <w:rPr>
          <w:i/>
          <w:iCs/>
          <w:lang w:val="es-ES_tradnl" w:eastAsia="zh-CN"/>
        </w:rPr>
        <w:t>N</w:t>
      </w:r>
      <w:r w:rsidRPr="00297B30">
        <w:rPr>
          <w:vertAlign w:val="subscript"/>
          <w:lang w:val="es-ES_tradnl" w:eastAsia="zh-CN"/>
        </w:rPr>
        <w:t>0</w:t>
      </w:r>
      <w:r w:rsidRPr="00297B30">
        <w:rPr>
          <w:lang w:val="es-ES_tradnl" w:eastAsia="zh-CN"/>
        </w:rPr>
        <w:t xml:space="preserve">), </w:t>
      </w:r>
      <w:r>
        <w:rPr>
          <w:lang w:val="es-ES_tradnl" w:eastAsia="zh-CN"/>
        </w:rPr>
        <w:t xml:space="preserve">la consiguiente </w:t>
      </w:r>
      <w:r w:rsidRPr="00297B30">
        <w:rPr>
          <w:i/>
          <w:iCs/>
          <w:lang w:val="es-ES_tradnl" w:eastAsia="zh-CN"/>
        </w:rPr>
        <w:t>C</w:t>
      </w:r>
      <w:r w:rsidRPr="00297B30">
        <w:rPr>
          <w:lang w:val="es-ES_tradnl" w:eastAsia="zh-CN"/>
        </w:rPr>
        <w:t>/</w:t>
      </w:r>
      <w:r w:rsidRPr="00297B30">
        <w:rPr>
          <w:i/>
          <w:iCs/>
          <w:lang w:val="es-ES_tradnl" w:eastAsia="zh-CN"/>
        </w:rPr>
        <w:t>N</w:t>
      </w:r>
      <w:r w:rsidRPr="00297B30">
        <w:rPr>
          <w:vertAlign w:val="subscript"/>
          <w:lang w:val="es-ES_tradnl" w:eastAsia="zh-CN"/>
        </w:rPr>
        <w:t>0</w:t>
      </w:r>
      <w:r w:rsidRPr="00297B30">
        <w:rPr>
          <w:lang w:val="es-ES_tradnl" w:eastAsia="zh-CN"/>
        </w:rPr>
        <w:t xml:space="preserve"> </w:t>
      </w:r>
      <w:r>
        <w:rPr>
          <w:lang w:val="es-ES_tradnl" w:eastAsia="zh-CN"/>
        </w:rPr>
        <w:t>considerada será la del enlace ascendente</w:t>
      </w:r>
      <w:r w:rsidRPr="00297B30">
        <w:rPr>
          <w:lang w:val="es-ES_tradnl" w:eastAsia="zh-CN"/>
        </w:rPr>
        <w:t>.</w:t>
      </w:r>
    </w:p>
    <w:p w:rsidR="00543337" w:rsidRPr="00297B30" w:rsidRDefault="00543337" w:rsidP="00543337">
      <w:pPr>
        <w:pStyle w:val="Heading1"/>
        <w:rPr>
          <w:lang w:val="es-ES_tradnl"/>
        </w:rPr>
      </w:pPr>
      <w:r w:rsidRPr="00297B30">
        <w:rPr>
          <w:lang w:val="es-ES_tradnl"/>
        </w:rPr>
        <w:t>3</w:t>
      </w:r>
      <w:r w:rsidRPr="00297B30">
        <w:rPr>
          <w:lang w:val="es-ES_tradnl"/>
        </w:rPr>
        <w:tab/>
      </w:r>
      <w:r>
        <w:rPr>
          <w:lang w:val="es-ES_tradnl"/>
        </w:rPr>
        <w:t xml:space="preserve">Análisis de la </w:t>
      </w:r>
      <w:proofErr w:type="spellStart"/>
      <w:r>
        <w:rPr>
          <w:lang w:val="es-ES_tradnl"/>
        </w:rPr>
        <w:t>dfp</w:t>
      </w:r>
      <w:proofErr w:type="spellEnd"/>
      <w:r>
        <w:rPr>
          <w:lang w:val="es-ES_tradnl"/>
        </w:rPr>
        <w:t xml:space="preserve"> espectral de la interferencia </w:t>
      </w:r>
    </w:p>
    <w:p w:rsidR="00543337" w:rsidRPr="00297B30" w:rsidRDefault="00543337" w:rsidP="00543337">
      <w:pPr>
        <w:rPr>
          <w:lang w:val="es-ES_tradnl" w:eastAsia="zh-CN"/>
        </w:rPr>
      </w:pPr>
      <w:r>
        <w:rPr>
          <w:lang w:val="es-ES_tradnl" w:eastAsia="zh-CN"/>
        </w:rPr>
        <w:t xml:space="preserve">En la </w:t>
      </w:r>
      <w:r w:rsidRPr="00297B30">
        <w:rPr>
          <w:lang w:val="es-ES_tradnl" w:eastAsia="zh-CN"/>
        </w:rPr>
        <w:t>Fig. 11</w:t>
      </w:r>
      <w:r>
        <w:rPr>
          <w:lang w:val="es-ES_tradnl" w:eastAsia="zh-CN"/>
        </w:rPr>
        <w:t xml:space="preserve"> se describe la interferencia potencial presente en la banda UHF de </w:t>
      </w:r>
      <w:r w:rsidRPr="00297B30">
        <w:rPr>
          <w:lang w:val="es-ES_tradnl" w:eastAsia="zh-CN"/>
        </w:rPr>
        <w:t>SAR UHF.</w:t>
      </w:r>
    </w:p>
    <w:p w:rsidR="00543337" w:rsidRPr="00297B30" w:rsidRDefault="00543337" w:rsidP="00543337">
      <w:pPr>
        <w:pStyle w:val="FigureNo"/>
        <w:rPr>
          <w:lang w:val="es-ES_tradnl"/>
        </w:rPr>
      </w:pPr>
      <w:r w:rsidRPr="00297B30">
        <w:rPr>
          <w:lang w:val="es-ES_tradnl"/>
        </w:rPr>
        <w:t>FIGUR</w:t>
      </w:r>
      <w:r>
        <w:rPr>
          <w:lang w:val="es-ES_tradnl"/>
        </w:rPr>
        <w:t>A</w:t>
      </w:r>
      <w:r w:rsidRPr="00297B30">
        <w:rPr>
          <w:lang w:val="es-ES_tradnl"/>
        </w:rPr>
        <w:t xml:space="preserve"> 11</w:t>
      </w:r>
    </w:p>
    <w:p w:rsidR="00543337" w:rsidRPr="00297B30" w:rsidRDefault="00543337" w:rsidP="00543337">
      <w:pPr>
        <w:pStyle w:val="Figuretitle"/>
        <w:rPr>
          <w:lang w:val="es-ES_tradnl"/>
        </w:rPr>
      </w:pPr>
      <w:r>
        <w:rPr>
          <w:lang w:val="es-ES_tradnl" w:eastAsia="zh-CN"/>
        </w:rPr>
        <w:t xml:space="preserve">Interferencia involuntaria en el repetidor </w:t>
      </w:r>
      <w:r w:rsidRPr="00297B30">
        <w:rPr>
          <w:lang w:val="es-ES_tradnl" w:eastAsia="zh-CN"/>
        </w:rPr>
        <w:t xml:space="preserve">MEOSAR SAR/Galileo </w:t>
      </w:r>
      <w:r>
        <w:rPr>
          <w:lang w:val="es-ES_tradnl" w:eastAsia="zh-CN"/>
        </w:rPr>
        <w:t xml:space="preserve">en la banda </w:t>
      </w:r>
      <w:r w:rsidRPr="00297B30">
        <w:rPr>
          <w:lang w:val="es-ES_tradnl" w:eastAsia="zh-CN"/>
        </w:rPr>
        <w:t xml:space="preserve">UHF </w:t>
      </w:r>
    </w:p>
    <w:p w:rsidR="00543337" w:rsidRPr="00297B30" w:rsidRDefault="00543337" w:rsidP="00543337">
      <w:pPr>
        <w:pStyle w:val="Figure"/>
        <w:rPr>
          <w:lang w:val="es-ES_tradnl"/>
        </w:rPr>
      </w:pPr>
      <w:r w:rsidRPr="00297B30">
        <w:rPr>
          <w:noProof/>
          <w:lang w:val="es-ES_tradnl"/>
        </w:rPr>
        <w:object w:dxaOrig="6558" w:dyaOrig="3954">
          <v:shape id="_x0000_i1090" type="#_x0000_t75" style="width:442.2pt;height:266.95pt" o:ole="">
            <v:imagedata r:id="rId143" o:title=""/>
          </v:shape>
          <o:OLEObject Type="Embed" ProgID="CorelDRAW.Graphic.14" ShapeID="_x0000_i1090" DrawAspect="Content" ObjectID="_1501062661" r:id="rId144"/>
        </w:object>
      </w:r>
    </w:p>
    <w:p w:rsidR="00543337" w:rsidRPr="00297B30" w:rsidRDefault="00543337" w:rsidP="00543337">
      <w:pPr>
        <w:pStyle w:val="Heading2"/>
        <w:rPr>
          <w:lang w:val="es-ES_tradnl"/>
        </w:rPr>
      </w:pPr>
      <w:r w:rsidRPr="00297B30">
        <w:rPr>
          <w:lang w:val="es-ES_tradnl"/>
        </w:rPr>
        <w:t>3.1</w:t>
      </w:r>
      <w:r w:rsidRPr="00297B30">
        <w:rPr>
          <w:lang w:val="es-ES_tradnl"/>
        </w:rPr>
        <w:tab/>
      </w:r>
      <w:r>
        <w:rPr>
          <w:lang w:val="es-ES_tradnl"/>
        </w:rPr>
        <w:t>Interferencia de banda ancha</w:t>
      </w:r>
    </w:p>
    <w:p w:rsidR="00543337" w:rsidRPr="00297B30" w:rsidRDefault="00543337" w:rsidP="0064410C">
      <w:pPr>
        <w:rPr>
          <w:lang w:val="es-ES_tradnl" w:eastAsia="zh-CN"/>
        </w:rPr>
      </w:pPr>
      <w:r>
        <w:rPr>
          <w:lang w:val="es-ES_tradnl" w:eastAsia="zh-CN"/>
        </w:rPr>
        <w:t xml:space="preserve">La adición de ruido de banda ancha a la carga  útil SAR de </w:t>
      </w:r>
      <w:r w:rsidRPr="00297B30">
        <w:rPr>
          <w:lang w:val="es-ES_tradnl" w:eastAsia="zh-CN"/>
        </w:rPr>
        <w:t xml:space="preserve">Galileo </w:t>
      </w:r>
      <w:proofErr w:type="spellStart"/>
      <w:r w:rsidRPr="00297B30">
        <w:rPr>
          <w:lang w:val="es-ES_tradnl" w:eastAsia="zh-CN"/>
        </w:rPr>
        <w:t>Sarsat</w:t>
      </w:r>
      <w:proofErr w:type="spellEnd"/>
      <w:r w:rsidRPr="00297B30">
        <w:rPr>
          <w:lang w:val="es-ES_tradnl" w:eastAsia="zh-CN"/>
        </w:rPr>
        <w:t xml:space="preserve"> </w:t>
      </w:r>
      <w:r>
        <w:rPr>
          <w:lang w:val="es-ES_tradnl" w:eastAsia="zh-CN"/>
        </w:rPr>
        <w:t>causará un aumento de la VER del sistema y, por tanto, afectará negativamente a su calidad de funcionamiento. Según los estudios del U</w:t>
      </w:r>
      <w:r w:rsidRPr="00297B30">
        <w:rPr>
          <w:lang w:val="es-ES_tradnl" w:eastAsia="zh-CN"/>
        </w:rPr>
        <w:t>IT</w:t>
      </w:r>
      <w:r>
        <w:rPr>
          <w:lang w:val="es-ES_tradnl" w:eastAsia="zh-CN"/>
        </w:rPr>
        <w:t xml:space="preserve">-R, la BER máxima aceptable en el enlace ascendente para el sistema SAR no puede rebasar </w:t>
      </w:r>
      <w:r w:rsidRPr="00297B30">
        <w:rPr>
          <w:lang w:val="es-ES_tradnl" w:eastAsia="zh-CN"/>
        </w:rPr>
        <w:t>5 × 10</w:t>
      </w:r>
      <w:r w:rsidRPr="00297B30">
        <w:rPr>
          <w:vertAlign w:val="superscript"/>
          <w:lang w:val="es-ES_tradnl" w:eastAsia="zh-CN"/>
        </w:rPr>
        <w:t>−5</w:t>
      </w:r>
      <w:r w:rsidRPr="00297B30">
        <w:rPr>
          <w:lang w:val="es-ES_tradnl" w:eastAsia="zh-CN"/>
        </w:rPr>
        <w:t xml:space="preserve">. </w:t>
      </w:r>
      <w:r>
        <w:rPr>
          <w:lang w:val="es-ES_tradnl" w:eastAsia="zh-CN"/>
        </w:rPr>
        <w:t>Partiendo de este requisito</w:t>
      </w:r>
      <w:r w:rsidRPr="00297B30">
        <w:rPr>
          <w:lang w:val="es-ES_tradnl" w:eastAsia="zh-CN"/>
        </w:rPr>
        <w:t xml:space="preserve">, </w:t>
      </w:r>
      <w:r>
        <w:rPr>
          <w:lang w:val="es-ES_tradnl" w:eastAsia="zh-CN"/>
        </w:rPr>
        <w:t xml:space="preserve">en el presente análisis se determina la densidad de flujo de potencia máxima aceptable del ruido de banda ancha en el canal ascendente de </w:t>
      </w:r>
      <w:r w:rsidRPr="00297B30">
        <w:rPr>
          <w:lang w:val="es-ES_tradnl" w:eastAsia="zh-CN"/>
        </w:rPr>
        <w:t xml:space="preserve">Galileo. </w:t>
      </w:r>
      <w:r>
        <w:rPr>
          <w:lang w:val="es-ES_tradnl" w:eastAsia="zh-CN"/>
        </w:rPr>
        <w:t xml:space="preserve">La temperatura de ruido del sistema en la carga útil </w:t>
      </w:r>
      <w:r w:rsidRPr="00297B30">
        <w:rPr>
          <w:lang w:val="es-ES_tradnl" w:eastAsia="zh-CN"/>
        </w:rPr>
        <w:t xml:space="preserve">Galileo </w:t>
      </w:r>
      <w:proofErr w:type="spellStart"/>
      <w:r w:rsidRPr="00297B30">
        <w:rPr>
          <w:lang w:val="es-ES_tradnl" w:eastAsia="zh-CN"/>
        </w:rPr>
        <w:t>Sarsat</w:t>
      </w:r>
      <w:proofErr w:type="spellEnd"/>
      <w:r w:rsidRPr="00297B30">
        <w:rPr>
          <w:lang w:val="es-ES_tradnl" w:eastAsia="zh-CN"/>
        </w:rPr>
        <w:t xml:space="preserve"> </w:t>
      </w:r>
      <w:r>
        <w:rPr>
          <w:lang w:val="es-ES_tradnl" w:eastAsia="zh-CN"/>
        </w:rPr>
        <w:t xml:space="preserve">a la entrada del receptor de carga útil </w:t>
      </w:r>
      <w:r w:rsidRPr="00297B30">
        <w:rPr>
          <w:lang w:val="es-ES_tradnl" w:eastAsia="zh-CN"/>
        </w:rPr>
        <w:t xml:space="preserve">SAR </w:t>
      </w:r>
      <w:r>
        <w:rPr>
          <w:lang w:val="es-ES_tradnl" w:eastAsia="zh-CN"/>
        </w:rPr>
        <w:t xml:space="preserve">es de </w:t>
      </w:r>
      <w:r w:rsidRPr="00297B30">
        <w:rPr>
          <w:lang w:val="es-ES_tradnl" w:eastAsia="zh-CN"/>
        </w:rPr>
        <w:t>600 K (= 27</w:t>
      </w:r>
      <w:r>
        <w:rPr>
          <w:lang w:val="es-ES_tradnl" w:eastAsia="zh-CN"/>
        </w:rPr>
        <w:t>,</w:t>
      </w:r>
      <w:r w:rsidRPr="00297B30">
        <w:rPr>
          <w:lang w:val="es-ES_tradnl" w:eastAsia="zh-CN"/>
        </w:rPr>
        <w:t xml:space="preserve">7 </w:t>
      </w:r>
      <w:proofErr w:type="spellStart"/>
      <w:r w:rsidRPr="00297B30">
        <w:rPr>
          <w:lang w:val="es-ES_tradnl" w:eastAsia="zh-CN"/>
        </w:rPr>
        <w:t>dBK</w:t>
      </w:r>
      <w:proofErr w:type="spellEnd"/>
      <w:r w:rsidRPr="00297B30">
        <w:rPr>
          <w:lang w:val="es-ES_tradnl" w:eastAsia="zh-CN"/>
        </w:rPr>
        <w:t>).</w:t>
      </w:r>
    </w:p>
    <w:p w:rsidR="00543337" w:rsidRDefault="00543337" w:rsidP="0013429F">
      <w:pPr>
        <w:keepNext/>
        <w:keepLines/>
        <w:rPr>
          <w:lang w:val="es-ES_tradnl" w:eastAsia="zh-CN"/>
        </w:rPr>
      </w:pPr>
      <w:r>
        <w:rPr>
          <w:lang w:val="es-ES_tradnl" w:eastAsia="zh-CN"/>
        </w:rPr>
        <w:lastRenderedPageBreak/>
        <w:t>Así</w:t>
      </w:r>
      <w:r w:rsidRPr="00297B30">
        <w:rPr>
          <w:lang w:val="es-ES_tradnl" w:eastAsia="zh-CN"/>
        </w:rPr>
        <w:t xml:space="preserve">, </w:t>
      </w:r>
      <w:r>
        <w:rPr>
          <w:lang w:val="es-ES_tradnl" w:eastAsia="zh-CN"/>
        </w:rPr>
        <w:t>la densidad espectral de ruido es</w:t>
      </w:r>
      <w:r w:rsidRPr="00297B30">
        <w:rPr>
          <w:lang w:val="es-ES_tradnl" w:eastAsia="zh-CN"/>
        </w:rPr>
        <w:t>:</w:t>
      </w:r>
    </w:p>
    <w:p w:rsidR="00C5159B" w:rsidRPr="00297B30" w:rsidRDefault="00C5159B" w:rsidP="00C5159B">
      <w:pPr>
        <w:pStyle w:val="Blanc"/>
        <w:rPr>
          <w:lang w:eastAsia="zh-CN"/>
        </w:rPr>
      </w:pPr>
    </w:p>
    <w:p w:rsidR="00543337" w:rsidRPr="00297B30" w:rsidRDefault="00543337" w:rsidP="00543337">
      <w:pPr>
        <w:pStyle w:val="Equation"/>
        <w:rPr>
          <w:lang w:val="es-ES_tradnl" w:eastAsia="zh-CN"/>
        </w:rPr>
      </w:pPr>
      <w:r w:rsidRPr="00297B30">
        <w:rPr>
          <w:lang w:val="es-ES_tradnl" w:eastAsia="zh-CN"/>
        </w:rPr>
        <w:tab/>
      </w:r>
      <w:r w:rsidRPr="00297B30">
        <w:rPr>
          <w:lang w:val="es-ES_tradnl" w:eastAsia="zh-CN"/>
        </w:rPr>
        <w:tab/>
      </w:r>
      <w:r w:rsidRPr="00297B30">
        <w:rPr>
          <w:i/>
          <w:iCs/>
          <w:lang w:val="es-ES_tradnl" w:eastAsia="zh-CN"/>
        </w:rPr>
        <w:t>N</w:t>
      </w:r>
      <w:r w:rsidRPr="00297B30">
        <w:rPr>
          <w:vertAlign w:val="subscript"/>
          <w:lang w:val="es-ES_tradnl" w:eastAsia="zh-CN"/>
        </w:rPr>
        <w:t>0</w:t>
      </w:r>
      <w:r w:rsidRPr="00297B30">
        <w:rPr>
          <w:lang w:val="es-ES_tradnl" w:eastAsia="zh-CN"/>
        </w:rPr>
        <w:t xml:space="preserve"> = −228</w:t>
      </w:r>
      <w:r>
        <w:rPr>
          <w:lang w:val="es-ES_tradnl" w:eastAsia="zh-CN"/>
        </w:rPr>
        <w:t>,</w:t>
      </w:r>
      <w:r w:rsidRPr="00297B30">
        <w:rPr>
          <w:lang w:val="es-ES_tradnl" w:eastAsia="zh-CN"/>
        </w:rPr>
        <w:t>6 + 27</w:t>
      </w:r>
      <w:r>
        <w:rPr>
          <w:lang w:val="es-ES_tradnl" w:eastAsia="zh-CN"/>
        </w:rPr>
        <w:t>,</w:t>
      </w:r>
      <w:r w:rsidRPr="00297B30">
        <w:rPr>
          <w:lang w:val="es-ES_tradnl" w:eastAsia="zh-CN"/>
        </w:rPr>
        <w:t>7 = −200</w:t>
      </w:r>
      <w:r>
        <w:rPr>
          <w:lang w:val="es-ES_tradnl" w:eastAsia="zh-CN"/>
        </w:rPr>
        <w:t>,</w:t>
      </w:r>
      <w:r w:rsidRPr="00297B30">
        <w:rPr>
          <w:lang w:val="es-ES_tradnl" w:eastAsia="zh-CN"/>
        </w:rPr>
        <w:t>9 dB(W/Hz)</w:t>
      </w:r>
      <w:r w:rsidRPr="00297B30">
        <w:rPr>
          <w:lang w:val="es-ES_tradnl" w:eastAsia="zh-CN"/>
        </w:rPr>
        <w:tab/>
        <w:t>(25)</w:t>
      </w:r>
    </w:p>
    <w:p w:rsidR="00C5159B" w:rsidRPr="00297B30" w:rsidRDefault="00C5159B" w:rsidP="00C5159B">
      <w:pPr>
        <w:pStyle w:val="Blanc"/>
        <w:rPr>
          <w:lang w:eastAsia="zh-CN"/>
        </w:rPr>
      </w:pPr>
    </w:p>
    <w:p w:rsidR="00543337" w:rsidRPr="00297B30" w:rsidRDefault="00543337" w:rsidP="00543337">
      <w:pPr>
        <w:rPr>
          <w:lang w:val="es-ES_tradnl" w:eastAsia="zh-CN"/>
        </w:rPr>
      </w:pPr>
      <w:r>
        <w:rPr>
          <w:lang w:val="es-ES_tradnl" w:eastAsia="zh-CN"/>
        </w:rPr>
        <w:t xml:space="preserve">La especificación del caso más desfavorable estipula que el MLT </w:t>
      </w:r>
      <w:r w:rsidRPr="00297B30">
        <w:rPr>
          <w:lang w:val="es-ES_tradnl" w:eastAsia="zh-CN"/>
        </w:rPr>
        <w:t xml:space="preserve">SAR Galileo </w:t>
      </w:r>
      <w:r>
        <w:rPr>
          <w:lang w:val="es-ES_tradnl" w:eastAsia="zh-CN"/>
        </w:rPr>
        <w:t xml:space="preserve">se ha diseñado para funcionar correctamente cuando la potencia mínima de la señal recibida es de </w:t>
      </w:r>
      <w:r w:rsidRPr="00297B30">
        <w:rPr>
          <w:i/>
          <w:lang w:val="es-ES_tradnl" w:eastAsia="zh-CN"/>
        </w:rPr>
        <w:t>C</w:t>
      </w:r>
      <w:r w:rsidRPr="00297B30">
        <w:rPr>
          <w:lang w:val="es-ES_tradnl" w:eastAsia="zh-CN"/>
        </w:rPr>
        <w:t xml:space="preserve"> = </w:t>
      </w:r>
      <w:r>
        <w:rPr>
          <w:lang w:val="es-ES_tradnl" w:eastAsia="zh-CN"/>
        </w:rPr>
        <w:t>–</w:t>
      </w:r>
      <w:r w:rsidRPr="00297B30">
        <w:rPr>
          <w:lang w:val="es-ES_tradnl" w:eastAsia="zh-CN"/>
        </w:rPr>
        <w:t>165</w:t>
      </w:r>
      <w:r>
        <w:rPr>
          <w:lang w:val="es-ES_tradnl" w:eastAsia="zh-CN"/>
        </w:rPr>
        <w:t>,</w:t>
      </w:r>
      <w:r w:rsidRPr="00297B30">
        <w:rPr>
          <w:lang w:val="es-ES_tradnl" w:eastAsia="zh-CN"/>
        </w:rPr>
        <w:t xml:space="preserve">2 </w:t>
      </w:r>
      <w:proofErr w:type="spellStart"/>
      <w:r w:rsidRPr="00297B30">
        <w:rPr>
          <w:lang w:val="es-ES_tradnl" w:eastAsia="zh-CN"/>
        </w:rPr>
        <w:t>dBW</w:t>
      </w:r>
      <w:proofErr w:type="spellEnd"/>
      <w:r w:rsidRPr="00297B30">
        <w:rPr>
          <w:lang w:val="es-ES_tradnl" w:eastAsia="zh-CN"/>
        </w:rPr>
        <w:t xml:space="preserve">; </w:t>
      </w:r>
      <w:r>
        <w:rPr>
          <w:lang w:val="es-ES_tradnl" w:eastAsia="zh-CN"/>
        </w:rPr>
        <w:t xml:space="preserve">este es el valor de la señal recibida correspondiente al mínimo enlace ascendente </w:t>
      </w:r>
      <w:r w:rsidRPr="00297B30">
        <w:rPr>
          <w:i/>
          <w:lang w:val="es-ES_tradnl" w:eastAsia="zh-CN"/>
        </w:rPr>
        <w:t>C</w:t>
      </w:r>
      <w:r w:rsidRPr="00297B30">
        <w:rPr>
          <w:lang w:val="es-ES_tradnl" w:eastAsia="zh-CN"/>
        </w:rPr>
        <w:t>/</w:t>
      </w:r>
      <w:r w:rsidRPr="00297B30">
        <w:rPr>
          <w:i/>
          <w:lang w:val="es-ES_tradnl" w:eastAsia="zh-CN"/>
        </w:rPr>
        <w:t>N</w:t>
      </w:r>
      <w:r w:rsidRPr="00297B30">
        <w:rPr>
          <w:iCs/>
          <w:vertAlign w:val="subscript"/>
          <w:lang w:val="es-ES_tradnl" w:eastAsia="zh-CN"/>
        </w:rPr>
        <w:t>0</w:t>
      </w:r>
      <w:r w:rsidRPr="00297B30">
        <w:rPr>
          <w:lang w:val="es-ES_tradnl" w:eastAsia="zh-CN"/>
        </w:rPr>
        <w:t xml:space="preserve"> </w:t>
      </w:r>
      <w:r>
        <w:rPr>
          <w:lang w:val="es-ES_tradnl" w:eastAsia="zh-CN"/>
        </w:rPr>
        <w:t xml:space="preserve">de </w:t>
      </w:r>
      <w:r w:rsidRPr="00297B30">
        <w:rPr>
          <w:lang w:val="es-ES_tradnl" w:eastAsia="zh-CN"/>
        </w:rPr>
        <w:t>35</w:t>
      </w:r>
      <w:r>
        <w:rPr>
          <w:lang w:val="es-ES_tradnl" w:eastAsia="zh-CN"/>
        </w:rPr>
        <w:t>,</w:t>
      </w:r>
      <w:r w:rsidRPr="00297B30">
        <w:rPr>
          <w:lang w:val="es-ES_tradnl" w:eastAsia="zh-CN"/>
        </w:rPr>
        <w:t xml:space="preserve">7 dB(Hz), </w:t>
      </w:r>
      <w:r>
        <w:rPr>
          <w:lang w:val="es-ES_tradnl" w:eastAsia="zh-CN"/>
        </w:rPr>
        <w:t>a la entrada del receptor</w:t>
      </w:r>
      <w:r w:rsidRPr="00297B30">
        <w:rPr>
          <w:lang w:val="es-ES_tradnl" w:eastAsia="zh-CN"/>
        </w:rPr>
        <w:t xml:space="preserve">, </w:t>
      </w:r>
      <w:r>
        <w:rPr>
          <w:lang w:val="es-ES_tradnl" w:eastAsia="zh-CN"/>
        </w:rPr>
        <w:t xml:space="preserve">que produce una </w:t>
      </w:r>
      <w:r w:rsidRPr="00297B30">
        <w:rPr>
          <w:i/>
          <w:lang w:val="es-ES_tradnl" w:eastAsia="zh-CN"/>
        </w:rPr>
        <w:t>E</w:t>
      </w:r>
      <w:r w:rsidRPr="00297B30">
        <w:rPr>
          <w:i/>
          <w:vertAlign w:val="subscript"/>
          <w:lang w:val="es-ES_tradnl" w:eastAsia="zh-CN"/>
        </w:rPr>
        <w:t>b</w:t>
      </w:r>
      <w:r w:rsidRPr="00297B30">
        <w:rPr>
          <w:i/>
          <w:lang w:val="es-ES_tradnl" w:eastAsia="zh-CN"/>
        </w:rPr>
        <w:t>/N</w:t>
      </w:r>
      <w:r w:rsidRPr="00297B30">
        <w:rPr>
          <w:iCs/>
          <w:vertAlign w:val="subscript"/>
          <w:lang w:val="es-ES_tradnl" w:eastAsia="zh-CN"/>
        </w:rPr>
        <w:t>0</w:t>
      </w:r>
      <w:r w:rsidRPr="00297B30">
        <w:rPr>
          <w:lang w:val="es-ES_tradnl" w:eastAsia="zh-CN"/>
        </w:rPr>
        <w:t xml:space="preserve"> = 9</w:t>
      </w:r>
      <w:r>
        <w:rPr>
          <w:lang w:val="es-ES_tradnl" w:eastAsia="zh-CN"/>
        </w:rPr>
        <w:t>,</w:t>
      </w:r>
      <w:r w:rsidRPr="00297B30">
        <w:rPr>
          <w:lang w:val="es-ES_tradnl" w:eastAsia="zh-CN"/>
        </w:rPr>
        <w:t>7 dB (</w:t>
      </w:r>
      <w:r>
        <w:rPr>
          <w:lang w:val="es-ES_tradnl" w:eastAsia="zh-CN"/>
        </w:rPr>
        <w:t xml:space="preserve">suponiendo una velocidad de datos de información de </w:t>
      </w:r>
      <w:r w:rsidRPr="00297B30">
        <w:rPr>
          <w:lang w:val="es-ES_tradnl" w:eastAsia="zh-CN"/>
        </w:rPr>
        <w:t xml:space="preserve">400 bit/s (26 dB)) </w:t>
      </w:r>
      <w:r>
        <w:rPr>
          <w:lang w:val="es-ES_tradnl" w:eastAsia="zh-CN"/>
        </w:rPr>
        <w:t xml:space="preserve">en el detector de bits de la carga útil de </w:t>
      </w:r>
      <w:r w:rsidRPr="00297B30">
        <w:rPr>
          <w:lang w:val="es-ES_tradnl" w:eastAsia="zh-CN"/>
        </w:rPr>
        <w:t xml:space="preserve">SAR. </w:t>
      </w:r>
      <w:r>
        <w:rPr>
          <w:lang w:val="es-ES_tradnl" w:eastAsia="zh-CN"/>
        </w:rPr>
        <w:t xml:space="preserve">La correspondiente </w:t>
      </w:r>
      <w:r w:rsidRPr="00297B30">
        <w:rPr>
          <w:lang w:val="es-ES_tradnl" w:eastAsia="zh-CN"/>
        </w:rPr>
        <w:t xml:space="preserve">BER </w:t>
      </w:r>
      <w:r>
        <w:rPr>
          <w:lang w:val="es-ES_tradnl" w:eastAsia="zh-CN"/>
        </w:rPr>
        <w:t xml:space="preserve">es igual a </w:t>
      </w:r>
      <w:r w:rsidRPr="00297B30">
        <w:rPr>
          <w:lang w:val="es-ES_tradnl" w:eastAsia="zh-CN"/>
        </w:rPr>
        <w:t>8 × 10</w:t>
      </w:r>
      <w:r w:rsidRPr="00297B30">
        <w:rPr>
          <w:vertAlign w:val="superscript"/>
          <w:lang w:val="es-ES_tradnl" w:eastAsia="zh-CN"/>
        </w:rPr>
        <w:t>−6</w:t>
      </w:r>
      <w:r w:rsidRPr="00297B30">
        <w:rPr>
          <w:lang w:val="es-ES_tradnl" w:eastAsia="zh-CN"/>
        </w:rPr>
        <w:t>.</w:t>
      </w:r>
    </w:p>
    <w:p w:rsidR="00543337" w:rsidRPr="00297B30" w:rsidRDefault="00543337" w:rsidP="00543337">
      <w:pPr>
        <w:rPr>
          <w:lang w:val="es-ES_tradnl" w:eastAsia="zh-CN"/>
        </w:rPr>
      </w:pPr>
      <w:r>
        <w:rPr>
          <w:lang w:val="es-ES_tradnl" w:eastAsia="zh-CN"/>
        </w:rPr>
        <w:t>Por consiguiente</w:t>
      </w:r>
      <w:r w:rsidRPr="00297B30">
        <w:rPr>
          <w:lang w:val="es-ES_tradnl" w:eastAsia="zh-CN"/>
        </w:rPr>
        <w:t xml:space="preserve">, </w:t>
      </w:r>
      <w:r>
        <w:rPr>
          <w:lang w:val="es-ES_tradnl" w:eastAsia="zh-CN"/>
        </w:rPr>
        <w:t xml:space="preserve">a fin de lograr una </w:t>
      </w:r>
      <w:r w:rsidRPr="00297B30">
        <w:rPr>
          <w:lang w:val="es-ES_tradnl" w:eastAsia="zh-CN"/>
        </w:rPr>
        <w:t xml:space="preserve">BER </w:t>
      </w:r>
      <w:r>
        <w:rPr>
          <w:lang w:val="es-ES_tradnl" w:eastAsia="zh-CN"/>
        </w:rPr>
        <w:t xml:space="preserve">de </w:t>
      </w:r>
      <w:r w:rsidRPr="00297B30">
        <w:rPr>
          <w:lang w:val="es-ES_tradnl" w:eastAsia="zh-CN"/>
        </w:rPr>
        <w:t>5 × 10</w:t>
      </w:r>
      <w:r w:rsidRPr="00297B30">
        <w:rPr>
          <w:vertAlign w:val="superscript"/>
          <w:lang w:val="es-ES_tradnl" w:eastAsia="zh-CN"/>
        </w:rPr>
        <w:t>–5</w:t>
      </w:r>
      <w:r w:rsidRPr="00297B30">
        <w:rPr>
          <w:lang w:val="es-ES_tradnl" w:eastAsia="zh-CN"/>
        </w:rPr>
        <w:t xml:space="preserve"> </w:t>
      </w:r>
      <w:r>
        <w:rPr>
          <w:lang w:val="es-ES_tradnl" w:eastAsia="zh-CN"/>
        </w:rPr>
        <w:t xml:space="preserve">la máxima degradación aceptable es de </w:t>
      </w:r>
      <w:r w:rsidRPr="00297B30">
        <w:rPr>
          <w:lang w:val="es-ES_tradnl" w:eastAsia="zh-CN"/>
        </w:rPr>
        <w:t>0</w:t>
      </w:r>
      <w:r>
        <w:rPr>
          <w:lang w:val="es-ES_tradnl" w:eastAsia="zh-CN"/>
        </w:rPr>
        <w:t>,</w:t>
      </w:r>
      <w:r w:rsidRPr="00297B30">
        <w:rPr>
          <w:lang w:val="es-ES_tradnl" w:eastAsia="zh-CN"/>
        </w:rPr>
        <w:t xml:space="preserve">9 dB. </w:t>
      </w:r>
      <w:r>
        <w:rPr>
          <w:lang w:val="es-ES_tradnl" w:eastAsia="zh-CN"/>
        </w:rPr>
        <w:t xml:space="preserve">A </w:t>
      </w:r>
      <w:r w:rsidRPr="00297B30">
        <w:rPr>
          <w:i/>
          <w:lang w:val="es-ES_tradnl" w:eastAsia="zh-CN"/>
        </w:rPr>
        <w:t>E</w:t>
      </w:r>
      <w:r w:rsidRPr="00297B30">
        <w:rPr>
          <w:i/>
          <w:vertAlign w:val="subscript"/>
          <w:lang w:val="es-ES_tradnl" w:eastAsia="zh-CN"/>
        </w:rPr>
        <w:t>b</w:t>
      </w:r>
      <w:r w:rsidRPr="00297B30">
        <w:rPr>
          <w:i/>
          <w:lang w:val="es-ES_tradnl" w:eastAsia="zh-CN"/>
        </w:rPr>
        <w:t>/N</w:t>
      </w:r>
      <w:r w:rsidRPr="00297B30">
        <w:rPr>
          <w:iCs/>
          <w:vertAlign w:val="subscript"/>
          <w:lang w:val="es-ES_tradnl" w:eastAsia="zh-CN"/>
        </w:rPr>
        <w:t>0</w:t>
      </w:r>
      <w:r w:rsidRPr="00297B30">
        <w:rPr>
          <w:lang w:val="es-ES_tradnl" w:eastAsia="zh-CN"/>
        </w:rPr>
        <w:t xml:space="preserve"> = 8</w:t>
      </w:r>
      <w:r>
        <w:rPr>
          <w:lang w:val="es-ES_tradnl" w:eastAsia="zh-CN"/>
        </w:rPr>
        <w:t>,</w:t>
      </w:r>
      <w:r w:rsidRPr="00297B30">
        <w:rPr>
          <w:lang w:val="es-ES_tradnl" w:eastAsia="zh-CN"/>
        </w:rPr>
        <w:t xml:space="preserve">8 dB, </w:t>
      </w:r>
      <w:r>
        <w:rPr>
          <w:lang w:val="es-ES_tradnl" w:eastAsia="zh-CN"/>
        </w:rPr>
        <w:t xml:space="preserve">la </w:t>
      </w:r>
      <w:r w:rsidRPr="00297B30">
        <w:rPr>
          <w:lang w:val="es-ES_tradnl" w:eastAsia="zh-CN"/>
        </w:rPr>
        <w:t xml:space="preserve">BER </w:t>
      </w:r>
      <w:r>
        <w:rPr>
          <w:lang w:val="es-ES_tradnl" w:eastAsia="zh-CN"/>
        </w:rPr>
        <w:t xml:space="preserve">es igual a </w:t>
      </w:r>
      <w:r w:rsidRPr="00297B30">
        <w:rPr>
          <w:lang w:val="es-ES_tradnl" w:eastAsia="zh-CN"/>
        </w:rPr>
        <w:t>5 × 10</w:t>
      </w:r>
      <w:r w:rsidRPr="00297B30">
        <w:rPr>
          <w:vertAlign w:val="superscript"/>
          <w:lang w:val="es-ES_tradnl" w:eastAsia="zh-CN"/>
        </w:rPr>
        <w:t>−5</w:t>
      </w:r>
      <w:r w:rsidRPr="00297B30">
        <w:rPr>
          <w:lang w:val="es-ES_tradnl" w:eastAsia="zh-CN"/>
        </w:rPr>
        <w:t>.</w:t>
      </w:r>
    </w:p>
    <w:p w:rsidR="00543337" w:rsidRPr="00297B30" w:rsidRDefault="00543337" w:rsidP="00543337">
      <w:pPr>
        <w:rPr>
          <w:lang w:val="es-ES_tradnl" w:eastAsia="zh-CN"/>
        </w:rPr>
      </w:pPr>
      <w:r>
        <w:rPr>
          <w:lang w:val="es-ES_tradnl" w:eastAsia="zh-CN"/>
        </w:rPr>
        <w:t>A continuación se calcula</w:t>
      </w:r>
      <w:r w:rsidRPr="00297B30">
        <w:rPr>
          <w:lang w:val="es-ES_tradnl" w:eastAsia="zh-CN"/>
        </w:rPr>
        <w:t xml:space="preserve"> </w:t>
      </w:r>
      <w:r>
        <w:rPr>
          <w:lang w:val="es-ES_tradnl" w:eastAsia="zh-CN"/>
        </w:rPr>
        <w:t xml:space="preserve">el ruido aditivo correspondiente a la degradación de </w:t>
      </w:r>
      <w:r w:rsidRPr="00297B30">
        <w:rPr>
          <w:lang w:val="es-ES_tradnl" w:eastAsia="zh-CN"/>
        </w:rPr>
        <w:t>0</w:t>
      </w:r>
      <w:r>
        <w:rPr>
          <w:lang w:val="es-ES_tradnl" w:eastAsia="zh-CN"/>
        </w:rPr>
        <w:t>,</w:t>
      </w:r>
      <w:r w:rsidRPr="00297B30">
        <w:rPr>
          <w:lang w:val="es-ES_tradnl" w:eastAsia="zh-CN"/>
        </w:rPr>
        <w:t xml:space="preserve">9 dB </w:t>
      </w:r>
      <w:r>
        <w:rPr>
          <w:lang w:val="es-ES_tradnl" w:eastAsia="zh-CN"/>
        </w:rPr>
        <w:t xml:space="preserve">para </w:t>
      </w:r>
      <w:r w:rsidRPr="00297B30">
        <w:rPr>
          <w:i/>
          <w:lang w:val="es-ES_tradnl" w:eastAsia="zh-CN"/>
        </w:rPr>
        <w:t>C/N</w:t>
      </w:r>
      <w:r w:rsidRPr="00297B30">
        <w:rPr>
          <w:iCs/>
          <w:vertAlign w:val="subscript"/>
          <w:lang w:val="es-ES_tradnl" w:eastAsia="zh-CN"/>
        </w:rPr>
        <w:t>0</w:t>
      </w:r>
      <w:r w:rsidRPr="00297B30">
        <w:rPr>
          <w:lang w:val="es-ES_tradnl" w:eastAsia="zh-CN"/>
        </w:rPr>
        <w:t xml:space="preserve">. </w:t>
      </w:r>
      <w:r>
        <w:rPr>
          <w:lang w:val="es-ES_tradnl" w:eastAsia="zh-CN"/>
        </w:rPr>
        <w:t xml:space="preserve">Sea </w:t>
      </w:r>
      <w:r w:rsidRPr="00297B30">
        <w:rPr>
          <w:i/>
          <w:lang w:val="es-ES_tradnl" w:eastAsia="zh-CN"/>
        </w:rPr>
        <w:t>I</w:t>
      </w:r>
      <w:r w:rsidRPr="00297B30">
        <w:rPr>
          <w:iCs/>
          <w:vertAlign w:val="subscript"/>
          <w:lang w:val="es-ES_tradnl" w:eastAsia="zh-CN"/>
        </w:rPr>
        <w:t>0</w:t>
      </w:r>
      <w:r w:rsidRPr="00297B30">
        <w:rPr>
          <w:lang w:val="es-ES_tradnl" w:eastAsia="zh-CN"/>
        </w:rPr>
        <w:t xml:space="preserve"> </w:t>
      </w:r>
      <w:r>
        <w:rPr>
          <w:lang w:val="es-ES_tradnl" w:eastAsia="zh-CN"/>
        </w:rPr>
        <w:t>la densidad de potencia de ruido aditiva procedente de las fuentes de interferencia</w:t>
      </w:r>
      <w:r w:rsidRPr="00297B30">
        <w:rPr>
          <w:lang w:val="es-ES_tradnl" w:eastAsia="zh-CN"/>
        </w:rPr>
        <w:t>.</w:t>
      </w:r>
    </w:p>
    <w:p w:rsidR="00543337" w:rsidRPr="00297B30" w:rsidRDefault="00543337" w:rsidP="00543337">
      <w:pPr>
        <w:rPr>
          <w:lang w:val="es-ES_tradnl" w:eastAsia="zh-CN"/>
        </w:rPr>
      </w:pPr>
      <w:r>
        <w:rPr>
          <w:lang w:val="es-ES_tradnl" w:eastAsia="zh-CN"/>
        </w:rPr>
        <w:t xml:space="preserve">El ruido </w:t>
      </w:r>
      <w:r w:rsidRPr="00297B30">
        <w:rPr>
          <w:i/>
          <w:lang w:val="es-ES_tradnl" w:eastAsia="zh-CN"/>
        </w:rPr>
        <w:t>N</w:t>
      </w:r>
      <w:r w:rsidRPr="00297B30">
        <w:rPr>
          <w:iCs/>
          <w:vertAlign w:val="subscript"/>
          <w:lang w:val="es-ES_tradnl" w:eastAsia="zh-CN"/>
        </w:rPr>
        <w:t>0</w:t>
      </w:r>
      <w:r w:rsidRPr="00297B30">
        <w:rPr>
          <w:lang w:val="es-ES_tradnl" w:eastAsia="zh-CN"/>
        </w:rPr>
        <w:t xml:space="preserve"> </w:t>
      </w:r>
      <w:r>
        <w:rPr>
          <w:lang w:val="es-ES_tradnl" w:eastAsia="zh-CN"/>
        </w:rPr>
        <w:t xml:space="preserve">inicial se convierte en </w:t>
      </w:r>
      <w:r w:rsidRPr="00297B30">
        <w:rPr>
          <w:i/>
          <w:lang w:val="es-ES_tradnl" w:eastAsia="zh-CN"/>
        </w:rPr>
        <w:t>N</w:t>
      </w:r>
      <w:r w:rsidRPr="00297B30">
        <w:rPr>
          <w:iCs/>
          <w:vertAlign w:val="subscript"/>
          <w:lang w:val="es-ES_tradnl" w:eastAsia="zh-CN"/>
        </w:rPr>
        <w:t>0</w:t>
      </w:r>
      <w:r w:rsidRPr="00297B30">
        <w:rPr>
          <w:i/>
          <w:lang w:val="es-ES_tradnl" w:eastAsia="zh-CN"/>
        </w:rPr>
        <w:t xml:space="preserve"> + I</w:t>
      </w:r>
      <w:r w:rsidRPr="00297B30">
        <w:rPr>
          <w:iCs/>
          <w:vertAlign w:val="subscript"/>
          <w:lang w:val="es-ES_tradnl" w:eastAsia="zh-CN"/>
        </w:rPr>
        <w:t>0</w:t>
      </w:r>
      <w:r w:rsidRPr="00297B30">
        <w:rPr>
          <w:lang w:val="es-ES_tradnl" w:eastAsia="zh-CN"/>
        </w:rPr>
        <w:t xml:space="preserve">. </w:t>
      </w:r>
      <w:r>
        <w:rPr>
          <w:lang w:val="es-ES_tradnl" w:eastAsia="zh-CN"/>
        </w:rPr>
        <w:t xml:space="preserve">La relación portadora-ruido </w:t>
      </w:r>
      <w:r w:rsidRPr="00297B30">
        <w:rPr>
          <w:i/>
          <w:lang w:val="es-ES_tradnl" w:eastAsia="zh-CN"/>
        </w:rPr>
        <w:t>C/N</w:t>
      </w:r>
      <w:r w:rsidRPr="00297B30">
        <w:rPr>
          <w:iCs/>
          <w:vertAlign w:val="subscript"/>
          <w:lang w:val="es-ES_tradnl" w:eastAsia="zh-CN"/>
        </w:rPr>
        <w:t>0</w:t>
      </w:r>
      <w:r w:rsidRPr="00297B30">
        <w:rPr>
          <w:lang w:val="es-ES_tradnl" w:eastAsia="zh-CN"/>
        </w:rPr>
        <w:t xml:space="preserve"> </w:t>
      </w:r>
      <w:r>
        <w:rPr>
          <w:lang w:val="es-ES_tradnl" w:eastAsia="zh-CN"/>
        </w:rPr>
        <w:t xml:space="preserve">se convierte en </w:t>
      </w:r>
      <w:r w:rsidRPr="00297B30">
        <w:rPr>
          <w:i/>
          <w:lang w:val="es-ES_tradnl" w:eastAsia="zh-CN"/>
        </w:rPr>
        <w:t>C</w:t>
      </w:r>
      <w:r w:rsidRPr="00297B30">
        <w:rPr>
          <w:iCs/>
          <w:lang w:val="es-ES_tradnl" w:eastAsia="zh-CN"/>
        </w:rPr>
        <w:t>/(</w:t>
      </w:r>
      <w:r w:rsidRPr="00297B30">
        <w:rPr>
          <w:i/>
          <w:lang w:val="es-ES_tradnl" w:eastAsia="zh-CN"/>
        </w:rPr>
        <w:t>N</w:t>
      </w:r>
      <w:r w:rsidRPr="00297B30">
        <w:rPr>
          <w:iCs/>
          <w:vertAlign w:val="subscript"/>
          <w:lang w:val="es-ES_tradnl" w:eastAsia="zh-CN"/>
        </w:rPr>
        <w:t>0</w:t>
      </w:r>
      <w:r>
        <w:rPr>
          <w:i/>
          <w:lang w:val="es-ES_tradnl" w:eastAsia="zh-CN"/>
        </w:rPr>
        <w:t> </w:t>
      </w:r>
      <w:r w:rsidRPr="00297B30">
        <w:rPr>
          <w:i/>
          <w:lang w:val="es-ES_tradnl" w:eastAsia="zh-CN"/>
        </w:rPr>
        <w:t>+</w:t>
      </w:r>
      <w:r>
        <w:rPr>
          <w:i/>
          <w:lang w:val="es-ES_tradnl" w:eastAsia="zh-CN"/>
        </w:rPr>
        <w:t> </w:t>
      </w:r>
      <w:r w:rsidRPr="00297B30">
        <w:rPr>
          <w:i/>
          <w:lang w:val="es-ES_tradnl" w:eastAsia="zh-CN"/>
        </w:rPr>
        <w:t>I</w:t>
      </w:r>
      <w:r w:rsidRPr="00297B30">
        <w:rPr>
          <w:iCs/>
          <w:vertAlign w:val="subscript"/>
          <w:lang w:val="es-ES_tradnl" w:eastAsia="zh-CN"/>
        </w:rPr>
        <w:t>0</w:t>
      </w:r>
      <w:r w:rsidRPr="00297B30">
        <w:rPr>
          <w:iCs/>
          <w:lang w:val="es-ES_tradnl" w:eastAsia="zh-CN"/>
        </w:rPr>
        <w:t>)</w:t>
      </w:r>
      <w:r w:rsidRPr="00297B30">
        <w:rPr>
          <w:lang w:val="es-ES_tradnl" w:eastAsia="zh-CN"/>
        </w:rPr>
        <w:t>.</w:t>
      </w:r>
    </w:p>
    <w:p w:rsidR="00543337" w:rsidRPr="00297B30" w:rsidRDefault="00543337" w:rsidP="00543337">
      <w:pPr>
        <w:rPr>
          <w:lang w:val="es-ES_tradnl" w:eastAsia="zh-CN"/>
        </w:rPr>
      </w:pPr>
      <w:r>
        <w:rPr>
          <w:lang w:val="es-ES_tradnl" w:eastAsia="zh-CN"/>
        </w:rPr>
        <w:t>La degradación viene dada por</w:t>
      </w:r>
      <w:r w:rsidRPr="00297B30">
        <w:rPr>
          <w:lang w:val="es-ES_tradnl" w:eastAsia="zh-CN"/>
        </w:rPr>
        <w:t>:</w:t>
      </w:r>
    </w:p>
    <w:p w:rsidR="00543337" w:rsidRPr="00E60BAE" w:rsidRDefault="00543337" w:rsidP="00543337">
      <w:pPr>
        <w:pStyle w:val="Equation"/>
        <w:rPr>
          <w:lang w:val="en-GB" w:eastAsia="zh-CN"/>
        </w:rPr>
      </w:pPr>
      <w:r w:rsidRPr="00297B30">
        <w:rPr>
          <w:lang w:val="es-ES_tradnl" w:eastAsia="zh-CN"/>
        </w:rPr>
        <w:tab/>
      </w:r>
      <w:r w:rsidRPr="00297B30">
        <w:rPr>
          <w:lang w:val="es-ES_tradnl" w:eastAsia="zh-CN"/>
        </w:rPr>
        <w:tab/>
      </w:r>
      <w:r w:rsidRPr="00E60BAE">
        <w:rPr>
          <w:lang w:val="en-GB" w:eastAsia="zh-CN"/>
        </w:rPr>
        <w:t>0,9 dB = 10 log ((</w:t>
      </w:r>
      <w:r w:rsidRPr="00E60BAE">
        <w:rPr>
          <w:i/>
          <w:iCs/>
          <w:lang w:val="en-GB" w:eastAsia="zh-CN"/>
        </w:rPr>
        <w:t>C</w:t>
      </w:r>
      <w:r w:rsidRPr="00E60BAE">
        <w:rPr>
          <w:lang w:val="en-GB" w:eastAsia="zh-CN"/>
        </w:rPr>
        <w:t>/</w:t>
      </w:r>
      <w:r w:rsidRPr="00E60BAE">
        <w:rPr>
          <w:i/>
          <w:iCs/>
          <w:lang w:val="en-GB" w:eastAsia="zh-CN"/>
        </w:rPr>
        <w:t>N</w:t>
      </w:r>
      <w:r w:rsidRPr="00E60BAE">
        <w:rPr>
          <w:vertAlign w:val="subscript"/>
          <w:lang w:val="en-GB" w:eastAsia="zh-CN"/>
        </w:rPr>
        <w:t>0</w:t>
      </w:r>
      <w:r w:rsidRPr="00E60BAE">
        <w:rPr>
          <w:lang w:val="en-GB" w:eastAsia="zh-CN"/>
        </w:rPr>
        <w:t>)/(</w:t>
      </w:r>
      <w:r w:rsidRPr="00E60BAE">
        <w:rPr>
          <w:i/>
          <w:iCs/>
          <w:lang w:val="en-GB" w:eastAsia="zh-CN"/>
        </w:rPr>
        <w:t>C</w:t>
      </w:r>
      <w:r w:rsidRPr="00E60BAE">
        <w:rPr>
          <w:lang w:val="en-GB" w:eastAsia="zh-CN"/>
        </w:rPr>
        <w:t>/(</w:t>
      </w:r>
      <w:r w:rsidRPr="00E60BAE">
        <w:rPr>
          <w:i/>
          <w:iCs/>
          <w:lang w:val="en-GB" w:eastAsia="zh-CN"/>
        </w:rPr>
        <w:t>N</w:t>
      </w:r>
      <w:r w:rsidRPr="00E60BAE">
        <w:rPr>
          <w:vertAlign w:val="subscript"/>
          <w:lang w:val="en-GB" w:eastAsia="zh-CN"/>
        </w:rPr>
        <w:t>0</w:t>
      </w:r>
      <w:r w:rsidRPr="00E60BAE">
        <w:rPr>
          <w:lang w:val="en-GB" w:eastAsia="zh-CN"/>
        </w:rPr>
        <w:t xml:space="preserve"> + </w:t>
      </w:r>
      <w:r w:rsidRPr="00E60BAE">
        <w:rPr>
          <w:i/>
          <w:iCs/>
          <w:lang w:val="en-GB" w:eastAsia="zh-CN"/>
        </w:rPr>
        <w:t>I</w:t>
      </w:r>
      <w:r w:rsidRPr="00E60BAE">
        <w:rPr>
          <w:vertAlign w:val="subscript"/>
          <w:lang w:val="en-GB" w:eastAsia="zh-CN"/>
        </w:rPr>
        <w:t>0</w:t>
      </w:r>
      <w:r w:rsidRPr="00E60BAE">
        <w:rPr>
          <w:lang w:val="en-GB" w:eastAsia="zh-CN"/>
        </w:rPr>
        <w:t>)))</w:t>
      </w:r>
      <w:r w:rsidRPr="00E60BAE">
        <w:rPr>
          <w:lang w:val="en-GB" w:eastAsia="zh-CN"/>
        </w:rPr>
        <w:tab/>
        <w:t>(26)</w:t>
      </w:r>
    </w:p>
    <w:p w:rsidR="00543337" w:rsidRPr="00E60BAE" w:rsidRDefault="00543337" w:rsidP="00543337">
      <w:pPr>
        <w:rPr>
          <w:lang w:val="en-GB" w:eastAsia="zh-CN"/>
        </w:rPr>
      </w:pPr>
      <w:proofErr w:type="spellStart"/>
      <w:r w:rsidRPr="00E60BAE">
        <w:rPr>
          <w:lang w:val="en-GB" w:eastAsia="zh-CN"/>
        </w:rPr>
        <w:t>así</w:t>
      </w:r>
      <w:proofErr w:type="spellEnd"/>
      <w:r w:rsidRPr="00E60BAE">
        <w:rPr>
          <w:lang w:val="en-GB" w:eastAsia="zh-CN"/>
        </w:rPr>
        <w:t xml:space="preserve"> </w:t>
      </w:r>
      <w:r w:rsidRPr="00E60BAE">
        <w:rPr>
          <w:i/>
          <w:lang w:val="en-GB" w:eastAsia="zh-CN"/>
        </w:rPr>
        <w:t>I</w:t>
      </w:r>
      <w:r w:rsidRPr="00E60BAE">
        <w:rPr>
          <w:iCs/>
          <w:vertAlign w:val="subscript"/>
          <w:lang w:val="en-GB" w:eastAsia="zh-CN"/>
        </w:rPr>
        <w:t>0</w:t>
      </w:r>
      <w:r w:rsidRPr="00E60BAE">
        <w:rPr>
          <w:i/>
          <w:lang w:val="en-GB" w:eastAsia="zh-CN"/>
        </w:rPr>
        <w:t>/N</w:t>
      </w:r>
      <w:r w:rsidRPr="00E60BAE">
        <w:rPr>
          <w:iCs/>
          <w:vertAlign w:val="subscript"/>
          <w:lang w:val="en-GB" w:eastAsia="zh-CN"/>
        </w:rPr>
        <w:t>0</w:t>
      </w:r>
      <w:r w:rsidRPr="00E60BAE">
        <w:rPr>
          <w:i/>
          <w:lang w:val="en-GB" w:eastAsia="zh-CN"/>
        </w:rPr>
        <w:t xml:space="preserve"> </w:t>
      </w:r>
      <w:r w:rsidRPr="00E60BAE">
        <w:rPr>
          <w:lang w:val="en-GB" w:eastAsia="zh-CN"/>
        </w:rPr>
        <w:t>= –6</w:t>
      </w:r>
      <w:r>
        <w:rPr>
          <w:lang w:val="en-GB" w:eastAsia="zh-CN"/>
        </w:rPr>
        <w:t>,</w:t>
      </w:r>
      <w:r w:rsidRPr="00E60BAE">
        <w:rPr>
          <w:lang w:val="en-GB" w:eastAsia="zh-CN"/>
        </w:rPr>
        <w:t xml:space="preserve">38 dB e </w:t>
      </w:r>
      <w:r w:rsidRPr="00E60BAE">
        <w:rPr>
          <w:i/>
          <w:lang w:val="en-GB" w:eastAsia="zh-CN"/>
        </w:rPr>
        <w:t>I</w:t>
      </w:r>
      <w:r w:rsidRPr="00E60BAE">
        <w:rPr>
          <w:iCs/>
          <w:vertAlign w:val="subscript"/>
          <w:lang w:val="en-GB" w:eastAsia="zh-CN"/>
        </w:rPr>
        <w:t>0</w:t>
      </w:r>
      <w:r w:rsidRPr="00E60BAE">
        <w:rPr>
          <w:lang w:val="en-GB" w:eastAsia="zh-CN"/>
        </w:rPr>
        <w:t xml:space="preserve"> = −207</w:t>
      </w:r>
      <w:r>
        <w:rPr>
          <w:lang w:val="en-GB" w:eastAsia="zh-CN"/>
        </w:rPr>
        <w:t>,</w:t>
      </w:r>
      <w:r w:rsidRPr="00E60BAE">
        <w:rPr>
          <w:lang w:val="en-GB" w:eastAsia="zh-CN"/>
        </w:rPr>
        <w:t>28 dB(W/Hz).</w:t>
      </w:r>
    </w:p>
    <w:p w:rsidR="00543337" w:rsidRPr="00297B30" w:rsidRDefault="00543337" w:rsidP="00543337">
      <w:pPr>
        <w:rPr>
          <w:lang w:val="es-ES_tradnl" w:eastAsia="zh-CN"/>
        </w:rPr>
      </w:pPr>
      <w:r>
        <w:rPr>
          <w:lang w:val="es-ES_tradnl" w:eastAsia="zh-CN"/>
        </w:rPr>
        <w:t>Por consiguiente</w:t>
      </w:r>
      <w:r w:rsidRPr="00297B30">
        <w:rPr>
          <w:lang w:val="es-ES_tradnl" w:eastAsia="zh-CN"/>
        </w:rPr>
        <w:t xml:space="preserve">, </w:t>
      </w:r>
      <w:r>
        <w:rPr>
          <w:lang w:val="es-ES_tradnl" w:eastAsia="zh-CN"/>
        </w:rPr>
        <w:t xml:space="preserve">el nivel máximo aceptable de densidad de ruido es </w:t>
      </w:r>
      <w:r w:rsidRPr="00297B30">
        <w:rPr>
          <w:i/>
          <w:lang w:val="es-ES_tradnl" w:eastAsia="zh-CN"/>
        </w:rPr>
        <w:t>I</w:t>
      </w:r>
      <w:r w:rsidRPr="00297B30">
        <w:rPr>
          <w:iCs/>
          <w:vertAlign w:val="subscript"/>
          <w:lang w:val="es-ES_tradnl" w:eastAsia="zh-CN"/>
        </w:rPr>
        <w:t>0</w:t>
      </w:r>
      <w:r w:rsidRPr="00297B30">
        <w:rPr>
          <w:lang w:val="es-ES_tradnl" w:eastAsia="zh-CN"/>
        </w:rPr>
        <w:t xml:space="preserve"> = –207</w:t>
      </w:r>
      <w:r>
        <w:rPr>
          <w:lang w:val="es-ES_tradnl" w:eastAsia="zh-CN"/>
        </w:rPr>
        <w:t>,</w:t>
      </w:r>
      <w:r w:rsidRPr="00297B30">
        <w:rPr>
          <w:lang w:val="es-ES_tradnl" w:eastAsia="zh-CN"/>
        </w:rPr>
        <w:t>28 dB(W/Hz) (</w:t>
      </w:r>
      <w:r>
        <w:rPr>
          <w:lang w:val="es-ES_tradnl" w:eastAsia="zh-CN"/>
        </w:rPr>
        <w:t xml:space="preserve">calculado a la entrada del receptor PL de </w:t>
      </w:r>
      <w:r w:rsidRPr="00297B30">
        <w:rPr>
          <w:lang w:val="es-ES_tradnl" w:eastAsia="zh-CN"/>
        </w:rPr>
        <w:t>SAR).</w:t>
      </w:r>
    </w:p>
    <w:p w:rsidR="00543337" w:rsidRPr="00297B30" w:rsidRDefault="00543337" w:rsidP="00543337">
      <w:pPr>
        <w:rPr>
          <w:lang w:val="es-ES_tradnl" w:eastAsia="zh-CN"/>
        </w:rPr>
      </w:pPr>
      <w:r>
        <w:rPr>
          <w:lang w:val="es-ES_tradnl" w:eastAsia="zh-CN"/>
        </w:rPr>
        <w:t>La densidad de ruido</w:t>
      </w:r>
      <w:r w:rsidRPr="00297B30">
        <w:rPr>
          <w:lang w:val="es-ES_tradnl" w:eastAsia="zh-CN"/>
        </w:rPr>
        <w:t xml:space="preserve">, </w:t>
      </w:r>
      <w:r w:rsidRPr="00297B30">
        <w:rPr>
          <w:i/>
          <w:iCs/>
          <w:lang w:val="es-ES_tradnl" w:eastAsia="zh-CN"/>
        </w:rPr>
        <w:t>I</w:t>
      </w:r>
      <w:r w:rsidRPr="00297B30">
        <w:rPr>
          <w:vertAlign w:val="subscript"/>
          <w:lang w:val="es-ES_tradnl" w:eastAsia="zh-CN"/>
        </w:rPr>
        <w:t>0</w:t>
      </w:r>
      <w:r>
        <w:rPr>
          <w:lang w:val="es-ES_tradnl" w:eastAsia="zh-CN"/>
        </w:rPr>
        <w:t>, tiene en cuenta la atenuación y la ganancia de la antena</w:t>
      </w:r>
      <w:r w:rsidRPr="00297B30">
        <w:rPr>
          <w:lang w:val="es-ES_tradnl" w:eastAsia="zh-CN"/>
        </w:rPr>
        <w:t xml:space="preserve">. </w:t>
      </w:r>
      <w:r>
        <w:rPr>
          <w:lang w:val="es-ES_tradnl" w:eastAsia="zh-CN"/>
        </w:rPr>
        <w:t>Como se requiere obtener el valor de la densidad espectral de flujo de potencia</w:t>
      </w:r>
      <w:r w:rsidRPr="00297B30">
        <w:rPr>
          <w:lang w:val="es-ES_tradnl" w:eastAsia="zh-CN"/>
        </w:rPr>
        <w:t xml:space="preserve">, </w:t>
      </w:r>
      <w:r>
        <w:rPr>
          <w:lang w:val="es-ES_tradnl" w:eastAsia="zh-CN"/>
        </w:rPr>
        <w:t xml:space="preserve">es necesario transformar este valor en </w:t>
      </w:r>
      <w:r w:rsidRPr="00297B30">
        <w:rPr>
          <w:lang w:val="es-ES_tradnl" w:eastAsia="zh-CN"/>
        </w:rPr>
        <w:t>dB(W/(m</w:t>
      </w:r>
      <w:r w:rsidRPr="00297B30">
        <w:rPr>
          <w:vertAlign w:val="superscript"/>
          <w:lang w:val="es-ES_tradnl" w:eastAsia="zh-CN"/>
        </w:rPr>
        <w:t>2</w:t>
      </w:r>
      <w:r w:rsidRPr="00297B30">
        <w:rPr>
          <w:lang w:val="es-ES_tradnl" w:eastAsia="zh-CN"/>
        </w:rPr>
        <w:t xml:space="preserve"> Hz)).</w:t>
      </w:r>
    </w:p>
    <w:p w:rsidR="00543337" w:rsidRPr="00297B30" w:rsidRDefault="00543337" w:rsidP="00543337">
      <w:pPr>
        <w:rPr>
          <w:lang w:val="es-ES_tradnl" w:eastAsia="zh-CN"/>
        </w:rPr>
      </w:pPr>
      <w:r>
        <w:rPr>
          <w:lang w:val="es-ES_tradnl" w:eastAsia="zh-CN"/>
        </w:rPr>
        <w:t xml:space="preserve">La superficie equivalente de una antena de ganancia </w:t>
      </w:r>
      <w:r w:rsidRPr="00297B30">
        <w:rPr>
          <w:i/>
          <w:iCs/>
          <w:lang w:val="es-ES_tradnl" w:eastAsia="zh-CN"/>
        </w:rPr>
        <w:t>G</w:t>
      </w:r>
      <w:r w:rsidRPr="00297B30">
        <w:rPr>
          <w:lang w:val="es-ES_tradnl" w:eastAsia="zh-CN"/>
        </w:rPr>
        <w:t xml:space="preserve"> </w:t>
      </w:r>
      <w:r>
        <w:rPr>
          <w:lang w:val="es-ES_tradnl" w:eastAsia="zh-CN"/>
        </w:rPr>
        <w:t>e</w:t>
      </w:r>
      <w:r w:rsidRPr="00297B30">
        <w:rPr>
          <w:lang w:val="es-ES_tradnl" w:eastAsia="zh-CN"/>
        </w:rPr>
        <w:t xml:space="preserve">s </w:t>
      </w:r>
      <w:r w:rsidRPr="00297B30">
        <w:rPr>
          <w:position w:val="-24"/>
          <w:lang w:val="es-ES_tradnl"/>
        </w:rPr>
        <w:object w:dxaOrig="900" w:dyaOrig="680">
          <v:shape id="_x0000_i1091" type="#_x0000_t75" style="width:44.15pt;height:33.95pt" o:ole="">
            <v:imagedata r:id="rId31" o:title=""/>
          </v:shape>
          <o:OLEObject Type="Embed" ProgID="Equation.3" ShapeID="_x0000_i1091" DrawAspect="Content" ObjectID="_1501062662" r:id="rId145"/>
        </w:object>
      </w:r>
      <w:r w:rsidRPr="00297B30">
        <w:rPr>
          <w:lang w:val="es-ES_tradnl" w:eastAsia="zh-CN"/>
        </w:rPr>
        <w:t xml:space="preserve">. </w:t>
      </w:r>
      <w:r w:rsidRPr="00297B30">
        <w:rPr>
          <w:i/>
          <w:iCs/>
          <w:lang w:val="es-ES_tradnl" w:eastAsia="zh-CN"/>
        </w:rPr>
        <w:t>G</w:t>
      </w:r>
      <w:r w:rsidRPr="00297B30">
        <w:rPr>
          <w:lang w:val="es-ES_tradnl" w:eastAsia="zh-CN"/>
        </w:rPr>
        <w:t xml:space="preserve"> </w:t>
      </w:r>
      <w:r>
        <w:rPr>
          <w:lang w:val="es-ES_tradnl" w:eastAsia="zh-CN"/>
        </w:rPr>
        <w:t xml:space="preserve">oscila entre </w:t>
      </w:r>
      <w:r w:rsidRPr="00297B30">
        <w:rPr>
          <w:lang w:val="es-ES_tradnl" w:eastAsia="zh-CN"/>
        </w:rPr>
        <w:t>11</w:t>
      </w:r>
      <w:r>
        <w:rPr>
          <w:lang w:val="es-ES_tradnl" w:eastAsia="zh-CN"/>
        </w:rPr>
        <w:t>,</w:t>
      </w:r>
      <w:r w:rsidRPr="00297B30">
        <w:rPr>
          <w:lang w:val="es-ES_tradnl" w:eastAsia="zh-CN"/>
        </w:rPr>
        <w:t xml:space="preserve">6 </w:t>
      </w:r>
      <w:r>
        <w:rPr>
          <w:lang w:val="es-ES_tradnl" w:eastAsia="zh-CN"/>
        </w:rPr>
        <w:t xml:space="preserve">y </w:t>
      </w:r>
      <w:r w:rsidRPr="00297B30">
        <w:rPr>
          <w:lang w:val="es-ES_tradnl" w:eastAsia="zh-CN"/>
        </w:rPr>
        <w:t>13 </w:t>
      </w:r>
      <w:proofErr w:type="spellStart"/>
      <w:r w:rsidRPr="00297B30">
        <w:rPr>
          <w:lang w:val="es-ES_tradnl" w:eastAsia="zh-CN"/>
        </w:rPr>
        <w:t>dBi</w:t>
      </w:r>
      <w:proofErr w:type="spellEnd"/>
      <w:r w:rsidRPr="00297B30">
        <w:rPr>
          <w:lang w:val="es-ES_tradnl" w:eastAsia="zh-CN"/>
        </w:rPr>
        <w:t>.</w:t>
      </w:r>
    </w:p>
    <w:p w:rsidR="00543337" w:rsidRPr="00297B30" w:rsidRDefault="00543337" w:rsidP="00543337">
      <w:pPr>
        <w:rPr>
          <w:lang w:val="es-ES_tradnl" w:eastAsia="zh-CN"/>
        </w:rPr>
      </w:pPr>
      <w:r w:rsidRPr="00297B30">
        <w:rPr>
          <w:i/>
          <w:iCs/>
          <w:lang w:val="es-ES_tradnl" w:eastAsia="zh-CN"/>
        </w:rPr>
        <w:t>S</w:t>
      </w:r>
      <w:r w:rsidRPr="00297B30">
        <w:rPr>
          <w:lang w:val="es-ES_tradnl" w:eastAsia="zh-CN"/>
        </w:rPr>
        <w:t> = −0</w:t>
      </w:r>
      <w:r>
        <w:rPr>
          <w:lang w:val="es-ES_tradnl" w:eastAsia="zh-CN"/>
        </w:rPr>
        <w:t>,</w:t>
      </w:r>
      <w:r w:rsidRPr="00297B30">
        <w:rPr>
          <w:lang w:val="es-ES_tradnl" w:eastAsia="zh-CN"/>
        </w:rPr>
        <w:t>6 dB(m</w:t>
      </w:r>
      <w:r w:rsidRPr="00297B30">
        <w:rPr>
          <w:vertAlign w:val="superscript"/>
          <w:lang w:val="es-ES_tradnl" w:eastAsia="zh-CN"/>
        </w:rPr>
        <w:t>2</w:t>
      </w:r>
      <w:r w:rsidRPr="00297B30">
        <w:rPr>
          <w:lang w:val="es-ES_tradnl" w:eastAsia="zh-CN"/>
        </w:rPr>
        <w:t>) (</w:t>
      </w:r>
      <w:r>
        <w:rPr>
          <w:lang w:val="es-ES_tradnl" w:eastAsia="zh-CN"/>
        </w:rPr>
        <w:t xml:space="preserve">suponiendo una eficiencia de </w:t>
      </w:r>
      <w:r w:rsidRPr="00297B30">
        <w:rPr>
          <w:lang w:val="es-ES_tradnl" w:eastAsia="zh-CN"/>
        </w:rPr>
        <w:t>0</w:t>
      </w:r>
      <w:r>
        <w:rPr>
          <w:lang w:val="es-ES_tradnl" w:eastAsia="zh-CN"/>
        </w:rPr>
        <w:t>,</w:t>
      </w:r>
      <w:r w:rsidRPr="00297B30">
        <w:rPr>
          <w:lang w:val="es-ES_tradnl" w:eastAsia="zh-CN"/>
        </w:rPr>
        <w:t xml:space="preserve">7% </w:t>
      </w:r>
      <w:r>
        <w:rPr>
          <w:lang w:val="es-ES_tradnl" w:eastAsia="zh-CN"/>
        </w:rPr>
        <w:t xml:space="preserve">y una ganancia máxima de </w:t>
      </w:r>
      <w:r w:rsidRPr="00297B30">
        <w:rPr>
          <w:lang w:val="es-ES_tradnl" w:eastAsia="zh-CN"/>
        </w:rPr>
        <w:t xml:space="preserve">= 13 </w:t>
      </w:r>
      <w:proofErr w:type="spellStart"/>
      <w:r w:rsidRPr="00297B30">
        <w:rPr>
          <w:lang w:val="es-ES_tradnl" w:eastAsia="zh-CN"/>
        </w:rPr>
        <w:t>dBi</w:t>
      </w:r>
      <w:proofErr w:type="spellEnd"/>
      <w:r w:rsidRPr="00297B30">
        <w:rPr>
          <w:lang w:val="es-ES_tradnl" w:eastAsia="zh-CN"/>
        </w:rPr>
        <w:t>).</w:t>
      </w:r>
    </w:p>
    <w:p w:rsidR="00543337" w:rsidRPr="00297B30" w:rsidRDefault="00543337" w:rsidP="00543337">
      <w:pPr>
        <w:rPr>
          <w:lang w:val="es-ES_tradnl" w:eastAsia="zh-CN"/>
        </w:rPr>
      </w:pPr>
      <w:r>
        <w:rPr>
          <w:lang w:val="es-ES_tradnl" w:eastAsia="zh-CN"/>
        </w:rPr>
        <w:t>Por tanto</w:t>
      </w:r>
      <w:r w:rsidRPr="00297B30">
        <w:rPr>
          <w:lang w:val="es-ES_tradnl" w:eastAsia="zh-CN"/>
        </w:rPr>
        <w:t xml:space="preserve">, </w:t>
      </w:r>
      <w:r>
        <w:rPr>
          <w:lang w:val="es-ES_tradnl" w:eastAsia="zh-CN"/>
        </w:rPr>
        <w:t>la correspondiente densidad espectral de flujo de potencia del satélite es igual a</w:t>
      </w:r>
      <w:r w:rsidRPr="00297B30">
        <w:rPr>
          <w:lang w:val="es-ES_tradnl" w:eastAsia="zh-CN"/>
        </w:rPr>
        <w:t>:</w:t>
      </w:r>
    </w:p>
    <w:p w:rsidR="00543337" w:rsidRPr="0034367C" w:rsidRDefault="00543337" w:rsidP="00543337">
      <w:pPr>
        <w:pStyle w:val="Blanc"/>
        <w:rPr>
          <w:lang w:val="es-ES_tradnl"/>
        </w:rPr>
      </w:pPr>
    </w:p>
    <w:p w:rsidR="00543337" w:rsidRPr="00297B30" w:rsidRDefault="00543337" w:rsidP="00543337">
      <w:pPr>
        <w:pStyle w:val="Equation"/>
        <w:rPr>
          <w:lang w:val="es-ES_tradnl" w:eastAsia="zh-CN"/>
        </w:rPr>
      </w:pPr>
      <w:r w:rsidRPr="00297B30">
        <w:rPr>
          <w:lang w:val="es-ES_tradnl" w:eastAsia="zh-CN"/>
        </w:rPr>
        <w:tab/>
      </w:r>
      <w:proofErr w:type="spellStart"/>
      <w:r w:rsidRPr="00FB588F">
        <w:rPr>
          <w:i/>
          <w:iCs/>
          <w:lang w:val="es-ES_tradnl" w:eastAsia="zh-CN"/>
        </w:rPr>
        <w:t>dfp</w:t>
      </w:r>
      <w:proofErr w:type="spellEnd"/>
      <w:r w:rsidRPr="00FB588F">
        <w:rPr>
          <w:i/>
          <w:iCs/>
          <w:lang w:val="es-ES_tradnl" w:eastAsia="zh-CN"/>
        </w:rPr>
        <w:t xml:space="preserve"> espectral</w:t>
      </w:r>
      <w:r>
        <w:rPr>
          <w:lang w:val="es-ES_tradnl" w:eastAsia="zh-CN"/>
        </w:rPr>
        <w:t xml:space="preserve"> </w:t>
      </w:r>
      <w:r w:rsidRPr="00297B30">
        <w:rPr>
          <w:lang w:val="es-ES_tradnl" w:eastAsia="zh-CN"/>
        </w:rPr>
        <w:t>= −207</w:t>
      </w:r>
      <w:r>
        <w:rPr>
          <w:lang w:val="es-ES_tradnl" w:eastAsia="zh-CN"/>
        </w:rPr>
        <w:t>,</w:t>
      </w:r>
      <w:r w:rsidRPr="00297B30">
        <w:rPr>
          <w:lang w:val="es-ES_tradnl" w:eastAsia="zh-CN"/>
        </w:rPr>
        <w:t>28 + 0</w:t>
      </w:r>
      <w:r>
        <w:rPr>
          <w:lang w:val="es-ES_tradnl" w:eastAsia="zh-CN"/>
        </w:rPr>
        <w:t>,</w:t>
      </w:r>
      <w:r w:rsidRPr="00297B30">
        <w:rPr>
          <w:lang w:val="es-ES_tradnl" w:eastAsia="zh-CN"/>
        </w:rPr>
        <w:t>51 (</w:t>
      </w:r>
      <w:r>
        <w:rPr>
          <w:lang w:val="es-ES_tradnl" w:eastAsia="zh-CN"/>
        </w:rPr>
        <w:t>pérdidas</w:t>
      </w:r>
      <w:r w:rsidRPr="00297B30">
        <w:rPr>
          <w:lang w:val="es-ES_tradnl" w:eastAsia="zh-CN"/>
        </w:rPr>
        <w:t>) – (</w:t>
      </w:r>
      <w:r>
        <w:rPr>
          <w:lang w:val="es-ES_tradnl" w:eastAsia="zh-CN"/>
        </w:rPr>
        <w:t>–</w:t>
      </w:r>
      <w:r w:rsidRPr="00297B30">
        <w:rPr>
          <w:lang w:val="es-ES_tradnl" w:eastAsia="zh-CN"/>
        </w:rPr>
        <w:t>0</w:t>
      </w:r>
      <w:r>
        <w:rPr>
          <w:lang w:val="es-ES_tradnl" w:eastAsia="zh-CN"/>
        </w:rPr>
        <w:t>,</w:t>
      </w:r>
      <w:r w:rsidRPr="00297B30">
        <w:rPr>
          <w:lang w:val="es-ES_tradnl" w:eastAsia="zh-CN"/>
        </w:rPr>
        <w:t>6) = –206</w:t>
      </w:r>
      <w:r>
        <w:rPr>
          <w:lang w:val="es-ES_tradnl" w:eastAsia="zh-CN"/>
        </w:rPr>
        <w:t>,</w:t>
      </w:r>
      <w:r w:rsidRPr="00297B30">
        <w:rPr>
          <w:lang w:val="es-ES_tradnl" w:eastAsia="zh-CN"/>
        </w:rPr>
        <w:t>1 dB(W/(m</w:t>
      </w:r>
      <w:r w:rsidRPr="00297B30">
        <w:rPr>
          <w:vertAlign w:val="superscript"/>
          <w:lang w:val="es-ES_tradnl" w:eastAsia="zh-CN"/>
        </w:rPr>
        <w:t>2</w:t>
      </w:r>
      <w:r w:rsidRPr="00297B30">
        <w:rPr>
          <w:lang w:val="es-ES_tradnl" w:eastAsia="zh-CN"/>
        </w:rPr>
        <w:t xml:space="preserve"> Hz))</w:t>
      </w:r>
      <w:r w:rsidRPr="00297B30">
        <w:rPr>
          <w:b/>
          <w:lang w:val="es-ES_tradnl" w:eastAsia="zh-CN"/>
        </w:rPr>
        <w:tab/>
      </w:r>
      <w:r w:rsidRPr="00297B30">
        <w:rPr>
          <w:lang w:val="es-ES_tradnl" w:eastAsia="zh-CN"/>
        </w:rPr>
        <w:t>(27)</w:t>
      </w:r>
    </w:p>
    <w:p w:rsidR="00543337" w:rsidRPr="002156BD" w:rsidRDefault="00543337" w:rsidP="00543337">
      <w:pPr>
        <w:pStyle w:val="Blanc"/>
        <w:rPr>
          <w:lang w:val="es-ES_tradnl"/>
        </w:rPr>
      </w:pPr>
    </w:p>
    <w:p w:rsidR="00543337" w:rsidRPr="00297B30" w:rsidRDefault="00543337" w:rsidP="00543337">
      <w:pPr>
        <w:rPr>
          <w:lang w:val="es-ES_tradnl" w:eastAsia="zh-CN"/>
        </w:rPr>
      </w:pPr>
      <w:r>
        <w:rPr>
          <w:lang w:val="es-ES_tradnl" w:eastAsia="zh-CN"/>
        </w:rPr>
        <w:t>teniendo en cuenta el ángulo nadir máximo del satélite</w:t>
      </w:r>
      <w:r w:rsidRPr="00297B30">
        <w:rPr>
          <w:lang w:val="es-ES_tradnl" w:eastAsia="zh-CN"/>
        </w:rPr>
        <w:t>.</w:t>
      </w:r>
    </w:p>
    <w:p w:rsidR="00543337" w:rsidRPr="00297B30" w:rsidRDefault="00543337" w:rsidP="00543337">
      <w:pPr>
        <w:rPr>
          <w:lang w:val="es-ES_tradnl" w:eastAsia="zh-CN"/>
        </w:rPr>
      </w:pPr>
      <w:r>
        <w:rPr>
          <w:lang w:val="es-ES_tradnl" w:eastAsia="zh-CN"/>
        </w:rPr>
        <w:t>A la entrada del satélite</w:t>
      </w:r>
      <w:r w:rsidRPr="00297B30">
        <w:rPr>
          <w:lang w:val="es-ES_tradnl" w:eastAsia="zh-CN"/>
        </w:rPr>
        <w:t xml:space="preserve">, </w:t>
      </w:r>
      <w:r>
        <w:rPr>
          <w:lang w:val="es-ES_tradnl" w:eastAsia="zh-CN"/>
        </w:rPr>
        <w:t xml:space="preserve">el nivel máximo de interferencia de ruido de banda ancha en la banda </w:t>
      </w:r>
      <w:r w:rsidRPr="00297B30">
        <w:rPr>
          <w:lang w:val="es-ES_tradnl" w:eastAsia="zh-CN"/>
        </w:rPr>
        <w:t>406</w:t>
      </w:r>
      <w:r w:rsidRPr="00297B30">
        <w:rPr>
          <w:lang w:val="es-ES_tradnl" w:eastAsia="zh-CN"/>
        </w:rPr>
        <w:noBreakHyphen/>
      </w:r>
      <w:r w:rsidRPr="00297B30">
        <w:rPr>
          <w:szCs w:val="24"/>
          <w:lang w:val="es-ES_tradnl" w:eastAsia="zh-CN"/>
        </w:rPr>
        <w:t>406</w:t>
      </w:r>
      <w:r>
        <w:rPr>
          <w:szCs w:val="24"/>
          <w:lang w:val="es-ES_tradnl" w:eastAsia="zh-CN"/>
        </w:rPr>
        <w:t>,</w:t>
      </w:r>
      <w:r w:rsidRPr="00297B30">
        <w:rPr>
          <w:szCs w:val="24"/>
          <w:lang w:val="es-ES_tradnl" w:eastAsia="zh-CN"/>
        </w:rPr>
        <w:t xml:space="preserve">1 MHz </w:t>
      </w:r>
      <w:r>
        <w:rPr>
          <w:szCs w:val="24"/>
          <w:lang w:val="es-ES_tradnl" w:eastAsia="zh-CN"/>
        </w:rPr>
        <w:t>no deberá rebasar los –</w:t>
      </w:r>
      <w:r w:rsidRPr="00297B30">
        <w:rPr>
          <w:szCs w:val="24"/>
          <w:lang w:val="es-ES_tradnl" w:eastAsia="zh-CN"/>
        </w:rPr>
        <w:t>206</w:t>
      </w:r>
      <w:r>
        <w:rPr>
          <w:szCs w:val="24"/>
          <w:lang w:val="es-ES_tradnl" w:eastAsia="zh-CN"/>
        </w:rPr>
        <w:t>,</w:t>
      </w:r>
      <w:r w:rsidRPr="00297B30">
        <w:rPr>
          <w:szCs w:val="24"/>
          <w:lang w:val="es-ES_tradnl" w:eastAsia="zh-CN"/>
        </w:rPr>
        <w:t>1 dB(W/(m</w:t>
      </w:r>
      <w:r w:rsidRPr="00297B30">
        <w:rPr>
          <w:szCs w:val="24"/>
          <w:vertAlign w:val="superscript"/>
          <w:lang w:val="es-ES_tradnl" w:eastAsia="zh-CN"/>
        </w:rPr>
        <w:t>2</w:t>
      </w:r>
      <w:r w:rsidRPr="00297B30">
        <w:rPr>
          <w:szCs w:val="24"/>
          <w:lang w:val="es-ES_tradnl" w:eastAsia="zh-CN"/>
        </w:rPr>
        <w:t xml:space="preserve"> Hz)) </w:t>
      </w:r>
      <w:r>
        <w:rPr>
          <w:szCs w:val="24"/>
          <w:lang w:val="es-ES_tradnl" w:eastAsia="zh-CN"/>
        </w:rPr>
        <w:t xml:space="preserve">para proteger el MLT SAR </w:t>
      </w:r>
      <w:r w:rsidRPr="00297B30">
        <w:rPr>
          <w:szCs w:val="24"/>
          <w:lang w:val="es-ES_tradnl" w:eastAsia="zh-CN"/>
        </w:rPr>
        <w:t>Galileo.</w:t>
      </w:r>
    </w:p>
    <w:p w:rsidR="00543337" w:rsidRPr="00297B30" w:rsidRDefault="00543337" w:rsidP="00543337">
      <w:pPr>
        <w:pStyle w:val="Heading2"/>
        <w:rPr>
          <w:lang w:val="es-ES_tradnl"/>
        </w:rPr>
      </w:pPr>
      <w:r w:rsidRPr="00297B30">
        <w:rPr>
          <w:lang w:val="es-ES_tradnl"/>
        </w:rPr>
        <w:t>3.2</w:t>
      </w:r>
      <w:r w:rsidRPr="00297B30">
        <w:rPr>
          <w:lang w:val="es-ES_tradnl"/>
        </w:rPr>
        <w:tab/>
      </w:r>
      <w:r>
        <w:rPr>
          <w:lang w:val="es-ES_tradnl"/>
        </w:rPr>
        <w:t>Interferencia de banda estrecha</w:t>
      </w:r>
    </w:p>
    <w:p w:rsidR="00543337" w:rsidRPr="00297B30" w:rsidRDefault="00543337" w:rsidP="00543337">
      <w:pPr>
        <w:rPr>
          <w:lang w:val="es-ES_tradnl" w:eastAsia="zh-CN"/>
        </w:rPr>
      </w:pPr>
      <w:r>
        <w:rPr>
          <w:lang w:val="es-ES_tradnl" w:eastAsia="zh-CN"/>
        </w:rPr>
        <w:t>Como carga útil SAR</w:t>
      </w:r>
      <w:r w:rsidRPr="00297B30">
        <w:rPr>
          <w:lang w:val="es-ES_tradnl" w:eastAsia="zh-CN"/>
        </w:rPr>
        <w:t xml:space="preserve"> </w:t>
      </w:r>
      <w:r w:rsidRPr="00297B30">
        <w:rPr>
          <w:lang w:val="es-ES_tradnl"/>
        </w:rPr>
        <w:t>Galileo</w:t>
      </w:r>
      <w:r w:rsidRPr="00297B30">
        <w:rPr>
          <w:lang w:val="es-ES_tradnl" w:eastAsia="zh-CN"/>
        </w:rPr>
        <w:t xml:space="preserve"> SAR </w:t>
      </w:r>
      <w:r>
        <w:rPr>
          <w:lang w:val="es-ES_tradnl" w:eastAsia="zh-CN"/>
        </w:rPr>
        <w:t xml:space="preserve">es </w:t>
      </w:r>
      <w:r w:rsidRPr="00297B30">
        <w:rPr>
          <w:lang w:val="es-ES_tradnl" w:eastAsia="zh-CN"/>
        </w:rPr>
        <w:t>transparent</w:t>
      </w:r>
      <w:r>
        <w:rPr>
          <w:lang w:val="es-ES_tradnl" w:eastAsia="zh-CN"/>
        </w:rPr>
        <w:t>e</w:t>
      </w:r>
      <w:r w:rsidRPr="00297B30">
        <w:rPr>
          <w:lang w:val="es-ES_tradnl" w:eastAsia="zh-CN"/>
        </w:rPr>
        <w:t xml:space="preserve">, </w:t>
      </w:r>
      <w:r>
        <w:rPr>
          <w:lang w:val="es-ES_tradnl" w:eastAsia="zh-CN"/>
        </w:rPr>
        <w:t xml:space="preserve">el SART traducirá la interferencia de banda estrecha en la banda </w:t>
      </w:r>
      <w:r w:rsidRPr="00297B30">
        <w:rPr>
          <w:lang w:val="es-ES_tradnl" w:eastAsia="zh-CN"/>
        </w:rPr>
        <w:t>406-406</w:t>
      </w:r>
      <w:r>
        <w:rPr>
          <w:lang w:val="es-ES_tradnl" w:eastAsia="zh-CN"/>
        </w:rPr>
        <w:t>,</w:t>
      </w:r>
      <w:r w:rsidRPr="00297B30">
        <w:rPr>
          <w:lang w:val="es-ES_tradnl" w:eastAsia="zh-CN"/>
        </w:rPr>
        <w:t xml:space="preserve">1 MHz </w:t>
      </w:r>
      <w:r>
        <w:rPr>
          <w:lang w:val="es-ES_tradnl" w:eastAsia="zh-CN"/>
        </w:rPr>
        <w:t xml:space="preserve">a la banda </w:t>
      </w:r>
      <w:r w:rsidRPr="00297B30">
        <w:rPr>
          <w:lang w:val="es-ES_tradnl" w:eastAsia="zh-CN"/>
        </w:rPr>
        <w:t xml:space="preserve">1 544-1 595 MHz; </w:t>
      </w:r>
      <w:r>
        <w:rPr>
          <w:lang w:val="es-ES_tradnl" w:eastAsia="zh-CN"/>
        </w:rPr>
        <w:t xml:space="preserve">a nivel del </w:t>
      </w:r>
      <w:r w:rsidRPr="00297B30">
        <w:rPr>
          <w:lang w:val="es-ES_tradnl" w:eastAsia="zh-CN"/>
        </w:rPr>
        <w:t xml:space="preserve">MLT, </w:t>
      </w:r>
      <w:r>
        <w:rPr>
          <w:lang w:val="es-ES_tradnl" w:eastAsia="zh-CN"/>
        </w:rPr>
        <w:t xml:space="preserve">el receptor puede detectar esta señal interferente como una señal de socorro </w:t>
      </w:r>
      <w:r w:rsidRPr="00297B30">
        <w:rPr>
          <w:lang w:val="es-ES_tradnl" w:eastAsia="zh-CN"/>
        </w:rPr>
        <w:t>SAR</w:t>
      </w:r>
      <w:r w:rsidRPr="00911BA9">
        <w:rPr>
          <w:lang w:val="es-ES_tradnl" w:eastAsia="zh-CN"/>
        </w:rPr>
        <w:t xml:space="preserve"> </w:t>
      </w:r>
      <w:r>
        <w:rPr>
          <w:lang w:val="es-ES_tradnl" w:eastAsia="zh-CN"/>
        </w:rPr>
        <w:t>genuina</w:t>
      </w:r>
      <w:r w:rsidRPr="00297B30">
        <w:rPr>
          <w:lang w:val="es-ES_tradnl" w:eastAsia="zh-CN"/>
        </w:rPr>
        <w:t>.</w:t>
      </w:r>
    </w:p>
    <w:p w:rsidR="00543337" w:rsidRPr="00297B30" w:rsidRDefault="00543337" w:rsidP="00543337">
      <w:pPr>
        <w:rPr>
          <w:szCs w:val="24"/>
          <w:lang w:val="es-ES_tradnl" w:eastAsia="zh-CN"/>
        </w:rPr>
      </w:pPr>
      <w:r>
        <w:rPr>
          <w:szCs w:val="24"/>
          <w:lang w:val="es-ES_tradnl" w:eastAsia="zh-CN"/>
        </w:rPr>
        <w:t xml:space="preserve">El parámetro de calidad de funcionamiento para determinar la máxima interferencia de banda estrecha admisible será, por tanto, el umbral de adquisición </w:t>
      </w:r>
      <w:proofErr w:type="spellStart"/>
      <w:r w:rsidRPr="00297B30">
        <w:rPr>
          <w:szCs w:val="24"/>
          <w:lang w:val="es-ES_tradnl" w:eastAsia="zh-CN"/>
        </w:rPr>
        <w:t>MeoLUT</w:t>
      </w:r>
      <w:proofErr w:type="spellEnd"/>
      <w:r w:rsidRPr="00297B30">
        <w:rPr>
          <w:szCs w:val="24"/>
          <w:lang w:val="es-ES_tradnl" w:eastAsia="zh-CN"/>
        </w:rPr>
        <w:t xml:space="preserve">, </w:t>
      </w:r>
      <w:r>
        <w:rPr>
          <w:szCs w:val="24"/>
          <w:lang w:val="es-ES_tradnl" w:eastAsia="zh-CN"/>
        </w:rPr>
        <w:t xml:space="preserve">que se considera igual a </w:t>
      </w:r>
      <w:r w:rsidRPr="00297B30">
        <w:rPr>
          <w:szCs w:val="24"/>
          <w:lang w:val="es-ES_tradnl" w:eastAsia="zh-CN"/>
        </w:rPr>
        <w:t>34</w:t>
      </w:r>
      <w:r>
        <w:rPr>
          <w:szCs w:val="24"/>
          <w:lang w:val="es-ES_tradnl" w:eastAsia="zh-CN"/>
        </w:rPr>
        <w:t>,</w:t>
      </w:r>
      <w:r w:rsidRPr="00297B30">
        <w:rPr>
          <w:szCs w:val="24"/>
          <w:lang w:val="es-ES_tradnl" w:eastAsia="zh-CN"/>
        </w:rPr>
        <w:t>8 dB(Hz).</w:t>
      </w:r>
    </w:p>
    <w:p w:rsidR="00543337" w:rsidRPr="00297B30" w:rsidRDefault="00543337" w:rsidP="00543337">
      <w:pPr>
        <w:rPr>
          <w:szCs w:val="24"/>
          <w:lang w:val="es-ES_tradnl" w:eastAsia="zh-CN"/>
        </w:rPr>
      </w:pPr>
      <w:r>
        <w:rPr>
          <w:szCs w:val="24"/>
          <w:lang w:val="es-ES_tradnl" w:eastAsia="zh-CN"/>
        </w:rPr>
        <w:t xml:space="preserve">Sea </w:t>
      </w:r>
      <w:r>
        <w:rPr>
          <w:i/>
          <w:iCs/>
          <w:szCs w:val="24"/>
          <w:lang w:val="es-ES_tradnl" w:eastAsia="zh-CN"/>
        </w:rPr>
        <w:t xml:space="preserve">I </w:t>
      </w:r>
      <w:r>
        <w:rPr>
          <w:szCs w:val="24"/>
          <w:lang w:val="es-ES_tradnl" w:eastAsia="zh-CN"/>
        </w:rPr>
        <w:t xml:space="preserve">la potencia de la señal interferencia en la antena </w:t>
      </w:r>
      <w:r w:rsidRPr="00297B30">
        <w:rPr>
          <w:szCs w:val="24"/>
          <w:lang w:val="es-ES_tradnl" w:eastAsia="zh-CN"/>
        </w:rPr>
        <w:t xml:space="preserve">MLT; </w:t>
      </w:r>
      <w:r>
        <w:rPr>
          <w:szCs w:val="24"/>
          <w:lang w:val="es-ES_tradnl" w:eastAsia="zh-CN"/>
        </w:rPr>
        <w:t xml:space="preserve">si el nivel </w:t>
      </w:r>
      <w:r w:rsidRPr="00297B30">
        <w:rPr>
          <w:i/>
          <w:iCs/>
          <w:szCs w:val="24"/>
          <w:lang w:val="es-ES_tradnl" w:eastAsia="zh-CN"/>
        </w:rPr>
        <w:t>I</w:t>
      </w:r>
      <w:r w:rsidRPr="00297B30">
        <w:rPr>
          <w:szCs w:val="24"/>
          <w:lang w:val="es-ES_tradnl" w:eastAsia="zh-CN"/>
        </w:rPr>
        <w:t>/</w:t>
      </w:r>
      <w:r w:rsidRPr="00297B30">
        <w:rPr>
          <w:i/>
          <w:iCs/>
          <w:szCs w:val="24"/>
          <w:lang w:val="es-ES_tradnl" w:eastAsia="zh-CN"/>
        </w:rPr>
        <w:t>N</w:t>
      </w:r>
      <w:r w:rsidRPr="00297B30">
        <w:rPr>
          <w:szCs w:val="24"/>
          <w:vertAlign w:val="subscript"/>
          <w:lang w:val="es-ES_tradnl" w:eastAsia="zh-CN"/>
        </w:rPr>
        <w:t>0</w:t>
      </w:r>
      <w:r w:rsidRPr="00297B30">
        <w:rPr>
          <w:szCs w:val="24"/>
          <w:lang w:val="es-ES_tradnl" w:eastAsia="zh-CN"/>
        </w:rPr>
        <w:t xml:space="preserve"> </w:t>
      </w:r>
      <w:r>
        <w:rPr>
          <w:szCs w:val="24"/>
          <w:lang w:val="es-ES_tradnl" w:eastAsia="zh-CN"/>
        </w:rPr>
        <w:t xml:space="preserve">de interferencia es superior al umbral de adquisición del </w:t>
      </w:r>
      <w:r w:rsidRPr="00297B30">
        <w:rPr>
          <w:szCs w:val="24"/>
          <w:lang w:val="es-ES_tradnl" w:eastAsia="zh-CN"/>
        </w:rPr>
        <w:t xml:space="preserve">MLT, </w:t>
      </w:r>
      <w:r>
        <w:rPr>
          <w:szCs w:val="24"/>
          <w:lang w:val="es-ES_tradnl" w:eastAsia="zh-CN"/>
        </w:rPr>
        <w:t xml:space="preserve">el </w:t>
      </w:r>
      <w:r w:rsidRPr="00297B30">
        <w:rPr>
          <w:szCs w:val="24"/>
          <w:lang w:val="es-ES_tradnl" w:eastAsia="zh-CN"/>
        </w:rPr>
        <w:t xml:space="preserve">MLT </w:t>
      </w:r>
      <w:r>
        <w:rPr>
          <w:szCs w:val="24"/>
          <w:lang w:val="es-ES_tradnl" w:eastAsia="zh-CN"/>
        </w:rPr>
        <w:t>detectará la interferencia</w:t>
      </w:r>
      <w:r w:rsidRPr="00297B30">
        <w:rPr>
          <w:szCs w:val="24"/>
          <w:lang w:val="es-ES_tradnl" w:eastAsia="zh-CN"/>
        </w:rPr>
        <w:t>.</w:t>
      </w:r>
    </w:p>
    <w:p w:rsidR="00543337" w:rsidRPr="00297B30" w:rsidRDefault="00543337" w:rsidP="00543337">
      <w:pPr>
        <w:rPr>
          <w:szCs w:val="24"/>
          <w:lang w:val="es-ES_tradnl" w:eastAsia="zh-CN"/>
        </w:rPr>
      </w:pPr>
      <w:r>
        <w:rPr>
          <w:szCs w:val="24"/>
          <w:lang w:val="es-ES_tradnl" w:eastAsia="zh-CN"/>
        </w:rPr>
        <w:lastRenderedPageBreak/>
        <w:t xml:space="preserve">Habida cuenta de que el nivel de ruido del sistema calculado en </w:t>
      </w:r>
      <w:r w:rsidRPr="00297B30">
        <w:rPr>
          <w:szCs w:val="24"/>
          <w:lang w:val="es-ES_tradnl" w:eastAsia="zh-CN"/>
        </w:rPr>
        <w:t xml:space="preserve">§ 3.1 </w:t>
      </w:r>
      <w:r>
        <w:rPr>
          <w:szCs w:val="24"/>
          <w:lang w:val="es-ES_tradnl" w:eastAsia="zh-CN"/>
        </w:rPr>
        <w:t>e</w:t>
      </w:r>
      <w:r w:rsidRPr="00297B30">
        <w:rPr>
          <w:szCs w:val="24"/>
          <w:lang w:val="es-ES_tradnl" w:eastAsia="zh-CN"/>
        </w:rPr>
        <w:t xml:space="preserve">s </w:t>
      </w:r>
      <w:r w:rsidRPr="00297B30">
        <w:rPr>
          <w:i/>
          <w:iCs/>
          <w:szCs w:val="24"/>
          <w:lang w:val="es-ES_tradnl" w:eastAsia="zh-CN"/>
        </w:rPr>
        <w:t>N</w:t>
      </w:r>
      <w:r w:rsidRPr="00297B30">
        <w:rPr>
          <w:szCs w:val="24"/>
          <w:vertAlign w:val="subscript"/>
          <w:lang w:val="es-ES_tradnl" w:eastAsia="zh-CN"/>
        </w:rPr>
        <w:t>0</w:t>
      </w:r>
      <w:r w:rsidRPr="00297B30">
        <w:rPr>
          <w:szCs w:val="24"/>
          <w:lang w:val="es-ES_tradnl" w:eastAsia="zh-CN"/>
        </w:rPr>
        <w:t xml:space="preserve"> = </w:t>
      </w:r>
      <w:r>
        <w:rPr>
          <w:szCs w:val="24"/>
          <w:lang w:val="es-ES_tradnl" w:eastAsia="zh-CN"/>
        </w:rPr>
        <w:t>–</w:t>
      </w:r>
      <w:r w:rsidRPr="00297B30">
        <w:rPr>
          <w:szCs w:val="24"/>
          <w:lang w:val="es-ES_tradnl" w:eastAsia="zh-CN"/>
        </w:rPr>
        <w:t>200</w:t>
      </w:r>
      <w:r>
        <w:rPr>
          <w:szCs w:val="24"/>
          <w:lang w:val="es-ES_tradnl" w:eastAsia="zh-CN"/>
        </w:rPr>
        <w:t>,</w:t>
      </w:r>
      <w:r w:rsidRPr="00297B30">
        <w:rPr>
          <w:szCs w:val="24"/>
          <w:lang w:val="es-ES_tradnl" w:eastAsia="zh-CN"/>
        </w:rPr>
        <w:t xml:space="preserve">9 dB(W/Hz), </w:t>
      </w:r>
      <w:r>
        <w:rPr>
          <w:szCs w:val="24"/>
          <w:lang w:val="es-ES_tradnl" w:eastAsia="zh-CN"/>
        </w:rPr>
        <w:t xml:space="preserve">la potencia de la señal interferente </w:t>
      </w:r>
      <w:r w:rsidRPr="00297B30">
        <w:rPr>
          <w:szCs w:val="24"/>
          <w:lang w:val="es-ES_tradnl" w:eastAsia="zh-CN"/>
        </w:rPr>
        <w:t>(</w:t>
      </w:r>
      <w:r>
        <w:rPr>
          <w:szCs w:val="24"/>
          <w:lang w:val="es-ES_tradnl" w:eastAsia="zh-CN"/>
        </w:rPr>
        <w:t xml:space="preserve">a nivel de </w:t>
      </w:r>
      <w:r w:rsidRPr="00297B30">
        <w:rPr>
          <w:szCs w:val="24"/>
          <w:lang w:val="es-ES_tradnl" w:eastAsia="zh-CN"/>
        </w:rPr>
        <w:t xml:space="preserve">SART) </w:t>
      </w:r>
      <w:r>
        <w:rPr>
          <w:szCs w:val="24"/>
          <w:lang w:val="es-ES_tradnl" w:eastAsia="zh-CN"/>
        </w:rPr>
        <w:t>es igual a</w:t>
      </w:r>
      <w:r w:rsidRPr="00297B30">
        <w:rPr>
          <w:szCs w:val="24"/>
          <w:lang w:val="es-ES_tradnl" w:eastAsia="zh-CN"/>
        </w:rPr>
        <w:t xml:space="preserve">: </w:t>
      </w:r>
      <w:r w:rsidRPr="00297B30">
        <w:rPr>
          <w:i/>
          <w:iCs/>
          <w:szCs w:val="24"/>
          <w:lang w:val="es-ES_tradnl" w:eastAsia="zh-CN"/>
        </w:rPr>
        <w:t>I</w:t>
      </w:r>
      <w:r w:rsidRPr="00297B30">
        <w:rPr>
          <w:szCs w:val="24"/>
          <w:lang w:val="es-ES_tradnl" w:eastAsia="zh-CN"/>
        </w:rPr>
        <w:t xml:space="preserve"> = </w:t>
      </w:r>
      <w:r w:rsidRPr="00297B30">
        <w:rPr>
          <w:i/>
          <w:iCs/>
          <w:szCs w:val="24"/>
          <w:lang w:val="es-ES_tradnl" w:eastAsia="zh-CN"/>
        </w:rPr>
        <w:t>I</w:t>
      </w:r>
      <w:r w:rsidRPr="00297B30">
        <w:rPr>
          <w:szCs w:val="24"/>
          <w:lang w:val="es-ES_tradnl" w:eastAsia="zh-CN"/>
        </w:rPr>
        <w:t>/</w:t>
      </w:r>
      <w:r w:rsidRPr="00297B30">
        <w:rPr>
          <w:i/>
          <w:iCs/>
          <w:szCs w:val="24"/>
          <w:lang w:val="es-ES_tradnl" w:eastAsia="zh-CN"/>
        </w:rPr>
        <w:t>N</w:t>
      </w:r>
      <w:r w:rsidRPr="00297B30">
        <w:rPr>
          <w:szCs w:val="24"/>
          <w:vertAlign w:val="subscript"/>
          <w:lang w:val="es-ES_tradnl" w:eastAsia="zh-CN"/>
        </w:rPr>
        <w:t>0 </w:t>
      </w:r>
      <w:r w:rsidRPr="00297B30">
        <w:rPr>
          <w:szCs w:val="24"/>
          <w:lang w:val="es-ES_tradnl" w:eastAsia="zh-CN"/>
        </w:rPr>
        <w:t>+ </w:t>
      </w:r>
      <w:r w:rsidRPr="00297B30">
        <w:rPr>
          <w:i/>
          <w:iCs/>
          <w:szCs w:val="24"/>
          <w:lang w:val="es-ES_tradnl" w:eastAsia="zh-CN"/>
        </w:rPr>
        <w:t>N</w:t>
      </w:r>
      <w:r w:rsidRPr="00297B30">
        <w:rPr>
          <w:szCs w:val="24"/>
          <w:vertAlign w:val="subscript"/>
          <w:lang w:val="es-ES_tradnl" w:eastAsia="zh-CN"/>
        </w:rPr>
        <w:t xml:space="preserve">0 </w:t>
      </w:r>
      <w:r w:rsidRPr="00297B30">
        <w:rPr>
          <w:szCs w:val="24"/>
          <w:lang w:val="es-ES_tradnl" w:eastAsia="zh-CN"/>
        </w:rPr>
        <w:t xml:space="preserve">= </w:t>
      </w:r>
      <w:r>
        <w:rPr>
          <w:lang w:val="es-ES_tradnl" w:eastAsia="zh-CN"/>
        </w:rPr>
        <w:t>–</w:t>
      </w:r>
      <w:r w:rsidRPr="00297B30">
        <w:rPr>
          <w:szCs w:val="24"/>
          <w:lang w:val="es-ES_tradnl" w:eastAsia="zh-CN"/>
        </w:rPr>
        <w:t>166</w:t>
      </w:r>
      <w:r>
        <w:rPr>
          <w:szCs w:val="24"/>
          <w:lang w:val="es-ES_tradnl" w:eastAsia="zh-CN"/>
        </w:rPr>
        <w:t>,</w:t>
      </w:r>
      <w:r w:rsidRPr="00297B30">
        <w:rPr>
          <w:szCs w:val="24"/>
          <w:lang w:val="es-ES_tradnl" w:eastAsia="zh-CN"/>
        </w:rPr>
        <w:t xml:space="preserve">1 </w:t>
      </w:r>
      <w:proofErr w:type="spellStart"/>
      <w:r w:rsidRPr="00297B30">
        <w:rPr>
          <w:szCs w:val="24"/>
          <w:lang w:val="es-ES_tradnl" w:eastAsia="zh-CN"/>
        </w:rPr>
        <w:t>dBW</w:t>
      </w:r>
      <w:proofErr w:type="spellEnd"/>
      <w:r w:rsidRPr="00297B30">
        <w:rPr>
          <w:szCs w:val="24"/>
          <w:lang w:val="es-ES_tradnl" w:eastAsia="zh-CN"/>
        </w:rPr>
        <w:t>.</w:t>
      </w:r>
    </w:p>
    <w:p w:rsidR="00543337" w:rsidRPr="00297B30" w:rsidRDefault="00543337" w:rsidP="00543337">
      <w:pPr>
        <w:rPr>
          <w:szCs w:val="24"/>
          <w:lang w:val="es-ES_tradnl" w:eastAsia="zh-CN"/>
        </w:rPr>
      </w:pPr>
      <w:r>
        <w:rPr>
          <w:szCs w:val="24"/>
          <w:lang w:val="es-ES_tradnl" w:eastAsia="zh-CN"/>
        </w:rPr>
        <w:t xml:space="preserve">A fin de obtener la densidad de flujo de potencia en la antena PL </w:t>
      </w:r>
      <w:r w:rsidRPr="00297B30">
        <w:rPr>
          <w:szCs w:val="24"/>
          <w:lang w:val="es-ES_tradnl" w:eastAsia="zh-CN"/>
        </w:rPr>
        <w:t xml:space="preserve">SAR, </w:t>
      </w:r>
      <w:r>
        <w:rPr>
          <w:szCs w:val="24"/>
          <w:lang w:val="es-ES_tradnl" w:eastAsia="zh-CN"/>
        </w:rPr>
        <w:t>se ha de tomar en consideración la superficie equivalente de la antena</w:t>
      </w:r>
      <w:r w:rsidRPr="00297B30">
        <w:rPr>
          <w:szCs w:val="24"/>
          <w:lang w:val="es-ES_tradnl" w:eastAsia="zh-CN"/>
        </w:rPr>
        <w:t xml:space="preserve">; </w:t>
      </w:r>
      <w:r>
        <w:rPr>
          <w:szCs w:val="24"/>
          <w:lang w:val="es-ES_tradnl" w:eastAsia="zh-CN"/>
        </w:rPr>
        <w:t xml:space="preserve">siguiendo los mismos pasos que en </w:t>
      </w:r>
      <w:r w:rsidRPr="00297B30">
        <w:rPr>
          <w:szCs w:val="24"/>
          <w:lang w:val="es-ES_tradnl" w:eastAsia="zh-CN"/>
        </w:rPr>
        <w:t xml:space="preserve">§ 3.1, </w:t>
      </w:r>
      <w:r>
        <w:rPr>
          <w:szCs w:val="24"/>
          <w:lang w:val="es-ES_tradnl" w:eastAsia="zh-CN"/>
        </w:rPr>
        <w:t>la densidad de flujo de potencia puede calcularse del modo siguiente</w:t>
      </w:r>
      <w:r w:rsidRPr="00297B30">
        <w:rPr>
          <w:szCs w:val="24"/>
          <w:lang w:val="es-ES_tradnl" w:eastAsia="zh-CN"/>
        </w:rPr>
        <w:t>:</w:t>
      </w:r>
    </w:p>
    <w:p w:rsidR="00543337" w:rsidRPr="00297B30" w:rsidRDefault="00543337" w:rsidP="00543337">
      <w:pPr>
        <w:pStyle w:val="Equation"/>
        <w:rPr>
          <w:bCs/>
          <w:lang w:val="es-ES_tradnl" w:eastAsia="zh-CN"/>
        </w:rPr>
      </w:pPr>
      <w:r w:rsidRPr="00297B30">
        <w:rPr>
          <w:lang w:val="es-ES_tradnl" w:eastAsia="zh-CN"/>
        </w:rPr>
        <w:tab/>
      </w:r>
      <w:r w:rsidRPr="00297B30">
        <w:rPr>
          <w:lang w:val="es-ES_tradnl" w:eastAsia="zh-CN"/>
        </w:rPr>
        <w:tab/>
      </w:r>
      <w:proofErr w:type="spellStart"/>
      <w:r w:rsidRPr="00FB588F">
        <w:rPr>
          <w:i/>
          <w:iCs/>
          <w:lang w:val="es-ES_tradnl" w:eastAsia="zh-CN"/>
        </w:rPr>
        <w:t>dfp</w:t>
      </w:r>
      <w:proofErr w:type="spellEnd"/>
      <w:r w:rsidRPr="00297B30">
        <w:rPr>
          <w:lang w:val="es-ES_tradnl" w:eastAsia="zh-CN"/>
        </w:rPr>
        <w:t> = −166</w:t>
      </w:r>
      <w:r>
        <w:rPr>
          <w:lang w:val="es-ES_tradnl" w:eastAsia="zh-CN"/>
        </w:rPr>
        <w:t>,</w:t>
      </w:r>
      <w:r w:rsidRPr="00297B30">
        <w:rPr>
          <w:lang w:val="es-ES_tradnl" w:eastAsia="zh-CN"/>
        </w:rPr>
        <w:t>1 + 0</w:t>
      </w:r>
      <w:r>
        <w:rPr>
          <w:lang w:val="es-ES_tradnl" w:eastAsia="zh-CN"/>
        </w:rPr>
        <w:t>,</w:t>
      </w:r>
      <w:r w:rsidRPr="00297B30">
        <w:rPr>
          <w:lang w:val="es-ES_tradnl" w:eastAsia="zh-CN"/>
        </w:rPr>
        <w:t>51 (</w:t>
      </w:r>
      <w:r>
        <w:rPr>
          <w:lang w:val="es-ES_tradnl" w:eastAsia="zh-CN"/>
        </w:rPr>
        <w:t>pérdidas</w:t>
      </w:r>
      <w:r w:rsidRPr="00297B30">
        <w:rPr>
          <w:lang w:val="es-ES_tradnl" w:eastAsia="zh-CN"/>
        </w:rPr>
        <w:t>) – (–0</w:t>
      </w:r>
      <w:r>
        <w:rPr>
          <w:lang w:val="es-ES_tradnl" w:eastAsia="zh-CN"/>
        </w:rPr>
        <w:t>,</w:t>
      </w:r>
      <w:r w:rsidRPr="00297B30">
        <w:rPr>
          <w:lang w:val="es-ES_tradnl" w:eastAsia="zh-CN"/>
        </w:rPr>
        <w:t xml:space="preserve">6) = </w:t>
      </w:r>
      <w:r w:rsidRPr="00297B30">
        <w:rPr>
          <w:bCs/>
          <w:lang w:val="es-ES_tradnl" w:eastAsia="zh-CN"/>
        </w:rPr>
        <w:t>–166</w:t>
      </w:r>
      <w:r>
        <w:rPr>
          <w:bCs/>
          <w:lang w:val="es-ES_tradnl" w:eastAsia="zh-CN"/>
        </w:rPr>
        <w:t>,</w:t>
      </w:r>
      <w:r w:rsidRPr="00297B30">
        <w:rPr>
          <w:bCs/>
          <w:lang w:val="es-ES_tradnl" w:eastAsia="zh-CN"/>
        </w:rPr>
        <w:t>2 dB(W/m</w:t>
      </w:r>
      <w:r w:rsidRPr="00297B30">
        <w:rPr>
          <w:vertAlign w:val="superscript"/>
          <w:lang w:val="es-ES_tradnl" w:eastAsia="zh-CN"/>
        </w:rPr>
        <w:t>2</w:t>
      </w:r>
      <w:r w:rsidRPr="00297B30">
        <w:rPr>
          <w:bCs/>
          <w:lang w:val="es-ES_tradnl" w:eastAsia="zh-CN"/>
        </w:rPr>
        <w:t>)</w:t>
      </w:r>
      <w:r w:rsidRPr="00297B30">
        <w:rPr>
          <w:lang w:val="es-ES_tradnl" w:eastAsia="zh-CN"/>
        </w:rPr>
        <w:tab/>
        <w:t>(28)</w:t>
      </w:r>
    </w:p>
    <w:p w:rsidR="00543337" w:rsidRPr="00297B30" w:rsidRDefault="00543337" w:rsidP="00543337">
      <w:pPr>
        <w:rPr>
          <w:lang w:val="es-ES_tradnl" w:eastAsia="zh-CN"/>
        </w:rPr>
      </w:pPr>
      <w:r>
        <w:rPr>
          <w:lang w:val="es-ES_tradnl" w:eastAsia="zh-CN"/>
        </w:rPr>
        <w:t>teniendo en cuenta al ángulo nadir más grande del satélite</w:t>
      </w:r>
      <w:r w:rsidRPr="00297B30">
        <w:rPr>
          <w:lang w:val="es-ES_tradnl" w:eastAsia="zh-CN"/>
        </w:rPr>
        <w:t>.</w:t>
      </w:r>
    </w:p>
    <w:p w:rsidR="00543337" w:rsidRDefault="00543337" w:rsidP="00891D48">
      <w:pPr>
        <w:rPr>
          <w:lang w:val="es-ES_tradnl" w:eastAsia="zh-CN"/>
        </w:rPr>
      </w:pPr>
      <w:r>
        <w:rPr>
          <w:lang w:val="es-ES_tradnl" w:eastAsia="zh-CN"/>
        </w:rPr>
        <w:t>A la entrada del satélite</w:t>
      </w:r>
      <w:r w:rsidRPr="00297B30">
        <w:rPr>
          <w:lang w:val="es-ES_tradnl" w:eastAsia="zh-CN"/>
        </w:rPr>
        <w:t xml:space="preserve">, </w:t>
      </w:r>
      <w:r>
        <w:rPr>
          <w:lang w:val="es-ES_tradnl" w:eastAsia="zh-CN"/>
        </w:rPr>
        <w:t xml:space="preserve">el nivel máximo de interferencia de ruido de banda estrecha en la banda </w:t>
      </w:r>
      <w:r w:rsidRPr="00297B30">
        <w:rPr>
          <w:lang w:val="es-ES_tradnl" w:eastAsia="zh-CN"/>
        </w:rPr>
        <w:t>406</w:t>
      </w:r>
      <w:r w:rsidRPr="00297B30">
        <w:rPr>
          <w:lang w:val="es-ES_tradnl" w:eastAsia="zh-CN"/>
        </w:rPr>
        <w:noBreakHyphen/>
        <w:t>406</w:t>
      </w:r>
      <w:r>
        <w:rPr>
          <w:lang w:val="es-ES_tradnl" w:eastAsia="zh-CN"/>
        </w:rPr>
        <w:t>,</w:t>
      </w:r>
      <w:r w:rsidRPr="00297B30">
        <w:rPr>
          <w:lang w:val="es-ES_tradnl" w:eastAsia="zh-CN"/>
        </w:rPr>
        <w:t xml:space="preserve">1 MHz </w:t>
      </w:r>
      <w:r>
        <w:rPr>
          <w:lang w:val="es-ES_tradnl" w:eastAsia="zh-CN"/>
        </w:rPr>
        <w:t>no deberá rebasar los –</w:t>
      </w:r>
      <w:r w:rsidRPr="00297B30">
        <w:rPr>
          <w:lang w:val="es-ES_tradnl" w:eastAsia="zh-CN"/>
        </w:rPr>
        <w:t>166</w:t>
      </w:r>
      <w:r>
        <w:rPr>
          <w:lang w:val="es-ES_tradnl" w:eastAsia="zh-CN"/>
        </w:rPr>
        <w:t>,</w:t>
      </w:r>
      <w:r w:rsidRPr="00297B30">
        <w:rPr>
          <w:lang w:val="es-ES_tradnl" w:eastAsia="zh-CN"/>
        </w:rPr>
        <w:t>2 dB(W/m</w:t>
      </w:r>
      <w:r w:rsidRPr="00297B30">
        <w:rPr>
          <w:vertAlign w:val="superscript"/>
          <w:lang w:val="es-ES_tradnl" w:eastAsia="zh-CN"/>
        </w:rPr>
        <w:t>2</w:t>
      </w:r>
      <w:r w:rsidRPr="00297B30">
        <w:rPr>
          <w:lang w:val="es-ES_tradnl" w:eastAsia="zh-CN"/>
        </w:rPr>
        <w:t xml:space="preserve">) </w:t>
      </w:r>
      <w:r>
        <w:rPr>
          <w:lang w:val="es-ES_tradnl" w:eastAsia="zh-CN"/>
        </w:rPr>
        <w:t>para garantizar la correcta detección de la señal</w:t>
      </w:r>
      <w:r w:rsidRPr="00297B30">
        <w:rPr>
          <w:lang w:val="es-ES_tradnl" w:eastAsia="zh-CN"/>
        </w:rPr>
        <w:t>.</w:t>
      </w:r>
    </w:p>
    <w:p w:rsidR="00891D48" w:rsidRDefault="00891D48" w:rsidP="00891D48">
      <w:pPr>
        <w:rPr>
          <w:lang w:val="es-ES_tradnl" w:eastAsia="zh-CN"/>
        </w:rPr>
      </w:pPr>
    </w:p>
    <w:p w:rsidR="00891D48" w:rsidRPr="00891D48" w:rsidRDefault="00891D48" w:rsidP="00891D48">
      <w:pPr>
        <w:rPr>
          <w:lang w:val="es-ES_tradnl" w:eastAsia="zh-CN"/>
        </w:rPr>
      </w:pPr>
    </w:p>
    <w:p w:rsidR="00543337" w:rsidRPr="00297B30" w:rsidRDefault="00543337" w:rsidP="00543337">
      <w:pPr>
        <w:pStyle w:val="AnnexNoTitle"/>
        <w:rPr>
          <w:lang w:val="es-ES_tradnl"/>
        </w:rPr>
      </w:pPr>
      <w:r w:rsidRPr="00297B30">
        <w:rPr>
          <w:lang w:val="es-ES_tradnl"/>
        </w:rPr>
        <w:t>Anex</w:t>
      </w:r>
      <w:r>
        <w:rPr>
          <w:lang w:val="es-ES_tradnl"/>
        </w:rPr>
        <w:t>o</w:t>
      </w:r>
      <w:r w:rsidRPr="00297B30">
        <w:rPr>
          <w:lang w:val="es-ES_tradnl"/>
        </w:rPr>
        <w:t xml:space="preserve"> 11</w:t>
      </w:r>
      <w:r w:rsidRPr="00297B30">
        <w:rPr>
          <w:lang w:val="es-ES_tradnl"/>
        </w:rPr>
        <w:br/>
      </w:r>
      <w:r w:rsidRPr="00297B30">
        <w:rPr>
          <w:lang w:val="es-ES_tradnl"/>
        </w:rPr>
        <w:br/>
      </w:r>
      <w:r>
        <w:rPr>
          <w:lang w:val="es-ES_tradnl"/>
        </w:rPr>
        <w:t>Resumen de las características generales de todos los instrumentos</w:t>
      </w:r>
    </w:p>
    <w:p w:rsidR="00543337" w:rsidRPr="00297B30" w:rsidRDefault="00543337" w:rsidP="00891D48">
      <w:pPr>
        <w:pStyle w:val="Normalaftertitle"/>
        <w:rPr>
          <w:lang w:val="es-ES_tradnl" w:eastAsia="zh-CN"/>
        </w:rPr>
      </w:pPr>
      <w:r>
        <w:rPr>
          <w:lang w:val="es-ES_tradnl" w:eastAsia="zh-CN"/>
        </w:rPr>
        <w:t xml:space="preserve">En el Cuadro </w:t>
      </w:r>
      <w:r w:rsidRPr="00297B30">
        <w:rPr>
          <w:lang w:val="es-ES_tradnl" w:eastAsia="zh-CN"/>
        </w:rPr>
        <w:t xml:space="preserve">4 </w:t>
      </w:r>
      <w:r>
        <w:rPr>
          <w:lang w:val="es-ES_tradnl" w:eastAsia="zh-CN"/>
        </w:rPr>
        <w:t xml:space="preserve">se resumen las características generales de cada tipo de instrumento </w:t>
      </w:r>
      <w:proofErr w:type="spellStart"/>
      <w:r w:rsidRPr="00297B30">
        <w:rPr>
          <w:lang w:val="es-ES_tradnl" w:eastAsia="zh-CN"/>
        </w:rPr>
        <w:t>Cospas-Sarsat</w:t>
      </w:r>
      <w:proofErr w:type="spellEnd"/>
      <w:r w:rsidRPr="00297B30">
        <w:rPr>
          <w:lang w:val="es-ES_tradnl" w:eastAsia="zh-CN"/>
        </w:rPr>
        <w:t xml:space="preserve">. </w:t>
      </w:r>
    </w:p>
    <w:p w:rsidR="00543337" w:rsidRPr="00297B30" w:rsidRDefault="00543337" w:rsidP="00543337">
      <w:pPr>
        <w:pStyle w:val="TableNo"/>
        <w:keepLines/>
        <w:rPr>
          <w:lang w:val="es-ES_tradnl"/>
        </w:rPr>
      </w:pPr>
      <w:r>
        <w:rPr>
          <w:lang w:val="es-ES_tradnl"/>
        </w:rPr>
        <w:t xml:space="preserve">CUADRO </w:t>
      </w:r>
      <w:r w:rsidRPr="00297B30">
        <w:rPr>
          <w:lang w:val="es-ES_tradnl"/>
        </w:rPr>
        <w:t>4</w:t>
      </w:r>
    </w:p>
    <w:p w:rsidR="00543337" w:rsidRPr="00297B30" w:rsidRDefault="00543337" w:rsidP="00543337">
      <w:pPr>
        <w:pStyle w:val="Tabletitle"/>
        <w:keepLines/>
        <w:rPr>
          <w:lang w:val="es-ES_tradnl"/>
        </w:rPr>
      </w:pPr>
      <w:r>
        <w:rPr>
          <w:lang w:val="es-ES_tradnl"/>
        </w:rPr>
        <w:t xml:space="preserve">Resumen de las características de los instrumentos </w:t>
      </w:r>
      <w:proofErr w:type="spellStart"/>
      <w:r w:rsidRPr="00297B30">
        <w:rPr>
          <w:lang w:val="es-ES_tradnl"/>
        </w:rPr>
        <w:t>Cospas-Sarsat</w:t>
      </w:r>
      <w:proofErr w:type="spellEnd"/>
      <w:r w:rsidRPr="00297B30">
        <w:rPr>
          <w:lang w:val="es-ES_tradnl"/>
        </w:rPr>
        <w:t xml:space="preserve"> </w:t>
      </w:r>
    </w:p>
    <w:tbl>
      <w:tblPr>
        <w:tblStyle w:val="TableGrid"/>
        <w:tblW w:w="0" w:type="auto"/>
        <w:jc w:val="center"/>
        <w:tblLook w:val="04A0" w:firstRow="1" w:lastRow="0" w:firstColumn="1" w:lastColumn="0" w:noHBand="0" w:noVBand="1"/>
      </w:tblPr>
      <w:tblGrid>
        <w:gridCol w:w="1696"/>
        <w:gridCol w:w="3110"/>
        <w:gridCol w:w="2397"/>
        <w:gridCol w:w="2426"/>
      </w:tblGrid>
      <w:tr w:rsidR="00543337" w:rsidRPr="00891D48" w:rsidTr="00655797">
        <w:trPr>
          <w:trHeight w:val="1361"/>
          <w:jc w:val="center"/>
        </w:trPr>
        <w:tc>
          <w:tcPr>
            <w:tcW w:w="1696" w:type="dxa"/>
            <w:vAlign w:val="center"/>
          </w:tcPr>
          <w:p w:rsidR="00543337" w:rsidRPr="00891D48" w:rsidRDefault="00543337" w:rsidP="00B06A97">
            <w:pPr>
              <w:pStyle w:val="TableHead0"/>
              <w:rPr>
                <w:rFonts w:asciiTheme="majorBidi" w:hAnsiTheme="majorBidi" w:cstheme="majorBidi"/>
                <w:sz w:val="22"/>
                <w:szCs w:val="22"/>
              </w:rPr>
            </w:pPr>
            <w:proofErr w:type="spellStart"/>
            <w:r w:rsidRPr="00891D48">
              <w:rPr>
                <w:rFonts w:asciiTheme="majorBidi" w:hAnsiTheme="majorBidi" w:cstheme="majorBidi"/>
                <w:sz w:val="22"/>
                <w:szCs w:val="22"/>
              </w:rPr>
              <w:t>Tipo</w:t>
            </w:r>
            <w:proofErr w:type="spellEnd"/>
            <w:r w:rsidRPr="00891D48">
              <w:rPr>
                <w:rFonts w:asciiTheme="majorBidi" w:hAnsiTheme="majorBidi" w:cstheme="majorBidi"/>
                <w:sz w:val="22"/>
                <w:szCs w:val="22"/>
              </w:rPr>
              <w:t xml:space="preserve"> de </w:t>
            </w:r>
            <w:proofErr w:type="spellStart"/>
            <w:r w:rsidRPr="00891D48">
              <w:rPr>
                <w:rFonts w:asciiTheme="majorBidi" w:hAnsiTheme="majorBidi" w:cstheme="majorBidi"/>
                <w:sz w:val="22"/>
                <w:szCs w:val="22"/>
              </w:rPr>
              <w:t>instrumento</w:t>
            </w:r>
            <w:proofErr w:type="spellEnd"/>
          </w:p>
        </w:tc>
        <w:tc>
          <w:tcPr>
            <w:tcW w:w="3110" w:type="dxa"/>
            <w:vAlign w:val="center"/>
          </w:tcPr>
          <w:p w:rsidR="00543337" w:rsidRPr="00891D48" w:rsidRDefault="00543337" w:rsidP="00B06A97">
            <w:pPr>
              <w:pStyle w:val="TableHead0"/>
              <w:rPr>
                <w:rFonts w:asciiTheme="majorBidi" w:hAnsiTheme="majorBidi" w:cstheme="majorBidi"/>
                <w:sz w:val="22"/>
                <w:szCs w:val="22"/>
                <w:lang w:val="es-ES_tradnl"/>
              </w:rPr>
            </w:pPr>
            <w:r w:rsidRPr="00891D48">
              <w:rPr>
                <w:rFonts w:asciiTheme="majorBidi" w:hAnsiTheme="majorBidi" w:cstheme="majorBidi"/>
                <w:sz w:val="22"/>
                <w:szCs w:val="22"/>
                <w:lang w:val="es-ES_tradnl"/>
              </w:rPr>
              <w:t xml:space="preserve">Características orbitales, número de satélites que se han de desplegar </w:t>
            </w:r>
          </w:p>
        </w:tc>
        <w:tc>
          <w:tcPr>
            <w:tcW w:w="2397" w:type="dxa"/>
            <w:vAlign w:val="center"/>
          </w:tcPr>
          <w:p w:rsidR="00543337" w:rsidRPr="00891D48" w:rsidRDefault="00543337" w:rsidP="00B06A97">
            <w:pPr>
              <w:pStyle w:val="TableHead0"/>
              <w:rPr>
                <w:rFonts w:asciiTheme="majorBidi" w:hAnsiTheme="majorBidi" w:cstheme="majorBidi"/>
                <w:sz w:val="22"/>
                <w:szCs w:val="22"/>
                <w:lang w:val="es-ES_tradnl"/>
              </w:rPr>
            </w:pPr>
            <w:r w:rsidRPr="00891D48">
              <w:rPr>
                <w:rFonts w:asciiTheme="majorBidi" w:hAnsiTheme="majorBidi" w:cstheme="majorBidi"/>
                <w:sz w:val="22"/>
                <w:szCs w:val="22"/>
                <w:lang w:val="es-ES_tradnl"/>
              </w:rPr>
              <w:t xml:space="preserve">Criterios de protección contra las emisiones no esenciales a la entrada del procesador o LNA </w:t>
            </w:r>
            <w:r w:rsidRPr="00891D48">
              <w:rPr>
                <w:rFonts w:asciiTheme="majorBidi" w:hAnsiTheme="majorBidi" w:cstheme="majorBidi"/>
                <w:sz w:val="22"/>
                <w:szCs w:val="22"/>
                <w:lang w:val="es-ES_tradnl"/>
              </w:rPr>
              <w:br/>
              <w:t>en la aeronave</w:t>
            </w:r>
          </w:p>
        </w:tc>
        <w:tc>
          <w:tcPr>
            <w:tcW w:w="2426" w:type="dxa"/>
            <w:vAlign w:val="center"/>
          </w:tcPr>
          <w:p w:rsidR="00543337" w:rsidRPr="00891D48" w:rsidRDefault="00543337" w:rsidP="00B06A97">
            <w:pPr>
              <w:pStyle w:val="TableHead0"/>
              <w:rPr>
                <w:rFonts w:asciiTheme="majorBidi" w:hAnsiTheme="majorBidi" w:cstheme="majorBidi"/>
                <w:sz w:val="22"/>
                <w:szCs w:val="22"/>
                <w:lang w:val="es-ES_tradnl"/>
              </w:rPr>
            </w:pPr>
            <w:r w:rsidRPr="00891D48">
              <w:rPr>
                <w:rFonts w:asciiTheme="majorBidi" w:hAnsiTheme="majorBidi" w:cstheme="majorBidi"/>
                <w:sz w:val="22"/>
                <w:szCs w:val="22"/>
                <w:lang w:val="es-ES_tradnl"/>
              </w:rPr>
              <w:t xml:space="preserve">Criterios de protección contra las emisiones de banda ancha </w:t>
            </w:r>
          </w:p>
        </w:tc>
      </w:tr>
      <w:tr w:rsidR="00543337" w:rsidRPr="00891D48" w:rsidTr="00B44DD8">
        <w:trPr>
          <w:trHeight w:val="680"/>
          <w:jc w:val="center"/>
        </w:trPr>
        <w:tc>
          <w:tcPr>
            <w:tcW w:w="1696" w:type="dxa"/>
            <w:vAlign w:val="center"/>
          </w:tcPr>
          <w:p w:rsidR="00543337" w:rsidRPr="00891D48" w:rsidRDefault="00543337" w:rsidP="00B06A97">
            <w:pPr>
              <w:pStyle w:val="TableText0"/>
              <w:keepNext w:val="0"/>
              <w:jc w:val="left"/>
              <w:rPr>
                <w:rFonts w:ascii="Times New Roman" w:hAnsi="Times New Roman"/>
                <w:sz w:val="22"/>
                <w:szCs w:val="22"/>
              </w:rPr>
            </w:pPr>
            <w:proofErr w:type="spellStart"/>
            <w:r w:rsidRPr="00891D48">
              <w:rPr>
                <w:rFonts w:ascii="Times New Roman" w:hAnsi="Times New Roman"/>
                <w:sz w:val="22"/>
                <w:szCs w:val="22"/>
              </w:rPr>
              <w:t>Instrumento</w:t>
            </w:r>
            <w:proofErr w:type="spellEnd"/>
            <w:r w:rsidRPr="00891D48">
              <w:rPr>
                <w:rFonts w:ascii="Times New Roman" w:hAnsi="Times New Roman"/>
                <w:sz w:val="22"/>
                <w:szCs w:val="22"/>
              </w:rPr>
              <w:t xml:space="preserve"> SARP para </w:t>
            </w:r>
            <w:proofErr w:type="spellStart"/>
            <w:r w:rsidRPr="00891D48">
              <w:rPr>
                <w:rFonts w:ascii="Times New Roman" w:hAnsi="Times New Roman"/>
                <w:sz w:val="22"/>
                <w:szCs w:val="22"/>
              </w:rPr>
              <w:t>satélite</w:t>
            </w:r>
            <w:proofErr w:type="spellEnd"/>
            <w:r w:rsidRPr="00891D48">
              <w:rPr>
                <w:rFonts w:ascii="Times New Roman" w:hAnsi="Times New Roman"/>
                <w:sz w:val="22"/>
                <w:szCs w:val="22"/>
              </w:rPr>
              <w:t xml:space="preserve"> </w:t>
            </w:r>
            <w:proofErr w:type="spellStart"/>
            <w:r w:rsidRPr="00891D48">
              <w:rPr>
                <w:rFonts w:ascii="Times New Roman" w:hAnsi="Times New Roman"/>
                <w:sz w:val="22"/>
                <w:szCs w:val="22"/>
              </w:rPr>
              <w:t>Sarsat</w:t>
            </w:r>
            <w:proofErr w:type="spellEnd"/>
            <w:r w:rsidRPr="00891D48">
              <w:rPr>
                <w:rFonts w:ascii="Times New Roman" w:hAnsi="Times New Roman"/>
                <w:sz w:val="22"/>
                <w:szCs w:val="22"/>
              </w:rPr>
              <w:t xml:space="preserve"> LEO</w:t>
            </w:r>
          </w:p>
        </w:tc>
        <w:tc>
          <w:tcPr>
            <w:tcW w:w="3110" w:type="dxa"/>
            <w:vAlign w:val="center"/>
          </w:tcPr>
          <w:p w:rsidR="00543337" w:rsidRPr="00891D48" w:rsidRDefault="00543337" w:rsidP="00B06A97">
            <w:pPr>
              <w:pStyle w:val="TableText0"/>
              <w:keepNext w:val="0"/>
              <w:jc w:val="left"/>
              <w:rPr>
                <w:rFonts w:ascii="Times New Roman" w:hAnsi="Times New Roman"/>
                <w:sz w:val="22"/>
                <w:szCs w:val="22"/>
                <w:lang w:val="es-ES_tradnl"/>
              </w:rPr>
            </w:pPr>
            <w:r w:rsidRPr="00891D48">
              <w:rPr>
                <w:rFonts w:ascii="Times New Roman" w:hAnsi="Times New Roman"/>
                <w:sz w:val="22"/>
                <w:szCs w:val="22"/>
                <w:lang w:val="es-ES_tradnl"/>
              </w:rPr>
              <w:t>Órbita circular de 830 km, inclinación de 98°</w:t>
            </w:r>
          </w:p>
        </w:tc>
        <w:tc>
          <w:tcPr>
            <w:tcW w:w="2397" w:type="dxa"/>
            <w:vAlign w:val="center"/>
          </w:tcPr>
          <w:p w:rsidR="00543337" w:rsidRPr="00891D48" w:rsidRDefault="00543337" w:rsidP="00B06A97">
            <w:pPr>
              <w:pStyle w:val="TableText0"/>
              <w:keepNext w:val="0"/>
              <w:jc w:val="center"/>
              <w:rPr>
                <w:rFonts w:ascii="Times New Roman" w:hAnsi="Times New Roman"/>
                <w:sz w:val="22"/>
                <w:szCs w:val="22"/>
              </w:rPr>
            </w:pPr>
            <w:r w:rsidRPr="00891D48">
              <w:rPr>
                <w:rFonts w:ascii="Times New Roman" w:hAnsi="Times New Roman"/>
                <w:sz w:val="22"/>
                <w:szCs w:val="22"/>
              </w:rPr>
              <w:t xml:space="preserve">–147,6 </w:t>
            </w:r>
            <w:proofErr w:type="spellStart"/>
            <w:r w:rsidRPr="00891D48">
              <w:rPr>
                <w:rFonts w:ascii="Times New Roman" w:hAnsi="Times New Roman"/>
                <w:sz w:val="22"/>
                <w:szCs w:val="22"/>
              </w:rPr>
              <w:t>dBm</w:t>
            </w:r>
            <w:proofErr w:type="spellEnd"/>
          </w:p>
        </w:tc>
        <w:tc>
          <w:tcPr>
            <w:tcW w:w="2426" w:type="dxa"/>
            <w:vAlign w:val="center"/>
          </w:tcPr>
          <w:p w:rsidR="00543337" w:rsidRPr="00891D48" w:rsidRDefault="00543337" w:rsidP="00B06A97">
            <w:pPr>
              <w:pStyle w:val="TableText0"/>
              <w:keepNext w:val="0"/>
              <w:jc w:val="center"/>
              <w:rPr>
                <w:rFonts w:ascii="Times New Roman" w:hAnsi="Times New Roman"/>
                <w:sz w:val="22"/>
                <w:szCs w:val="22"/>
              </w:rPr>
            </w:pPr>
            <w:r w:rsidRPr="00891D48">
              <w:rPr>
                <w:rFonts w:ascii="Times New Roman" w:hAnsi="Times New Roman"/>
                <w:sz w:val="22"/>
                <w:szCs w:val="22"/>
              </w:rPr>
              <w:t>–198,6 dB(W/(m</w:t>
            </w:r>
            <w:r w:rsidRPr="00891D48">
              <w:rPr>
                <w:rFonts w:ascii="Times New Roman" w:hAnsi="Times New Roman"/>
                <w:sz w:val="22"/>
                <w:szCs w:val="22"/>
                <w:vertAlign w:val="superscript"/>
              </w:rPr>
              <w:t>2</w:t>
            </w:r>
            <w:r w:rsidRPr="00891D48">
              <w:rPr>
                <w:rFonts w:ascii="Times New Roman" w:hAnsi="Times New Roman"/>
                <w:sz w:val="22"/>
                <w:szCs w:val="22"/>
              </w:rPr>
              <w:t> · Hz))</w:t>
            </w:r>
          </w:p>
        </w:tc>
      </w:tr>
      <w:tr w:rsidR="00543337" w:rsidRPr="00891D48" w:rsidTr="00B44DD8">
        <w:trPr>
          <w:trHeight w:val="680"/>
          <w:jc w:val="center"/>
        </w:trPr>
        <w:tc>
          <w:tcPr>
            <w:tcW w:w="1696" w:type="dxa"/>
            <w:vAlign w:val="center"/>
          </w:tcPr>
          <w:p w:rsidR="00543337" w:rsidRPr="00891D48" w:rsidRDefault="00543337" w:rsidP="00B06A97">
            <w:pPr>
              <w:pStyle w:val="TableText0"/>
              <w:keepNext w:val="0"/>
              <w:jc w:val="left"/>
              <w:rPr>
                <w:rFonts w:ascii="Times New Roman" w:hAnsi="Times New Roman"/>
                <w:sz w:val="22"/>
                <w:szCs w:val="22"/>
                <w:lang w:val="es-ES_tradnl"/>
              </w:rPr>
            </w:pPr>
            <w:r w:rsidRPr="00891D48">
              <w:rPr>
                <w:rFonts w:ascii="Times New Roman" w:hAnsi="Times New Roman"/>
                <w:sz w:val="22"/>
                <w:szCs w:val="22"/>
                <w:lang w:val="es-ES_tradnl"/>
              </w:rPr>
              <w:t xml:space="preserve">Instrumento SARP para instrumento </w:t>
            </w:r>
            <w:proofErr w:type="spellStart"/>
            <w:r w:rsidRPr="00891D48">
              <w:rPr>
                <w:rFonts w:ascii="Times New Roman" w:hAnsi="Times New Roman"/>
                <w:sz w:val="22"/>
                <w:szCs w:val="22"/>
                <w:lang w:val="es-ES_tradnl"/>
              </w:rPr>
              <w:t>Cospas</w:t>
            </w:r>
            <w:proofErr w:type="spellEnd"/>
            <w:r w:rsidRPr="00891D48">
              <w:rPr>
                <w:rFonts w:ascii="Times New Roman" w:hAnsi="Times New Roman"/>
                <w:sz w:val="22"/>
                <w:szCs w:val="22"/>
                <w:lang w:val="es-ES_tradnl"/>
              </w:rPr>
              <w:t xml:space="preserve"> LEO</w:t>
            </w:r>
          </w:p>
        </w:tc>
        <w:tc>
          <w:tcPr>
            <w:tcW w:w="3110" w:type="dxa"/>
            <w:vAlign w:val="center"/>
          </w:tcPr>
          <w:p w:rsidR="00543337" w:rsidRPr="00891D48" w:rsidRDefault="00543337" w:rsidP="00B06A97">
            <w:pPr>
              <w:pStyle w:val="TableText0"/>
              <w:keepNext w:val="0"/>
              <w:jc w:val="left"/>
              <w:rPr>
                <w:rFonts w:ascii="Times New Roman" w:hAnsi="Times New Roman"/>
                <w:sz w:val="22"/>
                <w:szCs w:val="22"/>
                <w:lang w:val="es-ES_tradnl"/>
              </w:rPr>
            </w:pPr>
            <w:r w:rsidRPr="00891D48">
              <w:rPr>
                <w:rFonts w:ascii="Times New Roman" w:hAnsi="Times New Roman"/>
                <w:sz w:val="22"/>
                <w:szCs w:val="22"/>
                <w:lang w:val="es-ES_tradnl"/>
              </w:rPr>
              <w:t>Órbita circular de 830 km, inclinación de 98°</w:t>
            </w:r>
          </w:p>
        </w:tc>
        <w:tc>
          <w:tcPr>
            <w:tcW w:w="2397" w:type="dxa"/>
            <w:vAlign w:val="center"/>
          </w:tcPr>
          <w:p w:rsidR="00543337" w:rsidRPr="00891D48" w:rsidRDefault="00543337" w:rsidP="00B06A97">
            <w:pPr>
              <w:pStyle w:val="TableText0"/>
              <w:keepNext w:val="0"/>
              <w:jc w:val="center"/>
              <w:rPr>
                <w:rFonts w:ascii="Times New Roman" w:hAnsi="Times New Roman"/>
                <w:sz w:val="22"/>
                <w:szCs w:val="22"/>
              </w:rPr>
            </w:pPr>
            <w:r w:rsidRPr="00891D48">
              <w:rPr>
                <w:rFonts w:ascii="Times New Roman" w:hAnsi="Times New Roman"/>
                <w:sz w:val="22"/>
                <w:szCs w:val="22"/>
              </w:rPr>
              <w:t xml:space="preserve">–147,6 </w:t>
            </w:r>
            <w:proofErr w:type="spellStart"/>
            <w:r w:rsidRPr="00891D48">
              <w:rPr>
                <w:rFonts w:ascii="Times New Roman" w:hAnsi="Times New Roman"/>
                <w:sz w:val="22"/>
                <w:szCs w:val="22"/>
              </w:rPr>
              <w:t>dBm</w:t>
            </w:r>
            <w:proofErr w:type="spellEnd"/>
          </w:p>
        </w:tc>
        <w:tc>
          <w:tcPr>
            <w:tcW w:w="2426" w:type="dxa"/>
            <w:vAlign w:val="center"/>
          </w:tcPr>
          <w:p w:rsidR="00543337" w:rsidRPr="00891D48" w:rsidRDefault="00543337" w:rsidP="00B06A97">
            <w:pPr>
              <w:pStyle w:val="TableText0"/>
              <w:keepNext w:val="0"/>
              <w:jc w:val="center"/>
              <w:rPr>
                <w:rFonts w:ascii="Times New Roman" w:hAnsi="Times New Roman"/>
                <w:sz w:val="22"/>
                <w:szCs w:val="22"/>
              </w:rPr>
            </w:pPr>
            <w:r w:rsidRPr="00891D48">
              <w:rPr>
                <w:rFonts w:ascii="Times New Roman" w:hAnsi="Times New Roman"/>
                <w:sz w:val="22"/>
                <w:szCs w:val="22"/>
              </w:rPr>
              <w:t>–198,6 dB(W/(m</w:t>
            </w:r>
            <w:r w:rsidRPr="00891D48">
              <w:rPr>
                <w:rFonts w:ascii="Times New Roman" w:hAnsi="Times New Roman"/>
                <w:sz w:val="22"/>
                <w:szCs w:val="22"/>
                <w:vertAlign w:val="superscript"/>
              </w:rPr>
              <w:t>2</w:t>
            </w:r>
            <w:r w:rsidRPr="00891D48">
              <w:rPr>
                <w:rFonts w:ascii="Times New Roman" w:hAnsi="Times New Roman"/>
                <w:sz w:val="22"/>
                <w:szCs w:val="22"/>
              </w:rPr>
              <w:t> · Hz))</w:t>
            </w:r>
          </w:p>
        </w:tc>
      </w:tr>
      <w:tr w:rsidR="00543337" w:rsidRPr="00891D48" w:rsidTr="00B44DD8">
        <w:trPr>
          <w:trHeight w:val="680"/>
          <w:jc w:val="center"/>
        </w:trPr>
        <w:tc>
          <w:tcPr>
            <w:tcW w:w="1696" w:type="dxa"/>
            <w:vAlign w:val="center"/>
          </w:tcPr>
          <w:p w:rsidR="00543337" w:rsidRPr="00891D48" w:rsidRDefault="00543337" w:rsidP="00B06A97">
            <w:pPr>
              <w:pStyle w:val="TableText0"/>
              <w:keepNext w:val="0"/>
              <w:jc w:val="left"/>
              <w:rPr>
                <w:rFonts w:ascii="Times New Roman" w:hAnsi="Times New Roman"/>
                <w:sz w:val="22"/>
                <w:szCs w:val="22"/>
              </w:rPr>
            </w:pPr>
            <w:proofErr w:type="spellStart"/>
            <w:r w:rsidRPr="00891D48">
              <w:rPr>
                <w:rFonts w:ascii="Times New Roman" w:hAnsi="Times New Roman"/>
                <w:sz w:val="22"/>
                <w:szCs w:val="22"/>
              </w:rPr>
              <w:t>Instrumento</w:t>
            </w:r>
            <w:proofErr w:type="spellEnd"/>
            <w:r w:rsidRPr="00891D48">
              <w:rPr>
                <w:rFonts w:ascii="Times New Roman" w:hAnsi="Times New Roman"/>
                <w:sz w:val="22"/>
                <w:szCs w:val="22"/>
              </w:rPr>
              <w:t xml:space="preserve"> SARR </w:t>
            </w:r>
            <w:proofErr w:type="spellStart"/>
            <w:r w:rsidRPr="00891D48">
              <w:rPr>
                <w:rFonts w:ascii="Times New Roman" w:hAnsi="Times New Roman"/>
                <w:sz w:val="22"/>
                <w:szCs w:val="22"/>
              </w:rPr>
              <w:t>Sarsat</w:t>
            </w:r>
            <w:proofErr w:type="spellEnd"/>
            <w:r w:rsidRPr="00891D48">
              <w:rPr>
                <w:rFonts w:ascii="Times New Roman" w:hAnsi="Times New Roman"/>
                <w:sz w:val="22"/>
                <w:szCs w:val="22"/>
              </w:rPr>
              <w:t xml:space="preserve"> para </w:t>
            </w:r>
            <w:proofErr w:type="spellStart"/>
            <w:r w:rsidRPr="00891D48">
              <w:rPr>
                <w:rFonts w:ascii="Times New Roman" w:hAnsi="Times New Roman"/>
                <w:sz w:val="22"/>
                <w:szCs w:val="22"/>
              </w:rPr>
              <w:t>satélite</w:t>
            </w:r>
            <w:proofErr w:type="spellEnd"/>
            <w:r w:rsidRPr="00891D48">
              <w:rPr>
                <w:rFonts w:ascii="Times New Roman" w:hAnsi="Times New Roman"/>
                <w:sz w:val="22"/>
                <w:szCs w:val="22"/>
              </w:rPr>
              <w:t xml:space="preserve"> LEO </w:t>
            </w:r>
          </w:p>
        </w:tc>
        <w:tc>
          <w:tcPr>
            <w:tcW w:w="3110" w:type="dxa"/>
            <w:vAlign w:val="center"/>
          </w:tcPr>
          <w:p w:rsidR="00543337" w:rsidRPr="00891D48" w:rsidRDefault="00543337" w:rsidP="00B06A97">
            <w:pPr>
              <w:pStyle w:val="TableText0"/>
              <w:keepNext w:val="0"/>
              <w:jc w:val="left"/>
              <w:rPr>
                <w:rFonts w:ascii="Times New Roman" w:hAnsi="Times New Roman"/>
                <w:sz w:val="22"/>
                <w:szCs w:val="22"/>
                <w:lang w:val="es-ES_tradnl"/>
              </w:rPr>
            </w:pPr>
            <w:r w:rsidRPr="00891D48">
              <w:rPr>
                <w:rFonts w:ascii="Times New Roman" w:hAnsi="Times New Roman"/>
                <w:sz w:val="22"/>
                <w:szCs w:val="22"/>
                <w:lang w:val="es-ES_tradnl"/>
              </w:rPr>
              <w:t>Órbita circular de 830 km, inclinación de 98°</w:t>
            </w:r>
          </w:p>
        </w:tc>
        <w:tc>
          <w:tcPr>
            <w:tcW w:w="2397" w:type="dxa"/>
            <w:vAlign w:val="center"/>
          </w:tcPr>
          <w:p w:rsidR="00543337" w:rsidRPr="00891D48" w:rsidRDefault="00543337" w:rsidP="00B06A97">
            <w:pPr>
              <w:pStyle w:val="TableText0"/>
              <w:keepNext w:val="0"/>
              <w:jc w:val="center"/>
              <w:rPr>
                <w:rFonts w:ascii="Times New Roman" w:hAnsi="Times New Roman"/>
                <w:sz w:val="22"/>
                <w:szCs w:val="22"/>
              </w:rPr>
            </w:pPr>
            <w:r w:rsidRPr="00891D48">
              <w:rPr>
                <w:rFonts w:ascii="Times New Roman" w:hAnsi="Times New Roman"/>
                <w:sz w:val="22"/>
                <w:szCs w:val="22"/>
              </w:rPr>
              <w:t xml:space="preserve">–147,6 </w:t>
            </w:r>
            <w:proofErr w:type="spellStart"/>
            <w:r w:rsidRPr="00891D48">
              <w:rPr>
                <w:rFonts w:ascii="Times New Roman" w:hAnsi="Times New Roman"/>
                <w:sz w:val="22"/>
                <w:szCs w:val="22"/>
              </w:rPr>
              <w:t>dBm</w:t>
            </w:r>
            <w:proofErr w:type="spellEnd"/>
          </w:p>
        </w:tc>
        <w:tc>
          <w:tcPr>
            <w:tcW w:w="2426" w:type="dxa"/>
            <w:vAlign w:val="center"/>
          </w:tcPr>
          <w:p w:rsidR="00543337" w:rsidRPr="00891D48" w:rsidRDefault="00543337" w:rsidP="00B06A97">
            <w:pPr>
              <w:pStyle w:val="TableText0"/>
              <w:keepNext w:val="0"/>
              <w:jc w:val="center"/>
              <w:rPr>
                <w:rFonts w:ascii="Times New Roman" w:hAnsi="Times New Roman"/>
                <w:sz w:val="22"/>
                <w:szCs w:val="22"/>
              </w:rPr>
            </w:pPr>
            <w:r w:rsidRPr="00891D48">
              <w:rPr>
                <w:rFonts w:ascii="Times New Roman" w:hAnsi="Times New Roman"/>
                <w:sz w:val="22"/>
                <w:szCs w:val="22"/>
              </w:rPr>
              <w:t>–204,7 dB(W/(m</w:t>
            </w:r>
            <w:r w:rsidRPr="00891D48">
              <w:rPr>
                <w:rFonts w:ascii="Times New Roman" w:hAnsi="Times New Roman"/>
                <w:sz w:val="22"/>
                <w:szCs w:val="22"/>
                <w:vertAlign w:val="superscript"/>
              </w:rPr>
              <w:t>2</w:t>
            </w:r>
            <w:r w:rsidRPr="00891D48">
              <w:rPr>
                <w:rFonts w:ascii="Times New Roman" w:hAnsi="Times New Roman"/>
                <w:sz w:val="22"/>
                <w:szCs w:val="22"/>
              </w:rPr>
              <w:t> · Hz))</w:t>
            </w:r>
          </w:p>
        </w:tc>
      </w:tr>
      <w:tr w:rsidR="00543337" w:rsidRPr="00891D48" w:rsidTr="00B44DD8">
        <w:trPr>
          <w:trHeight w:val="680"/>
          <w:jc w:val="center"/>
        </w:trPr>
        <w:tc>
          <w:tcPr>
            <w:tcW w:w="1696" w:type="dxa"/>
            <w:vAlign w:val="center"/>
          </w:tcPr>
          <w:p w:rsidR="00543337" w:rsidRPr="00891D48" w:rsidRDefault="00543337" w:rsidP="00B06A97">
            <w:pPr>
              <w:pStyle w:val="TableText0"/>
              <w:keepNext w:val="0"/>
              <w:jc w:val="left"/>
              <w:rPr>
                <w:rFonts w:ascii="Times New Roman" w:hAnsi="Times New Roman"/>
                <w:sz w:val="22"/>
                <w:szCs w:val="22"/>
                <w:lang w:val="es-ES_tradnl"/>
              </w:rPr>
            </w:pPr>
            <w:r w:rsidRPr="00891D48">
              <w:rPr>
                <w:rFonts w:ascii="Times New Roman" w:hAnsi="Times New Roman"/>
                <w:sz w:val="22"/>
                <w:szCs w:val="22"/>
                <w:lang w:val="es-ES_tradnl"/>
              </w:rPr>
              <w:t xml:space="preserve">Repetidor a bordo del satélite  GOES </w:t>
            </w:r>
          </w:p>
        </w:tc>
        <w:tc>
          <w:tcPr>
            <w:tcW w:w="3110" w:type="dxa"/>
            <w:vAlign w:val="center"/>
          </w:tcPr>
          <w:p w:rsidR="00543337" w:rsidRPr="00891D48" w:rsidRDefault="00543337" w:rsidP="00B06A97">
            <w:pPr>
              <w:pStyle w:val="TableText0"/>
              <w:keepNext w:val="0"/>
              <w:jc w:val="left"/>
              <w:rPr>
                <w:rFonts w:ascii="Times New Roman" w:hAnsi="Times New Roman"/>
                <w:sz w:val="22"/>
                <w:szCs w:val="22"/>
              </w:rPr>
            </w:pPr>
            <w:proofErr w:type="spellStart"/>
            <w:r w:rsidRPr="00891D48">
              <w:rPr>
                <w:rFonts w:ascii="Times New Roman" w:hAnsi="Times New Roman"/>
                <w:sz w:val="22"/>
                <w:szCs w:val="22"/>
              </w:rPr>
              <w:t>Órbita</w:t>
            </w:r>
            <w:proofErr w:type="spellEnd"/>
            <w:r w:rsidRPr="00891D48">
              <w:rPr>
                <w:rFonts w:ascii="Times New Roman" w:hAnsi="Times New Roman"/>
                <w:sz w:val="22"/>
                <w:szCs w:val="22"/>
              </w:rPr>
              <w:t xml:space="preserve"> </w:t>
            </w:r>
            <w:proofErr w:type="spellStart"/>
            <w:r w:rsidRPr="00891D48">
              <w:rPr>
                <w:rFonts w:ascii="Times New Roman" w:hAnsi="Times New Roman"/>
                <w:sz w:val="22"/>
                <w:szCs w:val="22"/>
              </w:rPr>
              <w:t>geoestacionaria</w:t>
            </w:r>
            <w:proofErr w:type="spellEnd"/>
          </w:p>
        </w:tc>
        <w:tc>
          <w:tcPr>
            <w:tcW w:w="2397" w:type="dxa"/>
            <w:vAlign w:val="center"/>
          </w:tcPr>
          <w:p w:rsidR="00543337" w:rsidRPr="00891D48" w:rsidRDefault="00543337" w:rsidP="00B06A97">
            <w:pPr>
              <w:pStyle w:val="TableText0"/>
              <w:keepNext w:val="0"/>
              <w:jc w:val="center"/>
              <w:rPr>
                <w:rFonts w:ascii="Times New Roman" w:hAnsi="Times New Roman"/>
                <w:sz w:val="22"/>
                <w:szCs w:val="22"/>
              </w:rPr>
            </w:pPr>
            <w:r w:rsidRPr="00891D48">
              <w:rPr>
                <w:rFonts w:ascii="Times New Roman" w:hAnsi="Times New Roman"/>
                <w:sz w:val="22"/>
                <w:szCs w:val="22"/>
              </w:rPr>
              <w:t xml:space="preserve">–140,9 </w:t>
            </w:r>
            <w:proofErr w:type="spellStart"/>
            <w:r w:rsidRPr="00891D48">
              <w:rPr>
                <w:rFonts w:ascii="Times New Roman" w:hAnsi="Times New Roman"/>
                <w:sz w:val="22"/>
                <w:szCs w:val="22"/>
              </w:rPr>
              <w:t>dBm</w:t>
            </w:r>
            <w:proofErr w:type="spellEnd"/>
          </w:p>
        </w:tc>
        <w:tc>
          <w:tcPr>
            <w:tcW w:w="2426" w:type="dxa"/>
            <w:vAlign w:val="center"/>
          </w:tcPr>
          <w:p w:rsidR="00543337" w:rsidRPr="00891D48" w:rsidRDefault="00543337" w:rsidP="00B06A97">
            <w:pPr>
              <w:pStyle w:val="TableText0"/>
              <w:keepNext w:val="0"/>
              <w:jc w:val="center"/>
              <w:rPr>
                <w:rFonts w:ascii="Times New Roman" w:hAnsi="Times New Roman"/>
                <w:sz w:val="22"/>
                <w:szCs w:val="22"/>
              </w:rPr>
            </w:pPr>
            <w:r w:rsidRPr="00891D48">
              <w:rPr>
                <w:rFonts w:ascii="Times New Roman" w:hAnsi="Times New Roman"/>
                <w:sz w:val="22"/>
                <w:szCs w:val="22"/>
              </w:rPr>
              <w:t>–201,1 dB(W/(m</w:t>
            </w:r>
            <w:r w:rsidRPr="00891D48">
              <w:rPr>
                <w:rFonts w:ascii="Times New Roman" w:hAnsi="Times New Roman"/>
                <w:sz w:val="22"/>
                <w:szCs w:val="22"/>
                <w:vertAlign w:val="superscript"/>
              </w:rPr>
              <w:t>2</w:t>
            </w:r>
            <w:r w:rsidRPr="00891D48">
              <w:rPr>
                <w:rFonts w:ascii="Times New Roman" w:hAnsi="Times New Roman"/>
                <w:sz w:val="22"/>
                <w:szCs w:val="22"/>
              </w:rPr>
              <w:t> · Hz))</w:t>
            </w:r>
          </w:p>
        </w:tc>
      </w:tr>
      <w:tr w:rsidR="00543337" w:rsidRPr="00891D48" w:rsidTr="00B44DD8">
        <w:trPr>
          <w:trHeight w:val="680"/>
          <w:jc w:val="center"/>
        </w:trPr>
        <w:tc>
          <w:tcPr>
            <w:tcW w:w="1696" w:type="dxa"/>
            <w:vAlign w:val="center"/>
          </w:tcPr>
          <w:p w:rsidR="00543337" w:rsidRPr="00891D48" w:rsidRDefault="00543337" w:rsidP="00B06A97">
            <w:pPr>
              <w:pStyle w:val="TableText0"/>
              <w:keepNext w:val="0"/>
              <w:jc w:val="left"/>
              <w:rPr>
                <w:rFonts w:ascii="Times New Roman" w:hAnsi="Times New Roman"/>
                <w:sz w:val="22"/>
                <w:szCs w:val="22"/>
                <w:lang w:val="es-ES_tradnl"/>
              </w:rPr>
            </w:pPr>
            <w:r w:rsidRPr="00891D48">
              <w:rPr>
                <w:rFonts w:ascii="Times New Roman" w:hAnsi="Times New Roman"/>
                <w:sz w:val="22"/>
                <w:szCs w:val="22"/>
                <w:lang w:val="es-ES_tradnl"/>
              </w:rPr>
              <w:t xml:space="preserve">Repetidor a bordo del satélite MSG </w:t>
            </w:r>
          </w:p>
        </w:tc>
        <w:tc>
          <w:tcPr>
            <w:tcW w:w="3110" w:type="dxa"/>
            <w:vAlign w:val="center"/>
          </w:tcPr>
          <w:p w:rsidR="00543337" w:rsidRPr="00891D48" w:rsidRDefault="00543337" w:rsidP="00B06A97">
            <w:pPr>
              <w:pStyle w:val="TableText0"/>
              <w:keepNext w:val="0"/>
              <w:jc w:val="left"/>
              <w:rPr>
                <w:rFonts w:ascii="Times New Roman" w:hAnsi="Times New Roman"/>
                <w:sz w:val="22"/>
                <w:szCs w:val="22"/>
              </w:rPr>
            </w:pPr>
            <w:proofErr w:type="spellStart"/>
            <w:r w:rsidRPr="00891D48">
              <w:rPr>
                <w:rFonts w:ascii="Times New Roman" w:hAnsi="Times New Roman"/>
                <w:sz w:val="22"/>
                <w:szCs w:val="22"/>
              </w:rPr>
              <w:t>Órbita</w:t>
            </w:r>
            <w:proofErr w:type="spellEnd"/>
            <w:r w:rsidRPr="00891D48">
              <w:rPr>
                <w:rFonts w:ascii="Times New Roman" w:hAnsi="Times New Roman"/>
                <w:sz w:val="22"/>
                <w:szCs w:val="22"/>
              </w:rPr>
              <w:t xml:space="preserve"> </w:t>
            </w:r>
            <w:proofErr w:type="spellStart"/>
            <w:r w:rsidRPr="00891D48">
              <w:rPr>
                <w:rFonts w:ascii="Times New Roman" w:hAnsi="Times New Roman"/>
                <w:sz w:val="22"/>
                <w:szCs w:val="22"/>
              </w:rPr>
              <w:t>geoestacionaria</w:t>
            </w:r>
            <w:proofErr w:type="spellEnd"/>
          </w:p>
        </w:tc>
        <w:tc>
          <w:tcPr>
            <w:tcW w:w="2397" w:type="dxa"/>
            <w:vAlign w:val="center"/>
          </w:tcPr>
          <w:p w:rsidR="00543337" w:rsidRPr="00891D48" w:rsidRDefault="00543337" w:rsidP="00B06A97">
            <w:pPr>
              <w:pStyle w:val="TableText0"/>
              <w:keepNext w:val="0"/>
              <w:jc w:val="center"/>
              <w:rPr>
                <w:rFonts w:ascii="Times New Roman" w:hAnsi="Times New Roman"/>
                <w:sz w:val="22"/>
                <w:szCs w:val="22"/>
              </w:rPr>
            </w:pPr>
            <w:r w:rsidRPr="00891D48">
              <w:rPr>
                <w:rFonts w:ascii="Times New Roman" w:hAnsi="Times New Roman"/>
                <w:sz w:val="22"/>
                <w:szCs w:val="22"/>
              </w:rPr>
              <w:t xml:space="preserve">–147 </w:t>
            </w:r>
            <w:proofErr w:type="spellStart"/>
            <w:r w:rsidRPr="00891D48">
              <w:rPr>
                <w:rFonts w:ascii="Times New Roman" w:hAnsi="Times New Roman"/>
                <w:sz w:val="22"/>
                <w:szCs w:val="22"/>
              </w:rPr>
              <w:t>dBm</w:t>
            </w:r>
            <w:proofErr w:type="spellEnd"/>
          </w:p>
        </w:tc>
        <w:tc>
          <w:tcPr>
            <w:tcW w:w="2426" w:type="dxa"/>
            <w:vAlign w:val="center"/>
          </w:tcPr>
          <w:p w:rsidR="00543337" w:rsidRPr="00891D48" w:rsidRDefault="00543337" w:rsidP="00B06A97">
            <w:pPr>
              <w:pStyle w:val="TableText0"/>
              <w:keepNext w:val="0"/>
              <w:jc w:val="center"/>
              <w:rPr>
                <w:rFonts w:ascii="Times New Roman" w:hAnsi="Times New Roman"/>
                <w:sz w:val="22"/>
                <w:szCs w:val="22"/>
              </w:rPr>
            </w:pPr>
            <w:r w:rsidRPr="00891D48">
              <w:rPr>
                <w:rFonts w:ascii="Times New Roman" w:hAnsi="Times New Roman"/>
                <w:sz w:val="22"/>
                <w:szCs w:val="22"/>
              </w:rPr>
              <w:t>–206,4 dB(W/(m</w:t>
            </w:r>
            <w:r w:rsidRPr="00891D48">
              <w:rPr>
                <w:rFonts w:ascii="Times New Roman" w:hAnsi="Times New Roman"/>
                <w:sz w:val="22"/>
                <w:szCs w:val="22"/>
                <w:vertAlign w:val="superscript"/>
              </w:rPr>
              <w:t>2</w:t>
            </w:r>
            <w:r w:rsidRPr="00891D48">
              <w:rPr>
                <w:rFonts w:ascii="Times New Roman" w:hAnsi="Times New Roman"/>
                <w:sz w:val="22"/>
                <w:szCs w:val="22"/>
              </w:rPr>
              <w:t> · Hz))</w:t>
            </w:r>
          </w:p>
        </w:tc>
      </w:tr>
      <w:tr w:rsidR="00543337" w:rsidRPr="00891D48" w:rsidTr="00B44DD8">
        <w:trPr>
          <w:trHeight w:val="680"/>
          <w:jc w:val="center"/>
        </w:trPr>
        <w:tc>
          <w:tcPr>
            <w:tcW w:w="1696" w:type="dxa"/>
            <w:vAlign w:val="center"/>
          </w:tcPr>
          <w:p w:rsidR="00543337" w:rsidRPr="00891D48" w:rsidRDefault="00543337" w:rsidP="00B06A97">
            <w:pPr>
              <w:pStyle w:val="TableText0"/>
              <w:keepNext w:val="0"/>
              <w:jc w:val="left"/>
              <w:rPr>
                <w:rFonts w:ascii="Times New Roman" w:hAnsi="Times New Roman"/>
                <w:sz w:val="22"/>
                <w:szCs w:val="22"/>
                <w:lang w:val="es-ES_tradnl"/>
              </w:rPr>
            </w:pPr>
            <w:r w:rsidRPr="00891D48">
              <w:rPr>
                <w:rFonts w:ascii="Times New Roman" w:hAnsi="Times New Roman"/>
                <w:sz w:val="22"/>
                <w:szCs w:val="22"/>
                <w:lang w:val="es-ES_tradnl"/>
              </w:rPr>
              <w:t xml:space="preserve">Repetidor a bordo de satélites Electro </w:t>
            </w:r>
          </w:p>
        </w:tc>
        <w:tc>
          <w:tcPr>
            <w:tcW w:w="3110" w:type="dxa"/>
            <w:vAlign w:val="center"/>
          </w:tcPr>
          <w:p w:rsidR="00543337" w:rsidRPr="00891D48" w:rsidRDefault="00543337" w:rsidP="00B06A97">
            <w:pPr>
              <w:pStyle w:val="TableText0"/>
              <w:keepNext w:val="0"/>
              <w:jc w:val="left"/>
              <w:rPr>
                <w:rFonts w:ascii="Times New Roman" w:hAnsi="Times New Roman"/>
                <w:sz w:val="22"/>
                <w:szCs w:val="22"/>
              </w:rPr>
            </w:pPr>
            <w:proofErr w:type="spellStart"/>
            <w:r w:rsidRPr="00891D48">
              <w:rPr>
                <w:rFonts w:ascii="Times New Roman" w:hAnsi="Times New Roman"/>
                <w:sz w:val="22"/>
                <w:szCs w:val="22"/>
              </w:rPr>
              <w:t>Órbita</w:t>
            </w:r>
            <w:proofErr w:type="spellEnd"/>
            <w:r w:rsidRPr="00891D48">
              <w:rPr>
                <w:rFonts w:ascii="Times New Roman" w:hAnsi="Times New Roman"/>
                <w:sz w:val="22"/>
                <w:szCs w:val="22"/>
              </w:rPr>
              <w:t xml:space="preserve"> </w:t>
            </w:r>
            <w:proofErr w:type="spellStart"/>
            <w:r w:rsidRPr="00891D48">
              <w:rPr>
                <w:rFonts w:ascii="Times New Roman" w:hAnsi="Times New Roman"/>
                <w:sz w:val="22"/>
                <w:szCs w:val="22"/>
              </w:rPr>
              <w:t>geoestacionaria</w:t>
            </w:r>
            <w:proofErr w:type="spellEnd"/>
          </w:p>
        </w:tc>
        <w:tc>
          <w:tcPr>
            <w:tcW w:w="2397" w:type="dxa"/>
            <w:vAlign w:val="center"/>
          </w:tcPr>
          <w:p w:rsidR="00543337" w:rsidRPr="00891D48" w:rsidRDefault="00543337" w:rsidP="00B06A97">
            <w:pPr>
              <w:pStyle w:val="TableText0"/>
              <w:keepNext w:val="0"/>
              <w:jc w:val="center"/>
              <w:rPr>
                <w:rFonts w:ascii="Times New Roman" w:hAnsi="Times New Roman"/>
                <w:sz w:val="22"/>
                <w:szCs w:val="22"/>
              </w:rPr>
            </w:pPr>
            <w:r w:rsidRPr="00891D48">
              <w:rPr>
                <w:rFonts w:ascii="Times New Roman" w:hAnsi="Times New Roman"/>
                <w:sz w:val="22"/>
                <w:szCs w:val="22"/>
              </w:rPr>
              <w:t xml:space="preserve">–139,8 </w:t>
            </w:r>
            <w:proofErr w:type="spellStart"/>
            <w:r w:rsidRPr="00891D48">
              <w:rPr>
                <w:rFonts w:ascii="Times New Roman" w:hAnsi="Times New Roman"/>
                <w:sz w:val="22"/>
                <w:szCs w:val="22"/>
              </w:rPr>
              <w:t>dBm</w:t>
            </w:r>
            <w:proofErr w:type="spellEnd"/>
          </w:p>
        </w:tc>
        <w:tc>
          <w:tcPr>
            <w:tcW w:w="2426" w:type="dxa"/>
            <w:vAlign w:val="center"/>
          </w:tcPr>
          <w:p w:rsidR="00543337" w:rsidRPr="00891D48" w:rsidRDefault="00543337" w:rsidP="00B06A97">
            <w:pPr>
              <w:pStyle w:val="TableText0"/>
              <w:keepNext w:val="0"/>
              <w:jc w:val="center"/>
              <w:rPr>
                <w:rFonts w:ascii="Times New Roman" w:hAnsi="Times New Roman"/>
                <w:sz w:val="22"/>
                <w:szCs w:val="22"/>
              </w:rPr>
            </w:pPr>
            <w:r w:rsidRPr="00891D48">
              <w:rPr>
                <w:rFonts w:ascii="Times New Roman" w:hAnsi="Times New Roman"/>
                <w:sz w:val="22"/>
                <w:szCs w:val="22"/>
              </w:rPr>
              <w:t>–198,7 dB(W/(m</w:t>
            </w:r>
            <w:r w:rsidRPr="00891D48">
              <w:rPr>
                <w:rFonts w:ascii="Times New Roman" w:hAnsi="Times New Roman"/>
                <w:sz w:val="22"/>
                <w:szCs w:val="22"/>
                <w:vertAlign w:val="superscript"/>
              </w:rPr>
              <w:t>2</w:t>
            </w:r>
            <w:r w:rsidRPr="00891D48">
              <w:rPr>
                <w:rFonts w:ascii="Times New Roman" w:hAnsi="Times New Roman"/>
                <w:sz w:val="22"/>
                <w:szCs w:val="22"/>
              </w:rPr>
              <w:t> · Hz))</w:t>
            </w:r>
          </w:p>
        </w:tc>
      </w:tr>
    </w:tbl>
    <w:p w:rsidR="00891D48" w:rsidRDefault="00891D48" w:rsidP="00891D48">
      <w:pPr>
        <w:pStyle w:val="TableNo"/>
        <w:keepLines/>
        <w:rPr>
          <w:lang w:val="es-ES_tradnl"/>
        </w:rPr>
      </w:pPr>
      <w:r>
        <w:rPr>
          <w:lang w:val="es-ES_tradnl"/>
        </w:rPr>
        <w:lastRenderedPageBreak/>
        <w:t xml:space="preserve">CUADRO </w:t>
      </w:r>
      <w:r w:rsidRPr="00297B30">
        <w:rPr>
          <w:lang w:val="es-ES_tradnl"/>
        </w:rPr>
        <w:t>4</w:t>
      </w:r>
      <w:r>
        <w:rPr>
          <w:lang w:val="es-ES_tradnl"/>
        </w:rPr>
        <w:t xml:space="preserve"> (</w:t>
      </w:r>
      <w:r>
        <w:rPr>
          <w:i/>
          <w:iCs/>
          <w:lang w:val="es-ES_tradnl"/>
        </w:rPr>
        <w:t>fin</w:t>
      </w:r>
      <w:r>
        <w:rPr>
          <w:lang w:val="es-ES_tradnl"/>
        </w:rPr>
        <w:t>)</w:t>
      </w:r>
    </w:p>
    <w:tbl>
      <w:tblPr>
        <w:tblStyle w:val="TableGrid"/>
        <w:tblW w:w="0" w:type="auto"/>
        <w:tblLook w:val="04A0" w:firstRow="1" w:lastRow="0" w:firstColumn="1" w:lastColumn="0" w:noHBand="0" w:noVBand="1"/>
      </w:tblPr>
      <w:tblGrid>
        <w:gridCol w:w="1696"/>
        <w:gridCol w:w="3110"/>
        <w:gridCol w:w="2397"/>
        <w:gridCol w:w="2426"/>
      </w:tblGrid>
      <w:tr w:rsidR="006F60F2" w:rsidRPr="00891D48" w:rsidTr="00FA6DD9">
        <w:trPr>
          <w:trHeight w:val="1361"/>
        </w:trPr>
        <w:tc>
          <w:tcPr>
            <w:tcW w:w="1696" w:type="dxa"/>
            <w:vAlign w:val="center"/>
          </w:tcPr>
          <w:p w:rsidR="006F60F2" w:rsidRPr="00891D48" w:rsidRDefault="006F60F2" w:rsidP="00B06A97">
            <w:pPr>
              <w:pStyle w:val="TableHead0"/>
              <w:rPr>
                <w:rFonts w:asciiTheme="majorBidi" w:hAnsiTheme="majorBidi" w:cstheme="majorBidi"/>
                <w:sz w:val="22"/>
                <w:szCs w:val="22"/>
              </w:rPr>
            </w:pPr>
            <w:proofErr w:type="spellStart"/>
            <w:r w:rsidRPr="00891D48">
              <w:rPr>
                <w:rFonts w:asciiTheme="majorBidi" w:hAnsiTheme="majorBidi" w:cstheme="majorBidi"/>
                <w:sz w:val="22"/>
                <w:szCs w:val="22"/>
              </w:rPr>
              <w:t>Tipo</w:t>
            </w:r>
            <w:proofErr w:type="spellEnd"/>
            <w:r w:rsidRPr="00891D48">
              <w:rPr>
                <w:rFonts w:asciiTheme="majorBidi" w:hAnsiTheme="majorBidi" w:cstheme="majorBidi"/>
                <w:sz w:val="22"/>
                <w:szCs w:val="22"/>
              </w:rPr>
              <w:t xml:space="preserve"> de </w:t>
            </w:r>
            <w:proofErr w:type="spellStart"/>
            <w:r w:rsidRPr="00891D48">
              <w:rPr>
                <w:rFonts w:asciiTheme="majorBidi" w:hAnsiTheme="majorBidi" w:cstheme="majorBidi"/>
                <w:sz w:val="22"/>
                <w:szCs w:val="22"/>
              </w:rPr>
              <w:t>instrumento</w:t>
            </w:r>
            <w:proofErr w:type="spellEnd"/>
          </w:p>
        </w:tc>
        <w:tc>
          <w:tcPr>
            <w:tcW w:w="3110" w:type="dxa"/>
            <w:vAlign w:val="center"/>
          </w:tcPr>
          <w:p w:rsidR="006F60F2" w:rsidRPr="00891D48" w:rsidRDefault="006F60F2" w:rsidP="00B06A97">
            <w:pPr>
              <w:pStyle w:val="TableHead0"/>
              <w:rPr>
                <w:rFonts w:asciiTheme="majorBidi" w:hAnsiTheme="majorBidi" w:cstheme="majorBidi"/>
                <w:sz w:val="22"/>
                <w:szCs w:val="22"/>
                <w:lang w:val="es-ES_tradnl"/>
              </w:rPr>
            </w:pPr>
            <w:r w:rsidRPr="00891D48">
              <w:rPr>
                <w:rFonts w:asciiTheme="majorBidi" w:hAnsiTheme="majorBidi" w:cstheme="majorBidi"/>
                <w:sz w:val="22"/>
                <w:szCs w:val="22"/>
                <w:lang w:val="es-ES_tradnl"/>
              </w:rPr>
              <w:t xml:space="preserve">Características orbitales, número de satélites que se han de desplegar </w:t>
            </w:r>
          </w:p>
        </w:tc>
        <w:tc>
          <w:tcPr>
            <w:tcW w:w="2397" w:type="dxa"/>
            <w:vAlign w:val="center"/>
          </w:tcPr>
          <w:p w:rsidR="006F60F2" w:rsidRPr="00891D48" w:rsidRDefault="006F60F2" w:rsidP="00B06A97">
            <w:pPr>
              <w:pStyle w:val="TableHead0"/>
              <w:rPr>
                <w:rFonts w:asciiTheme="majorBidi" w:hAnsiTheme="majorBidi" w:cstheme="majorBidi"/>
                <w:sz w:val="22"/>
                <w:szCs w:val="22"/>
                <w:lang w:val="es-ES_tradnl"/>
              </w:rPr>
            </w:pPr>
            <w:r w:rsidRPr="00891D48">
              <w:rPr>
                <w:rFonts w:asciiTheme="majorBidi" w:hAnsiTheme="majorBidi" w:cstheme="majorBidi"/>
                <w:sz w:val="22"/>
                <w:szCs w:val="22"/>
                <w:lang w:val="es-ES_tradnl"/>
              </w:rPr>
              <w:t xml:space="preserve">Criterios de protección contra las emisiones no esenciales a la entrada del procesador o LNA </w:t>
            </w:r>
            <w:r w:rsidRPr="00891D48">
              <w:rPr>
                <w:rFonts w:asciiTheme="majorBidi" w:hAnsiTheme="majorBidi" w:cstheme="majorBidi"/>
                <w:sz w:val="22"/>
                <w:szCs w:val="22"/>
                <w:lang w:val="es-ES_tradnl"/>
              </w:rPr>
              <w:br/>
              <w:t>en la aeronave</w:t>
            </w:r>
          </w:p>
        </w:tc>
        <w:tc>
          <w:tcPr>
            <w:tcW w:w="2426" w:type="dxa"/>
            <w:vAlign w:val="center"/>
          </w:tcPr>
          <w:p w:rsidR="006F60F2" w:rsidRPr="00891D48" w:rsidRDefault="006F60F2" w:rsidP="00B06A97">
            <w:pPr>
              <w:pStyle w:val="TableHead0"/>
              <w:rPr>
                <w:rFonts w:asciiTheme="majorBidi" w:hAnsiTheme="majorBidi" w:cstheme="majorBidi"/>
                <w:sz w:val="22"/>
                <w:szCs w:val="22"/>
                <w:lang w:val="es-ES_tradnl"/>
              </w:rPr>
            </w:pPr>
            <w:r w:rsidRPr="00891D48">
              <w:rPr>
                <w:rFonts w:asciiTheme="majorBidi" w:hAnsiTheme="majorBidi" w:cstheme="majorBidi"/>
                <w:sz w:val="22"/>
                <w:szCs w:val="22"/>
                <w:lang w:val="es-ES_tradnl"/>
              </w:rPr>
              <w:t xml:space="preserve">Criterios de protección contra las emisiones de banda ancha </w:t>
            </w:r>
          </w:p>
        </w:tc>
      </w:tr>
      <w:tr w:rsidR="00543337" w:rsidRPr="00891D48" w:rsidTr="00B44DD8">
        <w:trPr>
          <w:trHeight w:val="1644"/>
        </w:trPr>
        <w:tc>
          <w:tcPr>
            <w:tcW w:w="1696" w:type="dxa"/>
            <w:vAlign w:val="center"/>
          </w:tcPr>
          <w:p w:rsidR="00543337" w:rsidRPr="00891D48" w:rsidRDefault="00543337" w:rsidP="00B06A97">
            <w:pPr>
              <w:pStyle w:val="TableText0"/>
              <w:keepNext w:val="0"/>
              <w:jc w:val="left"/>
              <w:rPr>
                <w:rFonts w:ascii="Times New Roman" w:hAnsi="Times New Roman"/>
                <w:sz w:val="22"/>
                <w:szCs w:val="22"/>
                <w:lang w:val="es-ES_tradnl"/>
              </w:rPr>
            </w:pPr>
            <w:r w:rsidRPr="00891D48">
              <w:rPr>
                <w:rFonts w:ascii="Times New Roman" w:hAnsi="Times New Roman"/>
                <w:sz w:val="22"/>
                <w:szCs w:val="22"/>
                <w:lang w:val="es-ES_tradnl"/>
              </w:rPr>
              <w:t xml:space="preserve">Repetidor a bordo del satélite Galileo </w:t>
            </w:r>
          </w:p>
        </w:tc>
        <w:tc>
          <w:tcPr>
            <w:tcW w:w="3110" w:type="dxa"/>
            <w:vAlign w:val="center"/>
          </w:tcPr>
          <w:p w:rsidR="00543337" w:rsidRPr="00891D48" w:rsidRDefault="00543337" w:rsidP="00B06A97">
            <w:pPr>
              <w:pStyle w:val="TableText0"/>
              <w:keepNext w:val="0"/>
              <w:jc w:val="left"/>
              <w:rPr>
                <w:rFonts w:ascii="Times New Roman" w:hAnsi="Times New Roman"/>
                <w:sz w:val="22"/>
                <w:szCs w:val="22"/>
                <w:lang w:val="es-ES_tradnl"/>
              </w:rPr>
            </w:pPr>
            <w:r w:rsidRPr="00891D48">
              <w:rPr>
                <w:rFonts w:ascii="Times New Roman" w:hAnsi="Times New Roman"/>
                <w:sz w:val="22"/>
                <w:szCs w:val="22"/>
                <w:lang w:val="es-ES_tradnl"/>
              </w:rPr>
              <w:t xml:space="preserve">Satélites en órbita terrestre media utilizados: 27 satélites en órbita circular a una altitud de 23 225 km con un ángulo de inclinación de 56° </w:t>
            </w:r>
          </w:p>
          <w:p w:rsidR="00543337" w:rsidRPr="00891D48" w:rsidRDefault="00543337" w:rsidP="00B06A97">
            <w:pPr>
              <w:pStyle w:val="TableText0"/>
              <w:keepNext w:val="0"/>
              <w:jc w:val="left"/>
              <w:rPr>
                <w:rFonts w:ascii="Times New Roman" w:hAnsi="Times New Roman"/>
                <w:sz w:val="22"/>
                <w:szCs w:val="22"/>
                <w:lang w:val="es-ES_tradnl"/>
              </w:rPr>
            </w:pPr>
            <w:r w:rsidRPr="00891D48">
              <w:rPr>
                <w:rFonts w:ascii="Times New Roman" w:hAnsi="Times New Roman"/>
                <w:sz w:val="22"/>
                <w:szCs w:val="22"/>
                <w:lang w:val="es-ES_tradnl"/>
              </w:rPr>
              <w:t>(véase la Recomendación UIT-R M.1787, en la que se describe en detalle las características orbitales del sistema Galileo).</w:t>
            </w:r>
          </w:p>
        </w:tc>
        <w:tc>
          <w:tcPr>
            <w:tcW w:w="2397" w:type="dxa"/>
            <w:vAlign w:val="center"/>
          </w:tcPr>
          <w:p w:rsidR="00543337" w:rsidRPr="00891D48" w:rsidRDefault="00543337" w:rsidP="00B06A97">
            <w:pPr>
              <w:pStyle w:val="TableText0"/>
              <w:keepNext w:val="0"/>
              <w:jc w:val="center"/>
              <w:rPr>
                <w:rFonts w:ascii="Times New Roman" w:hAnsi="Times New Roman"/>
                <w:sz w:val="22"/>
                <w:szCs w:val="22"/>
              </w:rPr>
            </w:pPr>
            <w:r w:rsidRPr="00891D48">
              <w:rPr>
                <w:rFonts w:ascii="Times New Roman" w:hAnsi="Times New Roman"/>
                <w:sz w:val="22"/>
                <w:szCs w:val="22"/>
              </w:rPr>
              <w:t>–136,8 </w:t>
            </w:r>
            <w:proofErr w:type="spellStart"/>
            <w:r w:rsidRPr="00891D48">
              <w:rPr>
                <w:rFonts w:ascii="Times New Roman" w:hAnsi="Times New Roman"/>
                <w:sz w:val="22"/>
                <w:szCs w:val="22"/>
              </w:rPr>
              <w:t>dBm</w:t>
            </w:r>
            <w:proofErr w:type="spellEnd"/>
          </w:p>
        </w:tc>
        <w:tc>
          <w:tcPr>
            <w:tcW w:w="2426" w:type="dxa"/>
            <w:vAlign w:val="center"/>
          </w:tcPr>
          <w:p w:rsidR="00543337" w:rsidRPr="00891D48" w:rsidRDefault="00543337" w:rsidP="00B06A97">
            <w:pPr>
              <w:pStyle w:val="TableText0"/>
              <w:keepNext w:val="0"/>
              <w:jc w:val="center"/>
              <w:rPr>
                <w:rFonts w:ascii="Times New Roman" w:hAnsi="Times New Roman"/>
                <w:sz w:val="22"/>
                <w:szCs w:val="22"/>
              </w:rPr>
            </w:pPr>
            <w:r w:rsidRPr="00891D48">
              <w:rPr>
                <w:rFonts w:ascii="Times New Roman" w:hAnsi="Times New Roman"/>
                <w:sz w:val="22"/>
                <w:szCs w:val="22"/>
              </w:rPr>
              <w:t>–206,1 dB(W/(m</w:t>
            </w:r>
            <w:r w:rsidRPr="00891D48">
              <w:rPr>
                <w:rFonts w:ascii="Times New Roman" w:hAnsi="Times New Roman"/>
                <w:sz w:val="22"/>
                <w:szCs w:val="22"/>
                <w:vertAlign w:val="superscript"/>
              </w:rPr>
              <w:t>2</w:t>
            </w:r>
            <w:r w:rsidRPr="00891D48">
              <w:rPr>
                <w:rFonts w:ascii="Times New Roman" w:hAnsi="Times New Roman"/>
                <w:sz w:val="22"/>
                <w:szCs w:val="22"/>
              </w:rPr>
              <w:t>· Hz))</w:t>
            </w:r>
          </w:p>
        </w:tc>
      </w:tr>
      <w:tr w:rsidR="00543337" w:rsidRPr="00891D48" w:rsidTr="00B44DD8">
        <w:trPr>
          <w:trHeight w:val="1644"/>
        </w:trPr>
        <w:tc>
          <w:tcPr>
            <w:tcW w:w="1696" w:type="dxa"/>
            <w:vAlign w:val="center"/>
          </w:tcPr>
          <w:p w:rsidR="00543337" w:rsidRPr="00891D48" w:rsidRDefault="00543337" w:rsidP="00B06A97">
            <w:pPr>
              <w:pStyle w:val="TableText0"/>
              <w:keepNext w:val="0"/>
              <w:jc w:val="left"/>
              <w:rPr>
                <w:rFonts w:ascii="Times New Roman" w:hAnsi="Times New Roman"/>
                <w:sz w:val="22"/>
                <w:szCs w:val="22"/>
                <w:lang w:val="es-ES_tradnl"/>
              </w:rPr>
            </w:pPr>
            <w:r w:rsidRPr="00891D48">
              <w:rPr>
                <w:rFonts w:ascii="Times New Roman" w:hAnsi="Times New Roman"/>
                <w:sz w:val="22"/>
                <w:szCs w:val="22"/>
                <w:lang w:val="es-ES_tradnl"/>
              </w:rPr>
              <w:t xml:space="preserve">Repetidor a bordo del satélite GLONASS </w:t>
            </w:r>
          </w:p>
        </w:tc>
        <w:tc>
          <w:tcPr>
            <w:tcW w:w="3110" w:type="dxa"/>
            <w:vAlign w:val="center"/>
          </w:tcPr>
          <w:p w:rsidR="00543337" w:rsidRPr="00891D48" w:rsidRDefault="00543337" w:rsidP="00B06A97">
            <w:pPr>
              <w:pStyle w:val="TableText0"/>
              <w:keepNext w:val="0"/>
              <w:jc w:val="left"/>
              <w:rPr>
                <w:rFonts w:ascii="Times New Roman" w:hAnsi="Times New Roman"/>
                <w:sz w:val="22"/>
                <w:szCs w:val="22"/>
                <w:lang w:val="es-ES_tradnl"/>
              </w:rPr>
            </w:pPr>
            <w:r w:rsidRPr="00891D48">
              <w:rPr>
                <w:rFonts w:ascii="Times New Roman" w:hAnsi="Times New Roman"/>
                <w:sz w:val="22"/>
                <w:szCs w:val="22"/>
                <w:lang w:val="es-ES_tradnl"/>
              </w:rPr>
              <w:t xml:space="preserve">Satélites en órbita terrestre media utilizados: 27 satélites en órbita circular a una altitud de 19 100 km con un ángulo de inclinación de 64,8° </w:t>
            </w:r>
          </w:p>
          <w:p w:rsidR="00543337" w:rsidRPr="00891D48" w:rsidRDefault="00543337" w:rsidP="00B06A97">
            <w:pPr>
              <w:pStyle w:val="TableText0"/>
              <w:keepNext w:val="0"/>
              <w:jc w:val="left"/>
              <w:rPr>
                <w:rFonts w:ascii="Times New Roman" w:hAnsi="Times New Roman"/>
                <w:sz w:val="22"/>
                <w:szCs w:val="22"/>
                <w:lang w:val="es-ES_tradnl"/>
              </w:rPr>
            </w:pPr>
            <w:r w:rsidRPr="00891D48">
              <w:rPr>
                <w:rFonts w:ascii="Times New Roman" w:hAnsi="Times New Roman"/>
                <w:sz w:val="22"/>
                <w:szCs w:val="22"/>
                <w:lang w:val="es-ES_tradnl"/>
              </w:rPr>
              <w:t>(véase la Recomendación UIT-R M.1787, en la que se describe en detalle las características orbitales del sistema GLONASS).</w:t>
            </w:r>
          </w:p>
        </w:tc>
        <w:tc>
          <w:tcPr>
            <w:tcW w:w="2397" w:type="dxa"/>
            <w:vAlign w:val="center"/>
          </w:tcPr>
          <w:p w:rsidR="00543337" w:rsidRPr="00891D48" w:rsidRDefault="00543337" w:rsidP="00B06A97">
            <w:pPr>
              <w:pStyle w:val="TableText0"/>
              <w:keepNext w:val="0"/>
              <w:jc w:val="center"/>
              <w:rPr>
                <w:rFonts w:ascii="Times New Roman" w:hAnsi="Times New Roman"/>
                <w:sz w:val="22"/>
                <w:szCs w:val="22"/>
              </w:rPr>
            </w:pPr>
            <w:r w:rsidRPr="00891D48">
              <w:rPr>
                <w:rFonts w:ascii="Times New Roman" w:hAnsi="Times New Roman"/>
                <w:sz w:val="22"/>
                <w:szCs w:val="22"/>
              </w:rPr>
              <w:t xml:space="preserve">–147,1 </w:t>
            </w:r>
            <w:proofErr w:type="spellStart"/>
            <w:r w:rsidRPr="00891D48">
              <w:rPr>
                <w:rFonts w:ascii="Times New Roman" w:hAnsi="Times New Roman"/>
                <w:sz w:val="22"/>
                <w:szCs w:val="22"/>
              </w:rPr>
              <w:t>dBm</w:t>
            </w:r>
            <w:proofErr w:type="spellEnd"/>
          </w:p>
        </w:tc>
        <w:tc>
          <w:tcPr>
            <w:tcW w:w="2426" w:type="dxa"/>
            <w:vAlign w:val="center"/>
          </w:tcPr>
          <w:p w:rsidR="00543337" w:rsidRPr="00891D48" w:rsidRDefault="00543337" w:rsidP="00B06A97">
            <w:pPr>
              <w:pStyle w:val="TableText0"/>
              <w:keepNext w:val="0"/>
              <w:jc w:val="center"/>
              <w:rPr>
                <w:rFonts w:ascii="Times New Roman" w:hAnsi="Times New Roman"/>
                <w:sz w:val="22"/>
                <w:szCs w:val="22"/>
              </w:rPr>
            </w:pPr>
            <w:r w:rsidRPr="00891D48">
              <w:rPr>
                <w:rFonts w:ascii="Times New Roman" w:hAnsi="Times New Roman"/>
                <w:sz w:val="22"/>
                <w:szCs w:val="22"/>
              </w:rPr>
              <w:t>–205,2 dB(W/(m</w:t>
            </w:r>
            <w:r w:rsidRPr="00891D48">
              <w:rPr>
                <w:rFonts w:ascii="Times New Roman" w:hAnsi="Times New Roman"/>
                <w:sz w:val="22"/>
                <w:szCs w:val="22"/>
                <w:vertAlign w:val="superscript"/>
              </w:rPr>
              <w:t>2</w:t>
            </w:r>
            <w:r w:rsidRPr="00891D48">
              <w:rPr>
                <w:rFonts w:ascii="Times New Roman" w:hAnsi="Times New Roman"/>
                <w:sz w:val="22"/>
                <w:szCs w:val="22"/>
              </w:rPr>
              <w:t> · Hz))</w:t>
            </w:r>
          </w:p>
        </w:tc>
      </w:tr>
    </w:tbl>
    <w:p w:rsidR="00543337" w:rsidRPr="00297B30" w:rsidRDefault="00543337" w:rsidP="00543337">
      <w:pPr>
        <w:overflowPunct/>
        <w:textAlignment w:val="auto"/>
        <w:rPr>
          <w:lang w:val="es-ES_tradnl"/>
        </w:rPr>
      </w:pPr>
    </w:p>
    <w:p w:rsidR="00543337" w:rsidRPr="00297B30" w:rsidRDefault="00543337" w:rsidP="00543337">
      <w:pPr>
        <w:rPr>
          <w:lang w:val="es-ES_tradnl"/>
        </w:rPr>
      </w:pPr>
    </w:p>
    <w:p w:rsidR="00543337" w:rsidRPr="00297B30" w:rsidRDefault="00543337" w:rsidP="00543337">
      <w:pPr>
        <w:jc w:val="center"/>
        <w:rPr>
          <w:lang w:val="es-ES_tradnl"/>
        </w:rPr>
      </w:pPr>
      <w:r w:rsidRPr="00297B30">
        <w:rPr>
          <w:lang w:val="es-ES_tradnl"/>
        </w:rPr>
        <w:t>______________</w:t>
      </w:r>
    </w:p>
    <w:p w:rsidR="00543337" w:rsidRPr="00297B30" w:rsidRDefault="00543337" w:rsidP="00543337">
      <w:pPr>
        <w:pStyle w:val="Reasons"/>
        <w:rPr>
          <w:lang w:val="es-ES_tradnl"/>
        </w:rPr>
      </w:pPr>
    </w:p>
    <w:p w:rsidR="00543337" w:rsidRDefault="00543337" w:rsidP="00543337">
      <w:pPr>
        <w:rPr>
          <w:lang w:val="es-ES_tradnl"/>
        </w:rPr>
      </w:pPr>
    </w:p>
    <w:p w:rsidR="00A6617B" w:rsidRPr="00A6617B" w:rsidRDefault="00A6617B" w:rsidP="00242AEE">
      <w:pPr>
        <w:pStyle w:val="HeadingSum"/>
      </w:pPr>
    </w:p>
    <w:sectPr w:rsidR="00A6617B" w:rsidRPr="00A6617B" w:rsidSect="00E97DA6">
      <w:headerReference w:type="even" r:id="rId146"/>
      <w:headerReference w:type="default" r:id="rId14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337" w:rsidRDefault="00543337">
      <w:r>
        <w:separator/>
      </w:r>
    </w:p>
  </w:endnote>
  <w:endnote w:type="continuationSeparator" w:id="0">
    <w:p w:rsidR="00543337" w:rsidRDefault="0054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00"/>
    <w:family w:val="roman"/>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337" w:rsidRDefault="00543337">
      <w:r>
        <w:separator/>
      </w:r>
    </w:p>
  </w:footnote>
  <w:footnote w:type="continuationSeparator" w:id="0">
    <w:p w:rsidR="00543337" w:rsidRDefault="005433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337" w:rsidRDefault="00543337">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337" w:rsidRDefault="00543337" w:rsidP="00CB1354">
    <w:pPr>
      <w:ind w:right="360" w:firstLine="360"/>
    </w:pPr>
    <w:r>
      <w:rPr>
        <w:noProof/>
        <w:lang w:val="en-US" w:eastAsia="zh-CN"/>
      </w:rPr>
      <w:drawing>
        <wp:anchor distT="0" distB="0" distL="114300" distR="114300" simplePos="0" relativeHeight="251660288" behindDoc="0" locked="0" layoutInCell="1" allowOverlap="1" wp14:anchorId="3DFA43F7" wp14:editId="450E243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4A90F2E7" wp14:editId="35C3715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337" w:rsidRDefault="00543337"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D285D">
      <w:rPr>
        <w:rStyle w:val="PageNumber"/>
        <w:b/>
        <w:bCs/>
        <w:noProof/>
      </w:rPr>
      <w:t>ii</w:t>
    </w:r>
    <w:r>
      <w:rPr>
        <w:rStyle w:val="PageNumber"/>
        <w:b/>
        <w:bCs/>
      </w:rPr>
      <w:fldChar w:fldCharType="end"/>
    </w:r>
    <w:r>
      <w:tab/>
    </w:r>
    <w:r>
      <w:fldChar w:fldCharType="begin"/>
    </w:r>
    <w:r>
      <w:instrText xml:space="preserve"> DOCPROPERTY "Header" \* MERGEFORMAT </w:instrText>
    </w:r>
    <w:r>
      <w:fldChar w:fldCharType="separate"/>
    </w:r>
    <w:r w:rsidR="00AD285D" w:rsidRPr="00AD285D">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AD285D">
      <w:rPr>
        <w:b/>
        <w:bCs/>
        <w:noProof/>
      </w:rPr>
      <w:t>UIT-R  M.1478-3</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337" w:rsidRDefault="00543337">
    <w:r>
      <w:tab/>
    </w:r>
    <w:r>
      <w:fldChar w:fldCharType="begin"/>
    </w:r>
    <w:r>
      <w:instrText xml:space="preserve"> DOCPROPERTY "Header" \* MERGEFORMAT </w:instrText>
    </w:r>
    <w:r>
      <w:fldChar w:fldCharType="separate"/>
    </w:r>
    <w:r w:rsidR="00AD285D" w:rsidRPr="00AD285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D285D">
      <w:rPr>
        <w:b/>
        <w:bCs/>
        <w:noProof/>
      </w:rPr>
      <w:t>UIT-R  M.1478-3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D285D">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D285D" w:rsidRPr="00AD285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D285D">
      <w:rPr>
        <w:b/>
        <w:bCs/>
        <w:noProof/>
      </w:rPr>
      <w:t>UIT-R  M.1478-3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AD285D">
      <w:fldChar w:fldCharType="begin"/>
    </w:r>
    <w:r w:rsidR="00AD285D">
      <w:instrText xml:space="preserve"> DOCPROPERTY "Header" \* MERGEFORMAT </w:instrText>
    </w:r>
    <w:r w:rsidR="00AD285D">
      <w:fldChar w:fldCharType="separate"/>
    </w:r>
    <w:r w:rsidR="00AD285D" w:rsidRPr="00AD285D">
      <w:rPr>
        <w:b/>
        <w:bCs/>
      </w:rPr>
      <w:t xml:space="preserve">Rec. </w:t>
    </w:r>
    <w:r w:rsidR="00AD285D">
      <w:rPr>
        <w:b/>
        <w:bCs/>
      </w:rPr>
      <w:fldChar w:fldCharType="end"/>
    </w:r>
    <w:r>
      <w:rPr>
        <w:b/>
        <w:bCs/>
      </w:rPr>
      <w:t xml:space="preserve"> </w:t>
    </w:r>
    <w:r>
      <w:rPr>
        <w:b/>
        <w:bCs/>
      </w:rPr>
      <w:fldChar w:fldCharType="begin"/>
    </w:r>
    <w:r>
      <w:rPr>
        <w:b/>
        <w:bCs/>
      </w:rPr>
      <w:instrText>styleref href</w:instrText>
    </w:r>
    <w:r>
      <w:rPr>
        <w:b/>
        <w:bCs/>
      </w:rPr>
      <w:fldChar w:fldCharType="separate"/>
    </w:r>
    <w:r w:rsidR="00AD285D">
      <w:rPr>
        <w:b/>
        <w:bCs/>
        <w:noProof/>
      </w:rPr>
      <w:t>UIT-R  M.1478-3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D285D">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0E35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5821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DCD7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7C22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904D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3AC41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7E47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84EB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94D1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0C2090"/>
    <w:lvl w:ilvl="0">
      <w:start w:val="1"/>
      <w:numFmt w:val="bullet"/>
      <w:pStyle w:val="ListBullet"/>
      <w:lvlText w:val=""/>
      <w:lvlJc w:val="left"/>
      <w:pPr>
        <w:tabs>
          <w:tab w:val="num" w:pos="360"/>
        </w:tabs>
        <w:ind w:left="360" w:hanging="360"/>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337"/>
    <w:rsid w:val="000B4E30"/>
    <w:rsid w:val="00107FE4"/>
    <w:rsid w:val="0013429F"/>
    <w:rsid w:val="001C462F"/>
    <w:rsid w:val="00217EBF"/>
    <w:rsid w:val="00235AA4"/>
    <w:rsid w:val="00242AEE"/>
    <w:rsid w:val="002D76C4"/>
    <w:rsid w:val="00377DE7"/>
    <w:rsid w:val="003B6046"/>
    <w:rsid w:val="0044488C"/>
    <w:rsid w:val="004A6864"/>
    <w:rsid w:val="0052529D"/>
    <w:rsid w:val="00526B1D"/>
    <w:rsid w:val="005317B8"/>
    <w:rsid w:val="00543337"/>
    <w:rsid w:val="005D0E11"/>
    <w:rsid w:val="00607D68"/>
    <w:rsid w:val="0064410C"/>
    <w:rsid w:val="00644F38"/>
    <w:rsid w:val="00655797"/>
    <w:rsid w:val="006C148A"/>
    <w:rsid w:val="006D1D5B"/>
    <w:rsid w:val="006F60F2"/>
    <w:rsid w:val="00743A75"/>
    <w:rsid w:val="00743E83"/>
    <w:rsid w:val="007468DA"/>
    <w:rsid w:val="00771708"/>
    <w:rsid w:val="00891D48"/>
    <w:rsid w:val="009467AC"/>
    <w:rsid w:val="009E00A8"/>
    <w:rsid w:val="00A52022"/>
    <w:rsid w:val="00A6617B"/>
    <w:rsid w:val="00AB0DC8"/>
    <w:rsid w:val="00AD285D"/>
    <w:rsid w:val="00AD5121"/>
    <w:rsid w:val="00B44DD8"/>
    <w:rsid w:val="00B44E24"/>
    <w:rsid w:val="00C5159B"/>
    <w:rsid w:val="00D23BFF"/>
    <w:rsid w:val="00D242B4"/>
    <w:rsid w:val="00D67803"/>
    <w:rsid w:val="00DF4176"/>
    <w:rsid w:val="00E97DA6"/>
    <w:rsid w:val="00F952FE"/>
    <w:rsid w:val="00FA6D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5E851B6-25FF-4C55-B13E-36A5EB471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33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543337"/>
    <w:rPr>
      <w:color w:val="0000FF"/>
      <w:u w:val="single"/>
    </w:rPr>
  </w:style>
  <w:style w:type="character" w:customStyle="1" w:styleId="TableheadChar">
    <w:name w:val="Table_head Char"/>
    <w:basedOn w:val="DefaultParagraphFont"/>
    <w:link w:val="Tablehead"/>
    <w:uiPriority w:val="99"/>
    <w:locked/>
    <w:rsid w:val="00543337"/>
    <w:rPr>
      <w:b/>
      <w:sz w:val="22"/>
      <w:lang w:val="fr-FR" w:eastAsia="en-US"/>
    </w:rPr>
  </w:style>
  <w:style w:type="character" w:customStyle="1" w:styleId="TabletextChar">
    <w:name w:val="Table_text Char"/>
    <w:basedOn w:val="DefaultParagraphFont"/>
    <w:link w:val="Tabletext"/>
    <w:uiPriority w:val="99"/>
    <w:locked/>
    <w:rsid w:val="00543337"/>
    <w:rPr>
      <w:sz w:val="22"/>
      <w:lang w:val="fr-FR" w:eastAsia="en-US"/>
    </w:rPr>
  </w:style>
  <w:style w:type="character" w:customStyle="1" w:styleId="Heading1Char">
    <w:name w:val="Heading 1 Char"/>
    <w:basedOn w:val="DefaultParagraphFont"/>
    <w:link w:val="Heading1"/>
    <w:rsid w:val="00543337"/>
    <w:rPr>
      <w:b/>
      <w:sz w:val="24"/>
      <w:lang w:val="fr-FR" w:eastAsia="en-US"/>
    </w:rPr>
  </w:style>
  <w:style w:type="character" w:customStyle="1" w:styleId="FooterChar">
    <w:name w:val="Footer Char"/>
    <w:link w:val="Footer"/>
    <w:rsid w:val="00543337"/>
    <w:rPr>
      <w:noProof/>
      <w:sz w:val="18"/>
      <w:lang w:val="fr-FR" w:eastAsia="en-US"/>
    </w:rPr>
  </w:style>
  <w:style w:type="character" w:customStyle="1" w:styleId="HeaderChar">
    <w:name w:val="Header Char"/>
    <w:basedOn w:val="DefaultParagraphFont"/>
    <w:link w:val="Header"/>
    <w:rsid w:val="00543337"/>
    <w:rPr>
      <w:sz w:val="24"/>
      <w:lang w:val="fr-FR" w:eastAsia="en-US"/>
    </w:rPr>
  </w:style>
  <w:style w:type="numbering" w:customStyle="1" w:styleId="NoList1">
    <w:name w:val="No List1"/>
    <w:next w:val="NoList"/>
    <w:uiPriority w:val="99"/>
    <w:semiHidden/>
    <w:unhideWhenUsed/>
    <w:rsid w:val="00543337"/>
  </w:style>
  <w:style w:type="character" w:customStyle="1" w:styleId="Heading2Char">
    <w:name w:val="Heading 2 Char"/>
    <w:basedOn w:val="DefaultParagraphFont"/>
    <w:link w:val="Heading2"/>
    <w:rsid w:val="00543337"/>
    <w:rPr>
      <w:b/>
      <w:sz w:val="24"/>
      <w:lang w:val="fr-FR" w:eastAsia="en-US"/>
    </w:rPr>
  </w:style>
  <w:style w:type="character" w:customStyle="1" w:styleId="Heading3Char">
    <w:name w:val="Heading 3 Char"/>
    <w:basedOn w:val="DefaultParagraphFont"/>
    <w:link w:val="Heading3"/>
    <w:rsid w:val="00543337"/>
    <w:rPr>
      <w:b/>
      <w:sz w:val="24"/>
      <w:lang w:val="fr-FR" w:eastAsia="en-US"/>
    </w:rPr>
  </w:style>
  <w:style w:type="character" w:customStyle="1" w:styleId="Heading4Char">
    <w:name w:val="Heading 4 Char"/>
    <w:basedOn w:val="DefaultParagraphFont"/>
    <w:link w:val="Heading4"/>
    <w:rsid w:val="00543337"/>
    <w:rPr>
      <w:b/>
      <w:sz w:val="24"/>
      <w:lang w:val="fr-FR" w:eastAsia="en-US"/>
    </w:rPr>
  </w:style>
  <w:style w:type="character" w:customStyle="1" w:styleId="Heading5Char">
    <w:name w:val="Heading 5 Char"/>
    <w:basedOn w:val="DefaultParagraphFont"/>
    <w:link w:val="Heading5"/>
    <w:rsid w:val="00543337"/>
    <w:rPr>
      <w:b/>
      <w:sz w:val="24"/>
      <w:lang w:val="fr-FR" w:eastAsia="en-US"/>
    </w:rPr>
  </w:style>
  <w:style w:type="character" w:customStyle="1" w:styleId="Heading6Char">
    <w:name w:val="Heading 6 Char"/>
    <w:basedOn w:val="DefaultParagraphFont"/>
    <w:link w:val="Heading6"/>
    <w:rsid w:val="00543337"/>
    <w:rPr>
      <w:b/>
      <w:sz w:val="24"/>
      <w:lang w:val="fr-FR" w:eastAsia="en-US"/>
    </w:rPr>
  </w:style>
  <w:style w:type="character" w:customStyle="1" w:styleId="Heading7Char">
    <w:name w:val="Heading 7 Char"/>
    <w:basedOn w:val="DefaultParagraphFont"/>
    <w:link w:val="Heading7"/>
    <w:rsid w:val="00543337"/>
    <w:rPr>
      <w:b/>
      <w:sz w:val="24"/>
      <w:lang w:val="fr-FR" w:eastAsia="en-US"/>
    </w:rPr>
  </w:style>
  <w:style w:type="character" w:customStyle="1" w:styleId="Heading8Char">
    <w:name w:val="Heading 8 Char"/>
    <w:basedOn w:val="DefaultParagraphFont"/>
    <w:link w:val="Heading8"/>
    <w:rsid w:val="00543337"/>
    <w:rPr>
      <w:b/>
      <w:sz w:val="24"/>
      <w:lang w:val="fr-FR" w:eastAsia="en-US"/>
    </w:rPr>
  </w:style>
  <w:style w:type="character" w:customStyle="1" w:styleId="Heading9Char">
    <w:name w:val="Heading 9 Char"/>
    <w:basedOn w:val="DefaultParagraphFont"/>
    <w:link w:val="Heading9"/>
    <w:rsid w:val="00543337"/>
    <w:rPr>
      <w:b/>
      <w:sz w:val="24"/>
      <w:lang w:val="fr-FR" w:eastAsia="en-US"/>
    </w:rPr>
  </w:style>
  <w:style w:type="character" w:customStyle="1" w:styleId="HeaderChar1">
    <w:name w:val="Header Char1"/>
    <w:aliases w:val="encabezado Char1,he Char1,header odd Char1,header odd1 Char1,header odd2 Char1,header Char,h Char1,header odd3 Char1,header odd4 Char1,header odd5 Char1,header odd6 Char1,header1 Char1,header2 Char1,header3 Char1,header odd11 Char1"/>
    <w:basedOn w:val="DefaultParagraphFont"/>
    <w:uiPriority w:val="99"/>
    <w:rsid w:val="00543337"/>
    <w:rPr>
      <w:rFonts w:ascii="Times New Roman" w:hAnsi="Times New Roman" w:cs="Times New Roman"/>
      <w:sz w:val="24"/>
      <w:szCs w:val="24"/>
      <w:lang w:val="fr-FR" w:eastAsia="en-US"/>
    </w:rPr>
  </w:style>
  <w:style w:type="character" w:customStyle="1" w:styleId="TableNo0">
    <w:name w:val="Table_No Знак"/>
    <w:rsid w:val="00543337"/>
    <w:rPr>
      <w:sz w:val="24"/>
      <w:szCs w:val="24"/>
      <w:lang w:val="fr-FR" w:eastAsia="en-US"/>
    </w:rPr>
  </w:style>
  <w:style w:type="character" w:customStyle="1" w:styleId="FiguretitleChar">
    <w:name w:val="Figure_title Char"/>
    <w:uiPriority w:val="99"/>
    <w:rsid w:val="00543337"/>
    <w:rPr>
      <w:rFonts w:ascii="Times New Roman Bold" w:hAnsi="Times New Roman Bold" w:cs="Times New Roman Bold"/>
      <w:b/>
      <w:bCs/>
      <w:sz w:val="18"/>
      <w:szCs w:val="18"/>
      <w:lang w:val="fr-FR" w:eastAsia="en-US"/>
    </w:rPr>
  </w:style>
  <w:style w:type="character" w:customStyle="1" w:styleId="FigureNoChar">
    <w:name w:val="Figure_No Char"/>
    <w:uiPriority w:val="99"/>
    <w:rsid w:val="00543337"/>
    <w:rPr>
      <w:caps/>
      <w:sz w:val="18"/>
      <w:szCs w:val="18"/>
      <w:lang w:val="fr-FR" w:eastAsia="en-US"/>
    </w:rPr>
  </w:style>
  <w:style w:type="character" w:customStyle="1" w:styleId="CallChar">
    <w:name w:val="Call Char"/>
    <w:uiPriority w:val="99"/>
    <w:rsid w:val="00543337"/>
    <w:rPr>
      <w:i/>
      <w:iCs/>
      <w:sz w:val="24"/>
      <w:szCs w:val="24"/>
      <w:lang w:val="fr-FR" w:eastAsia="en-US"/>
    </w:rPr>
  </w:style>
  <w:style w:type="character" w:customStyle="1" w:styleId="FootnoteTextChar">
    <w:name w:val="Footnote Text Char"/>
    <w:basedOn w:val="DefaultParagraphFont"/>
    <w:link w:val="FootnoteText"/>
    <w:rsid w:val="00543337"/>
    <w:rPr>
      <w:sz w:val="22"/>
      <w:lang w:val="fr-FR" w:eastAsia="en-US"/>
    </w:rPr>
  </w:style>
  <w:style w:type="character" w:customStyle="1" w:styleId="TabletitleChar">
    <w:name w:val="Table_title Char"/>
    <w:uiPriority w:val="99"/>
    <w:rsid w:val="00543337"/>
    <w:rPr>
      <w:b/>
      <w:bCs/>
      <w:sz w:val="24"/>
      <w:szCs w:val="24"/>
      <w:lang w:val="fr-FR" w:eastAsia="en-US"/>
    </w:rPr>
  </w:style>
  <w:style w:type="paragraph" w:customStyle="1" w:styleId="AnnexNo">
    <w:name w:val="Annex_No"/>
    <w:basedOn w:val="Normal"/>
    <w:next w:val="Normal"/>
    <w:uiPriority w:val="99"/>
    <w:rsid w:val="00543337"/>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szCs w:val="28"/>
      <w:lang w:val="es-ES_tradnl"/>
    </w:rPr>
  </w:style>
  <w:style w:type="character" w:customStyle="1" w:styleId="AnnexNoChar">
    <w:name w:val="Annex_No Char"/>
    <w:uiPriority w:val="99"/>
    <w:rsid w:val="00543337"/>
    <w:rPr>
      <w:caps/>
      <w:sz w:val="28"/>
      <w:szCs w:val="28"/>
      <w:lang w:val="es-ES_tradnl" w:eastAsia="en-US"/>
    </w:rPr>
  </w:style>
  <w:style w:type="paragraph" w:customStyle="1" w:styleId="Annextitle">
    <w:name w:val="Annex_title"/>
    <w:basedOn w:val="Normal"/>
    <w:next w:val="Normal"/>
    <w:uiPriority w:val="99"/>
    <w:rsid w:val="0054333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cs="Times New Roman Bold"/>
      <w:b/>
      <w:bCs/>
      <w:sz w:val="28"/>
      <w:szCs w:val="28"/>
      <w:lang w:val="es-ES_tradnl"/>
    </w:rPr>
  </w:style>
  <w:style w:type="paragraph" w:customStyle="1" w:styleId="Normalaftertitle0">
    <w:name w:val="Normal after title"/>
    <w:basedOn w:val="Normal"/>
    <w:next w:val="Normal"/>
    <w:uiPriority w:val="99"/>
    <w:rsid w:val="00543337"/>
    <w:pPr>
      <w:tabs>
        <w:tab w:val="clear" w:pos="794"/>
        <w:tab w:val="clear" w:pos="1191"/>
        <w:tab w:val="clear" w:pos="1588"/>
        <w:tab w:val="clear" w:pos="1985"/>
        <w:tab w:val="left" w:pos="1134"/>
        <w:tab w:val="left" w:pos="1871"/>
        <w:tab w:val="left" w:pos="2268"/>
      </w:tabs>
      <w:spacing w:before="280"/>
      <w:jc w:val="left"/>
    </w:pPr>
    <w:rPr>
      <w:rFonts w:eastAsiaTheme="minorEastAsia"/>
      <w:szCs w:val="24"/>
      <w:lang w:val="es-ES_tradnl"/>
    </w:rPr>
  </w:style>
  <w:style w:type="paragraph" w:styleId="ListBullet">
    <w:name w:val="List Bullet"/>
    <w:basedOn w:val="Normal"/>
    <w:autoRedefine/>
    <w:uiPriority w:val="99"/>
    <w:rsid w:val="00543337"/>
    <w:pPr>
      <w:numPr>
        <w:numId w:val="1"/>
      </w:numPr>
    </w:pPr>
    <w:rPr>
      <w:rFonts w:eastAsiaTheme="minorEastAsia"/>
      <w:szCs w:val="24"/>
      <w:lang w:val="es-ES"/>
    </w:rPr>
  </w:style>
  <w:style w:type="paragraph" w:customStyle="1" w:styleId="TableText0">
    <w:name w:val="Table_Text"/>
    <w:basedOn w:val="Normal"/>
    <w:uiPriority w:val="99"/>
    <w:rsid w:val="00543337"/>
    <w:pPr>
      <w:keepNext/>
      <w:spacing w:before="100" w:after="100" w:line="190" w:lineRule="exact"/>
    </w:pPr>
    <w:rPr>
      <w:rFonts w:eastAsiaTheme="minorEastAsia"/>
      <w:sz w:val="18"/>
      <w:szCs w:val="18"/>
      <w:lang w:val="en-GB"/>
    </w:rPr>
  </w:style>
  <w:style w:type="paragraph" w:customStyle="1" w:styleId="Reasons">
    <w:name w:val="Reasons"/>
    <w:basedOn w:val="Normal"/>
    <w:qFormat/>
    <w:rsid w:val="00543337"/>
    <w:pPr>
      <w:tabs>
        <w:tab w:val="clear" w:pos="794"/>
        <w:tab w:val="clear" w:pos="1191"/>
        <w:tab w:val="clear" w:pos="1588"/>
        <w:tab w:val="clear" w:pos="1985"/>
      </w:tabs>
      <w:overflowPunct/>
      <w:autoSpaceDE/>
      <w:autoSpaceDN/>
      <w:adjustRightInd/>
      <w:spacing w:before="0"/>
      <w:jc w:val="left"/>
      <w:textAlignment w:val="auto"/>
    </w:pPr>
    <w:rPr>
      <w:rFonts w:eastAsiaTheme="minorEastAsia"/>
      <w:szCs w:val="24"/>
      <w:lang w:val="en-US"/>
    </w:rPr>
  </w:style>
  <w:style w:type="paragraph" w:styleId="BalloonText">
    <w:name w:val="Balloon Text"/>
    <w:basedOn w:val="Normal"/>
    <w:link w:val="BalloonTextChar"/>
    <w:uiPriority w:val="99"/>
    <w:rsid w:val="00543337"/>
    <w:pPr>
      <w:spacing w:before="0"/>
    </w:pPr>
    <w:rPr>
      <w:rFonts w:ascii="Tahoma" w:eastAsiaTheme="minorEastAsia" w:hAnsi="Tahoma" w:cs="Tahoma"/>
      <w:sz w:val="16"/>
      <w:szCs w:val="16"/>
      <w:lang w:val="es-ES"/>
    </w:rPr>
  </w:style>
  <w:style w:type="character" w:customStyle="1" w:styleId="BalloonTextChar">
    <w:name w:val="Balloon Text Char"/>
    <w:basedOn w:val="DefaultParagraphFont"/>
    <w:link w:val="BalloonText"/>
    <w:uiPriority w:val="99"/>
    <w:rsid w:val="00543337"/>
    <w:rPr>
      <w:rFonts w:ascii="Tahoma" w:eastAsiaTheme="minorEastAsia" w:hAnsi="Tahoma" w:cs="Tahoma"/>
      <w:sz w:val="16"/>
      <w:szCs w:val="16"/>
      <w:lang w:val="es-ES" w:eastAsia="en-US"/>
    </w:rPr>
  </w:style>
  <w:style w:type="character" w:customStyle="1" w:styleId="Rectitle0">
    <w:name w:val="Rec_title Знак"/>
    <w:link w:val="Rectitle"/>
    <w:locked/>
    <w:rsid w:val="00543337"/>
    <w:rPr>
      <w:b/>
      <w:sz w:val="28"/>
      <w:lang w:val="fr-FR" w:eastAsia="en-US"/>
    </w:rPr>
  </w:style>
  <w:style w:type="character" w:customStyle="1" w:styleId="Tabletitle0">
    <w:name w:val="Table_title Знак"/>
    <w:link w:val="Tabletitle"/>
    <w:locked/>
    <w:rsid w:val="00543337"/>
    <w:rPr>
      <w:b/>
      <w:sz w:val="24"/>
      <w:lang w:val="fr-FR" w:eastAsia="en-US"/>
    </w:rPr>
  </w:style>
  <w:style w:type="table" w:styleId="TableGrid">
    <w:name w:val="Table Grid"/>
    <w:basedOn w:val="TableNormal"/>
    <w:rsid w:val="00543337"/>
    <w:rPr>
      <w:rFonts w:ascii="CG Times" w:hAnsi="CG Times"/>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0">
    <w:name w:val="Table_Head"/>
    <w:basedOn w:val="TableText0"/>
    <w:uiPriority w:val="99"/>
    <w:rsid w:val="00543337"/>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5.wmf"/><Relationship Id="rId21" Type="http://schemas.openxmlformats.org/officeDocument/2006/relationships/image" Target="media/image7.e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1.wmf"/><Relationship Id="rId112" Type="http://schemas.openxmlformats.org/officeDocument/2006/relationships/oleObject" Target="embeddings/oleObject50.bin"/><Relationship Id="rId133" Type="http://schemas.openxmlformats.org/officeDocument/2006/relationships/image" Target="media/image63.wmf"/><Relationship Id="rId138" Type="http://schemas.openxmlformats.org/officeDocument/2006/relationships/oleObject" Target="embeddings/oleObject63.bin"/><Relationship Id="rId16" Type="http://schemas.openxmlformats.org/officeDocument/2006/relationships/oleObject" Target="embeddings/oleObject2.bin"/><Relationship Id="rId107" Type="http://schemas.openxmlformats.org/officeDocument/2006/relationships/image" Target="media/image50.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6.wmf"/><Relationship Id="rId102" Type="http://schemas.openxmlformats.org/officeDocument/2006/relationships/oleObject" Target="embeddings/oleObject45.bin"/><Relationship Id="rId123" Type="http://schemas.openxmlformats.org/officeDocument/2006/relationships/image" Target="media/image58.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4.wmf"/><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6.wmf"/><Relationship Id="rId80" Type="http://schemas.openxmlformats.org/officeDocument/2006/relationships/oleObject" Target="embeddings/oleObject34.bin"/><Relationship Id="rId85" Type="http://schemas.openxmlformats.org/officeDocument/2006/relationships/image" Target="media/image39.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9.e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8.w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oleObject" Target="embeddings/oleObject56.bin"/><Relationship Id="rId129" Type="http://schemas.openxmlformats.org/officeDocument/2006/relationships/image" Target="media/image61.emf"/><Relationship Id="rId137" Type="http://schemas.openxmlformats.org/officeDocument/2006/relationships/image" Target="media/image65.wmf"/><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8.bin"/><Relationship Id="rId91" Type="http://schemas.openxmlformats.org/officeDocument/2006/relationships/image" Target="media/image42.wmf"/><Relationship Id="rId96" Type="http://schemas.openxmlformats.org/officeDocument/2006/relationships/oleObject" Target="embeddings/oleObject42.bin"/><Relationship Id="rId111" Type="http://schemas.openxmlformats.org/officeDocument/2006/relationships/image" Target="media/image52.wmf"/><Relationship Id="rId132" Type="http://schemas.openxmlformats.org/officeDocument/2006/relationships/oleObject" Target="embeddings/oleObject60.bin"/><Relationship Id="rId140" Type="http://schemas.openxmlformats.org/officeDocument/2006/relationships/oleObject" Target="embeddings/oleObject64.bin"/><Relationship Id="rId145" Type="http://schemas.openxmlformats.org/officeDocument/2006/relationships/oleObject" Target="embeddings/oleObject67.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e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6.wmf"/><Relationship Id="rId127" Type="http://schemas.openxmlformats.org/officeDocument/2006/relationships/image" Target="media/image60.wmf"/><Relationship Id="rId10" Type="http://schemas.openxmlformats.org/officeDocument/2006/relationships/hyperlink" Target="http://www.itu.int/publ/R-REC/es"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3.bin"/><Relationship Id="rId81" Type="http://schemas.openxmlformats.org/officeDocument/2006/relationships/image" Target="media/image37.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header" Target="header5.xml"/><Relationship Id="rId7" Type="http://schemas.openxmlformats.org/officeDocument/2006/relationships/header" Target="header1.xml"/><Relationship Id="rId71" Type="http://schemas.openxmlformats.org/officeDocument/2006/relationships/image" Target="media/image32.wmf"/><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image" Target="media/image11.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40.emf"/><Relationship Id="rId110" Type="http://schemas.openxmlformats.org/officeDocument/2006/relationships/oleObject" Target="embeddings/oleObject49.bin"/><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62.bin"/><Relationship Id="rId61" Type="http://schemas.openxmlformats.org/officeDocument/2006/relationships/image" Target="media/image27.wmf"/><Relationship Id="rId82" Type="http://schemas.openxmlformats.org/officeDocument/2006/relationships/oleObject" Target="embeddings/oleObject35.bin"/><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emf"/><Relationship Id="rId56" Type="http://schemas.openxmlformats.org/officeDocument/2006/relationships/oleObject" Target="embeddings/oleObject22.bin"/><Relationship Id="rId77" Type="http://schemas.openxmlformats.org/officeDocument/2006/relationships/image" Target="media/image35.wmf"/><Relationship Id="rId100" Type="http://schemas.openxmlformats.org/officeDocument/2006/relationships/oleObject" Target="embeddings/oleObject44.bin"/><Relationship Id="rId105" Type="http://schemas.openxmlformats.org/officeDocument/2006/relationships/image" Target="media/image49.wmf"/><Relationship Id="rId126" Type="http://schemas.openxmlformats.org/officeDocument/2006/relationships/oleObject" Target="embeddings/oleObject57.bin"/><Relationship Id="rId147" Type="http://schemas.openxmlformats.org/officeDocument/2006/relationships/header" Target="header6.xml"/><Relationship Id="rId8" Type="http://schemas.openxmlformats.org/officeDocument/2006/relationships/header" Target="header2.xm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image" Target="media/image57.wmf"/><Relationship Id="rId142" Type="http://schemas.openxmlformats.org/officeDocument/2006/relationships/oleObject" Target="embeddings/oleObject65.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98</TotalTime>
  <Pages>34</Pages>
  <Words>13099</Words>
  <Characters>66772</Characters>
  <Application>Microsoft Office Word</Application>
  <DocSecurity>0</DocSecurity>
  <Lines>556</Lines>
  <Paragraphs>159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79712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35</cp:revision>
  <cp:lastPrinted>2015-08-14T10:12:00Z</cp:lastPrinted>
  <dcterms:created xsi:type="dcterms:W3CDTF">2015-08-14T08:28:00Z</dcterms:created>
  <dcterms:modified xsi:type="dcterms:W3CDTF">2015-08-14T10:21:00Z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