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3A4E23" w:rsidRDefault="00FE79FE">
      <w:pPr>
        <w:rPr>
          <w:lang w:val="ru-RU"/>
        </w:rPr>
      </w:pPr>
    </w:p>
    <w:p w:rsidR="00FE79FE" w:rsidRPr="003A4E23" w:rsidRDefault="00FE79FE">
      <w:pPr>
        <w:rPr>
          <w:lang w:val="ru-RU"/>
        </w:rPr>
      </w:pPr>
    </w:p>
    <w:p w:rsidR="00FE79FE" w:rsidRPr="003A4E23" w:rsidRDefault="00FE79FE">
      <w:pPr>
        <w:rPr>
          <w:lang w:val="ru-RU"/>
        </w:rPr>
      </w:pPr>
    </w:p>
    <w:p w:rsidR="00FE79FE" w:rsidRPr="003A4E23" w:rsidRDefault="00FE79FE">
      <w:pPr>
        <w:rPr>
          <w:lang w:val="ru-RU"/>
        </w:rPr>
      </w:pPr>
    </w:p>
    <w:p w:rsidR="00FE79FE" w:rsidRPr="003A4E23" w:rsidRDefault="00FE79FE">
      <w:pPr>
        <w:rPr>
          <w:lang w:val="ru-RU"/>
        </w:rPr>
      </w:pPr>
    </w:p>
    <w:p w:rsidR="00013002" w:rsidRPr="003A4E23" w:rsidRDefault="00013002">
      <w:pPr>
        <w:rPr>
          <w:lang w:val="ru-RU"/>
        </w:rPr>
      </w:pPr>
    </w:p>
    <w:p w:rsidR="00013002" w:rsidRPr="003A4E23" w:rsidRDefault="00013002">
      <w:pPr>
        <w:rPr>
          <w:lang w:val="ru-RU"/>
        </w:rPr>
      </w:pPr>
    </w:p>
    <w:p w:rsidR="00013002" w:rsidRPr="003A4E23" w:rsidRDefault="00013002">
      <w:pPr>
        <w:rPr>
          <w:lang w:val="ru-RU"/>
        </w:rPr>
      </w:pPr>
    </w:p>
    <w:p w:rsidR="00FE79FE" w:rsidRPr="003A4E23" w:rsidRDefault="00FE79FE">
      <w:pPr>
        <w:rPr>
          <w:lang w:val="ru-RU"/>
        </w:rPr>
      </w:pPr>
    </w:p>
    <w:p w:rsidR="00FE79FE" w:rsidRPr="003A4E23" w:rsidRDefault="00FE79FE">
      <w:pPr>
        <w:rPr>
          <w:lang w:val="ru-RU"/>
        </w:rPr>
      </w:pPr>
    </w:p>
    <w:p w:rsidR="00FE79FE" w:rsidRPr="003A4E23" w:rsidRDefault="00FE79FE">
      <w:pPr>
        <w:rPr>
          <w:lang w:val="ru-RU"/>
        </w:rPr>
      </w:pPr>
    </w:p>
    <w:p w:rsidR="00FE79FE" w:rsidRPr="003A4E23" w:rsidRDefault="00FE79FE">
      <w:pPr>
        <w:rPr>
          <w:lang w:val="ru-RU"/>
        </w:rPr>
      </w:pPr>
    </w:p>
    <w:tbl>
      <w:tblPr>
        <w:tblW w:w="10089" w:type="dxa"/>
        <w:tblLook w:val="01E0" w:firstRow="1" w:lastRow="1" w:firstColumn="1" w:lastColumn="1" w:noHBand="0" w:noVBand="0"/>
      </w:tblPr>
      <w:tblGrid>
        <w:gridCol w:w="10089"/>
      </w:tblGrid>
      <w:tr w:rsidR="00FE79FE" w:rsidRPr="003A4E23">
        <w:tc>
          <w:tcPr>
            <w:tcW w:w="10089" w:type="dxa"/>
          </w:tcPr>
          <w:p w:rsidR="00276D21" w:rsidRPr="003A4E23" w:rsidRDefault="00276D21" w:rsidP="00013002">
            <w:pPr>
              <w:spacing w:before="380" w:line="280" w:lineRule="exact"/>
              <w:jc w:val="right"/>
              <w:rPr>
                <w:rFonts w:ascii="Tahoma" w:hAnsi="Tahoma" w:cs="Tahoma"/>
                <w:b/>
                <w:bCs/>
                <w:iCs/>
                <w:color w:val="243285"/>
                <w:sz w:val="32"/>
                <w:szCs w:val="32"/>
                <w:lang w:val="ru-RU"/>
              </w:rPr>
            </w:pPr>
          </w:p>
          <w:p w:rsidR="00FE79FE" w:rsidRPr="003A4E23" w:rsidRDefault="00131900" w:rsidP="00A83C2A">
            <w:pPr>
              <w:spacing w:before="380" w:line="280" w:lineRule="exact"/>
              <w:jc w:val="right"/>
              <w:rPr>
                <w:rFonts w:ascii="Tahoma" w:hAnsi="Tahoma" w:cs="Tahoma"/>
                <w:b/>
                <w:bCs/>
                <w:iCs/>
                <w:color w:val="243285"/>
                <w:sz w:val="36"/>
                <w:szCs w:val="36"/>
                <w:lang w:val="ru-RU"/>
              </w:rPr>
            </w:pPr>
            <w:r w:rsidRPr="003A4E23">
              <w:rPr>
                <w:rFonts w:ascii="Tahoma" w:hAnsi="Tahoma" w:cs="Tahoma"/>
                <w:b/>
                <w:bCs/>
                <w:iCs/>
                <w:color w:val="243285"/>
                <w:sz w:val="36"/>
                <w:szCs w:val="36"/>
                <w:lang w:val="ru-RU"/>
              </w:rPr>
              <w:t>Рекомендация  МСЭ</w:t>
            </w:r>
            <w:r w:rsidR="00FE79FE" w:rsidRPr="003A4E23">
              <w:rPr>
                <w:rFonts w:ascii="Tahoma" w:hAnsi="Tahoma" w:cs="Tahoma"/>
                <w:b/>
                <w:bCs/>
                <w:iCs/>
                <w:color w:val="243285"/>
                <w:sz w:val="36"/>
                <w:szCs w:val="36"/>
                <w:lang w:val="ru-RU"/>
              </w:rPr>
              <w:t>-R  M.</w:t>
            </w:r>
            <w:r w:rsidR="0041192D" w:rsidRPr="003A4E23">
              <w:rPr>
                <w:rFonts w:ascii="Tahoma" w:hAnsi="Tahoma" w:cs="Tahoma"/>
                <w:b/>
                <w:bCs/>
                <w:iCs/>
                <w:color w:val="243285"/>
                <w:sz w:val="36"/>
                <w:szCs w:val="36"/>
                <w:lang w:val="ru-RU"/>
              </w:rPr>
              <w:t>1478-3</w:t>
            </w:r>
          </w:p>
          <w:p w:rsidR="00FE79FE" w:rsidRPr="003A4E23" w:rsidRDefault="00FE79FE" w:rsidP="0041192D">
            <w:pPr>
              <w:spacing w:before="80" w:line="280" w:lineRule="exact"/>
              <w:jc w:val="right"/>
              <w:rPr>
                <w:rFonts w:ascii="Tahoma" w:hAnsi="Tahoma" w:cs="Tahoma"/>
                <w:b/>
                <w:bCs/>
                <w:iCs/>
                <w:color w:val="243285"/>
                <w:sz w:val="24"/>
                <w:szCs w:val="24"/>
                <w:lang w:val="ru-RU"/>
              </w:rPr>
            </w:pPr>
            <w:r w:rsidRPr="003A4E23">
              <w:rPr>
                <w:rFonts w:ascii="Tahoma" w:hAnsi="Tahoma" w:cs="Tahoma"/>
                <w:b/>
                <w:bCs/>
                <w:iCs/>
                <w:color w:val="243285"/>
                <w:sz w:val="24"/>
                <w:szCs w:val="24"/>
                <w:lang w:val="ru-RU"/>
              </w:rPr>
              <w:t>(</w:t>
            </w:r>
            <w:r w:rsidR="0041192D" w:rsidRPr="003A4E23">
              <w:rPr>
                <w:rFonts w:ascii="Tahoma" w:hAnsi="Tahoma" w:cs="Tahoma"/>
                <w:b/>
                <w:bCs/>
                <w:iCs/>
                <w:color w:val="243285"/>
                <w:sz w:val="24"/>
                <w:szCs w:val="24"/>
                <w:lang w:val="ru-RU"/>
              </w:rPr>
              <w:t>09</w:t>
            </w:r>
            <w:r w:rsidRPr="003A4E23">
              <w:rPr>
                <w:rFonts w:ascii="Tahoma" w:hAnsi="Tahoma" w:cs="Tahoma"/>
                <w:b/>
                <w:bCs/>
                <w:iCs/>
                <w:color w:val="243285"/>
                <w:sz w:val="24"/>
                <w:szCs w:val="24"/>
                <w:lang w:val="ru-RU"/>
              </w:rPr>
              <w:t>/</w:t>
            </w:r>
            <w:r w:rsidR="00A83C2A" w:rsidRPr="003A4E23">
              <w:rPr>
                <w:rFonts w:ascii="Tahoma" w:hAnsi="Tahoma" w:cs="Tahoma"/>
                <w:b/>
                <w:bCs/>
                <w:iCs/>
                <w:color w:val="243285"/>
                <w:sz w:val="24"/>
                <w:szCs w:val="24"/>
                <w:lang w:val="ru-RU"/>
              </w:rPr>
              <w:t>20</w:t>
            </w:r>
            <w:r w:rsidR="0041192D" w:rsidRPr="003A4E23">
              <w:rPr>
                <w:rFonts w:ascii="Tahoma" w:hAnsi="Tahoma" w:cs="Tahoma"/>
                <w:b/>
                <w:bCs/>
                <w:iCs/>
                <w:color w:val="243285"/>
                <w:sz w:val="24"/>
                <w:szCs w:val="24"/>
                <w:lang w:val="ru-RU"/>
              </w:rPr>
              <w:t>14</w:t>
            </w:r>
            <w:r w:rsidRPr="003A4E23">
              <w:rPr>
                <w:rFonts w:ascii="Tahoma" w:hAnsi="Tahoma" w:cs="Tahoma"/>
                <w:b/>
                <w:bCs/>
                <w:iCs/>
                <w:color w:val="243285"/>
                <w:sz w:val="24"/>
                <w:szCs w:val="24"/>
                <w:lang w:val="ru-RU"/>
              </w:rPr>
              <w:t>)</w:t>
            </w:r>
          </w:p>
        </w:tc>
      </w:tr>
      <w:tr w:rsidR="00FE79FE" w:rsidRPr="003A4E23">
        <w:tc>
          <w:tcPr>
            <w:tcW w:w="10089" w:type="dxa"/>
          </w:tcPr>
          <w:p w:rsidR="00013002" w:rsidRPr="003A4E23" w:rsidRDefault="00013002" w:rsidP="00FE79FE">
            <w:pPr>
              <w:spacing w:before="80" w:line="500" w:lineRule="exact"/>
              <w:jc w:val="right"/>
              <w:rPr>
                <w:rFonts w:ascii="Tahoma" w:hAnsi="Tahoma" w:cs="Tahoma"/>
                <w:b/>
                <w:bCs/>
                <w:iCs/>
                <w:color w:val="243285"/>
                <w:sz w:val="44"/>
                <w:szCs w:val="44"/>
                <w:lang w:val="ru-RU"/>
              </w:rPr>
            </w:pPr>
          </w:p>
          <w:p w:rsidR="00A83C2A" w:rsidRPr="003A4E23" w:rsidRDefault="0041192D" w:rsidP="0041192D">
            <w:pPr>
              <w:spacing w:before="80" w:line="500" w:lineRule="exact"/>
              <w:jc w:val="right"/>
              <w:rPr>
                <w:rFonts w:ascii="Tahoma" w:hAnsi="Tahoma" w:cs="Tahoma"/>
                <w:b/>
                <w:bCs/>
                <w:iCs/>
                <w:color w:val="243285"/>
                <w:sz w:val="44"/>
                <w:szCs w:val="44"/>
                <w:lang w:val="ru-RU"/>
              </w:rPr>
            </w:pPr>
            <w:r w:rsidRPr="003A4E23">
              <w:rPr>
                <w:rFonts w:ascii="Tahoma" w:hAnsi="Tahoma" w:cs="Tahoma"/>
                <w:b/>
                <w:bCs/>
                <w:iCs/>
                <w:color w:val="243285"/>
                <w:sz w:val="44"/>
                <w:szCs w:val="44"/>
                <w:lang w:val="ru-RU"/>
              </w:rPr>
              <w:t xml:space="preserve">Критерии защиты оборудования поиска и спасания системы Коспас-Сарсат </w:t>
            </w:r>
            <w:r w:rsidRPr="003A4E23">
              <w:rPr>
                <w:rFonts w:ascii="Tahoma" w:hAnsi="Tahoma" w:cs="Tahoma"/>
                <w:b/>
                <w:bCs/>
                <w:iCs/>
                <w:color w:val="243285"/>
                <w:sz w:val="44"/>
                <w:szCs w:val="44"/>
                <w:lang w:val="ru-RU"/>
              </w:rPr>
              <w:br/>
              <w:t>в полосе частот 406–406,1 МГц</w:t>
            </w:r>
          </w:p>
          <w:p w:rsidR="00A62A14" w:rsidRPr="003A4E23" w:rsidRDefault="00A62A14" w:rsidP="00FE79FE">
            <w:pPr>
              <w:spacing w:before="80" w:line="500" w:lineRule="exact"/>
              <w:jc w:val="right"/>
              <w:rPr>
                <w:rFonts w:ascii="Tahoma" w:hAnsi="Tahoma" w:cs="Tahoma"/>
                <w:b/>
                <w:bCs/>
                <w:iCs/>
                <w:color w:val="243285"/>
                <w:sz w:val="40"/>
                <w:szCs w:val="40"/>
                <w:lang w:val="ru-RU"/>
              </w:rPr>
            </w:pPr>
          </w:p>
        </w:tc>
      </w:tr>
      <w:tr w:rsidR="00FE79FE" w:rsidRPr="003A4E23">
        <w:tc>
          <w:tcPr>
            <w:tcW w:w="10089" w:type="dxa"/>
          </w:tcPr>
          <w:p w:rsidR="009E3058" w:rsidRPr="003A4E23" w:rsidRDefault="009E3058" w:rsidP="009E3058">
            <w:pPr>
              <w:spacing w:before="80" w:line="280" w:lineRule="exact"/>
              <w:ind w:right="640"/>
              <w:rPr>
                <w:rFonts w:ascii="Tahoma" w:hAnsi="Tahoma" w:cs="Tahoma"/>
                <w:b/>
                <w:bCs/>
                <w:iCs/>
                <w:color w:val="243285"/>
                <w:sz w:val="32"/>
                <w:szCs w:val="32"/>
                <w:lang w:val="ru-RU"/>
              </w:rPr>
            </w:pPr>
          </w:p>
          <w:p w:rsidR="009E3058" w:rsidRPr="003A4E23" w:rsidRDefault="009E3058" w:rsidP="009E3058">
            <w:pPr>
              <w:spacing w:before="80" w:after="180" w:line="360" w:lineRule="exact"/>
              <w:ind w:right="720"/>
              <w:rPr>
                <w:rFonts w:ascii="Tahoma" w:hAnsi="Tahoma" w:cs="Tahoma"/>
                <w:b/>
                <w:bCs/>
                <w:iCs/>
                <w:color w:val="243285"/>
                <w:sz w:val="36"/>
                <w:szCs w:val="36"/>
                <w:lang w:val="ru-RU"/>
              </w:rPr>
            </w:pPr>
          </w:p>
          <w:p w:rsidR="00276D21" w:rsidRPr="003A4E23" w:rsidRDefault="00276D21" w:rsidP="00013002">
            <w:pPr>
              <w:spacing w:before="80" w:after="180" w:line="360" w:lineRule="exact"/>
              <w:jc w:val="right"/>
              <w:rPr>
                <w:rFonts w:ascii="Tahoma" w:hAnsi="Tahoma" w:cs="Tahoma"/>
                <w:b/>
                <w:bCs/>
                <w:iCs/>
                <w:color w:val="243285"/>
                <w:sz w:val="36"/>
                <w:szCs w:val="36"/>
                <w:lang w:val="ru-RU"/>
              </w:rPr>
            </w:pPr>
          </w:p>
          <w:p w:rsidR="00013002" w:rsidRPr="003A4E23" w:rsidRDefault="00131900" w:rsidP="00A83C2A">
            <w:pPr>
              <w:spacing w:before="80" w:after="180" w:line="360" w:lineRule="exact"/>
              <w:jc w:val="right"/>
              <w:rPr>
                <w:rFonts w:ascii="Tahoma" w:hAnsi="Tahoma" w:cs="Tahoma"/>
                <w:b/>
                <w:bCs/>
                <w:iCs/>
                <w:color w:val="243285"/>
                <w:sz w:val="36"/>
                <w:szCs w:val="36"/>
                <w:lang w:val="ru-RU"/>
              </w:rPr>
            </w:pPr>
            <w:r w:rsidRPr="003A4E23">
              <w:rPr>
                <w:rFonts w:ascii="Tahoma" w:hAnsi="Tahoma" w:cs="Tahoma"/>
                <w:b/>
                <w:bCs/>
                <w:iCs/>
                <w:color w:val="243285"/>
                <w:sz w:val="36"/>
                <w:szCs w:val="36"/>
                <w:lang w:val="ru-RU"/>
              </w:rPr>
              <w:t>Серия M</w:t>
            </w:r>
          </w:p>
          <w:p w:rsidR="0071378F" w:rsidRPr="003A4E23" w:rsidRDefault="0071378F" w:rsidP="0071378F">
            <w:pPr>
              <w:spacing w:before="80" w:after="180" w:line="360" w:lineRule="exact"/>
              <w:jc w:val="right"/>
              <w:rPr>
                <w:rFonts w:ascii="Tahoma" w:hAnsi="Tahoma" w:cs="Tahoma"/>
                <w:b/>
                <w:bCs/>
                <w:iCs/>
                <w:color w:val="243285"/>
                <w:sz w:val="36"/>
                <w:szCs w:val="36"/>
                <w:lang w:val="ru-RU"/>
              </w:rPr>
            </w:pPr>
            <w:r w:rsidRPr="003A4E2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3A4E23" w:rsidRDefault="00A83C2A" w:rsidP="0071378F">
            <w:pPr>
              <w:spacing w:before="80" w:after="180" w:line="360" w:lineRule="exact"/>
              <w:jc w:val="right"/>
              <w:rPr>
                <w:rFonts w:ascii="Tahoma" w:hAnsi="Tahoma" w:cs="Tahoma"/>
                <w:b/>
                <w:bCs/>
                <w:iCs/>
                <w:color w:val="243285"/>
                <w:sz w:val="36"/>
                <w:szCs w:val="36"/>
                <w:lang w:val="ru-RU"/>
              </w:rPr>
            </w:pPr>
          </w:p>
          <w:p w:rsidR="00FE79FE" w:rsidRPr="003A4E23" w:rsidRDefault="00FE79FE" w:rsidP="00FE79FE">
            <w:pPr>
              <w:spacing w:before="80" w:line="360" w:lineRule="exact"/>
              <w:jc w:val="right"/>
              <w:rPr>
                <w:rFonts w:ascii="Tahoma" w:hAnsi="Tahoma" w:cs="Tahoma"/>
                <w:b/>
                <w:bCs/>
                <w:iCs/>
                <w:color w:val="243285"/>
                <w:sz w:val="32"/>
                <w:szCs w:val="32"/>
                <w:lang w:val="ru-RU"/>
              </w:rPr>
            </w:pPr>
          </w:p>
        </w:tc>
      </w:tr>
    </w:tbl>
    <w:p w:rsidR="00FE79FE" w:rsidRPr="003A4E23" w:rsidRDefault="00FE79FE" w:rsidP="00CD659B">
      <w:pPr>
        <w:spacing w:before="80"/>
        <w:rPr>
          <w:i/>
          <w:lang w:val="ru-RU"/>
        </w:rPr>
      </w:pPr>
    </w:p>
    <w:p w:rsidR="00FE79FE" w:rsidRPr="003A4E23" w:rsidRDefault="00FE79FE" w:rsidP="00CD659B">
      <w:pPr>
        <w:spacing w:before="80"/>
        <w:rPr>
          <w:i/>
          <w:lang w:val="ru-RU"/>
        </w:rPr>
      </w:pPr>
    </w:p>
    <w:p w:rsidR="00FE79FE" w:rsidRPr="003A4E23" w:rsidRDefault="00FE79FE" w:rsidP="00CD659B">
      <w:pPr>
        <w:spacing w:before="80"/>
        <w:rPr>
          <w:i/>
          <w:lang w:val="ru-RU"/>
        </w:rPr>
      </w:pPr>
    </w:p>
    <w:p w:rsidR="00A71FE5" w:rsidRPr="003A4E23" w:rsidRDefault="00A71FE5" w:rsidP="00CD659B">
      <w:pPr>
        <w:spacing w:before="80"/>
        <w:rPr>
          <w:i/>
          <w:lang w:val="ru-RU"/>
        </w:rPr>
      </w:pPr>
    </w:p>
    <w:p w:rsidR="00CD659B" w:rsidRPr="003A4E2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3A4E23">
          <w:headerReference w:type="even" r:id="rId8"/>
          <w:headerReference w:type="default" r:id="rId9"/>
          <w:pgSz w:w="11907" w:h="16840" w:code="9"/>
          <w:pgMar w:top="1089" w:right="1089" w:bottom="284" w:left="1089" w:header="567" w:footer="284" w:gutter="0"/>
          <w:pgNumType w:start="1"/>
          <w:cols w:space="720"/>
        </w:sectPr>
      </w:pPr>
    </w:p>
    <w:p w:rsidR="006E56A2" w:rsidRPr="003A4E23" w:rsidRDefault="006E56A2" w:rsidP="006E56A2">
      <w:pPr>
        <w:spacing w:before="0"/>
        <w:jc w:val="center"/>
        <w:rPr>
          <w:b/>
          <w:bCs/>
          <w:szCs w:val="22"/>
          <w:lang w:val="ru-RU"/>
        </w:rPr>
      </w:pPr>
      <w:bookmarkStart w:id="0" w:name="c2tope"/>
      <w:bookmarkEnd w:id="0"/>
      <w:r w:rsidRPr="003A4E23">
        <w:rPr>
          <w:b/>
          <w:bCs/>
          <w:szCs w:val="22"/>
          <w:lang w:val="ru-RU"/>
        </w:rPr>
        <w:lastRenderedPageBreak/>
        <w:t>Предисловие</w:t>
      </w:r>
    </w:p>
    <w:p w:rsidR="006E56A2" w:rsidRPr="003A4E23" w:rsidRDefault="006E56A2" w:rsidP="006E56A2">
      <w:pPr>
        <w:rPr>
          <w:sz w:val="20"/>
          <w:lang w:val="ru-RU"/>
        </w:rPr>
      </w:pPr>
      <w:r w:rsidRPr="003A4E2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3A4E23" w:rsidRDefault="006E56A2" w:rsidP="006E56A2">
      <w:pPr>
        <w:rPr>
          <w:sz w:val="20"/>
          <w:lang w:val="ru-RU"/>
        </w:rPr>
      </w:pPr>
      <w:r w:rsidRPr="003A4E2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3A4E23" w:rsidRDefault="006E56A2" w:rsidP="009826F7">
      <w:pPr>
        <w:pStyle w:val="Heading1"/>
        <w:spacing w:before="240"/>
        <w:jc w:val="center"/>
        <w:rPr>
          <w:lang w:val="ru-RU"/>
        </w:rPr>
      </w:pPr>
      <w:r w:rsidRPr="003A4E23">
        <w:rPr>
          <w:lang w:val="ru-RU"/>
        </w:rPr>
        <w:t>Политика в области прав интеллектуальной собственности (ПИС)</w:t>
      </w:r>
    </w:p>
    <w:p w:rsidR="006E56A2" w:rsidRPr="003A4E23" w:rsidRDefault="006E56A2" w:rsidP="001A5DF7">
      <w:pPr>
        <w:rPr>
          <w:sz w:val="20"/>
          <w:lang w:val="ru-RU"/>
        </w:rPr>
      </w:pPr>
      <w:r w:rsidRPr="003A4E2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3A4E23">
        <w:rPr>
          <w:sz w:val="20"/>
          <w:lang w:val="ru-RU"/>
        </w:rPr>
        <w:t xml:space="preserve"> 1</w:t>
      </w:r>
      <w:r w:rsidRPr="003A4E2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A4E23">
          <w:rPr>
            <w:rStyle w:val="Hyperlink"/>
            <w:rFonts w:eastAsia="SimSun"/>
            <w:sz w:val="20"/>
            <w:lang w:val="ru-RU"/>
          </w:rPr>
          <w:t>http://www.itu.int/ITU-R/go/patents/en</w:t>
        </w:r>
      </w:hyperlink>
      <w:r w:rsidRPr="003A4E2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3A4E23"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3A4E23" w:rsidTr="00EB0890">
        <w:trPr>
          <w:jc w:val="center"/>
        </w:trPr>
        <w:tc>
          <w:tcPr>
            <w:tcW w:w="8856" w:type="dxa"/>
            <w:gridSpan w:val="2"/>
          </w:tcPr>
          <w:p w:rsidR="006E56A2" w:rsidRPr="003A4E23" w:rsidRDefault="006E56A2" w:rsidP="00EB0890">
            <w:pPr>
              <w:spacing w:before="180"/>
              <w:jc w:val="center"/>
              <w:rPr>
                <w:b/>
                <w:bCs/>
                <w:szCs w:val="22"/>
                <w:lang w:val="ru-RU"/>
              </w:rPr>
            </w:pPr>
            <w:r w:rsidRPr="003A4E23">
              <w:rPr>
                <w:b/>
                <w:bCs/>
                <w:szCs w:val="22"/>
                <w:lang w:val="ru-RU"/>
              </w:rPr>
              <w:t>Серии Рекомендаций МСЭ-R</w:t>
            </w:r>
          </w:p>
          <w:p w:rsidR="006E56A2" w:rsidRPr="003A4E23" w:rsidRDefault="006E56A2" w:rsidP="00EB0890">
            <w:pPr>
              <w:spacing w:after="240"/>
              <w:jc w:val="center"/>
              <w:rPr>
                <w:rFonts w:eastAsia="SimSun"/>
                <w:sz w:val="18"/>
                <w:szCs w:val="18"/>
                <w:lang w:val="ru-RU" w:eastAsia="zh-CN"/>
              </w:rPr>
            </w:pPr>
            <w:r w:rsidRPr="003A4E23">
              <w:rPr>
                <w:sz w:val="18"/>
                <w:szCs w:val="18"/>
                <w:lang w:val="ru-RU"/>
              </w:rPr>
              <w:t xml:space="preserve">(Представлены также в онлайновой форме по адресу: </w:t>
            </w:r>
            <w:hyperlink r:id="rId11" w:history="1">
              <w:r w:rsidRPr="003A4E23">
                <w:rPr>
                  <w:rStyle w:val="Hyperlink"/>
                  <w:sz w:val="18"/>
                  <w:lang w:val="ru-RU"/>
                </w:rPr>
                <w:t>http://www.itu.int/publ/R-REC/en</w:t>
              </w:r>
            </w:hyperlink>
            <w:r w:rsidRPr="003A4E23">
              <w:rPr>
                <w:sz w:val="18"/>
                <w:szCs w:val="18"/>
                <w:lang w:val="ru-RU"/>
              </w:rPr>
              <w:t>.)</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Серия</w:t>
            </w:r>
          </w:p>
        </w:tc>
        <w:tc>
          <w:tcPr>
            <w:tcW w:w="7668" w:type="dxa"/>
          </w:tcPr>
          <w:p w:rsidR="006E56A2" w:rsidRPr="003A4E23" w:rsidRDefault="006E56A2" w:rsidP="00EB0890">
            <w:pPr>
              <w:spacing w:before="40" w:after="40"/>
              <w:jc w:val="center"/>
              <w:rPr>
                <w:b/>
                <w:bCs/>
                <w:sz w:val="20"/>
                <w:lang w:val="ru-RU"/>
              </w:rPr>
            </w:pPr>
            <w:r w:rsidRPr="003A4E23">
              <w:rPr>
                <w:b/>
                <w:bCs/>
                <w:sz w:val="20"/>
                <w:lang w:val="ru-RU"/>
              </w:rPr>
              <w:t>Название</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BO</w:t>
            </w:r>
          </w:p>
        </w:tc>
        <w:tc>
          <w:tcPr>
            <w:tcW w:w="7668" w:type="dxa"/>
          </w:tcPr>
          <w:p w:rsidR="006E56A2" w:rsidRPr="003A4E23" w:rsidRDefault="006E56A2" w:rsidP="00225DDD">
            <w:pPr>
              <w:spacing w:before="40" w:after="40"/>
              <w:jc w:val="left"/>
              <w:rPr>
                <w:sz w:val="20"/>
                <w:lang w:val="ru-RU"/>
              </w:rPr>
            </w:pPr>
            <w:r w:rsidRPr="003A4E23">
              <w:rPr>
                <w:sz w:val="20"/>
                <w:lang w:val="ru-RU"/>
              </w:rPr>
              <w:t>Спутниковое радиовещание</w:t>
            </w:r>
          </w:p>
        </w:tc>
      </w:tr>
      <w:tr w:rsidR="006E56A2" w:rsidRPr="003A4E23" w:rsidTr="00475345">
        <w:trPr>
          <w:jc w:val="center"/>
        </w:trPr>
        <w:tc>
          <w:tcPr>
            <w:tcW w:w="1188" w:type="dxa"/>
            <w:tcBorders>
              <w:bottom w:val="nil"/>
            </w:tcBorders>
          </w:tcPr>
          <w:p w:rsidR="006E56A2" w:rsidRPr="003A4E23" w:rsidRDefault="006E56A2" w:rsidP="00EB0890">
            <w:pPr>
              <w:spacing w:before="40" w:after="40"/>
              <w:rPr>
                <w:b/>
                <w:bCs/>
                <w:sz w:val="20"/>
                <w:lang w:val="ru-RU"/>
              </w:rPr>
            </w:pPr>
            <w:r w:rsidRPr="003A4E23">
              <w:rPr>
                <w:b/>
                <w:bCs/>
                <w:sz w:val="20"/>
                <w:lang w:val="ru-RU"/>
              </w:rPr>
              <w:t>BR</w:t>
            </w:r>
          </w:p>
        </w:tc>
        <w:tc>
          <w:tcPr>
            <w:tcW w:w="7668" w:type="dxa"/>
            <w:tcBorders>
              <w:bottom w:val="nil"/>
            </w:tcBorders>
          </w:tcPr>
          <w:p w:rsidR="006E56A2" w:rsidRPr="003A4E23" w:rsidRDefault="006E56A2" w:rsidP="00225DDD">
            <w:pPr>
              <w:spacing w:before="40" w:after="40"/>
              <w:jc w:val="left"/>
              <w:rPr>
                <w:sz w:val="20"/>
                <w:lang w:val="ru-RU"/>
              </w:rPr>
            </w:pPr>
            <w:r w:rsidRPr="003A4E23">
              <w:rPr>
                <w:sz w:val="20"/>
                <w:lang w:val="ru-RU"/>
              </w:rPr>
              <w:t>Запись для производства, архивирования и воспроизведения; пленки для телевидения</w:t>
            </w:r>
          </w:p>
        </w:tc>
      </w:tr>
      <w:tr w:rsidR="006E56A2" w:rsidRPr="003A4E23" w:rsidTr="00475345">
        <w:trPr>
          <w:jc w:val="center"/>
        </w:trPr>
        <w:tc>
          <w:tcPr>
            <w:tcW w:w="1188" w:type="dxa"/>
            <w:tcBorders>
              <w:top w:val="nil"/>
              <w:bottom w:val="nil"/>
            </w:tcBorders>
            <w:shd w:val="clear" w:color="auto" w:fill="FFFFFF" w:themeFill="background1"/>
          </w:tcPr>
          <w:p w:rsidR="006E56A2" w:rsidRPr="003A4E23" w:rsidRDefault="006E56A2" w:rsidP="00EB0890">
            <w:pPr>
              <w:spacing w:before="40" w:after="40"/>
              <w:rPr>
                <w:rFonts w:ascii="Times New Roman Bold" w:hAnsi="Times New Roman Bold" w:cs="Times New Roman Bold"/>
                <w:b/>
                <w:bCs/>
                <w:color w:val="000080"/>
                <w:sz w:val="20"/>
                <w:lang w:val="ru-RU"/>
              </w:rPr>
            </w:pPr>
            <w:r w:rsidRPr="003A4E23">
              <w:rPr>
                <w:b/>
                <w:bCs/>
                <w:sz w:val="20"/>
                <w:lang w:val="ru-RU"/>
              </w:rPr>
              <w:t>BS</w:t>
            </w:r>
          </w:p>
        </w:tc>
        <w:tc>
          <w:tcPr>
            <w:tcW w:w="7668" w:type="dxa"/>
            <w:tcBorders>
              <w:top w:val="nil"/>
              <w:bottom w:val="nil"/>
            </w:tcBorders>
            <w:shd w:val="clear" w:color="auto" w:fill="FFFFFF" w:themeFill="background1"/>
          </w:tcPr>
          <w:p w:rsidR="006E56A2" w:rsidRPr="003A4E23" w:rsidRDefault="006E56A2" w:rsidP="00225DDD">
            <w:pPr>
              <w:spacing w:before="40" w:after="40"/>
              <w:jc w:val="left"/>
              <w:rPr>
                <w:sz w:val="20"/>
                <w:lang w:val="ru-RU"/>
              </w:rPr>
            </w:pPr>
            <w:r w:rsidRPr="003A4E23">
              <w:rPr>
                <w:sz w:val="20"/>
                <w:lang w:val="ru-RU"/>
              </w:rPr>
              <w:t>Радиовещательная служба (звуковая)</w:t>
            </w:r>
          </w:p>
        </w:tc>
      </w:tr>
      <w:tr w:rsidR="006E56A2" w:rsidRPr="003A4E23" w:rsidTr="00475345">
        <w:trPr>
          <w:jc w:val="center"/>
        </w:trPr>
        <w:tc>
          <w:tcPr>
            <w:tcW w:w="1188" w:type="dxa"/>
            <w:tcBorders>
              <w:top w:val="nil"/>
            </w:tcBorders>
          </w:tcPr>
          <w:p w:rsidR="006E56A2" w:rsidRPr="003A4E23" w:rsidRDefault="006E56A2" w:rsidP="00EB0890">
            <w:pPr>
              <w:spacing w:before="40" w:after="40"/>
              <w:rPr>
                <w:b/>
                <w:bCs/>
                <w:sz w:val="20"/>
                <w:lang w:val="ru-RU"/>
              </w:rPr>
            </w:pPr>
            <w:r w:rsidRPr="003A4E23">
              <w:rPr>
                <w:b/>
                <w:bCs/>
                <w:sz w:val="20"/>
                <w:lang w:val="ru-RU"/>
              </w:rPr>
              <w:t>BT</w:t>
            </w:r>
          </w:p>
        </w:tc>
        <w:tc>
          <w:tcPr>
            <w:tcW w:w="7668" w:type="dxa"/>
            <w:tcBorders>
              <w:top w:val="nil"/>
            </w:tcBorders>
          </w:tcPr>
          <w:p w:rsidR="006E56A2" w:rsidRPr="003A4E23" w:rsidRDefault="006E56A2" w:rsidP="00225DDD">
            <w:pPr>
              <w:spacing w:before="40" w:after="40"/>
              <w:jc w:val="left"/>
              <w:rPr>
                <w:sz w:val="20"/>
                <w:lang w:val="ru-RU"/>
              </w:rPr>
            </w:pPr>
            <w:r w:rsidRPr="003A4E23">
              <w:rPr>
                <w:sz w:val="20"/>
                <w:lang w:val="ru-RU"/>
              </w:rPr>
              <w:t>Радиовещательная служба (телевизионная)</w:t>
            </w:r>
          </w:p>
        </w:tc>
      </w:tr>
      <w:tr w:rsidR="006E56A2" w:rsidRPr="003A4E23" w:rsidTr="00475345">
        <w:trPr>
          <w:jc w:val="center"/>
        </w:trPr>
        <w:tc>
          <w:tcPr>
            <w:tcW w:w="1188" w:type="dxa"/>
            <w:tcBorders>
              <w:bottom w:val="nil"/>
            </w:tcBorders>
          </w:tcPr>
          <w:p w:rsidR="006E56A2" w:rsidRPr="003A4E23" w:rsidRDefault="006E56A2" w:rsidP="00EB0890">
            <w:pPr>
              <w:spacing w:before="40" w:after="40"/>
              <w:rPr>
                <w:b/>
                <w:bCs/>
                <w:sz w:val="20"/>
                <w:lang w:val="ru-RU"/>
              </w:rPr>
            </w:pPr>
            <w:r w:rsidRPr="003A4E23">
              <w:rPr>
                <w:b/>
                <w:bCs/>
                <w:sz w:val="20"/>
                <w:lang w:val="ru-RU"/>
              </w:rPr>
              <w:t>F</w:t>
            </w:r>
          </w:p>
        </w:tc>
        <w:tc>
          <w:tcPr>
            <w:tcW w:w="7668" w:type="dxa"/>
            <w:tcBorders>
              <w:bottom w:val="nil"/>
            </w:tcBorders>
          </w:tcPr>
          <w:p w:rsidR="006E56A2" w:rsidRPr="003A4E23" w:rsidRDefault="006E56A2" w:rsidP="00225DDD">
            <w:pPr>
              <w:spacing w:before="40" w:after="40"/>
              <w:jc w:val="left"/>
              <w:rPr>
                <w:sz w:val="20"/>
                <w:lang w:val="ru-RU"/>
              </w:rPr>
            </w:pPr>
            <w:r w:rsidRPr="003A4E23">
              <w:rPr>
                <w:sz w:val="20"/>
                <w:lang w:val="ru-RU"/>
              </w:rPr>
              <w:t>Фиксированная служба</w:t>
            </w:r>
          </w:p>
        </w:tc>
      </w:tr>
      <w:tr w:rsidR="006E56A2" w:rsidRPr="003A4E23" w:rsidTr="00475345">
        <w:trPr>
          <w:jc w:val="center"/>
        </w:trPr>
        <w:tc>
          <w:tcPr>
            <w:tcW w:w="1188" w:type="dxa"/>
            <w:tcBorders>
              <w:top w:val="nil"/>
              <w:bottom w:val="nil"/>
            </w:tcBorders>
            <w:shd w:val="clear" w:color="auto" w:fill="F2F2F2" w:themeFill="background1" w:themeFillShade="F2"/>
          </w:tcPr>
          <w:p w:rsidR="006E56A2" w:rsidRPr="003A4E23" w:rsidRDefault="006E56A2" w:rsidP="00EB0890">
            <w:pPr>
              <w:spacing w:before="40" w:after="40"/>
              <w:rPr>
                <w:b/>
                <w:bCs/>
                <w:color w:val="000080"/>
                <w:sz w:val="20"/>
                <w:lang w:val="ru-RU"/>
              </w:rPr>
            </w:pPr>
            <w:r w:rsidRPr="003A4E23">
              <w:rPr>
                <w:b/>
                <w:bCs/>
                <w:color w:val="000080"/>
                <w:sz w:val="20"/>
                <w:lang w:val="ru-RU"/>
              </w:rPr>
              <w:t>M</w:t>
            </w:r>
          </w:p>
        </w:tc>
        <w:tc>
          <w:tcPr>
            <w:tcW w:w="7668" w:type="dxa"/>
            <w:tcBorders>
              <w:top w:val="nil"/>
              <w:bottom w:val="nil"/>
            </w:tcBorders>
            <w:shd w:val="clear" w:color="auto" w:fill="F2F2F2" w:themeFill="background1" w:themeFillShade="F2"/>
          </w:tcPr>
          <w:p w:rsidR="006E56A2" w:rsidRPr="003A4E23" w:rsidRDefault="00C847AA" w:rsidP="00C847AA">
            <w:pPr>
              <w:spacing w:before="40" w:after="40"/>
              <w:jc w:val="left"/>
              <w:rPr>
                <w:b/>
                <w:bCs/>
                <w:color w:val="000080"/>
                <w:sz w:val="20"/>
                <w:lang w:val="ru-RU"/>
              </w:rPr>
            </w:pPr>
            <w:r w:rsidRPr="003A4E23">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3A4E23" w:rsidTr="00475345">
        <w:trPr>
          <w:jc w:val="center"/>
        </w:trPr>
        <w:tc>
          <w:tcPr>
            <w:tcW w:w="1188" w:type="dxa"/>
            <w:tcBorders>
              <w:top w:val="nil"/>
            </w:tcBorders>
            <w:shd w:val="clear" w:color="auto" w:fill="FFFFFF" w:themeFill="background1"/>
          </w:tcPr>
          <w:p w:rsidR="006E56A2" w:rsidRPr="003A4E23" w:rsidRDefault="006E56A2" w:rsidP="00EB0890">
            <w:pPr>
              <w:spacing w:before="40" w:after="40"/>
              <w:rPr>
                <w:b/>
                <w:bCs/>
                <w:sz w:val="20"/>
                <w:lang w:val="ru-RU"/>
              </w:rPr>
            </w:pPr>
            <w:r w:rsidRPr="003A4E23">
              <w:rPr>
                <w:b/>
                <w:bCs/>
                <w:sz w:val="20"/>
                <w:lang w:val="ru-RU"/>
              </w:rPr>
              <w:t>P</w:t>
            </w:r>
          </w:p>
        </w:tc>
        <w:tc>
          <w:tcPr>
            <w:tcW w:w="7668" w:type="dxa"/>
            <w:tcBorders>
              <w:top w:val="nil"/>
            </w:tcBorders>
            <w:shd w:val="clear" w:color="auto" w:fill="FFFFFF" w:themeFill="background1"/>
          </w:tcPr>
          <w:p w:rsidR="006E56A2" w:rsidRPr="003A4E23" w:rsidRDefault="006E56A2" w:rsidP="00225DDD">
            <w:pPr>
              <w:spacing w:before="40" w:after="40"/>
              <w:jc w:val="left"/>
              <w:rPr>
                <w:sz w:val="20"/>
                <w:lang w:val="ru-RU"/>
              </w:rPr>
            </w:pPr>
            <w:r w:rsidRPr="003A4E23">
              <w:rPr>
                <w:sz w:val="20"/>
                <w:lang w:val="ru-RU"/>
              </w:rPr>
              <w:t>Распространение радиоволн</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RA</w:t>
            </w:r>
          </w:p>
        </w:tc>
        <w:tc>
          <w:tcPr>
            <w:tcW w:w="7668" w:type="dxa"/>
          </w:tcPr>
          <w:p w:rsidR="006E56A2" w:rsidRPr="003A4E23" w:rsidRDefault="006E56A2" w:rsidP="00225DDD">
            <w:pPr>
              <w:spacing w:before="40" w:after="40"/>
              <w:jc w:val="left"/>
              <w:rPr>
                <w:sz w:val="20"/>
                <w:lang w:val="ru-RU"/>
              </w:rPr>
            </w:pPr>
            <w:r w:rsidRPr="003A4E23">
              <w:rPr>
                <w:sz w:val="20"/>
                <w:lang w:val="ru-RU"/>
              </w:rPr>
              <w:t>Радиоастрономия</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RS</w:t>
            </w:r>
          </w:p>
        </w:tc>
        <w:tc>
          <w:tcPr>
            <w:tcW w:w="7668" w:type="dxa"/>
          </w:tcPr>
          <w:p w:rsidR="006E56A2" w:rsidRPr="003A4E23" w:rsidRDefault="006E56A2" w:rsidP="00225DDD">
            <w:pPr>
              <w:spacing w:before="40" w:after="40"/>
              <w:jc w:val="left"/>
              <w:rPr>
                <w:sz w:val="20"/>
                <w:lang w:val="ru-RU"/>
              </w:rPr>
            </w:pPr>
            <w:r w:rsidRPr="003A4E23">
              <w:rPr>
                <w:sz w:val="20"/>
                <w:lang w:val="ru-RU"/>
              </w:rPr>
              <w:t>Системы дистанционного зондирования</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S</w:t>
            </w:r>
          </w:p>
        </w:tc>
        <w:tc>
          <w:tcPr>
            <w:tcW w:w="7668" w:type="dxa"/>
          </w:tcPr>
          <w:p w:rsidR="006E56A2" w:rsidRPr="003A4E23" w:rsidRDefault="006E56A2" w:rsidP="00225DDD">
            <w:pPr>
              <w:spacing w:before="40" w:after="40"/>
              <w:jc w:val="left"/>
              <w:rPr>
                <w:sz w:val="20"/>
                <w:lang w:val="ru-RU"/>
              </w:rPr>
            </w:pPr>
            <w:r w:rsidRPr="003A4E23">
              <w:rPr>
                <w:sz w:val="20"/>
                <w:lang w:val="ru-RU"/>
              </w:rPr>
              <w:t>Фиксированная спутниковая служба</w:t>
            </w:r>
          </w:p>
        </w:tc>
      </w:tr>
      <w:tr w:rsidR="006E56A2" w:rsidRPr="003A4E23" w:rsidTr="00EB0890">
        <w:trPr>
          <w:jc w:val="center"/>
        </w:trPr>
        <w:tc>
          <w:tcPr>
            <w:tcW w:w="1188" w:type="dxa"/>
            <w:shd w:val="clear" w:color="auto" w:fill="auto"/>
          </w:tcPr>
          <w:p w:rsidR="006E56A2" w:rsidRPr="003A4E23" w:rsidRDefault="006E56A2" w:rsidP="00EB0890">
            <w:pPr>
              <w:spacing w:before="40" w:after="40"/>
              <w:rPr>
                <w:b/>
                <w:bCs/>
                <w:sz w:val="20"/>
                <w:lang w:val="ru-RU"/>
              </w:rPr>
            </w:pPr>
            <w:r w:rsidRPr="003A4E23">
              <w:rPr>
                <w:b/>
                <w:bCs/>
                <w:sz w:val="20"/>
                <w:lang w:val="ru-RU"/>
              </w:rPr>
              <w:t>SA</w:t>
            </w:r>
          </w:p>
        </w:tc>
        <w:tc>
          <w:tcPr>
            <w:tcW w:w="7668" w:type="dxa"/>
            <w:shd w:val="clear" w:color="auto" w:fill="auto"/>
          </w:tcPr>
          <w:p w:rsidR="006E56A2" w:rsidRPr="003A4E23" w:rsidRDefault="006E56A2" w:rsidP="00225DDD">
            <w:pPr>
              <w:spacing w:before="40" w:after="40"/>
              <w:jc w:val="left"/>
              <w:rPr>
                <w:sz w:val="20"/>
                <w:lang w:val="ru-RU"/>
              </w:rPr>
            </w:pPr>
            <w:r w:rsidRPr="003A4E23">
              <w:rPr>
                <w:sz w:val="20"/>
                <w:lang w:val="ru-RU"/>
              </w:rPr>
              <w:t>Космические применения и метеорология</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SF</w:t>
            </w:r>
          </w:p>
        </w:tc>
        <w:tc>
          <w:tcPr>
            <w:tcW w:w="7668" w:type="dxa"/>
          </w:tcPr>
          <w:p w:rsidR="006E56A2" w:rsidRPr="003A4E23" w:rsidRDefault="006E56A2" w:rsidP="00225DDD">
            <w:pPr>
              <w:spacing w:before="40" w:after="40"/>
              <w:jc w:val="left"/>
              <w:rPr>
                <w:sz w:val="20"/>
                <w:lang w:val="ru-RU"/>
              </w:rPr>
            </w:pPr>
            <w:r w:rsidRPr="003A4E2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3A4E23" w:rsidTr="00EB0890">
        <w:trPr>
          <w:jc w:val="center"/>
        </w:trPr>
        <w:tc>
          <w:tcPr>
            <w:tcW w:w="1188" w:type="dxa"/>
            <w:shd w:val="clear" w:color="auto" w:fill="auto"/>
          </w:tcPr>
          <w:p w:rsidR="006E56A2" w:rsidRPr="003A4E23" w:rsidRDefault="006E56A2" w:rsidP="00EB0890">
            <w:pPr>
              <w:spacing w:before="40" w:after="40"/>
              <w:rPr>
                <w:b/>
                <w:bCs/>
                <w:sz w:val="20"/>
                <w:lang w:val="ru-RU"/>
              </w:rPr>
            </w:pPr>
            <w:r w:rsidRPr="003A4E23">
              <w:rPr>
                <w:b/>
                <w:bCs/>
                <w:sz w:val="20"/>
                <w:lang w:val="ru-RU"/>
              </w:rPr>
              <w:t>SM</w:t>
            </w:r>
          </w:p>
        </w:tc>
        <w:tc>
          <w:tcPr>
            <w:tcW w:w="7668" w:type="dxa"/>
            <w:shd w:val="clear" w:color="auto" w:fill="auto"/>
          </w:tcPr>
          <w:p w:rsidR="006E56A2" w:rsidRPr="003A4E23" w:rsidRDefault="006E56A2" w:rsidP="00225DDD">
            <w:pPr>
              <w:spacing w:before="40" w:after="40"/>
              <w:jc w:val="left"/>
              <w:rPr>
                <w:sz w:val="20"/>
                <w:lang w:val="ru-RU"/>
              </w:rPr>
            </w:pPr>
            <w:r w:rsidRPr="003A4E23">
              <w:rPr>
                <w:sz w:val="20"/>
                <w:lang w:val="ru-RU"/>
              </w:rPr>
              <w:t>Управление использованием спектра</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SNG</w:t>
            </w:r>
          </w:p>
        </w:tc>
        <w:tc>
          <w:tcPr>
            <w:tcW w:w="7668" w:type="dxa"/>
          </w:tcPr>
          <w:p w:rsidR="006E56A2" w:rsidRPr="003A4E23" w:rsidRDefault="006E56A2" w:rsidP="00225DDD">
            <w:pPr>
              <w:spacing w:before="40" w:after="40"/>
              <w:jc w:val="left"/>
              <w:rPr>
                <w:sz w:val="20"/>
                <w:lang w:val="ru-RU"/>
              </w:rPr>
            </w:pPr>
            <w:r w:rsidRPr="003A4E23">
              <w:rPr>
                <w:sz w:val="20"/>
                <w:lang w:val="ru-RU"/>
              </w:rPr>
              <w:t>Спутниковый сбор новостей</w:t>
            </w:r>
          </w:p>
        </w:tc>
      </w:tr>
      <w:tr w:rsidR="006E56A2" w:rsidRPr="003A4E23" w:rsidTr="00EB0890">
        <w:trPr>
          <w:jc w:val="center"/>
        </w:trPr>
        <w:tc>
          <w:tcPr>
            <w:tcW w:w="1188" w:type="dxa"/>
          </w:tcPr>
          <w:p w:rsidR="006E56A2" w:rsidRPr="003A4E23" w:rsidRDefault="006E56A2" w:rsidP="00EB0890">
            <w:pPr>
              <w:spacing w:before="40" w:after="40"/>
              <w:rPr>
                <w:b/>
                <w:bCs/>
                <w:sz w:val="20"/>
                <w:lang w:val="ru-RU"/>
              </w:rPr>
            </w:pPr>
            <w:r w:rsidRPr="003A4E23">
              <w:rPr>
                <w:b/>
                <w:bCs/>
                <w:sz w:val="20"/>
                <w:lang w:val="ru-RU"/>
              </w:rPr>
              <w:t>TF</w:t>
            </w:r>
          </w:p>
        </w:tc>
        <w:tc>
          <w:tcPr>
            <w:tcW w:w="7668" w:type="dxa"/>
          </w:tcPr>
          <w:p w:rsidR="006E56A2" w:rsidRPr="003A4E23" w:rsidRDefault="006E56A2" w:rsidP="00225DDD">
            <w:pPr>
              <w:spacing w:before="40" w:after="40"/>
              <w:jc w:val="left"/>
              <w:rPr>
                <w:sz w:val="20"/>
                <w:lang w:val="ru-RU"/>
              </w:rPr>
            </w:pPr>
            <w:r w:rsidRPr="003A4E23">
              <w:rPr>
                <w:sz w:val="20"/>
                <w:lang w:val="ru-RU"/>
              </w:rPr>
              <w:t>Передача сигналов времени и эталонных частот</w:t>
            </w:r>
          </w:p>
        </w:tc>
      </w:tr>
      <w:tr w:rsidR="006E56A2" w:rsidRPr="003A4E23" w:rsidTr="00EB0890">
        <w:trPr>
          <w:jc w:val="center"/>
        </w:trPr>
        <w:tc>
          <w:tcPr>
            <w:tcW w:w="1188" w:type="dxa"/>
          </w:tcPr>
          <w:p w:rsidR="006E56A2" w:rsidRPr="003A4E23" w:rsidRDefault="006E56A2" w:rsidP="00EB0890">
            <w:pPr>
              <w:spacing w:before="40" w:after="180"/>
              <w:rPr>
                <w:b/>
                <w:bCs/>
                <w:sz w:val="20"/>
                <w:lang w:val="ru-RU"/>
              </w:rPr>
            </w:pPr>
            <w:r w:rsidRPr="003A4E23">
              <w:rPr>
                <w:b/>
                <w:bCs/>
                <w:sz w:val="20"/>
                <w:lang w:val="ru-RU"/>
              </w:rPr>
              <w:t>V</w:t>
            </w:r>
          </w:p>
        </w:tc>
        <w:tc>
          <w:tcPr>
            <w:tcW w:w="7668" w:type="dxa"/>
          </w:tcPr>
          <w:p w:rsidR="006E56A2" w:rsidRPr="003A4E23" w:rsidRDefault="006E56A2" w:rsidP="00225DDD">
            <w:pPr>
              <w:spacing w:before="40" w:after="180"/>
              <w:jc w:val="left"/>
              <w:rPr>
                <w:sz w:val="20"/>
                <w:lang w:val="ru-RU"/>
              </w:rPr>
            </w:pPr>
            <w:r w:rsidRPr="003A4E23">
              <w:rPr>
                <w:sz w:val="20"/>
                <w:lang w:val="ru-RU"/>
              </w:rPr>
              <w:t>Словарь и связанные с ним вопросы</w:t>
            </w:r>
          </w:p>
        </w:tc>
      </w:tr>
    </w:tbl>
    <w:p w:rsidR="006E56A2" w:rsidRPr="003A4E23"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3A4E23" w:rsidTr="00EB0890">
        <w:trPr>
          <w:jc w:val="center"/>
        </w:trPr>
        <w:tc>
          <w:tcPr>
            <w:tcW w:w="8856" w:type="dxa"/>
          </w:tcPr>
          <w:p w:rsidR="006E56A2" w:rsidRPr="003A4E23" w:rsidRDefault="006E56A2" w:rsidP="001A5DF7">
            <w:pPr>
              <w:spacing w:after="120"/>
              <w:jc w:val="left"/>
              <w:rPr>
                <w:rFonts w:eastAsia="SimSun"/>
                <w:i/>
                <w:iCs/>
                <w:sz w:val="20"/>
                <w:lang w:val="ru-RU" w:eastAsia="zh-CN"/>
              </w:rPr>
            </w:pPr>
            <w:r w:rsidRPr="003A4E23">
              <w:rPr>
                <w:b/>
                <w:bCs/>
                <w:i/>
                <w:iCs/>
                <w:sz w:val="20"/>
                <w:lang w:val="ru-RU"/>
              </w:rPr>
              <w:t>Примечание</w:t>
            </w:r>
            <w:r w:rsidRPr="003A4E23">
              <w:rPr>
                <w:i/>
                <w:iCs/>
                <w:sz w:val="20"/>
                <w:lang w:val="ru-RU"/>
              </w:rPr>
              <w:t>. – Настоящая Рекомендация МСЭ-R утверждена на английском языке в</w:t>
            </w:r>
            <w:r w:rsidR="00225DDD" w:rsidRPr="003A4E23">
              <w:rPr>
                <w:i/>
                <w:iCs/>
                <w:sz w:val="20"/>
                <w:lang w:val="ru-RU"/>
              </w:rPr>
              <w:t> </w:t>
            </w:r>
            <w:r w:rsidRPr="003A4E23">
              <w:rPr>
                <w:i/>
                <w:iCs/>
                <w:sz w:val="20"/>
                <w:lang w:val="ru-RU"/>
              </w:rPr>
              <w:t>соответствии с процедурой, изложенной в Резолюции МСЭ-R</w:t>
            </w:r>
            <w:r w:rsidR="001A5DF7" w:rsidRPr="003A4E23">
              <w:rPr>
                <w:i/>
                <w:iCs/>
                <w:sz w:val="20"/>
                <w:lang w:val="ru-RU"/>
              </w:rPr>
              <w:t xml:space="preserve"> 1</w:t>
            </w:r>
            <w:r w:rsidRPr="003A4E23">
              <w:rPr>
                <w:i/>
                <w:iCs/>
                <w:sz w:val="20"/>
                <w:lang w:val="ru-RU"/>
              </w:rPr>
              <w:t>.</w:t>
            </w:r>
          </w:p>
        </w:tc>
      </w:tr>
    </w:tbl>
    <w:p w:rsidR="006E56A2" w:rsidRPr="003A4E23" w:rsidRDefault="006E56A2" w:rsidP="00387A7D">
      <w:pPr>
        <w:spacing w:before="360"/>
        <w:jc w:val="right"/>
        <w:rPr>
          <w:sz w:val="20"/>
          <w:lang w:val="ru-RU"/>
        </w:rPr>
      </w:pPr>
      <w:r w:rsidRPr="003A4E23">
        <w:rPr>
          <w:i/>
          <w:iCs/>
          <w:sz w:val="20"/>
          <w:lang w:val="ru-RU"/>
        </w:rPr>
        <w:t>Электронная публикация</w:t>
      </w:r>
      <w:r w:rsidRPr="003A4E23">
        <w:rPr>
          <w:i/>
          <w:iCs/>
          <w:sz w:val="20"/>
          <w:lang w:val="ru-RU"/>
        </w:rPr>
        <w:br/>
      </w:r>
      <w:r w:rsidRPr="003A4E23">
        <w:rPr>
          <w:sz w:val="20"/>
          <w:lang w:val="ru-RU"/>
        </w:rPr>
        <w:t>Женева, 201</w:t>
      </w:r>
      <w:r w:rsidR="00387A7D" w:rsidRPr="003A4E23">
        <w:rPr>
          <w:sz w:val="20"/>
          <w:lang w:val="ru-RU"/>
        </w:rPr>
        <w:t>5</w:t>
      </w:r>
      <w:r w:rsidRPr="003A4E23">
        <w:rPr>
          <w:sz w:val="20"/>
          <w:lang w:val="ru-RU"/>
        </w:rPr>
        <w:t xml:space="preserve"> г.</w:t>
      </w:r>
    </w:p>
    <w:p w:rsidR="006E56A2" w:rsidRPr="003A4E23" w:rsidRDefault="00B62AB1" w:rsidP="00387A7D">
      <w:pPr>
        <w:spacing w:before="480" w:after="120"/>
        <w:jc w:val="center"/>
        <w:rPr>
          <w:rFonts w:eastAsia="SimSun"/>
          <w:sz w:val="20"/>
          <w:lang w:val="ru-RU" w:eastAsia="zh-CN"/>
        </w:rPr>
      </w:pPr>
      <w:r w:rsidRPr="003A4E23">
        <w:rPr>
          <w:sz w:val="20"/>
          <w:lang w:val="ru-RU"/>
        </w:rPr>
        <w:sym w:font="Symbol" w:char="F0E3"/>
      </w:r>
      <w:r w:rsidRPr="003A4E23">
        <w:rPr>
          <w:sz w:val="20"/>
          <w:lang w:val="ru-RU"/>
        </w:rPr>
        <w:t xml:space="preserve"> ITU </w:t>
      </w:r>
      <w:bookmarkStart w:id="1" w:name="iiannee"/>
      <w:bookmarkEnd w:id="1"/>
      <w:r w:rsidRPr="003A4E23">
        <w:rPr>
          <w:sz w:val="20"/>
          <w:lang w:val="ru-RU"/>
        </w:rPr>
        <w:t>201</w:t>
      </w:r>
      <w:r w:rsidR="00387A7D" w:rsidRPr="003A4E23">
        <w:rPr>
          <w:sz w:val="20"/>
          <w:lang w:val="ru-RU"/>
        </w:rPr>
        <w:t>5</w:t>
      </w:r>
    </w:p>
    <w:p w:rsidR="00B62AB1" w:rsidRPr="003A4E23" w:rsidRDefault="006E56A2" w:rsidP="00B62AB1">
      <w:pPr>
        <w:rPr>
          <w:sz w:val="18"/>
          <w:szCs w:val="18"/>
          <w:lang w:val="ru-RU"/>
        </w:rPr>
      </w:pPr>
      <w:r w:rsidRPr="003A4E2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3A4E23">
        <w:rPr>
          <w:sz w:val="18"/>
          <w:szCs w:val="18"/>
          <w:lang w:val="ru-RU"/>
        </w:rPr>
        <w:t xml:space="preserve"> </w:t>
      </w:r>
    </w:p>
    <w:p w:rsidR="00B62AB1" w:rsidRPr="003A4E23" w:rsidRDefault="00B62AB1" w:rsidP="00B62AB1">
      <w:pPr>
        <w:spacing w:before="160"/>
        <w:rPr>
          <w:i/>
          <w:sz w:val="20"/>
          <w:lang w:val="ru-RU"/>
        </w:rPr>
        <w:sectPr w:rsidR="00B62AB1" w:rsidRPr="003A4E2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3A4E23" w:rsidRDefault="00C906E6" w:rsidP="00B62AB1">
      <w:pPr>
        <w:pStyle w:val="RecNo"/>
        <w:spacing w:before="0"/>
        <w:rPr>
          <w:lang w:val="ru-RU"/>
        </w:rPr>
      </w:pPr>
      <w:bookmarkStart w:id="2" w:name="irecnoe"/>
      <w:bookmarkEnd w:id="2"/>
      <w:r w:rsidRPr="003A4E23">
        <w:rPr>
          <w:lang w:val="ru-RU"/>
        </w:rPr>
        <w:lastRenderedPageBreak/>
        <w:t xml:space="preserve">РЕКОМЕНДАЦИЯ  </w:t>
      </w:r>
      <w:r w:rsidRPr="003A4E23">
        <w:rPr>
          <w:rStyle w:val="href"/>
          <w:lang w:val="ru-RU"/>
        </w:rPr>
        <w:t>МСЭ-R  M.</w:t>
      </w:r>
      <w:r w:rsidR="0041192D" w:rsidRPr="003A4E23">
        <w:rPr>
          <w:rStyle w:val="href"/>
          <w:lang w:val="ru-RU"/>
        </w:rPr>
        <w:t>1478-3</w:t>
      </w:r>
    </w:p>
    <w:p w:rsidR="0041192D" w:rsidRPr="003A4E23" w:rsidRDefault="0041192D" w:rsidP="00EE36FE">
      <w:pPr>
        <w:pStyle w:val="Rectitle"/>
        <w:rPr>
          <w:lang w:val="ru-RU"/>
        </w:rPr>
      </w:pPr>
      <w:r w:rsidRPr="003A4E23">
        <w:rPr>
          <w:lang w:val="ru-RU"/>
        </w:rPr>
        <w:t xml:space="preserve">Критерии защиты оборудования поиска и спасания системы Коспас-Сарсат </w:t>
      </w:r>
      <w:r w:rsidRPr="003A4E23">
        <w:rPr>
          <w:lang w:val="ru-RU"/>
        </w:rPr>
        <w:br/>
        <w:t>в полосе частот 406–406,1 МГц</w:t>
      </w:r>
    </w:p>
    <w:p w:rsidR="0041192D" w:rsidRPr="003A4E23" w:rsidRDefault="0041192D" w:rsidP="0041192D">
      <w:pPr>
        <w:pStyle w:val="Recdate"/>
        <w:rPr>
          <w:lang w:val="ru-RU"/>
        </w:rPr>
      </w:pPr>
      <w:r w:rsidRPr="003A4E23">
        <w:rPr>
          <w:lang w:val="ru-RU"/>
        </w:rPr>
        <w:t>(2000-2004-2011-2014)</w:t>
      </w:r>
    </w:p>
    <w:p w:rsidR="0041192D" w:rsidRPr="003A4E23" w:rsidRDefault="0041192D" w:rsidP="0041192D">
      <w:pPr>
        <w:pStyle w:val="HeadingSum"/>
        <w:rPr>
          <w:lang w:val="ru-RU"/>
        </w:rPr>
      </w:pPr>
      <w:r w:rsidRPr="003A4E23">
        <w:rPr>
          <w:lang w:val="ru-RU"/>
        </w:rPr>
        <w:t>Сфера применения</w:t>
      </w:r>
    </w:p>
    <w:p w:rsidR="0041192D" w:rsidRPr="003A4E23" w:rsidRDefault="0041192D" w:rsidP="0041192D">
      <w:pPr>
        <w:pStyle w:val="Summary"/>
        <w:rPr>
          <w:lang w:val="ru-RU"/>
        </w:rPr>
      </w:pPr>
      <w:r w:rsidRPr="003A4E23">
        <w:rPr>
          <w:lang w:val="ru-RU"/>
        </w:rPr>
        <w:t>В настоящей Рекомендации приводятся критерии защиты оборудования поиска и спасания системы Коспас-Сарсат, которое находится на борту спутников на геостационарной, средневысотной и низкой околоземной орбитах и принимает сигналы радиомаяков – указателей места бедствия (EPIRB) и других маяков, передающих сигналы бедствия и работающих в полосе частот 406–406,1 МГц.</w:t>
      </w:r>
    </w:p>
    <w:p w:rsidR="0041192D" w:rsidRPr="003A4E23" w:rsidRDefault="0041192D" w:rsidP="00EE36FE">
      <w:pPr>
        <w:pStyle w:val="Headingb"/>
        <w:rPr>
          <w:lang w:val="ru-RU"/>
        </w:rPr>
      </w:pPr>
      <w:r w:rsidRPr="003A4E23">
        <w:rPr>
          <w:lang w:val="ru-RU"/>
        </w:rPr>
        <w:t xml:space="preserve">Ключевые слова </w:t>
      </w:r>
    </w:p>
    <w:p w:rsidR="0041192D" w:rsidRPr="003A4E23" w:rsidRDefault="0041192D" w:rsidP="0041192D">
      <w:pPr>
        <w:rPr>
          <w:lang w:val="ru-RU"/>
        </w:rPr>
      </w:pPr>
      <w:r w:rsidRPr="003A4E23">
        <w:rPr>
          <w:lang w:val="ru-RU"/>
        </w:rPr>
        <w:t>Коспас-Сарсат; критерии защиты; оборудование поиска и спасания; полоса 406–406,1 МГц.</w:t>
      </w:r>
    </w:p>
    <w:p w:rsidR="0041192D" w:rsidRPr="003A4E23" w:rsidRDefault="0041192D" w:rsidP="00EE36FE">
      <w:pPr>
        <w:pStyle w:val="Headingb"/>
        <w:rPr>
          <w:lang w:val="ru-RU"/>
        </w:rPr>
      </w:pPr>
      <w:r w:rsidRPr="003A4E23">
        <w:rPr>
          <w:lang w:val="ru-RU"/>
        </w:rPr>
        <w:t>Сокращения/Глоссарий</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536"/>
        <w:gridCol w:w="283"/>
        <w:gridCol w:w="3969"/>
      </w:tblGrid>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EPIRB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Emergency position indicating radio beacons</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Радиомаяки – указатели места бедствия</w:t>
            </w:r>
          </w:p>
        </w:tc>
      </w:tr>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DRU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Data recovery unit</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Модуль восстановления данных</w:t>
            </w:r>
          </w:p>
        </w:tc>
      </w:tr>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GOES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Geostationary operational and environmental satellites</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Геостационарные рабочие спутники исследования среды</w:t>
            </w:r>
          </w:p>
        </w:tc>
      </w:tr>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MSG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METEOSAT second generation</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Метеорологические спутники второго поколения</w:t>
            </w:r>
          </w:p>
        </w:tc>
      </w:tr>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SARP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Search and rescue processor</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Процессор поиска и спасания</w:t>
            </w:r>
          </w:p>
        </w:tc>
      </w:tr>
      <w:tr w:rsidR="0041192D" w:rsidRPr="003A4E23" w:rsidTr="0041192D">
        <w:tc>
          <w:tcPr>
            <w:tcW w:w="851" w:type="dxa"/>
            <w:hideMark/>
          </w:tcPr>
          <w:p w:rsidR="0041192D" w:rsidRPr="003A4E23" w:rsidRDefault="0041192D">
            <w:pPr>
              <w:tabs>
                <w:tab w:val="left" w:pos="720"/>
              </w:tabs>
              <w:rPr>
                <w:rFonts w:asciiTheme="majorBidi" w:hAnsiTheme="majorBidi" w:cstheme="majorBidi"/>
                <w:lang w:val="ru-RU"/>
              </w:rPr>
            </w:pPr>
            <w:r w:rsidRPr="003A4E23">
              <w:rPr>
                <w:rFonts w:asciiTheme="majorBidi" w:hAnsiTheme="majorBidi" w:cstheme="majorBidi"/>
                <w:lang w:val="ru-RU"/>
              </w:rPr>
              <w:t xml:space="preserve">SARR </w:t>
            </w:r>
          </w:p>
        </w:tc>
        <w:tc>
          <w:tcPr>
            <w:tcW w:w="4536"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Search and rescue repeaters</w:t>
            </w:r>
          </w:p>
        </w:tc>
        <w:tc>
          <w:tcPr>
            <w:tcW w:w="283" w:type="dxa"/>
          </w:tcPr>
          <w:p w:rsidR="0041192D" w:rsidRPr="003A4E23" w:rsidRDefault="0041192D">
            <w:pPr>
              <w:tabs>
                <w:tab w:val="left" w:pos="720"/>
              </w:tabs>
              <w:rPr>
                <w:rFonts w:asciiTheme="majorBidi" w:hAnsiTheme="majorBidi" w:cstheme="majorBidi"/>
                <w:lang w:val="ru-RU"/>
              </w:rPr>
            </w:pPr>
          </w:p>
        </w:tc>
        <w:tc>
          <w:tcPr>
            <w:tcW w:w="3969" w:type="dxa"/>
            <w:hideMark/>
          </w:tcPr>
          <w:p w:rsidR="0041192D" w:rsidRPr="003A4E23" w:rsidRDefault="0041192D">
            <w:pPr>
              <w:tabs>
                <w:tab w:val="left" w:pos="720"/>
              </w:tabs>
              <w:jc w:val="left"/>
              <w:rPr>
                <w:rFonts w:asciiTheme="majorBidi" w:hAnsiTheme="majorBidi" w:cstheme="majorBidi"/>
                <w:lang w:val="ru-RU"/>
              </w:rPr>
            </w:pPr>
            <w:r w:rsidRPr="003A4E23">
              <w:rPr>
                <w:rFonts w:asciiTheme="majorBidi" w:hAnsiTheme="majorBidi" w:cstheme="majorBidi"/>
                <w:lang w:val="ru-RU"/>
              </w:rPr>
              <w:t>Ретрансляторы поиска и спасания</w:t>
            </w:r>
          </w:p>
        </w:tc>
      </w:tr>
    </w:tbl>
    <w:p w:rsidR="0041192D" w:rsidRPr="003A4E23" w:rsidRDefault="0041192D" w:rsidP="00EE36FE">
      <w:pPr>
        <w:pStyle w:val="Headingb"/>
        <w:rPr>
          <w:lang w:val="ru-RU"/>
        </w:rPr>
      </w:pPr>
      <w:r w:rsidRPr="003A4E23">
        <w:rPr>
          <w:lang w:val="ru-RU"/>
        </w:rPr>
        <w:t>Соответствующие</w:t>
      </w:r>
      <w:r w:rsidRPr="003A4E23">
        <w:rPr>
          <w:rFonts w:eastAsia="SimSun"/>
          <w:lang w:val="ru-RU"/>
        </w:rPr>
        <w:t xml:space="preserve"> Рекомендации и Отчеты МСЭ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37"/>
      </w:tblGrid>
      <w:tr w:rsidR="0041192D" w:rsidRPr="003A4E23" w:rsidTr="0041192D">
        <w:tc>
          <w:tcPr>
            <w:tcW w:w="3402" w:type="dxa"/>
            <w:hideMark/>
          </w:tcPr>
          <w:p w:rsidR="0041192D" w:rsidRPr="003A4E23" w:rsidRDefault="0041192D">
            <w:pPr>
              <w:rPr>
                <w:rFonts w:eastAsia="SimSun"/>
                <w:lang w:val="ru-RU"/>
              </w:rPr>
            </w:pPr>
            <w:r w:rsidRPr="003A4E23">
              <w:rPr>
                <w:rFonts w:asciiTheme="majorBidi" w:eastAsia="SimSun" w:hAnsiTheme="majorBidi" w:cstheme="majorBidi"/>
                <w:lang w:val="ru-RU"/>
              </w:rPr>
              <w:t>Рекомендация МСЭ</w:t>
            </w:r>
            <w:r w:rsidRPr="003A4E23">
              <w:rPr>
                <w:rFonts w:eastAsia="SimSun"/>
                <w:lang w:val="ru-RU"/>
              </w:rPr>
              <w:t>-R M.1731-2</w:t>
            </w:r>
          </w:p>
        </w:tc>
        <w:tc>
          <w:tcPr>
            <w:tcW w:w="6237" w:type="dxa"/>
            <w:hideMark/>
          </w:tcPr>
          <w:p w:rsidR="0041192D" w:rsidRPr="003A4E23" w:rsidRDefault="0041192D">
            <w:pPr>
              <w:rPr>
                <w:rFonts w:asciiTheme="majorBidi" w:hAnsiTheme="majorBidi" w:cstheme="majorBidi"/>
                <w:lang w:val="ru-RU"/>
              </w:rPr>
            </w:pPr>
            <w:r w:rsidRPr="003A4E23">
              <w:rPr>
                <w:rFonts w:asciiTheme="majorBidi" w:hAnsiTheme="majorBidi" w:cstheme="majorBidi"/>
                <w:lang w:val="ru-RU"/>
              </w:rPr>
              <w:t>Критерии защиты для терминалов местных пользователей системы Коспас-Сарсат в полосе 1544–1545 МГц</w:t>
            </w:r>
          </w:p>
        </w:tc>
      </w:tr>
      <w:tr w:rsidR="0041192D" w:rsidRPr="003A4E23" w:rsidTr="0041192D">
        <w:tc>
          <w:tcPr>
            <w:tcW w:w="3402" w:type="dxa"/>
            <w:hideMark/>
          </w:tcPr>
          <w:p w:rsidR="0041192D" w:rsidRPr="003A4E23" w:rsidRDefault="0041192D">
            <w:pPr>
              <w:rPr>
                <w:rFonts w:eastAsia="SimSun"/>
                <w:lang w:val="ru-RU"/>
              </w:rPr>
            </w:pPr>
            <w:r w:rsidRPr="003A4E23">
              <w:rPr>
                <w:rFonts w:asciiTheme="majorBidi" w:eastAsia="SimSun" w:hAnsiTheme="majorBidi" w:cstheme="majorBidi"/>
                <w:lang w:val="ru-RU"/>
              </w:rPr>
              <w:t>Рекомендация МСЭ</w:t>
            </w:r>
            <w:r w:rsidRPr="003A4E23">
              <w:rPr>
                <w:rFonts w:eastAsia="SimSun"/>
                <w:lang w:val="ru-RU"/>
              </w:rPr>
              <w:t>-R M</w:t>
            </w:r>
            <w:r w:rsidRPr="003A4E23">
              <w:rPr>
                <w:lang w:val="ru-RU"/>
              </w:rPr>
              <w:t>.1787-2</w:t>
            </w:r>
          </w:p>
        </w:tc>
        <w:tc>
          <w:tcPr>
            <w:tcW w:w="6237" w:type="dxa"/>
            <w:hideMark/>
          </w:tcPr>
          <w:p w:rsidR="0041192D" w:rsidRPr="003A4E23" w:rsidRDefault="0041192D">
            <w:pPr>
              <w:rPr>
                <w:rFonts w:asciiTheme="majorBidi" w:eastAsia="SimSun" w:hAnsiTheme="majorBidi" w:cstheme="majorBidi"/>
                <w:lang w:val="ru-RU"/>
              </w:rPr>
            </w:pPr>
            <w:r w:rsidRPr="003A4E23">
              <w:rPr>
                <w:rFonts w:asciiTheme="majorBidi" w:eastAsia="SimSun" w:hAnsiTheme="majorBidi" w:cstheme="majorBidi"/>
                <w:lang w:val="ru-RU"/>
              </w:rPr>
              <w:t>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1559–1610 МГц</w:t>
            </w:r>
          </w:p>
        </w:tc>
      </w:tr>
    </w:tbl>
    <w:p w:rsidR="0041192D" w:rsidRPr="003A4E23" w:rsidRDefault="0041192D" w:rsidP="0041192D">
      <w:pPr>
        <w:pStyle w:val="Normalaftertitle"/>
        <w:rPr>
          <w:szCs w:val="24"/>
          <w:lang w:val="ru-RU"/>
        </w:rPr>
      </w:pPr>
      <w:r w:rsidRPr="003A4E23">
        <w:rPr>
          <w:szCs w:val="24"/>
          <w:lang w:val="ru-RU"/>
        </w:rPr>
        <w:t>Ассамблея радиосвязи МСЭ,</w:t>
      </w:r>
    </w:p>
    <w:p w:rsidR="0041192D" w:rsidRPr="003A4E23" w:rsidRDefault="0041192D" w:rsidP="0041192D">
      <w:pPr>
        <w:pStyle w:val="Call"/>
        <w:rPr>
          <w:lang w:val="ru-RU"/>
        </w:rPr>
      </w:pPr>
      <w:r w:rsidRPr="003A4E23">
        <w:rPr>
          <w:lang w:val="ru-RU"/>
        </w:rPr>
        <w:t>учитывая</w:t>
      </w:r>
      <w:r w:rsidRPr="003A4E23">
        <w:rPr>
          <w:i w:val="0"/>
          <w:iCs/>
          <w:lang w:val="ru-RU"/>
        </w:rPr>
        <w:t>,</w:t>
      </w:r>
    </w:p>
    <w:p w:rsidR="0041192D" w:rsidRPr="003A4E23" w:rsidRDefault="0041192D" w:rsidP="0041192D">
      <w:pPr>
        <w:rPr>
          <w:lang w:val="ru-RU"/>
        </w:rPr>
      </w:pPr>
      <w:r w:rsidRPr="003A4E23">
        <w:rPr>
          <w:i/>
          <w:iCs/>
          <w:lang w:val="ru-RU"/>
        </w:rPr>
        <w:t>a)</w:t>
      </w:r>
      <w:r w:rsidRPr="003A4E23">
        <w:rPr>
          <w:lang w:val="ru-RU"/>
        </w:rPr>
        <w:tab/>
        <w:t>что глобальная спутниковая система поиска и спасания Коспас-Сарсат работает в полосе частот 406–406,1 МГц, распределенной исключительно этой системе;</w:t>
      </w:r>
    </w:p>
    <w:p w:rsidR="0041192D" w:rsidRPr="003A4E23" w:rsidRDefault="0041192D" w:rsidP="0041192D">
      <w:pPr>
        <w:rPr>
          <w:lang w:val="ru-RU"/>
        </w:rPr>
      </w:pPr>
      <w:r w:rsidRPr="003A4E23">
        <w:rPr>
          <w:i/>
          <w:iCs/>
          <w:lang w:val="ru-RU"/>
        </w:rPr>
        <w:t>b)</w:t>
      </w:r>
      <w:r w:rsidRPr="003A4E23">
        <w:rPr>
          <w:lang w:val="ru-RU"/>
        </w:rPr>
        <w:tab/>
        <w:t>приведенный в Приложении 1 анализ, касающийся требований к максимальной допустимой спектральной плотности потока мощности (с.п.п.м.) процессора поиска и спасания Сарсат (SARP) для защиты от широкополосных внеполосных излучений и верхнего предела допплеровского сдвига частоты, связанного с передачами ПСС, принимаемыми оборудованием Сарсат;</w:t>
      </w:r>
    </w:p>
    <w:p w:rsidR="0041192D" w:rsidRPr="003A4E23" w:rsidRDefault="0041192D" w:rsidP="0041192D">
      <w:pPr>
        <w:rPr>
          <w:lang w:val="ru-RU"/>
        </w:rPr>
      </w:pPr>
      <w:r w:rsidRPr="003A4E23">
        <w:rPr>
          <w:i/>
          <w:iCs/>
          <w:lang w:val="ru-RU"/>
        </w:rPr>
        <w:t>c)</w:t>
      </w:r>
      <w:r w:rsidRPr="003A4E23">
        <w:rPr>
          <w:lang w:val="ru-RU"/>
        </w:rPr>
        <w:tab/>
        <w:t>приведенный в Приложении 2 анализ, касающийся требований к максимальной допустимой плотности потока мощности (п.п.м.) для защиты SARP Сарсат от узкополосных побочных излучений;</w:t>
      </w:r>
    </w:p>
    <w:p w:rsidR="0041192D" w:rsidRPr="003A4E23" w:rsidRDefault="0041192D" w:rsidP="0041192D">
      <w:pPr>
        <w:rPr>
          <w:lang w:val="ru-RU"/>
        </w:rPr>
      </w:pPr>
      <w:r w:rsidRPr="003A4E23">
        <w:rPr>
          <w:i/>
          <w:iCs/>
          <w:lang w:val="ru-RU"/>
        </w:rPr>
        <w:t>d)</w:t>
      </w:r>
      <w:r w:rsidRPr="003A4E23">
        <w:rPr>
          <w:lang w:val="ru-RU"/>
        </w:rPr>
        <w:tab/>
        <w:t>что в Приложении 3 приводятся руководящие указания по использованию требований к защите полосы 406–406,1 МГц для оборудования SARP Сарсат (бортовое спутниковое оборудование);</w:t>
      </w:r>
    </w:p>
    <w:p w:rsidR="0041192D" w:rsidRPr="003A4E23" w:rsidRDefault="0041192D" w:rsidP="0041192D">
      <w:pPr>
        <w:rPr>
          <w:lang w:val="ru-RU"/>
        </w:rPr>
      </w:pPr>
      <w:r w:rsidRPr="003A4E23">
        <w:rPr>
          <w:i/>
          <w:iCs/>
          <w:lang w:val="ru-RU"/>
        </w:rPr>
        <w:lastRenderedPageBreak/>
        <w:t>e)</w:t>
      </w:r>
      <w:r w:rsidRPr="003A4E23">
        <w:rPr>
          <w:lang w:val="ru-RU"/>
        </w:rPr>
        <w:tab/>
        <w:t>что в Приложении 4 приводятся руководящие указания по защите первичных служб безопасности, которым распределена полоса 406–406,1 МГц (система Коспас-Сарсат), от излучений ниже 406 МГц линии вниз систем НГСО подвижной спутниковой службы (ПСС);</w:t>
      </w:r>
    </w:p>
    <w:p w:rsidR="0041192D" w:rsidRPr="003A4E23" w:rsidRDefault="0041192D" w:rsidP="0041192D">
      <w:pPr>
        <w:rPr>
          <w:lang w:val="ru-RU"/>
        </w:rPr>
      </w:pPr>
      <w:r w:rsidRPr="003A4E23">
        <w:rPr>
          <w:i/>
          <w:iCs/>
          <w:lang w:val="ru-RU"/>
        </w:rPr>
        <w:t>f)</w:t>
      </w:r>
      <w:r w:rsidRPr="003A4E23">
        <w:rPr>
          <w:lang w:val="ru-RU"/>
        </w:rPr>
        <w:tab/>
        <w:t>что в Приложениях 5, 6 и 7 приводятся руководящие указания по защите ретрансляторов поиска и спасания (SARR) в полосе 406–406,1 МГц, находящихся на низкоорбитальных спутниках Сарсат, на геостационарных рабочих спутниках исследования среды (GOES) и метеорологических спутниках второго поколения (MSQ) соответственно;</w:t>
      </w:r>
    </w:p>
    <w:p w:rsidR="0041192D" w:rsidRPr="003A4E23" w:rsidRDefault="0041192D" w:rsidP="0041192D">
      <w:pPr>
        <w:rPr>
          <w:lang w:val="ru-RU"/>
        </w:rPr>
      </w:pPr>
      <w:r w:rsidRPr="003A4E23">
        <w:rPr>
          <w:i/>
          <w:iCs/>
          <w:lang w:val="ru-RU"/>
        </w:rPr>
        <w:t>g)</w:t>
      </w:r>
      <w:r w:rsidRPr="003A4E23">
        <w:rPr>
          <w:lang w:val="ru-RU"/>
        </w:rPr>
        <w:tab/>
        <w:t>что в Приложениях 8 и 9 приводятся руководящие указания по защите ретрансляторов поиска и спасания (SARR) в полосе 406–406,1 МГц, находящихся на геостационарных спутниках (Электро) и навигационных спутниках (ГЛОНАСС) соответственно;</w:t>
      </w:r>
    </w:p>
    <w:p w:rsidR="0041192D" w:rsidRPr="003A4E23" w:rsidRDefault="0041192D" w:rsidP="0041192D">
      <w:pPr>
        <w:rPr>
          <w:lang w:val="ru-RU"/>
        </w:rPr>
      </w:pPr>
      <w:r w:rsidRPr="003A4E23">
        <w:rPr>
          <w:i/>
          <w:iCs/>
          <w:lang w:val="ru-RU"/>
        </w:rPr>
        <w:t>h)</w:t>
      </w:r>
      <w:r w:rsidRPr="003A4E23">
        <w:rPr>
          <w:lang w:val="ru-RU"/>
        </w:rPr>
        <w:tab/>
        <w:t>что в Приложении 10 приводятся руководящие указания по защите ретрансляторов поиска и спасания (SARR) в полосе 406–406,1 МГц, находящихся на навигационных спутниках (Galileo);</w:t>
      </w:r>
    </w:p>
    <w:p w:rsidR="0041192D" w:rsidRPr="003A4E23" w:rsidRDefault="0041192D" w:rsidP="0041192D">
      <w:pPr>
        <w:rPr>
          <w:lang w:val="ru-RU"/>
        </w:rPr>
      </w:pPr>
      <w:r w:rsidRPr="003A4E23">
        <w:rPr>
          <w:i/>
          <w:iCs/>
          <w:lang w:val="ru-RU"/>
        </w:rPr>
        <w:t>i)</w:t>
      </w:r>
      <w:r w:rsidRPr="003A4E23">
        <w:rPr>
          <w:lang w:val="ru-RU"/>
        </w:rPr>
        <w:tab/>
        <w:t xml:space="preserve">что в Приложении 11 приводится краткое описание общих характеристик всех видов оборудования, которое работает в настоящее время и будет работать в будущем на борту различных типов спутников, находящихся на средневысотных и низких околоземных орбитах или на геостационарной орбите, </w:t>
      </w:r>
    </w:p>
    <w:p w:rsidR="0041192D" w:rsidRPr="003A4E23" w:rsidRDefault="0041192D" w:rsidP="0041192D">
      <w:pPr>
        <w:pStyle w:val="Call"/>
        <w:rPr>
          <w:lang w:val="ru-RU"/>
        </w:rPr>
      </w:pPr>
      <w:r w:rsidRPr="003A4E23">
        <w:rPr>
          <w:lang w:val="ru-RU"/>
        </w:rPr>
        <w:t>рекомендует</w:t>
      </w:r>
      <w:r w:rsidRPr="003A4E23">
        <w:rPr>
          <w:i w:val="0"/>
          <w:iCs/>
          <w:lang w:val="ru-RU"/>
        </w:rPr>
        <w:t>,</w:t>
      </w:r>
    </w:p>
    <w:p w:rsidR="0041192D" w:rsidRPr="003A4E23" w:rsidRDefault="0041192D" w:rsidP="0041192D">
      <w:pPr>
        <w:rPr>
          <w:lang w:val="ru-RU"/>
        </w:rPr>
      </w:pPr>
      <w:r w:rsidRPr="003A4E23">
        <w:rPr>
          <w:b/>
          <w:lang w:val="ru-RU"/>
        </w:rPr>
        <w:t>1</w:t>
      </w:r>
      <w:r w:rsidRPr="003A4E23">
        <w:rPr>
          <w:lang w:val="ru-RU"/>
        </w:rPr>
        <w:tab/>
        <w:t>чтобы анализ, определяющий воздействие, которое оказывают на оборудование SARP Сарсат системы, использующие соседние полосы частот, основывался на максимальной приемлемой с.п.п.м. на антенне Сарсат, равной –198,6 дБ(Вт/(м</w:t>
      </w:r>
      <w:r w:rsidRPr="003A4E23">
        <w:rPr>
          <w:vertAlign w:val="superscript"/>
          <w:lang w:val="ru-RU"/>
        </w:rPr>
        <w:t>2</w:t>
      </w:r>
      <w:r w:rsidRPr="003A4E23">
        <w:rPr>
          <w:lang w:val="ru-RU"/>
        </w:rPr>
        <w:t> · Гц));</w:t>
      </w:r>
    </w:p>
    <w:p w:rsidR="0041192D" w:rsidRPr="003A4E23" w:rsidRDefault="0041192D" w:rsidP="0041192D">
      <w:pPr>
        <w:rPr>
          <w:i/>
          <w:lang w:val="ru-RU"/>
        </w:rPr>
      </w:pPr>
      <w:r w:rsidRPr="003A4E23">
        <w:rPr>
          <w:b/>
          <w:lang w:val="ru-RU"/>
        </w:rPr>
        <w:t>2</w:t>
      </w:r>
      <w:r w:rsidRPr="003A4E23">
        <w:rPr>
          <w:lang w:val="ru-RU"/>
        </w:rPr>
        <w:tab/>
        <w:t xml:space="preserve">чтобы анализ, определяющий воздействие на оборудование SARP Сарсат узкополосных побочных излучений (например, гармонических излучений, паразитных излучений, продуктов интермодуляции и частотного преобразования), основывался на максимальной п.п.м. </w:t>
      </w:r>
      <w:r w:rsidRPr="003A4E23">
        <w:rPr>
          <w:lang w:val="ru-RU"/>
        </w:rPr>
        <w:br/>
        <w:t>–166,2 дБ(Вт/м</w:t>
      </w:r>
      <w:r w:rsidRPr="003A4E23">
        <w:rPr>
          <w:vertAlign w:val="superscript"/>
          <w:lang w:val="ru-RU"/>
        </w:rPr>
        <w:t>2</w:t>
      </w:r>
      <w:r w:rsidRPr="003A4E23">
        <w:rPr>
          <w:lang w:val="ru-RU"/>
        </w:rPr>
        <w:t xml:space="preserve">) на антенне Сарсат в ширине полосы по разрешению 19 Гц; </w:t>
      </w:r>
    </w:p>
    <w:p w:rsidR="0041192D" w:rsidRPr="003A4E23" w:rsidRDefault="0041192D" w:rsidP="0041192D">
      <w:pPr>
        <w:rPr>
          <w:lang w:val="ru-RU"/>
        </w:rPr>
      </w:pPr>
      <w:r w:rsidRPr="003A4E23">
        <w:rPr>
          <w:b/>
          <w:lang w:val="ru-RU"/>
        </w:rPr>
        <w:t>3</w:t>
      </w:r>
      <w:r w:rsidRPr="003A4E23">
        <w:rPr>
          <w:lang w:val="ru-RU"/>
        </w:rPr>
        <w:tab/>
        <w:t>чтобы анализ, определяющий воздействие, которое оказывают на оборудование SARP Коспас системы, использующие соседние полосы частот, основывался на максимальной приемлемой с.п.п.м. на антенне Коспас, равной –198,6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t>4</w:t>
      </w:r>
      <w:r w:rsidRPr="003A4E23">
        <w:rPr>
          <w:lang w:val="ru-RU"/>
        </w:rPr>
        <w:tab/>
        <w:t>чтобы анализ, определяющий воздействие на оборудование SARP Коспас узкополосных побочных излучений (например, гармонических излучений, паразитных излучений, продуктов интермодуляции и частотного преобразования), основывался на максимальной п.п.м. −170,6 дБ(Вт/м</w:t>
      </w:r>
      <w:r w:rsidRPr="003A4E23">
        <w:rPr>
          <w:vertAlign w:val="superscript"/>
          <w:lang w:val="ru-RU"/>
        </w:rPr>
        <w:t>2</w:t>
      </w:r>
      <w:r w:rsidRPr="003A4E23">
        <w:rPr>
          <w:lang w:val="ru-RU"/>
        </w:rPr>
        <w:t xml:space="preserve">) на антенне Коспас в ширине полосы по разрешению 40 Гц; </w:t>
      </w:r>
    </w:p>
    <w:p w:rsidR="0041192D" w:rsidRPr="003A4E23" w:rsidRDefault="0041192D" w:rsidP="0041192D">
      <w:pPr>
        <w:rPr>
          <w:lang w:val="ru-RU"/>
        </w:rPr>
      </w:pPr>
      <w:r w:rsidRPr="003A4E23">
        <w:rPr>
          <w:b/>
          <w:lang w:val="ru-RU"/>
        </w:rPr>
        <w:t>5</w:t>
      </w:r>
      <w:r w:rsidRPr="003A4E23">
        <w:rPr>
          <w:b/>
          <w:i/>
          <w:lang w:val="ru-RU"/>
        </w:rPr>
        <w:tab/>
      </w:r>
      <w:r w:rsidRPr="003A4E23">
        <w:rPr>
          <w:lang w:val="ru-RU"/>
        </w:rPr>
        <w:t>чтобы при анализе, определяющем воздействие на находящееся на негеостационарной орбите оборудование системы Коспас-Сарсат предполагаемых систем подвижной спутниковой службы (ПСС), использующих полосу частот 405–406 МГц, применялся верхний предел допплеровского сдвига частоты, равный 20 кГц;</w:t>
      </w:r>
    </w:p>
    <w:p w:rsidR="0041192D" w:rsidRPr="003A4E23" w:rsidRDefault="0041192D" w:rsidP="0041192D">
      <w:pPr>
        <w:rPr>
          <w:lang w:val="ru-RU"/>
        </w:rPr>
      </w:pPr>
      <w:r w:rsidRPr="003A4E23">
        <w:rPr>
          <w:b/>
          <w:lang w:val="ru-RU"/>
        </w:rPr>
        <w:t>6</w:t>
      </w:r>
      <w:r w:rsidRPr="003A4E23">
        <w:rPr>
          <w:lang w:val="ru-RU"/>
        </w:rPr>
        <w:tab/>
        <w:t>чтобы анализ, определяющий воздействие, которое оказывают на ретрансляторы низкоорбитальных спутников системы, использующие соседние полосы частот, основывался на максимальной с.п.п.м. на антенне Сарсат, равной –181,3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t>7</w:t>
      </w:r>
      <w:r w:rsidRPr="003A4E23">
        <w:rPr>
          <w:lang w:val="ru-RU"/>
        </w:rPr>
        <w:tab/>
        <w:t>чтобы анализ, определяющий воздействие, которое оказывают на ретрансляторы геостационарных спутников GOES системы, использующие соседние полосы частот, основывался на максимальной с.п.п.м. на антенне Сарсат, равной –201,1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t>8</w:t>
      </w:r>
      <w:r w:rsidRPr="003A4E23">
        <w:rPr>
          <w:lang w:val="ru-RU"/>
        </w:rPr>
        <w:tab/>
        <w:t>чтобы анализ, определяющий воздействие, которое оказывают на ретрансляторы геостационарных спутников MSG системы, использующие соседние полосы частот, основывался на максимальной с.п.п.м. на антенне Сарсат, равной –206,4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t>9</w:t>
      </w:r>
      <w:r w:rsidRPr="003A4E23">
        <w:rPr>
          <w:lang w:val="ru-RU"/>
        </w:rPr>
        <w:tab/>
        <w:t>чтобы анализ, определяющий воздействие, которое оказывают на ретрансляторы ге</w:t>
      </w:r>
      <w:r w:rsidR="003A4E23">
        <w:rPr>
          <w:lang w:val="ru-RU"/>
        </w:rPr>
        <w:t>остационарных спутников Электро</w:t>
      </w:r>
      <w:r w:rsidR="003A4E23">
        <w:rPr>
          <w:lang w:val="en-US"/>
        </w:rPr>
        <w:t xml:space="preserve"> </w:t>
      </w:r>
      <w:r w:rsidRPr="003A4E23">
        <w:rPr>
          <w:lang w:val="ru-RU"/>
        </w:rPr>
        <w:t>системы, использующие соседние полосы частот, основывался на максимальной с.п.п.м. на антенне Сарсат, равной –198,7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lastRenderedPageBreak/>
        <w:t>10</w:t>
      </w:r>
      <w:r w:rsidRPr="003A4E23">
        <w:rPr>
          <w:lang w:val="ru-RU"/>
        </w:rPr>
        <w:tab/>
        <w:t>чтобы анализ, определяющий воздействие, которое оказывают на ретрансляторы средневысотных спутников ГЛОНАСС системы, использующие соседние полосы частот, основывался на максимальной с.п.п.м. на антенне Сарсат, равной –205,2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lang w:val="ru-RU"/>
        </w:rPr>
        <w:t>11</w:t>
      </w:r>
      <w:r w:rsidRPr="003A4E23">
        <w:rPr>
          <w:lang w:val="ru-RU"/>
        </w:rPr>
        <w:tab/>
        <w:t>чтобы анализ, определяющий воздействие, которое оказывают на ретрансляторы средневысотных спутников Galileo системы, использующие соседние полосы частот, основывался на максимальной с.п.п.м. на антенне, равной –206,1 дБ(Вт/(м</w:t>
      </w:r>
      <w:r w:rsidRPr="003A4E23">
        <w:rPr>
          <w:vertAlign w:val="superscript"/>
          <w:lang w:val="ru-RU"/>
        </w:rPr>
        <w:t>2</w:t>
      </w:r>
      <w:r w:rsidRPr="003A4E23">
        <w:rPr>
          <w:lang w:val="ru-RU"/>
        </w:rPr>
        <w:t> · Гц));</w:t>
      </w:r>
    </w:p>
    <w:p w:rsidR="0041192D" w:rsidRPr="003A4E23" w:rsidRDefault="0041192D" w:rsidP="0041192D">
      <w:pPr>
        <w:rPr>
          <w:lang w:val="ru-RU"/>
        </w:rPr>
      </w:pPr>
      <w:r w:rsidRPr="003A4E23">
        <w:rPr>
          <w:b/>
          <w:bCs/>
          <w:lang w:val="ru-RU"/>
        </w:rPr>
        <w:t>12</w:t>
      </w:r>
      <w:r w:rsidRPr="003A4E23">
        <w:rPr>
          <w:lang w:val="ru-RU"/>
        </w:rPr>
        <w:tab/>
        <w:t>чтобы анализ, определяющий воздействие, которое оказывают на ретрансляторы средневысотных спутников Galileo узкополосные побочные излучения, основывался на максимальной п.п.м. на антенне, равной −166,2 дБ(Вт/м</w:t>
      </w:r>
      <w:r w:rsidRPr="003A4E23">
        <w:rPr>
          <w:vertAlign w:val="superscript"/>
          <w:lang w:val="ru-RU"/>
        </w:rPr>
        <w:t>2</w:t>
      </w:r>
      <w:r w:rsidRPr="003A4E23">
        <w:rPr>
          <w:lang w:val="ru-RU"/>
        </w:rPr>
        <w:t>).</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t>Приложение 1</w:t>
      </w:r>
      <w:r w:rsidRPr="003A4E23">
        <w:rPr>
          <w:lang w:val="ru-RU"/>
        </w:rPr>
        <w:br/>
      </w:r>
      <w:r w:rsidRPr="003A4E23">
        <w:rPr>
          <w:lang w:val="ru-RU"/>
        </w:rPr>
        <w:br/>
        <w:t xml:space="preserve">Критерии защиты системы Коспас-Сарсат в полосе частот 406–406,1 МГц </w:t>
      </w:r>
      <w:r w:rsidRPr="003A4E23">
        <w:rPr>
          <w:lang w:val="ru-RU"/>
        </w:rPr>
        <w:br/>
        <w:t>от широкополосных внеполосных излучений</w:t>
      </w:r>
    </w:p>
    <w:p w:rsidR="0041192D" w:rsidRPr="003A4E23" w:rsidRDefault="0041192D" w:rsidP="0041192D">
      <w:pPr>
        <w:pStyle w:val="Heading1"/>
        <w:rPr>
          <w:lang w:val="ru-RU"/>
        </w:rPr>
      </w:pPr>
      <w:r w:rsidRPr="003A4E23">
        <w:rPr>
          <w:lang w:val="ru-RU"/>
        </w:rPr>
        <w:t>1</w:t>
      </w:r>
      <w:r w:rsidRPr="003A4E23">
        <w:rPr>
          <w:lang w:val="ru-RU"/>
        </w:rPr>
        <w:tab/>
        <w:t>Введение</w:t>
      </w:r>
    </w:p>
    <w:p w:rsidR="0041192D" w:rsidRPr="003A4E23" w:rsidRDefault="0041192D" w:rsidP="0041192D">
      <w:pPr>
        <w:rPr>
          <w:lang w:val="ru-RU"/>
        </w:rPr>
      </w:pPr>
      <w:r w:rsidRPr="003A4E23">
        <w:rPr>
          <w:lang w:val="ru-RU"/>
        </w:rPr>
        <w:t>В настоящем Приложении приводится информация, относящаяся к системе Коспас-Сарсат и требованиям к ее защите от широкополосных внеполосных излучений.</w:t>
      </w:r>
    </w:p>
    <w:p w:rsidR="0041192D" w:rsidRPr="003A4E23" w:rsidRDefault="0041192D" w:rsidP="0041192D">
      <w:pPr>
        <w:pStyle w:val="Heading1"/>
        <w:rPr>
          <w:lang w:val="ru-RU"/>
        </w:rPr>
      </w:pPr>
      <w:r w:rsidRPr="003A4E23">
        <w:rPr>
          <w:lang w:val="ru-RU"/>
        </w:rPr>
        <w:t>2</w:t>
      </w:r>
      <w:r w:rsidRPr="003A4E23">
        <w:rPr>
          <w:lang w:val="ru-RU"/>
        </w:rPr>
        <w:tab/>
        <w:t>Базовая информация</w:t>
      </w:r>
    </w:p>
    <w:p w:rsidR="0041192D" w:rsidRPr="003A4E23" w:rsidRDefault="0041192D" w:rsidP="0041192D">
      <w:pPr>
        <w:rPr>
          <w:lang w:val="ru-RU"/>
        </w:rPr>
      </w:pPr>
      <w:r w:rsidRPr="003A4E23">
        <w:rPr>
          <w:lang w:val="ru-RU"/>
        </w:rPr>
        <w:t>В других документах МСЭ содержится существенная информация, касающаяся следующих вопросов:</w:t>
      </w:r>
    </w:p>
    <w:p w:rsidR="0041192D" w:rsidRPr="003A4E23" w:rsidRDefault="0041192D" w:rsidP="0041192D">
      <w:pPr>
        <w:pStyle w:val="enumlev1"/>
        <w:rPr>
          <w:lang w:val="ru-RU"/>
        </w:rPr>
      </w:pPr>
      <w:r w:rsidRPr="003A4E23">
        <w:rPr>
          <w:lang w:val="ru-RU"/>
        </w:rPr>
        <w:t>–</w:t>
      </w:r>
      <w:r w:rsidRPr="003A4E23">
        <w:rPr>
          <w:lang w:val="ru-RU"/>
        </w:rPr>
        <w:tab/>
        <w:t>параметры нескольких сетей НГСО ПСС;</w:t>
      </w:r>
    </w:p>
    <w:p w:rsidR="0041192D" w:rsidRPr="003A4E23" w:rsidRDefault="0041192D" w:rsidP="0041192D">
      <w:pPr>
        <w:pStyle w:val="enumlev1"/>
        <w:rPr>
          <w:lang w:val="ru-RU"/>
        </w:rPr>
      </w:pPr>
      <w:r w:rsidRPr="003A4E23">
        <w:rPr>
          <w:lang w:val="ru-RU"/>
        </w:rPr>
        <w:t>–</w:t>
      </w:r>
      <w:r w:rsidRPr="003A4E23">
        <w:rPr>
          <w:lang w:val="ru-RU"/>
        </w:rPr>
        <w:tab/>
        <w:t>пороговый уровень п.п.м. помех;</w:t>
      </w:r>
    </w:p>
    <w:p w:rsidR="0041192D" w:rsidRPr="003A4E23" w:rsidRDefault="0041192D" w:rsidP="0041192D">
      <w:pPr>
        <w:pStyle w:val="enumlev1"/>
        <w:rPr>
          <w:lang w:val="ru-RU"/>
        </w:rPr>
      </w:pPr>
      <w:r w:rsidRPr="003A4E23">
        <w:rPr>
          <w:lang w:val="ru-RU"/>
        </w:rPr>
        <w:t>–</w:t>
      </w:r>
      <w:r w:rsidRPr="003A4E23">
        <w:rPr>
          <w:lang w:val="ru-RU"/>
        </w:rPr>
        <w:tab/>
        <w:t xml:space="preserve">защита систем поиска и спасания (SAR) с использованием методов спектрального формирования или фильтрации. </w:t>
      </w:r>
    </w:p>
    <w:p w:rsidR="0041192D" w:rsidRPr="003A4E23" w:rsidRDefault="0041192D" w:rsidP="00EE36FE">
      <w:pPr>
        <w:pStyle w:val="Heading1"/>
        <w:rPr>
          <w:lang w:val="ru-RU"/>
        </w:rPr>
      </w:pPr>
      <w:r w:rsidRPr="003A4E23">
        <w:rPr>
          <w:lang w:val="ru-RU"/>
        </w:rPr>
        <w:t>3</w:t>
      </w:r>
      <w:r w:rsidRPr="003A4E23">
        <w:rPr>
          <w:lang w:val="ru-RU"/>
        </w:rPr>
        <w:tab/>
        <w:t>Пороговый уровень с.п.п.м. помех</w:t>
      </w:r>
    </w:p>
    <w:p w:rsidR="0041192D" w:rsidRPr="003A4E23" w:rsidRDefault="0041192D" w:rsidP="00EE36FE">
      <w:pPr>
        <w:rPr>
          <w:lang w:val="ru-RU"/>
        </w:rPr>
      </w:pPr>
      <w:r w:rsidRPr="003A4E23">
        <w:rPr>
          <w:lang w:val="ru-RU"/>
        </w:rPr>
        <w:t>Добавление широкополосного шума, воздействующего на SARP Сарсат, ведет к возрастанию коэффициента ошибок по битам (BER) в системе и тем самым негативно влияет на производительность SARP. Как определено в исследованиях МСЭ-R, максимальный приемлемый коэффициент ошибок по битам на линии вверх для SARP Сарсат не может превышать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Исходя из этого требования в ходе данного анализа определяется максимальная приемлемая п.п.м., связанная с широкополосным шумом в канале линии вверх SARP Сарсат. Этот анализ не охватывает ни воздействие узкополосных излучений (например, спектральных линий), которые также негативно влияют на производительность SARP, ни требования к защите всего оборудования системы Коспас-Сарсат (например, ретранслятор поиска и спасания Сарсат, SARP Коспас).</w:t>
      </w:r>
    </w:p>
    <w:p w:rsidR="0041192D" w:rsidRPr="003A4E23" w:rsidRDefault="0041192D" w:rsidP="00EE36FE">
      <w:pPr>
        <w:rPr>
          <w:lang w:val="ru-RU"/>
        </w:rPr>
      </w:pPr>
      <w:r w:rsidRPr="003A4E23">
        <w:rPr>
          <w:lang w:val="ru-RU"/>
        </w:rPr>
        <w:t>На рисунке 1 показаны основные элементы оборудования на борту спутников Национального управления океанических и атмосферных исследований США (NOAA) (а в будущем – спутников METOP).</w:t>
      </w:r>
    </w:p>
    <w:p w:rsidR="0041192D" w:rsidRPr="003A4E23" w:rsidRDefault="0041192D" w:rsidP="00EE36FE">
      <w:pPr>
        <w:pStyle w:val="FigureNo"/>
        <w:rPr>
          <w:lang w:val="ru-RU"/>
        </w:rPr>
      </w:pPr>
      <w:r w:rsidRPr="003A4E23">
        <w:rPr>
          <w:lang w:val="ru-RU"/>
        </w:rPr>
        <w:lastRenderedPageBreak/>
        <w:t>РИСУНОК 1</w:t>
      </w:r>
    </w:p>
    <w:p w:rsidR="0041192D" w:rsidRPr="003A4E23" w:rsidRDefault="0041192D" w:rsidP="00EE36FE">
      <w:pPr>
        <w:pStyle w:val="Figuretitle"/>
        <w:rPr>
          <w:lang w:val="ru-RU"/>
        </w:rPr>
      </w:pPr>
      <w:r w:rsidRPr="003A4E23">
        <w:rPr>
          <w:lang w:val="ru-RU"/>
        </w:rPr>
        <w:t>Бортовое оборудование</w:t>
      </w:r>
    </w:p>
    <w:p w:rsidR="0041192D" w:rsidRPr="003A4E23" w:rsidRDefault="0041192D" w:rsidP="0041192D">
      <w:pPr>
        <w:pStyle w:val="Figure"/>
        <w:rPr>
          <w:lang w:val="ru-RU"/>
        </w:rPr>
      </w:pPr>
      <w:r w:rsidRPr="003A4E23">
        <w:rPr>
          <w:lang w:val="ru-RU"/>
        </w:rPr>
        <w:object w:dxaOrig="7275" w:dyaOrig="2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4pt;height:117.7pt" o:ole="">
            <v:imagedata r:id="rId14" o:title=""/>
          </v:shape>
          <o:OLEObject Type="Embed" ProgID="CorelDRAW.Graphic.14" ShapeID="_x0000_i1025" DrawAspect="Content" ObjectID="_1500106741" r:id="rId15"/>
        </w:object>
      </w:r>
    </w:p>
    <w:p w:rsidR="0041192D" w:rsidRPr="003A4E23" w:rsidRDefault="0041192D" w:rsidP="0041192D">
      <w:pPr>
        <w:spacing w:line="240" w:lineRule="exact"/>
        <w:rPr>
          <w:lang w:val="ru-RU"/>
        </w:rPr>
      </w:pPr>
      <w:r w:rsidRPr="003A4E23">
        <w:rPr>
          <w:lang w:val="ru-RU"/>
        </w:rPr>
        <w:t>Спецификация для диаграммы направленности антенны UDA приводится в таблице 1 в соответствии с углом отклонения от надира.</w:t>
      </w:r>
    </w:p>
    <w:p w:rsidR="0041192D" w:rsidRPr="003A4E23" w:rsidRDefault="0041192D" w:rsidP="00EE36FE">
      <w:pPr>
        <w:pStyle w:val="TableNo"/>
        <w:rPr>
          <w:lang w:val="ru-RU"/>
        </w:rPr>
      </w:pPr>
      <w:r w:rsidRPr="003A4E23">
        <w:rPr>
          <w:lang w:val="ru-RU"/>
        </w:rPr>
        <w:t>ТАБЛИЦА 1</w:t>
      </w:r>
    </w:p>
    <w:p w:rsidR="0041192D" w:rsidRPr="003A4E23" w:rsidRDefault="0041192D" w:rsidP="00EE36FE">
      <w:pPr>
        <w:pStyle w:val="Tabletitle"/>
        <w:rPr>
          <w:lang w:val="ru-RU"/>
        </w:rPr>
      </w:pPr>
      <w:r w:rsidRPr="003A4E23">
        <w:rPr>
          <w:lang w:val="ru-RU"/>
        </w:rPr>
        <w:t>Диаграмма направленности приемной антенны SARP (UDA)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88"/>
        <w:gridCol w:w="766"/>
        <w:gridCol w:w="766"/>
        <w:gridCol w:w="766"/>
        <w:gridCol w:w="766"/>
        <w:gridCol w:w="766"/>
        <w:gridCol w:w="766"/>
        <w:gridCol w:w="766"/>
        <w:gridCol w:w="766"/>
        <w:gridCol w:w="766"/>
        <w:gridCol w:w="766"/>
      </w:tblGrid>
      <w:tr w:rsidR="0041192D" w:rsidRPr="003A4E23" w:rsidTr="0041192D">
        <w:trPr>
          <w:jc w:val="center"/>
        </w:trPr>
        <w:tc>
          <w:tcPr>
            <w:tcW w:w="1988"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spacing w:line="180" w:lineRule="exact"/>
              <w:jc w:val="left"/>
              <w:rPr>
                <w:sz w:val="18"/>
                <w:szCs w:val="18"/>
                <w:lang w:val="ru-RU"/>
              </w:rPr>
            </w:pPr>
            <w:r w:rsidRPr="003A4E23">
              <w:rPr>
                <w:sz w:val="18"/>
                <w:szCs w:val="18"/>
                <w:lang w:val="ru-RU"/>
              </w:rPr>
              <w:t>Угол отклонения спутника от надира</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62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54</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47</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31</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22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13</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0</w:t>
            </w:r>
          </w:p>
        </w:tc>
      </w:tr>
      <w:tr w:rsidR="0041192D" w:rsidRPr="003A4E23" w:rsidTr="0041192D">
        <w:trPr>
          <w:jc w:val="center"/>
        </w:trPr>
        <w:tc>
          <w:tcPr>
            <w:tcW w:w="1988"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spacing w:line="180" w:lineRule="exact"/>
              <w:jc w:val="left"/>
              <w:rPr>
                <w:sz w:val="18"/>
                <w:szCs w:val="18"/>
                <w:lang w:val="ru-RU"/>
              </w:rPr>
            </w:pPr>
            <w:r w:rsidRPr="003A4E23">
              <w:rPr>
                <w:sz w:val="18"/>
                <w:szCs w:val="18"/>
                <w:lang w:val="ru-RU"/>
              </w:rPr>
              <w:t>Усиление при правосторонней круговой поляризации</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3,85</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3,54</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2,62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1,24</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–0,17</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–1,33</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–2,24</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–3,08</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–3,80</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–3,96</w:t>
            </w:r>
          </w:p>
        </w:tc>
      </w:tr>
      <w:tr w:rsidR="0041192D" w:rsidRPr="003A4E23" w:rsidTr="0041192D">
        <w:trPr>
          <w:jc w:val="center"/>
        </w:trPr>
        <w:tc>
          <w:tcPr>
            <w:tcW w:w="1988"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spacing w:line="180" w:lineRule="exact"/>
              <w:jc w:val="left"/>
              <w:rPr>
                <w:sz w:val="18"/>
                <w:szCs w:val="18"/>
                <w:lang w:val="ru-RU"/>
              </w:rPr>
            </w:pPr>
            <w:r w:rsidRPr="003A4E23">
              <w:rPr>
                <w:sz w:val="18"/>
                <w:szCs w:val="18"/>
                <w:lang w:val="ru-RU"/>
              </w:rPr>
              <w:t>Усиление при левосторонней круговой поляризации</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–5,69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–6,23</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–7,52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–9,39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–11,39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–13,12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–14,52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–15,77</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–17,17</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–18,00</w:t>
            </w:r>
          </w:p>
        </w:tc>
      </w:tr>
      <w:tr w:rsidR="0041192D" w:rsidRPr="003A4E23" w:rsidTr="0041192D">
        <w:trPr>
          <w:jc w:val="center"/>
        </w:trPr>
        <w:tc>
          <w:tcPr>
            <w:tcW w:w="1988"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spacing w:line="180" w:lineRule="exact"/>
              <w:jc w:val="left"/>
              <w:rPr>
                <w:sz w:val="18"/>
                <w:szCs w:val="18"/>
                <w:lang w:val="ru-RU"/>
              </w:rPr>
            </w:pPr>
            <w:r w:rsidRPr="003A4E23">
              <w:rPr>
                <w:sz w:val="18"/>
                <w:szCs w:val="18"/>
                <w:lang w:val="ru-RU"/>
              </w:rPr>
              <w:t>Коэффициент эллиптичности</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6,02</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5,85</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5,59</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5,26</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4,90</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4,57</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4,31</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4,11</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3,78</w:t>
            </w:r>
          </w:p>
        </w:tc>
        <w:tc>
          <w:tcPr>
            <w:tcW w:w="766"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spacing w:line="180" w:lineRule="exact"/>
              <w:jc w:val="center"/>
              <w:rPr>
                <w:sz w:val="18"/>
                <w:szCs w:val="18"/>
                <w:lang w:val="ru-RU"/>
              </w:rPr>
            </w:pPr>
            <w:r w:rsidRPr="003A4E23">
              <w:rPr>
                <w:sz w:val="18"/>
                <w:szCs w:val="18"/>
                <w:lang w:val="ru-RU"/>
              </w:rPr>
              <w:t>3,49</w:t>
            </w:r>
          </w:p>
        </w:tc>
      </w:tr>
    </w:tbl>
    <w:p w:rsidR="0041192D" w:rsidRPr="003A4E23" w:rsidRDefault="0041192D" w:rsidP="00EE36FE">
      <w:pPr>
        <w:pStyle w:val="Tablefin"/>
        <w:rPr>
          <w:lang w:val="ru-RU"/>
        </w:rPr>
      </w:pPr>
    </w:p>
    <w:p w:rsidR="0041192D" w:rsidRPr="003A4E23" w:rsidRDefault="0041192D" w:rsidP="00EE36FE">
      <w:pPr>
        <w:rPr>
          <w:lang w:val="ru-RU"/>
        </w:rPr>
      </w:pPr>
      <w:r w:rsidRPr="003A4E23">
        <w:rPr>
          <w:lang w:val="ru-RU"/>
        </w:rPr>
        <w:t>Указанные в таблице 1 значения относятся к диаграмме направленности приемной антенны 406 МГц SARP Сарсат применительно к спутникам NOAA и METOP.</w:t>
      </w:r>
    </w:p>
    <w:p w:rsidR="0041192D" w:rsidRPr="003A4E23" w:rsidRDefault="0041192D" w:rsidP="00EE36FE">
      <w:pPr>
        <w:rPr>
          <w:lang w:val="ru-RU"/>
        </w:rPr>
      </w:pPr>
      <w:r w:rsidRPr="003A4E23">
        <w:rPr>
          <w:lang w:val="ru-RU"/>
        </w:rPr>
        <w:t>Стандартные значения для Сарсат: коэффициент шума = 2,5 д</w:t>
      </w:r>
      <w:r w:rsidR="003F3BD9">
        <w:rPr>
          <w:lang w:val="ru-RU"/>
        </w:rPr>
        <w:t xml:space="preserve">Б (входной параметр SARP </w:t>
      </w:r>
      <w:proofErr w:type="spellStart"/>
      <w:r w:rsidR="003F3BD9">
        <w:rPr>
          <w:lang w:val="ru-RU"/>
        </w:rPr>
        <w:t>Коспас</w:t>
      </w:r>
      <w:r w:rsidR="003F3BD9">
        <w:rPr>
          <w:lang w:val="ru-RU"/>
        </w:rPr>
        <w:noBreakHyphen/>
      </w:r>
      <w:r w:rsidRPr="003A4E23">
        <w:rPr>
          <w:lang w:val="ru-RU"/>
        </w:rPr>
        <w:t>Сарсат</w:t>
      </w:r>
      <w:proofErr w:type="spellEnd"/>
      <w:r w:rsidRPr="003A4E23">
        <w:rPr>
          <w:lang w:val="ru-RU"/>
        </w:rPr>
        <w:t xml:space="preserve">), номинальная фоновая шумовая температура = 1000 K (входной параметр Коспас-Сарсат), ослабление между антенной и приемником SARP = 1,6 дБ. Таким образом, шумовая температура системы на входе приемника SARP (точка B на рис. 1) равна 1010 K, и поэтому спектральная плотность шума равна </w:t>
      </w:r>
      <w:r w:rsidRPr="003A4E23">
        <w:rPr>
          <w:i/>
          <w:lang w:val="ru-RU"/>
        </w:rPr>
        <w:t>N</w:t>
      </w:r>
      <w:r w:rsidRPr="003A4E23">
        <w:rPr>
          <w:position w:val="-4"/>
          <w:sz w:val="16"/>
          <w:lang w:val="ru-RU"/>
        </w:rPr>
        <w:t>0</w:t>
      </w:r>
      <w:r w:rsidRPr="003A4E23">
        <w:rPr>
          <w:lang w:val="ru-RU"/>
        </w:rPr>
        <w:t> </w:t>
      </w:r>
      <w:r w:rsidRPr="003A4E23">
        <w:rPr>
          <w:rFonts w:ascii="Symbol" w:hAnsi="Symbol"/>
          <w:lang w:val="ru-RU"/>
        </w:rPr>
        <w:t></w:t>
      </w:r>
      <w:r w:rsidRPr="003A4E23">
        <w:rPr>
          <w:lang w:val="ru-RU"/>
        </w:rPr>
        <w:t> –198,6 дБ(Вт/Гц).</w:t>
      </w:r>
    </w:p>
    <w:p w:rsidR="0041192D" w:rsidRPr="003A4E23" w:rsidRDefault="0041192D" w:rsidP="00EE36FE">
      <w:pPr>
        <w:rPr>
          <w:lang w:val="ru-RU"/>
        </w:rPr>
      </w:pPr>
      <w:r w:rsidRPr="003A4E23">
        <w:rPr>
          <w:lang w:val="ru-RU"/>
        </w:rPr>
        <w:t xml:space="preserve">Согласно спецификации для наихудшего случая, SARP разработан так, чтобы правильно работать при мощности принимаемого сигнала </w:t>
      </w:r>
      <w:r w:rsidRPr="003A4E23">
        <w:rPr>
          <w:i/>
          <w:lang w:val="ru-RU"/>
        </w:rPr>
        <w:t>C</w:t>
      </w:r>
      <w:r w:rsidRPr="003A4E23">
        <w:rPr>
          <w:lang w:val="ru-RU"/>
        </w:rPr>
        <w:t> </w:t>
      </w:r>
      <w:r w:rsidRPr="003A4E23">
        <w:rPr>
          <w:rFonts w:ascii="Symbol" w:hAnsi="Symbol"/>
          <w:lang w:val="ru-RU"/>
        </w:rPr>
        <w:t></w:t>
      </w:r>
      <w:r w:rsidRPr="003A4E23">
        <w:rPr>
          <w:lang w:val="ru-RU"/>
        </w:rPr>
        <w:t xml:space="preserve"> –161 дБВт (минимальный уровень принимаемого сигнала) на входе приемника, что обеспечивает эффективное отношение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9,1 дБ в битовом детекторе SARP, если учитываются форма колебаний сигнала радиомаяка и разнообразные потери. В этом случае соответствующий BER равен 2,6 </w:t>
      </w:r>
      <w:r w:rsidRPr="003A4E23">
        <w:rPr>
          <w:rFonts w:ascii="Symbol" w:hAnsi="Symbol"/>
          <w:lang w:val="ru-RU"/>
        </w:rPr>
        <w:t></w:t>
      </w:r>
      <w:r w:rsidRPr="003A4E23">
        <w:rPr>
          <w:lang w:val="ru-RU"/>
        </w:rPr>
        <w:t> 10</w:t>
      </w:r>
      <w:r w:rsidRPr="003A4E23">
        <w:rPr>
          <w:vertAlign w:val="superscript"/>
          <w:lang w:val="ru-RU"/>
        </w:rPr>
        <w:t>–5</w:t>
      </w:r>
      <w:r w:rsidRPr="003A4E23">
        <w:rPr>
          <w:lang w:val="ru-RU"/>
        </w:rPr>
        <w:t>.</w:t>
      </w:r>
    </w:p>
    <w:p w:rsidR="0041192D" w:rsidRPr="003A4E23" w:rsidRDefault="0041192D" w:rsidP="00EE36FE">
      <w:pPr>
        <w:rPr>
          <w:lang w:val="ru-RU"/>
        </w:rPr>
      </w:pPr>
      <w:r w:rsidRPr="003A4E23">
        <w:rPr>
          <w:lang w:val="ru-RU"/>
        </w:rPr>
        <w:t>Отсюда следует, что для достижения значения BER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(которое примерно вдвое больше данного значения) максимальное приемлемое ухудшение должно составлять 0,3 дБ. При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8,8 дБ коэффициент ошибок по битам (BER) равен 4,8 </w:t>
      </w:r>
      <w:r w:rsidRPr="003A4E23">
        <w:rPr>
          <w:rFonts w:ascii="Symbol" w:hAnsi="Symbol"/>
          <w:lang w:val="ru-RU"/>
        </w:rPr>
        <w:t></w:t>
      </w:r>
      <w:r w:rsidRPr="003A4E23">
        <w:rPr>
          <w:lang w:val="ru-RU"/>
        </w:rPr>
        <w:t> 10</w:t>
      </w:r>
      <w:r w:rsidRPr="003A4E23">
        <w:rPr>
          <w:vertAlign w:val="superscript"/>
          <w:lang w:val="ru-RU"/>
        </w:rPr>
        <w:t>–5</w:t>
      </w:r>
      <w:r w:rsidRPr="003A4E23">
        <w:rPr>
          <w:lang w:val="ru-RU"/>
        </w:rPr>
        <w:t>.</w:t>
      </w:r>
    </w:p>
    <w:p w:rsidR="0041192D" w:rsidRPr="003A4E23" w:rsidRDefault="0041192D" w:rsidP="00EE36FE">
      <w:pPr>
        <w:rPr>
          <w:lang w:val="ru-RU"/>
        </w:rPr>
      </w:pPr>
      <w:r w:rsidRPr="003A4E23">
        <w:rPr>
          <w:lang w:val="ru-RU"/>
        </w:rPr>
        <w:t xml:space="preserve">В данном случае вычисляется аддитивный шум, соответствующий ухудшению 0,3 дБ для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p>
    <w:p w:rsidR="0041192D" w:rsidRPr="003A4E23" w:rsidRDefault="0041192D" w:rsidP="00EE36FE">
      <w:pPr>
        <w:rPr>
          <w:lang w:val="ru-RU"/>
        </w:rPr>
      </w:pPr>
      <w:r w:rsidRPr="003A4E23">
        <w:rPr>
          <w:lang w:val="ru-RU"/>
        </w:rPr>
        <w:t xml:space="preserve">Пусть </w:t>
      </w:r>
      <w:r w:rsidRPr="003A4E23">
        <w:rPr>
          <w:i/>
          <w:iCs/>
          <w:lang w:val="ru-RU"/>
        </w:rPr>
        <w:t>I</w:t>
      </w:r>
      <w:r w:rsidRPr="003A4E23">
        <w:rPr>
          <w:vertAlign w:val="subscript"/>
          <w:lang w:val="ru-RU"/>
        </w:rPr>
        <w:t>0</w:t>
      </w:r>
      <w:r w:rsidRPr="003A4E23">
        <w:rPr>
          <w:lang w:val="ru-RU"/>
        </w:rPr>
        <w:t xml:space="preserve"> представляет плотность мощности аддитивного шума, создаваемого помехами, источником которых являются системы НГСО ПСС.</w:t>
      </w:r>
    </w:p>
    <w:p w:rsidR="0041192D" w:rsidRPr="003A4E23" w:rsidRDefault="0041192D" w:rsidP="00EE36FE">
      <w:pPr>
        <w:rPr>
          <w:lang w:val="ru-RU"/>
        </w:rPr>
      </w:pPr>
      <w:r w:rsidRPr="003A4E23">
        <w:rPr>
          <w:lang w:val="ru-RU"/>
        </w:rPr>
        <w:t xml:space="preserve">Начальный шум </w:t>
      </w:r>
      <w:r w:rsidRPr="003A4E23">
        <w:rPr>
          <w:i/>
          <w:lang w:val="ru-RU"/>
        </w:rPr>
        <w:t>N</w:t>
      </w:r>
      <w:r w:rsidRPr="003A4E23">
        <w:rPr>
          <w:vertAlign w:val="subscript"/>
          <w:lang w:val="ru-RU"/>
        </w:rPr>
        <w:t xml:space="preserve">0 </w:t>
      </w:r>
      <w:r w:rsidRPr="003A4E23">
        <w:rPr>
          <w:lang w:val="ru-RU"/>
        </w:rPr>
        <w:t xml:space="preserve">становится равным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w:t>
      </w:r>
    </w:p>
    <w:p w:rsidR="0041192D" w:rsidRPr="003A4E23" w:rsidRDefault="0041192D" w:rsidP="00EE36FE">
      <w:pPr>
        <w:rPr>
          <w:lang w:val="ru-RU"/>
        </w:rPr>
      </w:pPr>
      <w:r w:rsidRPr="003A4E23">
        <w:rPr>
          <w:lang w:val="ru-RU"/>
        </w:rPr>
        <w:t xml:space="preserve">Отношение сигнал-шум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становится равным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w:t>
      </w:r>
    </w:p>
    <w:p w:rsidR="0041192D" w:rsidRPr="003A4E23" w:rsidRDefault="0041192D" w:rsidP="00EE36FE">
      <w:pPr>
        <w:rPr>
          <w:lang w:val="ru-RU"/>
        </w:rPr>
      </w:pPr>
      <w:r w:rsidRPr="003A4E23">
        <w:rPr>
          <w:lang w:val="ru-RU"/>
        </w:rPr>
        <w:lastRenderedPageBreak/>
        <w:t>Ухудшение составляет 0,3 дБ  = 10  log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lang w:val="ru-RU"/>
        </w:rPr>
        <w:t>C</w:t>
      </w:r>
      <w:r w:rsidRPr="003A4E23">
        <w:rPr>
          <w:lang w:val="ru-RU"/>
        </w:rPr>
        <w:t>/(</w:t>
      </w:r>
      <w:r w:rsidRPr="003A4E23">
        <w:rPr>
          <w:i/>
          <w:lang w:val="ru-RU"/>
        </w:rPr>
        <w:t>N</w:t>
      </w:r>
      <w:r w:rsidRPr="003A4E23">
        <w:rPr>
          <w:vertAlign w:val="subscript"/>
          <w:lang w:val="ru-RU"/>
        </w:rPr>
        <w:t>0</w:t>
      </w:r>
      <w:r w:rsidRPr="003A4E23">
        <w:rPr>
          <w:sz w:val="20"/>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 xml:space="preserve">))), таким образом, </w:t>
      </w:r>
      <w:r w:rsidRPr="003A4E23">
        <w:rPr>
          <w:i/>
          <w:lang w:val="ru-RU"/>
        </w:rPr>
        <w:t>I</w:t>
      </w:r>
      <w:r w:rsidRPr="003A4E23">
        <w:rPr>
          <w:vertAlign w:val="subscript"/>
          <w:lang w:val="ru-RU"/>
        </w:rPr>
        <w:t>0</w:t>
      </w:r>
      <w:r w:rsidRPr="003A4E23">
        <w:rPr>
          <w:rFonts w:ascii="Tms Rmn" w:hAnsi="Tms Rmn"/>
          <w:position w:val="-4"/>
          <w:sz w:val="4"/>
          <w:lang w:val="ru-RU"/>
        </w:rPr>
        <w:t> </w:t>
      </w:r>
      <w:r w:rsidRPr="003A4E23">
        <w:rPr>
          <w:lang w:val="ru-RU"/>
        </w:rPr>
        <w:t>/</w:t>
      </w:r>
      <w:r w:rsidRPr="003A4E23">
        <w:rPr>
          <w:i/>
          <w:lang w:val="ru-RU"/>
        </w:rPr>
        <w:t>N</w:t>
      </w:r>
      <w:r w:rsidRPr="003A4E23">
        <w:rPr>
          <w:vertAlign w:val="subscript"/>
          <w:lang w:val="ru-RU"/>
        </w:rPr>
        <w:t>0</w:t>
      </w:r>
      <w:r w:rsidRPr="003A4E23">
        <w:rPr>
          <w:sz w:val="20"/>
          <w:lang w:val="ru-RU"/>
        </w:rPr>
        <w:t xml:space="preserve"> </w:t>
      </w:r>
      <w:r w:rsidRPr="003A4E23">
        <w:rPr>
          <w:rFonts w:ascii="Symbol" w:hAnsi="Symbol"/>
          <w:lang w:val="ru-RU"/>
        </w:rPr>
        <w:t></w:t>
      </w:r>
      <w:r w:rsidRPr="003A4E23">
        <w:rPr>
          <w:lang w:val="ru-RU"/>
        </w:rPr>
        <w:t xml:space="preserve"> –11,5 дБ, </w:t>
      </w:r>
      <w:r w:rsidRPr="003A4E23">
        <w:rPr>
          <w:lang w:val="ru-RU"/>
        </w:rPr>
        <w:br/>
        <w:t xml:space="preserve">а </w:t>
      </w:r>
      <w:r w:rsidRPr="003A4E23">
        <w:rPr>
          <w:i/>
          <w:lang w:val="ru-RU"/>
        </w:rPr>
        <w:t>I</w:t>
      </w:r>
      <w:r w:rsidRPr="003A4E23">
        <w:rPr>
          <w:vertAlign w:val="subscript"/>
          <w:lang w:val="ru-RU"/>
        </w:rPr>
        <w:t>0</w:t>
      </w:r>
      <w:r w:rsidRPr="003A4E23">
        <w:rPr>
          <w:lang w:val="ru-RU"/>
        </w:rPr>
        <w:t> </w:t>
      </w:r>
      <w:r w:rsidRPr="003A4E23">
        <w:rPr>
          <w:rFonts w:ascii="Symbol" w:hAnsi="Symbol"/>
          <w:lang w:val="ru-RU"/>
        </w:rPr>
        <w:t></w:t>
      </w:r>
      <w:r w:rsidRPr="003A4E23">
        <w:rPr>
          <w:lang w:val="ru-RU"/>
        </w:rPr>
        <w:t> –210,1 дБ(Вт/Гц), что соответствует температуре 70,8 K, и поэтому шумовая температура системы на входе приемника SARP возрастает на 7%.</w:t>
      </w:r>
    </w:p>
    <w:p w:rsidR="0041192D" w:rsidRPr="003A4E23" w:rsidRDefault="0041192D" w:rsidP="00EE36FE">
      <w:pPr>
        <w:rPr>
          <w:lang w:val="ru-RU"/>
        </w:rPr>
      </w:pPr>
      <w:r w:rsidRPr="003A4E23">
        <w:rPr>
          <w:lang w:val="ru-RU"/>
        </w:rPr>
        <w:t xml:space="preserve">Следовательно, максимальный допустимый уровень плотности шума </w:t>
      </w:r>
      <w:r w:rsidRPr="003A4E23">
        <w:rPr>
          <w:i/>
          <w:iCs/>
          <w:lang w:val="ru-RU"/>
        </w:rPr>
        <w:t>I</w:t>
      </w:r>
      <w:r w:rsidRPr="003A4E23">
        <w:rPr>
          <w:vertAlign w:val="subscript"/>
          <w:lang w:val="ru-RU"/>
        </w:rPr>
        <w:t>0</w:t>
      </w:r>
      <w:r w:rsidRPr="003A4E23">
        <w:rPr>
          <w:lang w:val="ru-RU"/>
        </w:rPr>
        <w:t> </w:t>
      </w:r>
      <w:r w:rsidRPr="003A4E23">
        <w:rPr>
          <w:rFonts w:ascii="Symbol" w:hAnsi="Symbol"/>
          <w:lang w:val="ru-RU"/>
        </w:rPr>
        <w:t></w:t>
      </w:r>
      <w:r w:rsidRPr="003A4E23">
        <w:rPr>
          <w:lang w:val="ru-RU"/>
        </w:rPr>
        <w:t> –210,1 дБ(Вт/Гц) (вычислено для точки B на рис. 1).</w:t>
      </w:r>
    </w:p>
    <w:p w:rsidR="0041192D" w:rsidRPr="003A4E23" w:rsidRDefault="0041192D" w:rsidP="00EE36FE">
      <w:pPr>
        <w:rPr>
          <w:lang w:val="ru-RU"/>
        </w:rPr>
      </w:pPr>
      <w:r w:rsidRPr="003A4E23">
        <w:rPr>
          <w:lang w:val="ru-RU"/>
        </w:rPr>
        <w:t xml:space="preserve">Как показано на рисунке 1, плотность шума </w:t>
      </w:r>
      <w:r w:rsidRPr="003A4E23">
        <w:rPr>
          <w:i/>
          <w:lang w:val="ru-RU"/>
        </w:rPr>
        <w:t>I</w:t>
      </w:r>
      <w:r w:rsidRPr="003A4E23">
        <w:rPr>
          <w:vertAlign w:val="subscript"/>
          <w:lang w:val="ru-RU"/>
        </w:rPr>
        <w:t>0</w:t>
      </w:r>
      <w:r w:rsidRPr="003A4E23">
        <w:rPr>
          <w:lang w:val="ru-RU"/>
        </w:rPr>
        <w:t xml:space="preserve"> учитывает ослабление между антенной и приемником и усиление антенны. Поскольку требуется определить с.п.п.м., необходимо преобразовать этот коэффициент в дБ(Вт/(м</w:t>
      </w:r>
      <w:r w:rsidRPr="003A4E23">
        <w:rPr>
          <w:vertAlign w:val="superscript"/>
          <w:lang w:val="ru-RU"/>
        </w:rPr>
        <w:t>2</w:t>
      </w:r>
      <w:r w:rsidRPr="003A4E23">
        <w:rPr>
          <w:lang w:val="ru-RU"/>
        </w:rPr>
        <w:t xml:space="preserve"> · Гц)). Эквивалентная площадь поверхности антенны с усилением </w:t>
      </w:r>
      <w:r w:rsidRPr="003A4E23">
        <w:rPr>
          <w:i/>
          <w:lang w:val="ru-RU"/>
        </w:rPr>
        <w:t>G</w:t>
      </w:r>
      <w:r w:rsidRPr="003A4E23">
        <w:rPr>
          <w:lang w:val="ru-RU"/>
        </w:rPr>
        <w:t xml:space="preserve"> определяется как </w:t>
      </w:r>
      <w:r w:rsidRPr="003A4E23">
        <w:rPr>
          <w:position w:val="-22"/>
          <w:lang w:val="ru-RU"/>
        </w:rPr>
        <w:object w:dxaOrig="870" w:dyaOrig="615">
          <v:shape id="_x0000_i1026" type="#_x0000_t75" style="width:43.85pt;height:30.7pt" o:ole="">
            <v:imagedata r:id="rId16" o:title=""/>
          </v:shape>
          <o:OLEObject Type="Embed" ProgID="Equation.3" ShapeID="_x0000_i1026" DrawAspect="Content" ObjectID="_1500106742" r:id="rId17"/>
        </w:object>
      </w:r>
      <w:r w:rsidRPr="003A4E23">
        <w:rPr>
          <w:lang w:val="ru-RU"/>
        </w:rPr>
        <w:t>. Поэтому соответствующая с.п.п.м. равна –210 </w:t>
      </w:r>
      <w:r w:rsidRPr="003A4E23">
        <w:rPr>
          <w:rFonts w:ascii="Symbol" w:hAnsi="Symbol"/>
          <w:lang w:val="ru-RU"/>
        </w:rPr>
        <w:t></w:t>
      </w:r>
      <w:r w:rsidRPr="003A4E23">
        <w:rPr>
          <w:lang w:val="ru-RU"/>
        </w:rPr>
        <w:t> 1,6 (потери) – 10 log</w:t>
      </w:r>
      <w:r w:rsidRPr="003A4E23">
        <w:rPr>
          <w:position w:val="-4"/>
          <w:sz w:val="16"/>
          <w:lang w:val="ru-RU"/>
        </w:rPr>
        <w:t>10</w:t>
      </w:r>
      <w:r w:rsidRPr="003A4E23">
        <w:rPr>
          <w:lang w:val="ru-RU"/>
        </w:rPr>
        <w:t xml:space="preserve"> </w:t>
      </w:r>
      <w:r w:rsidRPr="003A4E23">
        <w:rPr>
          <w:i/>
          <w:lang w:val="ru-RU"/>
        </w:rPr>
        <w:t>S</w:t>
      </w:r>
      <w:r w:rsidRPr="003A4E23">
        <w:rPr>
          <w:lang w:val="ru-RU"/>
        </w:rPr>
        <w:t> </w:t>
      </w:r>
      <w:r w:rsidRPr="003A4E23">
        <w:rPr>
          <w:rFonts w:ascii="Symbol" w:hAnsi="Symbol"/>
          <w:lang w:val="ru-RU"/>
        </w:rPr>
        <w:t></w:t>
      </w:r>
      <w:r w:rsidRPr="003A4E23">
        <w:rPr>
          <w:lang w:val="ru-RU"/>
        </w:rPr>
        <w:t> –198,6 дБ(Вт/(м</w:t>
      </w:r>
      <w:r w:rsidRPr="003A4E23">
        <w:rPr>
          <w:vertAlign w:val="superscript"/>
          <w:lang w:val="ru-RU"/>
        </w:rPr>
        <w:t>2</w:t>
      </w:r>
      <w:r w:rsidRPr="003A4E23">
        <w:rPr>
          <w:lang w:val="ru-RU"/>
        </w:rPr>
        <w:t> · Гц)), учитывая наивысший угол отклонения спутника от надира.</w:t>
      </w:r>
    </w:p>
    <w:p w:rsidR="0041192D" w:rsidRPr="003A4E23" w:rsidRDefault="0041192D" w:rsidP="00EE36FE">
      <w:pPr>
        <w:rPr>
          <w:lang w:val="ru-RU"/>
        </w:rPr>
      </w:pPr>
      <w:r w:rsidRPr="003A4E23">
        <w:rPr>
          <w:lang w:val="ru-RU"/>
        </w:rPr>
        <w:t>Для защиты оборудования SARP Сарсат максимальный уровень широкополосных шумовых помех в полосе частот 406–406,1 МГц не должен превышать –198,6 дБ(Вт/(м</w:t>
      </w:r>
      <w:r w:rsidRPr="003A4E23">
        <w:rPr>
          <w:vertAlign w:val="superscript"/>
          <w:lang w:val="ru-RU"/>
        </w:rPr>
        <w:t>2</w:t>
      </w:r>
      <w:r w:rsidRPr="003A4E23">
        <w:rPr>
          <w:lang w:val="ru-RU"/>
        </w:rPr>
        <w:t> · Гц)).</w:t>
      </w:r>
    </w:p>
    <w:p w:rsidR="0041192D" w:rsidRPr="003A4E23" w:rsidRDefault="0041192D" w:rsidP="00EE36FE">
      <w:pPr>
        <w:pStyle w:val="Heading1"/>
        <w:rPr>
          <w:lang w:val="ru-RU"/>
        </w:rPr>
      </w:pPr>
      <w:r w:rsidRPr="003A4E23">
        <w:rPr>
          <w:lang w:val="ru-RU"/>
        </w:rPr>
        <w:t>4</w:t>
      </w:r>
      <w:r w:rsidRPr="003A4E23">
        <w:rPr>
          <w:lang w:val="ru-RU"/>
        </w:rPr>
        <w:tab/>
        <w:t>Верхний предел допплеровского сдвига частоты</w:t>
      </w:r>
    </w:p>
    <w:p w:rsidR="0041192D" w:rsidRPr="003A4E23" w:rsidRDefault="0041192D" w:rsidP="0041192D">
      <w:pPr>
        <w:rPr>
          <w:lang w:val="ru-RU"/>
        </w:rPr>
      </w:pPr>
      <w:r w:rsidRPr="003A4E23">
        <w:rPr>
          <w:lang w:val="ru-RU"/>
        </w:rPr>
        <w:t>Любая предлагаемая защитная полоса должна также учитывать допплеровские сдвиги. Необходимо тщательно изучить максимальное значение допплеровского сдвига частоты. При наихудшем сценарии спутники Сарсат и негеостационарные спутники ПСС располагаются на одной орбите и перемещаются в противоположных направлениях. В этом случае применяется приводимый ниже метод анализа.</w:t>
      </w:r>
    </w:p>
    <w:p w:rsidR="0041192D" w:rsidRPr="003A4E23" w:rsidRDefault="0041192D" w:rsidP="0041192D">
      <w:pPr>
        <w:rPr>
          <w:lang w:val="ru-RU"/>
        </w:rPr>
      </w:pPr>
      <w:r w:rsidRPr="003A4E23">
        <w:rPr>
          <w:lang w:val="ru-RU"/>
        </w:rPr>
        <w:t xml:space="preserve">Сигнал негеостационарного спутника ПСС выходит из точки А. Спутник Сарсат представлен точкой B. Спутник Сарсат движется со скоростью </w:t>
      </w:r>
      <w:r w:rsidRPr="003A4E23">
        <w:rPr>
          <w:i/>
          <w:lang w:val="ru-RU"/>
        </w:rPr>
        <w:t>V</w:t>
      </w:r>
      <w:r w:rsidRPr="003A4E23">
        <w:rPr>
          <w:i/>
          <w:position w:val="-4"/>
          <w:sz w:val="16"/>
          <w:lang w:val="ru-RU"/>
        </w:rPr>
        <w:t>B</w:t>
      </w:r>
      <w:r w:rsidRPr="003A4E23">
        <w:rPr>
          <w:lang w:val="ru-RU"/>
        </w:rPr>
        <w:t xml:space="preserve">. Если негеостационарный спутник ПСС не движется, принимаемая частота в точке B равна </w:t>
      </w:r>
      <w:r w:rsidRPr="003A4E23">
        <w:rPr>
          <w:position w:val="-24"/>
          <w:lang w:val="ru-RU"/>
        </w:rPr>
        <w:object w:dxaOrig="2085" w:dyaOrig="570">
          <v:shape id="_x0000_i1027" type="#_x0000_t75" style="width:104.55pt;height:28.15pt" o:ole="">
            <v:imagedata r:id="rId18" o:title=""/>
          </v:shape>
          <o:OLEObject Type="Embed" ProgID="Equation.3" ShapeID="_x0000_i1027" DrawAspect="Content" ObjectID="_1500106743" r:id="rId19"/>
        </w:object>
      </w:r>
      <w:r w:rsidRPr="003A4E23">
        <w:rPr>
          <w:lang w:val="ru-RU"/>
        </w:rPr>
        <w:t>в наихудшем случае. С другой стороны, принимаемая частота в точке B имеет такое же значение, если спутник Сарсат не движется, а негеостационарный спутник ПСС находится в движении. Если высота спутника равна 850 км, то его скорость равна 7426 м/с.</w:t>
      </w:r>
    </w:p>
    <w:p w:rsidR="0041192D" w:rsidRPr="003A4E23" w:rsidRDefault="0041192D" w:rsidP="0041192D">
      <w:pPr>
        <w:rPr>
          <w:lang w:val="ru-RU"/>
        </w:rPr>
      </w:pPr>
      <w:r w:rsidRPr="003A4E23">
        <w:rPr>
          <w:lang w:val="ru-RU"/>
        </w:rPr>
        <w:t>Поскольку эти два спутника движутся в противоположных направлениях, верхний предел допплеровского сдвига частоты равен:</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1830" w:dyaOrig="315">
          <v:shape id="_x0000_i1028" type="#_x0000_t75" style="width:91.4pt;height:15.65pt" o:ole="">
            <v:imagedata r:id="rId20" o:title=""/>
          </v:shape>
          <o:OLEObject Type="Embed" ProgID="Equation.3" ShapeID="_x0000_i1028" DrawAspect="Content" ObjectID="_1500106744" r:id="rId21"/>
        </w:object>
      </w:r>
      <w:r w:rsidRPr="003A4E23">
        <w:rPr>
          <w:lang w:val="ru-RU"/>
        </w:rPr>
        <w:t>.</w:t>
      </w:r>
    </w:p>
    <w:p w:rsidR="0041192D" w:rsidRPr="003A4E23" w:rsidRDefault="0041192D" w:rsidP="0041192D">
      <w:pPr>
        <w:rPr>
          <w:lang w:val="ru-RU"/>
        </w:rPr>
      </w:pPr>
      <w:r w:rsidRPr="003A4E23">
        <w:rPr>
          <w:lang w:val="ru-RU"/>
        </w:rPr>
        <w:t>Это наихудшая ситуация и она необязательно применима ко всем предполагаемым системам ПСС.</w:t>
      </w:r>
    </w:p>
    <w:p w:rsidR="0041192D" w:rsidRPr="003A4E23" w:rsidRDefault="0041192D" w:rsidP="00EE36FE">
      <w:pPr>
        <w:pStyle w:val="Heading1"/>
        <w:rPr>
          <w:lang w:val="ru-RU"/>
        </w:rPr>
      </w:pPr>
      <w:r w:rsidRPr="003A4E23">
        <w:rPr>
          <w:lang w:val="ru-RU"/>
        </w:rPr>
        <w:t>5</w:t>
      </w:r>
      <w:r w:rsidRPr="003A4E23">
        <w:rPr>
          <w:lang w:val="ru-RU"/>
        </w:rPr>
        <w:tab/>
        <w:t>Выводы и рекомендации</w:t>
      </w:r>
    </w:p>
    <w:p w:rsidR="0041192D" w:rsidRPr="003A4E23" w:rsidRDefault="0041192D" w:rsidP="0041192D">
      <w:pPr>
        <w:rPr>
          <w:lang w:val="ru-RU"/>
        </w:rPr>
      </w:pPr>
      <w:r w:rsidRPr="003A4E23">
        <w:rPr>
          <w:lang w:val="ru-RU"/>
        </w:rPr>
        <w:t>Исходя из приведенных выше вычислений делаются следующие выводы и рекомендации, касающиеся воздействия излучений из соседних полос частот на SARP Сарсат:</w:t>
      </w:r>
    </w:p>
    <w:p w:rsidR="0041192D" w:rsidRPr="003A4E23" w:rsidRDefault="0041192D" w:rsidP="0041192D">
      <w:pPr>
        <w:pStyle w:val="enumlev1"/>
        <w:rPr>
          <w:lang w:val="ru-RU"/>
        </w:rPr>
      </w:pPr>
      <w:r w:rsidRPr="003A4E23">
        <w:rPr>
          <w:lang w:val="ru-RU"/>
        </w:rPr>
        <w:t>–</w:t>
      </w:r>
      <w:r w:rsidRPr="003A4E23">
        <w:rPr>
          <w:lang w:val="ru-RU"/>
        </w:rPr>
        <w:tab/>
        <w:t>для защиты оборудования SARP Сарсат максимальный уровень широкополосных шумовых помех в полосе частот 406–406,1 МГц не должен превышать –198,6 дБ(Вт/(м</w:t>
      </w:r>
      <w:r w:rsidRPr="003A4E23">
        <w:rPr>
          <w:vertAlign w:val="superscript"/>
          <w:lang w:val="ru-RU"/>
        </w:rPr>
        <w:t>2</w:t>
      </w:r>
      <w:r w:rsidRPr="003A4E23">
        <w:rPr>
          <w:lang w:val="ru-RU"/>
        </w:rPr>
        <w:t> · Гц));</w:t>
      </w:r>
    </w:p>
    <w:p w:rsidR="0041192D" w:rsidRPr="003A4E23" w:rsidRDefault="0041192D" w:rsidP="0041192D">
      <w:pPr>
        <w:pStyle w:val="enumlev1"/>
        <w:rPr>
          <w:lang w:val="ru-RU"/>
        </w:rPr>
      </w:pPr>
      <w:r w:rsidRPr="003A4E23">
        <w:rPr>
          <w:lang w:val="ru-RU"/>
        </w:rPr>
        <w:t>–</w:t>
      </w:r>
      <w:r w:rsidRPr="003A4E23">
        <w:rPr>
          <w:lang w:val="ru-RU"/>
        </w:rPr>
        <w:tab/>
        <w:t>верхний предел допплеровского сдвига частоты определяется в 20 кГц;</w:t>
      </w:r>
    </w:p>
    <w:p w:rsidR="0041192D" w:rsidRPr="003A4E23" w:rsidRDefault="0041192D" w:rsidP="0041192D">
      <w:pPr>
        <w:pStyle w:val="enumlev1"/>
        <w:rPr>
          <w:lang w:val="ru-RU"/>
        </w:rPr>
      </w:pPr>
      <w:r w:rsidRPr="003A4E23">
        <w:rPr>
          <w:lang w:val="ru-RU"/>
        </w:rPr>
        <w:t>–</w:t>
      </w:r>
      <w:r w:rsidRPr="003A4E23">
        <w:rPr>
          <w:lang w:val="ru-RU"/>
        </w:rPr>
        <w:tab/>
        <w:t xml:space="preserve">рекомендуется провести дальнейший анализ для определения воздействия ПСС, занимающих полосу частот 405–406 МГц, на Коспас-Сарсат с использованием с.п.п.м. </w:t>
      </w:r>
      <w:r w:rsidRPr="003A4E23">
        <w:rPr>
          <w:lang w:val="ru-RU"/>
        </w:rPr>
        <w:br/>
        <w:t>–198,6 дБ(Вт/(м</w:t>
      </w:r>
      <w:r w:rsidRPr="003A4E23">
        <w:rPr>
          <w:vertAlign w:val="superscript"/>
          <w:lang w:val="ru-RU"/>
        </w:rPr>
        <w:t>2</w:t>
      </w:r>
      <w:r w:rsidRPr="003A4E23">
        <w:rPr>
          <w:lang w:val="ru-RU"/>
        </w:rPr>
        <w:t> · Гц)) и подходящего допплеровского сдвига и с учетом наихудшего сценария, связанного со всей предусматриваемой группировкой ПСС.</w:t>
      </w:r>
    </w:p>
    <w:p w:rsidR="0041192D" w:rsidRPr="003A4E23" w:rsidRDefault="0041192D" w:rsidP="00EE36FE">
      <w:pPr>
        <w:rPr>
          <w:lang w:val="ru-RU"/>
        </w:rPr>
      </w:pPr>
    </w:p>
    <w:p w:rsidR="0041192D" w:rsidRPr="003A4E23" w:rsidRDefault="0041192D" w:rsidP="00EE36FE">
      <w:pPr>
        <w:rPr>
          <w:lang w:val="ru-RU"/>
        </w:rPr>
      </w:pPr>
    </w:p>
    <w:p w:rsidR="0041192D" w:rsidRPr="003A4E23" w:rsidRDefault="0041192D" w:rsidP="0041192D">
      <w:pPr>
        <w:pStyle w:val="AnnexNoTitle"/>
        <w:rPr>
          <w:lang w:val="ru-RU"/>
        </w:rPr>
      </w:pPr>
      <w:r w:rsidRPr="003A4E23">
        <w:rPr>
          <w:lang w:val="ru-RU"/>
        </w:rPr>
        <w:lastRenderedPageBreak/>
        <w:t>Приложение 2</w:t>
      </w:r>
      <w:r w:rsidRPr="003A4E23">
        <w:rPr>
          <w:lang w:val="ru-RU"/>
        </w:rPr>
        <w:br/>
      </w:r>
      <w:r w:rsidRPr="003A4E23">
        <w:rPr>
          <w:lang w:val="ru-RU"/>
        </w:rPr>
        <w:br/>
        <w:t xml:space="preserve">Критерии защиты системы Коспас-Сарсат в полосе частот 406–406,1 МГц </w:t>
      </w:r>
      <w:r w:rsidRPr="003A4E23">
        <w:rPr>
          <w:lang w:val="ru-RU"/>
        </w:rPr>
        <w:br/>
        <w:t>от узкополосных побочных излучений</w:t>
      </w:r>
    </w:p>
    <w:p w:rsidR="0041192D" w:rsidRPr="003A4E23" w:rsidRDefault="0041192D" w:rsidP="0041192D">
      <w:pPr>
        <w:pStyle w:val="Heading1"/>
        <w:rPr>
          <w:lang w:val="ru-RU"/>
        </w:rPr>
      </w:pPr>
      <w:r w:rsidRPr="003A4E23">
        <w:rPr>
          <w:lang w:val="ru-RU"/>
        </w:rPr>
        <w:t>1</w:t>
      </w:r>
      <w:r w:rsidRPr="003A4E23">
        <w:rPr>
          <w:lang w:val="ru-RU"/>
        </w:rPr>
        <w:tab/>
        <w:t>Введение</w:t>
      </w:r>
    </w:p>
    <w:p w:rsidR="0041192D" w:rsidRPr="003A4E23" w:rsidRDefault="0041192D" w:rsidP="0041192D">
      <w:pPr>
        <w:rPr>
          <w:lang w:val="ru-RU"/>
        </w:rPr>
      </w:pPr>
      <w:r w:rsidRPr="003A4E23">
        <w:rPr>
          <w:lang w:val="ru-RU"/>
        </w:rPr>
        <w:t>В настоящем Приложении приводится информация, относящаяся к системе Коспас-Сарсат и требованиям к ее защите от узкополосных побочных излучений.</w:t>
      </w:r>
    </w:p>
    <w:p w:rsidR="0041192D" w:rsidRPr="003A4E23" w:rsidRDefault="0041192D" w:rsidP="0041192D">
      <w:pPr>
        <w:pStyle w:val="Heading1"/>
        <w:rPr>
          <w:lang w:val="ru-RU"/>
        </w:rPr>
      </w:pPr>
      <w:r w:rsidRPr="003A4E23">
        <w:rPr>
          <w:lang w:val="ru-RU"/>
        </w:rPr>
        <w:t>2</w:t>
      </w:r>
      <w:r w:rsidRPr="003A4E23">
        <w:rPr>
          <w:lang w:val="ru-RU"/>
        </w:rPr>
        <w:tab/>
        <w:t>Базовая информация</w:t>
      </w:r>
    </w:p>
    <w:p w:rsidR="0041192D" w:rsidRPr="003A4E23" w:rsidRDefault="0041192D" w:rsidP="0041192D">
      <w:pPr>
        <w:rPr>
          <w:lang w:val="ru-RU"/>
        </w:rPr>
      </w:pPr>
      <w:r w:rsidRPr="003A4E23">
        <w:rPr>
          <w:lang w:val="ru-RU"/>
        </w:rPr>
        <w:t>В Приложении 1 содержатся критерии защиты SARP Сарсат в полосе частот 406–406,1 МГц, которые должны использоваться в качестве основы для анализа помех от внеполосных излучений. В настоящем Приложении приводятся требования к защите оборудования SARP Сарсат от помех, создаваемых узкополосными побочными излучениями (гармонические излучения, паразитные излучения, продукты интермодуляции и частотного преобразования).</w:t>
      </w:r>
    </w:p>
    <w:p w:rsidR="0041192D" w:rsidRPr="003A4E23" w:rsidRDefault="0041192D" w:rsidP="0041192D">
      <w:pPr>
        <w:rPr>
          <w:lang w:val="ru-RU"/>
        </w:rPr>
      </w:pPr>
      <w:r w:rsidRPr="003A4E23">
        <w:rPr>
          <w:lang w:val="ru-RU"/>
        </w:rPr>
        <w:t>Терминология, используемая в настоящем Приложении, взята из Рекомендации МСЭ-R SM.328 "Спектры и ширина полосы излучений" и из Рекомендации МСЭ-R SM.329 "Нежелательные излучения в области побочных излучений".</w:t>
      </w:r>
    </w:p>
    <w:p w:rsidR="0041192D" w:rsidRPr="003A4E23" w:rsidRDefault="0041192D" w:rsidP="0041192D">
      <w:pPr>
        <w:rPr>
          <w:lang w:val="ru-RU"/>
        </w:rPr>
      </w:pPr>
      <w:r w:rsidRPr="003A4E23">
        <w:rPr>
          <w:lang w:val="ru-RU"/>
        </w:rPr>
        <w:t>В настоящем Приложении рассматриваются критерии защиты только для оборудования SARP Сарсат, но не обязательно представлены критерии защиты для всего оборудования системы Коспас-Сарсат.</w:t>
      </w:r>
    </w:p>
    <w:p w:rsidR="0041192D" w:rsidRPr="003A4E23" w:rsidRDefault="0041192D" w:rsidP="0041192D">
      <w:pPr>
        <w:pStyle w:val="Heading1"/>
        <w:rPr>
          <w:lang w:val="ru-RU"/>
        </w:rPr>
      </w:pPr>
      <w:r w:rsidRPr="003A4E23">
        <w:rPr>
          <w:lang w:val="ru-RU"/>
        </w:rPr>
        <w:t>3</w:t>
      </w:r>
      <w:r w:rsidRPr="003A4E23">
        <w:rPr>
          <w:lang w:val="ru-RU"/>
        </w:rPr>
        <w:tab/>
        <w:t>Требования к защите от узкополосных побочных излучений</w:t>
      </w:r>
    </w:p>
    <w:p w:rsidR="0041192D" w:rsidRPr="003A4E23" w:rsidRDefault="0041192D" w:rsidP="0041192D">
      <w:pPr>
        <w:rPr>
          <w:lang w:val="ru-RU"/>
        </w:rPr>
      </w:pPr>
      <w:r w:rsidRPr="003A4E23">
        <w:rPr>
          <w:lang w:val="ru-RU"/>
        </w:rPr>
        <w:t>На рисунке 1 показаны основные элементы оборудования SARP Сарсат.</w:t>
      </w:r>
    </w:p>
    <w:p w:rsidR="0041192D" w:rsidRPr="003A4E23" w:rsidRDefault="0041192D" w:rsidP="0041192D">
      <w:pPr>
        <w:rPr>
          <w:lang w:val="ru-RU"/>
        </w:rPr>
      </w:pPr>
      <w:r w:rsidRPr="003A4E23">
        <w:rPr>
          <w:lang w:val="ru-RU"/>
        </w:rPr>
        <w:t>Для лучшего понимания аргументации данной спецификации необходимо коротко напомнить о том, как работает оборудование SARP.</w:t>
      </w:r>
    </w:p>
    <w:p w:rsidR="0041192D" w:rsidRPr="003A4E23" w:rsidRDefault="0041192D" w:rsidP="0041192D">
      <w:pPr>
        <w:rPr>
          <w:szCs w:val="24"/>
          <w:lang w:val="ru-RU"/>
        </w:rPr>
      </w:pPr>
      <w:r w:rsidRPr="003A4E23">
        <w:rPr>
          <w:lang w:val="ru-RU"/>
        </w:rPr>
        <w:t>Передачи радиомаяка Сарсат начинаются с передачи в течение 160 мс немодулированной несущей, что позволяет использовать фазовую автоматическую подстройку частоты для более легкой подстройки на несущей. На рисунке 2 представлен формат сообщений системы Коспас-Сарсат.</w:t>
      </w:r>
    </w:p>
    <w:p w:rsidR="0041192D" w:rsidRPr="003A4E23" w:rsidRDefault="0041192D" w:rsidP="0041192D">
      <w:pPr>
        <w:pStyle w:val="FigureNo"/>
        <w:rPr>
          <w:lang w:val="ru-RU"/>
        </w:rPr>
      </w:pPr>
      <w:r w:rsidRPr="003A4E23">
        <w:rPr>
          <w:lang w:val="ru-RU"/>
        </w:rPr>
        <w:t>РИСУНОК 2</w:t>
      </w:r>
    </w:p>
    <w:p w:rsidR="0041192D" w:rsidRPr="003A4E23" w:rsidRDefault="0041192D" w:rsidP="0041192D">
      <w:pPr>
        <w:pStyle w:val="Figuretitle"/>
        <w:rPr>
          <w:lang w:val="ru-RU" w:eastAsia="ru-RU"/>
        </w:rPr>
      </w:pPr>
      <w:r w:rsidRPr="003A4E23">
        <w:rPr>
          <w:lang w:val="ru-RU" w:eastAsia="ru-RU"/>
        </w:rPr>
        <w:t>Формат сообщений системы Коспас-Сарсат</w:t>
      </w:r>
    </w:p>
    <w:p w:rsidR="0041192D" w:rsidRPr="003A4E23" w:rsidRDefault="0041192D" w:rsidP="0041192D">
      <w:pPr>
        <w:pStyle w:val="Figure"/>
        <w:rPr>
          <w:lang w:val="ru-RU"/>
        </w:rPr>
      </w:pPr>
      <w:r w:rsidRPr="003A4E23">
        <w:rPr>
          <w:lang w:val="ru-RU"/>
        </w:rPr>
        <w:object w:dxaOrig="6990" w:dyaOrig="1425">
          <v:shape id="_x0000_i1029" type="#_x0000_t75" style="width:349.35pt;height:71.35pt" o:ole="">
            <v:imagedata r:id="rId22" o:title=""/>
          </v:shape>
          <o:OLEObject Type="Embed" ProgID="CorelDRAW.Graphic.14" ShapeID="_x0000_i1029" DrawAspect="Content" ObjectID="_1500106745" r:id="rId23"/>
        </w:object>
      </w:r>
    </w:p>
    <w:p w:rsidR="0041192D" w:rsidRPr="003A4E23" w:rsidRDefault="0041192D" w:rsidP="0041192D">
      <w:pPr>
        <w:spacing w:line="240" w:lineRule="exact"/>
        <w:rPr>
          <w:lang w:val="ru-RU"/>
        </w:rPr>
      </w:pPr>
      <w:r w:rsidRPr="003A4E23">
        <w:rPr>
          <w:lang w:val="ru-RU"/>
        </w:rPr>
        <w:t>Анализатор спектра в оборудовании SARP непрерывно отслеживает полное покрытие полосы в поисках той части передач радиомаяков, передающих сигналы бедствия, которая состоит из чистой несущей. Если анализатор спектра обнаруживает такую линию, то считается, что это начало сообщения Коспас-Сарсат. Теория основана на определении волны чистой несущей (синусоиды) в среде белого, аддитивного и гауссовского шума. Спектральная плотность мощности принимаемого сигнала (чистая несущая + шум) вычисляется с использованием метода быстрого преобразования Фурье, а каждый сигнал, превышающий порог системы, обрабатывается так, как если бы это был сигнал от маяка, передающего сигналы бедствия (см. рис. 3).</w:t>
      </w:r>
    </w:p>
    <w:p w:rsidR="0041192D" w:rsidRPr="003A4E23" w:rsidRDefault="0041192D" w:rsidP="00EE36FE">
      <w:pPr>
        <w:pStyle w:val="FigureNo"/>
        <w:rPr>
          <w:lang w:val="ru-RU"/>
        </w:rPr>
      </w:pPr>
      <w:r w:rsidRPr="003A4E23">
        <w:rPr>
          <w:lang w:val="ru-RU"/>
        </w:rPr>
        <w:lastRenderedPageBreak/>
        <w:t>рисунок 3</w:t>
      </w:r>
    </w:p>
    <w:p w:rsidR="0041192D" w:rsidRPr="003A4E23" w:rsidRDefault="0041192D" w:rsidP="00EE36FE">
      <w:pPr>
        <w:pStyle w:val="Figuretitle"/>
        <w:rPr>
          <w:lang w:val="ru-RU"/>
        </w:rPr>
      </w:pPr>
      <w:r w:rsidRPr="003A4E23">
        <w:rPr>
          <w:lang w:val="ru-RU"/>
        </w:rPr>
        <w:t>Обнаружение синусоиды в белом гауссовском шуме</w:t>
      </w:r>
    </w:p>
    <w:p w:rsidR="0041192D" w:rsidRPr="003A4E23" w:rsidRDefault="0041192D" w:rsidP="0041192D">
      <w:pPr>
        <w:pStyle w:val="Figure"/>
        <w:rPr>
          <w:lang w:val="ru-RU"/>
        </w:rPr>
      </w:pPr>
      <w:r w:rsidRPr="003A4E23">
        <w:rPr>
          <w:lang w:val="ru-RU"/>
        </w:rPr>
        <w:object w:dxaOrig="6555" w:dyaOrig="3225">
          <v:shape id="_x0000_i1030" type="#_x0000_t75" style="width:327.45pt;height:161.55pt" o:ole="">
            <v:imagedata r:id="rId24" o:title=""/>
          </v:shape>
          <o:OLEObject Type="Embed" ProgID="CorelDRAW.Graphic.14" ShapeID="_x0000_i1030" DrawAspect="Content" ObjectID="_1500106746" r:id="rId25"/>
        </w:object>
      </w:r>
    </w:p>
    <w:p w:rsidR="0041192D" w:rsidRPr="003A4E23" w:rsidRDefault="0041192D" w:rsidP="0041192D">
      <w:pPr>
        <w:spacing w:line="240" w:lineRule="exact"/>
        <w:rPr>
          <w:lang w:val="ru-RU"/>
        </w:rPr>
      </w:pPr>
      <w:r w:rsidRPr="003A4E23">
        <w:rPr>
          <w:lang w:val="ru-RU"/>
        </w:rPr>
        <w:t>Сигналы выше порогового уровня направляются на бортовой модуль восстановления данных (DRU) для дальнейшей обработки и передачи на Землю по каналу полетной телеметрии (см. рис. 4).</w:t>
      </w:r>
    </w:p>
    <w:p w:rsidR="0041192D" w:rsidRPr="003A4E23" w:rsidRDefault="0041192D" w:rsidP="0041192D">
      <w:pPr>
        <w:pStyle w:val="FigureNo"/>
        <w:spacing w:line="240" w:lineRule="exact"/>
        <w:rPr>
          <w:lang w:val="ru-RU"/>
        </w:rPr>
      </w:pPr>
      <w:r w:rsidRPr="003A4E23">
        <w:rPr>
          <w:lang w:val="ru-RU"/>
        </w:rPr>
        <w:t>РИСУНОК 4</w:t>
      </w:r>
    </w:p>
    <w:p w:rsidR="0041192D" w:rsidRPr="003A4E23" w:rsidRDefault="0041192D" w:rsidP="0041192D">
      <w:pPr>
        <w:pStyle w:val="Figuretitle"/>
        <w:spacing w:line="240" w:lineRule="exact"/>
        <w:rPr>
          <w:lang w:val="ru-RU"/>
        </w:rPr>
      </w:pPr>
      <w:r w:rsidRPr="003A4E23">
        <w:rPr>
          <w:lang w:val="ru-RU"/>
        </w:rPr>
        <w:t>Функциональная система SARP</w:t>
      </w:r>
    </w:p>
    <w:p w:rsidR="0041192D" w:rsidRPr="003A4E23" w:rsidRDefault="0041192D" w:rsidP="0041192D">
      <w:pPr>
        <w:pStyle w:val="Figure"/>
        <w:rPr>
          <w:lang w:val="ru-RU"/>
        </w:rPr>
      </w:pPr>
      <w:r w:rsidRPr="003A4E23">
        <w:rPr>
          <w:lang w:val="ru-RU"/>
        </w:rPr>
        <w:object w:dxaOrig="8820" w:dyaOrig="3660">
          <v:shape id="_x0000_i1031" type="#_x0000_t75" style="width:440.75pt;height:183.45pt" o:ole="">
            <v:imagedata r:id="rId26" o:title=""/>
          </v:shape>
          <o:OLEObject Type="Embed" ProgID="CorelDRAW.Graphic.14" ShapeID="_x0000_i1031" DrawAspect="Content" ObjectID="_1500106747" r:id="rId27"/>
        </w:object>
      </w:r>
    </w:p>
    <w:p w:rsidR="0041192D" w:rsidRPr="003A4E23" w:rsidRDefault="0041192D" w:rsidP="0041192D">
      <w:pPr>
        <w:rPr>
          <w:lang w:val="ru-RU"/>
        </w:rPr>
      </w:pPr>
      <w:r w:rsidRPr="003A4E23">
        <w:rPr>
          <w:lang w:val="ru-RU"/>
        </w:rPr>
        <w:t xml:space="preserve">В целях удовлетворения требованиям к системам поиска и спасания по производительности в отношении низкомощных радиомаяков, передающих сигналы бедствия, SARP Сарсат разработан так, чтобы обнаруживать и обрабатывать крайне слабые сигналы. Его характеристики таковы, что любой сигнал </w:t>
      </w:r>
      <w:r w:rsidRPr="003A4E23">
        <w:rPr>
          <w:i/>
          <w:lang w:val="ru-RU"/>
        </w:rPr>
        <w:t>C</w:t>
      </w:r>
      <w:r w:rsidRPr="003A4E23">
        <w:rPr>
          <w:i/>
          <w:vertAlign w:val="subscript"/>
          <w:lang w:val="ru-RU"/>
        </w:rPr>
        <w:t>min</w:t>
      </w:r>
      <w:r w:rsidRPr="003A4E23">
        <w:rPr>
          <w:lang w:val="ru-RU"/>
        </w:rPr>
        <w:t>, превышающий уровень плотности локального шума на 21 дБ(Гц) (</w:t>
      </w:r>
      <w:r w:rsidRPr="003A4E23">
        <w:rPr>
          <w:i/>
          <w:lang w:val="ru-RU"/>
        </w:rPr>
        <w:t>C</w:t>
      </w:r>
      <w:r w:rsidRPr="003A4E23">
        <w:rPr>
          <w:i/>
          <w:vertAlign w:val="subscript"/>
          <w:lang w:val="ru-RU"/>
        </w:rPr>
        <w:t>min</w:t>
      </w:r>
      <w:r w:rsidRPr="003A4E23">
        <w:rPr>
          <w:rFonts w:ascii="Tms Rmn" w:hAnsi="Tms Rmn"/>
          <w:sz w:val="4"/>
          <w:lang w:val="ru-RU"/>
        </w:rPr>
        <w:t> </w:t>
      </w:r>
      <w:r w:rsidRPr="003A4E23">
        <w:rPr>
          <w:lang w:val="ru-RU"/>
        </w:rPr>
        <w:t>/</w:t>
      </w:r>
      <w:r w:rsidRPr="003A4E23">
        <w:rPr>
          <w:rFonts w:ascii="Tms Rmn" w:hAnsi="Tms Rmn"/>
          <w:sz w:val="4"/>
          <w:lang w:val="ru-RU"/>
        </w:rPr>
        <w:t>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21 дБ(Гц)), будет направлен на DRU для дополнительной обработки.  Следовательно, узкополосные мешающие сигналы, соответствующие этим критериям, могут быть также направлены на DRU. В результате характеристики SARP с точки зрения производительности (например, число одновременных сообщений о бедствии, которые могут быть обработаны) могут быть существенно ухудшены.</w:t>
      </w:r>
    </w:p>
    <w:p w:rsidR="0041192D" w:rsidRPr="003A4E23" w:rsidRDefault="0041192D" w:rsidP="0041192D">
      <w:pPr>
        <w:rPr>
          <w:lang w:val="ru-RU"/>
        </w:rPr>
      </w:pPr>
      <w:r w:rsidRPr="003A4E23">
        <w:rPr>
          <w:lang w:val="ru-RU"/>
        </w:rPr>
        <w:t xml:space="preserve">Стандартные значения для Сарсат: коэффициент шума = 2,5 дБ (стандартное значение для SARP системы Коспас-Сарсат), номинальная фоновая шумовая температура = 1000 K (входной параметр системы Коспас-Сарсат), ослабление между антенной и приемником SARP = 1,6 дБ. Таким образом, шумовая температура системы на входе приемника SARP (точка B на рис. 1) равна 1010 K, и поэтому спектральная плотность шума равна </w:t>
      </w:r>
      <w:r w:rsidRPr="003A4E23">
        <w:rPr>
          <w:i/>
          <w:lang w:val="ru-RU"/>
        </w:rPr>
        <w:t>N</w:t>
      </w:r>
      <w:r w:rsidRPr="003A4E23">
        <w:rPr>
          <w:position w:val="-4"/>
          <w:sz w:val="16"/>
          <w:lang w:val="ru-RU"/>
        </w:rPr>
        <w:t>0</w:t>
      </w:r>
      <w:r w:rsidRPr="003A4E23">
        <w:rPr>
          <w:lang w:val="ru-RU"/>
        </w:rPr>
        <w:t> </w:t>
      </w:r>
      <w:r w:rsidRPr="003A4E23">
        <w:rPr>
          <w:rFonts w:ascii="Symbol" w:hAnsi="Symbol"/>
          <w:lang w:val="ru-RU"/>
        </w:rPr>
        <w:t></w:t>
      </w:r>
      <w:r w:rsidRPr="003A4E23">
        <w:rPr>
          <w:lang w:val="ru-RU"/>
        </w:rPr>
        <w:t> –198,6 дБ(Вт/Гц).</w:t>
      </w:r>
    </w:p>
    <w:p w:rsidR="0041192D" w:rsidRPr="003A4E23" w:rsidRDefault="0041192D" w:rsidP="0041192D">
      <w:pPr>
        <w:rPr>
          <w:lang w:val="ru-RU"/>
        </w:rPr>
      </w:pPr>
      <w:r w:rsidRPr="003A4E23">
        <w:rPr>
          <w:lang w:val="ru-RU"/>
        </w:rPr>
        <w:t xml:space="preserve">Поскольку </w:t>
      </w:r>
      <w:r w:rsidRPr="003A4E23">
        <w:rPr>
          <w:i/>
          <w:lang w:val="ru-RU"/>
        </w:rPr>
        <w:t>C</w:t>
      </w:r>
      <w:r w:rsidRPr="003A4E23">
        <w:rPr>
          <w:i/>
          <w:vertAlign w:val="subscript"/>
          <w:lang w:val="ru-RU"/>
        </w:rPr>
        <w:t>min</w:t>
      </w:r>
      <w:r w:rsidRPr="003A4E23">
        <w:rPr>
          <w:rFonts w:ascii="Tms Rmn" w:hAnsi="Tms Rmn"/>
          <w:sz w:val="4"/>
          <w:lang w:val="ru-RU"/>
        </w:rPr>
        <w:t> </w:t>
      </w:r>
      <w:r w:rsidRPr="003A4E23">
        <w:rPr>
          <w:lang w:val="ru-RU"/>
        </w:rPr>
        <w:t>/</w:t>
      </w:r>
      <w:r w:rsidRPr="003A4E23">
        <w:rPr>
          <w:rFonts w:ascii="Tms Rmn" w:hAnsi="Tms Rmn"/>
          <w:sz w:val="4"/>
          <w:lang w:val="ru-RU"/>
        </w:rPr>
        <w:t>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xml:space="preserve"> 21 дБ(Гц), то </w:t>
      </w:r>
      <w:r w:rsidRPr="003A4E23">
        <w:rPr>
          <w:i/>
          <w:lang w:val="ru-RU"/>
        </w:rPr>
        <w:t>C</w:t>
      </w:r>
      <w:r w:rsidRPr="003A4E23">
        <w:rPr>
          <w:i/>
          <w:vertAlign w:val="subscript"/>
          <w:lang w:val="ru-RU"/>
        </w:rPr>
        <w:t>min</w:t>
      </w:r>
      <w:r w:rsidRPr="003A4E23">
        <w:rPr>
          <w:lang w:val="ru-RU"/>
        </w:rPr>
        <w:t> </w:t>
      </w:r>
      <w:r w:rsidRPr="003A4E23">
        <w:rPr>
          <w:rFonts w:ascii="Symbol" w:hAnsi="Symbol"/>
          <w:lang w:val="ru-RU"/>
        </w:rPr>
        <w:t></w:t>
      </w:r>
      <w:r w:rsidRPr="003A4E23">
        <w:rPr>
          <w:lang w:val="ru-RU"/>
        </w:rPr>
        <w:t> –177,6 дБВт. Следовательно, любые узкополосные побочные излучения, превышающие 177,6 дБВт на входе SARP (точка B на рис. 1), вызовут ухудшение показателей системы.</w:t>
      </w:r>
    </w:p>
    <w:p w:rsidR="0041192D" w:rsidRPr="003A4E23" w:rsidRDefault="0041192D" w:rsidP="0041192D">
      <w:pPr>
        <w:rPr>
          <w:lang w:val="ru-RU"/>
        </w:rPr>
      </w:pPr>
      <w:r w:rsidRPr="003A4E23">
        <w:rPr>
          <w:lang w:val="ru-RU"/>
        </w:rPr>
        <w:lastRenderedPageBreak/>
        <w:t xml:space="preserve">Поэтому необходимо вычислить максимальный допустимый уровень спектральной линии на входе антенны Сарсат. </w:t>
      </w:r>
    </w:p>
    <w:p w:rsidR="0041192D" w:rsidRPr="003A4E23" w:rsidRDefault="0041192D" w:rsidP="0041192D">
      <w:pPr>
        <w:rPr>
          <w:lang w:val="ru-RU"/>
        </w:rPr>
      </w:pPr>
      <w:r w:rsidRPr="003A4E23">
        <w:rPr>
          <w:lang w:val="ru-RU"/>
        </w:rPr>
        <w:t>Спецификация для диаграммы направленности приемной антенны SARP Сарсат приводится в таблице 2 в соответствии с углом отклонения от надира.</w:t>
      </w:r>
    </w:p>
    <w:p w:rsidR="0041192D" w:rsidRPr="003A4E23" w:rsidRDefault="0041192D" w:rsidP="0041192D">
      <w:pPr>
        <w:pStyle w:val="TableNo"/>
        <w:rPr>
          <w:lang w:val="ru-RU"/>
        </w:rPr>
      </w:pPr>
      <w:r w:rsidRPr="003A4E23">
        <w:rPr>
          <w:lang w:val="ru-RU"/>
        </w:rPr>
        <w:t>ТАБЛИЦА 2</w:t>
      </w:r>
    </w:p>
    <w:p w:rsidR="0041192D" w:rsidRPr="003A4E23" w:rsidRDefault="0041192D" w:rsidP="0041192D">
      <w:pPr>
        <w:pStyle w:val="Tabletitle"/>
        <w:rPr>
          <w:lang w:val="ru-RU"/>
        </w:rPr>
      </w:pPr>
      <w:r w:rsidRPr="003A4E23">
        <w:rPr>
          <w:lang w:val="ru-RU"/>
        </w:rPr>
        <w:t>Диаграмма направленности приемной антенны SARP (UDA)</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85"/>
        <w:gridCol w:w="765"/>
        <w:gridCol w:w="765"/>
        <w:gridCol w:w="765"/>
        <w:gridCol w:w="765"/>
        <w:gridCol w:w="765"/>
        <w:gridCol w:w="765"/>
        <w:gridCol w:w="765"/>
        <w:gridCol w:w="765"/>
        <w:gridCol w:w="765"/>
        <w:gridCol w:w="765"/>
      </w:tblGrid>
      <w:tr w:rsidR="0041192D" w:rsidRPr="003A4E23" w:rsidTr="0041192D">
        <w:trPr>
          <w:cantSplit/>
        </w:trPr>
        <w:tc>
          <w:tcPr>
            <w:tcW w:w="1985"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jc w:val="left"/>
              <w:rPr>
                <w:sz w:val="18"/>
                <w:szCs w:val="18"/>
                <w:lang w:val="ru-RU"/>
              </w:rPr>
            </w:pPr>
            <w:r w:rsidRPr="003A4E23">
              <w:rPr>
                <w:sz w:val="18"/>
                <w:szCs w:val="18"/>
                <w:lang w:val="ru-RU"/>
              </w:rPr>
              <w:t>Угол отклонения спутника от надира</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62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54</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47</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31</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22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13</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0</w:t>
            </w:r>
          </w:p>
        </w:tc>
      </w:tr>
      <w:tr w:rsidR="0041192D" w:rsidRPr="003A4E23" w:rsidTr="0041192D">
        <w:trPr>
          <w:cantSplit/>
        </w:trPr>
        <w:tc>
          <w:tcPr>
            <w:tcW w:w="1985"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jc w:val="left"/>
              <w:rPr>
                <w:sz w:val="18"/>
                <w:szCs w:val="18"/>
                <w:lang w:val="ru-RU"/>
              </w:rPr>
            </w:pPr>
            <w:r w:rsidRPr="003A4E23">
              <w:rPr>
                <w:sz w:val="18"/>
                <w:szCs w:val="18"/>
                <w:lang w:val="ru-RU"/>
              </w:rPr>
              <w:t>Усиление при правосторонней круговой поляризации</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3,85</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3,54</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2,62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1,24</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–0,17</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–1,33</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–2,24</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–3,08</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–3,80</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–3,96</w:t>
            </w:r>
          </w:p>
        </w:tc>
      </w:tr>
      <w:tr w:rsidR="0041192D" w:rsidRPr="003A4E23" w:rsidTr="0041192D">
        <w:trPr>
          <w:cantSplit/>
        </w:trPr>
        <w:tc>
          <w:tcPr>
            <w:tcW w:w="1985"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jc w:val="left"/>
              <w:rPr>
                <w:sz w:val="18"/>
                <w:szCs w:val="18"/>
                <w:lang w:val="ru-RU"/>
              </w:rPr>
            </w:pPr>
            <w:r w:rsidRPr="003A4E23">
              <w:rPr>
                <w:sz w:val="18"/>
                <w:szCs w:val="18"/>
                <w:lang w:val="ru-RU"/>
              </w:rPr>
              <w:t>Усиление при левосторонней круговой поляризации</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–5,69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–6,23</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–7,52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–9,39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–11,39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–13,12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–14,52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–15,77</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–17,17</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–18,00</w:t>
            </w:r>
          </w:p>
        </w:tc>
      </w:tr>
      <w:tr w:rsidR="0041192D" w:rsidRPr="003A4E23" w:rsidTr="0041192D">
        <w:trPr>
          <w:cantSplit/>
        </w:trPr>
        <w:tc>
          <w:tcPr>
            <w:tcW w:w="1985" w:type="dxa"/>
            <w:tcBorders>
              <w:top w:val="single" w:sz="6" w:space="0" w:color="000000"/>
              <w:left w:val="single" w:sz="6" w:space="0" w:color="000000"/>
              <w:bottom w:val="single" w:sz="6" w:space="0" w:color="000000"/>
              <w:right w:val="single" w:sz="6" w:space="0" w:color="000000"/>
            </w:tcBorders>
            <w:hideMark/>
          </w:tcPr>
          <w:p w:rsidR="0041192D" w:rsidRPr="003A4E23" w:rsidRDefault="0041192D">
            <w:pPr>
              <w:pStyle w:val="Tabletext"/>
              <w:jc w:val="left"/>
              <w:rPr>
                <w:sz w:val="18"/>
                <w:szCs w:val="18"/>
                <w:lang w:val="ru-RU"/>
              </w:rPr>
            </w:pPr>
            <w:r w:rsidRPr="003A4E23">
              <w:rPr>
                <w:sz w:val="18"/>
                <w:szCs w:val="18"/>
                <w:lang w:val="ru-RU"/>
              </w:rPr>
              <w:t>Коэффициент эллиптичности</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6,02</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5,85</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5,59</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5,26</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4,90</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4,57</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4,31</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4,11</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3,78</w:t>
            </w:r>
          </w:p>
        </w:tc>
        <w:tc>
          <w:tcPr>
            <w:tcW w:w="765" w:type="dxa"/>
            <w:tcBorders>
              <w:top w:val="single" w:sz="6" w:space="0" w:color="000000"/>
              <w:left w:val="single" w:sz="6" w:space="0" w:color="000000"/>
              <w:bottom w:val="single" w:sz="6" w:space="0" w:color="000000"/>
              <w:right w:val="single" w:sz="6" w:space="0" w:color="000000"/>
            </w:tcBorders>
            <w:vAlign w:val="center"/>
            <w:hideMark/>
          </w:tcPr>
          <w:p w:rsidR="0041192D" w:rsidRPr="003A4E23" w:rsidRDefault="0041192D">
            <w:pPr>
              <w:pStyle w:val="Tabletext"/>
              <w:ind w:left="-57" w:right="-57"/>
              <w:jc w:val="center"/>
              <w:rPr>
                <w:sz w:val="18"/>
                <w:szCs w:val="18"/>
                <w:lang w:val="ru-RU"/>
              </w:rPr>
            </w:pPr>
            <w:r w:rsidRPr="003A4E23">
              <w:rPr>
                <w:sz w:val="18"/>
                <w:szCs w:val="18"/>
                <w:lang w:val="ru-RU"/>
              </w:rPr>
              <w:t>3,49</w:t>
            </w:r>
          </w:p>
        </w:tc>
      </w:tr>
    </w:tbl>
    <w:p w:rsidR="0041192D" w:rsidRPr="003A4E23" w:rsidRDefault="0041192D" w:rsidP="0041192D">
      <w:pPr>
        <w:pStyle w:val="Tablefin"/>
        <w:rPr>
          <w:lang w:val="ru-RU"/>
        </w:rPr>
      </w:pPr>
    </w:p>
    <w:p w:rsidR="0041192D" w:rsidRPr="003A4E23" w:rsidRDefault="0041192D" w:rsidP="00BB31D7">
      <w:pPr>
        <w:rPr>
          <w:lang w:val="ru-RU"/>
        </w:rPr>
      </w:pPr>
      <w:r w:rsidRPr="003A4E23">
        <w:rPr>
          <w:lang w:val="ru-RU"/>
        </w:rPr>
        <w:t xml:space="preserve">Поэтому максимальная допустимая мощность в точке А на рисунке 1 равна –177,6 </w:t>
      </w:r>
      <w:r w:rsidRPr="003A4E23">
        <w:rPr>
          <w:rFonts w:ascii="Symbol" w:hAnsi="Symbol"/>
          <w:lang w:val="ru-RU"/>
        </w:rPr>
        <w:t></w:t>
      </w:r>
      <w:r w:rsidRPr="003A4E23">
        <w:rPr>
          <w:lang w:val="ru-RU"/>
        </w:rPr>
        <w:t xml:space="preserve"> 1,6 (потери) </w:t>
      </w:r>
      <w:r w:rsidRPr="003A4E23">
        <w:rPr>
          <w:rFonts w:ascii="Symbol" w:hAnsi="Symbol"/>
          <w:lang w:val="ru-RU"/>
        </w:rPr>
        <w:t></w:t>
      </w:r>
      <w:r w:rsidRPr="003A4E23">
        <w:rPr>
          <w:lang w:val="ru-RU"/>
        </w:rPr>
        <w:t xml:space="preserve"> </w:t>
      </w:r>
      <w:r w:rsidRPr="003A4E23">
        <w:rPr>
          <w:lang w:val="ru-RU"/>
        </w:rPr>
        <w:br/>
        <w:t>–176 дБВт, учитывая наивысший угол отклонения спутника от надира. Поскольку требуется определить п.п.м., необходимо преобразовать этот коэффициент в дБ(Вт/м</w:t>
      </w:r>
      <w:r w:rsidRPr="003A4E23">
        <w:rPr>
          <w:vertAlign w:val="superscript"/>
          <w:lang w:val="ru-RU"/>
        </w:rPr>
        <w:t>2</w:t>
      </w:r>
      <w:r w:rsidRPr="003A4E23">
        <w:rPr>
          <w:lang w:val="ru-RU"/>
        </w:rPr>
        <w:t xml:space="preserve">). Эквивалентная площадь поверхности антенны, имеющей усиление </w:t>
      </w:r>
      <w:r w:rsidRPr="003A4E23">
        <w:rPr>
          <w:i/>
          <w:lang w:val="ru-RU"/>
        </w:rPr>
        <w:t>G</w:t>
      </w:r>
      <w:r w:rsidRPr="003A4E23">
        <w:rPr>
          <w:lang w:val="ru-RU"/>
        </w:rPr>
        <w:t xml:space="preserve">, определяется как </w:t>
      </w:r>
      <w:r w:rsidRPr="003A4E23">
        <w:rPr>
          <w:position w:val="-22"/>
          <w:lang w:val="ru-RU"/>
        </w:rPr>
        <w:object w:dxaOrig="1830" w:dyaOrig="630">
          <v:shape id="_x0000_i1032" type="#_x0000_t75" style="width:91.4pt;height:31.95pt" o:ole="">
            <v:imagedata r:id="rId28" o:title=""/>
          </v:shape>
          <o:OLEObject Type="Embed" ProgID="Equation.3" ShapeID="_x0000_i1032" DrawAspect="Content" ObjectID="_1500106748" r:id="rId29"/>
        </w:object>
      </w:r>
      <w:r w:rsidRPr="003A4E23">
        <w:rPr>
          <w:lang w:val="ru-RU"/>
        </w:rPr>
        <w:t>(соответствует наивысшему углу отклонения спутника от надира). Отсюда соответствующая п.п.м. равна –176 – 10 log</w:t>
      </w:r>
      <w:r w:rsidRPr="003A4E23">
        <w:rPr>
          <w:position w:val="-4"/>
          <w:sz w:val="16"/>
          <w:lang w:val="ru-RU"/>
        </w:rPr>
        <w:t>10</w:t>
      </w:r>
      <w:r w:rsidRPr="003A4E23">
        <w:rPr>
          <w:lang w:val="ru-RU"/>
        </w:rPr>
        <w:t xml:space="preserve"> </w:t>
      </w:r>
      <w:r w:rsidRPr="003A4E23">
        <w:rPr>
          <w:i/>
          <w:lang w:val="ru-RU"/>
        </w:rPr>
        <w:t>S</w:t>
      </w:r>
      <w:r w:rsidRPr="003A4E23">
        <w:rPr>
          <w:lang w:val="ru-RU"/>
        </w:rPr>
        <w:t> </w:t>
      </w:r>
      <w:r w:rsidRPr="003A4E23">
        <w:rPr>
          <w:rFonts w:ascii="Symbol" w:hAnsi="Symbol"/>
          <w:lang w:val="ru-RU"/>
        </w:rPr>
        <w:t></w:t>
      </w:r>
      <w:r w:rsidRPr="003A4E23">
        <w:rPr>
          <w:lang w:val="ru-RU"/>
        </w:rPr>
        <w:t> –166,2 дБ(Вт/м</w:t>
      </w:r>
      <w:r w:rsidRPr="003A4E23">
        <w:rPr>
          <w:vertAlign w:val="superscript"/>
          <w:lang w:val="ru-RU"/>
        </w:rPr>
        <w:t>2</w:t>
      </w:r>
      <w:r w:rsidRPr="003A4E23">
        <w:rPr>
          <w:lang w:val="ru-RU"/>
        </w:rPr>
        <w:t>).</w:t>
      </w:r>
    </w:p>
    <w:p w:rsidR="0041192D" w:rsidRPr="003A4E23" w:rsidRDefault="0041192D" w:rsidP="0041192D">
      <w:pPr>
        <w:rPr>
          <w:lang w:val="ru-RU"/>
        </w:rPr>
      </w:pPr>
      <w:r w:rsidRPr="003A4E23">
        <w:rPr>
          <w:lang w:val="ru-RU"/>
        </w:rPr>
        <w:t>Требуемый уровень защиты: никаких узкополосных побочных излучений выше –166,2 дБ(Вт/м</w:t>
      </w:r>
      <w:r w:rsidRPr="003A4E23">
        <w:rPr>
          <w:vertAlign w:val="superscript"/>
          <w:lang w:val="ru-RU"/>
        </w:rPr>
        <w:t>2</w:t>
      </w:r>
      <w:r w:rsidRPr="003A4E23">
        <w:rPr>
          <w:lang w:val="ru-RU"/>
        </w:rPr>
        <w:t>) на входе любой спутниковой антенны SARP Сарсат.</w:t>
      </w:r>
    </w:p>
    <w:p w:rsidR="0041192D" w:rsidRPr="003A4E23" w:rsidRDefault="0041192D" w:rsidP="0041192D">
      <w:pPr>
        <w:pStyle w:val="Heading1"/>
        <w:rPr>
          <w:lang w:val="ru-RU"/>
        </w:rPr>
      </w:pPr>
      <w:r w:rsidRPr="003A4E23">
        <w:rPr>
          <w:lang w:val="ru-RU"/>
        </w:rPr>
        <w:t>4</w:t>
      </w:r>
      <w:r w:rsidRPr="003A4E23">
        <w:rPr>
          <w:lang w:val="ru-RU"/>
        </w:rPr>
        <w:tab/>
        <w:t>Вывод</w:t>
      </w:r>
    </w:p>
    <w:p w:rsidR="0041192D" w:rsidRPr="003A4E23" w:rsidRDefault="0041192D" w:rsidP="0041192D">
      <w:pPr>
        <w:rPr>
          <w:lang w:val="ru-RU"/>
        </w:rPr>
      </w:pPr>
      <w:r w:rsidRPr="003A4E23">
        <w:rPr>
          <w:lang w:val="ru-RU"/>
        </w:rPr>
        <w:t>Исходя из приведенных выше вычислений делаются следующий вывод и рекомендация, касающиеся воздействия узкополосных побочных излучений на SARP Сарсат: такие излучения не должны превышать –166,2 дБ(Вт/м</w:t>
      </w:r>
      <w:r w:rsidRPr="003A4E23">
        <w:rPr>
          <w:vertAlign w:val="superscript"/>
          <w:lang w:val="ru-RU"/>
        </w:rPr>
        <w:t>2</w:t>
      </w:r>
      <w:r w:rsidRPr="003A4E23">
        <w:rPr>
          <w:lang w:val="ru-RU"/>
        </w:rPr>
        <w:t xml:space="preserve">) на входе любой антенны SARP Сарсат. </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t>Приложение 3</w:t>
      </w:r>
      <w:r w:rsidRPr="003A4E23">
        <w:rPr>
          <w:lang w:val="ru-RU"/>
        </w:rPr>
        <w:br/>
      </w:r>
      <w:r w:rsidRPr="003A4E23">
        <w:rPr>
          <w:lang w:val="ru-RU"/>
        </w:rPr>
        <w:br/>
        <w:t>Руководящие указания по использованию требований к защите полосы частот 406–406,1 МГц (система Коспас-Сарсат)</w:t>
      </w:r>
    </w:p>
    <w:p w:rsidR="0041192D" w:rsidRPr="003A4E23" w:rsidRDefault="0041192D" w:rsidP="0041192D">
      <w:pPr>
        <w:pStyle w:val="Heading1"/>
        <w:rPr>
          <w:lang w:val="ru-RU"/>
        </w:rPr>
      </w:pPr>
      <w:r w:rsidRPr="003A4E23">
        <w:rPr>
          <w:lang w:val="ru-RU"/>
        </w:rPr>
        <w:t>1</w:t>
      </w:r>
      <w:r w:rsidRPr="003A4E23">
        <w:rPr>
          <w:lang w:val="ru-RU"/>
        </w:rPr>
        <w:tab/>
        <w:t>Определения характеристик излучений</w:t>
      </w:r>
    </w:p>
    <w:p w:rsidR="0041192D" w:rsidRPr="003A4E23" w:rsidRDefault="0041192D" w:rsidP="0041192D">
      <w:pPr>
        <w:pStyle w:val="Heading2"/>
        <w:rPr>
          <w:lang w:val="ru-RU"/>
        </w:rPr>
      </w:pPr>
      <w:r w:rsidRPr="003A4E23">
        <w:rPr>
          <w:lang w:val="ru-RU"/>
        </w:rPr>
        <w:t>1.1</w:t>
      </w:r>
      <w:r w:rsidRPr="003A4E23">
        <w:rPr>
          <w:lang w:val="ru-RU"/>
        </w:rPr>
        <w:tab/>
        <w:t>Внеполосное излучение</w:t>
      </w:r>
    </w:p>
    <w:p w:rsidR="0041192D" w:rsidRPr="003A4E23" w:rsidRDefault="0041192D" w:rsidP="0041192D">
      <w:pPr>
        <w:rPr>
          <w:lang w:val="ru-RU"/>
        </w:rPr>
      </w:pPr>
      <w:r w:rsidRPr="003A4E23">
        <w:rPr>
          <w:lang w:val="ru-RU"/>
        </w:rPr>
        <w:t>Излучение на частоте или частотах, непосредственно примыкающих к необходимой ширине полосы частот, которое является результатом процесса модуляции, но не включает побочных излучений.</w:t>
      </w:r>
    </w:p>
    <w:p w:rsidR="0041192D" w:rsidRPr="003A4E23" w:rsidRDefault="0041192D" w:rsidP="0041192D">
      <w:pPr>
        <w:pStyle w:val="Heading2"/>
        <w:rPr>
          <w:lang w:val="ru-RU"/>
        </w:rPr>
      </w:pPr>
      <w:r w:rsidRPr="003A4E23">
        <w:rPr>
          <w:lang w:val="ru-RU"/>
        </w:rPr>
        <w:lastRenderedPageBreak/>
        <w:t>1.2</w:t>
      </w:r>
      <w:r w:rsidRPr="003A4E23">
        <w:rPr>
          <w:lang w:val="ru-RU"/>
        </w:rPr>
        <w:tab/>
        <w:t>Побочное излучение</w:t>
      </w:r>
    </w:p>
    <w:p w:rsidR="0041192D" w:rsidRPr="003A4E23" w:rsidRDefault="0041192D" w:rsidP="0041192D">
      <w:pPr>
        <w:rPr>
          <w:lang w:val="ru-RU"/>
        </w:rPr>
      </w:pPr>
      <w:r w:rsidRPr="003A4E23">
        <w:rPr>
          <w:lang w:val="ru-RU"/>
        </w:rPr>
        <w:t>Излучение на частоте или частотах, расположенных за пределами необходимой ширины полосы частот, уровень которого может быть снижен без ущерба для соответствующей передачи сообщений. К побочным излучениям относятся гармонические излучения, паразитные излучения, продукты интермодуляции и частотного преобразования, но к ним не относятся внеполосные излучения.</w:t>
      </w:r>
    </w:p>
    <w:p w:rsidR="0041192D" w:rsidRPr="003A4E23" w:rsidRDefault="0041192D" w:rsidP="0041192D">
      <w:pPr>
        <w:pStyle w:val="Heading2"/>
        <w:rPr>
          <w:lang w:val="ru-RU"/>
        </w:rPr>
      </w:pPr>
      <w:r w:rsidRPr="003A4E23">
        <w:rPr>
          <w:lang w:val="ru-RU"/>
        </w:rPr>
        <w:t>1.3</w:t>
      </w:r>
      <w:r w:rsidRPr="003A4E23">
        <w:rPr>
          <w:lang w:val="ru-RU"/>
        </w:rPr>
        <w:tab/>
        <w:t>Нежелательные излучения</w:t>
      </w:r>
    </w:p>
    <w:p w:rsidR="0041192D" w:rsidRPr="003A4E23" w:rsidRDefault="0041192D" w:rsidP="0041192D">
      <w:pPr>
        <w:rPr>
          <w:lang w:val="ru-RU"/>
        </w:rPr>
      </w:pPr>
      <w:r w:rsidRPr="003A4E23">
        <w:rPr>
          <w:lang w:val="ru-RU"/>
        </w:rPr>
        <w:t>Состоят из побочных и внеполосных излучений.</w:t>
      </w:r>
    </w:p>
    <w:p w:rsidR="0041192D" w:rsidRPr="003A4E23" w:rsidRDefault="0041192D" w:rsidP="0041192D">
      <w:pPr>
        <w:pStyle w:val="Heading2"/>
        <w:rPr>
          <w:lang w:val="ru-RU"/>
        </w:rPr>
      </w:pPr>
      <w:r w:rsidRPr="003A4E23">
        <w:rPr>
          <w:lang w:val="ru-RU"/>
        </w:rPr>
        <w:t>1.4</w:t>
      </w:r>
      <w:r w:rsidRPr="003A4E23">
        <w:rPr>
          <w:lang w:val="ru-RU"/>
        </w:rPr>
        <w:tab/>
        <w:t>Необходимая ширина полосы</w:t>
      </w:r>
    </w:p>
    <w:p w:rsidR="0041192D" w:rsidRPr="003A4E23" w:rsidRDefault="0041192D" w:rsidP="0041192D">
      <w:pPr>
        <w:rPr>
          <w:lang w:val="ru-RU"/>
        </w:rPr>
      </w:pPr>
      <w:r w:rsidRPr="003A4E23">
        <w:rPr>
          <w:lang w:val="ru-RU"/>
        </w:rPr>
        <w:t>Ширина полосы частот, которая достаточна при данном классе излучения для обеспечения передачи сообщений с необходимой скоростью и качеством при определенных условиях.</w:t>
      </w:r>
    </w:p>
    <w:p w:rsidR="0041192D" w:rsidRPr="003A4E23" w:rsidRDefault="0041192D" w:rsidP="0041192D">
      <w:pPr>
        <w:pStyle w:val="Heading1"/>
        <w:rPr>
          <w:lang w:val="ru-RU"/>
        </w:rPr>
      </w:pPr>
      <w:r w:rsidRPr="003A4E23">
        <w:rPr>
          <w:lang w:val="ru-RU"/>
        </w:rPr>
        <w:t>2</w:t>
      </w:r>
      <w:r w:rsidRPr="003A4E23">
        <w:rPr>
          <w:lang w:val="ru-RU"/>
        </w:rPr>
        <w:tab/>
        <w:t>Процедура вычисления уровня нежелательных излучений, относящихся к SARP Сарсат</w:t>
      </w:r>
    </w:p>
    <w:p w:rsidR="0041192D" w:rsidRPr="003A4E23" w:rsidRDefault="0041192D" w:rsidP="0041192D">
      <w:pPr>
        <w:pStyle w:val="Heading2"/>
        <w:rPr>
          <w:lang w:val="ru-RU"/>
        </w:rPr>
      </w:pPr>
      <w:r w:rsidRPr="003A4E23">
        <w:rPr>
          <w:lang w:val="ru-RU"/>
        </w:rPr>
        <w:t>2.1</w:t>
      </w:r>
      <w:r w:rsidRPr="003A4E23">
        <w:rPr>
          <w:lang w:val="ru-RU"/>
        </w:rPr>
        <w:tab/>
        <w:t>Внеполосные излучения</w:t>
      </w:r>
    </w:p>
    <w:p w:rsidR="0041192D" w:rsidRPr="003A4E23" w:rsidRDefault="0041192D" w:rsidP="0041192D">
      <w:pPr>
        <w:rPr>
          <w:lang w:val="ru-RU"/>
        </w:rPr>
      </w:pPr>
      <w:r w:rsidRPr="003A4E23">
        <w:rPr>
          <w:lang w:val="ru-RU"/>
        </w:rPr>
        <w:t>Единицей измерения нежелательных внеполосных излучений является дБ(Вт/(м</w:t>
      </w:r>
      <w:r w:rsidRPr="003A4E23">
        <w:rPr>
          <w:vertAlign w:val="superscript"/>
          <w:lang w:val="ru-RU"/>
        </w:rPr>
        <w:t>2</w:t>
      </w:r>
      <w:r w:rsidRPr="003A4E23">
        <w:rPr>
          <w:lang w:val="ru-RU"/>
        </w:rPr>
        <w:t> · Гц)) (с.п.п.м.). Общая с.п.п.м. – это фактически суммарная с.п.п.м., которая определяется как сумма всех с.п.п.м. всех потенциальных источников нежелательных внеполосных излучений.</w:t>
      </w:r>
    </w:p>
    <w:p w:rsidR="0041192D" w:rsidRPr="003A4E23" w:rsidRDefault="0041192D" w:rsidP="0041192D">
      <w:pPr>
        <w:pStyle w:val="Heading2"/>
        <w:rPr>
          <w:lang w:val="ru-RU"/>
        </w:rPr>
      </w:pPr>
      <w:r w:rsidRPr="003A4E23">
        <w:rPr>
          <w:lang w:val="ru-RU"/>
        </w:rPr>
        <w:t>2.2</w:t>
      </w:r>
      <w:r w:rsidRPr="003A4E23">
        <w:rPr>
          <w:lang w:val="ru-RU"/>
        </w:rPr>
        <w:tab/>
        <w:t>Побочные излучения</w:t>
      </w:r>
    </w:p>
    <w:p w:rsidR="0041192D" w:rsidRPr="003A4E23" w:rsidRDefault="0041192D" w:rsidP="0041192D">
      <w:pPr>
        <w:rPr>
          <w:lang w:val="ru-RU"/>
        </w:rPr>
      </w:pPr>
      <w:r w:rsidRPr="003A4E23">
        <w:rPr>
          <w:lang w:val="ru-RU"/>
        </w:rPr>
        <w:t>Процессоры приемника системы Коспас-Сарсат разработаны так, чтобы определять дискретные спектральные компоненты (немодулированная несущая радиомаяка). Требование к защите выражается в виде п.п.м., а единицей измерения побочных излучений является дБ(Вт/м</w:t>
      </w:r>
      <w:r w:rsidRPr="003A4E23">
        <w:rPr>
          <w:vertAlign w:val="superscript"/>
          <w:lang w:val="ru-RU"/>
        </w:rPr>
        <w:t>2</w:t>
      </w:r>
      <w:r w:rsidRPr="003A4E23">
        <w:rPr>
          <w:lang w:val="ru-RU"/>
        </w:rPr>
        <w:t>) (п.п.м.).</w:t>
      </w:r>
    </w:p>
    <w:p w:rsidR="0041192D" w:rsidRPr="003A4E23" w:rsidRDefault="0041192D" w:rsidP="0041192D">
      <w:pPr>
        <w:rPr>
          <w:lang w:val="ru-RU"/>
        </w:rPr>
      </w:pPr>
      <w:r w:rsidRPr="003A4E23">
        <w:rPr>
          <w:lang w:val="ru-RU"/>
        </w:rPr>
        <w:t>Ширина полосы по разрешению приемника SARP Сарсат составляет 19 Гц. Это значит, что минимальный частотный интервал между спектральными линиями (также называемый разрешающей способностью спектрального анализа), который может определить приемник SARP Сарсат, равен 19 Гц. Следовательно, уровень побочного излучения должен вычисляться в эталонной полосе шириной 19 Гц.</w:t>
      </w:r>
    </w:p>
    <w:p w:rsidR="0041192D" w:rsidRPr="003A4E23" w:rsidRDefault="0041192D" w:rsidP="0041192D">
      <w:pPr>
        <w:pStyle w:val="Heading2"/>
        <w:rPr>
          <w:lang w:val="ru-RU"/>
        </w:rPr>
      </w:pPr>
      <w:r w:rsidRPr="003A4E23">
        <w:rPr>
          <w:lang w:val="ru-RU"/>
        </w:rPr>
        <w:t>2.3</w:t>
      </w:r>
      <w:r w:rsidRPr="003A4E23">
        <w:rPr>
          <w:lang w:val="ru-RU"/>
        </w:rPr>
        <w:tab/>
        <w:t>Предельные уровни нежелательных излучений</w:t>
      </w:r>
    </w:p>
    <w:p w:rsidR="0041192D" w:rsidRPr="003A4E23" w:rsidRDefault="0041192D" w:rsidP="0041192D">
      <w:pPr>
        <w:rPr>
          <w:lang w:val="ru-RU"/>
        </w:rPr>
      </w:pPr>
      <w:r w:rsidRPr="003A4E23">
        <w:rPr>
          <w:lang w:val="ru-RU"/>
        </w:rPr>
        <w:t>На рисунке 5 приводятся предельные уровни нежелательных излучений.</w:t>
      </w:r>
    </w:p>
    <w:p w:rsidR="0041192D" w:rsidRPr="003A4E23" w:rsidRDefault="0041192D" w:rsidP="0041192D">
      <w:pPr>
        <w:pStyle w:val="FigureNo"/>
        <w:rPr>
          <w:lang w:val="ru-RU"/>
        </w:rPr>
      </w:pPr>
      <w:r w:rsidRPr="003A4E23">
        <w:rPr>
          <w:lang w:val="ru-RU"/>
        </w:rPr>
        <w:lastRenderedPageBreak/>
        <w:t>Рисунок 5</w:t>
      </w:r>
    </w:p>
    <w:p w:rsidR="0041192D" w:rsidRPr="003A4E23" w:rsidRDefault="0041192D" w:rsidP="0041192D">
      <w:pPr>
        <w:pStyle w:val="Figuretitle"/>
        <w:rPr>
          <w:szCs w:val="24"/>
          <w:lang w:val="ru-RU"/>
        </w:rPr>
      </w:pPr>
      <w:r w:rsidRPr="003A4E23">
        <w:rPr>
          <w:lang w:val="ru-RU"/>
        </w:rPr>
        <w:t>Уровни нежелательных излучений</w:t>
      </w:r>
    </w:p>
    <w:p w:rsidR="0041192D" w:rsidRPr="003A4E23" w:rsidRDefault="0041192D" w:rsidP="0041192D">
      <w:pPr>
        <w:pStyle w:val="Figure"/>
        <w:rPr>
          <w:lang w:val="ru-RU"/>
        </w:rPr>
      </w:pPr>
      <w:r w:rsidRPr="003A4E23">
        <w:rPr>
          <w:lang w:val="ru-RU"/>
        </w:rPr>
        <w:object w:dxaOrig="6180" w:dyaOrig="4215">
          <v:shape id="_x0000_i1033" type="#_x0000_t75" style="width:308.65pt;height:211pt" o:ole="">
            <v:imagedata r:id="rId30" o:title=""/>
          </v:shape>
          <o:OLEObject Type="Embed" ProgID="CorelDRAW.Graphic.14" ShapeID="_x0000_i1033" DrawAspect="Content" ObjectID="_1500106749" r:id="rId31"/>
        </w:object>
      </w:r>
    </w:p>
    <w:p w:rsidR="0041192D" w:rsidRPr="003A4E23" w:rsidRDefault="0041192D" w:rsidP="0041192D">
      <w:pPr>
        <w:rPr>
          <w:lang w:val="ru-RU"/>
        </w:rPr>
      </w:pPr>
      <w:r w:rsidRPr="003A4E23">
        <w:rPr>
          <w:lang w:val="ru-RU"/>
        </w:rPr>
        <w:t>Нежелательные внеполосные излучения не должны превышать –198,6 дБ(Вт/(м</w:t>
      </w:r>
      <w:r w:rsidRPr="003A4E23">
        <w:rPr>
          <w:vertAlign w:val="superscript"/>
          <w:lang w:val="ru-RU"/>
        </w:rPr>
        <w:t>2</w:t>
      </w:r>
      <w:r w:rsidRPr="003A4E23">
        <w:rPr>
          <w:lang w:val="ru-RU"/>
        </w:rPr>
        <w:t> · Гц)) на входе любой антенны SARP Сарсат: это значение может быть также преобразовано в спектральную плотность мощности (дБ(Вт/Гц)):</w:t>
      </w:r>
    </w:p>
    <w:p w:rsidR="0041192D" w:rsidRPr="003A4E23" w:rsidRDefault="0041192D" w:rsidP="0041192D">
      <w:pPr>
        <w:pStyle w:val="enumlev1"/>
        <w:rPr>
          <w:lang w:val="ru-RU"/>
        </w:rPr>
      </w:pPr>
      <w:r w:rsidRPr="003A4E23">
        <w:rPr>
          <w:lang w:val="ru-RU"/>
        </w:rPr>
        <w:tab/>
        <w:t xml:space="preserve">–210,1 дБ(Вт/Гц) (на входе SARP) </w:t>
      </w:r>
      <w:r w:rsidRPr="003A4E23">
        <w:rPr>
          <w:rFonts w:ascii="Symbol" w:hAnsi="Symbol"/>
          <w:lang w:val="ru-RU"/>
        </w:rPr>
        <w:t></w:t>
      </w:r>
      <w:r w:rsidRPr="003A4E23">
        <w:rPr>
          <w:lang w:val="ru-RU"/>
        </w:rPr>
        <w:t xml:space="preserve"> 1,6 (потери) </w:t>
      </w:r>
      <w:r w:rsidRPr="003A4E23">
        <w:rPr>
          <w:rFonts w:ascii="Symbol" w:hAnsi="Symbol"/>
          <w:lang w:val="ru-RU"/>
        </w:rPr>
        <w:noBreakHyphen/>
      </w:r>
      <w:r w:rsidRPr="003A4E23">
        <w:rPr>
          <w:lang w:val="ru-RU"/>
        </w:rPr>
        <w:t xml:space="preserve">3,85 (усиление антенны) </w:t>
      </w:r>
      <w:r w:rsidRPr="003A4E23">
        <w:rPr>
          <w:rFonts w:ascii="Symbol" w:hAnsi="Symbol"/>
          <w:lang w:val="ru-RU"/>
        </w:rPr>
        <w:t></w:t>
      </w:r>
      <w:r w:rsidRPr="003A4E23">
        <w:rPr>
          <w:lang w:val="ru-RU"/>
        </w:rPr>
        <w:t xml:space="preserve"> </w:t>
      </w:r>
      <w:r w:rsidRPr="003A4E23">
        <w:rPr>
          <w:lang w:val="ru-RU"/>
        </w:rPr>
        <w:br/>
        <w:t>–212,35 дБ(Вт/Гц) на входе любой антенны SARP Сарсат.</w:t>
      </w:r>
    </w:p>
    <w:p w:rsidR="0041192D" w:rsidRPr="003A4E23" w:rsidRDefault="0041192D" w:rsidP="0041192D">
      <w:pPr>
        <w:rPr>
          <w:lang w:val="ru-RU"/>
        </w:rPr>
      </w:pPr>
      <w:r w:rsidRPr="003A4E23">
        <w:rPr>
          <w:lang w:val="ru-RU"/>
        </w:rPr>
        <w:t>Узкополосные побочные излучения не должны превышать –166,2 дБ(Вт/м</w:t>
      </w:r>
      <w:r w:rsidRPr="003A4E23">
        <w:rPr>
          <w:vertAlign w:val="superscript"/>
          <w:lang w:val="ru-RU"/>
        </w:rPr>
        <w:t>2</w:t>
      </w:r>
      <w:r w:rsidRPr="003A4E23">
        <w:rPr>
          <w:lang w:val="ru-RU"/>
        </w:rPr>
        <w:t>) на входе любой спутниковой антенны SARP Сарсат: это значение может быть также преобразовано в уровень мощности (дБВт):</w:t>
      </w:r>
    </w:p>
    <w:p w:rsidR="0041192D" w:rsidRPr="003A4E23" w:rsidRDefault="0041192D" w:rsidP="0041192D">
      <w:pPr>
        <w:pStyle w:val="enumlev1"/>
        <w:rPr>
          <w:lang w:val="ru-RU"/>
        </w:rPr>
      </w:pPr>
      <w:r w:rsidRPr="003A4E23">
        <w:rPr>
          <w:lang w:val="ru-RU"/>
        </w:rPr>
        <w:tab/>
        <w:t xml:space="preserve">–177,6 дБВт (на входе SARP) </w:t>
      </w:r>
      <w:r w:rsidRPr="003A4E23">
        <w:rPr>
          <w:rFonts w:ascii="Symbol" w:hAnsi="Symbol"/>
          <w:lang w:val="ru-RU"/>
        </w:rPr>
        <w:t></w:t>
      </w:r>
      <w:r w:rsidRPr="003A4E23">
        <w:rPr>
          <w:lang w:val="ru-RU"/>
        </w:rPr>
        <w:t xml:space="preserve"> 1,6 (потери) –3,85 (усиление антенны) </w:t>
      </w:r>
      <w:r w:rsidRPr="003A4E23">
        <w:rPr>
          <w:rFonts w:ascii="Symbol" w:hAnsi="Symbol"/>
          <w:lang w:val="ru-RU"/>
        </w:rPr>
        <w:t></w:t>
      </w:r>
      <w:r w:rsidRPr="003A4E23">
        <w:rPr>
          <w:rFonts w:ascii="Symbol" w:hAnsi="Symbol"/>
          <w:lang w:val="ru-RU"/>
        </w:rPr>
        <w:t></w:t>
      </w:r>
      <w:r w:rsidRPr="003A4E23">
        <w:rPr>
          <w:lang w:val="ru-RU"/>
        </w:rPr>
        <w:t>–179,85 дБВт на входе любой антенны SARP Сарсат.</w:t>
      </w:r>
    </w:p>
    <w:p w:rsidR="0041192D" w:rsidRPr="003A4E23" w:rsidRDefault="0041192D" w:rsidP="0041192D">
      <w:pPr>
        <w:rPr>
          <w:lang w:val="ru-RU"/>
        </w:rPr>
      </w:pPr>
      <w:r w:rsidRPr="003A4E23">
        <w:rPr>
          <w:lang w:val="ru-RU"/>
        </w:rPr>
        <w:t>Все вышеприведенные значения действительны на входе любой антенны SARP Сарсат.</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ppendixNoTitle"/>
        <w:rPr>
          <w:lang w:val="ru-RU"/>
        </w:rPr>
      </w:pPr>
      <w:r w:rsidRPr="003A4E23">
        <w:rPr>
          <w:lang w:val="ru-RU"/>
        </w:rPr>
        <w:t>Приложение 4</w:t>
      </w:r>
      <w:r w:rsidRPr="003A4E23">
        <w:rPr>
          <w:lang w:val="ru-RU"/>
        </w:rPr>
        <w:br/>
      </w:r>
      <w:r w:rsidRPr="003A4E23">
        <w:rPr>
          <w:lang w:val="ru-RU"/>
        </w:rPr>
        <w:br/>
        <w:t xml:space="preserve">Защита первичных служб безопасности, которым распределена полоса </w:t>
      </w:r>
      <w:r w:rsidRPr="003A4E23">
        <w:rPr>
          <w:lang w:val="ru-RU"/>
        </w:rPr>
        <w:br/>
        <w:t xml:space="preserve">406–406,1 МГц (система Коспас-Сарсат), от излучений </w:t>
      </w:r>
      <w:r w:rsidRPr="003A4E23">
        <w:rPr>
          <w:lang w:val="ru-RU"/>
        </w:rPr>
        <w:br/>
        <w:t>ниже 406 МГц линии вниз системы НГСО ПСС</w:t>
      </w:r>
    </w:p>
    <w:p w:rsidR="0041192D" w:rsidRPr="003A4E23" w:rsidRDefault="0041192D" w:rsidP="0041192D">
      <w:pPr>
        <w:pStyle w:val="Heading1"/>
        <w:rPr>
          <w:lang w:val="ru-RU"/>
        </w:rPr>
      </w:pPr>
      <w:r w:rsidRPr="003A4E23">
        <w:rPr>
          <w:lang w:val="ru-RU"/>
        </w:rPr>
        <w:t>1</w:t>
      </w:r>
      <w:r w:rsidRPr="003A4E23">
        <w:rPr>
          <w:lang w:val="ru-RU"/>
        </w:rPr>
        <w:tab/>
        <w:t>Введение</w:t>
      </w:r>
    </w:p>
    <w:p w:rsidR="0041192D" w:rsidRPr="003A4E23" w:rsidRDefault="0041192D" w:rsidP="0041192D">
      <w:pPr>
        <w:rPr>
          <w:lang w:val="ru-RU"/>
        </w:rPr>
      </w:pPr>
      <w:r w:rsidRPr="003A4E23">
        <w:rPr>
          <w:lang w:val="ru-RU"/>
        </w:rPr>
        <w:t>Международная система Коспас-Сарсат действует с 1985 года, и благодаря ей по всему миру уже спасены тысячи жизней. Поэтому важно обеспечить защиту ее надлежащей работы.</w:t>
      </w:r>
    </w:p>
    <w:p w:rsidR="0041192D" w:rsidRPr="003A4E23" w:rsidRDefault="0041192D" w:rsidP="000713F1">
      <w:pPr>
        <w:pStyle w:val="Heading1"/>
        <w:rPr>
          <w:lang w:val="ru-RU"/>
        </w:rPr>
      </w:pPr>
      <w:r w:rsidRPr="003A4E23">
        <w:rPr>
          <w:lang w:val="ru-RU"/>
        </w:rPr>
        <w:t>2</w:t>
      </w:r>
      <w:r w:rsidRPr="003A4E23">
        <w:rPr>
          <w:lang w:val="ru-RU"/>
        </w:rPr>
        <w:tab/>
        <w:t>Базовая информация</w:t>
      </w:r>
    </w:p>
    <w:p w:rsidR="0041192D" w:rsidRPr="003A4E23" w:rsidRDefault="0041192D" w:rsidP="000713F1">
      <w:pPr>
        <w:rPr>
          <w:lang w:val="ru-RU"/>
        </w:rPr>
      </w:pPr>
      <w:r w:rsidRPr="003A4E23">
        <w:rPr>
          <w:lang w:val="ru-RU"/>
        </w:rPr>
        <w:t>В других документах МСЭ содержится существенная информация, касающаяся следующих вопросов:</w:t>
      </w:r>
    </w:p>
    <w:p w:rsidR="0041192D" w:rsidRPr="003A4E23" w:rsidRDefault="0041192D" w:rsidP="000713F1">
      <w:pPr>
        <w:pStyle w:val="enumlev1"/>
        <w:rPr>
          <w:lang w:val="ru-RU"/>
        </w:rPr>
      </w:pPr>
      <w:r w:rsidRPr="003A4E23">
        <w:rPr>
          <w:lang w:val="ru-RU"/>
        </w:rPr>
        <w:t>–</w:t>
      </w:r>
      <w:r w:rsidRPr="003A4E23">
        <w:rPr>
          <w:lang w:val="ru-RU"/>
        </w:rPr>
        <w:tab/>
        <w:t>параметры нескольких сетей НГСО ПСС;</w:t>
      </w:r>
    </w:p>
    <w:p w:rsidR="0041192D" w:rsidRPr="003A4E23" w:rsidRDefault="0041192D" w:rsidP="000713F1">
      <w:pPr>
        <w:pStyle w:val="enumlev1"/>
        <w:rPr>
          <w:lang w:val="ru-RU"/>
        </w:rPr>
      </w:pPr>
      <w:r w:rsidRPr="003A4E23">
        <w:rPr>
          <w:lang w:val="ru-RU"/>
        </w:rPr>
        <w:lastRenderedPageBreak/>
        <w:t>–</w:t>
      </w:r>
      <w:r w:rsidRPr="003A4E23">
        <w:rPr>
          <w:lang w:val="ru-RU"/>
        </w:rPr>
        <w:tab/>
        <w:t>пороговый уровень п.п.м. помех;</w:t>
      </w:r>
    </w:p>
    <w:p w:rsidR="0041192D" w:rsidRPr="003A4E23" w:rsidRDefault="0041192D" w:rsidP="000713F1">
      <w:pPr>
        <w:pStyle w:val="enumlev1"/>
        <w:rPr>
          <w:lang w:val="ru-RU"/>
        </w:rPr>
      </w:pPr>
      <w:r w:rsidRPr="003A4E23">
        <w:rPr>
          <w:lang w:val="ru-RU"/>
        </w:rPr>
        <w:t>–</w:t>
      </w:r>
      <w:r w:rsidRPr="003A4E23">
        <w:rPr>
          <w:lang w:val="ru-RU"/>
        </w:rPr>
        <w:tab/>
        <w:t>защита систем поиска и спасания с использованием методов спектрального формирования или фильтрации.</w:t>
      </w:r>
    </w:p>
    <w:p w:rsidR="0041192D" w:rsidRPr="003A4E23" w:rsidRDefault="0041192D" w:rsidP="000713F1">
      <w:pPr>
        <w:rPr>
          <w:lang w:val="ru-RU"/>
        </w:rPr>
      </w:pPr>
      <w:r w:rsidRPr="003A4E23">
        <w:rPr>
          <w:lang w:val="ru-RU"/>
        </w:rPr>
        <w:t>В Приложении 1 приводятся критерии защиты SARP Сарсат в полосе частот 406–406,1 МГц. В настоящем Приложении дается дополнительная информация о требованиях к защите приемника SARP Коспас.</w:t>
      </w:r>
    </w:p>
    <w:p w:rsidR="0041192D" w:rsidRPr="003A4E23" w:rsidRDefault="0041192D" w:rsidP="000713F1">
      <w:pPr>
        <w:pStyle w:val="Heading1"/>
        <w:rPr>
          <w:lang w:val="ru-RU"/>
        </w:rPr>
      </w:pPr>
      <w:r w:rsidRPr="003A4E23">
        <w:rPr>
          <w:lang w:val="ru-RU"/>
        </w:rPr>
        <w:t>3</w:t>
      </w:r>
      <w:r w:rsidRPr="003A4E23">
        <w:rPr>
          <w:lang w:val="ru-RU"/>
        </w:rPr>
        <w:tab/>
        <w:t>Критерии защиты SARP Коспас в полосе частот 406–406,1 МГц от широкополосных внеполосных излучений</w:t>
      </w:r>
    </w:p>
    <w:p w:rsidR="0041192D" w:rsidRPr="003A4E23" w:rsidRDefault="0041192D" w:rsidP="000713F1">
      <w:pPr>
        <w:rPr>
          <w:lang w:val="ru-RU"/>
        </w:rPr>
      </w:pPr>
      <w:r w:rsidRPr="003A4E23">
        <w:rPr>
          <w:lang w:val="ru-RU"/>
        </w:rPr>
        <w:t xml:space="preserve">Производительность SARP определяется его коэффициентом ошибок по битам (BER) и прямо зависит от отношения сигнала к плотности шума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(дБ(Гц)).</w:t>
      </w:r>
    </w:p>
    <w:p w:rsidR="0041192D" w:rsidRPr="003A4E23" w:rsidRDefault="0041192D" w:rsidP="000713F1">
      <w:pPr>
        <w:rPr>
          <w:lang w:val="ru-RU"/>
        </w:rPr>
      </w:pPr>
      <w:r w:rsidRPr="003A4E23">
        <w:rPr>
          <w:lang w:val="ru-RU"/>
        </w:rPr>
        <w:t>Шумовая температура приемника Коспас составляет 300 K. Номинальная фоновая шумовая температура колеблется от 300 K в Антарктиде до 1000 K в густонаселенных районах. Поскольку сигнал бедствия, передаваемый радиомаяком, может исходить из любой точки планеты и его декодирование не должно быть ухудшено помехами от спутника ПСС, наиболее критический случай для помех возникает при самой низкой фоновой шумовой температуре, то есть 300 K.</w:t>
      </w:r>
    </w:p>
    <w:p w:rsidR="0041192D" w:rsidRPr="003A4E23" w:rsidRDefault="0041192D" w:rsidP="000713F1">
      <w:pPr>
        <w:rPr>
          <w:lang w:val="ru-RU"/>
        </w:rPr>
      </w:pPr>
      <w:r w:rsidRPr="003A4E23">
        <w:rPr>
          <w:lang w:val="ru-RU"/>
        </w:rPr>
        <w:t xml:space="preserve">Ослабление между антенной и приемником SARP Коспас составляет 1,6 дБ. Шумовая температура кабеля равна 300 K. Таким образом, шумовая температура системы на входе приемника SARP равна 600 K, и, следовательно, спектральная плотность шума </w:t>
      </w:r>
      <w:r w:rsidRPr="003A4E23">
        <w:rPr>
          <w:i/>
          <w:iCs/>
          <w:lang w:val="ru-RU"/>
        </w:rPr>
        <w:t>N</w:t>
      </w:r>
      <w:r w:rsidRPr="003A4E23">
        <w:rPr>
          <w:vertAlign w:val="subscript"/>
          <w:lang w:val="ru-RU"/>
        </w:rPr>
        <w:t>0</w:t>
      </w:r>
      <w:r w:rsidRPr="003A4E23">
        <w:rPr>
          <w:lang w:val="ru-RU"/>
        </w:rPr>
        <w:t xml:space="preserve"> составляет –200,82 дБ(Вт/Гц).</w:t>
      </w:r>
    </w:p>
    <w:p w:rsidR="0041192D" w:rsidRPr="003A4E23" w:rsidRDefault="0041192D" w:rsidP="000713F1">
      <w:pPr>
        <w:rPr>
          <w:lang w:val="ru-RU"/>
        </w:rPr>
      </w:pPr>
      <w:r w:rsidRPr="003A4E23">
        <w:rPr>
          <w:lang w:val="ru-RU"/>
        </w:rPr>
        <w:t>Заданная величина BER для SARP Коспас составляет менее чем 1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В соответствии с теоретической производительностью двухпозиционной фазовой манипуляции это соответствует отношению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xml:space="preserve"> 9,6 дБ в битовом детекторе SARP. </w:t>
      </w:r>
    </w:p>
    <w:p w:rsidR="0041192D" w:rsidRPr="003A4E23" w:rsidRDefault="0041192D" w:rsidP="000713F1">
      <w:pPr>
        <w:rPr>
          <w:lang w:val="ru-RU"/>
        </w:rPr>
      </w:pPr>
      <w:r w:rsidRPr="003A4E23">
        <w:rPr>
          <w:lang w:val="ru-RU"/>
        </w:rPr>
        <w:t>Как определено в исследованиях МСЭ-R, максимальный приемлемый BER в линии вверх системы Коспас-Сарсат не должен превышать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что достигается при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8,8 дБ.</w:t>
      </w:r>
    </w:p>
    <w:p w:rsidR="0041192D" w:rsidRPr="003A4E23" w:rsidRDefault="0041192D" w:rsidP="000713F1">
      <w:pPr>
        <w:rPr>
          <w:lang w:val="ru-RU"/>
        </w:rPr>
      </w:pPr>
      <w:r w:rsidRPr="003A4E23">
        <w:rPr>
          <w:lang w:val="ru-RU"/>
        </w:rPr>
        <w:t xml:space="preserve">Поэтому максимальное приемлемое ухудшение для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xml:space="preserve"> составляет 0,8 дБ, что соответствует увеличению плотности шума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–200,02 дБ(Вт/Гц).</w:t>
      </w:r>
    </w:p>
    <w:p w:rsidR="0041192D" w:rsidRPr="003A4E23" w:rsidRDefault="0041192D" w:rsidP="000713F1">
      <w:pPr>
        <w:rPr>
          <w:lang w:val="ru-RU"/>
        </w:rPr>
      </w:pPr>
      <w:r w:rsidRPr="003A4E23">
        <w:rPr>
          <w:lang w:val="ru-RU"/>
        </w:rPr>
        <w:t xml:space="preserve">Если </w:t>
      </w:r>
      <w:r w:rsidRPr="003A4E23">
        <w:rPr>
          <w:i/>
          <w:lang w:val="ru-RU"/>
        </w:rPr>
        <w:t>I</w:t>
      </w:r>
      <w:r w:rsidRPr="003A4E23">
        <w:rPr>
          <w:lang w:val="ru-RU"/>
        </w:rPr>
        <w:t xml:space="preserve"> показывает значение плотности мощности аддитивного шума, созданного помехами, источником которых являются системы НГСО ПСС, то значение плотности шума становится равным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lang w:val="ru-RU"/>
        </w:rPr>
        <w:t xml:space="preserve">, а отношение битовой энергии к плотности шума становится равным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lang w:val="ru-RU"/>
        </w:rPr>
        <w:t>).</w:t>
      </w:r>
    </w:p>
    <w:p w:rsidR="0041192D" w:rsidRPr="003A4E23" w:rsidRDefault="0041192D" w:rsidP="000713F1">
      <w:pPr>
        <w:rPr>
          <w:lang w:val="ru-RU"/>
        </w:rPr>
      </w:pPr>
      <w:r w:rsidRPr="003A4E23">
        <w:rPr>
          <w:lang w:val="ru-RU"/>
        </w:rPr>
        <w:t xml:space="preserve">Приемлемое ухудшение составляет 0,8 дБ </w:t>
      </w:r>
      <w:r w:rsidRPr="003A4E23">
        <w:rPr>
          <w:rFonts w:ascii="Symbol" w:hAnsi="Symbol"/>
          <w:lang w:val="ru-RU"/>
        </w:rPr>
        <w:t></w:t>
      </w:r>
      <w:r w:rsidRPr="003A4E23">
        <w:rPr>
          <w:lang w:val="ru-RU"/>
        </w:rPr>
        <w:t xml:space="preserve"> 10 log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lang w:val="ru-RU"/>
        </w:rPr>
        <w:t xml:space="preserve">))). Таким образом, </w:t>
      </w:r>
      <w:r w:rsidRPr="003A4E23">
        <w:rPr>
          <w:i/>
          <w:lang w:val="ru-RU"/>
        </w:rPr>
        <w:t>I</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Symbol" w:hAnsi="Symbol"/>
          <w:lang w:val="ru-RU"/>
        </w:rPr>
        <w:noBreakHyphen/>
      </w:r>
      <w:r w:rsidRPr="003A4E23">
        <w:rPr>
          <w:lang w:val="ru-RU"/>
        </w:rPr>
        <w:t xml:space="preserve">6,94 дБ, а </w:t>
      </w:r>
      <w:r w:rsidRPr="003A4E23">
        <w:rPr>
          <w:i/>
          <w:lang w:val="ru-RU"/>
        </w:rPr>
        <w:t>I</w:t>
      </w:r>
      <w:r w:rsidRPr="003A4E23">
        <w:rPr>
          <w:lang w:val="ru-RU"/>
        </w:rPr>
        <w:t> </w:t>
      </w:r>
      <w:r w:rsidRPr="003A4E23">
        <w:rPr>
          <w:rFonts w:ascii="Symbol" w:hAnsi="Symbol"/>
          <w:lang w:val="ru-RU"/>
        </w:rPr>
        <w:t></w:t>
      </w:r>
      <w:r w:rsidRPr="003A4E23">
        <w:rPr>
          <w:lang w:val="ru-RU"/>
        </w:rPr>
        <w:t> </w:t>
      </w:r>
      <w:r w:rsidRPr="003A4E23">
        <w:rPr>
          <w:rFonts w:ascii="Symbol" w:hAnsi="Symbol"/>
          <w:lang w:val="ru-RU"/>
        </w:rPr>
        <w:noBreakHyphen/>
      </w:r>
      <w:r w:rsidRPr="003A4E23">
        <w:rPr>
          <w:lang w:val="ru-RU"/>
        </w:rPr>
        <w:t>207,8 дБ(Вт/Гц), что соответствует увеличению шумовой температуры на 120,23 K (увеличение на 20% шумовой температуры системы на входе приемника SARP Коспас).</w:t>
      </w:r>
    </w:p>
    <w:p w:rsidR="0041192D" w:rsidRPr="003A4E23" w:rsidRDefault="0041192D" w:rsidP="000713F1">
      <w:pPr>
        <w:rPr>
          <w:lang w:val="ru-RU"/>
        </w:rPr>
      </w:pPr>
      <w:r w:rsidRPr="003A4E23">
        <w:rPr>
          <w:lang w:val="ru-RU"/>
        </w:rPr>
        <w:t xml:space="preserve">Максимальный допустимый уровень плотности шума </w:t>
      </w:r>
      <w:r w:rsidRPr="003A4E23">
        <w:rPr>
          <w:i/>
          <w:lang w:val="ru-RU"/>
        </w:rPr>
        <w:t>I</w:t>
      </w:r>
      <w:r w:rsidRPr="003A4E23">
        <w:rPr>
          <w:lang w:val="ru-RU"/>
        </w:rPr>
        <w:t xml:space="preserve"> составляет –207,8 дБ(Вт/Гц) на входе спутникового приемника. </w:t>
      </w:r>
    </w:p>
    <w:p w:rsidR="0041192D" w:rsidRPr="003A4E23" w:rsidRDefault="0041192D" w:rsidP="000713F1">
      <w:pPr>
        <w:rPr>
          <w:lang w:val="ru-RU"/>
        </w:rPr>
      </w:pPr>
      <w:r w:rsidRPr="003A4E23">
        <w:rPr>
          <w:lang w:val="ru-RU"/>
        </w:rPr>
        <w:t xml:space="preserve">Плотность шума </w:t>
      </w:r>
      <w:r w:rsidRPr="003A4E23">
        <w:rPr>
          <w:i/>
          <w:lang w:val="ru-RU"/>
        </w:rPr>
        <w:t>I</w:t>
      </w:r>
      <w:r w:rsidRPr="003A4E23">
        <w:rPr>
          <w:lang w:val="ru-RU"/>
        </w:rPr>
        <w:t xml:space="preserve"> учитывает ослабление между антенной и приемником и усиление антенны. Чтобы выразить это значение в с.п.п.м., необходимо преобразовать его в дБ(Вт/(м</w:t>
      </w:r>
      <w:r w:rsidRPr="003A4E23">
        <w:rPr>
          <w:vertAlign w:val="superscript"/>
          <w:lang w:val="ru-RU"/>
        </w:rPr>
        <w:t>2</w:t>
      </w:r>
      <w:r w:rsidRPr="003A4E23">
        <w:rPr>
          <w:szCs w:val="24"/>
          <w:lang w:val="ru-RU"/>
        </w:rPr>
        <w:t> · </w:t>
      </w:r>
      <w:r w:rsidRPr="003A4E23">
        <w:rPr>
          <w:lang w:val="ru-RU"/>
        </w:rPr>
        <w:t xml:space="preserve">Гц)). Эквивалентная площадь поверхности антенны с усилением </w:t>
      </w:r>
      <w:r w:rsidRPr="003A4E23">
        <w:rPr>
          <w:i/>
          <w:lang w:val="ru-RU"/>
        </w:rPr>
        <w:t>G</w:t>
      </w:r>
      <w:r w:rsidRPr="003A4E23">
        <w:rPr>
          <w:lang w:val="ru-RU"/>
        </w:rPr>
        <w:t xml:space="preserve"> определяется как </w:t>
      </w:r>
      <w:r w:rsidRPr="003A4E23">
        <w:rPr>
          <w:position w:val="-22"/>
          <w:lang w:val="ru-RU"/>
        </w:rPr>
        <w:object w:dxaOrig="915" w:dyaOrig="615">
          <v:shape id="_x0000_i1034" type="#_x0000_t75" style="width:45.7pt;height:30.7pt" o:ole="">
            <v:imagedata r:id="rId32" o:title=""/>
          </v:shape>
          <o:OLEObject Type="Embed" ProgID="Equation.3" ShapeID="_x0000_i1034" DrawAspect="Content" ObjectID="_1500106750" r:id="rId33"/>
        </w:object>
      </w:r>
      <w:r w:rsidRPr="003A4E23">
        <w:rPr>
          <w:lang w:val="ru-RU"/>
        </w:rPr>
        <w:t xml:space="preserve">. Поскольку максимальное усиление спиральной конусной антенны, установленной на космическом аппарате Коспас, равно 6 дБи, площадь </w:t>
      </w:r>
      <w:r w:rsidRPr="003A4E23">
        <w:rPr>
          <w:i/>
          <w:lang w:val="ru-RU"/>
        </w:rPr>
        <w:t>S</w:t>
      </w:r>
      <w:r w:rsidRPr="003A4E23">
        <w:rPr>
          <w:lang w:val="ru-RU"/>
        </w:rPr>
        <w:t> </w:t>
      </w:r>
      <w:r w:rsidRPr="003A4E23">
        <w:rPr>
          <w:rFonts w:ascii="Symbol" w:hAnsi="Symbol"/>
          <w:lang w:val="ru-RU"/>
        </w:rPr>
        <w:t></w:t>
      </w:r>
      <w:r w:rsidRPr="003A4E23">
        <w:rPr>
          <w:lang w:val="ru-RU"/>
        </w:rPr>
        <w:t> 0,174 м</w:t>
      </w:r>
      <w:r w:rsidRPr="003A4E23">
        <w:rPr>
          <w:vertAlign w:val="superscript"/>
          <w:lang w:val="ru-RU"/>
        </w:rPr>
        <w:t>2</w:t>
      </w:r>
      <w:r w:rsidRPr="003A4E23">
        <w:rPr>
          <w:lang w:val="ru-RU"/>
        </w:rPr>
        <w:t>. Поэтому соответствующая с.п.п.м. равна –207,8 </w:t>
      </w:r>
      <w:r w:rsidRPr="003A4E23">
        <w:rPr>
          <w:rFonts w:ascii="Symbol" w:hAnsi="Symbol"/>
          <w:lang w:val="ru-RU"/>
        </w:rPr>
        <w:t></w:t>
      </w:r>
      <w:r w:rsidRPr="003A4E23">
        <w:rPr>
          <w:lang w:val="ru-RU"/>
        </w:rPr>
        <w:t> 1,6 (потери) – 10 log</w:t>
      </w:r>
      <w:r w:rsidRPr="003A4E23">
        <w:rPr>
          <w:vertAlign w:val="subscript"/>
          <w:lang w:val="ru-RU"/>
        </w:rPr>
        <w:t>10</w:t>
      </w:r>
      <w:r w:rsidRPr="003A4E23">
        <w:rPr>
          <w:lang w:val="ru-RU"/>
        </w:rPr>
        <w:t xml:space="preserve"> </w:t>
      </w:r>
      <w:r w:rsidRPr="003A4E23">
        <w:rPr>
          <w:i/>
          <w:lang w:val="ru-RU"/>
        </w:rPr>
        <w:t>S</w:t>
      </w:r>
      <w:r w:rsidRPr="003A4E23">
        <w:rPr>
          <w:lang w:val="ru-RU"/>
        </w:rPr>
        <w:t> </w:t>
      </w:r>
      <w:r w:rsidRPr="003A4E23">
        <w:rPr>
          <w:rFonts w:ascii="Symbol" w:hAnsi="Symbol"/>
          <w:lang w:val="ru-RU"/>
        </w:rPr>
        <w:t></w:t>
      </w:r>
      <w:r w:rsidRPr="003A4E23">
        <w:rPr>
          <w:lang w:val="ru-RU"/>
        </w:rPr>
        <w:t> –198,6 дБ(Вт/(м</w:t>
      </w:r>
      <w:r w:rsidRPr="003A4E23">
        <w:rPr>
          <w:vertAlign w:val="superscript"/>
          <w:lang w:val="ru-RU"/>
        </w:rPr>
        <w:t>2</w:t>
      </w:r>
      <w:r w:rsidRPr="003A4E23">
        <w:rPr>
          <w:szCs w:val="24"/>
          <w:lang w:val="ru-RU"/>
        </w:rPr>
        <w:t> · </w:t>
      </w:r>
      <w:r w:rsidRPr="003A4E23">
        <w:rPr>
          <w:lang w:val="ru-RU"/>
        </w:rPr>
        <w:t>Гц)).</w:t>
      </w:r>
    </w:p>
    <w:p w:rsidR="0041192D" w:rsidRPr="003A4E23" w:rsidRDefault="0041192D" w:rsidP="000713F1">
      <w:pPr>
        <w:rPr>
          <w:b/>
          <w:szCs w:val="24"/>
          <w:lang w:val="ru-RU"/>
        </w:rPr>
      </w:pPr>
      <w:r w:rsidRPr="003A4E23">
        <w:rPr>
          <w:szCs w:val="24"/>
          <w:lang w:val="ru-RU"/>
        </w:rPr>
        <w:t>В целях обеспечения надлежащей защиты оборудования SARP Коспас максимальный уровень широкополосных шумовых помех в полосе частот 406–406,1 МГц не должен превышать −198,6 дБ(Вт/(м</w:t>
      </w:r>
      <w:r w:rsidRPr="003A4E23">
        <w:rPr>
          <w:szCs w:val="24"/>
          <w:vertAlign w:val="superscript"/>
          <w:lang w:val="ru-RU"/>
        </w:rPr>
        <w:t>2</w:t>
      </w:r>
      <w:r w:rsidRPr="003A4E23">
        <w:rPr>
          <w:szCs w:val="24"/>
          <w:lang w:val="ru-RU"/>
        </w:rPr>
        <w:t> · Гц)).</w:t>
      </w:r>
    </w:p>
    <w:p w:rsidR="0041192D" w:rsidRPr="003A4E23" w:rsidRDefault="0041192D" w:rsidP="000713F1">
      <w:pPr>
        <w:pStyle w:val="Heading1"/>
        <w:rPr>
          <w:lang w:val="ru-RU"/>
        </w:rPr>
      </w:pPr>
      <w:r w:rsidRPr="003A4E23">
        <w:rPr>
          <w:lang w:val="ru-RU"/>
        </w:rPr>
        <w:lastRenderedPageBreak/>
        <w:t>4</w:t>
      </w:r>
      <w:r w:rsidRPr="003A4E23">
        <w:rPr>
          <w:lang w:val="ru-RU"/>
        </w:rPr>
        <w:tab/>
        <w:t>Критерии защиты SARP Коспас в полосе частот 406–406,1 МГц от узкополосных побочных излучений</w:t>
      </w:r>
    </w:p>
    <w:p w:rsidR="0041192D" w:rsidRPr="003A4E23" w:rsidRDefault="0041192D" w:rsidP="000713F1">
      <w:pPr>
        <w:rPr>
          <w:lang w:val="ru-RU"/>
        </w:rPr>
      </w:pPr>
      <w:r w:rsidRPr="003A4E23">
        <w:rPr>
          <w:lang w:val="ru-RU"/>
        </w:rPr>
        <w:t>SARP Коспас непрерывно сканирует полосу частот 406–406,1 МГц (длительность одного сканирования составляет 60 мс) в поисках сигналов от радиомаяков, которые превышают порог обнаружения SARP. После того как сигнал будет обнаружен, модуль восстановления данных (DRU) SARP будет заблокирован по меньшей мере в течение 520 мс на частоте сигнала. Одиночный мешающий сигнал от спутника ПСС в полосе частот 406–406,1 МГц может занять оба бортовых модуля DRU, делая спутник Коспас недоступным для обработки реальных сигналов бедствия от радиомаяков.</w:t>
      </w:r>
    </w:p>
    <w:p w:rsidR="0041192D" w:rsidRPr="003A4E23" w:rsidRDefault="0041192D" w:rsidP="000713F1">
      <w:pPr>
        <w:rPr>
          <w:lang w:val="ru-RU"/>
        </w:rPr>
      </w:pPr>
      <w:r w:rsidRPr="003A4E23">
        <w:rPr>
          <w:lang w:val="ru-RU"/>
        </w:rPr>
        <w:t xml:space="preserve">В целях удовлетворения требованиям к системам поиска и спасания по производительности в отношении низкомощных радиомаяков, передающих сигналы бедствия, SARP Коспас разработан так, чтобы обнаруживать и обрабатывать крайне слабые сигналы. Его характеристики таковы, что любое излучение </w:t>
      </w:r>
      <w:r w:rsidRPr="003A4E23">
        <w:rPr>
          <w:i/>
          <w:lang w:val="ru-RU"/>
        </w:rPr>
        <w:t>C</w:t>
      </w:r>
      <w:r w:rsidRPr="003A4E23">
        <w:rPr>
          <w:i/>
          <w:vertAlign w:val="subscript"/>
          <w:lang w:val="ru-RU"/>
        </w:rPr>
        <w:t>min</w:t>
      </w:r>
      <w:r w:rsidRPr="003A4E23">
        <w:rPr>
          <w:lang w:val="ru-RU"/>
        </w:rPr>
        <w:t>, превышающее уровень плотности мощности локального шума на 21 дБ (</w:t>
      </w:r>
      <w:r w:rsidRPr="003A4E23">
        <w:rPr>
          <w:i/>
          <w:lang w:val="ru-RU"/>
        </w:rPr>
        <w:t>C</w:t>
      </w:r>
      <w:r w:rsidRPr="003A4E23">
        <w:rPr>
          <w:i/>
          <w:vertAlign w:val="subscript"/>
          <w:lang w:val="ru-RU"/>
        </w:rPr>
        <w:t>min</w:t>
      </w:r>
      <w:r w:rsidRPr="003A4E23">
        <w:rPr>
          <w:rFonts w:ascii="Tms Rmn" w:hAnsi="Tms Rmn"/>
          <w:sz w:val="4"/>
          <w:lang w:val="ru-RU"/>
        </w:rPr>
        <w:t> </w:t>
      </w:r>
      <w:r w:rsidRPr="003A4E23">
        <w:rPr>
          <w:lang w:val="ru-RU"/>
        </w:rPr>
        <w:t>/</w:t>
      </w:r>
      <w:r w:rsidRPr="003A4E23">
        <w:rPr>
          <w:rFonts w:ascii="Tms Rmn" w:hAnsi="Tms Rmn"/>
          <w:sz w:val="4"/>
          <w:lang w:val="ru-RU"/>
        </w:rPr>
        <w:t>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21 дБ(Гц)), будет направлено на DRU для дополнительной обработки. Следовательно, любые мешающие сигналы в обрабатываемой полосе пропускания 406–406,1 МГц, соответствующие этим критериям, вызовут их обработку модулем DRU. Поэтому сообщение от радиомаяка будет потеряно, даже если узкополосный мешающий сигнал не повлиял напрямую на сигнал радиомаяка.</w:t>
      </w:r>
    </w:p>
    <w:p w:rsidR="0041192D" w:rsidRPr="003A4E23" w:rsidRDefault="0041192D" w:rsidP="000713F1">
      <w:pPr>
        <w:rPr>
          <w:lang w:val="ru-RU"/>
        </w:rPr>
      </w:pPr>
      <w:r w:rsidRPr="003A4E23">
        <w:rPr>
          <w:lang w:val="ru-RU"/>
        </w:rPr>
        <w:t xml:space="preserve">Было вычислено, что спектральная плотность шума </w:t>
      </w:r>
      <w:r w:rsidRPr="003A4E23">
        <w:rPr>
          <w:i/>
          <w:lang w:val="ru-RU"/>
        </w:rPr>
        <w:t>N</w:t>
      </w:r>
      <w:r w:rsidRPr="003A4E23">
        <w:rPr>
          <w:vertAlign w:val="subscript"/>
          <w:lang w:val="ru-RU"/>
        </w:rPr>
        <w:t>0</w:t>
      </w:r>
      <w:r w:rsidRPr="003A4E23">
        <w:rPr>
          <w:lang w:val="ru-RU"/>
        </w:rPr>
        <w:t xml:space="preserve"> составляет –200,82 дБ(Вт/Гц).</w:t>
      </w:r>
    </w:p>
    <w:p w:rsidR="0041192D" w:rsidRPr="003A4E23" w:rsidRDefault="0041192D" w:rsidP="000713F1">
      <w:pPr>
        <w:rPr>
          <w:lang w:val="ru-RU"/>
        </w:rPr>
      </w:pPr>
      <w:r w:rsidRPr="003A4E23">
        <w:rPr>
          <w:lang w:val="ru-RU"/>
        </w:rPr>
        <w:t xml:space="preserve">Поскольку </w:t>
      </w:r>
      <w:r w:rsidRPr="003A4E23">
        <w:rPr>
          <w:i/>
          <w:lang w:val="ru-RU"/>
        </w:rPr>
        <w:t>C</w:t>
      </w:r>
      <w:r w:rsidRPr="003A4E23">
        <w:rPr>
          <w:i/>
          <w:vertAlign w:val="subscript"/>
          <w:lang w:val="ru-RU"/>
        </w:rPr>
        <w:t>min</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xml:space="preserve"> 21 дБ(Гц), то </w:t>
      </w:r>
      <w:r w:rsidRPr="003A4E23">
        <w:rPr>
          <w:i/>
          <w:lang w:val="ru-RU"/>
        </w:rPr>
        <w:t>C</w:t>
      </w:r>
      <w:r w:rsidRPr="003A4E23">
        <w:rPr>
          <w:i/>
          <w:vertAlign w:val="subscript"/>
          <w:lang w:val="ru-RU"/>
        </w:rPr>
        <w:t>min</w:t>
      </w:r>
      <w:r w:rsidRPr="003A4E23">
        <w:rPr>
          <w:lang w:val="ru-RU"/>
        </w:rPr>
        <w:t> </w:t>
      </w:r>
      <w:r w:rsidRPr="003A4E23">
        <w:rPr>
          <w:rFonts w:ascii="Symbol" w:hAnsi="Symbol"/>
          <w:lang w:val="ru-RU"/>
        </w:rPr>
        <w:t></w:t>
      </w:r>
      <w:r w:rsidRPr="003A4E23">
        <w:rPr>
          <w:lang w:val="ru-RU"/>
        </w:rPr>
        <w:t> –179,82 дБВт. Следовательно, любое узкополосное побочное излучение, превышающее –179,82 дБВт на входе SARP, вызовет ухудшение производительности обработки сигналов от радиомаяка системой SARP Коспас.</w:t>
      </w:r>
    </w:p>
    <w:p w:rsidR="0041192D" w:rsidRPr="003A4E23" w:rsidRDefault="0041192D" w:rsidP="000713F1">
      <w:pPr>
        <w:rPr>
          <w:lang w:val="ru-RU"/>
        </w:rPr>
      </w:pPr>
      <w:r w:rsidRPr="003A4E23">
        <w:rPr>
          <w:lang w:val="ru-RU"/>
        </w:rPr>
        <w:t xml:space="preserve">Максимальное усиление приемной антенны SARP Коспас составляет 6 дБи. Поэтому максимальная допустимая мощность на входе антенны равна –179,82 </w:t>
      </w:r>
      <w:r w:rsidRPr="003A4E23">
        <w:rPr>
          <w:rFonts w:ascii="Symbol" w:hAnsi="Symbol"/>
          <w:lang w:val="ru-RU"/>
        </w:rPr>
        <w:t></w:t>
      </w:r>
      <w:r w:rsidRPr="003A4E23">
        <w:rPr>
          <w:lang w:val="ru-RU"/>
        </w:rPr>
        <w:t xml:space="preserve"> 1,6 (потери) </w:t>
      </w:r>
      <w:r w:rsidRPr="003A4E23">
        <w:rPr>
          <w:rFonts w:ascii="Symbol" w:hAnsi="Symbol"/>
          <w:lang w:val="ru-RU"/>
        </w:rPr>
        <w:t></w:t>
      </w:r>
      <w:r w:rsidRPr="003A4E23">
        <w:rPr>
          <w:rFonts w:ascii="Symbol" w:hAnsi="Symbol"/>
          <w:lang w:val="ru-RU"/>
        </w:rPr>
        <w:t></w:t>
      </w:r>
      <w:r w:rsidRPr="003A4E23">
        <w:rPr>
          <w:lang w:val="ru-RU"/>
        </w:rPr>
        <w:t>–178,22 дБВт. Поскольку требуется определить п.п.м., необходимо преобразовать этот коэффициент в дБ(Вт/м</w:t>
      </w:r>
      <w:r w:rsidRPr="003A4E23">
        <w:rPr>
          <w:vertAlign w:val="superscript"/>
          <w:lang w:val="ru-RU"/>
        </w:rPr>
        <w:t>2</w:t>
      </w:r>
      <w:r w:rsidRPr="003A4E23">
        <w:rPr>
          <w:lang w:val="ru-RU"/>
        </w:rPr>
        <w:t xml:space="preserve">). Эквивалентная площадь поверхности антенны, имеющей усиление </w:t>
      </w:r>
      <w:r w:rsidRPr="003A4E23">
        <w:rPr>
          <w:i/>
          <w:lang w:val="ru-RU"/>
        </w:rPr>
        <w:t>G </w:t>
      </w:r>
      <w:r w:rsidRPr="003A4E23">
        <w:rPr>
          <w:lang w:val="ru-RU"/>
        </w:rPr>
        <w:t>= 6 </w:t>
      </w:r>
      <w:proofErr w:type="spellStart"/>
      <w:r w:rsidRPr="003A4E23">
        <w:rPr>
          <w:lang w:val="ru-RU"/>
        </w:rPr>
        <w:t>дБи</w:t>
      </w:r>
      <w:proofErr w:type="spellEnd"/>
      <w:r w:rsidRPr="003A4E23">
        <w:rPr>
          <w:lang w:val="ru-RU"/>
        </w:rPr>
        <w:t xml:space="preserve">, определяется как </w:t>
      </w:r>
      <w:r w:rsidRPr="003A4E23">
        <w:rPr>
          <w:position w:val="-22"/>
          <w:lang w:val="ru-RU"/>
        </w:rPr>
        <w:object w:dxaOrig="1920" w:dyaOrig="615">
          <v:shape id="_x0000_i1035" type="#_x0000_t75" style="width:96.4pt;height:30.7pt" o:ole="">
            <v:imagedata r:id="rId34" o:title=""/>
          </v:shape>
          <o:OLEObject Type="Embed" ProgID="Equation.3" ShapeID="_x0000_i1035" DrawAspect="Content" ObjectID="_1500106751" r:id="rId35"/>
        </w:object>
      </w:r>
      <w:r w:rsidRPr="003A4E23">
        <w:rPr>
          <w:lang w:val="ru-RU"/>
        </w:rPr>
        <w:t xml:space="preserve"> Отсюда соответствующая плотность потока мощности (п.п.м.) равна </w:t>
      </w:r>
      <w:r w:rsidRPr="003A4E23">
        <w:rPr>
          <w:lang w:val="ru-RU"/>
        </w:rPr>
        <w:br/>
        <w:t>–178,2 – 10 log</w:t>
      </w:r>
      <w:r w:rsidRPr="003A4E23">
        <w:rPr>
          <w:position w:val="-4"/>
          <w:sz w:val="16"/>
          <w:lang w:val="ru-RU"/>
        </w:rPr>
        <w:t>10</w:t>
      </w:r>
      <w:r w:rsidRPr="003A4E23">
        <w:rPr>
          <w:lang w:val="ru-RU"/>
        </w:rPr>
        <w:t xml:space="preserve"> </w:t>
      </w:r>
      <w:r w:rsidRPr="003A4E23">
        <w:rPr>
          <w:i/>
          <w:lang w:val="ru-RU"/>
        </w:rPr>
        <w:t>S</w:t>
      </w:r>
      <w:r w:rsidRPr="003A4E23">
        <w:rPr>
          <w:lang w:val="ru-RU"/>
        </w:rPr>
        <w:t> </w:t>
      </w:r>
      <w:r w:rsidRPr="003A4E23">
        <w:rPr>
          <w:rFonts w:ascii="Symbol" w:hAnsi="Symbol"/>
          <w:lang w:val="ru-RU"/>
        </w:rPr>
        <w:t></w:t>
      </w:r>
      <w:r w:rsidRPr="003A4E23">
        <w:rPr>
          <w:lang w:val="ru-RU"/>
        </w:rPr>
        <w:t> –170,6 дБ(Вт/м</w:t>
      </w:r>
      <w:r w:rsidRPr="003A4E23">
        <w:rPr>
          <w:vertAlign w:val="superscript"/>
          <w:lang w:val="ru-RU"/>
        </w:rPr>
        <w:t>2</w:t>
      </w:r>
      <w:r w:rsidRPr="003A4E23">
        <w:rPr>
          <w:lang w:val="ru-RU"/>
        </w:rPr>
        <w:t>).</w:t>
      </w:r>
    </w:p>
    <w:p w:rsidR="0041192D" w:rsidRPr="003A4E23" w:rsidRDefault="0041192D" w:rsidP="000713F1">
      <w:pPr>
        <w:rPr>
          <w:lang w:val="ru-RU"/>
        </w:rPr>
      </w:pPr>
      <w:r w:rsidRPr="003A4E23">
        <w:rPr>
          <w:lang w:val="ru-RU"/>
        </w:rPr>
        <w:t>Максимальный уровень узкополосных побочных излучений не должен превышать –170,6 дБ(Вт/м</w:t>
      </w:r>
      <w:r w:rsidRPr="003A4E23">
        <w:rPr>
          <w:vertAlign w:val="superscript"/>
          <w:lang w:val="ru-RU"/>
        </w:rPr>
        <w:t>2</w:t>
      </w:r>
      <w:r w:rsidRPr="003A4E23">
        <w:rPr>
          <w:lang w:val="ru-RU"/>
        </w:rPr>
        <w:t>) на входе спутниковой антенны SARP Коспас, чтобы обеспечить надлежащую защиту оборудования SARP Коспас.</w:t>
      </w:r>
    </w:p>
    <w:p w:rsidR="0041192D" w:rsidRPr="003A4E23" w:rsidRDefault="0041192D" w:rsidP="000713F1">
      <w:pPr>
        <w:rPr>
          <w:lang w:val="ru-RU"/>
        </w:rPr>
      </w:pPr>
      <w:r w:rsidRPr="003A4E23">
        <w:rPr>
          <w:lang w:val="ru-RU"/>
        </w:rPr>
        <w:t>Процессоры приемника системы Коспас-Сарсат разработаны так, чтобы определять дискретные спектральные компоненты (немодулированная несущая радиомаяка). Поэтому требование к защите выражается скорее в виде спектра мощности, а не спектральной плотности мощности, и единицей измерения побочных излучений является дБ(Вт/м</w:t>
      </w:r>
      <w:r w:rsidRPr="003A4E23">
        <w:rPr>
          <w:vertAlign w:val="superscript"/>
          <w:lang w:val="ru-RU"/>
        </w:rPr>
        <w:t>2</w:t>
      </w:r>
      <w:r w:rsidRPr="003A4E23">
        <w:rPr>
          <w:lang w:val="ru-RU"/>
        </w:rPr>
        <w:t>) (п.п.м.). Ширина полосы по разрешению приемника SARP Коспас составляет 40 Гц. Следовательно, минимальный частотный интервал между спектральными линиями (также называемый разрешающей способностью спектрального анализа), который может определить приемник SARP Коспас, равен 40 Гц. Соответственно, уровень побочного излучения должен вычисляться в эталонной полосе шириной 40 Гц.</w:t>
      </w:r>
    </w:p>
    <w:p w:rsidR="0041192D" w:rsidRPr="003A4E23" w:rsidRDefault="0041192D" w:rsidP="000713F1">
      <w:pPr>
        <w:rPr>
          <w:lang w:val="ru-RU"/>
        </w:rPr>
      </w:pPr>
      <w:r w:rsidRPr="003A4E23">
        <w:rPr>
          <w:lang w:val="ru-RU"/>
        </w:rPr>
        <w:t>5</w:t>
      </w:r>
      <w:r w:rsidRPr="003A4E23">
        <w:rPr>
          <w:lang w:val="ru-RU"/>
        </w:rPr>
        <w:tab/>
        <w:t>Десенсибилизация и выгорание входного каскада приемника Коспас</w:t>
      </w:r>
    </w:p>
    <w:p w:rsidR="0041192D" w:rsidRPr="003A4E23" w:rsidRDefault="0041192D" w:rsidP="000713F1">
      <w:pPr>
        <w:rPr>
          <w:lang w:val="ru-RU"/>
        </w:rPr>
      </w:pPr>
      <w:r w:rsidRPr="003A4E23">
        <w:rPr>
          <w:lang w:val="ru-RU"/>
        </w:rPr>
        <w:t>На спутниках Коспас используются высокочувствительные приемники с широкополосными малошумящими усилителями (МШУ), в которых могут наблюдаться перегрузки или, в худшем случае, выгорание входного каскада из-за воздействия излучений систем НГСО ПСС.</w:t>
      </w:r>
    </w:p>
    <w:p w:rsidR="0041192D" w:rsidRPr="003A4E23" w:rsidRDefault="0041192D" w:rsidP="000713F1">
      <w:pPr>
        <w:rPr>
          <w:lang w:val="ru-RU"/>
        </w:rPr>
      </w:pPr>
      <w:r w:rsidRPr="003A4E23">
        <w:rPr>
          <w:lang w:val="ru-RU"/>
        </w:rPr>
        <w:t>Блокирование или десенсибилизация обычно наблюдается в том случае, когда недостаточная радиочастотная фильтрация вызывает насыщение на входном каскаде МШУ и, таким образом, приводит к снижению усиления и чувствительности приемника. С вышеупомянутыми эффектами могут сочетаться другие эффекты, такие как смешивание помех с фазовым шумом МШУ. В порядке общего замечания необходимо сказать, что, как показывает опыт, когда узкополосный передатчик работает вблизи от широкополосного приемника, то блокирование или десенсибилизация часто является основной причиной проблем с помехами.</w:t>
      </w:r>
    </w:p>
    <w:p w:rsidR="0041192D" w:rsidRPr="003A4E23" w:rsidRDefault="0041192D" w:rsidP="000713F1">
      <w:pPr>
        <w:rPr>
          <w:lang w:val="ru-RU"/>
        </w:rPr>
      </w:pPr>
      <w:r w:rsidRPr="003A4E23">
        <w:rPr>
          <w:lang w:val="ru-RU"/>
        </w:rPr>
        <w:lastRenderedPageBreak/>
        <w:t>МШУ на приемнике Коспас 406 МГц могут выдержать сигналы до –60 дБВт (выгорание входного каскада) и –100 дБВт (десенсибилизация). Поскольку мощность негеостационарных спутников ПСС может достигать 24 дБВт, то очевидно, что может произойти выгорание спутниковых приемников Коспас, если его не предотвратить разделением частот.</w:t>
      </w:r>
    </w:p>
    <w:p w:rsidR="0041192D" w:rsidRPr="003A4E23" w:rsidRDefault="0041192D" w:rsidP="000713F1">
      <w:pPr>
        <w:rPr>
          <w:lang w:val="ru-RU"/>
        </w:rPr>
      </w:pPr>
      <w:r w:rsidRPr="003A4E23">
        <w:rPr>
          <w:lang w:val="ru-RU"/>
        </w:rPr>
        <w:t>Уровень мощность сигналов систем НГСО ПСС на входе приемника Коспас зависит от многих факторов, самым важным из которых является расстояние между негеостационарными спутниками ПСС и спутниками Коспас, которое теоретически может быть равно нулю для некоторых предполагаемых группировок спутников систем НГСО ПСС. Ввиду катастрофических последствий выгорания входного каскада приемников Коспас несущие частоты негеостационарных спутников ПСС должны выбираться так, чтобы гарантировать, что ни одна из их заявленных полос не превысит 406 МГц. В таблице 3 представлены основные факторы расчета минимальной защитной полосы для защиты приемников Коспас от выгорания из-за излучений негеостационарных спутников ПСС.</w:t>
      </w:r>
    </w:p>
    <w:p w:rsidR="0041192D" w:rsidRPr="003A4E23" w:rsidRDefault="0041192D" w:rsidP="0041192D">
      <w:pPr>
        <w:pStyle w:val="TableNo"/>
        <w:rPr>
          <w:lang w:val="ru-RU"/>
        </w:rPr>
      </w:pPr>
      <w:r w:rsidRPr="003A4E23">
        <w:rPr>
          <w:lang w:val="ru-RU"/>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402"/>
      </w:tblGrid>
      <w:tr w:rsidR="0041192D" w:rsidRPr="003A4E23" w:rsidTr="0041192D">
        <w:trPr>
          <w:jc w:val="center"/>
        </w:trPr>
        <w:tc>
          <w:tcPr>
            <w:tcW w:w="6237"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rPr>
                <w:sz w:val="18"/>
                <w:szCs w:val="18"/>
                <w:lang w:val="ru-RU"/>
              </w:rPr>
            </w:pPr>
            <w:r w:rsidRPr="003A4E23">
              <w:rPr>
                <w:sz w:val="18"/>
                <w:szCs w:val="18"/>
                <w:lang w:val="ru-RU"/>
              </w:rPr>
              <w:t>Определенный допплеровский сдвиг частоты</w:t>
            </w:r>
          </w:p>
        </w:tc>
        <w:tc>
          <w:tcPr>
            <w:tcW w:w="3402"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tabs>
                <w:tab w:val="clear" w:pos="284"/>
                <w:tab w:val="clear" w:pos="567"/>
              </w:tabs>
              <w:ind w:left="567"/>
              <w:jc w:val="left"/>
              <w:rPr>
                <w:sz w:val="18"/>
                <w:szCs w:val="18"/>
                <w:lang w:val="ru-RU"/>
              </w:rPr>
            </w:pPr>
            <w:r w:rsidRPr="003A4E23">
              <w:rPr>
                <w:sz w:val="18"/>
                <w:szCs w:val="18"/>
                <w:lang w:val="ru-RU"/>
              </w:rPr>
              <w:t>20 кГц</w:t>
            </w:r>
            <w:r w:rsidRPr="003A4E23">
              <w:rPr>
                <w:sz w:val="18"/>
                <w:szCs w:val="18"/>
                <w:lang w:val="ru-RU"/>
              </w:rPr>
              <w:br/>
              <w:t xml:space="preserve">2 </w:t>
            </w:r>
            <w:r w:rsidRPr="003A4E23">
              <w:rPr>
                <w:rFonts w:ascii="Symbol" w:hAnsi="Symbol"/>
                <w:sz w:val="18"/>
                <w:szCs w:val="18"/>
                <w:lang w:val="ru-RU"/>
              </w:rPr>
              <w:t></w:t>
            </w:r>
            <w:r w:rsidRPr="003A4E23">
              <w:rPr>
                <w:sz w:val="18"/>
                <w:szCs w:val="18"/>
                <w:lang w:val="ru-RU"/>
              </w:rPr>
              <w:t xml:space="preserve"> 406 000 </w:t>
            </w:r>
            <w:r w:rsidRPr="003A4E23">
              <w:rPr>
                <w:rFonts w:ascii="Symbol" w:hAnsi="Symbol"/>
                <w:sz w:val="18"/>
                <w:szCs w:val="18"/>
                <w:lang w:val="ru-RU"/>
              </w:rPr>
              <w:t></w:t>
            </w:r>
            <w:r w:rsidRPr="003A4E23">
              <w:rPr>
                <w:sz w:val="18"/>
                <w:szCs w:val="18"/>
                <w:lang w:val="ru-RU"/>
              </w:rPr>
              <w:t xml:space="preserve"> (7,4/300 000)</w:t>
            </w:r>
          </w:p>
        </w:tc>
      </w:tr>
      <w:tr w:rsidR="0041192D" w:rsidRPr="003A4E23" w:rsidTr="0041192D">
        <w:trPr>
          <w:jc w:val="center"/>
        </w:trPr>
        <w:tc>
          <w:tcPr>
            <w:tcW w:w="6237"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rPr>
                <w:sz w:val="18"/>
                <w:szCs w:val="18"/>
                <w:lang w:val="ru-RU"/>
              </w:rPr>
            </w:pPr>
            <w:r w:rsidRPr="003A4E23">
              <w:rPr>
                <w:sz w:val="18"/>
                <w:szCs w:val="18"/>
                <w:lang w:val="ru-RU"/>
              </w:rPr>
              <w:t>Стабильность передатчика космической станции в этой полосе</w:t>
            </w:r>
          </w:p>
        </w:tc>
        <w:tc>
          <w:tcPr>
            <w:tcW w:w="3402"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tabs>
                <w:tab w:val="clear" w:pos="284"/>
                <w:tab w:val="clear" w:pos="567"/>
              </w:tabs>
              <w:ind w:left="567"/>
              <w:jc w:val="left"/>
              <w:rPr>
                <w:sz w:val="18"/>
                <w:szCs w:val="18"/>
                <w:lang w:val="ru-RU"/>
              </w:rPr>
            </w:pPr>
            <w:r w:rsidRPr="003A4E23">
              <w:rPr>
                <w:sz w:val="18"/>
                <w:szCs w:val="18"/>
                <w:lang w:val="ru-RU"/>
              </w:rPr>
              <w:t>8,12 кГц</w:t>
            </w:r>
            <w:r w:rsidRPr="003A4E23">
              <w:rPr>
                <w:sz w:val="18"/>
                <w:szCs w:val="18"/>
                <w:lang w:val="ru-RU"/>
              </w:rPr>
              <w:br/>
              <w:t xml:space="preserve">20 </w:t>
            </w:r>
            <w:r w:rsidRPr="003A4E23">
              <w:rPr>
                <w:rFonts w:ascii="Symbol" w:hAnsi="Symbol"/>
                <w:sz w:val="18"/>
                <w:szCs w:val="18"/>
                <w:lang w:val="ru-RU"/>
              </w:rPr>
              <w:t></w:t>
            </w:r>
            <w:r w:rsidRPr="003A4E23">
              <w:rPr>
                <w:sz w:val="18"/>
                <w:szCs w:val="18"/>
                <w:lang w:val="ru-RU"/>
              </w:rPr>
              <w:t xml:space="preserve"> 10</w:t>
            </w:r>
            <w:r w:rsidRPr="003A4E23">
              <w:rPr>
                <w:sz w:val="18"/>
                <w:szCs w:val="18"/>
                <w:vertAlign w:val="superscript"/>
                <w:lang w:val="ru-RU"/>
              </w:rPr>
              <w:t>–6</w:t>
            </w:r>
            <w:r w:rsidRPr="003A4E23">
              <w:rPr>
                <w:sz w:val="18"/>
                <w:szCs w:val="18"/>
                <w:lang w:val="ru-RU"/>
              </w:rPr>
              <w:t xml:space="preserve"> </w:t>
            </w:r>
            <w:r w:rsidRPr="003A4E23">
              <w:rPr>
                <w:rFonts w:ascii="Symbol" w:hAnsi="Symbol"/>
                <w:sz w:val="18"/>
                <w:szCs w:val="18"/>
                <w:lang w:val="ru-RU"/>
              </w:rPr>
              <w:t></w:t>
            </w:r>
            <w:r w:rsidRPr="003A4E23">
              <w:rPr>
                <w:sz w:val="18"/>
                <w:szCs w:val="18"/>
                <w:lang w:val="ru-RU"/>
              </w:rPr>
              <w:t xml:space="preserve"> 406 000</w:t>
            </w:r>
          </w:p>
        </w:tc>
      </w:tr>
      <w:tr w:rsidR="0041192D" w:rsidRPr="003A4E23" w:rsidTr="0041192D">
        <w:trPr>
          <w:jc w:val="center"/>
        </w:trPr>
        <w:tc>
          <w:tcPr>
            <w:tcW w:w="6237"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rPr>
                <w:sz w:val="18"/>
                <w:szCs w:val="18"/>
                <w:lang w:val="ru-RU"/>
              </w:rPr>
            </w:pPr>
            <w:r w:rsidRPr="003A4E23">
              <w:rPr>
                <w:sz w:val="18"/>
                <w:szCs w:val="18"/>
                <w:lang w:val="ru-RU"/>
              </w:rPr>
              <w:t>Стабильность приемника SARP за год (при предположительном сроке существования спутника 12 лет) (Сарсат-3 запущен в 1986 г.)</w:t>
            </w:r>
          </w:p>
        </w:tc>
        <w:tc>
          <w:tcPr>
            <w:tcW w:w="3402"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tabs>
                <w:tab w:val="clear" w:pos="284"/>
                <w:tab w:val="clear" w:pos="567"/>
              </w:tabs>
              <w:ind w:left="567"/>
              <w:jc w:val="left"/>
              <w:rPr>
                <w:sz w:val="18"/>
                <w:szCs w:val="18"/>
                <w:lang w:val="ru-RU"/>
              </w:rPr>
            </w:pPr>
            <w:r w:rsidRPr="003A4E23">
              <w:rPr>
                <w:sz w:val="18"/>
                <w:szCs w:val="18"/>
                <w:lang w:val="ru-RU"/>
              </w:rPr>
              <w:t>2,45 кГц</w:t>
            </w:r>
          </w:p>
        </w:tc>
      </w:tr>
      <w:tr w:rsidR="0041192D" w:rsidRPr="003A4E23" w:rsidTr="0041192D">
        <w:trPr>
          <w:jc w:val="center"/>
        </w:trPr>
        <w:tc>
          <w:tcPr>
            <w:tcW w:w="6237"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rPr>
                <w:sz w:val="18"/>
                <w:szCs w:val="18"/>
                <w:lang w:val="ru-RU"/>
              </w:rPr>
            </w:pPr>
            <w:r w:rsidRPr="003A4E23">
              <w:rPr>
                <w:sz w:val="18"/>
                <w:szCs w:val="18"/>
                <w:lang w:val="ru-RU"/>
              </w:rPr>
              <w:t>Заявленная полоса систем НГСО ПСС/2</w:t>
            </w:r>
          </w:p>
        </w:tc>
        <w:tc>
          <w:tcPr>
            <w:tcW w:w="3402"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tabs>
                <w:tab w:val="clear" w:pos="284"/>
                <w:tab w:val="clear" w:pos="567"/>
              </w:tabs>
              <w:ind w:left="567"/>
              <w:jc w:val="left"/>
              <w:rPr>
                <w:sz w:val="18"/>
                <w:szCs w:val="18"/>
                <w:lang w:val="ru-RU"/>
              </w:rPr>
            </w:pPr>
            <w:r w:rsidRPr="003A4E23">
              <w:rPr>
                <w:sz w:val="18"/>
                <w:szCs w:val="18"/>
                <w:lang w:val="ru-RU"/>
              </w:rPr>
              <w:t>1,2–500 кГц</w:t>
            </w:r>
            <w:r w:rsidRPr="003A4E23">
              <w:rPr>
                <w:sz w:val="18"/>
                <w:szCs w:val="18"/>
                <w:lang w:val="ru-RU"/>
              </w:rPr>
              <w:br/>
              <w:t>(2,4–1 000)/2</w:t>
            </w:r>
          </w:p>
        </w:tc>
      </w:tr>
      <w:tr w:rsidR="0041192D" w:rsidRPr="003A4E23" w:rsidTr="0041192D">
        <w:trPr>
          <w:jc w:val="center"/>
        </w:trPr>
        <w:tc>
          <w:tcPr>
            <w:tcW w:w="6237"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rPr>
                <w:sz w:val="18"/>
                <w:szCs w:val="18"/>
                <w:lang w:val="ru-RU"/>
              </w:rPr>
            </w:pPr>
            <w:r w:rsidRPr="003A4E23">
              <w:rPr>
                <w:sz w:val="18"/>
                <w:szCs w:val="18"/>
                <w:lang w:val="ru-RU"/>
              </w:rPr>
              <w:t>Защитная полоса</w:t>
            </w:r>
          </w:p>
        </w:tc>
        <w:tc>
          <w:tcPr>
            <w:tcW w:w="3402" w:type="dxa"/>
            <w:tcBorders>
              <w:top w:val="single" w:sz="4" w:space="0" w:color="auto"/>
              <w:left w:val="single" w:sz="4" w:space="0" w:color="auto"/>
              <w:bottom w:val="single" w:sz="4" w:space="0" w:color="auto"/>
              <w:right w:val="single" w:sz="4" w:space="0" w:color="auto"/>
            </w:tcBorders>
            <w:hideMark/>
          </w:tcPr>
          <w:p w:rsidR="0041192D" w:rsidRPr="003A4E23" w:rsidRDefault="0041192D">
            <w:pPr>
              <w:pStyle w:val="Tabletext"/>
              <w:tabs>
                <w:tab w:val="clear" w:pos="284"/>
                <w:tab w:val="clear" w:pos="567"/>
              </w:tabs>
              <w:ind w:left="567"/>
              <w:jc w:val="left"/>
              <w:rPr>
                <w:sz w:val="18"/>
                <w:szCs w:val="18"/>
                <w:lang w:val="ru-RU"/>
              </w:rPr>
            </w:pPr>
            <w:r w:rsidRPr="003A4E23">
              <w:rPr>
                <w:sz w:val="18"/>
                <w:szCs w:val="18"/>
                <w:lang w:val="ru-RU"/>
              </w:rPr>
              <w:t>31,8–530,6 кГц</w:t>
            </w:r>
          </w:p>
        </w:tc>
      </w:tr>
    </w:tbl>
    <w:p w:rsidR="0041192D" w:rsidRPr="003A4E23" w:rsidRDefault="0041192D" w:rsidP="0041192D">
      <w:pPr>
        <w:rPr>
          <w:lang w:val="ru-RU"/>
        </w:rPr>
      </w:pPr>
      <w:r w:rsidRPr="003A4E23">
        <w:rPr>
          <w:lang w:val="ru-RU"/>
        </w:rPr>
        <w:t>Представленные в таблице 3 результаты показывают, что, если полоса частот 405–406 МГц распределена для использования негеостационарными спутниками ПСС, потребуется как минимум защитная полоса 32 кГц (405,968–406 МГц).</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t>Приложение 5</w:t>
      </w:r>
      <w:r w:rsidRPr="003A4E23">
        <w:rPr>
          <w:lang w:val="ru-RU"/>
        </w:rPr>
        <w:br/>
      </w:r>
      <w:r w:rsidRPr="003A4E23">
        <w:rPr>
          <w:lang w:val="ru-RU"/>
        </w:rPr>
        <w:br/>
        <w:t xml:space="preserve">Критерии защиты в полосе частот 406–406,1 МГц </w:t>
      </w:r>
      <w:r w:rsidRPr="003A4E23">
        <w:rPr>
          <w:lang w:val="ru-RU"/>
        </w:rPr>
        <w:br/>
        <w:t>для оборудования SARR Сарсат</w:t>
      </w:r>
    </w:p>
    <w:p w:rsidR="0041192D" w:rsidRPr="003A4E23" w:rsidRDefault="0041192D" w:rsidP="0041192D">
      <w:pPr>
        <w:pStyle w:val="Heading1"/>
        <w:rPr>
          <w:lang w:val="ru-RU"/>
        </w:rPr>
      </w:pPr>
      <w:r w:rsidRPr="003A4E23">
        <w:rPr>
          <w:lang w:val="ru-RU"/>
        </w:rPr>
        <w:t>1</w:t>
      </w:r>
      <w:r w:rsidRPr="003A4E23">
        <w:rPr>
          <w:lang w:val="ru-RU"/>
        </w:rPr>
        <w:tab/>
        <w:t>Минимальные приемлемые характеристики для канала SARR 406 МГц спутников NOAA</w:t>
      </w:r>
    </w:p>
    <w:p w:rsidR="0041192D" w:rsidRPr="003A4E23" w:rsidRDefault="0041192D" w:rsidP="0041192D">
      <w:pPr>
        <w:rPr>
          <w:lang w:val="ru-RU"/>
        </w:rPr>
      </w:pPr>
      <w:r w:rsidRPr="003A4E23">
        <w:rPr>
          <w:lang w:val="ru-RU"/>
        </w:rPr>
        <w:t>Для надежного обнаружения сигналов радиомаяков, передающих сигналы бедствия на частоте 406 МГц, используя ретрансляторы 406 МГц низкоорбитальных спутников Сарсат, коэффициент ошибок по битам (BER) в канале не должен превышать 5 </w:t>
      </w:r>
      <w:r w:rsidRPr="003A4E23">
        <w:rPr>
          <w:rFonts w:ascii="Symbol" w:hAnsi="Symbol"/>
          <w:lang w:val="ru-RU"/>
        </w:rPr>
        <w:sym w:font="Symbol" w:char="F0B4"/>
      </w:r>
      <w:r w:rsidRPr="003A4E23">
        <w:rPr>
          <w:lang w:val="ru-RU"/>
        </w:rPr>
        <w:t> 10</w:t>
      </w:r>
      <w:r w:rsidRPr="003A4E23">
        <w:rPr>
          <w:vertAlign w:val="superscript"/>
          <w:lang w:val="ru-RU"/>
        </w:rPr>
        <w:t>–5</w:t>
      </w:r>
      <w:r w:rsidRPr="003A4E23">
        <w:rPr>
          <w:lang w:val="ru-RU"/>
        </w:rPr>
        <w:t>.</w:t>
      </w:r>
    </w:p>
    <w:p w:rsidR="0041192D" w:rsidRPr="003A4E23" w:rsidRDefault="0041192D" w:rsidP="0041192D">
      <w:pPr>
        <w:pStyle w:val="Heading1"/>
        <w:rPr>
          <w:lang w:val="ru-RU"/>
        </w:rPr>
      </w:pPr>
      <w:r w:rsidRPr="003A4E23">
        <w:rPr>
          <w:lang w:val="ru-RU"/>
        </w:rPr>
        <w:t>2</w:t>
      </w:r>
      <w:r w:rsidRPr="003A4E23">
        <w:rPr>
          <w:lang w:val="ru-RU"/>
        </w:rPr>
        <w:tab/>
        <w:t>Анализ с.п.п.м., вызывающей помехи</w:t>
      </w:r>
    </w:p>
    <w:p w:rsidR="0041192D" w:rsidRPr="003A4E23" w:rsidRDefault="0041192D" w:rsidP="0041192D">
      <w:pPr>
        <w:rPr>
          <w:lang w:val="ru-RU"/>
        </w:rPr>
      </w:pPr>
      <w:r w:rsidRPr="003A4E23">
        <w:rPr>
          <w:lang w:val="ru-RU"/>
        </w:rPr>
        <w:t xml:space="preserve">Величина BER в канале связи выводится из отношения энергии, содержащейся в каждом бите данных, </w:t>
      </w:r>
      <w:r w:rsidRPr="003A4E23">
        <w:rPr>
          <w:i/>
          <w:lang w:val="ru-RU"/>
        </w:rPr>
        <w:t>E</w:t>
      </w:r>
      <w:r w:rsidRPr="003A4E23">
        <w:rPr>
          <w:i/>
          <w:vertAlign w:val="subscript"/>
          <w:lang w:val="ru-RU"/>
        </w:rPr>
        <w:t>b</w:t>
      </w:r>
      <w:r w:rsidRPr="003A4E23">
        <w:rPr>
          <w:lang w:val="ru-RU"/>
        </w:rPr>
        <w:t xml:space="preserve">, к плотности шума; плотность шума состоит из шума, создаваемого оборудованием Коспас-Сарсат, </w:t>
      </w:r>
      <w:r w:rsidRPr="003A4E23">
        <w:rPr>
          <w:i/>
          <w:lang w:val="ru-RU"/>
        </w:rPr>
        <w:t>N</w:t>
      </w:r>
      <w:r w:rsidRPr="003A4E23">
        <w:rPr>
          <w:vertAlign w:val="subscript"/>
          <w:lang w:val="ru-RU"/>
        </w:rPr>
        <w:t>0</w:t>
      </w:r>
      <w:r w:rsidRPr="003A4E23">
        <w:rPr>
          <w:lang w:val="ru-RU"/>
        </w:rPr>
        <w:t xml:space="preserve">, и шума, вызываемого помехами от других систем, </w:t>
      </w:r>
      <w:r w:rsidRPr="003A4E23">
        <w:rPr>
          <w:i/>
          <w:lang w:val="ru-RU"/>
        </w:rPr>
        <w:t>I</w:t>
      </w:r>
      <w:r w:rsidRPr="003A4E23">
        <w:rPr>
          <w:vertAlign w:val="subscript"/>
          <w:lang w:val="ru-RU"/>
        </w:rPr>
        <w:t>0</w:t>
      </w:r>
      <w:r w:rsidRPr="003A4E23">
        <w:rPr>
          <w:lang w:val="ru-RU"/>
        </w:rPr>
        <w:t>. На рисунке 6 показан канал SARR 406 МГц низкоорбитального спутника (LEO SARR) с помехами на линии вверх.</w:t>
      </w:r>
    </w:p>
    <w:p w:rsidR="0041192D" w:rsidRPr="003A4E23" w:rsidRDefault="0041192D" w:rsidP="0041192D">
      <w:pPr>
        <w:pStyle w:val="FigureNo"/>
        <w:rPr>
          <w:lang w:val="ru-RU"/>
        </w:rPr>
      </w:pPr>
      <w:r w:rsidRPr="003A4E23">
        <w:rPr>
          <w:lang w:val="ru-RU"/>
        </w:rPr>
        <w:lastRenderedPageBreak/>
        <w:t>РИСУНОК 6</w:t>
      </w:r>
    </w:p>
    <w:p w:rsidR="0041192D" w:rsidRPr="003A4E23" w:rsidRDefault="0041192D" w:rsidP="0041192D">
      <w:pPr>
        <w:pStyle w:val="Figuretitle"/>
        <w:rPr>
          <w:rFonts w:asciiTheme="minorHAnsi" w:hAnsiTheme="minorHAnsi" w:cs="TimesNewRoman"/>
          <w:lang w:val="ru-RU"/>
        </w:rPr>
      </w:pPr>
      <w:r w:rsidRPr="003A4E23">
        <w:rPr>
          <w:lang w:val="ru-RU"/>
        </w:rPr>
        <w:t>Ретранслятор SARP 406 МГц с помехами линии вверх</w:t>
      </w:r>
    </w:p>
    <w:p w:rsidR="0041192D" w:rsidRPr="003A4E23" w:rsidRDefault="0041192D" w:rsidP="0041192D">
      <w:pPr>
        <w:pStyle w:val="Figure"/>
        <w:rPr>
          <w:lang w:val="ru-RU"/>
        </w:rPr>
      </w:pPr>
      <w:r w:rsidRPr="003A4E23">
        <w:rPr>
          <w:lang w:val="ru-RU"/>
        </w:rPr>
        <w:object w:dxaOrig="9180" w:dyaOrig="4755">
          <v:shape id="_x0000_i1036" type="#_x0000_t75" style="width:458.9pt;height:237.9pt" o:ole="">
            <v:imagedata r:id="rId36" o:title=""/>
          </v:shape>
          <o:OLEObject Type="Embed" ProgID="CorelDRAW.Graphic.14" ShapeID="_x0000_i1036" DrawAspect="Content" ObjectID="_1500106752" r:id="rId37"/>
        </w:object>
      </w:r>
    </w:p>
    <w:p w:rsidR="0041192D" w:rsidRPr="003A4E23" w:rsidRDefault="0041192D" w:rsidP="000713F1">
      <w:pPr>
        <w:rPr>
          <w:rFonts w:ascii="TimesNewRoman" w:hAnsi="TimesNewRoman"/>
          <w:lang w:val="ru-RU"/>
        </w:rPr>
      </w:pPr>
      <w:r w:rsidRPr="003A4E23">
        <w:rPr>
          <w:lang w:val="ru-RU"/>
        </w:rPr>
        <w:t xml:space="preserve">Чтобы достичь величины BER </w:t>
      </w:r>
      <w:r w:rsidRPr="003A4E23">
        <w:rPr>
          <w:rFonts w:ascii="TimesNewRoman" w:hAnsi="TimesNewRoman"/>
          <w:lang w:val="ru-RU"/>
        </w:rPr>
        <w:t>5 </w:t>
      </w:r>
      <w:r w:rsidRPr="003A4E23">
        <w:rPr>
          <w:rFonts w:ascii="Symbol" w:hAnsi="Symbol"/>
          <w:lang w:val="ru-RU"/>
        </w:rPr>
        <w:sym w:font="Symbol" w:char="F0B4"/>
      </w:r>
      <w:r w:rsidRPr="003A4E23">
        <w:rPr>
          <w:lang w:val="ru-RU"/>
        </w:rPr>
        <w:t> </w:t>
      </w:r>
      <w:r w:rsidRPr="003A4E23">
        <w:rPr>
          <w:rFonts w:ascii="TimesNewRoman" w:hAnsi="TimesNewRoman"/>
          <w:lang w:val="ru-RU"/>
        </w:rPr>
        <w:t>10</w:t>
      </w:r>
      <w:r w:rsidRPr="003A4E23">
        <w:rPr>
          <w:vertAlign w:val="superscript"/>
          <w:lang w:val="ru-RU"/>
        </w:rPr>
        <w:t>–5</w:t>
      </w:r>
      <w:r w:rsidRPr="003A4E23">
        <w:rPr>
          <w:lang w:val="ru-RU"/>
        </w:rPr>
        <w:t xml:space="preserve">, отношение энергии на бит к плотности шума и помех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rFonts w:ascii="TimesNewRoman" w:hAnsi="TimesNewRoman"/>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 xml:space="preserve">) </w:t>
      </w:r>
      <w:r w:rsidRPr="003A4E23">
        <w:rPr>
          <w:lang w:val="ru-RU"/>
        </w:rPr>
        <w:t>в демодуляторе терминала местных пользователей системы Коспас-Сарсат на низкой околоземной орбите (LEOLUT) должно быть равно или превышать 8,8 дБ.</w:t>
      </w:r>
      <w:r w:rsidRPr="003A4E23">
        <w:rPr>
          <w:rFonts w:ascii="TimesNewRoman" w:hAnsi="TimesNewRoman"/>
          <w:lang w:val="ru-RU"/>
        </w:rPr>
        <w:t xml:space="preserve"> </w:t>
      </w:r>
      <w:r w:rsidRPr="003A4E23">
        <w:rPr>
          <w:lang w:val="ru-RU"/>
        </w:rPr>
        <w:t xml:space="preserve">Данный анализ определяет максимальное количество широкополосных шумоподобных помех, указываемое как с.п.п.м. на входе антенны 406 МГц низкоорбитального спутника Сарсат, которое может быть принято без ухудшения величины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rFonts w:ascii="TimesNewRoman" w:hAnsi="TimesNewRoman"/>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в общей линии ниже 8,8 дБ.</w:t>
      </w:r>
    </w:p>
    <w:p w:rsidR="0041192D" w:rsidRPr="003A4E23" w:rsidRDefault="0041192D" w:rsidP="000713F1">
      <w:pPr>
        <w:rPr>
          <w:lang w:val="ru-RU"/>
        </w:rPr>
      </w:pPr>
      <w:r w:rsidRPr="003A4E23">
        <w:rPr>
          <w:lang w:val="ru-RU"/>
        </w:rPr>
        <w:t xml:space="preserve">Как показано на рисунке 6, передаваемые радиомаяками сигналы бедствия на частоте 406 МГц принимаются ретранслятором поиска и спасания на низкой околоземной орбите и модулируются по фазе на несущей линии вниз 1544,5 МГц для обнаружения и обработки терминалами LEOLUT. Усиление антенны и шумовая температура системы для спутникового ретранслятора составляют −4 дБи и 1000 K в точке B (рис. 6). </w:t>
      </w:r>
    </w:p>
    <w:p w:rsidR="0041192D" w:rsidRPr="003A4E23" w:rsidRDefault="0041192D" w:rsidP="000713F1">
      <w:pPr>
        <w:rPr>
          <w:rFonts w:ascii="TimesNewRoman" w:hAnsi="TimesNewRoman"/>
          <w:lang w:val="ru-RU"/>
        </w:rPr>
      </w:pPr>
      <w:r w:rsidRPr="003A4E23">
        <w:rPr>
          <w:lang w:val="ru-RU"/>
        </w:rPr>
        <w:t>В рамках этого анализа предполагается, что три активных радиомаяка одновременно передают сигналы на трех разных частотах в полосе 406–406,1 МГц.</w:t>
      </w:r>
      <w:r w:rsidRPr="003A4E23">
        <w:rPr>
          <w:rFonts w:ascii="TimesNewRoman" w:hAnsi="TimesNewRoman"/>
          <w:lang w:val="ru-RU"/>
        </w:rPr>
        <w:t xml:space="preserve"> </w:t>
      </w:r>
      <w:r w:rsidRPr="003A4E23">
        <w:rPr>
          <w:lang w:val="ru-RU"/>
        </w:rPr>
        <w:t xml:space="preserve">Нужный маяк имеет угол места </w:t>
      </w:r>
      <w:r w:rsidRPr="003A4E23">
        <w:rPr>
          <w:rFonts w:ascii="TimesNewRoman" w:hAnsi="TimesNewRoman"/>
          <w:lang w:val="ru-RU"/>
        </w:rPr>
        <w:t>5</w:t>
      </w:r>
      <w:r w:rsidRPr="003A4E23">
        <w:rPr>
          <w:rFonts w:ascii="Symbol" w:hAnsi="Symbol"/>
          <w:lang w:val="ru-RU"/>
        </w:rPr>
        <w:t></w:t>
      </w:r>
      <w:r w:rsidRPr="003A4E23">
        <w:rPr>
          <w:rFonts w:ascii="Symbol" w:hAnsi="Symbol"/>
          <w:lang w:val="ru-RU"/>
        </w:rPr>
        <w:t></w:t>
      </w:r>
      <w:r w:rsidRPr="003A4E23">
        <w:rPr>
          <w:lang w:val="ru-RU"/>
        </w:rPr>
        <w:t>по отношению к космическому аппарату.</w:t>
      </w:r>
      <w:r w:rsidRPr="003A4E23">
        <w:rPr>
          <w:rFonts w:ascii="TimesNewRoman" w:hAnsi="TimesNewRoman"/>
          <w:lang w:val="ru-RU"/>
        </w:rPr>
        <w:t xml:space="preserve"> </w:t>
      </w:r>
      <w:r w:rsidRPr="003A4E23">
        <w:rPr>
          <w:lang w:val="ru-RU"/>
        </w:rPr>
        <w:t>Два других маяка включены в анализ, потому что они совместно используют располагаемую мощность ретранслятора спутника.</w:t>
      </w:r>
      <w:r w:rsidRPr="003A4E23">
        <w:rPr>
          <w:rFonts w:ascii="TimesNewRoman" w:hAnsi="TimesNewRoman"/>
          <w:lang w:val="ru-RU"/>
        </w:rPr>
        <w:t xml:space="preserve"> </w:t>
      </w:r>
    </w:p>
    <w:p w:rsidR="0041192D" w:rsidRPr="003A4E23" w:rsidRDefault="0041192D" w:rsidP="000713F1">
      <w:pPr>
        <w:rPr>
          <w:rFonts w:ascii="TimesNewRoman" w:hAnsi="TimesNewRoman"/>
          <w:lang w:val="ru-RU"/>
        </w:rPr>
      </w:pPr>
      <w:r w:rsidRPr="003A4E23">
        <w:rPr>
          <w:lang w:val="ru-RU"/>
        </w:rPr>
        <w:t xml:space="preserve">Если внешние источники помех отсутствуют, общее отношение </w:t>
      </w:r>
      <w:r w:rsidRPr="003A4E23">
        <w:rPr>
          <w:rFonts w:ascii="TimesNewRoman" w:hAnsi="TimesNewRoman"/>
          <w:i/>
          <w:lang w:val="ru-RU"/>
        </w:rPr>
        <w:t>C</w:t>
      </w:r>
      <w:r w:rsidRPr="003A4E23">
        <w:rPr>
          <w:rFonts w:ascii="TimesNewRoman" w:hAnsi="TimesNewRoman"/>
          <w:lang w:val="ru-RU"/>
        </w:rPr>
        <w:t>/</w:t>
      </w:r>
      <w:r w:rsidRPr="003A4E23">
        <w:rPr>
          <w:rFonts w:ascii="TimesNewRoman" w:hAnsi="TimesNewRoman"/>
          <w:i/>
          <w:lang w:val="ru-RU"/>
        </w:rPr>
        <w:t>N</w:t>
      </w:r>
      <w:r w:rsidRPr="003A4E23">
        <w:rPr>
          <w:vertAlign w:val="subscript"/>
          <w:lang w:val="ru-RU"/>
        </w:rPr>
        <w:t>0</w:t>
      </w:r>
      <w:r w:rsidRPr="003A4E23">
        <w:rPr>
          <w:rFonts w:ascii="TimesNewRoman" w:hAnsi="TimesNewRoman"/>
          <w:lang w:val="ru-RU"/>
        </w:rPr>
        <w:t xml:space="preserve"> </w:t>
      </w:r>
      <w:r w:rsidRPr="003A4E23">
        <w:rPr>
          <w:lang w:val="ru-RU"/>
        </w:rPr>
        <w:t xml:space="preserve">составляет 38,8 дБ (Гц), что соответствует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vertAlign w:val="subscript"/>
          <w:lang w:val="ru-RU"/>
        </w:rPr>
        <w:t>0</w:t>
      </w:r>
      <w:r w:rsidRPr="003A4E23">
        <w:rPr>
          <w:lang w:val="ru-RU"/>
        </w:rPr>
        <w:t>,</w:t>
      </w:r>
      <w:r w:rsidRPr="003A4E23">
        <w:rPr>
          <w:rFonts w:asciiTheme="minorHAnsi" w:hAnsiTheme="minorHAnsi"/>
          <w:lang w:val="ru-RU"/>
        </w:rPr>
        <w:t xml:space="preserve"> </w:t>
      </w:r>
      <w:r w:rsidRPr="003A4E23">
        <w:rPr>
          <w:lang w:val="ru-RU"/>
        </w:rPr>
        <w:t xml:space="preserve">равному </w:t>
      </w:r>
      <w:r w:rsidRPr="003A4E23">
        <w:rPr>
          <w:rFonts w:ascii="TimesNewRoman" w:hAnsi="TimesNewRoman"/>
          <w:lang w:val="ru-RU"/>
        </w:rPr>
        <w:t>12</w:t>
      </w:r>
      <w:r w:rsidRPr="003A4E23">
        <w:rPr>
          <w:lang w:val="ru-RU"/>
        </w:rPr>
        <w:t>,8 дБ.</w:t>
      </w:r>
      <w:r w:rsidRPr="003A4E23">
        <w:rPr>
          <w:rFonts w:ascii="TimesNewRoman" w:hAnsi="TimesNewRoman"/>
          <w:lang w:val="ru-RU"/>
        </w:rPr>
        <w:t xml:space="preserve"> </w:t>
      </w:r>
      <w:r w:rsidRPr="003A4E23">
        <w:rPr>
          <w:lang w:val="ru-RU"/>
        </w:rPr>
        <w:t xml:space="preserve">С учетом потерь на аппаратную реализацию и потерь при демодуляции данных от радиомаяка эффективное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vertAlign w:val="subscript"/>
          <w:lang w:val="ru-RU"/>
        </w:rPr>
        <w:t>0</w:t>
      </w:r>
      <w:r w:rsidRPr="003A4E23">
        <w:rPr>
          <w:rFonts w:ascii="TimesNewRoman" w:hAnsi="TimesNewRoman"/>
          <w:lang w:val="ru-RU"/>
        </w:rPr>
        <w:t xml:space="preserve"> </w:t>
      </w:r>
      <w:r w:rsidRPr="003A4E23">
        <w:rPr>
          <w:lang w:val="ru-RU"/>
        </w:rPr>
        <w:t>составляет 10,8 дБ.</w:t>
      </w:r>
      <w:r w:rsidRPr="003A4E23">
        <w:rPr>
          <w:rFonts w:ascii="TimesNewRoman" w:hAnsi="TimesNewRoman"/>
          <w:lang w:val="ru-RU"/>
        </w:rPr>
        <w:t xml:space="preserve"> </w:t>
      </w:r>
      <w:r w:rsidRPr="003A4E23">
        <w:rPr>
          <w:lang w:val="ru-RU"/>
        </w:rPr>
        <w:t xml:space="preserve">Поскольку для обеспечения надежного соответствия требованиям к производительности в канале требуется общее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rFonts w:ascii="TimesNewRoman" w:hAnsi="TimesNewRoman"/>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rFonts w:ascii="Calibri" w:hAnsi="Calibri"/>
          <w:lang w:val="ru-RU"/>
        </w:rPr>
        <w:t xml:space="preserve"> </w:t>
      </w:r>
      <w:r w:rsidRPr="003A4E23">
        <w:rPr>
          <w:lang w:val="ru-RU"/>
        </w:rPr>
        <w:t>не менее 8,8 дБ, не может быть допущено накопление широкополосных помех на линии вверх, которое уменьшает общее отношение несущей плотности шума и помех более чем на 2 дБ.</w:t>
      </w:r>
    </w:p>
    <w:p w:rsidR="0041192D" w:rsidRPr="003A4E23" w:rsidRDefault="0041192D" w:rsidP="000713F1">
      <w:pPr>
        <w:rPr>
          <w:lang w:val="ru-RU"/>
        </w:rPr>
      </w:pPr>
      <w:r w:rsidRPr="003A4E23">
        <w:rPr>
          <w:lang w:val="ru-RU"/>
        </w:rPr>
        <w:t xml:space="preserve">Поскольку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в отсутствие помех равно 38,8 дБ(Гц), то из-за широкополосных шумоподобных помех на линии вверх, которые вызывают его ухудшение в общей линии на 2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общее</w:t>
      </w:r>
      <w:r w:rsidRPr="003A4E23">
        <w:rPr>
          <w:lang w:val="ru-RU"/>
        </w:rPr>
        <w:t xml:space="preserve"> будет составлять:</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725" w:dyaOrig="375">
          <v:shape id="_x0000_i1037" type="#_x0000_t75" style="width:236.05pt;height:18.8pt" o:ole="">
            <v:imagedata r:id="rId38" o:title=""/>
          </v:shape>
          <o:OLEObject Type="Embed" ProgID="Equation.3" ShapeID="_x0000_i1037" DrawAspect="Content" ObjectID="_1500106753" r:id="rId39"/>
        </w:object>
      </w:r>
    </w:p>
    <w:p w:rsidR="0041192D" w:rsidRPr="003A4E23" w:rsidRDefault="0041192D" w:rsidP="0041192D">
      <w:pPr>
        <w:pStyle w:val="Equation"/>
        <w:jc w:val="left"/>
        <w:rPr>
          <w:lang w:val="ru-RU"/>
        </w:rPr>
      </w:pPr>
      <w:r w:rsidRPr="003A4E23">
        <w:rPr>
          <w:lang w:val="ru-RU"/>
        </w:rPr>
        <w:tab/>
      </w:r>
      <w:r w:rsidRPr="003A4E23">
        <w:rPr>
          <w:lang w:val="ru-RU"/>
        </w:rPr>
        <w:tab/>
        <w:t>       </w:t>
      </w:r>
      <w:r w:rsidRPr="003A4E23">
        <w:rPr>
          <w:position w:val="-10"/>
          <w:lang w:val="ru-RU"/>
        </w:rPr>
        <w:object w:dxaOrig="2790" w:dyaOrig="315">
          <v:shape id="_x0000_i1038" type="#_x0000_t75" style="width:139.6pt;height:15.65pt" o:ole="">
            <v:imagedata r:id="rId40" o:title=""/>
          </v:shape>
          <o:OLEObject Type="Embed" ProgID="Equation.3" ShapeID="_x0000_i1038" DrawAspect="Content" ObjectID="_1500106754" r:id="rId41"/>
        </w:object>
      </w:r>
      <w:r w:rsidRPr="003A4E23">
        <w:rPr>
          <w:lang w:val="ru-RU"/>
        </w:rPr>
        <w:tab/>
        <w:t>(1)</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205" w:dyaOrig="315">
          <v:shape id="_x0000_i1039" type="#_x0000_t75" style="width:110.2pt;height:15.65pt" o:ole="">
            <v:imagedata r:id="rId42" o:title=""/>
          </v:shape>
          <o:OLEObject Type="Embed" ProgID="Equation.3" ShapeID="_x0000_i1039" DrawAspect="Content" ObjectID="_1500106755" r:id="rId43"/>
        </w:object>
      </w:r>
      <w:r w:rsidRPr="003A4E23">
        <w:rPr>
          <w:lang w:val="ru-RU"/>
        </w:rPr>
        <w:t>.   </w:t>
      </w:r>
    </w:p>
    <w:p w:rsidR="0041192D" w:rsidRPr="003A4E23" w:rsidRDefault="0041192D" w:rsidP="0041192D">
      <w:pPr>
        <w:rPr>
          <w:lang w:val="ru-RU"/>
        </w:rPr>
      </w:pPr>
      <w:r w:rsidRPr="003A4E23">
        <w:rPr>
          <w:lang w:val="ru-RU"/>
        </w:rPr>
        <w:lastRenderedPageBreak/>
        <w:t>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может быть вычислено из отношений несущей к плотности шума и помех для линии вверх и линии вниз, как указано ниже: </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7545" w:dyaOrig="375">
          <v:shape id="_x0000_i1040" type="#_x0000_t75" style="width:377.55pt;height:18.8pt" o:ole="">
            <v:imagedata r:id="rId44" o:title=""/>
          </v:shape>
          <o:OLEObject Type="Embed" ProgID="Equation.3" ShapeID="_x0000_i1040" DrawAspect="Content" ObjectID="_1500106756" r:id="rId45"/>
        </w:object>
      </w:r>
      <w:r w:rsidRPr="003A4E23">
        <w:rPr>
          <w:lang w:val="ru-RU"/>
        </w:rPr>
        <w:t>.</w:t>
      </w:r>
      <w:r w:rsidRPr="003A4E23">
        <w:rPr>
          <w:lang w:val="ru-RU"/>
        </w:rPr>
        <w:tab/>
        <w:t>(2)</w:t>
      </w:r>
    </w:p>
    <w:p w:rsidR="0041192D" w:rsidRPr="003A4E23" w:rsidRDefault="0041192D" w:rsidP="0041192D">
      <w:pPr>
        <w:rPr>
          <w:lang w:val="ru-RU"/>
        </w:rPr>
      </w:pPr>
      <w:r w:rsidRPr="003A4E23">
        <w:rPr>
          <w:lang w:val="ru-RU"/>
        </w:rPr>
        <w:t>Поскольку этот анализ касается помех на линии вверх, то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вверх с помехами</w:t>
      </w:r>
      <w:r w:rsidRPr="003A4E23">
        <w:rPr>
          <w:lang w:val="ru-RU"/>
        </w:rPr>
        <w:t xml:space="preserve"> в уравнении (2) будет: </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5685" w:dyaOrig="390">
          <v:shape id="_x0000_i1041" type="#_x0000_t75" style="width:284.25pt;height:19.4pt" o:ole="">
            <v:imagedata r:id="rId46" o:title=""/>
          </v:shape>
          <o:OLEObject Type="Embed" ProgID="Equation.3" ShapeID="_x0000_i1041" DrawAspect="Content" ObjectID="_1500106757" r:id="rId47"/>
        </w:object>
      </w:r>
      <w:r w:rsidRPr="003A4E23">
        <w:rPr>
          <w:lang w:val="ru-RU"/>
        </w:rPr>
        <w:t>.</w:t>
      </w:r>
      <w:r w:rsidRPr="003A4E23">
        <w:rPr>
          <w:lang w:val="ru-RU"/>
        </w:rPr>
        <w:tab/>
        <w:t>(3)</w:t>
      </w:r>
    </w:p>
    <w:p w:rsidR="0041192D" w:rsidRPr="003A4E23" w:rsidRDefault="0041192D" w:rsidP="0041192D">
      <w:pPr>
        <w:rPr>
          <w:lang w:val="ru-RU"/>
        </w:rPr>
      </w:pPr>
      <w:r w:rsidRPr="003A4E23">
        <w:rPr>
          <w:lang w:val="ru-RU"/>
        </w:rPr>
        <w:t>Помехи также влияют на отношение несущей к плотности шума для линии вниз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xml:space="preserve"> следующим образом:</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6135" w:dyaOrig="330">
          <v:shape id="_x0000_i1042" type="#_x0000_t75" style="width:306.8pt;height:16.9pt" o:ole="">
            <v:imagedata r:id="rId48" o:title=""/>
          </v:shape>
          <o:OLEObject Type="Embed" ProgID="Equation.3" ShapeID="_x0000_i1042" DrawAspect="Content" ObjectID="_1500106758" r:id="rId49"/>
        </w:object>
      </w:r>
      <w:r w:rsidRPr="003A4E23">
        <w:rPr>
          <w:lang w:val="ru-RU"/>
        </w:rPr>
        <w:t>,</w:t>
      </w:r>
      <w:r w:rsidRPr="003A4E23">
        <w:rPr>
          <w:lang w:val="ru-RU"/>
        </w:rPr>
        <w:tab/>
        <w:t>(4)</w:t>
      </w:r>
    </w:p>
    <w:p w:rsidR="0041192D" w:rsidRPr="003A4E23" w:rsidRDefault="0041192D" w:rsidP="0041192D">
      <w:pPr>
        <w:rPr>
          <w:lang w:val="ru-RU"/>
        </w:rPr>
      </w:pPr>
      <w:r w:rsidRPr="003A4E23">
        <w:rPr>
          <w:lang w:val="ru-RU"/>
        </w:rPr>
        <w:t xml:space="preserve">где </w:t>
      </w:r>
      <w:r w:rsidRPr="003A4E23">
        <w:rPr>
          <w:i/>
          <w:lang w:val="ru-RU"/>
        </w:rPr>
        <w:t>Lps</w:t>
      </w:r>
      <w:r w:rsidRPr="003A4E23">
        <w:rPr>
          <w:lang w:val="ru-RU"/>
        </w:rPr>
        <w:t xml:space="preserve"> – потери разделения мощности без помех, а </w:t>
      </w:r>
      <w:r w:rsidRPr="003A4E23">
        <w:rPr>
          <w:i/>
          <w:lang w:val="ru-RU"/>
        </w:rPr>
        <w:t xml:space="preserve">Lpsi </w:t>
      </w:r>
      <w:r w:rsidRPr="003A4E23">
        <w:rPr>
          <w:lang w:val="ru-RU"/>
        </w:rPr>
        <w:t xml:space="preserve">– потери разделения мощности с помехами.  </w:t>
      </w:r>
      <w:r w:rsidRPr="003A4E23">
        <w:rPr>
          <w:i/>
          <w:lang w:val="ru-RU"/>
        </w:rPr>
        <w:t>Lpsi</w:t>
      </w:r>
      <w:r w:rsidRPr="003A4E23">
        <w:rPr>
          <w:lang w:val="ru-RU"/>
        </w:rPr>
        <w:t xml:space="preserve"> вычисляется следующим образом:</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5505" w:dyaOrig="315">
          <v:shape id="_x0000_i1043" type="#_x0000_t75" style="width:275.5pt;height:15.65pt" o:ole="">
            <v:imagedata r:id="rId50" o:title=""/>
          </v:shape>
          <o:OLEObject Type="Embed" ProgID="Equation.3" ShapeID="_x0000_i1043" DrawAspect="Content" ObjectID="_1500106759" r:id="rId51"/>
        </w:object>
      </w:r>
      <w:r w:rsidRPr="003A4E23">
        <w:rPr>
          <w:lang w:val="ru-RU"/>
        </w:rPr>
        <w:t>,</w:t>
      </w:r>
      <w:r w:rsidRPr="003A4E23">
        <w:rPr>
          <w:lang w:val="ru-RU"/>
        </w:rPr>
        <w:tab/>
        <w:t>(5)</w:t>
      </w:r>
    </w:p>
    <w:p w:rsidR="0041192D" w:rsidRPr="003A4E23" w:rsidRDefault="0041192D" w:rsidP="0041192D">
      <w:pPr>
        <w:rPr>
          <w:lang w:val="ru-RU"/>
        </w:rPr>
      </w:pPr>
      <w:r w:rsidRPr="003A4E23">
        <w:rPr>
          <w:lang w:val="ru-RU"/>
        </w:rPr>
        <w:t xml:space="preserve">где </w:t>
      </w:r>
      <w:r w:rsidRPr="003A4E23">
        <w:rPr>
          <w:i/>
          <w:lang w:val="ru-RU"/>
        </w:rPr>
        <w:t>C</w:t>
      </w:r>
      <w:r w:rsidRPr="003A4E23">
        <w:rPr>
          <w:lang w:val="ru-RU"/>
        </w:rPr>
        <w:t>2 – уровень мощности одного из двух других маяков, сигналы которых одновременно принимаются ретранслятором поиска и спасания низкоорбитального спутника (LEOSAR).</w:t>
      </w:r>
    </w:p>
    <w:p w:rsidR="0041192D" w:rsidRPr="003A4E23" w:rsidRDefault="0041192D" w:rsidP="0041192D">
      <w:pPr>
        <w:rPr>
          <w:lang w:val="ru-RU"/>
        </w:rPr>
      </w:pPr>
      <w:r w:rsidRPr="003A4E23">
        <w:rPr>
          <w:lang w:val="ru-RU"/>
        </w:rPr>
        <w:t xml:space="preserve">Подставим уравнение (5) в уравнение (4), а затем уравнения (3) и (4) – в уравнение (2) и, вычисляя </w:t>
      </w:r>
      <w:r w:rsidRPr="003A4E23">
        <w:rPr>
          <w:i/>
          <w:lang w:val="ru-RU"/>
        </w:rPr>
        <w:t>I</w:t>
      </w:r>
      <w:r w:rsidRPr="003A4E23">
        <w:rPr>
          <w:vertAlign w:val="subscript"/>
          <w:lang w:val="ru-RU"/>
        </w:rPr>
        <w:t>0</w:t>
      </w:r>
      <w:r w:rsidRPr="003A4E23">
        <w:rPr>
          <w:lang w:val="ru-RU"/>
        </w:rPr>
        <w:t>, получим следующую формулу:</w:t>
      </w:r>
    </w:p>
    <w:p w:rsidR="0041192D" w:rsidRPr="003A4E23" w:rsidRDefault="0041192D" w:rsidP="0041192D">
      <w:pPr>
        <w:pStyle w:val="Equation"/>
        <w:rPr>
          <w:lang w:val="ru-RU"/>
        </w:rPr>
      </w:pPr>
      <w:r w:rsidRPr="003A4E23">
        <w:rPr>
          <w:position w:val="12"/>
          <w:lang w:val="ru-RU"/>
        </w:rPr>
        <w:tab/>
      </w:r>
      <w:r w:rsidRPr="003A4E23">
        <w:rPr>
          <w:position w:val="12"/>
          <w:lang w:val="ru-RU"/>
        </w:rPr>
        <w:tab/>
      </w:r>
      <w:r w:rsidRPr="003A4E23">
        <w:rPr>
          <w:lang w:val="ru-RU"/>
        </w:rPr>
        <w:object w:dxaOrig="7830" w:dyaOrig="390">
          <v:shape id="_x0000_i1044" type="#_x0000_t75" style="width:391.95pt;height:19.4pt" o:ole="">
            <v:imagedata r:id="rId52" o:title=""/>
          </v:shape>
          <o:OLEObject Type="Embed" ProgID="Equation.3" ShapeID="_x0000_i1044" DrawAspect="Content" ObjectID="_1500106760" r:id="rId53"/>
        </w:object>
      </w:r>
      <w:r w:rsidRPr="003A4E23">
        <w:rPr>
          <w:position w:val="12"/>
          <w:lang w:val="ru-RU"/>
        </w:rPr>
        <w:t>.</w:t>
      </w:r>
      <w:r w:rsidRPr="003A4E23">
        <w:rPr>
          <w:position w:val="12"/>
          <w:lang w:val="ru-RU"/>
        </w:rPr>
        <w:tab/>
        <w:t>(6)</w:t>
      </w:r>
    </w:p>
    <w:p w:rsidR="0041192D" w:rsidRPr="003A4E23" w:rsidRDefault="0041192D" w:rsidP="0041192D">
      <w:pPr>
        <w:rPr>
          <w:lang w:val="ru-RU"/>
        </w:rPr>
      </w:pPr>
      <w:r w:rsidRPr="003A4E23">
        <w:rPr>
          <w:lang w:val="ru-RU"/>
        </w:rPr>
        <w:t>(</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равно 36,8 дБ(Гц) (см. уравнение (1)), </w:t>
      </w:r>
      <w:r w:rsidRPr="003A4E23">
        <w:rPr>
          <w:i/>
          <w:lang w:val="ru-RU"/>
        </w:rPr>
        <w:t>C</w:t>
      </w:r>
      <w:r w:rsidRPr="003A4E23">
        <w:rPr>
          <w:rFonts w:ascii="Symbol" w:hAnsi="Symbol"/>
          <w:vertAlign w:val="subscript"/>
          <w:lang w:val="ru-RU"/>
        </w:rPr>
        <w:softHyphen/>
      </w:r>
      <w:r w:rsidRPr="003A4E23">
        <w:rPr>
          <w:lang w:val="ru-RU"/>
        </w:rPr>
        <w:t xml:space="preserve"> равно –157,3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rFonts w:ascii="Symbol" w:hAnsi="Symbol"/>
          <w:vertAlign w:val="subscript"/>
          <w:lang w:val="ru-RU"/>
        </w:rPr>
        <w:t></w:t>
      </w:r>
      <w:r w:rsidRPr="003A4E23">
        <w:rPr>
          <w:lang w:val="ru-RU"/>
        </w:rPr>
        <w:t xml:space="preserve"> равно 42,5 дБ(Гц), </w:t>
      </w:r>
      <w:r w:rsidRPr="003A4E23">
        <w:rPr>
          <w:lang w:val="ru-RU"/>
        </w:rPr>
        <w:br/>
      </w:r>
      <w:r w:rsidRPr="003A4E23">
        <w:rPr>
          <w:i/>
          <w:lang w:val="ru-RU"/>
        </w:rPr>
        <w:t>N</w:t>
      </w:r>
      <w:r w:rsidRPr="003A4E23">
        <w:rPr>
          <w:vertAlign w:val="subscript"/>
          <w:lang w:val="ru-RU"/>
        </w:rPr>
        <w:t>0</w:t>
      </w:r>
      <w:r w:rsidRPr="003A4E23">
        <w:rPr>
          <w:rFonts w:ascii="Symbol" w:hAnsi="Symbol"/>
          <w:vertAlign w:val="subscript"/>
          <w:lang w:val="ru-RU"/>
        </w:rPr>
        <w:softHyphen/>
      </w:r>
      <w:r w:rsidRPr="003A4E23">
        <w:rPr>
          <w:lang w:val="ru-RU"/>
        </w:rPr>
        <w:t xml:space="preserve"> равно </w:t>
      </w:r>
      <w:r w:rsidRPr="003A4E23">
        <w:rPr>
          <w:rFonts w:ascii="Symbol" w:hAnsi="Symbol"/>
          <w:lang w:val="ru-RU"/>
        </w:rPr>
        <w:t></w:t>
      </w:r>
      <w:r w:rsidRPr="003A4E23">
        <w:rPr>
          <w:lang w:val="ru-RU"/>
        </w:rPr>
        <w:t xml:space="preserve">–198,6 дБ(Вт/Гц), </w:t>
      </w:r>
      <w:r w:rsidRPr="003A4E23">
        <w:rPr>
          <w:i/>
          <w:lang w:val="ru-RU"/>
        </w:rPr>
        <w:t>Lps</w:t>
      </w:r>
      <w:r w:rsidRPr="003A4E23">
        <w:rPr>
          <w:lang w:val="ru-RU"/>
        </w:rPr>
        <w:t xml:space="preserve"> равно –15,3 дБ, а (</w:t>
      </w:r>
      <w:r w:rsidRPr="003A4E23">
        <w:rPr>
          <w:i/>
          <w:lang w:val="ru-RU"/>
        </w:rPr>
        <w:t>C</w:t>
      </w:r>
      <w:r w:rsidRPr="003A4E23">
        <w:rPr>
          <w:lang w:val="ru-RU"/>
        </w:rPr>
        <w:t>/</w:t>
      </w:r>
      <w:r w:rsidRPr="003A4E23">
        <w:rPr>
          <w:i/>
          <w:lang w:val="ru-RU"/>
        </w:rPr>
        <w:t>N</w:t>
      </w:r>
      <w:r w:rsidRPr="003A4E23">
        <w:rPr>
          <w:lang w:val="ru-RU"/>
        </w:rPr>
        <w:t>)</w:t>
      </w:r>
      <w:r w:rsidRPr="003A4E23">
        <w:rPr>
          <w:rFonts w:ascii="Symbol" w:hAnsi="Symbol"/>
          <w:vertAlign w:val="subscript"/>
          <w:lang w:val="ru-RU"/>
        </w:rPr>
        <w:t></w:t>
      </w:r>
      <w:r w:rsidRPr="003A4E23">
        <w:rPr>
          <w:lang w:val="ru-RU"/>
        </w:rPr>
        <w:t xml:space="preserve"> равно 42,5 дБ(Гц) минус 10 log(80 k) или −6,5 дБ. Подставив эти численные значения в уравнение (6), получим:</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100" w:dyaOrig="315">
          <v:shape id="_x0000_i1045" type="#_x0000_t75" style="width:105.2pt;height:15.65pt" o:ole="">
            <v:imagedata r:id="rId54" o:title=""/>
          </v:shape>
          <o:OLEObject Type="Embed" ProgID="Equation.3" ShapeID="_x0000_i1045" DrawAspect="Content" ObjectID="_1500106761" r:id="rId55"/>
        </w:object>
      </w:r>
      <w:r w:rsidRPr="003A4E23">
        <w:rPr>
          <w:lang w:val="ru-RU"/>
        </w:rPr>
        <w:t>.</w:t>
      </w:r>
    </w:p>
    <w:p w:rsidR="0041192D" w:rsidRPr="003A4E23" w:rsidRDefault="0041192D" w:rsidP="0041192D">
      <w:pPr>
        <w:rPr>
          <w:lang w:val="ru-RU"/>
        </w:rPr>
      </w:pPr>
      <w:r w:rsidRPr="003A4E23">
        <w:rPr>
          <w:lang w:val="ru-RU"/>
        </w:rPr>
        <w:t>Рассматриваемые критерии защиты желательно характеризовать в виде порогового уровня с.п.п.м. помех, указываемого в дБ(Вт/(м</w:t>
      </w:r>
      <w:r w:rsidRPr="003A4E23">
        <w:rPr>
          <w:vertAlign w:val="superscript"/>
          <w:lang w:val="ru-RU"/>
        </w:rPr>
        <w:t>2</w:t>
      </w:r>
      <w:r w:rsidRPr="003A4E23">
        <w:rPr>
          <w:lang w:val="ru-RU"/>
        </w:rPr>
        <w:t xml:space="preserve"> ∙ Гц)), на входе приемной спутниковой антенны 406 МГц. Эффективная апертура антенны </w:t>
      </w:r>
      <w:r w:rsidRPr="003A4E23">
        <w:rPr>
          <w:i/>
          <w:lang w:val="ru-RU"/>
        </w:rPr>
        <w:t>A</w:t>
      </w:r>
      <w:r w:rsidRPr="003A4E23">
        <w:rPr>
          <w:i/>
          <w:vertAlign w:val="subscript"/>
          <w:lang w:val="ru-RU"/>
        </w:rPr>
        <w:t>e</w:t>
      </w:r>
      <w:r w:rsidRPr="003A4E23">
        <w:rPr>
          <w:lang w:val="ru-RU"/>
        </w:rPr>
        <w:t xml:space="preserve"> с усилением </w:t>
      </w:r>
      <w:r w:rsidRPr="003A4E23">
        <w:rPr>
          <w:i/>
          <w:lang w:val="ru-RU"/>
        </w:rPr>
        <w:t>G</w:t>
      </w:r>
      <w:r w:rsidRPr="003A4E23">
        <w:rPr>
          <w:lang w:val="ru-RU"/>
        </w:rPr>
        <w:t xml:space="preserve"> определяется как </w:t>
      </w:r>
      <w:r w:rsidRPr="003A4E23">
        <w:rPr>
          <w:i/>
          <w:lang w:val="ru-RU"/>
        </w:rPr>
        <w:t>A</w:t>
      </w:r>
      <w:r w:rsidRPr="003A4E23">
        <w:rPr>
          <w:i/>
          <w:vertAlign w:val="subscript"/>
          <w:lang w:val="ru-RU"/>
        </w:rPr>
        <w:t>e</w:t>
      </w:r>
      <w:r w:rsidRPr="003A4E23">
        <w:rPr>
          <w:lang w:val="ru-RU"/>
        </w:rPr>
        <w:t> </w:t>
      </w:r>
      <w:r w:rsidRPr="003A4E23">
        <w:rPr>
          <w:rFonts w:ascii="Symbol" w:hAnsi="Symbol"/>
          <w:lang w:val="ru-RU"/>
        </w:rPr>
        <w:t></w:t>
      </w:r>
      <w:r w:rsidRPr="003A4E23">
        <w:rPr>
          <w:lang w:val="ru-RU"/>
        </w:rPr>
        <w:t> </w:t>
      </w:r>
      <w:r w:rsidRPr="003A4E23">
        <w:rPr>
          <w:i/>
          <w:lang w:val="ru-RU"/>
        </w:rPr>
        <w:t>G</w:t>
      </w:r>
      <w:r w:rsidRPr="003A4E23">
        <w:rPr>
          <w:lang w:val="ru-RU"/>
        </w:rPr>
        <w:t> </w:t>
      </w:r>
      <w:r w:rsidRPr="003A4E23">
        <w:rPr>
          <w:rFonts w:ascii="Symbol" w:hAnsi="Symbol"/>
          <w:lang w:val="ru-RU"/>
        </w:rPr>
        <w:t></w:t>
      </w:r>
      <w:r w:rsidRPr="003A4E23">
        <w:rPr>
          <w:vertAlign w:val="superscript"/>
          <w:lang w:val="ru-RU"/>
        </w:rPr>
        <w:t>2</w:t>
      </w:r>
      <w:r w:rsidRPr="003A4E23">
        <w:rPr>
          <w:lang w:val="ru-RU"/>
        </w:rPr>
        <w:t>/4</w:t>
      </w:r>
      <w:r w:rsidRPr="003A4E23">
        <w:rPr>
          <w:rFonts w:ascii="Symbol" w:hAnsi="Symbol"/>
          <w:lang w:val="ru-RU"/>
        </w:rPr>
        <w:t></w:t>
      </w:r>
      <w:r w:rsidRPr="003A4E23">
        <w:rPr>
          <w:rFonts w:ascii="Symbol" w:hAnsi="Symbol"/>
          <w:lang w:val="ru-RU"/>
        </w:rPr>
        <w:t></w:t>
      </w:r>
      <w:r w:rsidRPr="003A4E23">
        <w:rPr>
          <w:rFonts w:ascii="Symbol" w:hAnsi="Symbol"/>
          <w:lang w:val="ru-RU"/>
        </w:rPr>
        <w:t></w:t>
      </w:r>
      <w:r w:rsidRPr="003A4E23">
        <w:rPr>
          <w:lang w:val="ru-RU"/>
        </w:rPr>
        <w:t>Для приемной антенны низкоорбитального спутника с усилением –3,4 дБи эффективная апертура равна 0,02 м</w:t>
      </w:r>
      <w:r w:rsidRPr="003A4E23">
        <w:rPr>
          <w:vertAlign w:val="superscript"/>
          <w:lang w:val="ru-RU"/>
        </w:rPr>
        <w:t>2</w:t>
      </w:r>
      <w:r w:rsidRPr="003A4E23">
        <w:rPr>
          <w:lang w:val="ru-RU"/>
        </w:rPr>
        <w:t>. Поэтому максимальные приемлемые суммарные помехи, указываемые в виде с.п.п.м., составляют:</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235" w:dyaOrig="315">
          <v:shape id="_x0000_i1046" type="#_x0000_t75" style="width:111.45pt;height:15.65pt" o:ole="">
            <v:imagedata r:id="rId56" o:title=""/>
          </v:shape>
          <o:OLEObject Type="Embed" ProgID="Equation.3" ShapeID="_x0000_i1046" DrawAspect="Content" ObjectID="_1500106762" r:id="rId57"/>
        </w:object>
      </w:r>
      <w:r w:rsidRPr="003A4E23">
        <w:rPr>
          <w:lang w:val="ru-RU"/>
        </w:rPr>
        <w:t>.</w:t>
      </w:r>
    </w:p>
    <w:p w:rsidR="0041192D" w:rsidRPr="003A4E23" w:rsidRDefault="0041192D" w:rsidP="0041192D">
      <w:pPr>
        <w:rPr>
          <w:lang w:val="ru-RU"/>
        </w:rPr>
      </w:pPr>
      <w:r w:rsidRPr="003A4E23">
        <w:rPr>
          <w:lang w:val="ru-RU"/>
        </w:rPr>
        <w:t>Если предположить, что потери в линии составляют 0,6 дБ (см. рис. 6):</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2"/>
          <w:lang w:val="ru-RU"/>
        </w:rPr>
        <w:object w:dxaOrig="5715" w:dyaOrig="390">
          <v:shape id="_x0000_i1047" type="#_x0000_t75" style="width:285.5pt;height:19.4pt" o:ole="">
            <v:imagedata r:id="rId58" o:title=""/>
          </v:shape>
          <o:OLEObject Type="Embed" ProgID="Equation.3" ShapeID="_x0000_i1047" DrawAspect="Content" ObjectID="_1500106763" r:id="rId59"/>
        </w:object>
      </w:r>
      <w:r w:rsidRPr="003A4E23">
        <w:rPr>
          <w:lang w:val="ru-RU"/>
        </w:rPr>
        <w:t>.</w:t>
      </w:r>
    </w:p>
    <w:p w:rsidR="0041192D" w:rsidRPr="003A4E23" w:rsidRDefault="0041192D" w:rsidP="0041192D">
      <w:pPr>
        <w:rPr>
          <w:lang w:val="ru-RU"/>
        </w:rPr>
      </w:pPr>
      <w:r w:rsidRPr="003A4E23">
        <w:rPr>
          <w:lang w:val="ru-RU"/>
        </w:rPr>
        <w:t xml:space="preserve">Максимальный уровень широкополосных шумоподобных помех в полосе 406–406,1 МГц, измеренный на спутниковой антенне на низкой околоземной орбите, не должен превышать </w:t>
      </w:r>
      <w:r w:rsidRPr="003A4E23">
        <w:rPr>
          <w:lang w:val="ru-RU"/>
        </w:rPr>
        <w:br/>
        <w:t>–181,3 дБ(Вт/(м</w:t>
      </w:r>
      <w:r w:rsidRPr="003A4E23">
        <w:rPr>
          <w:vertAlign w:val="superscript"/>
          <w:lang w:val="ru-RU"/>
        </w:rPr>
        <w:t>2</w:t>
      </w:r>
      <w:r w:rsidRPr="003A4E23">
        <w:rPr>
          <w:lang w:val="ru-RU"/>
        </w:rPr>
        <w:t> ∙ Гц)).</w:t>
      </w:r>
    </w:p>
    <w:p w:rsidR="0041192D" w:rsidRPr="003A4E23" w:rsidRDefault="0041192D" w:rsidP="0041192D">
      <w:pPr>
        <w:pStyle w:val="Heading1"/>
        <w:rPr>
          <w:lang w:val="ru-RU"/>
        </w:rPr>
      </w:pPr>
      <w:r w:rsidRPr="003A4E23">
        <w:rPr>
          <w:lang w:val="ru-RU"/>
        </w:rPr>
        <w:t>3</w:t>
      </w:r>
      <w:r w:rsidRPr="003A4E23">
        <w:rPr>
          <w:lang w:val="ru-RU"/>
        </w:rPr>
        <w:tab/>
        <w:t>Процедура вычисления уровня помех в канале ретранслятора 406 МГц LEOSAR</w:t>
      </w:r>
    </w:p>
    <w:p w:rsidR="0041192D" w:rsidRPr="003A4E23" w:rsidRDefault="0041192D" w:rsidP="0041192D">
      <w:pPr>
        <w:rPr>
          <w:lang w:val="ru-RU"/>
        </w:rPr>
      </w:pPr>
      <w:r w:rsidRPr="003A4E23">
        <w:rPr>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41192D" w:rsidRPr="003A4E23" w:rsidRDefault="0041192D" w:rsidP="0041192D">
      <w:pPr>
        <w:rPr>
          <w:lang w:val="ru-RU"/>
        </w:rPr>
      </w:pPr>
      <w:r w:rsidRPr="003A4E23">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возникающие при их движении.</w:t>
      </w:r>
    </w:p>
    <w:p w:rsidR="0041192D" w:rsidRPr="003A4E23" w:rsidRDefault="0041192D" w:rsidP="0041192D">
      <w:pPr>
        <w:rPr>
          <w:lang w:val="ru-RU"/>
        </w:rPr>
      </w:pPr>
      <w:r w:rsidRPr="003A4E23">
        <w:rPr>
          <w:lang w:val="ru-RU"/>
        </w:rPr>
        <w:lastRenderedPageBreak/>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–181,3 дБ(Вт/(м</w:t>
      </w:r>
      <w:r w:rsidRPr="003A4E23">
        <w:rPr>
          <w:vertAlign w:val="superscript"/>
          <w:lang w:val="ru-RU"/>
        </w:rPr>
        <w:t>2</w:t>
      </w:r>
      <w:r w:rsidRPr="003A4E23">
        <w:rPr>
          <w:lang w:val="ru-RU"/>
        </w:rPr>
        <w:t> ∙ Гц)) в любой части этой полосы.</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t>Приложение 6</w:t>
      </w:r>
      <w:r w:rsidRPr="003A4E23">
        <w:rPr>
          <w:lang w:val="ru-RU"/>
        </w:rPr>
        <w:br/>
      </w:r>
      <w:r w:rsidRPr="003A4E23">
        <w:rPr>
          <w:lang w:val="ru-RU"/>
        </w:rPr>
        <w:br/>
        <w:t xml:space="preserve">Критерии защиты в полосе частот 406–406,1 МГц </w:t>
      </w:r>
      <w:r w:rsidRPr="003A4E23">
        <w:rPr>
          <w:lang w:val="ru-RU"/>
        </w:rPr>
        <w:br/>
        <w:t>для служб GOES GEOSAR и спутников серии GOES-R</w:t>
      </w:r>
    </w:p>
    <w:p w:rsidR="0041192D" w:rsidRPr="003A4E23" w:rsidRDefault="0041192D" w:rsidP="0041192D">
      <w:pPr>
        <w:pStyle w:val="Heading1"/>
        <w:rPr>
          <w:lang w:val="ru-RU"/>
        </w:rPr>
      </w:pPr>
      <w:r w:rsidRPr="003A4E23">
        <w:rPr>
          <w:lang w:val="ru-RU"/>
        </w:rPr>
        <w:t>1</w:t>
      </w:r>
      <w:r w:rsidRPr="003A4E23">
        <w:rPr>
          <w:lang w:val="ru-RU"/>
        </w:rPr>
        <w:tab/>
        <w:t>Минимальные приемлемые характеристики для обнаружения сигналов EPIRB, ретранслируемых через канал SARR 406 МГц спутника GOES</w:t>
      </w:r>
    </w:p>
    <w:p w:rsidR="0041192D" w:rsidRPr="003A4E23" w:rsidRDefault="0041192D" w:rsidP="0041192D">
      <w:pPr>
        <w:rPr>
          <w:lang w:val="ru-RU"/>
        </w:rPr>
      </w:pPr>
      <w:r w:rsidRPr="003A4E23">
        <w:rPr>
          <w:lang w:val="ru-RU"/>
        </w:rPr>
        <w:t>Для надежного обнаружения сигналов радиомаяков, передающих сигналы бедствия на частоте 406 МГц, используя ретрансляторы 406 МГц спутников GOES, коэффициент ошибок по битам (BER) в канале не должен превышать 5 </w:t>
      </w:r>
      <w:r w:rsidRPr="003A4E23">
        <w:rPr>
          <w:rFonts w:ascii="Symbol" w:hAnsi="Symbol"/>
          <w:lang w:val="ru-RU"/>
        </w:rPr>
        <w:sym w:font="Symbol" w:char="F0B4"/>
      </w:r>
      <w:r w:rsidRPr="003A4E23">
        <w:rPr>
          <w:lang w:val="ru-RU"/>
        </w:rPr>
        <w:t> 10</w:t>
      </w:r>
      <w:r w:rsidRPr="003A4E23">
        <w:rPr>
          <w:vertAlign w:val="superscript"/>
          <w:lang w:val="ru-RU"/>
        </w:rPr>
        <w:t>–5</w:t>
      </w:r>
      <w:r w:rsidRPr="003A4E23">
        <w:rPr>
          <w:lang w:val="ru-RU"/>
        </w:rPr>
        <w:t>.</w:t>
      </w:r>
    </w:p>
    <w:p w:rsidR="0041192D" w:rsidRPr="003A4E23" w:rsidRDefault="0041192D" w:rsidP="0041192D">
      <w:pPr>
        <w:pStyle w:val="Heading1"/>
        <w:rPr>
          <w:lang w:val="ru-RU"/>
        </w:rPr>
      </w:pPr>
      <w:r w:rsidRPr="003A4E23">
        <w:rPr>
          <w:lang w:val="ru-RU"/>
        </w:rPr>
        <w:t>2</w:t>
      </w:r>
      <w:r w:rsidRPr="003A4E23">
        <w:rPr>
          <w:lang w:val="ru-RU"/>
        </w:rPr>
        <w:tab/>
        <w:t xml:space="preserve">Анализ с.п.п.м., вызывающей помехи </w:t>
      </w:r>
    </w:p>
    <w:p w:rsidR="0041192D" w:rsidRPr="003A4E23" w:rsidRDefault="0041192D" w:rsidP="0041192D">
      <w:pPr>
        <w:rPr>
          <w:lang w:val="ru-RU"/>
        </w:rPr>
      </w:pPr>
      <w:r w:rsidRPr="003A4E23">
        <w:rPr>
          <w:lang w:val="ru-RU"/>
        </w:rPr>
        <w:t xml:space="preserve">Величина BER в канале связи выводится из отношения энергии, содержащейся в каждом бите данных, </w:t>
      </w:r>
      <w:r w:rsidRPr="003A4E23">
        <w:rPr>
          <w:i/>
          <w:lang w:val="ru-RU"/>
        </w:rPr>
        <w:t>E</w:t>
      </w:r>
      <w:r w:rsidRPr="003A4E23">
        <w:rPr>
          <w:i/>
          <w:vertAlign w:val="subscript"/>
          <w:lang w:val="ru-RU"/>
        </w:rPr>
        <w:t>b</w:t>
      </w:r>
      <w:r w:rsidRPr="003A4E23">
        <w:rPr>
          <w:lang w:val="ru-RU"/>
        </w:rPr>
        <w:t>, к плотности шума. Плотность шума</w:t>
      </w:r>
      <w:bookmarkStart w:id="3" w:name="_GoBack"/>
      <w:bookmarkEnd w:id="3"/>
      <w:r w:rsidRPr="003A4E23">
        <w:rPr>
          <w:lang w:val="ru-RU"/>
        </w:rPr>
        <w:t xml:space="preserve"> состоит из шума,</w:t>
      </w:r>
      <w:r w:rsidRPr="003A4E23">
        <w:rPr>
          <w:i/>
          <w:lang w:val="ru-RU"/>
        </w:rPr>
        <w:t xml:space="preserve"> </w:t>
      </w:r>
      <w:r w:rsidRPr="003A4E23">
        <w:rPr>
          <w:lang w:val="ru-RU"/>
        </w:rPr>
        <w:t>создаваемого</w:t>
      </w:r>
      <w:r w:rsidRPr="003A4E23">
        <w:rPr>
          <w:vertAlign w:val="subscript"/>
          <w:lang w:val="ru-RU"/>
        </w:rPr>
        <w:t xml:space="preserve"> </w:t>
      </w:r>
      <w:r w:rsidRPr="003A4E23">
        <w:rPr>
          <w:lang w:val="ru-RU"/>
        </w:rPr>
        <w:t xml:space="preserve">оборудованием Коспас-Сарсат, </w:t>
      </w:r>
      <w:r w:rsidRPr="003A4E23">
        <w:rPr>
          <w:i/>
          <w:lang w:val="ru-RU"/>
        </w:rPr>
        <w:t>N</w:t>
      </w:r>
      <w:r w:rsidRPr="003A4E23">
        <w:rPr>
          <w:vertAlign w:val="subscript"/>
          <w:lang w:val="ru-RU"/>
        </w:rPr>
        <w:t>0</w:t>
      </w:r>
      <w:r w:rsidRPr="003A4E23">
        <w:rPr>
          <w:lang w:val="ru-RU"/>
        </w:rPr>
        <w:t xml:space="preserve">, и шума, вызываемого помехами от других систем, </w:t>
      </w:r>
      <w:r w:rsidRPr="003A4E23">
        <w:rPr>
          <w:i/>
          <w:lang w:val="ru-RU"/>
        </w:rPr>
        <w:t>I</w:t>
      </w:r>
      <w:r w:rsidRPr="003A4E23">
        <w:rPr>
          <w:vertAlign w:val="subscript"/>
          <w:lang w:val="ru-RU"/>
        </w:rPr>
        <w:t>0</w:t>
      </w:r>
      <w:r w:rsidRPr="003A4E23">
        <w:rPr>
          <w:lang w:val="ru-RU"/>
        </w:rPr>
        <w:t>. На рисунке 7 показан канал SARR 406 МГц спутника GOES с помехами на линии вверх.</w:t>
      </w:r>
    </w:p>
    <w:p w:rsidR="0041192D" w:rsidRPr="003A4E23" w:rsidRDefault="0041192D" w:rsidP="0041192D">
      <w:pPr>
        <w:pStyle w:val="FigureNo"/>
        <w:rPr>
          <w:lang w:val="ru-RU"/>
        </w:rPr>
      </w:pPr>
      <w:r w:rsidRPr="003A4E23">
        <w:rPr>
          <w:lang w:val="ru-RU"/>
        </w:rPr>
        <w:t>РИСУНОК 7</w:t>
      </w:r>
    </w:p>
    <w:p w:rsidR="0041192D" w:rsidRPr="003A4E23" w:rsidRDefault="0041192D" w:rsidP="0041192D">
      <w:pPr>
        <w:pStyle w:val="Figuretitle"/>
        <w:rPr>
          <w:lang w:val="ru-RU"/>
        </w:rPr>
      </w:pPr>
      <w:r w:rsidRPr="003A4E23">
        <w:rPr>
          <w:lang w:val="ru-RU"/>
        </w:rPr>
        <w:t>Ретранслятор GOES, 406 МГц, с помехами линии вверх</w:t>
      </w:r>
    </w:p>
    <w:p w:rsidR="0041192D" w:rsidRPr="003A4E23" w:rsidRDefault="0041192D" w:rsidP="0041192D">
      <w:pPr>
        <w:pStyle w:val="Figure"/>
        <w:rPr>
          <w:lang w:val="ru-RU"/>
        </w:rPr>
      </w:pPr>
      <w:r w:rsidRPr="003A4E23">
        <w:rPr>
          <w:lang w:val="ru-RU"/>
        </w:rPr>
        <w:object w:dxaOrig="9090" w:dyaOrig="4815">
          <v:shape id="_x0000_i1048" type="#_x0000_t75" style="width:454.55pt;height:241.05pt" o:ole="">
            <v:imagedata r:id="rId60" o:title=""/>
          </v:shape>
          <o:OLEObject Type="Embed" ProgID="CorelDRAW.Graphic.14" ShapeID="_x0000_i1048" DrawAspect="Content" ObjectID="_1500106764" r:id="rId61"/>
        </w:object>
      </w:r>
    </w:p>
    <w:p w:rsidR="0041192D" w:rsidRPr="003A4E23" w:rsidRDefault="0041192D" w:rsidP="0041192D">
      <w:pPr>
        <w:rPr>
          <w:lang w:val="ru-RU"/>
        </w:rPr>
      </w:pPr>
      <w:r w:rsidRPr="003A4E23">
        <w:rPr>
          <w:lang w:val="ru-RU"/>
        </w:rPr>
        <w:t xml:space="preserve">Чтобы достичь величины BER </w:t>
      </w:r>
      <w:r w:rsidRPr="003A4E23">
        <w:rPr>
          <w:rFonts w:ascii="TimesNewRoman" w:hAnsi="TimesNewRoman"/>
          <w:lang w:val="ru-RU"/>
        </w:rPr>
        <w:t>5 </w:t>
      </w:r>
      <w:r w:rsidRPr="003A4E23">
        <w:rPr>
          <w:rFonts w:ascii="Symbol" w:hAnsi="Symbol"/>
          <w:lang w:val="ru-RU"/>
        </w:rPr>
        <w:t></w:t>
      </w:r>
      <w:r w:rsidRPr="003A4E23">
        <w:rPr>
          <w:lang w:val="ru-RU"/>
        </w:rPr>
        <w:t> </w:t>
      </w:r>
      <w:r w:rsidRPr="003A4E23">
        <w:rPr>
          <w:rFonts w:ascii="TimesNewRoman" w:hAnsi="TimesNewRoman"/>
          <w:lang w:val="ru-RU"/>
        </w:rPr>
        <w:t>10</w:t>
      </w:r>
      <w:r w:rsidRPr="003A4E23">
        <w:rPr>
          <w:vertAlign w:val="superscript"/>
          <w:lang w:val="ru-RU"/>
        </w:rPr>
        <w:t>–5</w:t>
      </w:r>
      <w:r w:rsidRPr="003A4E23">
        <w:rPr>
          <w:lang w:val="ru-RU"/>
        </w:rPr>
        <w:t xml:space="preserve">, отношение энергии на бит к плотности шума и помех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 xml:space="preserve"> </w:t>
      </w:r>
      <w:r w:rsidRPr="003A4E23">
        <w:rPr>
          <w:lang w:val="ru-RU"/>
        </w:rPr>
        <w:t xml:space="preserve">в демодуляторе терминала местных пользователей системы Коспас-Сарсат на геостационарной орбите (GEOLUT) должно быть равно или превышать 8,8 дБ. Данный анализ </w:t>
      </w:r>
      <w:r w:rsidRPr="003A4E23">
        <w:rPr>
          <w:lang w:val="ru-RU"/>
        </w:rPr>
        <w:lastRenderedPageBreak/>
        <w:t xml:space="preserve">определяет максимальное количество широкополосных шумоподобных помех, указываемое как с.п.п.м. на входе антенны 406 МГц спутника GOES, которое может быть принято без ухудшения величины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lang w:val="ru-RU"/>
        </w:rPr>
        <w:t>) в общей линии ниже 8,8 дБ.</w:t>
      </w:r>
    </w:p>
    <w:p w:rsidR="0041192D" w:rsidRPr="003A4E23" w:rsidRDefault="0041192D" w:rsidP="0041192D">
      <w:pPr>
        <w:rPr>
          <w:lang w:val="ru-RU"/>
        </w:rPr>
      </w:pPr>
      <w:r w:rsidRPr="003A4E23">
        <w:rPr>
          <w:lang w:val="ru-RU"/>
        </w:rPr>
        <w:t xml:space="preserve">Как показано на рисунке 7, передаваемые радиомаяками сигналы бедствия на частоте 406 МГц принимаются ретранслятором поиска и спасания спутника GOES и модулируются по фазе на несущей линии вниз 1544,5 МГц для обнаружения и обработки терминалами GEOLUT. Усиление антенны и шумовая температура системы для спутникового ретранслятора составляют 10,1 дБи и 359 K в точке B (рис. 7). Для спутников серии GOES-R усиление антенны будет равно 12,4 дБи, а шумовая температура системы составит 531 К. Путем использования сложной обработки цифрового сигнала и методов интеграции пакетов при отсутствии помех можно получить общее отношение несущей к плотности шума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равное 31,1 дБ (Гц).</w:t>
      </w:r>
    </w:p>
    <w:p w:rsidR="0041192D" w:rsidRPr="003A4E23" w:rsidRDefault="0041192D" w:rsidP="0041192D">
      <w:pPr>
        <w:rPr>
          <w:lang w:val="ru-RU"/>
        </w:rPr>
      </w:pPr>
      <w:r w:rsidRPr="003A4E23">
        <w:rPr>
          <w:lang w:val="ru-RU"/>
        </w:rPr>
        <w:t>В целях отображения реалистичной рабочей среды в рамках этого анализа предполагается, что три активных радиомаяка одновременно передают сигналы на трех разных частотах в полосе 406−406,1 МГц. Нужный маяк имеет угол места 5</w:t>
      </w:r>
      <w:r w:rsidRPr="003A4E23">
        <w:rPr>
          <w:rFonts w:ascii="Symbol" w:hAnsi="Symbol"/>
          <w:lang w:val="ru-RU"/>
        </w:rPr>
        <w:t></w:t>
      </w:r>
      <w:r w:rsidRPr="003A4E23">
        <w:rPr>
          <w:lang w:val="ru-RU"/>
        </w:rPr>
        <w:t xml:space="preserve"> по отношению к космическому аппарату. Два других маяка включены в анализ, потому что они совместно используют располагаемую мощность ретранслятора спутника.</w:t>
      </w:r>
    </w:p>
    <w:p w:rsidR="0041192D" w:rsidRPr="003A4E23" w:rsidRDefault="0041192D" w:rsidP="0041192D">
      <w:pPr>
        <w:rPr>
          <w:lang w:val="ru-RU"/>
        </w:rPr>
      </w:pPr>
      <w:r w:rsidRPr="003A4E23">
        <w:rPr>
          <w:lang w:val="ru-RU"/>
        </w:rPr>
        <w:t xml:space="preserve">Если внешние источники помех отсутствуют,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составляет 31,1 дБ (Гц), что соответствует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xml:space="preserve">, равному 5,1 дБ. С учетом потерь на аппаратную реализацию и потерь при демодуляции данных от радиомаяка, а также выигрыша от обработки данных эффективное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vertAlign w:val="subscript"/>
          <w:lang w:val="ru-RU"/>
        </w:rPr>
        <w:t>0</w:t>
      </w:r>
      <w:r w:rsidRPr="003A4E23">
        <w:rPr>
          <w:lang w:val="ru-RU"/>
        </w:rPr>
        <w:t xml:space="preserve"> составляет 10,1 дБ. Поскольку для эффективной работы в канале требуется общее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1,3 дБ.</w:t>
      </w:r>
    </w:p>
    <w:p w:rsidR="0041192D" w:rsidRPr="003A4E23" w:rsidRDefault="0041192D" w:rsidP="0041192D">
      <w:pPr>
        <w:rPr>
          <w:lang w:val="ru-RU"/>
        </w:rPr>
      </w:pPr>
      <w:r w:rsidRPr="003A4E23">
        <w:rPr>
          <w:lang w:val="ru-RU"/>
        </w:rPr>
        <w:t xml:space="preserve">Поскольку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в отсутствие помех равно 31,1 дБ (Гц), то из-за широкополосных шумоподобных помех на линии вверх, которые вызывают его ухудшение в общей линии на 1,3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общее с помехами</w:t>
      </w:r>
      <w:r w:rsidRPr="003A4E23">
        <w:rPr>
          <w:lang w:val="ru-RU"/>
        </w:rPr>
        <w:t xml:space="preserve"> будет составлять:</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815" w:dyaOrig="375">
          <v:shape id="_x0000_i1049" type="#_x0000_t75" style="width:241.05pt;height:18.8pt" o:ole="">
            <v:imagedata r:id="rId62" o:title=""/>
          </v:shape>
          <o:OLEObject Type="Embed" ProgID="Equation.3" ShapeID="_x0000_i1049" DrawAspect="Content" ObjectID="_1500106765" r:id="rId63"/>
        </w:object>
      </w:r>
    </w:p>
    <w:p w:rsidR="0041192D" w:rsidRPr="003A4E23" w:rsidRDefault="0041192D" w:rsidP="0041192D">
      <w:pPr>
        <w:pStyle w:val="Equation"/>
        <w:jc w:val="left"/>
        <w:rPr>
          <w:lang w:val="ru-RU"/>
        </w:rPr>
      </w:pPr>
      <w:r w:rsidRPr="003A4E23">
        <w:rPr>
          <w:lang w:val="ru-RU"/>
        </w:rPr>
        <w:tab/>
      </w:r>
      <w:r w:rsidRPr="003A4E23">
        <w:rPr>
          <w:lang w:val="ru-RU"/>
        </w:rPr>
        <w:tab/>
        <w:t>       </w:t>
      </w:r>
      <w:r w:rsidRPr="003A4E23">
        <w:rPr>
          <w:position w:val="-10"/>
          <w:lang w:val="ru-RU"/>
        </w:rPr>
        <w:object w:dxaOrig="2880" w:dyaOrig="315">
          <v:shape id="_x0000_i1050" type="#_x0000_t75" style="width:2in;height:15.65pt" o:ole="">
            <v:imagedata r:id="rId64" o:title=""/>
          </v:shape>
          <o:OLEObject Type="Embed" ProgID="Equation.3" ShapeID="_x0000_i1050" DrawAspect="Content" ObjectID="_1500106766" r:id="rId65"/>
        </w:object>
      </w:r>
      <w:r w:rsidRPr="003A4E23">
        <w:rPr>
          <w:lang w:val="ru-RU"/>
        </w:rPr>
        <w:tab/>
        <w:t>(7)</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205" w:dyaOrig="315">
          <v:shape id="_x0000_i1051" type="#_x0000_t75" style="width:110.2pt;height:15.65pt" o:ole="">
            <v:imagedata r:id="rId66" o:title=""/>
          </v:shape>
          <o:OLEObject Type="Embed" ProgID="Equation.3" ShapeID="_x0000_i1051" DrawAspect="Content" ObjectID="_1500106767" r:id="rId67"/>
        </w:object>
      </w:r>
      <w:r w:rsidRPr="003A4E23">
        <w:rPr>
          <w:lang w:val="ru-RU"/>
        </w:rPr>
        <w:t>.   </w:t>
      </w:r>
    </w:p>
    <w:p w:rsidR="0041192D" w:rsidRPr="003A4E23" w:rsidRDefault="0041192D" w:rsidP="0041192D">
      <w:pPr>
        <w:rPr>
          <w:lang w:val="ru-RU"/>
        </w:rPr>
      </w:pPr>
      <w:r w:rsidRPr="003A4E23">
        <w:rPr>
          <w:lang w:val="ru-RU"/>
        </w:rPr>
        <w:t>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вычисляется из отношений несущей к плотности шума и помех для линии вверх и линии вниз, как указано ниже: </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7485" w:dyaOrig="375">
          <v:shape id="_x0000_i1052" type="#_x0000_t75" style="width:374.4pt;height:18.8pt" o:ole="">
            <v:imagedata r:id="rId68" o:title=""/>
          </v:shape>
          <o:OLEObject Type="Embed" ProgID="Equation.3" ShapeID="_x0000_i1052" DrawAspect="Content" ObjectID="_1500106768" r:id="rId69"/>
        </w:object>
      </w:r>
      <w:r w:rsidRPr="003A4E23">
        <w:rPr>
          <w:lang w:val="ru-RU"/>
        </w:rPr>
        <w:t>.</w:t>
      </w:r>
      <w:r w:rsidRPr="003A4E23">
        <w:rPr>
          <w:lang w:val="ru-RU"/>
        </w:rPr>
        <w:tab/>
        <w:t>(8)</w:t>
      </w:r>
    </w:p>
    <w:p w:rsidR="0041192D" w:rsidRPr="003A4E23" w:rsidRDefault="0041192D" w:rsidP="0041192D">
      <w:pPr>
        <w:rPr>
          <w:lang w:val="ru-RU"/>
        </w:rPr>
      </w:pPr>
      <w:r w:rsidRPr="003A4E23">
        <w:rPr>
          <w:lang w:val="ru-RU"/>
        </w:rPr>
        <w:t>Поскольку этот анализ касается помех на линии вверх, то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вверх с помехами</w:t>
      </w:r>
      <w:r w:rsidRPr="003A4E23">
        <w:rPr>
          <w:lang w:val="ru-RU"/>
        </w:rPr>
        <w:t xml:space="preserve"> в уравнении (8) будет: </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5745" w:dyaOrig="390">
          <v:shape id="_x0000_i1053" type="#_x0000_t75" style="width:287.35pt;height:19.4pt" o:ole="">
            <v:imagedata r:id="rId70" o:title=""/>
          </v:shape>
          <o:OLEObject Type="Embed" ProgID="Equation.3" ShapeID="_x0000_i1053" DrawAspect="Content" ObjectID="_1500106769" r:id="rId71"/>
        </w:object>
      </w:r>
      <w:r w:rsidRPr="003A4E23">
        <w:rPr>
          <w:lang w:val="ru-RU"/>
        </w:rPr>
        <w:t>.</w:t>
      </w:r>
      <w:r w:rsidRPr="003A4E23">
        <w:rPr>
          <w:lang w:val="ru-RU"/>
        </w:rPr>
        <w:tab/>
        <w:t>(9)</w:t>
      </w:r>
    </w:p>
    <w:p w:rsidR="0041192D" w:rsidRPr="003A4E23" w:rsidRDefault="0041192D" w:rsidP="0041192D">
      <w:pPr>
        <w:rPr>
          <w:lang w:val="ru-RU"/>
        </w:rPr>
      </w:pPr>
      <w:r w:rsidRPr="003A4E23">
        <w:rPr>
          <w:lang w:val="ru-RU"/>
        </w:rPr>
        <w:t>Помехи также влияют на отношение несущей к плотности шума для линии вниз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за счет увеличения общей мощности, совместно используемой в полосе пропускания систем спасания и поиска. Эта увеличенная общая мощность уменьшает потери разделения мощности и влияет на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xml:space="preserve"> следующим образом:</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6135" w:dyaOrig="330">
          <v:shape id="_x0000_i1054" type="#_x0000_t75" style="width:306.8pt;height:16.9pt" o:ole="">
            <v:imagedata r:id="rId72" o:title=""/>
          </v:shape>
          <o:OLEObject Type="Embed" ProgID="Equation.3" ShapeID="_x0000_i1054" DrawAspect="Content" ObjectID="_1500106770" r:id="rId73"/>
        </w:object>
      </w:r>
      <w:r w:rsidRPr="003A4E23">
        <w:rPr>
          <w:lang w:val="ru-RU"/>
        </w:rPr>
        <w:t>.</w:t>
      </w:r>
      <w:r w:rsidRPr="003A4E23">
        <w:rPr>
          <w:lang w:val="ru-RU"/>
        </w:rPr>
        <w:tab/>
        <w:t>(10)</w:t>
      </w:r>
    </w:p>
    <w:p w:rsidR="0041192D" w:rsidRPr="003A4E23" w:rsidRDefault="0041192D" w:rsidP="0041192D">
      <w:pPr>
        <w:rPr>
          <w:lang w:val="ru-RU"/>
        </w:rPr>
      </w:pPr>
      <w:r w:rsidRPr="003A4E23">
        <w:rPr>
          <w:lang w:val="ru-RU"/>
        </w:rPr>
        <w:t xml:space="preserve">где </w:t>
      </w:r>
      <w:r w:rsidRPr="003A4E23">
        <w:rPr>
          <w:i/>
          <w:lang w:val="ru-RU"/>
        </w:rPr>
        <w:t>Lps</w:t>
      </w:r>
      <w:r w:rsidRPr="003A4E23">
        <w:rPr>
          <w:lang w:val="ru-RU"/>
        </w:rPr>
        <w:t xml:space="preserve"> – потери разделения мощности без помех, а </w:t>
      </w:r>
      <w:r w:rsidRPr="003A4E23">
        <w:rPr>
          <w:i/>
          <w:lang w:val="ru-RU"/>
        </w:rPr>
        <w:t xml:space="preserve">Lpsi </w:t>
      </w:r>
      <w:r w:rsidRPr="003A4E23">
        <w:rPr>
          <w:lang w:val="ru-RU"/>
        </w:rPr>
        <w:t xml:space="preserve">– потери разделения мощности с помехами. </w:t>
      </w:r>
      <w:r w:rsidRPr="003A4E23">
        <w:rPr>
          <w:i/>
          <w:lang w:val="ru-RU"/>
        </w:rPr>
        <w:t>Lpsi</w:t>
      </w:r>
      <w:r w:rsidRPr="003A4E23">
        <w:rPr>
          <w:lang w:val="ru-RU"/>
        </w:rPr>
        <w:t xml:space="preserve"> вычисляется следующим образом:</w:t>
      </w:r>
    </w:p>
    <w:p w:rsidR="0041192D" w:rsidRPr="003A4E23" w:rsidRDefault="0041192D" w:rsidP="0041192D">
      <w:pPr>
        <w:pStyle w:val="Equation"/>
        <w:spacing w:before="240"/>
        <w:rPr>
          <w:position w:val="10"/>
          <w:lang w:val="ru-RU"/>
        </w:rPr>
      </w:pPr>
      <w:r w:rsidRPr="003A4E23">
        <w:rPr>
          <w:position w:val="10"/>
          <w:lang w:val="ru-RU"/>
        </w:rPr>
        <w:tab/>
      </w:r>
      <w:r w:rsidRPr="003A4E23">
        <w:rPr>
          <w:position w:val="10"/>
          <w:lang w:val="ru-RU"/>
        </w:rPr>
        <w:tab/>
      </w:r>
      <w:r w:rsidRPr="003A4E23">
        <w:rPr>
          <w:lang w:val="ru-RU"/>
        </w:rPr>
        <w:object w:dxaOrig="5535" w:dyaOrig="375">
          <v:shape id="_x0000_i1055" type="#_x0000_t75" style="width:276.75pt;height:18.8pt" o:ole="">
            <v:imagedata r:id="rId74" o:title=""/>
          </v:shape>
          <o:OLEObject Type="Embed" ProgID="Equation.3" ShapeID="_x0000_i1055" DrawAspect="Content" ObjectID="_1500106771" r:id="rId75"/>
        </w:object>
      </w:r>
      <w:r w:rsidRPr="003A4E23">
        <w:rPr>
          <w:position w:val="10"/>
          <w:lang w:val="ru-RU"/>
        </w:rPr>
        <w:t>,</w:t>
      </w:r>
      <w:r w:rsidRPr="003A4E23">
        <w:rPr>
          <w:position w:val="10"/>
          <w:lang w:val="ru-RU"/>
        </w:rPr>
        <w:tab/>
        <w:t>(11)</w:t>
      </w:r>
    </w:p>
    <w:p w:rsidR="0041192D" w:rsidRPr="003A4E23" w:rsidRDefault="0041192D" w:rsidP="000713F1">
      <w:pPr>
        <w:rPr>
          <w:lang w:val="ru-RU"/>
        </w:rPr>
      </w:pPr>
      <w:r w:rsidRPr="003A4E23">
        <w:rPr>
          <w:lang w:val="ru-RU"/>
        </w:rPr>
        <w:t xml:space="preserve">где </w:t>
      </w:r>
      <w:r w:rsidRPr="003A4E23">
        <w:rPr>
          <w:i/>
          <w:lang w:val="ru-RU"/>
        </w:rPr>
        <w:t>C</w:t>
      </w:r>
      <w:r w:rsidRPr="003A4E23">
        <w:rPr>
          <w:lang w:val="ru-RU"/>
        </w:rPr>
        <w:t xml:space="preserve">2 – уровень мощности одного из двух других радиомаяков, сигналы которых одновременно принимаются ретранслятором SARR спутника GOES, а </w:t>
      </w:r>
      <w:r w:rsidRPr="003A4E23">
        <w:rPr>
          <w:i/>
          <w:lang w:val="ru-RU"/>
        </w:rPr>
        <w:t>B</w:t>
      </w:r>
      <w:r w:rsidRPr="003A4E23">
        <w:rPr>
          <w:lang w:val="ru-RU"/>
        </w:rPr>
        <w:t xml:space="preserve"> – полоса пропускания приемника этого спутника.</w:t>
      </w:r>
    </w:p>
    <w:p w:rsidR="0041192D" w:rsidRPr="003A4E23" w:rsidRDefault="0041192D" w:rsidP="000713F1">
      <w:pPr>
        <w:rPr>
          <w:lang w:val="ru-RU"/>
        </w:rPr>
      </w:pPr>
      <w:r w:rsidRPr="003A4E23">
        <w:rPr>
          <w:lang w:val="ru-RU"/>
        </w:rPr>
        <w:lastRenderedPageBreak/>
        <w:t xml:space="preserve">Подставим уравнение (11) в уравнение (10), а затем уравнения (9) и (10) – в уравнение (8) и, вычисляя </w:t>
      </w:r>
      <w:r w:rsidRPr="003A4E23">
        <w:rPr>
          <w:i/>
          <w:lang w:val="ru-RU"/>
        </w:rPr>
        <w:t>I</w:t>
      </w:r>
      <w:r w:rsidRPr="003A4E23">
        <w:rPr>
          <w:vertAlign w:val="subscript"/>
          <w:lang w:val="ru-RU"/>
        </w:rPr>
        <w:t>0</w:t>
      </w:r>
      <w:r w:rsidRPr="003A4E23">
        <w:rPr>
          <w:lang w:val="ru-RU"/>
        </w:rPr>
        <w:t>, получим следующую формулу:</w:t>
      </w:r>
    </w:p>
    <w:p w:rsidR="0041192D" w:rsidRPr="003A4E23" w:rsidRDefault="0041192D" w:rsidP="0041192D">
      <w:pPr>
        <w:pStyle w:val="Equation"/>
        <w:rPr>
          <w:lang w:val="ru-RU"/>
        </w:rPr>
      </w:pPr>
      <w:r w:rsidRPr="003A4E23">
        <w:rPr>
          <w:position w:val="10"/>
          <w:lang w:val="ru-RU"/>
        </w:rPr>
        <w:tab/>
      </w:r>
      <w:r w:rsidRPr="003A4E23">
        <w:rPr>
          <w:lang w:val="ru-RU"/>
        </w:rPr>
        <w:object w:dxaOrig="7830" w:dyaOrig="390">
          <v:shape id="_x0000_i1056" type="#_x0000_t75" style="width:391.95pt;height:19.4pt" o:ole="">
            <v:imagedata r:id="rId76" o:title=""/>
          </v:shape>
          <o:OLEObject Type="Embed" ProgID="Equation.3" ShapeID="_x0000_i1056" DrawAspect="Content" ObjectID="_1500106772" r:id="rId77"/>
        </w:object>
      </w:r>
      <w:r w:rsidRPr="003A4E23">
        <w:rPr>
          <w:position w:val="10"/>
          <w:lang w:val="ru-RU"/>
        </w:rPr>
        <w:t>.</w:t>
      </w:r>
      <w:r w:rsidRPr="003A4E23">
        <w:rPr>
          <w:position w:val="10"/>
          <w:lang w:val="ru-RU"/>
        </w:rPr>
        <w:tab/>
        <w:t>(12)</w:t>
      </w:r>
    </w:p>
    <w:p w:rsidR="0041192D" w:rsidRPr="003A4E23" w:rsidRDefault="0041192D" w:rsidP="000713F1">
      <w:pPr>
        <w:rPr>
          <w:lang w:val="ru-RU"/>
        </w:rPr>
      </w:pPr>
      <w:r w:rsidRPr="003A4E23">
        <w:rPr>
          <w:lang w:val="ru-RU"/>
        </w:rPr>
        <w:t>(</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равно 29,8 дБ(Гц) (см. уравнение (7)), </w:t>
      </w:r>
      <w:r w:rsidRPr="003A4E23">
        <w:rPr>
          <w:i/>
          <w:lang w:val="ru-RU"/>
        </w:rPr>
        <w:t>C</w:t>
      </w:r>
      <w:r w:rsidRPr="003A4E23">
        <w:rPr>
          <w:rFonts w:ascii="Symbol" w:hAnsi="Symbol"/>
          <w:vertAlign w:val="subscript"/>
          <w:lang w:val="ru-RU"/>
        </w:rPr>
        <w:softHyphen/>
      </w:r>
      <w:r w:rsidRPr="003A4E23">
        <w:rPr>
          <w:lang w:val="ru-RU"/>
        </w:rPr>
        <w:t xml:space="preserve"> равно –171,7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rFonts w:ascii="Symbol" w:hAnsi="Symbol"/>
          <w:vertAlign w:val="subscript"/>
          <w:lang w:val="ru-RU"/>
        </w:rPr>
        <w:t></w:t>
      </w:r>
      <w:r w:rsidRPr="003A4E23">
        <w:rPr>
          <w:lang w:val="ru-RU"/>
        </w:rPr>
        <w:t xml:space="preserve"> равно 43,8 дБ(Гц), </w:t>
      </w:r>
      <w:r w:rsidRPr="003A4E23">
        <w:rPr>
          <w:lang w:val="ru-RU"/>
        </w:rPr>
        <w:br/>
      </w:r>
      <w:r w:rsidRPr="003A4E23">
        <w:rPr>
          <w:i/>
          <w:lang w:val="ru-RU"/>
        </w:rPr>
        <w:t>N</w:t>
      </w:r>
      <w:r w:rsidRPr="003A4E23">
        <w:rPr>
          <w:vertAlign w:val="subscript"/>
          <w:lang w:val="ru-RU"/>
        </w:rPr>
        <w:t>0</w:t>
      </w:r>
      <w:r w:rsidRPr="003A4E23">
        <w:rPr>
          <w:rFonts w:ascii="Symbol" w:hAnsi="Symbol"/>
          <w:vertAlign w:val="subscript"/>
          <w:lang w:val="ru-RU"/>
        </w:rPr>
        <w:softHyphen/>
      </w:r>
      <w:r w:rsidRPr="003A4E23">
        <w:rPr>
          <w:lang w:val="ru-RU"/>
        </w:rPr>
        <w:t xml:space="preserve"> равно –203 дБ(Вт/Гц), </w:t>
      </w:r>
      <w:r w:rsidRPr="003A4E23">
        <w:rPr>
          <w:i/>
          <w:lang w:val="ru-RU"/>
        </w:rPr>
        <w:t>Lps</w:t>
      </w:r>
      <w:r w:rsidRPr="003A4E23">
        <w:rPr>
          <w:lang w:val="ru-RU"/>
        </w:rPr>
        <w:t xml:space="preserve"> равно –18,3 дБ, а (</w:t>
      </w:r>
      <w:r w:rsidRPr="003A4E23">
        <w:rPr>
          <w:i/>
          <w:lang w:val="ru-RU"/>
        </w:rPr>
        <w:t>C</w:t>
      </w:r>
      <w:r w:rsidRPr="003A4E23">
        <w:rPr>
          <w:lang w:val="ru-RU"/>
        </w:rPr>
        <w:t>/</w:t>
      </w:r>
      <w:r w:rsidRPr="003A4E23">
        <w:rPr>
          <w:i/>
          <w:lang w:val="ru-RU"/>
        </w:rPr>
        <w:t>N</w:t>
      </w:r>
      <w:r w:rsidRPr="003A4E23">
        <w:rPr>
          <w:lang w:val="ru-RU"/>
        </w:rPr>
        <w:t>)</w:t>
      </w:r>
      <w:r w:rsidRPr="003A4E23">
        <w:rPr>
          <w:rFonts w:ascii="Symbol" w:hAnsi="Symbol"/>
          <w:vertAlign w:val="subscript"/>
          <w:lang w:val="ru-RU"/>
        </w:rPr>
        <w:t></w:t>
      </w:r>
      <w:r w:rsidRPr="003A4E23">
        <w:rPr>
          <w:lang w:val="ru-RU"/>
        </w:rPr>
        <w:t xml:space="preserve"> равно 43,8 дБ(Гц) минус 10 log(80 кГц) или </w:t>
      </w:r>
      <w:r w:rsidRPr="003A4E23">
        <w:rPr>
          <w:lang w:val="ru-RU"/>
        </w:rPr>
        <w:br/>
        <w:t>–5,2 дБ. Подставив эти численные значения в уравнение (12), получим:</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7605" w:dyaOrig="390">
          <v:shape id="_x0000_i1057" type="#_x0000_t75" style="width:380.05pt;height:19.4pt" o:ole="">
            <v:imagedata r:id="rId78" o:title=""/>
          </v:shape>
          <o:OLEObject Type="Embed" ProgID="Equation.3" ShapeID="_x0000_i1057" DrawAspect="Content" ObjectID="_1500106773" r:id="rId79"/>
        </w:object>
      </w:r>
    </w:p>
    <w:p w:rsidR="0041192D" w:rsidRPr="003A4E23" w:rsidRDefault="0041192D" w:rsidP="0041192D">
      <w:pPr>
        <w:rPr>
          <w:szCs w:val="24"/>
          <w:lang w:val="ru-RU"/>
        </w:rPr>
      </w:pPr>
      <w:r w:rsidRPr="003A4E23">
        <w:rPr>
          <w:szCs w:val="24"/>
          <w:lang w:val="ru-RU"/>
        </w:rPr>
        <w:t>или:</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3225" w:dyaOrig="345">
          <v:shape id="_x0000_i1058" type="#_x0000_t75" style="width:161.55pt;height:17.55pt" o:ole="">
            <v:imagedata r:id="rId80" o:title=""/>
          </v:shape>
          <o:OLEObject Type="Embed" ProgID="Equation.3" ShapeID="_x0000_i1058" DrawAspect="Content" ObjectID="_1500106774" r:id="rId81"/>
        </w:object>
      </w:r>
    </w:p>
    <w:p w:rsidR="0041192D" w:rsidRPr="003A4E23" w:rsidRDefault="0041192D" w:rsidP="0041192D">
      <w:pPr>
        <w:rPr>
          <w:szCs w:val="24"/>
          <w:lang w:val="ru-RU"/>
        </w:rPr>
      </w:pPr>
      <w:r w:rsidRPr="003A4E23">
        <w:rPr>
          <w:szCs w:val="24"/>
          <w:lang w:val="ru-RU"/>
        </w:rPr>
        <w:t>или:</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3615" w:dyaOrig="345">
          <v:shape id="_x0000_i1059" type="#_x0000_t75" style="width:180.95pt;height:17.55pt" o:ole="">
            <v:imagedata r:id="rId82" o:title=""/>
          </v:shape>
          <o:OLEObject Type="Embed" ProgID="Equation.3" ShapeID="_x0000_i1059" DrawAspect="Content" ObjectID="_1500106775" r:id="rId83"/>
        </w:object>
      </w:r>
      <w:r w:rsidRPr="003A4E23">
        <w:rPr>
          <w:lang w:val="ru-RU"/>
        </w:rPr>
        <w:t>.</w:t>
      </w:r>
    </w:p>
    <w:p w:rsidR="0041192D" w:rsidRPr="003A4E23" w:rsidRDefault="0041192D" w:rsidP="000713F1">
      <w:pPr>
        <w:rPr>
          <w:lang w:val="ru-RU"/>
        </w:rPr>
      </w:pPr>
      <w:r w:rsidRPr="003A4E23">
        <w:rPr>
          <w:lang w:val="ru-RU"/>
        </w:rPr>
        <w:t>Рассматриваемые критерии защиты желательно характеризовать в виде порогового значения с.п.п.м. помех, указываемого в дБ(Вт/(м</w:t>
      </w:r>
      <w:r w:rsidRPr="003A4E23">
        <w:rPr>
          <w:vertAlign w:val="superscript"/>
          <w:lang w:val="ru-RU"/>
        </w:rPr>
        <w:t>2</w:t>
      </w:r>
      <w:r w:rsidRPr="003A4E23">
        <w:rPr>
          <w:lang w:val="ru-RU"/>
        </w:rPr>
        <w:t xml:space="preserve"> ∙ Гц)), на входе приемной спутниковой антенны 406 МГц. Эффективная апертура антенны </w:t>
      </w:r>
      <w:r w:rsidRPr="003A4E23">
        <w:rPr>
          <w:i/>
          <w:lang w:val="ru-RU"/>
        </w:rPr>
        <w:t>A</w:t>
      </w:r>
      <w:r w:rsidRPr="003A4E23">
        <w:rPr>
          <w:i/>
          <w:vertAlign w:val="subscript"/>
          <w:lang w:val="ru-RU"/>
        </w:rPr>
        <w:t>e</w:t>
      </w:r>
      <w:r w:rsidRPr="003A4E23">
        <w:rPr>
          <w:lang w:val="ru-RU"/>
        </w:rPr>
        <w:t xml:space="preserve"> с усилением </w:t>
      </w:r>
      <w:r w:rsidRPr="003A4E23">
        <w:rPr>
          <w:i/>
          <w:lang w:val="ru-RU"/>
        </w:rPr>
        <w:t>G</w:t>
      </w:r>
      <w:r w:rsidRPr="003A4E23">
        <w:rPr>
          <w:lang w:val="ru-RU"/>
        </w:rPr>
        <w:t xml:space="preserve"> определяется как </w:t>
      </w:r>
      <w:r w:rsidRPr="003A4E23">
        <w:rPr>
          <w:i/>
          <w:lang w:val="ru-RU"/>
        </w:rPr>
        <w:t>A</w:t>
      </w:r>
      <w:r w:rsidRPr="003A4E23">
        <w:rPr>
          <w:i/>
          <w:vertAlign w:val="subscript"/>
          <w:lang w:val="ru-RU"/>
        </w:rPr>
        <w:t>e</w:t>
      </w:r>
      <w:r w:rsidRPr="003A4E23">
        <w:rPr>
          <w:lang w:val="ru-RU"/>
        </w:rPr>
        <w:t> </w:t>
      </w:r>
      <w:r w:rsidRPr="003A4E23">
        <w:rPr>
          <w:rFonts w:ascii="Symbol" w:hAnsi="Symbol"/>
          <w:lang w:val="ru-RU"/>
        </w:rPr>
        <w:t></w:t>
      </w:r>
      <w:r w:rsidRPr="003A4E23">
        <w:rPr>
          <w:lang w:val="ru-RU"/>
        </w:rPr>
        <w:t> </w:t>
      </w:r>
      <w:r w:rsidRPr="003A4E23">
        <w:rPr>
          <w:i/>
          <w:lang w:val="ru-RU"/>
        </w:rPr>
        <w:t>G</w:t>
      </w:r>
      <w:r w:rsidRPr="003A4E23">
        <w:rPr>
          <w:lang w:val="ru-RU"/>
        </w:rPr>
        <w:t> </w:t>
      </w:r>
      <w:r w:rsidRPr="003A4E23">
        <w:rPr>
          <w:rFonts w:ascii="Symbol" w:hAnsi="Symbol"/>
          <w:lang w:val="ru-RU"/>
        </w:rPr>
        <w:t></w:t>
      </w:r>
      <w:r w:rsidRPr="003A4E23">
        <w:rPr>
          <w:vertAlign w:val="superscript"/>
          <w:lang w:val="ru-RU"/>
        </w:rPr>
        <w:t>2</w:t>
      </w:r>
      <w:r w:rsidRPr="003A4E23">
        <w:rPr>
          <w:lang w:val="ru-RU"/>
        </w:rPr>
        <w:t>/4</w:t>
      </w:r>
      <w:r w:rsidRPr="003A4E23">
        <w:rPr>
          <w:rFonts w:ascii="Symbol" w:hAnsi="Symbol"/>
          <w:lang w:val="ru-RU"/>
        </w:rPr>
        <w:t></w:t>
      </w:r>
      <w:r w:rsidRPr="003A4E23">
        <w:rPr>
          <w:rFonts w:ascii="Symbol" w:hAnsi="Symbol"/>
          <w:lang w:val="ru-RU"/>
        </w:rPr>
        <w:t></w:t>
      </w:r>
      <w:r w:rsidRPr="003A4E23">
        <w:rPr>
          <w:lang w:val="ru-RU"/>
        </w:rPr>
        <w:t xml:space="preserve"> Для приемной антенны спутника GOES</w:t>
      </w:r>
      <w:r w:rsidRPr="003A4E23">
        <w:rPr>
          <w:i/>
          <w:lang w:val="ru-RU"/>
        </w:rPr>
        <w:t xml:space="preserve"> </w:t>
      </w:r>
      <w:r w:rsidRPr="003A4E23">
        <w:rPr>
          <w:lang w:val="ru-RU"/>
        </w:rPr>
        <w:t>с усилением 12 дБи эффективная апертура равна 0,689 м</w:t>
      </w:r>
      <w:r w:rsidRPr="003A4E23">
        <w:rPr>
          <w:vertAlign w:val="superscript"/>
          <w:lang w:val="ru-RU"/>
        </w:rPr>
        <w:t>2</w:t>
      </w:r>
      <w:r w:rsidRPr="003A4E23">
        <w:rPr>
          <w:lang w:val="ru-RU"/>
        </w:rPr>
        <w:t>. Поэтому максимальные приемлемые суммарные помехи, указываемые в виде с.п.п.м., составляют:</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0"/>
          <w:lang w:val="ru-RU"/>
        </w:rPr>
        <w:object w:dxaOrig="2250" w:dyaOrig="315">
          <v:shape id="_x0000_i1060" type="#_x0000_t75" style="width:112.05pt;height:15.65pt" o:ole="">
            <v:imagedata r:id="rId84" o:title=""/>
          </v:shape>
          <o:OLEObject Type="Embed" ProgID="Equation.3" ShapeID="_x0000_i1060" DrawAspect="Content" ObjectID="_1500106776" r:id="rId85"/>
        </w:object>
      </w:r>
      <w:r w:rsidRPr="003A4E23">
        <w:rPr>
          <w:lang w:val="ru-RU"/>
        </w:rPr>
        <w:t>.</w:t>
      </w:r>
    </w:p>
    <w:p w:rsidR="0041192D" w:rsidRPr="003A4E23" w:rsidRDefault="0041192D" w:rsidP="000713F1">
      <w:pPr>
        <w:rPr>
          <w:lang w:val="ru-RU"/>
        </w:rPr>
      </w:pPr>
      <w:r w:rsidRPr="003A4E23">
        <w:rPr>
          <w:lang w:val="ru-RU"/>
        </w:rPr>
        <w:t>Если предположить, что потери в линии составляют 1,9 дБ (см. рис. 7):</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6075" w:dyaOrig="345">
          <v:shape id="_x0000_i1061" type="#_x0000_t75" style="width:303.65pt;height:17.55pt" o:ole="">
            <v:imagedata r:id="rId86" o:title=""/>
          </v:shape>
          <o:OLEObject Type="Embed" ProgID="Equation.3" ShapeID="_x0000_i1061" DrawAspect="Content" ObjectID="_1500106777" r:id="rId87"/>
        </w:object>
      </w:r>
      <w:r w:rsidRPr="003A4E23">
        <w:rPr>
          <w:lang w:val="ru-RU"/>
        </w:rPr>
        <w:t>.</w:t>
      </w:r>
    </w:p>
    <w:p w:rsidR="0041192D" w:rsidRPr="003A4E23" w:rsidRDefault="0041192D" w:rsidP="000713F1">
      <w:pPr>
        <w:rPr>
          <w:lang w:val="ru-RU"/>
        </w:rPr>
      </w:pPr>
      <w:r w:rsidRPr="003A4E23">
        <w:rPr>
          <w:lang w:val="ru-RU"/>
        </w:rPr>
        <w:t>Для спутников серии GOES-R усиление приемной антенны составляет 14,3 дБи, а эффективная апертура равна 1,617 м</w:t>
      </w:r>
      <w:r w:rsidRPr="003A4E23">
        <w:rPr>
          <w:vertAlign w:val="superscript"/>
          <w:lang w:val="ru-RU"/>
        </w:rPr>
        <w:t>2</w:t>
      </w:r>
      <w:r w:rsidRPr="003A4E23">
        <w:rPr>
          <w:lang w:val="ru-RU"/>
        </w:rPr>
        <w:t>. Поэтому максимальные приемлемые суммарные помехи, указываемые в виде с.п.п.м., составляют:</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6195" w:dyaOrig="345">
          <v:shape id="_x0000_i1062" type="#_x0000_t75" style="width:309.9pt;height:17.55pt" o:ole="">
            <v:imagedata r:id="rId88" o:title=""/>
          </v:shape>
          <o:OLEObject Type="Embed" ProgID="Equation.3" ShapeID="_x0000_i1062" DrawAspect="Content" ObjectID="_1500106778" r:id="rId89"/>
        </w:object>
      </w:r>
      <w:r w:rsidRPr="003A4E23">
        <w:rPr>
          <w:lang w:val="ru-RU"/>
        </w:rPr>
        <w:t>.</w:t>
      </w:r>
    </w:p>
    <w:p w:rsidR="0041192D" w:rsidRPr="003A4E23" w:rsidRDefault="0041192D" w:rsidP="000713F1">
      <w:pPr>
        <w:rPr>
          <w:lang w:val="ru-RU"/>
        </w:rPr>
      </w:pPr>
      <w:r w:rsidRPr="003A4E23">
        <w:rPr>
          <w:lang w:val="ru-RU"/>
        </w:rPr>
        <w:t>Максимальный уровень широкополосных шумоподобных помех в полосе 406–406,1 МГц, измеренный на антенне спутника GOES, не должен превышать –204,2 дБ(Вт/(м</w:t>
      </w:r>
      <w:r w:rsidRPr="003A4E23">
        <w:rPr>
          <w:vertAlign w:val="superscript"/>
          <w:lang w:val="ru-RU"/>
        </w:rPr>
        <w:t>2</w:t>
      </w:r>
      <w:r w:rsidRPr="003A4E23">
        <w:rPr>
          <w:lang w:val="ru-RU"/>
        </w:rPr>
        <w:t> ∙ Гц)) для существующих спутников GOES и –204,7 дБ(Вт/(м</w:t>
      </w:r>
      <w:r w:rsidRPr="003A4E23">
        <w:rPr>
          <w:vertAlign w:val="superscript"/>
          <w:lang w:val="ru-RU"/>
        </w:rPr>
        <w:t>2</w:t>
      </w:r>
      <w:r w:rsidRPr="003A4E23">
        <w:rPr>
          <w:lang w:val="ru-RU"/>
        </w:rPr>
        <w:t> ∙ Гц)) для спутников серии GOES-R.</w:t>
      </w:r>
    </w:p>
    <w:p w:rsidR="0041192D" w:rsidRPr="003A4E23" w:rsidRDefault="0041192D" w:rsidP="0041192D">
      <w:pPr>
        <w:pStyle w:val="Heading1"/>
        <w:rPr>
          <w:lang w:val="ru-RU"/>
        </w:rPr>
      </w:pPr>
      <w:r w:rsidRPr="003A4E23">
        <w:rPr>
          <w:lang w:val="ru-RU"/>
        </w:rPr>
        <w:t>3</w:t>
      </w:r>
      <w:r w:rsidRPr="003A4E23">
        <w:rPr>
          <w:lang w:val="ru-RU"/>
        </w:rPr>
        <w:tab/>
        <w:t>Процедура вычисления уровня помех в канале SARR 406 МГц спутника GOES</w:t>
      </w:r>
    </w:p>
    <w:p w:rsidR="0041192D" w:rsidRPr="003A4E23" w:rsidRDefault="0041192D" w:rsidP="0041192D">
      <w:pPr>
        <w:rPr>
          <w:lang w:val="ru-RU"/>
        </w:rPr>
      </w:pPr>
      <w:r w:rsidRPr="003A4E23">
        <w:rPr>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41192D" w:rsidRPr="003A4E23" w:rsidRDefault="0041192D" w:rsidP="0041192D">
      <w:pPr>
        <w:rPr>
          <w:lang w:val="ru-RU"/>
        </w:rPr>
      </w:pPr>
      <w:r w:rsidRPr="003A4E23">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возникающие при их движении.</w:t>
      </w:r>
    </w:p>
    <w:p w:rsidR="0041192D" w:rsidRPr="003A4E23" w:rsidRDefault="0041192D" w:rsidP="0041192D">
      <w:pPr>
        <w:rPr>
          <w:lang w:val="ru-RU"/>
        </w:rPr>
      </w:pPr>
      <w:r w:rsidRPr="003A4E23">
        <w:rPr>
          <w:lang w:val="ru-RU"/>
        </w:rPr>
        <w:t>Необходимо вычислить уровень помех от всех источников, которые передают энергию в этой полосе частот, выражаемый как уровень с.п.п.м. на спутниковой антенне. Суммарный уровень для всех источников помех в любой части этой полосы не должен превышать –204,2 дБ(Вт/(м</w:t>
      </w:r>
      <w:r w:rsidRPr="003A4E23">
        <w:rPr>
          <w:vertAlign w:val="superscript"/>
          <w:lang w:val="ru-RU"/>
        </w:rPr>
        <w:t>2</w:t>
      </w:r>
      <w:r w:rsidRPr="003A4E23">
        <w:rPr>
          <w:lang w:val="ru-RU"/>
        </w:rPr>
        <w:t> ∙ Гц)) для более ранних систем GOES и –204,7 дБ(Вт/(м</w:t>
      </w:r>
      <w:r w:rsidRPr="003A4E23">
        <w:rPr>
          <w:vertAlign w:val="superscript"/>
          <w:lang w:val="ru-RU"/>
        </w:rPr>
        <w:t>2</w:t>
      </w:r>
      <w:r w:rsidRPr="003A4E23">
        <w:rPr>
          <w:lang w:val="ru-RU"/>
        </w:rPr>
        <w:t> ∙ Гц)) для систем серии GOES-R.</w:t>
      </w:r>
    </w:p>
    <w:p w:rsidR="0041192D" w:rsidRPr="003A4E23" w:rsidRDefault="0041192D" w:rsidP="0041192D">
      <w:pPr>
        <w:pStyle w:val="AnnexNoTitle"/>
        <w:rPr>
          <w:lang w:val="ru-RU"/>
        </w:rPr>
      </w:pPr>
      <w:r w:rsidRPr="003A4E23">
        <w:rPr>
          <w:lang w:val="ru-RU"/>
        </w:rPr>
        <w:lastRenderedPageBreak/>
        <w:t>Приложение 7</w:t>
      </w:r>
      <w:r w:rsidRPr="003A4E23">
        <w:rPr>
          <w:lang w:val="ru-RU"/>
        </w:rPr>
        <w:br/>
      </w:r>
      <w:r w:rsidRPr="003A4E23">
        <w:rPr>
          <w:lang w:val="ru-RU"/>
        </w:rPr>
        <w:br/>
        <w:t xml:space="preserve">Критерии защиты в полосе частот 406–406,1 МГц </w:t>
      </w:r>
      <w:r w:rsidRPr="003A4E23">
        <w:rPr>
          <w:lang w:val="ru-RU"/>
        </w:rPr>
        <w:br/>
        <w:t>для служб MSG GEOSAR</w:t>
      </w:r>
    </w:p>
    <w:p w:rsidR="0041192D" w:rsidRPr="003A4E23" w:rsidRDefault="0041192D" w:rsidP="0041192D">
      <w:pPr>
        <w:pStyle w:val="Heading1"/>
        <w:rPr>
          <w:lang w:val="ru-RU"/>
        </w:rPr>
      </w:pPr>
      <w:r w:rsidRPr="003A4E23">
        <w:rPr>
          <w:lang w:val="ru-RU"/>
        </w:rPr>
        <w:t>1</w:t>
      </w:r>
      <w:r w:rsidRPr="003A4E23">
        <w:rPr>
          <w:lang w:val="ru-RU"/>
        </w:rPr>
        <w:tab/>
        <w:t>Минимальные приемлемые характеристики для обнаружения сигналов EPIRB, ретранслируемых через канал SARR 406 МГц спутников MSG</w:t>
      </w:r>
    </w:p>
    <w:p w:rsidR="0041192D" w:rsidRPr="003A4E23" w:rsidRDefault="0041192D" w:rsidP="0041192D">
      <w:pPr>
        <w:rPr>
          <w:lang w:val="ru-RU"/>
        </w:rPr>
      </w:pPr>
      <w:r w:rsidRPr="003A4E23">
        <w:rPr>
          <w:lang w:val="ru-RU"/>
        </w:rPr>
        <w:t>Для надежного обнаружения сигналов радиомаяков, передающих сигналы бедствия на частоте 406 МГц, используя ретрансляторы 406 МГц метеорологических спутников второго поколения (MSG), коэффициент ошибок по битам (BER) в канале не должен превышать 5 </w:t>
      </w:r>
      <w:r w:rsidRPr="003A4E23">
        <w:rPr>
          <w:rFonts w:ascii="Symbol" w:hAnsi="Symbol"/>
          <w:lang w:val="ru-RU"/>
        </w:rPr>
        <w:sym w:font="Symbol" w:char="F0B4"/>
      </w:r>
      <w:r w:rsidRPr="003A4E23">
        <w:rPr>
          <w:lang w:val="ru-RU"/>
        </w:rPr>
        <w:t> 10</w:t>
      </w:r>
      <w:r w:rsidRPr="003A4E23">
        <w:rPr>
          <w:vertAlign w:val="superscript"/>
          <w:lang w:val="ru-RU"/>
        </w:rPr>
        <w:t>–5</w:t>
      </w:r>
      <w:r w:rsidRPr="003A4E23">
        <w:rPr>
          <w:lang w:val="ru-RU"/>
        </w:rPr>
        <w:t>.</w:t>
      </w:r>
    </w:p>
    <w:p w:rsidR="0041192D" w:rsidRPr="003A4E23" w:rsidRDefault="0041192D" w:rsidP="0041192D">
      <w:pPr>
        <w:pStyle w:val="Heading1"/>
        <w:rPr>
          <w:lang w:val="ru-RU"/>
        </w:rPr>
      </w:pPr>
      <w:r w:rsidRPr="003A4E23">
        <w:rPr>
          <w:lang w:val="ru-RU"/>
        </w:rPr>
        <w:t>2</w:t>
      </w:r>
      <w:r w:rsidRPr="003A4E23">
        <w:rPr>
          <w:lang w:val="ru-RU"/>
        </w:rPr>
        <w:tab/>
        <w:t>Анализ с.п.п.м., вызывающей помехи</w:t>
      </w:r>
    </w:p>
    <w:p w:rsidR="0041192D" w:rsidRPr="003A4E23" w:rsidRDefault="0041192D" w:rsidP="0041192D">
      <w:pPr>
        <w:rPr>
          <w:lang w:val="ru-RU"/>
        </w:rPr>
      </w:pPr>
      <w:r w:rsidRPr="003A4E23">
        <w:rPr>
          <w:lang w:val="ru-RU"/>
        </w:rPr>
        <w:t xml:space="preserve">Величина BER в канале связи выводится из отношения энергии, содержащейся в каждом бите данных, </w:t>
      </w:r>
      <w:r w:rsidRPr="003A4E23">
        <w:rPr>
          <w:i/>
          <w:lang w:val="ru-RU"/>
        </w:rPr>
        <w:t>E</w:t>
      </w:r>
      <w:r w:rsidRPr="003A4E23">
        <w:rPr>
          <w:i/>
          <w:vertAlign w:val="subscript"/>
          <w:lang w:val="ru-RU"/>
        </w:rPr>
        <w:t>b</w:t>
      </w:r>
      <w:r w:rsidRPr="003A4E23">
        <w:rPr>
          <w:lang w:val="ru-RU"/>
        </w:rPr>
        <w:t xml:space="preserve">, к плотности шума. Плотность шума состоит из шума, создаваемого оборудованием Коспас-Сарсат, </w:t>
      </w:r>
      <w:r w:rsidRPr="003A4E23">
        <w:rPr>
          <w:i/>
          <w:lang w:val="ru-RU"/>
        </w:rPr>
        <w:t>N</w:t>
      </w:r>
      <w:r w:rsidRPr="003A4E23">
        <w:rPr>
          <w:vertAlign w:val="subscript"/>
          <w:lang w:val="ru-RU"/>
        </w:rPr>
        <w:t>0</w:t>
      </w:r>
      <w:r w:rsidRPr="003A4E23">
        <w:rPr>
          <w:lang w:val="ru-RU"/>
        </w:rPr>
        <w:t xml:space="preserve">, и шума, вызываемого помехами от других систем, </w:t>
      </w:r>
      <w:r w:rsidRPr="003A4E23">
        <w:rPr>
          <w:i/>
          <w:lang w:val="ru-RU"/>
        </w:rPr>
        <w:t>I</w:t>
      </w:r>
      <w:r w:rsidRPr="003A4E23">
        <w:rPr>
          <w:vertAlign w:val="subscript"/>
          <w:lang w:val="ru-RU"/>
        </w:rPr>
        <w:t>0</w:t>
      </w:r>
      <w:r w:rsidRPr="003A4E23">
        <w:rPr>
          <w:lang w:val="ru-RU"/>
        </w:rPr>
        <w:t>. На рисунке 8 показан канал SARR 406 МГц спутника MSG с помехами на линии вверх.</w:t>
      </w:r>
    </w:p>
    <w:p w:rsidR="0041192D" w:rsidRPr="003A4E23" w:rsidRDefault="0041192D" w:rsidP="0041192D">
      <w:pPr>
        <w:pStyle w:val="FigureNo"/>
        <w:rPr>
          <w:lang w:val="ru-RU"/>
        </w:rPr>
      </w:pPr>
      <w:r w:rsidRPr="003A4E23">
        <w:rPr>
          <w:lang w:val="ru-RU"/>
        </w:rPr>
        <w:t>РИСУНОК 8</w:t>
      </w:r>
    </w:p>
    <w:p w:rsidR="0041192D" w:rsidRPr="003A4E23" w:rsidRDefault="0041192D" w:rsidP="0041192D">
      <w:pPr>
        <w:pStyle w:val="Figuretitle"/>
        <w:rPr>
          <w:rFonts w:asciiTheme="minorHAnsi" w:hAnsiTheme="minorHAnsi"/>
          <w:lang w:val="ru-RU"/>
        </w:rPr>
      </w:pPr>
      <w:r w:rsidRPr="003A4E23">
        <w:rPr>
          <w:lang w:val="ru-RU"/>
        </w:rPr>
        <w:t>Ретранслятор MSG, 406 МГц, с помехами линии вверх</w:t>
      </w:r>
    </w:p>
    <w:p w:rsidR="0041192D" w:rsidRPr="003A4E23" w:rsidRDefault="0041192D" w:rsidP="0041192D">
      <w:pPr>
        <w:pStyle w:val="Figure"/>
        <w:rPr>
          <w:lang w:val="ru-RU"/>
        </w:rPr>
      </w:pPr>
      <w:r w:rsidRPr="003A4E23">
        <w:rPr>
          <w:lang w:val="ru-RU"/>
        </w:rPr>
        <w:object w:dxaOrig="9120" w:dyaOrig="4830">
          <v:shape id="_x0000_i1063" type="#_x0000_t75" style="width:455.8pt;height:241.05pt" o:ole="">
            <v:imagedata r:id="rId90" o:title=""/>
          </v:shape>
          <o:OLEObject Type="Embed" ProgID="CorelDRAW.Graphic.14" ShapeID="_x0000_i1063" DrawAspect="Content" ObjectID="_1500106779" r:id="rId91"/>
        </w:object>
      </w:r>
    </w:p>
    <w:p w:rsidR="0041192D" w:rsidRPr="003A4E23" w:rsidRDefault="0041192D" w:rsidP="0041192D">
      <w:pPr>
        <w:rPr>
          <w:lang w:val="ru-RU"/>
        </w:rPr>
      </w:pPr>
      <w:r w:rsidRPr="003A4E23">
        <w:rPr>
          <w:lang w:val="ru-RU"/>
        </w:rPr>
        <w:t xml:space="preserve">Чтобы достичь величины BER </w:t>
      </w:r>
      <w:r w:rsidRPr="003A4E23">
        <w:rPr>
          <w:rFonts w:ascii="TimesNewRoman" w:hAnsi="TimesNewRoman"/>
          <w:lang w:val="ru-RU"/>
        </w:rPr>
        <w:t>5 </w:t>
      </w:r>
      <w:r w:rsidRPr="003A4E23">
        <w:rPr>
          <w:rFonts w:ascii="Symbol" w:hAnsi="Symbol"/>
          <w:lang w:val="ru-RU"/>
        </w:rPr>
        <w:t></w:t>
      </w:r>
      <w:r w:rsidRPr="003A4E23">
        <w:rPr>
          <w:lang w:val="ru-RU"/>
        </w:rPr>
        <w:t> </w:t>
      </w:r>
      <w:r w:rsidRPr="003A4E23">
        <w:rPr>
          <w:rFonts w:ascii="TimesNewRoman" w:hAnsi="TimesNewRoman"/>
          <w:lang w:val="ru-RU"/>
        </w:rPr>
        <w:t>10</w:t>
      </w:r>
      <w:r w:rsidRPr="003A4E23">
        <w:rPr>
          <w:vertAlign w:val="superscript"/>
          <w:lang w:val="ru-RU"/>
        </w:rPr>
        <w:t>–5</w:t>
      </w:r>
      <w:r w:rsidRPr="003A4E23">
        <w:rPr>
          <w:lang w:val="ru-RU"/>
        </w:rPr>
        <w:t xml:space="preserve">, отношение энергии на бит к плотности шума и помех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lang w:val="ru-RU"/>
        </w:rPr>
        <w:t>)</w:t>
      </w:r>
      <w:r w:rsidRPr="003A4E23">
        <w:rPr>
          <w:rFonts w:asciiTheme="minorHAnsi" w:hAnsiTheme="minorHAnsi"/>
          <w:lang w:val="ru-RU"/>
        </w:rPr>
        <w:t xml:space="preserve"> </w:t>
      </w:r>
      <w:r w:rsidRPr="003A4E23">
        <w:rPr>
          <w:lang w:val="ru-RU"/>
        </w:rPr>
        <w:t xml:space="preserve">в демодуляторе терминала GEOLUT должно быть равно или превышать 8,8 дБ. Данный анализ определяет максимальное количество широкополосных шумоподобных помех, указываемое как с.п.п.м. на входе антенны 406 МГц спутника MSG, которое может быть принято без ухудшения величины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в общей линии ниже 8,8 дБ.</w:t>
      </w:r>
    </w:p>
    <w:p w:rsidR="0041192D" w:rsidRPr="003A4E23" w:rsidRDefault="0041192D" w:rsidP="0041192D">
      <w:pPr>
        <w:rPr>
          <w:lang w:val="ru-RU"/>
        </w:rPr>
      </w:pPr>
      <w:r w:rsidRPr="003A4E23">
        <w:rPr>
          <w:lang w:val="ru-RU"/>
        </w:rPr>
        <w:t xml:space="preserve">Как показано на рисунке 8, передаваемые радиомаяками сигналы бедствия на частоте 406 МГц принимаются ретранслятором поиска и спасания спутника MSG и модулируются по фазе на несущей линии вниз 1544,5 МГц для обнаружения и обработки терминалами GEOLUT. Усиление антенны и шумовая температура системы для спутникового ретранслятора составляют </w:t>
      </w:r>
      <w:r w:rsidRPr="003A4E23">
        <w:rPr>
          <w:sz w:val="4"/>
          <w:lang w:val="ru-RU"/>
        </w:rPr>
        <w:t> </w:t>
      </w:r>
      <w:r w:rsidRPr="003A4E23">
        <w:rPr>
          <w:lang w:val="ru-RU"/>
        </w:rPr>
        <w:t xml:space="preserve">3 дБи и 326 K в точке A (рис. 8). Путем использования сложной обработки цифрового сигнала и методов интеграции пакетов </w:t>
      </w:r>
      <w:r w:rsidRPr="003A4E23">
        <w:rPr>
          <w:lang w:val="ru-RU"/>
        </w:rPr>
        <w:lastRenderedPageBreak/>
        <w:t xml:space="preserve">при отсутствии помех можно получить общее отношение несущей к плотности шума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равное 27,4 дБ(Гц).</w:t>
      </w:r>
    </w:p>
    <w:p w:rsidR="0041192D" w:rsidRPr="003A4E23" w:rsidRDefault="0041192D" w:rsidP="0041192D">
      <w:pPr>
        <w:rPr>
          <w:lang w:val="ru-RU"/>
        </w:rPr>
      </w:pPr>
      <w:r w:rsidRPr="003A4E23">
        <w:rPr>
          <w:lang w:val="ru-RU"/>
        </w:rPr>
        <w:t>В целях отображения реалистичной рабочей среды в рамках этого анализа предполагается, что три активных радиомаяка одновременно передают сигналы на трех разных частотах в полосе 406−406,1 МГц. Нужный маяк имеет угол места 5</w:t>
      </w:r>
      <w:r w:rsidRPr="003A4E23">
        <w:rPr>
          <w:rFonts w:ascii="Symbol" w:hAnsi="Symbol"/>
          <w:lang w:val="ru-RU"/>
        </w:rPr>
        <w:t></w:t>
      </w:r>
      <w:r w:rsidRPr="003A4E23">
        <w:rPr>
          <w:lang w:val="ru-RU"/>
        </w:rPr>
        <w:t xml:space="preserve"> по отношению к космическому аппарату. Два других маяка включены в анализ, потому что они совместно используют располагаемую мощность ретранслятора спутника.</w:t>
      </w:r>
    </w:p>
    <w:p w:rsidR="0041192D" w:rsidRPr="003A4E23" w:rsidRDefault="0041192D" w:rsidP="0041192D">
      <w:pPr>
        <w:rPr>
          <w:lang w:val="ru-RU"/>
        </w:rPr>
      </w:pPr>
      <w:r w:rsidRPr="003A4E23">
        <w:rPr>
          <w:lang w:val="ru-RU"/>
        </w:rPr>
        <w:t xml:space="preserve">При отсутствии внешних источников помех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составляет 27,4 дБ(Гц), что соответствует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xml:space="preserve">, равному 1,4 дБ. С учетом потерь на аппаратную реализацию и потерь при демодуляции данных от радиомаяка, а также выигрыша от обработки данных эффективное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vertAlign w:val="subscript"/>
          <w:lang w:val="ru-RU"/>
        </w:rPr>
        <w:t>0</w:t>
      </w:r>
      <w:r w:rsidRPr="003A4E23">
        <w:rPr>
          <w:lang w:val="ru-RU"/>
        </w:rPr>
        <w:t xml:space="preserve"> составляет 8,9 дБ. Поскольку для эффективной работы в канале требуется общее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0,1 дБ.</w:t>
      </w:r>
    </w:p>
    <w:p w:rsidR="0041192D" w:rsidRPr="003A4E23" w:rsidRDefault="0041192D" w:rsidP="0041192D">
      <w:pPr>
        <w:rPr>
          <w:lang w:val="ru-RU"/>
        </w:rPr>
      </w:pPr>
      <w:r w:rsidRPr="003A4E23">
        <w:rPr>
          <w:lang w:val="ru-RU"/>
        </w:rPr>
        <w:t xml:space="preserve">Поскольку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в отсутствие помех равно 27,4 дБ(Гц), то из-за широкополосных шумоподобных помех на линии вверх, которые вызывают его ухудшение в общей линии на 0,1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общее с помехами</w:t>
      </w:r>
      <w:r w:rsidRPr="003A4E23">
        <w:rPr>
          <w:lang w:val="ru-RU"/>
        </w:rPr>
        <w:t xml:space="preserve"> будет составлять:</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845" w:dyaOrig="375">
          <v:shape id="_x0000_i1064" type="#_x0000_t75" style="width:242.3pt;height:18.8pt" o:ole="">
            <v:imagedata r:id="rId92" o:title=""/>
          </v:shape>
          <o:OLEObject Type="Embed" ProgID="Equation.3" ShapeID="_x0000_i1064" DrawAspect="Content" ObjectID="_1500106780" r:id="rId93"/>
        </w:object>
      </w:r>
    </w:p>
    <w:p w:rsidR="0041192D" w:rsidRPr="003A4E23" w:rsidRDefault="0041192D" w:rsidP="0041192D">
      <w:pPr>
        <w:pStyle w:val="Equation"/>
        <w:jc w:val="left"/>
        <w:rPr>
          <w:lang w:val="ru-RU"/>
        </w:rPr>
      </w:pPr>
      <w:r w:rsidRPr="003A4E23">
        <w:rPr>
          <w:lang w:val="ru-RU"/>
        </w:rPr>
        <w:tab/>
      </w:r>
      <w:r w:rsidRPr="003A4E23">
        <w:rPr>
          <w:lang w:val="ru-RU"/>
        </w:rPr>
        <w:tab/>
        <w:t>       </w:t>
      </w:r>
      <w:r w:rsidRPr="003A4E23">
        <w:rPr>
          <w:position w:val="-10"/>
          <w:lang w:val="ru-RU"/>
        </w:rPr>
        <w:object w:dxaOrig="2970" w:dyaOrig="315">
          <v:shape id="_x0000_i1065" type="#_x0000_t75" style="width:148.4pt;height:15.65pt" o:ole="">
            <v:imagedata r:id="rId94" o:title=""/>
          </v:shape>
          <o:OLEObject Type="Embed" ProgID="Equation.3" ShapeID="_x0000_i1065" DrawAspect="Content" ObjectID="_1500106781" r:id="rId95"/>
        </w:objec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205" w:dyaOrig="315">
          <v:shape id="_x0000_i1066" type="#_x0000_t75" style="width:110.2pt;height:15.65pt" o:ole="">
            <v:imagedata r:id="rId96" o:title=""/>
          </v:shape>
          <o:OLEObject Type="Embed" ProgID="Equation.3" ShapeID="_x0000_i1066" DrawAspect="Content" ObjectID="_1500106782" r:id="rId97"/>
        </w:object>
      </w:r>
      <w:r w:rsidRPr="003A4E23">
        <w:rPr>
          <w:lang w:val="ru-RU"/>
        </w:rPr>
        <w:t>.    </w:t>
      </w:r>
    </w:p>
    <w:p w:rsidR="0041192D" w:rsidRPr="003A4E23" w:rsidRDefault="0041192D" w:rsidP="0041192D">
      <w:pPr>
        <w:rPr>
          <w:lang w:val="ru-RU"/>
        </w:rPr>
      </w:pPr>
      <w:r w:rsidRPr="003A4E23">
        <w:rPr>
          <w:lang w:val="ru-RU"/>
        </w:rPr>
        <w:t>Общее отношение несущей к плотности шума и помех может быть вычислено из отношений несущей к плотности шума и помех для линии вверх и линии вниз, как указано ниже:</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935" w:dyaOrig="420">
          <v:shape id="_x0000_i1067" type="#_x0000_t75" style="width:246.7pt;height:20.65pt" o:ole="">
            <v:imagedata r:id="rId98" o:title=""/>
          </v:shape>
          <o:OLEObject Type="Embed" ProgID="Equation.3" ShapeID="_x0000_i1067" DrawAspect="Content" ObjectID="_1500106783" r:id="rId99"/>
        </w:object>
      </w:r>
      <w:r w:rsidRPr="003A4E23">
        <w:rPr>
          <w:lang w:val="ru-RU"/>
        </w:rPr>
        <w:t>.</w:t>
      </w:r>
    </w:p>
    <w:p w:rsidR="0041192D" w:rsidRPr="003A4E23" w:rsidRDefault="0041192D" w:rsidP="0041192D">
      <w:pPr>
        <w:rPr>
          <w:lang w:val="ru-RU"/>
        </w:rPr>
      </w:pPr>
      <w:r w:rsidRPr="003A4E23">
        <w:rPr>
          <w:lang w:val="ru-RU"/>
        </w:rPr>
        <w:t>Поскольку данный анализ касается только помех на линии вверх, предполагается, что помехи на линии вниз отсутствуют и уравнение упрощается до:</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545" w:dyaOrig="420">
          <v:shape id="_x0000_i1068" type="#_x0000_t75" style="width:227.25pt;height:20.65pt" o:ole="">
            <v:imagedata r:id="rId100" o:title=""/>
          </v:shape>
          <o:OLEObject Type="Embed" ProgID="Equation.3" ShapeID="_x0000_i1068" DrawAspect="Content" ObjectID="_1500106784" r:id="rId101"/>
        </w:object>
      </w:r>
      <w:r w:rsidRPr="003A4E23">
        <w:rPr>
          <w:lang w:val="ru-RU"/>
        </w:rPr>
        <w:t>.</w:t>
      </w:r>
    </w:p>
    <w:p w:rsidR="0041192D" w:rsidRPr="003A4E23" w:rsidRDefault="0041192D" w:rsidP="0041192D">
      <w:pPr>
        <w:rPr>
          <w:lang w:val="ru-RU"/>
        </w:rPr>
      </w:pPr>
      <w:r w:rsidRPr="003A4E23">
        <w:rPr>
          <w:lang w:val="ru-RU"/>
        </w:rPr>
        <w:t>Подставив значения для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w:t>
      </w:r>
      <w:r w:rsidRPr="003A4E23">
        <w:rPr>
          <w:i/>
          <w:vertAlign w:val="subscript"/>
          <w:lang w:val="ru-RU"/>
        </w:rPr>
        <w:t>общее</w:t>
      </w:r>
      <w:r w:rsidRPr="003A4E23">
        <w:rPr>
          <w:lang w:val="ru-RU"/>
        </w:rPr>
        <w:t xml:space="preserve"> (27,3 дБ(Гц)) и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xml:space="preserve"> (35,5 дБ(Гц)), получим значение приемлемого отношения несущей к плотности шума и помех </w:t>
      </w:r>
      <w:r w:rsidRPr="003A4E23">
        <w:rPr>
          <w:sz w:val="28"/>
          <w:lang w:val="ru-RU"/>
        </w:rPr>
        <w:t>(</w:t>
      </w:r>
      <w:r w:rsidRPr="003A4E23">
        <w:rPr>
          <w:lang w:val="ru-RU"/>
        </w:rPr>
        <w:t>(</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w:t>
      </w:r>
      <w:r w:rsidRPr="003A4E23">
        <w:rPr>
          <w:rFonts w:ascii="Symbol" w:hAnsi="Symbol"/>
          <w:vertAlign w:val="subscript"/>
          <w:lang w:val="ru-RU"/>
        </w:rPr>
        <w:softHyphen/>
      </w:r>
      <w:r w:rsidRPr="003A4E23">
        <w:rPr>
          <w:sz w:val="28"/>
          <w:lang w:val="ru-RU"/>
        </w:rPr>
        <w:t xml:space="preserve">) </w:t>
      </w:r>
      <w:r w:rsidRPr="003A4E23">
        <w:rPr>
          <w:lang w:val="ru-RU"/>
        </w:rPr>
        <w:t>для худшего случая, равное 28 дБ(Гц):</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4"/>
          <w:lang w:val="ru-RU"/>
        </w:rPr>
        <w:object w:dxaOrig="4575" w:dyaOrig="420">
          <v:shape id="_x0000_i1069" type="#_x0000_t75" style="width:228.5pt;height:20.65pt" o:ole="">
            <v:imagedata r:id="rId102" o:title=""/>
          </v:shape>
          <o:OLEObject Type="Embed" ProgID="Equation.3" ShapeID="_x0000_i1069" DrawAspect="Content" ObjectID="_1500106785" r:id="rId103"/>
        </w:object>
      </w:r>
    </w:p>
    <w:p w:rsidR="0041192D" w:rsidRPr="003A4E23" w:rsidRDefault="0041192D" w:rsidP="0041192D">
      <w:pPr>
        <w:rPr>
          <w:lang w:val="ru-RU"/>
        </w:rPr>
      </w:pPr>
      <w:r w:rsidRPr="003A4E23">
        <w:rPr>
          <w:lang w:val="ru-RU"/>
        </w:rPr>
        <w:t>или:</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2"/>
          <w:lang w:val="ru-RU"/>
        </w:rPr>
        <w:object w:dxaOrig="4305" w:dyaOrig="390">
          <v:shape id="_x0000_i1070" type="#_x0000_t75" style="width:215.35pt;height:19.4pt" o:ole="">
            <v:imagedata r:id="rId104" o:title=""/>
          </v:shape>
          <o:OLEObject Type="Embed" ProgID="Equation.3" ShapeID="_x0000_i1070" DrawAspect="Content" ObjectID="_1500106786" r:id="rId105"/>
        </w:object>
      </w:r>
      <w:r w:rsidRPr="003A4E23">
        <w:rPr>
          <w:lang w:val="ru-RU"/>
        </w:rPr>
        <w:t>.</w:t>
      </w:r>
    </w:p>
    <w:p w:rsidR="0041192D" w:rsidRPr="003A4E23" w:rsidRDefault="0041192D" w:rsidP="0041192D">
      <w:pPr>
        <w:rPr>
          <w:lang w:val="ru-RU"/>
        </w:rPr>
      </w:pPr>
      <w:r w:rsidRPr="003A4E23">
        <w:rPr>
          <w:lang w:val="ru-RU"/>
        </w:rPr>
        <w:t>тогда:</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2"/>
          <w:lang w:val="ru-RU"/>
        </w:rPr>
        <w:object w:dxaOrig="2385" w:dyaOrig="375">
          <v:shape id="_x0000_i1071" type="#_x0000_t75" style="width:118.95pt;height:18.8pt" o:ole="">
            <v:imagedata r:id="rId106" o:title=""/>
          </v:shape>
          <o:OLEObject Type="Embed" ProgID="Equation.3" ShapeID="_x0000_i1071" DrawAspect="Content" ObjectID="_1500106787" r:id="rId107"/>
        </w:object>
      </w:r>
      <w:r w:rsidRPr="003A4E23">
        <w:rPr>
          <w:lang w:val="ru-RU"/>
        </w:rPr>
        <w:t>.</w:t>
      </w:r>
    </w:p>
    <w:p w:rsidR="0041192D" w:rsidRPr="003A4E23" w:rsidRDefault="0041192D" w:rsidP="0041192D">
      <w:pPr>
        <w:spacing w:before="240"/>
        <w:rPr>
          <w:lang w:val="ru-RU"/>
        </w:rPr>
      </w:pPr>
      <w:r w:rsidRPr="003A4E23">
        <w:rPr>
          <w:lang w:val="ru-RU"/>
        </w:rPr>
        <w:t xml:space="preserve">Вычисление </w:t>
      </w:r>
      <w:r w:rsidRPr="003A4E23">
        <w:rPr>
          <w:i/>
          <w:lang w:val="ru-RU"/>
        </w:rPr>
        <w:t>I</w:t>
      </w:r>
      <w:r w:rsidRPr="003A4E23">
        <w:rPr>
          <w:vertAlign w:val="subscript"/>
          <w:lang w:val="ru-RU"/>
        </w:rPr>
        <w:t>0</w:t>
      </w:r>
      <w:r w:rsidRPr="003A4E23">
        <w:rPr>
          <w:lang w:val="ru-RU"/>
        </w:rPr>
        <w:t xml:space="preserve"> дает:</w:t>
      </w:r>
    </w:p>
    <w:p w:rsidR="0041192D" w:rsidRPr="003A4E23" w:rsidRDefault="0041192D" w:rsidP="0041192D">
      <w:pPr>
        <w:pStyle w:val="Equation"/>
        <w:rPr>
          <w:position w:val="10"/>
          <w:lang w:val="ru-RU"/>
        </w:rPr>
      </w:pPr>
      <w:r w:rsidRPr="003A4E23">
        <w:rPr>
          <w:position w:val="10"/>
          <w:lang w:val="ru-RU"/>
        </w:rPr>
        <w:tab/>
      </w:r>
      <w:r w:rsidRPr="003A4E23">
        <w:rPr>
          <w:position w:val="10"/>
          <w:lang w:val="ru-RU"/>
        </w:rPr>
        <w:tab/>
      </w:r>
      <w:r w:rsidRPr="003A4E23">
        <w:rPr>
          <w:position w:val="-12"/>
          <w:lang w:val="ru-RU"/>
        </w:rPr>
        <w:object w:dxaOrig="4095" w:dyaOrig="405">
          <v:shape id="_x0000_i1072" type="#_x0000_t75" style="width:204.75pt;height:20.05pt" o:ole="">
            <v:imagedata r:id="rId108" o:title=""/>
          </v:shape>
          <o:OLEObject Type="Embed" ProgID="Equation.3" ShapeID="_x0000_i1072" DrawAspect="Content" ObjectID="_1500106788" r:id="rId109"/>
        </w:object>
      </w:r>
      <w:r w:rsidRPr="003A4E23">
        <w:rPr>
          <w:position w:val="10"/>
          <w:lang w:val="ru-RU"/>
        </w:rPr>
        <w:t>.</w:t>
      </w:r>
    </w:p>
    <w:p w:rsidR="0041192D" w:rsidRPr="003A4E23" w:rsidRDefault="0041192D" w:rsidP="000713F1">
      <w:pPr>
        <w:rPr>
          <w:lang w:val="ru-RU"/>
        </w:rPr>
      </w:pPr>
      <w:r w:rsidRPr="003A4E23">
        <w:rPr>
          <w:lang w:val="ru-RU"/>
        </w:rPr>
        <w:t xml:space="preserve">Спектральная плотность мощности шума на линии вверх без помех в точке A составляет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k T</w:t>
      </w:r>
      <w:r w:rsidRPr="003A4E23">
        <w:rPr>
          <w:lang w:val="ru-RU"/>
        </w:rPr>
        <w:t xml:space="preserve">, где </w:t>
      </w:r>
      <w:r w:rsidRPr="003A4E23">
        <w:rPr>
          <w:i/>
          <w:lang w:val="ru-RU"/>
        </w:rPr>
        <w:t>k</w:t>
      </w:r>
      <w:r w:rsidRPr="003A4E23">
        <w:rPr>
          <w:lang w:val="ru-RU"/>
        </w:rPr>
        <w:t xml:space="preserve"> – постоянная Больцмана, а </w:t>
      </w:r>
      <w:r w:rsidRPr="003A4E23">
        <w:rPr>
          <w:i/>
          <w:lang w:val="ru-RU"/>
        </w:rPr>
        <w:t>T</w:t>
      </w:r>
      <w:r w:rsidRPr="003A4E23">
        <w:rPr>
          <w:lang w:val="ru-RU"/>
        </w:rPr>
        <w:t xml:space="preserve"> – шумовая температура ретранслятора, отнесенная к точке А. Следовательно, </w:t>
      </w:r>
      <w:r w:rsidRPr="003A4E23">
        <w:rPr>
          <w:rFonts w:ascii="Symbol" w:hAnsi="Symbol"/>
          <w:i/>
          <w:lang w:val="ru-RU"/>
        </w:rPr>
        <w:t></w:t>
      </w:r>
      <w:r w:rsidRPr="003A4E23">
        <w:rPr>
          <w:rFonts w:ascii="Symbol" w:hAnsi="Symbol"/>
          <w:vertAlign w:val="subscript"/>
          <w:lang w:val="ru-RU"/>
        </w:rPr>
        <w:t></w:t>
      </w:r>
      <w:r w:rsidRPr="003A4E23">
        <w:rPr>
          <w:rFonts w:ascii="Symbol" w:hAnsi="Symbol"/>
          <w:position w:val="-4"/>
          <w:sz w:val="16"/>
          <w:vertAlign w:val="subscript"/>
          <w:lang w:val="ru-RU"/>
        </w:rPr>
        <w:softHyphen/>
      </w:r>
      <w:r w:rsidRPr="003A4E23">
        <w:rPr>
          <w:lang w:val="ru-RU"/>
        </w:rPr>
        <w:t> </w:t>
      </w:r>
      <w:r w:rsidRPr="003A4E23">
        <w:rPr>
          <w:rFonts w:ascii="Symbol" w:hAnsi="Symbol"/>
          <w:lang w:val="ru-RU"/>
        </w:rPr>
        <w:t></w:t>
      </w:r>
      <w:r w:rsidRPr="003A4E23">
        <w:rPr>
          <w:lang w:val="ru-RU"/>
        </w:rPr>
        <w:t> –228,6 </w:t>
      </w:r>
      <w:r w:rsidRPr="003A4E23">
        <w:rPr>
          <w:rFonts w:ascii="Symbol" w:hAnsi="Symbol"/>
          <w:lang w:val="ru-RU"/>
        </w:rPr>
        <w:t></w:t>
      </w:r>
      <w:r w:rsidRPr="003A4E23">
        <w:rPr>
          <w:lang w:val="ru-RU"/>
        </w:rPr>
        <w:t> 25,1 </w:t>
      </w:r>
      <w:r w:rsidRPr="003A4E23">
        <w:rPr>
          <w:rFonts w:ascii="Symbol" w:hAnsi="Symbol"/>
          <w:lang w:val="ru-RU"/>
        </w:rPr>
        <w:t></w:t>
      </w:r>
      <w:r w:rsidRPr="003A4E23">
        <w:rPr>
          <w:lang w:val="ru-RU"/>
        </w:rPr>
        <w:t xml:space="preserve"> –203,5 дБ(Вт/Гц). Мощность несущей линии вверх составляет </w:t>
      </w:r>
      <w:r w:rsidR="003F3BD9">
        <w:rPr>
          <w:lang w:val="ru-RU"/>
        </w:rPr>
        <w:br/>
      </w:r>
      <w:r w:rsidRPr="003A4E23">
        <w:rPr>
          <w:i/>
          <w:lang w:val="ru-RU"/>
        </w:rPr>
        <w:t>C</w:t>
      </w:r>
      <w:r w:rsidRPr="003A4E23">
        <w:rPr>
          <w:rFonts w:ascii="Symbol" w:hAnsi="Symbol"/>
          <w:vertAlign w:val="subscript"/>
          <w:lang w:val="ru-RU"/>
        </w:rPr>
        <w:softHyphen/>
      </w:r>
      <w:r w:rsidRPr="003A4E23">
        <w:rPr>
          <w:lang w:val="ru-RU"/>
        </w:rPr>
        <w:t> </w:t>
      </w:r>
      <w:r w:rsidRPr="003A4E23">
        <w:rPr>
          <w:rFonts w:ascii="Symbol" w:hAnsi="Symbol"/>
          <w:lang w:val="ru-RU"/>
        </w:rPr>
        <w:t></w:t>
      </w:r>
      <w:r w:rsidRPr="003A4E23">
        <w:rPr>
          <w:lang w:val="ru-RU"/>
        </w:rPr>
        <w:t> –175,7 </w:t>
      </w:r>
      <w:proofErr w:type="spellStart"/>
      <w:r w:rsidRPr="003A4E23">
        <w:rPr>
          <w:lang w:val="ru-RU"/>
        </w:rPr>
        <w:t>дБВт</w:t>
      </w:r>
      <w:proofErr w:type="spellEnd"/>
      <w:r w:rsidRPr="003A4E23">
        <w:rPr>
          <w:lang w:val="ru-RU"/>
        </w:rPr>
        <w:t>. Поэтому максимальное приемлемое значение для плотности шума на линии вверх (</w:t>
      </w:r>
      <w:r w:rsidRPr="003A4E23">
        <w:rPr>
          <w:i/>
          <w:lang w:val="ru-RU"/>
        </w:rPr>
        <w:t>I</w:t>
      </w:r>
      <w:r w:rsidRPr="003A4E23">
        <w:rPr>
          <w:vertAlign w:val="subscript"/>
          <w:lang w:val="ru-RU"/>
        </w:rPr>
        <w:t>0</w:t>
      </w:r>
      <w:r w:rsidRPr="003A4E23">
        <w:rPr>
          <w:lang w:val="ru-RU"/>
        </w:rPr>
        <w:t>)</w:t>
      </w:r>
      <w:r w:rsidRPr="003A4E23">
        <w:rPr>
          <w:rFonts w:ascii="Symbol" w:hAnsi="Symbol"/>
          <w:vertAlign w:val="subscript"/>
          <w:lang w:val="ru-RU"/>
        </w:rPr>
        <w:softHyphen/>
      </w:r>
      <w:r w:rsidRPr="003A4E23">
        <w:rPr>
          <w:lang w:val="ru-RU"/>
        </w:rPr>
        <w:t xml:space="preserve"> составляет:</w:t>
      </w:r>
    </w:p>
    <w:p w:rsidR="0041192D" w:rsidRPr="003A4E23" w:rsidRDefault="0041192D" w:rsidP="0041192D">
      <w:pPr>
        <w:pStyle w:val="Equation"/>
        <w:rPr>
          <w:lang w:val="ru-RU"/>
        </w:rPr>
      </w:pPr>
      <w:r w:rsidRPr="003A4E23">
        <w:rPr>
          <w:lang w:val="ru-RU"/>
        </w:rPr>
        <w:lastRenderedPageBreak/>
        <w:tab/>
      </w:r>
      <w:r w:rsidRPr="003A4E23">
        <w:rPr>
          <w:lang w:val="ru-RU"/>
        </w:rPr>
        <w:tab/>
      </w:r>
      <w:r w:rsidRPr="003A4E23">
        <w:rPr>
          <w:position w:val="-12"/>
          <w:lang w:val="ru-RU"/>
        </w:rPr>
        <w:object w:dxaOrig="3825" w:dyaOrig="390">
          <v:shape id="_x0000_i1073" type="#_x0000_t75" style="width:190.95pt;height:19.4pt" o:ole="">
            <v:imagedata r:id="rId110" o:title=""/>
          </v:shape>
          <o:OLEObject Type="Embed" ProgID="Equation.3" ShapeID="_x0000_i1073" DrawAspect="Content" ObjectID="_1500106789" r:id="rId111"/>
        </w:object>
      </w:r>
    </w:p>
    <w:p w:rsidR="0041192D" w:rsidRPr="003A4E23" w:rsidRDefault="0041192D" w:rsidP="0041192D">
      <w:pPr>
        <w:rPr>
          <w:lang w:val="ru-RU"/>
        </w:rPr>
      </w:pPr>
      <w:r w:rsidRPr="003A4E23">
        <w:rPr>
          <w:lang w:val="ru-RU"/>
        </w:rPr>
        <w:t>или:</w:t>
      </w:r>
    </w:p>
    <w:p w:rsidR="0041192D" w:rsidRPr="003A4E23" w:rsidRDefault="0041192D" w:rsidP="0041192D">
      <w:pPr>
        <w:pStyle w:val="Equation"/>
        <w:rPr>
          <w:lang w:val="ru-RU"/>
        </w:rPr>
      </w:pPr>
      <w:r w:rsidRPr="003A4E23">
        <w:rPr>
          <w:lang w:val="ru-RU"/>
        </w:rPr>
        <w:tab/>
      </w:r>
      <w:r w:rsidRPr="003A4E23">
        <w:rPr>
          <w:lang w:val="ru-RU"/>
        </w:rPr>
        <w:tab/>
      </w:r>
      <w:r w:rsidRPr="003A4E23">
        <w:rPr>
          <w:position w:val="-10"/>
          <w:lang w:val="ru-RU"/>
        </w:rPr>
        <w:object w:dxaOrig="2220" w:dyaOrig="315">
          <v:shape id="_x0000_i1074" type="#_x0000_t75" style="width:110.8pt;height:15.65pt" o:ole="">
            <v:imagedata r:id="rId112" o:title=""/>
          </v:shape>
          <o:OLEObject Type="Embed" ProgID="Equation.3" ShapeID="_x0000_i1074" DrawAspect="Content" ObjectID="_1500106790" r:id="rId113"/>
        </w:object>
      </w:r>
      <w:r w:rsidRPr="003A4E23">
        <w:rPr>
          <w:lang w:val="ru-RU"/>
        </w:rPr>
        <w:t>.</w:t>
      </w:r>
    </w:p>
    <w:p w:rsidR="0041192D" w:rsidRPr="003A4E23" w:rsidRDefault="0041192D" w:rsidP="000713F1">
      <w:pPr>
        <w:rPr>
          <w:lang w:val="ru-RU"/>
        </w:rPr>
      </w:pPr>
      <w:r w:rsidRPr="003A4E23">
        <w:rPr>
          <w:lang w:val="ru-RU"/>
        </w:rPr>
        <w:t>Рассматриваемые критерии защиты желательно характеризовать в виде порогового уровня с.п.п.м. помех, указываемого в дБ(Вт/м</w:t>
      </w:r>
      <w:r w:rsidRPr="003A4E23">
        <w:rPr>
          <w:vertAlign w:val="superscript"/>
          <w:lang w:val="ru-RU"/>
        </w:rPr>
        <w:t>2</w:t>
      </w:r>
      <w:r w:rsidRPr="003A4E23">
        <w:rPr>
          <w:lang w:val="ru-RU"/>
        </w:rPr>
        <w:t xml:space="preserve"> ∙ Гц), на входе приемной спутниковой антенны 406 МГц. Эффективная апертура антенны </w:t>
      </w:r>
      <w:r w:rsidRPr="003A4E23">
        <w:rPr>
          <w:i/>
          <w:lang w:val="ru-RU"/>
        </w:rPr>
        <w:t>A</w:t>
      </w:r>
      <w:r w:rsidRPr="003A4E23">
        <w:rPr>
          <w:i/>
          <w:vertAlign w:val="subscript"/>
          <w:lang w:val="ru-RU"/>
        </w:rPr>
        <w:t>e</w:t>
      </w:r>
      <w:r w:rsidRPr="003A4E23">
        <w:rPr>
          <w:lang w:val="ru-RU"/>
        </w:rPr>
        <w:t xml:space="preserve"> с усилением </w:t>
      </w:r>
      <w:r w:rsidRPr="003A4E23">
        <w:rPr>
          <w:i/>
          <w:lang w:val="ru-RU"/>
        </w:rPr>
        <w:t>G</w:t>
      </w:r>
      <w:r w:rsidRPr="003A4E23">
        <w:rPr>
          <w:lang w:val="ru-RU"/>
        </w:rPr>
        <w:t xml:space="preserve"> определяется как </w:t>
      </w:r>
      <w:r w:rsidRPr="003A4E23">
        <w:rPr>
          <w:i/>
          <w:lang w:val="ru-RU"/>
        </w:rPr>
        <w:t>A</w:t>
      </w:r>
      <w:r w:rsidRPr="003A4E23">
        <w:rPr>
          <w:i/>
          <w:vertAlign w:val="subscript"/>
          <w:lang w:val="ru-RU"/>
        </w:rPr>
        <w:t>e</w:t>
      </w:r>
      <w:r w:rsidRPr="003A4E23">
        <w:rPr>
          <w:lang w:val="ru-RU"/>
        </w:rPr>
        <w:t> </w:t>
      </w:r>
      <w:r w:rsidRPr="003A4E23">
        <w:rPr>
          <w:rFonts w:ascii="Symbol" w:hAnsi="Symbol"/>
          <w:lang w:val="ru-RU"/>
        </w:rPr>
        <w:t></w:t>
      </w:r>
      <w:r w:rsidRPr="003A4E23">
        <w:rPr>
          <w:lang w:val="ru-RU"/>
        </w:rPr>
        <w:t> </w:t>
      </w:r>
      <w:r w:rsidRPr="003A4E23">
        <w:rPr>
          <w:i/>
          <w:lang w:val="ru-RU"/>
        </w:rPr>
        <w:t>G</w:t>
      </w:r>
      <w:r w:rsidRPr="003A4E23">
        <w:rPr>
          <w:lang w:val="ru-RU"/>
        </w:rPr>
        <w:t> </w:t>
      </w:r>
      <w:r w:rsidRPr="003A4E23">
        <w:rPr>
          <w:rFonts w:ascii="Symbol" w:hAnsi="Symbol"/>
          <w:lang w:val="ru-RU"/>
        </w:rPr>
        <w:t></w:t>
      </w:r>
      <w:r w:rsidRPr="003A4E23">
        <w:rPr>
          <w:vertAlign w:val="superscript"/>
          <w:lang w:val="ru-RU"/>
        </w:rPr>
        <w:t>2</w:t>
      </w:r>
      <w:r w:rsidRPr="003A4E23">
        <w:rPr>
          <w:lang w:val="ru-RU"/>
        </w:rPr>
        <w:t>/4</w:t>
      </w:r>
      <w:r w:rsidRPr="003A4E23">
        <w:rPr>
          <w:rFonts w:ascii="Symbol" w:hAnsi="Symbol"/>
          <w:lang w:val="ru-RU"/>
        </w:rPr>
        <w:t></w:t>
      </w:r>
      <w:r w:rsidRPr="003A4E23">
        <w:rPr>
          <w:rFonts w:ascii="Symbol" w:hAnsi="Symbol"/>
          <w:lang w:val="ru-RU"/>
        </w:rPr>
        <w:t></w:t>
      </w:r>
      <w:r w:rsidRPr="003A4E23">
        <w:rPr>
          <w:rFonts w:ascii="Symbol" w:hAnsi="Symbol"/>
          <w:lang w:val="ru-RU"/>
        </w:rPr>
        <w:t></w:t>
      </w:r>
      <w:r w:rsidRPr="003A4E23">
        <w:rPr>
          <w:lang w:val="ru-RU"/>
        </w:rPr>
        <w:t xml:space="preserve">Для приемных антенн спутников MSG с усилением 3 дБи эффективная апертура равна </w:t>
      </w:r>
      <w:smartTag w:uri="urn:schemas-microsoft-com:office:smarttags" w:element="metricconverter">
        <w:smartTagPr>
          <w:attr w:name="ProductID" w:val="0,087 м2"/>
        </w:smartTagPr>
        <w:r w:rsidRPr="003A4E23">
          <w:rPr>
            <w:lang w:val="ru-RU"/>
          </w:rPr>
          <w:t>0,087 м</w:t>
        </w:r>
        <w:r w:rsidRPr="003A4E23">
          <w:rPr>
            <w:vertAlign w:val="superscript"/>
            <w:lang w:val="ru-RU"/>
          </w:rPr>
          <w:t>2</w:t>
        </w:r>
      </w:smartTag>
      <w:r w:rsidRPr="003A4E23">
        <w:rPr>
          <w:lang w:val="ru-RU"/>
        </w:rPr>
        <w:t>. Поэтому максимальные приемлемые суммарные помехи, указываемые в виде с.п.п.м., составляют:</w: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0"/>
          <w:lang w:val="ru-RU"/>
        </w:rPr>
        <w:object w:dxaOrig="2055" w:dyaOrig="315">
          <v:shape id="_x0000_i1075" type="#_x0000_t75" style="width:102.7pt;height:15.65pt" o:ole="">
            <v:imagedata r:id="rId114" o:title=""/>
          </v:shape>
          <o:OLEObject Type="Embed" ProgID="Equation.3" ShapeID="_x0000_i1075" DrawAspect="Content" ObjectID="_1500106791" r:id="rId115"/>
        </w:object>
      </w:r>
    </w:p>
    <w:p w:rsidR="0041192D" w:rsidRPr="003A4E23" w:rsidRDefault="0041192D" w:rsidP="0041192D">
      <w:pPr>
        <w:pStyle w:val="Equation"/>
        <w:spacing w:before="240"/>
        <w:rPr>
          <w:lang w:val="ru-RU"/>
        </w:rPr>
      </w:pPr>
      <w:r w:rsidRPr="003A4E23">
        <w:rPr>
          <w:lang w:val="ru-RU"/>
        </w:rPr>
        <w:tab/>
      </w:r>
      <w:r w:rsidRPr="003A4E23">
        <w:rPr>
          <w:lang w:val="ru-RU"/>
        </w:rPr>
        <w:tab/>
      </w:r>
      <w:r w:rsidRPr="003A4E23">
        <w:rPr>
          <w:position w:val="-12"/>
          <w:lang w:val="ru-RU"/>
        </w:rPr>
        <w:object w:dxaOrig="5220" w:dyaOrig="390">
          <v:shape id="_x0000_i1076" type="#_x0000_t75" style="width:261.1pt;height:19.4pt" o:ole="">
            <v:imagedata r:id="rId116" o:title=""/>
          </v:shape>
          <o:OLEObject Type="Embed" ProgID="Equation.3" ShapeID="_x0000_i1076" DrawAspect="Content" ObjectID="_1500106792" r:id="rId117"/>
        </w:object>
      </w:r>
      <w:r w:rsidRPr="003A4E23">
        <w:rPr>
          <w:lang w:val="ru-RU"/>
        </w:rPr>
        <w:t>.</w:t>
      </w:r>
    </w:p>
    <w:p w:rsidR="0041192D" w:rsidRPr="003A4E23" w:rsidRDefault="0041192D" w:rsidP="000713F1">
      <w:pPr>
        <w:rPr>
          <w:lang w:val="ru-RU"/>
        </w:rPr>
      </w:pPr>
      <w:r w:rsidRPr="003A4E23">
        <w:rPr>
          <w:lang w:val="ru-RU"/>
        </w:rPr>
        <w:t>Максимальный уровень широкополосных шумоподобных помех в полосе 406–406,1 МГц, измеренный на антенне спутника MSG, не должен превышать –206,4 дБ(Вт/(м</w:t>
      </w:r>
      <w:r w:rsidRPr="003A4E23">
        <w:rPr>
          <w:vertAlign w:val="superscript"/>
          <w:lang w:val="ru-RU"/>
        </w:rPr>
        <w:t>2</w:t>
      </w:r>
      <w:r w:rsidRPr="003A4E23">
        <w:rPr>
          <w:lang w:val="ru-RU"/>
        </w:rPr>
        <w:t> ∙ Гц)).</w:t>
      </w:r>
    </w:p>
    <w:p w:rsidR="0041192D" w:rsidRPr="003A4E23" w:rsidRDefault="0041192D" w:rsidP="000713F1">
      <w:pPr>
        <w:pStyle w:val="Heading1"/>
        <w:rPr>
          <w:lang w:val="ru-RU"/>
        </w:rPr>
      </w:pPr>
      <w:r w:rsidRPr="003A4E23">
        <w:rPr>
          <w:lang w:val="ru-RU"/>
        </w:rPr>
        <w:t>3</w:t>
      </w:r>
      <w:r w:rsidRPr="003A4E23">
        <w:rPr>
          <w:lang w:val="ru-RU"/>
        </w:rPr>
        <w:tab/>
        <w:t>Процедура вычисления уровня помех в канале SARR 406 МГц спутников MSG</w:t>
      </w:r>
    </w:p>
    <w:p w:rsidR="0041192D" w:rsidRPr="003A4E23" w:rsidRDefault="0041192D" w:rsidP="000713F1">
      <w:pPr>
        <w:rPr>
          <w:lang w:val="ru-RU"/>
        </w:rPr>
      </w:pPr>
      <w:r w:rsidRPr="003A4E23">
        <w:rPr>
          <w:lang w:val="ru-RU"/>
        </w:rPr>
        <w:t>Помехи, создаваемые системе Коспас-Сарсат, чаще всего являются результатом внеполосных излучений от служб в соседних или близких к ним полосах.</w:t>
      </w:r>
    </w:p>
    <w:p w:rsidR="0041192D" w:rsidRPr="003A4E23" w:rsidRDefault="0041192D" w:rsidP="000713F1">
      <w:pPr>
        <w:rPr>
          <w:lang w:val="ru-RU"/>
        </w:rPr>
      </w:pPr>
      <w:r w:rsidRPr="003A4E23">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возникающие при их движении.</w:t>
      </w:r>
    </w:p>
    <w:p w:rsidR="0041192D" w:rsidRPr="003A4E23" w:rsidRDefault="0041192D" w:rsidP="000713F1">
      <w:pPr>
        <w:rPr>
          <w:lang w:val="ru-RU"/>
        </w:rPr>
      </w:pPr>
      <w:r w:rsidRPr="003A4E23">
        <w:rPr>
          <w:lang w:val="ru-RU"/>
        </w:rPr>
        <w:t>Необходимо вычислить уровень помех от всех источников, которые передают энергию в этой полосе частот, выражаемый как уровень с.п.п.м. на спутниковой антенне. Суммарный уровень для всех источников помех не должен превышать –206,4 дБ(Вт/(м</w:t>
      </w:r>
      <w:r w:rsidRPr="003A4E23">
        <w:rPr>
          <w:vertAlign w:val="superscript"/>
          <w:lang w:val="ru-RU"/>
        </w:rPr>
        <w:t>2</w:t>
      </w:r>
      <w:r w:rsidRPr="003A4E23">
        <w:rPr>
          <w:lang w:val="ru-RU"/>
        </w:rPr>
        <w:t> ∙ Гц)) в любой части этой полосы.</w:t>
      </w:r>
    </w:p>
    <w:p w:rsidR="0041192D" w:rsidRPr="003A4E23" w:rsidRDefault="0041192D" w:rsidP="0041192D">
      <w:pPr>
        <w:rPr>
          <w:szCs w:val="24"/>
          <w:lang w:val="ru-RU"/>
        </w:rPr>
      </w:pPr>
    </w:p>
    <w:p w:rsidR="0041192D" w:rsidRPr="003A4E23" w:rsidRDefault="0041192D" w:rsidP="0041192D">
      <w:pPr>
        <w:rPr>
          <w:szCs w:val="24"/>
          <w:lang w:val="ru-RU"/>
        </w:rPr>
      </w:pPr>
    </w:p>
    <w:p w:rsidR="0041192D" w:rsidRPr="003A4E23" w:rsidRDefault="0041192D" w:rsidP="0041192D">
      <w:pPr>
        <w:pStyle w:val="AnnexNoTitle"/>
        <w:rPr>
          <w:lang w:val="ru-RU"/>
        </w:rPr>
      </w:pPr>
      <w:bookmarkStart w:id="4" w:name="OLE_LINK1"/>
      <w:r w:rsidRPr="003A4E23">
        <w:rPr>
          <w:lang w:val="ru-RU"/>
        </w:rPr>
        <w:t>Приложение 8</w:t>
      </w:r>
      <w:bookmarkEnd w:id="4"/>
      <w:r w:rsidRPr="003A4E23">
        <w:rPr>
          <w:lang w:val="ru-RU"/>
        </w:rPr>
        <w:br/>
      </w:r>
      <w:r w:rsidRPr="003A4E23">
        <w:rPr>
          <w:lang w:val="ru-RU"/>
        </w:rPr>
        <w:br/>
      </w:r>
      <w:r w:rsidRPr="003A4E23">
        <w:rPr>
          <w:szCs w:val="26"/>
          <w:lang w:val="ru-RU"/>
        </w:rPr>
        <w:t xml:space="preserve">Критерии защиты оборудования поиска и спасания системы Коспас-Сарсат </w:t>
      </w:r>
      <w:r w:rsidRPr="003A4E23">
        <w:rPr>
          <w:szCs w:val="26"/>
          <w:lang w:val="ru-RU"/>
        </w:rPr>
        <w:br/>
        <w:t>в полосе частот 406–406,1 МГц (SAR/Электро)</w:t>
      </w:r>
    </w:p>
    <w:p w:rsidR="0041192D" w:rsidRPr="003A4E23" w:rsidRDefault="0041192D" w:rsidP="0041192D">
      <w:pPr>
        <w:pStyle w:val="Heading1"/>
        <w:rPr>
          <w:lang w:val="ru-RU"/>
        </w:rPr>
      </w:pPr>
      <w:r w:rsidRPr="003A4E23">
        <w:rPr>
          <w:caps/>
          <w:lang w:val="ru-RU"/>
        </w:rPr>
        <w:t>1</w:t>
      </w:r>
      <w:r w:rsidRPr="003A4E23">
        <w:rPr>
          <w:caps/>
          <w:lang w:val="ru-RU"/>
        </w:rPr>
        <w:tab/>
      </w:r>
      <w:r w:rsidRPr="003A4E23">
        <w:rPr>
          <w:lang w:val="ru-RU"/>
        </w:rPr>
        <w:t>Введение</w:t>
      </w:r>
    </w:p>
    <w:p w:rsidR="0041192D" w:rsidRPr="003A4E23" w:rsidRDefault="0041192D" w:rsidP="0041192D">
      <w:pPr>
        <w:rPr>
          <w:lang w:val="ru-RU"/>
        </w:rPr>
      </w:pPr>
      <w:r w:rsidRPr="003A4E23">
        <w:rPr>
          <w:lang w:val="ru-RU"/>
        </w:rPr>
        <w:t>Ретрансляторы поиска и спасания системы Коспас-Сарсат на борту спутников Электро принимают передаваемые радиомаяками сигналы бедствия на частоте 406 МГц и перенаправляют их на терминалы местных пользователей системы Коспас-Сарсат на геостационарной орбите (GEOLUT) по линии вниз на частотах в полосе 1544–1545 МГц. Приведенный в настоящем Приложении анализ устанавливает критерии защиты от помех в полосе частот 406,0–406,1 МГц для служб Электро GEOSAR.</w:t>
      </w:r>
    </w:p>
    <w:p w:rsidR="0041192D" w:rsidRPr="003A4E23" w:rsidRDefault="0041192D" w:rsidP="0041192D">
      <w:pPr>
        <w:pStyle w:val="Heading1"/>
        <w:rPr>
          <w:lang w:val="ru-RU"/>
        </w:rPr>
      </w:pPr>
      <w:r w:rsidRPr="003A4E23">
        <w:rPr>
          <w:lang w:val="ru-RU"/>
        </w:rPr>
        <w:lastRenderedPageBreak/>
        <w:t>2</w:t>
      </w:r>
      <w:r w:rsidRPr="003A4E23">
        <w:rPr>
          <w:lang w:val="ru-RU"/>
        </w:rPr>
        <w:tab/>
        <w:t>Минимальные приемлемые характеристики для обнаружения радиомаяками передаваемых сигналов бедствия на частоте 406 МГц, которые ретранслируются через спутники Электро</w:t>
      </w:r>
    </w:p>
    <w:p w:rsidR="0041192D" w:rsidRPr="003A4E23" w:rsidRDefault="0041192D" w:rsidP="0041192D">
      <w:pPr>
        <w:rPr>
          <w:lang w:val="ru-RU"/>
        </w:rPr>
      </w:pPr>
      <w:r w:rsidRPr="003A4E23">
        <w:rPr>
          <w:lang w:val="ru-RU"/>
        </w:rPr>
        <w:t>Для надежного обнаружения сигналов радиомаяков, передающих сигналы бедствия на частоте 406 МГц, используя ретрансляторы 406 МГц спутников Электро, коэффициент ошибок по битам (BER) в канале не должен превышать 5 × 10</w:t>
      </w:r>
      <w:r w:rsidRPr="003A4E23">
        <w:rPr>
          <w:vertAlign w:val="superscript"/>
          <w:lang w:val="ru-RU"/>
        </w:rPr>
        <w:t>–5</w:t>
      </w:r>
      <w:r w:rsidRPr="003A4E23">
        <w:rPr>
          <w:lang w:val="ru-RU"/>
        </w:rPr>
        <w:t>.</w:t>
      </w:r>
    </w:p>
    <w:p w:rsidR="0041192D" w:rsidRPr="003A4E23" w:rsidRDefault="0041192D" w:rsidP="0041192D">
      <w:pPr>
        <w:pStyle w:val="Heading1"/>
        <w:rPr>
          <w:lang w:val="ru-RU"/>
        </w:rPr>
      </w:pPr>
      <w:r w:rsidRPr="003A4E23">
        <w:rPr>
          <w:lang w:val="ru-RU"/>
        </w:rPr>
        <w:t>3</w:t>
      </w:r>
      <w:r w:rsidRPr="003A4E23">
        <w:rPr>
          <w:lang w:val="ru-RU"/>
        </w:rPr>
        <w:tab/>
        <w:t>Анализ с.п.п.м. помех</w:t>
      </w:r>
    </w:p>
    <w:p w:rsidR="0041192D" w:rsidRPr="003A4E23" w:rsidRDefault="0041192D" w:rsidP="0041192D">
      <w:pPr>
        <w:rPr>
          <w:lang w:val="ru-RU"/>
        </w:rPr>
      </w:pPr>
      <w:r w:rsidRPr="003A4E23">
        <w:rPr>
          <w:lang w:val="ru-RU"/>
        </w:rPr>
        <w:t xml:space="preserve">Величина BER в канале связи выводится из отношения энергии, содержащейся в каждом бите данных, </w:t>
      </w:r>
      <w:r w:rsidRPr="003A4E23">
        <w:rPr>
          <w:i/>
          <w:lang w:val="ru-RU"/>
        </w:rPr>
        <w:t>E</w:t>
      </w:r>
      <w:r w:rsidRPr="003A4E23">
        <w:rPr>
          <w:i/>
          <w:vertAlign w:val="subscript"/>
          <w:lang w:val="ru-RU"/>
        </w:rPr>
        <w:t>b</w:t>
      </w:r>
      <w:r w:rsidRPr="003A4E23">
        <w:rPr>
          <w:lang w:val="ru-RU"/>
        </w:rPr>
        <w:t xml:space="preserve">, к плотности шума. Общая плотность шума состоит из шума, создаваемого оборудованием Коспас-Сарсат, </w:t>
      </w:r>
      <w:r w:rsidRPr="003A4E23">
        <w:rPr>
          <w:i/>
          <w:lang w:val="ru-RU"/>
        </w:rPr>
        <w:t>N</w:t>
      </w:r>
      <w:r w:rsidRPr="003A4E23">
        <w:rPr>
          <w:vertAlign w:val="subscript"/>
          <w:lang w:val="ru-RU"/>
        </w:rPr>
        <w:t>0</w:t>
      </w:r>
      <w:r w:rsidRPr="003A4E23">
        <w:rPr>
          <w:lang w:val="ru-RU"/>
        </w:rPr>
        <w:t xml:space="preserve">, и шума, вызываемого помехами от других систем, </w:t>
      </w:r>
      <w:r w:rsidRPr="003A4E23">
        <w:rPr>
          <w:i/>
          <w:lang w:val="ru-RU"/>
        </w:rPr>
        <w:t>I</w:t>
      </w:r>
      <w:r w:rsidRPr="003A4E23">
        <w:rPr>
          <w:vertAlign w:val="subscript"/>
          <w:lang w:val="ru-RU"/>
        </w:rPr>
        <w:t>0</w:t>
      </w:r>
      <w:r w:rsidRPr="003A4E23">
        <w:rPr>
          <w:lang w:val="ru-RU"/>
        </w:rPr>
        <w:t>. На рисунке 9 показан канал полезной нагрузки SAR 406 МГц спутника Электро (Электро GEOSAR) с помехами на линии вверх.</w:t>
      </w:r>
    </w:p>
    <w:p w:rsidR="0041192D" w:rsidRPr="003A4E23" w:rsidRDefault="0041192D" w:rsidP="0041192D">
      <w:pPr>
        <w:pStyle w:val="FigureNo"/>
        <w:rPr>
          <w:lang w:val="ru-RU"/>
        </w:rPr>
      </w:pPr>
      <w:r w:rsidRPr="003A4E23">
        <w:rPr>
          <w:lang w:val="ru-RU"/>
        </w:rPr>
        <w:t>РИСУНОК 9</w:t>
      </w:r>
    </w:p>
    <w:p w:rsidR="0041192D" w:rsidRPr="003A4E23" w:rsidRDefault="0041192D" w:rsidP="0041192D">
      <w:pPr>
        <w:pStyle w:val="Figuretitle"/>
        <w:rPr>
          <w:rFonts w:asciiTheme="minorHAnsi" w:hAnsiTheme="minorHAnsi"/>
          <w:lang w:val="ru-RU"/>
        </w:rPr>
      </w:pPr>
      <w:r w:rsidRPr="003A4E23">
        <w:rPr>
          <w:lang w:val="ru-RU"/>
        </w:rPr>
        <w:t>Ретранслятор Электро GEOSAR с помехами на линии вверх</w:t>
      </w:r>
    </w:p>
    <w:p w:rsidR="0041192D" w:rsidRPr="003A4E23" w:rsidRDefault="0041192D" w:rsidP="0041192D">
      <w:pPr>
        <w:pStyle w:val="Figure"/>
        <w:rPr>
          <w:lang w:val="ru-RU"/>
        </w:rPr>
      </w:pPr>
      <w:r w:rsidRPr="003A4E23">
        <w:rPr>
          <w:lang w:val="ru-RU"/>
        </w:rPr>
        <w:object w:dxaOrig="7380" w:dyaOrig="4380">
          <v:shape id="_x0000_i1077" type="#_x0000_t75" style="width:369.4pt;height:219.15pt" o:ole="">
            <v:imagedata r:id="rId118" o:title=""/>
          </v:shape>
          <o:OLEObject Type="Embed" ProgID="CorelDRAW.Graphic.14" ShapeID="_x0000_i1077" DrawAspect="Content" ObjectID="_1500106793" r:id="rId119"/>
        </w:object>
      </w:r>
    </w:p>
    <w:p w:rsidR="0041192D" w:rsidRPr="003A4E23" w:rsidRDefault="0041192D" w:rsidP="0041192D">
      <w:pPr>
        <w:rPr>
          <w:color w:val="000000"/>
          <w:lang w:val="ru-RU"/>
        </w:rPr>
      </w:pPr>
      <w:r w:rsidRPr="003A4E23">
        <w:rPr>
          <w:lang w:val="ru-RU"/>
        </w:rPr>
        <w:t xml:space="preserve">Чтобы достичь величины BER </w:t>
      </w:r>
      <w:r w:rsidRPr="003A4E23">
        <w:rPr>
          <w:rFonts w:ascii="TimesNewRoman" w:hAnsi="TimesNewRoman"/>
          <w:lang w:val="ru-RU"/>
        </w:rPr>
        <w:t>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отношение энергии на бит к плотности шума и помех</w:t>
      </w:r>
      <w:r w:rsidRPr="003A4E23">
        <w:rPr>
          <w:rFonts w:ascii="TimesNewRoman" w:hAnsi="TimesNewRoman"/>
          <w:i/>
          <w:lang w:val="ru-RU"/>
        </w:rPr>
        <w:t xml:space="preserve"> 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lang w:val="ru-RU"/>
        </w:rPr>
        <w:t>) в демодуляторе терминала GEOLUT должно быть равно или превышать 8,8 дБ.</w:t>
      </w:r>
      <w:r w:rsidRPr="003A4E23">
        <w:rPr>
          <w:color w:val="000000"/>
          <w:lang w:val="ru-RU"/>
        </w:rPr>
        <w:t xml:space="preserve"> Данный </w:t>
      </w:r>
      <w:r w:rsidRPr="003A4E23">
        <w:rPr>
          <w:lang w:val="ru-RU"/>
        </w:rPr>
        <w:t xml:space="preserve">анализ определяет максимальное количество широкополосных шумоподобных помех, указываемое как спектральная плотность потока мощности (с.п.п.м.) на входе антенны 406 МГц спутника Электро, которое может быть принято без ухудшения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в общей линии ниже 8,8 дБ.</w:t>
      </w:r>
    </w:p>
    <w:p w:rsidR="0041192D" w:rsidRPr="003A4E23" w:rsidRDefault="0041192D" w:rsidP="0041192D">
      <w:pPr>
        <w:rPr>
          <w:lang w:val="ru-RU"/>
        </w:rPr>
      </w:pPr>
      <w:r w:rsidRPr="003A4E23">
        <w:rPr>
          <w:lang w:val="ru-RU"/>
        </w:rPr>
        <w:t>В рамках этого анализа предполагается, что три активных радиомаяка одновременно передают сигналы на трех разных частотах в полосе 406,0–406,1 МГц.</w:t>
      </w:r>
      <w:r w:rsidRPr="003A4E23">
        <w:rPr>
          <w:color w:val="000000"/>
          <w:lang w:val="ru-RU"/>
        </w:rPr>
        <w:t xml:space="preserve"> </w:t>
      </w:r>
      <w:r w:rsidRPr="003A4E23">
        <w:rPr>
          <w:lang w:val="ru-RU"/>
        </w:rPr>
        <w:t>Радиомаяк с "низким уровнем" мощности, который является предметом анализа, имеет угол места 5° по отношению к космическому аппарату.</w:t>
      </w:r>
      <w:r w:rsidRPr="003A4E23">
        <w:rPr>
          <w:color w:val="000000"/>
          <w:lang w:val="ru-RU"/>
        </w:rPr>
        <w:t xml:space="preserve"> </w:t>
      </w:r>
      <w:r w:rsidRPr="003A4E23">
        <w:rPr>
          <w:lang w:val="ru-RU"/>
        </w:rPr>
        <w:t>Два других радиомаяка ведут передачу при "номинальные уровнях" мощности, а угол места для них составляет 40° по отношению к космическому аппарату.</w:t>
      </w:r>
      <w:r w:rsidRPr="003A4E23">
        <w:rPr>
          <w:color w:val="000000"/>
          <w:lang w:val="ru-RU"/>
        </w:rPr>
        <w:t xml:space="preserve"> Два радиомаяка с "номинальным уровнем" мощности включены в анализ, потому что они совместно используют располагаемую мощность спутникового ретранслятора и, соответственно, влияют на бюджет линии.</w:t>
      </w:r>
    </w:p>
    <w:p w:rsidR="0041192D" w:rsidRPr="003A4E23" w:rsidRDefault="0041192D" w:rsidP="0041192D">
      <w:pPr>
        <w:rPr>
          <w:color w:val="000000"/>
          <w:lang w:val="ru-RU"/>
        </w:rPr>
      </w:pPr>
      <w:r w:rsidRPr="003A4E23">
        <w:rPr>
          <w:lang w:val="ru-RU"/>
        </w:rPr>
        <w:t>Как видно из рисунка 9, оборудование поиска и спасания спутника Электро принимает сигналы бедствия от радиомаяков на частоте 406 МГц.</w:t>
      </w:r>
      <w:r w:rsidRPr="003A4E23">
        <w:rPr>
          <w:color w:val="000000"/>
          <w:lang w:val="ru-RU"/>
        </w:rPr>
        <w:t xml:space="preserve"> </w:t>
      </w:r>
      <w:r w:rsidRPr="003A4E23">
        <w:rPr>
          <w:lang w:val="ru-RU"/>
        </w:rPr>
        <w:t>Полезная нагрузка модулируется по фазе и передается по линии вниз на частоте 1544,5 МГц в целях обнаружения и обработки на терминалах GEOLUT.</w:t>
      </w:r>
      <w:r w:rsidRPr="003A4E23">
        <w:rPr>
          <w:color w:val="000000"/>
          <w:lang w:val="ru-RU"/>
        </w:rPr>
        <w:t xml:space="preserve"> </w:t>
      </w:r>
      <w:r w:rsidRPr="003A4E23">
        <w:rPr>
          <w:lang w:val="ru-RU"/>
        </w:rPr>
        <w:t>Усиление антенны и шумовая температура системы для спутникового ретранслятора составляют 12 дБи и 891 K (29,5 дБ(К)) соответственно.</w:t>
      </w:r>
      <w:r w:rsidRPr="003A4E23">
        <w:rPr>
          <w:color w:val="000000"/>
          <w:lang w:val="ru-RU"/>
        </w:rPr>
        <w:t xml:space="preserve"> </w:t>
      </w:r>
      <w:r w:rsidRPr="003A4E23">
        <w:rPr>
          <w:lang w:val="ru-RU"/>
        </w:rPr>
        <w:t xml:space="preserve">Соответствующее отношение </w:t>
      </w:r>
      <w:r w:rsidRPr="003A4E23">
        <w:rPr>
          <w:i/>
          <w:color w:val="000000"/>
          <w:lang w:val="ru-RU"/>
        </w:rPr>
        <w:t>G</w:t>
      </w:r>
      <w:r w:rsidRPr="003A4E23">
        <w:rPr>
          <w:color w:val="000000"/>
          <w:lang w:val="ru-RU"/>
        </w:rPr>
        <w:t>/</w:t>
      </w:r>
      <w:r w:rsidRPr="003A4E23">
        <w:rPr>
          <w:i/>
          <w:color w:val="000000"/>
          <w:lang w:val="ru-RU"/>
        </w:rPr>
        <w:t>T</w:t>
      </w:r>
      <w:r w:rsidRPr="003A4E23">
        <w:rPr>
          <w:color w:val="000000"/>
          <w:lang w:val="ru-RU"/>
        </w:rPr>
        <w:t xml:space="preserve"> составляет −17,5</w:t>
      </w:r>
      <w:r w:rsidRPr="003A4E23">
        <w:rPr>
          <w:lang w:val="ru-RU"/>
        </w:rPr>
        <w:t> </w:t>
      </w:r>
      <w:r w:rsidRPr="003A4E23">
        <w:rPr>
          <w:color w:val="000000"/>
          <w:lang w:val="ru-RU"/>
        </w:rPr>
        <w:t>дБ/K.</w:t>
      </w:r>
    </w:p>
    <w:p w:rsidR="0041192D" w:rsidRPr="003A4E23" w:rsidRDefault="0041192D" w:rsidP="000713F1">
      <w:pPr>
        <w:rPr>
          <w:color w:val="000000"/>
          <w:lang w:val="ru-RU"/>
        </w:rPr>
      </w:pPr>
      <w:r w:rsidRPr="003A4E23">
        <w:rPr>
          <w:color w:val="000000"/>
          <w:lang w:val="ru-RU"/>
        </w:rPr>
        <w:lastRenderedPageBreak/>
        <w:t xml:space="preserve">Сигнал радиомаяка с э.и.и.м. 3 дБВт имеет угол места </w:t>
      </w:r>
      <w:r w:rsidRPr="003A4E23">
        <w:rPr>
          <w:rFonts w:ascii="TimesNewRoman" w:hAnsi="TimesNewRoman"/>
          <w:color w:val="000000"/>
          <w:lang w:val="ru-RU"/>
        </w:rPr>
        <w:t>5</w:t>
      </w:r>
      <w:r w:rsidRPr="003A4E23">
        <w:rPr>
          <w:rFonts w:ascii="Symbol" w:hAnsi="Symbol"/>
          <w:color w:val="000000"/>
          <w:lang w:val="ru-RU"/>
        </w:rPr>
        <w:t></w:t>
      </w:r>
      <w:r w:rsidRPr="003A4E23">
        <w:rPr>
          <w:color w:val="000000"/>
          <w:lang w:val="ru-RU"/>
        </w:rPr>
        <w:t xml:space="preserve"> по отношению к космическому аппарату. </w:t>
      </w:r>
      <w:r w:rsidRPr="003A4E23">
        <w:rPr>
          <w:lang w:val="ru-RU"/>
        </w:rPr>
        <w:t xml:space="preserve">Если внешние источники помех отсутствуют,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составляет 32,2 дБ(Гц), что при 400 бит/с соответствует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xml:space="preserve">, равному 6,2 дБ </w:t>
      </w:r>
      <w:r w:rsidRPr="003A4E23">
        <w:rPr>
          <w:color w:val="000000"/>
          <w:lang w:val="ru-RU"/>
        </w:rPr>
        <w:t>(32,2 дБ(Гц) – 26 дБ/с)</w:t>
      </w:r>
      <w:r w:rsidRPr="003A4E23">
        <w:rPr>
          <w:lang w:val="ru-RU"/>
        </w:rPr>
        <w:t>.</w:t>
      </w:r>
      <w:r w:rsidRPr="003A4E23">
        <w:rPr>
          <w:color w:val="000000"/>
          <w:lang w:val="ru-RU"/>
        </w:rPr>
        <w:t xml:space="preserve"> С учетом потерь на аппаратную </w:t>
      </w:r>
      <w:r w:rsidRPr="003A4E23">
        <w:rPr>
          <w:lang w:val="ru-RU"/>
        </w:rPr>
        <w:t xml:space="preserve">реализацию (1,0 дБ) и потерь при модуляции данных от радиомаяка (1,0 дБ), а также выигрыша от обработки данных (7,0 дБ) на терминале GEOLUT эффективное отношение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 xml:space="preserve">0 </w:t>
      </w:r>
      <w:r w:rsidRPr="003A4E23">
        <w:rPr>
          <w:color w:val="000000"/>
          <w:lang w:val="ru-RU"/>
        </w:rPr>
        <w:t>будет равно 11,2</w:t>
      </w:r>
      <w:r w:rsidRPr="003A4E23">
        <w:rPr>
          <w:lang w:val="ru-RU"/>
        </w:rPr>
        <w:t> </w:t>
      </w:r>
      <w:r w:rsidRPr="003A4E23">
        <w:rPr>
          <w:color w:val="000000"/>
          <w:lang w:val="ru-RU"/>
        </w:rPr>
        <w:t xml:space="preserve">дБ. </w:t>
      </w:r>
      <w:r w:rsidRPr="003A4E23">
        <w:rPr>
          <w:lang w:val="ru-RU"/>
        </w:rPr>
        <w:t xml:space="preserve">Поскольку для обеспечения надежного соответствия минимальным требованиям к производительности в канале требуется общее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2,4 дБ.</w:t>
      </w:r>
    </w:p>
    <w:p w:rsidR="0041192D" w:rsidRPr="003A4E23" w:rsidRDefault="0041192D" w:rsidP="0041192D">
      <w:pPr>
        <w:rPr>
          <w:color w:val="000000"/>
          <w:lang w:val="ru-RU"/>
        </w:rPr>
      </w:pPr>
      <w:r w:rsidRPr="003A4E23">
        <w:rPr>
          <w:lang w:val="ru-RU"/>
        </w:rPr>
        <w:t xml:space="preserve">Поскольку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в отсутствие помех равно 32,2 дБ(Гц), то из-за широкополосных шумоподобных помех на линии вверх, которые вызывают его ухудшение в общей линии на 2,4 дБ,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общее с помехами</w:t>
      </w:r>
      <w:r w:rsidRPr="003A4E23">
        <w:rPr>
          <w:lang w:val="ru-RU"/>
        </w:rPr>
        <w:t xml:space="preserve"> будет составлять:</w:t>
      </w:r>
    </w:p>
    <w:p w:rsidR="0041192D" w:rsidRPr="003A4E23" w:rsidRDefault="0041192D" w:rsidP="0041192D">
      <w:pPr>
        <w:pStyle w:val="Equation"/>
        <w:spacing w:before="240"/>
        <w:rPr>
          <w:szCs w:val="24"/>
          <w:lang w:val="ru-RU"/>
        </w:rPr>
      </w:pPr>
      <w:r w:rsidRPr="003A4E23">
        <w:rPr>
          <w:szCs w:val="24"/>
          <w:lang w:val="ru-RU"/>
        </w:rPr>
        <w:tab/>
      </w:r>
      <w:r w:rsidRPr="003A4E23">
        <w:rPr>
          <w:szCs w:val="24"/>
          <w:lang w:val="ru-RU"/>
        </w:rPr>
        <w:tab/>
        <w:t>(</w:t>
      </w:r>
      <w:r w:rsidRPr="003A4E23">
        <w:rPr>
          <w:i/>
          <w:szCs w:val="24"/>
          <w:lang w:val="ru-RU"/>
        </w:rPr>
        <w:t>C</w:t>
      </w:r>
      <w:r w:rsidRPr="003A4E23">
        <w:rPr>
          <w:iCs/>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общее с помехами</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ОП</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общее</w:t>
      </w:r>
      <w:r w:rsidRPr="003A4E23">
        <w:rPr>
          <w:szCs w:val="24"/>
          <w:lang w:val="ru-RU"/>
        </w:rPr>
        <w:t xml:space="preserve"> –</w:t>
      </w:r>
      <w:r w:rsidRPr="003A4E23">
        <w:rPr>
          <w:color w:val="000000"/>
          <w:szCs w:val="24"/>
          <w:lang w:val="ru-RU"/>
        </w:rPr>
        <w:t xml:space="preserve"> 2,4 дБ =</w:t>
      </w:r>
      <w:r w:rsidRPr="003A4E23">
        <w:rPr>
          <w:color w:val="000000"/>
          <w:szCs w:val="24"/>
          <w:lang w:val="ru-RU"/>
        </w:rPr>
        <w:tab/>
        <w:t>(13)</w:t>
      </w:r>
    </w:p>
    <w:p w:rsidR="0041192D" w:rsidRPr="003A4E23" w:rsidRDefault="0041192D" w:rsidP="0041192D">
      <w:pPr>
        <w:pStyle w:val="Equation"/>
        <w:rPr>
          <w:color w:val="000000"/>
          <w:szCs w:val="24"/>
          <w:lang w:val="ru-RU"/>
        </w:rPr>
      </w:pPr>
      <w:r w:rsidRPr="003A4E23">
        <w:rPr>
          <w:color w:val="000000"/>
          <w:szCs w:val="24"/>
          <w:lang w:val="ru-RU"/>
        </w:rPr>
        <w:tab/>
      </w:r>
      <w:r w:rsidRPr="003A4E23">
        <w:rPr>
          <w:color w:val="000000"/>
          <w:szCs w:val="24"/>
          <w:lang w:val="ru-RU"/>
        </w:rPr>
        <w:tab/>
        <w:t>= 32,2 дБ(Гц) – 2,4 дБ = 29,8 дБ(Гц)</w:t>
      </w:r>
    </w:p>
    <w:p w:rsidR="0041192D" w:rsidRPr="003A4E23" w:rsidRDefault="0041192D" w:rsidP="0041192D">
      <w:pPr>
        <w:pStyle w:val="Equation"/>
        <w:rPr>
          <w:color w:val="000000"/>
          <w:szCs w:val="24"/>
          <w:lang w:val="ru-RU"/>
        </w:rPr>
      </w:pPr>
      <w:r w:rsidRPr="003A4E23">
        <w:rPr>
          <w:szCs w:val="24"/>
          <w:lang w:val="ru-RU"/>
        </w:rPr>
        <w:tab/>
      </w:r>
      <w:r w:rsidRPr="003A4E23">
        <w:rPr>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ОП</w:t>
      </w:r>
      <w:r w:rsidRPr="003A4E23">
        <w:rPr>
          <w:szCs w:val="24"/>
          <w:lang w:val="ru-RU"/>
        </w:rPr>
        <w:t xml:space="preserve"> =</w:t>
      </w:r>
      <w:r w:rsidRPr="003A4E23">
        <w:rPr>
          <w:color w:val="000000"/>
          <w:szCs w:val="24"/>
          <w:lang w:val="ru-RU"/>
        </w:rPr>
        <w:t>29,8 дБ(Гц).</w:t>
      </w:r>
    </w:p>
    <w:p w:rsidR="0041192D" w:rsidRPr="003A4E23" w:rsidRDefault="0041192D" w:rsidP="0041192D">
      <w:pPr>
        <w:rPr>
          <w:color w:val="000000"/>
          <w:lang w:val="ru-RU"/>
        </w:rPr>
      </w:pPr>
      <w:r w:rsidRPr="003A4E23">
        <w:rPr>
          <w:lang w:val="ru-RU"/>
        </w:rPr>
        <w:t>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вычисляется из отношений несущей к плотности шума и помех для линии вверх и линии вниз, как указано ниже: </w:t>
      </w:r>
    </w:p>
    <w:p w:rsidR="0041192D" w:rsidRPr="003A4E23" w:rsidRDefault="0041192D" w:rsidP="0041192D">
      <w:pPr>
        <w:pStyle w:val="Equation"/>
        <w:spacing w:before="240" w:after="120"/>
        <w:rPr>
          <w:szCs w:val="24"/>
          <w:lang w:val="ru-RU"/>
        </w:rPr>
      </w:pPr>
      <w:r w:rsidRPr="003A4E23">
        <w:rPr>
          <w:szCs w:val="24"/>
          <w:lang w:val="ru-RU"/>
        </w:rPr>
        <w:tab/>
      </w:r>
      <w:r w:rsidRPr="003A4E23">
        <w:rPr>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ОП</w:t>
      </w:r>
      <w:r w:rsidRPr="003A4E23">
        <w:rPr>
          <w:szCs w:val="24"/>
          <w:vertAlign w:val="subscript"/>
          <w:lang w:val="ru-RU"/>
        </w:rPr>
        <w:t xml:space="preserve"> </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szCs w:val="24"/>
          <w:vertAlign w:val="superscript"/>
          <w:lang w:val="ru-RU"/>
        </w:rPr>
        <w:t>− 1</w:t>
      </w:r>
      <w:r w:rsidRPr="003A4E23">
        <w:rPr>
          <w:i/>
          <w:szCs w:val="24"/>
          <w:vertAlign w:val="subscript"/>
          <w:lang w:val="ru-RU"/>
        </w:rPr>
        <w:t>вверх с помехами</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szCs w:val="24"/>
          <w:vertAlign w:val="superscript"/>
          <w:lang w:val="ru-RU"/>
        </w:rPr>
        <w:t>−1</w:t>
      </w:r>
      <w:r w:rsidRPr="003A4E23">
        <w:rPr>
          <w:i/>
          <w:szCs w:val="24"/>
          <w:vertAlign w:val="subscript"/>
          <w:lang w:val="ru-RU"/>
        </w:rPr>
        <w:t>вниз с помехами</w:t>
      </w:r>
      <w:r w:rsidRPr="003A4E23">
        <w:rPr>
          <w:szCs w:val="24"/>
          <w:lang w:val="ru-RU"/>
        </w:rPr>
        <w:t>)</w:t>
      </w:r>
      <w:r w:rsidRPr="003A4E23">
        <w:rPr>
          <w:szCs w:val="24"/>
          <w:vertAlign w:val="superscript"/>
          <w:lang w:val="ru-RU"/>
        </w:rPr>
        <w:t>−1</w:t>
      </w:r>
      <w:r w:rsidRPr="003A4E23">
        <w:rPr>
          <w:szCs w:val="24"/>
          <w:lang w:val="ru-RU"/>
        </w:rPr>
        <w:t xml:space="preserve"> </w:t>
      </w:r>
      <w:r w:rsidRPr="003A4E23">
        <w:rPr>
          <w:rFonts w:ascii="TimesNewRomanPSMT" w:hAnsi="TimesNewRomanPSMT"/>
          <w:szCs w:val="24"/>
          <w:lang w:val="ru-RU"/>
        </w:rPr>
        <w:t>(</w:t>
      </w:r>
      <w:r w:rsidRPr="003A4E23">
        <w:rPr>
          <w:szCs w:val="24"/>
          <w:lang w:val="ru-RU"/>
        </w:rPr>
        <w:t>численная величина</w:t>
      </w:r>
      <w:r w:rsidRPr="003A4E23">
        <w:rPr>
          <w:rFonts w:ascii="TimesNewRomanPSMT" w:hAnsi="TimesNewRomanPSMT"/>
          <w:szCs w:val="24"/>
          <w:lang w:val="ru-RU"/>
        </w:rPr>
        <w:t>).</w:t>
      </w:r>
      <w:r w:rsidRPr="003A4E23">
        <w:rPr>
          <w:rFonts w:ascii="TimesNewRomanPSMT" w:hAnsi="TimesNewRomanPSMT"/>
          <w:szCs w:val="24"/>
          <w:lang w:val="ru-RU"/>
        </w:rPr>
        <w:tab/>
        <w:t>(14)</w:t>
      </w:r>
    </w:p>
    <w:p w:rsidR="0041192D" w:rsidRPr="003A4E23" w:rsidRDefault="0041192D" w:rsidP="0041192D">
      <w:pPr>
        <w:rPr>
          <w:color w:val="000000"/>
          <w:lang w:val="ru-RU"/>
        </w:rPr>
      </w:pPr>
      <w:r w:rsidRPr="003A4E23">
        <w:rPr>
          <w:lang w:val="ru-RU"/>
        </w:rPr>
        <w:t>Поскольку этот анализ касается только помех на линии вверх, то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вверх с помехами</w:t>
      </w:r>
      <w:r w:rsidRPr="003A4E23">
        <w:rPr>
          <w:lang w:val="ru-RU"/>
        </w:rPr>
        <w:t xml:space="preserve"> в уравнении (14) будет: </w:t>
      </w:r>
    </w:p>
    <w:p w:rsidR="0041192D" w:rsidRPr="003A4E23" w:rsidRDefault="0041192D" w:rsidP="0041192D">
      <w:pPr>
        <w:pStyle w:val="Equation"/>
        <w:spacing w:before="240" w:after="120"/>
        <w:rPr>
          <w:szCs w:val="24"/>
          <w:lang w:val="ru-RU"/>
        </w:rPr>
      </w:pPr>
      <w:r w:rsidRPr="003A4E23">
        <w:rPr>
          <w:color w:val="000000"/>
          <w:szCs w:val="24"/>
          <w:lang w:val="ru-RU"/>
        </w:rPr>
        <w:tab/>
      </w:r>
      <w:r w:rsidRPr="003A4E23">
        <w:rPr>
          <w:color w:val="000000"/>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вверх с помехами</w:t>
      </w:r>
      <w:r w:rsidRPr="003A4E23">
        <w:rPr>
          <w:szCs w:val="24"/>
          <w:lang w:val="ru-RU"/>
        </w:rPr>
        <w:t xml:space="preserve"> = (</w:t>
      </w:r>
      <w:r w:rsidRPr="003A4E23">
        <w:rPr>
          <w:i/>
          <w:szCs w:val="24"/>
          <w:lang w:val="ru-RU"/>
        </w:rPr>
        <w:t>C</w:t>
      </w:r>
      <w:r w:rsidRPr="003A4E23">
        <w:rPr>
          <w:szCs w:val="24"/>
          <w:vertAlign w:val="subscript"/>
          <w:lang w:val="ru-RU"/>
        </w:rPr>
        <w:sym w:font="Symbol" w:char="F0AD"/>
      </w:r>
      <w:r w:rsidRPr="003A4E23">
        <w:rPr>
          <w:szCs w:val="24"/>
          <w:lang w:val="ru-RU"/>
        </w:rPr>
        <w:t>/(</w:t>
      </w:r>
      <w:r w:rsidRPr="003A4E23">
        <w:rPr>
          <w:i/>
          <w:szCs w:val="24"/>
          <w:lang w:val="ru-RU"/>
        </w:rPr>
        <w:t>N</w:t>
      </w:r>
      <w:r w:rsidRPr="003A4E23">
        <w:rPr>
          <w:szCs w:val="24"/>
          <w:vertAlign w:val="subscript"/>
          <w:lang w:val="ru-RU"/>
        </w:rPr>
        <w:t>0</w:t>
      </w:r>
      <w:r w:rsidRPr="003A4E23">
        <w:rPr>
          <w:szCs w:val="24"/>
          <w:vertAlign w:val="subscript"/>
          <w:lang w:val="ru-RU"/>
        </w:rPr>
        <w:sym w:font="Symbol" w:char="F0AD"/>
      </w:r>
      <w:r w:rsidRPr="003A4E23">
        <w:rPr>
          <w:szCs w:val="24"/>
          <w:lang w:val="ru-RU"/>
        </w:rPr>
        <w:t xml:space="preserve"> + </w:t>
      </w:r>
      <w:r w:rsidRPr="003A4E23">
        <w:rPr>
          <w:i/>
          <w:szCs w:val="24"/>
          <w:lang w:val="ru-RU"/>
        </w:rPr>
        <w:t>I</w:t>
      </w:r>
      <w:r w:rsidRPr="003A4E23">
        <w:rPr>
          <w:szCs w:val="24"/>
          <w:vertAlign w:val="subscript"/>
          <w:lang w:val="ru-RU"/>
        </w:rPr>
        <w:t>0</w:t>
      </w:r>
      <w:r w:rsidRPr="003A4E23">
        <w:rPr>
          <w:szCs w:val="24"/>
          <w:lang w:val="ru-RU"/>
        </w:rPr>
        <w:t>)) (численная величина).</w:t>
      </w:r>
      <w:r w:rsidRPr="003A4E23">
        <w:rPr>
          <w:szCs w:val="24"/>
          <w:lang w:val="ru-RU"/>
        </w:rPr>
        <w:tab/>
        <w:t>(15)</w:t>
      </w:r>
    </w:p>
    <w:p w:rsidR="0041192D" w:rsidRPr="003A4E23" w:rsidRDefault="0041192D" w:rsidP="0041192D">
      <w:pPr>
        <w:rPr>
          <w:lang w:val="ru-RU"/>
        </w:rPr>
      </w:pPr>
      <w:r w:rsidRPr="003A4E23">
        <w:rPr>
          <w:lang w:val="ru-RU"/>
        </w:rPr>
        <w:t>Помехи также влияют на отношение несущей к плотности шума в линии вниз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xml:space="preserve"> следующим образом:</w:t>
      </w:r>
    </w:p>
    <w:p w:rsidR="0041192D" w:rsidRPr="003A4E23" w:rsidRDefault="0041192D" w:rsidP="0041192D">
      <w:pPr>
        <w:pStyle w:val="Equation"/>
        <w:spacing w:before="240" w:after="120"/>
        <w:rPr>
          <w:szCs w:val="24"/>
          <w:lang w:val="ru-RU"/>
        </w:rPr>
      </w:pPr>
      <w:r w:rsidRPr="003A4E23">
        <w:rPr>
          <w:i/>
          <w:szCs w:val="24"/>
          <w:lang w:val="ru-RU"/>
        </w:rPr>
        <w:tab/>
      </w:r>
      <w:r w:rsidRPr="003A4E23">
        <w:rPr>
          <w:i/>
          <w:szCs w:val="24"/>
          <w:lang w:val="ru-RU"/>
        </w:rPr>
        <w:tab/>
      </w:r>
      <w:r w:rsidRPr="003A4E23">
        <w:rPr>
          <w:szCs w:val="24"/>
          <w:lang w:val="ru-RU"/>
        </w:rPr>
        <w:t>(</w:t>
      </w:r>
      <w:r w:rsidRPr="003A4E23">
        <w:rPr>
          <w:i/>
          <w:szCs w:val="24"/>
          <w:lang w:val="ru-RU"/>
        </w:rPr>
        <w:t>C</w:t>
      </w:r>
      <w:r w:rsidRPr="003A4E23">
        <w:rPr>
          <w:iCs/>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вниз с помехами</w:t>
      </w:r>
      <w:r w:rsidRPr="003A4E23">
        <w:rPr>
          <w:i/>
          <w:szCs w:val="24"/>
          <w:lang w:val="ru-RU"/>
        </w:rPr>
        <w:t xml:space="preserve"> = </w:t>
      </w:r>
      <w:r w:rsidRPr="003A4E23">
        <w:rPr>
          <w:szCs w:val="24"/>
          <w:lang w:val="ru-RU"/>
        </w:rPr>
        <w:t>(</w:t>
      </w:r>
      <w:r w:rsidRPr="003A4E23">
        <w:rPr>
          <w:i/>
          <w:szCs w:val="24"/>
          <w:lang w:val="ru-RU"/>
        </w:rPr>
        <w:t>C/N</w:t>
      </w:r>
      <w:r w:rsidRPr="003A4E23">
        <w:rPr>
          <w:szCs w:val="24"/>
          <w:lang w:val="ru-RU"/>
        </w:rPr>
        <w:t>)</w:t>
      </w:r>
      <w:r w:rsidRPr="003A4E23">
        <w:rPr>
          <w:szCs w:val="24"/>
          <w:vertAlign w:val="subscript"/>
          <w:lang w:val="ru-RU"/>
        </w:rPr>
        <w:sym w:font="Symbol" w:char="F0AF"/>
      </w:r>
      <w:r w:rsidRPr="003A4E23">
        <w:rPr>
          <w:szCs w:val="24"/>
          <w:lang w:val="ru-RU"/>
        </w:rPr>
        <w:t xml:space="preserve"> </w:t>
      </w:r>
      <w:r w:rsidRPr="003A4E23">
        <w:rPr>
          <w:i/>
          <w:szCs w:val="24"/>
          <w:lang w:val="ru-RU"/>
        </w:rPr>
        <w:t xml:space="preserve">× </w:t>
      </w:r>
      <w:r w:rsidRPr="003A4E23">
        <w:rPr>
          <w:szCs w:val="24"/>
          <w:lang w:val="ru-RU"/>
        </w:rPr>
        <w:t>(</w:t>
      </w:r>
      <w:r w:rsidRPr="003A4E23">
        <w:rPr>
          <w:i/>
          <w:szCs w:val="24"/>
          <w:lang w:val="ru-RU"/>
        </w:rPr>
        <w:t>Lpsi/Lps</w:t>
      </w:r>
      <w:r w:rsidRPr="003A4E23">
        <w:rPr>
          <w:szCs w:val="24"/>
          <w:lang w:val="ru-RU"/>
        </w:rPr>
        <w:t>)</w:t>
      </w:r>
      <w:r w:rsidRPr="003A4E23">
        <w:rPr>
          <w:i/>
          <w:szCs w:val="24"/>
          <w:lang w:val="ru-RU"/>
        </w:rPr>
        <w:t xml:space="preserve"> </w:t>
      </w:r>
      <w:r w:rsidRPr="003A4E23">
        <w:rPr>
          <w:szCs w:val="24"/>
          <w:lang w:val="ru-RU"/>
        </w:rPr>
        <w:t>(численная величина),</w:t>
      </w:r>
      <w:r w:rsidRPr="003A4E23">
        <w:rPr>
          <w:szCs w:val="24"/>
          <w:lang w:val="ru-RU"/>
        </w:rPr>
        <w:tab/>
        <w:t>(16)</w:t>
      </w:r>
    </w:p>
    <w:p w:rsidR="0041192D" w:rsidRPr="003A4E23" w:rsidRDefault="0041192D" w:rsidP="0041192D">
      <w:pPr>
        <w:rPr>
          <w:lang w:val="ru-RU"/>
        </w:rPr>
      </w:pPr>
      <w:r w:rsidRPr="003A4E23">
        <w:rPr>
          <w:lang w:val="ru-RU"/>
        </w:rPr>
        <w:t xml:space="preserve">где </w:t>
      </w:r>
      <w:r w:rsidRPr="003A4E23">
        <w:rPr>
          <w:i/>
          <w:lang w:val="ru-RU"/>
        </w:rPr>
        <w:t>Lps</w:t>
      </w:r>
      <w:r w:rsidRPr="003A4E23">
        <w:rPr>
          <w:lang w:val="ru-RU"/>
        </w:rPr>
        <w:t xml:space="preserve"> – потери разделения мощности без помех, а </w:t>
      </w:r>
      <w:r w:rsidRPr="003A4E23">
        <w:rPr>
          <w:i/>
          <w:lang w:val="ru-RU"/>
        </w:rPr>
        <w:t xml:space="preserve">Lpsi </w:t>
      </w:r>
      <w:r w:rsidRPr="003A4E23">
        <w:rPr>
          <w:lang w:val="ru-RU"/>
        </w:rPr>
        <w:t xml:space="preserve">– потери разделения мощности с помехами. </w:t>
      </w:r>
      <w:r w:rsidRPr="003A4E23">
        <w:rPr>
          <w:i/>
          <w:lang w:val="ru-RU"/>
        </w:rPr>
        <w:t>Lpsi</w:t>
      </w:r>
      <w:r w:rsidRPr="003A4E23">
        <w:rPr>
          <w:lang w:val="ru-RU"/>
        </w:rPr>
        <w:t xml:space="preserve"> вычисляется следующим образом:</w:t>
      </w:r>
    </w:p>
    <w:p w:rsidR="0041192D" w:rsidRPr="003A4E23" w:rsidRDefault="0041192D" w:rsidP="0041192D">
      <w:pPr>
        <w:pStyle w:val="Equation"/>
        <w:spacing w:before="240" w:after="120"/>
        <w:rPr>
          <w:szCs w:val="24"/>
          <w:lang w:val="ru-RU"/>
        </w:rPr>
      </w:pPr>
      <w:r w:rsidRPr="003A4E23">
        <w:rPr>
          <w:i/>
          <w:szCs w:val="24"/>
          <w:lang w:val="ru-RU"/>
        </w:rPr>
        <w:tab/>
      </w:r>
      <w:r w:rsidRPr="003A4E23">
        <w:rPr>
          <w:i/>
          <w:szCs w:val="24"/>
          <w:lang w:val="ru-RU"/>
        </w:rPr>
        <w:tab/>
        <w:t>Lpsi = C</w:t>
      </w:r>
      <w:r w:rsidRPr="003A4E23">
        <w:rPr>
          <w:szCs w:val="24"/>
          <w:vertAlign w:val="subscript"/>
          <w:lang w:val="ru-RU"/>
        </w:rPr>
        <w:sym w:font="Symbol" w:char="F0AD"/>
      </w:r>
      <w:r w:rsidRPr="003A4E23">
        <w:rPr>
          <w:szCs w:val="24"/>
          <w:lang w:val="ru-RU"/>
        </w:rPr>
        <w:t xml:space="preserve"> /(</w:t>
      </w:r>
      <w:r w:rsidRPr="003A4E23">
        <w:rPr>
          <w:i/>
          <w:szCs w:val="24"/>
          <w:lang w:val="ru-RU"/>
        </w:rPr>
        <w:t>C</w:t>
      </w:r>
      <w:r w:rsidRPr="003A4E23">
        <w:rPr>
          <w:szCs w:val="24"/>
          <w:vertAlign w:val="subscript"/>
          <w:lang w:val="ru-RU"/>
        </w:rPr>
        <w:sym w:font="Symbol" w:char="F0AD"/>
      </w:r>
      <w:r w:rsidRPr="003A4E23">
        <w:rPr>
          <w:szCs w:val="24"/>
          <w:lang w:val="ru-RU"/>
        </w:rPr>
        <w:t xml:space="preserve"> </w:t>
      </w:r>
      <w:r w:rsidRPr="003A4E23">
        <w:rPr>
          <w:i/>
          <w:szCs w:val="24"/>
          <w:lang w:val="ru-RU"/>
        </w:rPr>
        <w:t xml:space="preserve">+ </w:t>
      </w:r>
      <w:r w:rsidRPr="003A4E23">
        <w:rPr>
          <w:szCs w:val="24"/>
          <w:lang w:val="ru-RU"/>
        </w:rPr>
        <w:t>2</w:t>
      </w:r>
      <w:r w:rsidRPr="003A4E23">
        <w:rPr>
          <w:i/>
          <w:szCs w:val="24"/>
          <w:lang w:val="ru-RU"/>
        </w:rPr>
        <w:t xml:space="preserve"> </w:t>
      </w:r>
      <w:r w:rsidRPr="003A4E23">
        <w:rPr>
          <w:szCs w:val="24"/>
          <w:lang w:val="ru-RU"/>
        </w:rPr>
        <w:t>×</w:t>
      </w:r>
      <w:r w:rsidRPr="003A4E23">
        <w:rPr>
          <w:i/>
          <w:szCs w:val="24"/>
          <w:lang w:val="ru-RU"/>
        </w:rPr>
        <w:t xml:space="preserve"> C</w:t>
      </w:r>
      <w:r w:rsidRPr="003A4E23">
        <w:rPr>
          <w:szCs w:val="24"/>
          <w:vertAlign w:val="subscript"/>
          <w:lang w:val="ru-RU"/>
        </w:rPr>
        <w:t>2</w:t>
      </w:r>
      <w:r w:rsidRPr="003A4E23">
        <w:rPr>
          <w:i/>
          <w:szCs w:val="24"/>
          <w:lang w:val="ru-RU"/>
        </w:rPr>
        <w:t xml:space="preserve"> + N</w:t>
      </w:r>
      <w:r w:rsidRPr="003A4E23">
        <w:rPr>
          <w:szCs w:val="24"/>
          <w:vertAlign w:val="subscript"/>
          <w:lang w:val="ru-RU"/>
        </w:rPr>
        <w:sym w:font="Symbol" w:char="F0AD"/>
      </w:r>
      <w:r w:rsidRPr="003A4E23">
        <w:rPr>
          <w:i/>
          <w:szCs w:val="24"/>
          <w:lang w:val="ru-RU"/>
        </w:rPr>
        <w:t xml:space="preserve"> + I</w:t>
      </w:r>
      <w:r w:rsidRPr="003A4E23">
        <w:rPr>
          <w:szCs w:val="24"/>
          <w:vertAlign w:val="subscript"/>
          <w:lang w:val="ru-RU"/>
        </w:rPr>
        <w:t>0</w:t>
      </w:r>
      <w:r w:rsidRPr="003A4E23">
        <w:rPr>
          <w:i/>
          <w:szCs w:val="24"/>
          <w:lang w:val="ru-RU"/>
        </w:rPr>
        <w:t>B</w:t>
      </w:r>
      <w:r w:rsidRPr="003A4E23">
        <w:rPr>
          <w:szCs w:val="24"/>
          <w:lang w:val="ru-RU"/>
        </w:rPr>
        <w:t>) (численная величина),</w:t>
      </w:r>
      <w:r w:rsidRPr="003A4E23">
        <w:rPr>
          <w:szCs w:val="24"/>
          <w:lang w:val="ru-RU"/>
        </w:rPr>
        <w:tab/>
        <w:t>(17)</w:t>
      </w:r>
    </w:p>
    <w:p w:rsidR="0041192D" w:rsidRPr="003A4E23" w:rsidRDefault="0041192D" w:rsidP="0041192D">
      <w:pPr>
        <w:rPr>
          <w:lang w:val="ru-RU"/>
        </w:rPr>
      </w:pPr>
      <w:r w:rsidRPr="003A4E23">
        <w:rPr>
          <w:lang w:val="ru-RU"/>
        </w:rPr>
        <w:t xml:space="preserve">где </w:t>
      </w:r>
      <w:r w:rsidRPr="003A4E23">
        <w:rPr>
          <w:i/>
          <w:lang w:val="ru-RU"/>
        </w:rPr>
        <w:t>C</w:t>
      </w:r>
      <w:r w:rsidRPr="003A4E23">
        <w:rPr>
          <w:vertAlign w:val="subscript"/>
          <w:lang w:val="ru-RU"/>
        </w:rPr>
        <w:t>2</w:t>
      </w:r>
      <w:r w:rsidRPr="003A4E23">
        <w:rPr>
          <w:lang w:val="ru-RU"/>
        </w:rPr>
        <w:t xml:space="preserve"> – уровень мощности одного из двух других радиомаяков, сигналы которых одновременно принимает ретранслятор SARR спутника Электро, а </w:t>
      </w:r>
      <w:r w:rsidRPr="003A4E23">
        <w:rPr>
          <w:i/>
          <w:lang w:val="ru-RU"/>
        </w:rPr>
        <w:t>B</w:t>
      </w:r>
      <w:r w:rsidRPr="003A4E23">
        <w:rPr>
          <w:lang w:val="ru-RU"/>
        </w:rPr>
        <w:t xml:space="preserve"> – полоса пропускания приемника этого спутника. </w:t>
      </w:r>
    </w:p>
    <w:p w:rsidR="0041192D" w:rsidRPr="003A4E23" w:rsidRDefault="0041192D" w:rsidP="0041192D">
      <w:pPr>
        <w:rPr>
          <w:lang w:val="ru-RU"/>
        </w:rPr>
      </w:pPr>
      <w:r w:rsidRPr="003A4E23">
        <w:rPr>
          <w:lang w:val="ru-RU"/>
        </w:rPr>
        <w:t xml:space="preserve">Подставим уравнение (17) в уравнение (16), а затем уравнения (15) и (16) – в уравнение (14) и, вычисляя </w:t>
      </w:r>
      <w:r w:rsidRPr="003A4E23">
        <w:rPr>
          <w:i/>
          <w:lang w:val="ru-RU"/>
        </w:rPr>
        <w:t>I</w:t>
      </w:r>
      <w:r w:rsidRPr="003A4E23">
        <w:rPr>
          <w:vertAlign w:val="subscript"/>
          <w:lang w:val="ru-RU"/>
        </w:rPr>
        <w:t>0</w:t>
      </w:r>
      <w:r w:rsidRPr="003A4E23">
        <w:rPr>
          <w:lang w:val="ru-RU"/>
        </w:rPr>
        <w:t>, получим следующую формулу:</w:t>
      </w:r>
    </w:p>
    <w:p w:rsidR="0041192D" w:rsidRPr="003A4E23" w:rsidRDefault="0041192D" w:rsidP="0041192D">
      <w:pPr>
        <w:pStyle w:val="Equation"/>
        <w:rPr>
          <w:lang w:val="ru-RU"/>
        </w:rPr>
      </w:pPr>
      <w:r w:rsidRPr="003A4E23">
        <w:rPr>
          <w:lang w:val="ru-RU"/>
        </w:rPr>
        <w:tab/>
      </w:r>
      <w:r w:rsidRPr="003A4E23">
        <w:rPr>
          <w:lang w:val="ru-RU"/>
        </w:rPr>
        <w:tab/>
      </w:r>
      <w:r w:rsidRPr="003A4E23">
        <w:rPr>
          <w:i/>
          <w:lang w:val="ru-RU"/>
        </w:rPr>
        <w:t>I</w:t>
      </w:r>
      <w:r w:rsidRPr="003A4E23">
        <w:rPr>
          <w:vertAlign w:val="subscript"/>
          <w:lang w:val="ru-RU"/>
        </w:rPr>
        <w:t>0</w:t>
      </w:r>
      <w:r w:rsidRPr="003A4E23">
        <w:rPr>
          <w:lang w:val="ru-RU"/>
        </w:rPr>
        <w:t xml:space="preserve"> </w:t>
      </w:r>
      <w:r w:rsidRPr="003A4E23">
        <w:rPr>
          <w:i/>
          <w:lang w:val="ru-RU"/>
        </w:rPr>
        <w:t xml:space="preserve">= </w:t>
      </w:r>
      <w:r w:rsidRPr="003A4E23">
        <w:rPr>
          <w:lang w:val="ru-RU"/>
        </w:rPr>
        <w:t>(</w:t>
      </w:r>
      <w:r w:rsidRPr="003A4E23">
        <w:rPr>
          <w:i/>
          <w:lang w:val="ru-RU"/>
        </w:rPr>
        <w:t>C</w:t>
      </w:r>
      <w:r w:rsidRPr="003A4E23">
        <w:rPr>
          <w:vertAlign w:val="subscript"/>
          <w:lang w:val="ru-RU"/>
        </w:rPr>
        <w:sym w:font="Symbol" w:char="F0AD"/>
      </w:r>
      <w:r w:rsidRPr="003A4E23">
        <w:rPr>
          <w:lang w:val="ru-RU"/>
        </w:rPr>
        <w:t xml:space="preserve">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i/>
          <w:vertAlign w:val="superscript"/>
          <w:lang w:val="ru-RU"/>
        </w:rPr>
        <w:t>−1</w:t>
      </w:r>
      <w:r w:rsidRPr="003A4E23">
        <w:rPr>
          <w:lang w:val="ru-RU"/>
        </w:rPr>
        <w:t> −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vertAlign w:val="subscript"/>
          <w:lang w:val="ru-RU"/>
        </w:rPr>
        <w:sym w:font="Symbol" w:char="F0AF"/>
      </w:r>
      <w:r w:rsidRPr="003A4E23">
        <w:rPr>
          <w:vertAlign w:val="superscript"/>
          <w:lang w:val="ru-RU"/>
        </w:rPr>
        <w:t>−1</w:t>
      </w:r>
      <w:r w:rsidRPr="003A4E23">
        <w:rPr>
          <w:lang w:val="ru-RU"/>
        </w:rPr>
        <w:t>) − </w:t>
      </w:r>
      <w:r w:rsidRPr="003A4E23">
        <w:rPr>
          <w:i/>
          <w:lang w:val="ru-RU"/>
        </w:rPr>
        <w:t>N</w:t>
      </w:r>
      <w:r w:rsidRPr="003A4E23">
        <w:rPr>
          <w:vertAlign w:val="subscript"/>
          <w:lang w:val="ru-RU"/>
        </w:rPr>
        <w:t>0</w:t>
      </w:r>
      <w:r w:rsidRPr="003A4E23">
        <w:rPr>
          <w:vertAlign w:val="subscript"/>
          <w:lang w:val="ru-RU"/>
        </w:rPr>
        <w:sym w:font="Symbol" w:char="F0AD"/>
      </w:r>
      <w:r w:rsidRPr="003A4E23">
        <w:rPr>
          <w:lang w:val="ru-RU"/>
        </w:rPr>
        <w:t>)/(1</w:t>
      </w:r>
      <w:r w:rsidRPr="003A4E23">
        <w:rPr>
          <w:i/>
          <w:lang w:val="ru-RU"/>
        </w:rPr>
        <w:t xml:space="preserve"> + Lps </w:t>
      </w:r>
      <w:r w:rsidRPr="003A4E23">
        <w:rPr>
          <w:lang w:val="ru-RU"/>
        </w:rPr>
        <w:t>(</w:t>
      </w:r>
      <w:r w:rsidRPr="003A4E23">
        <w:rPr>
          <w:i/>
          <w:lang w:val="ru-RU"/>
        </w:rPr>
        <w:t>C</w:t>
      </w:r>
      <w:r w:rsidRPr="003A4E23">
        <w:rPr>
          <w:lang w:val="ru-RU"/>
        </w:rPr>
        <w:t>/</w:t>
      </w:r>
      <w:r w:rsidRPr="003A4E23">
        <w:rPr>
          <w:i/>
          <w:lang w:val="ru-RU"/>
        </w:rPr>
        <w:t>N</w:t>
      </w:r>
      <w:r w:rsidRPr="003A4E23">
        <w:rPr>
          <w:lang w:val="ru-RU"/>
        </w:rPr>
        <w:t>)</w:t>
      </w:r>
      <w:r w:rsidRPr="003A4E23">
        <w:rPr>
          <w:vertAlign w:val="subscript"/>
          <w:lang w:val="ru-RU"/>
        </w:rPr>
        <w:sym w:font="Symbol" w:char="F0AF"/>
      </w:r>
      <w:r w:rsidRPr="003A4E23">
        <w:rPr>
          <w:vertAlign w:val="superscript"/>
          <w:lang w:val="ru-RU"/>
        </w:rPr>
        <w:t>−1</w:t>
      </w:r>
      <w:r w:rsidRPr="003A4E23">
        <w:rPr>
          <w:lang w:val="ru-RU"/>
        </w:rPr>
        <w:t>) (численная величина).</w:t>
      </w:r>
      <w:r w:rsidRPr="003A4E23">
        <w:rPr>
          <w:lang w:val="ru-RU"/>
        </w:rPr>
        <w:tab/>
        <w:t>(18)</w:t>
      </w:r>
    </w:p>
    <w:p w:rsidR="0041192D" w:rsidRPr="003A4E23" w:rsidRDefault="0041192D" w:rsidP="000713F1">
      <w:pPr>
        <w:rPr>
          <w:lang w:val="ru-RU"/>
        </w:rPr>
      </w:pPr>
      <w:r w:rsidRPr="003A4E23">
        <w:rPr>
          <w:i/>
          <w:lang w:val="ru-RU"/>
        </w:rPr>
        <w:t>C</w:t>
      </w:r>
      <w:r w:rsidRPr="003A4E23">
        <w:rPr>
          <w:vertAlign w:val="subscript"/>
          <w:lang w:val="ru-RU"/>
        </w:rPr>
        <w:t>2</w:t>
      </w:r>
      <w:r w:rsidRPr="003A4E23">
        <w:rPr>
          <w:lang w:val="ru-RU"/>
        </w:rPr>
        <w:t xml:space="preserve"> равно –161,1 дБВт, </w:t>
      </w:r>
      <w:r w:rsidRPr="003A4E23">
        <w:rPr>
          <w:i/>
          <w:lang w:val="ru-RU"/>
        </w:rPr>
        <w:t>B</w:t>
      </w:r>
      <w:r w:rsidRPr="003A4E23">
        <w:rPr>
          <w:lang w:val="ru-RU"/>
        </w:rPr>
        <w:t xml:space="preserve"> равно 80 кГц, (</w:t>
      </w:r>
      <w:r w:rsidRPr="003A4E23">
        <w:rPr>
          <w:i/>
          <w:lang w:val="ru-RU"/>
        </w:rPr>
        <w:t>C</w:t>
      </w:r>
      <w:r w:rsidRPr="003A4E23">
        <w:rPr>
          <w:iCs/>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равно 29,8 дБ(Гц), </w:t>
      </w:r>
      <w:r w:rsidRPr="003A4E23">
        <w:rPr>
          <w:i/>
          <w:lang w:val="ru-RU"/>
        </w:rPr>
        <w:t>C</w:t>
      </w:r>
      <w:r w:rsidRPr="003A4E23">
        <w:rPr>
          <w:vertAlign w:val="subscript"/>
          <w:lang w:val="ru-RU"/>
        </w:rPr>
        <w:sym w:font="Symbol" w:char="F0AD"/>
      </w:r>
      <w:r w:rsidRPr="003A4E23">
        <w:rPr>
          <w:vertAlign w:val="subscript"/>
          <w:lang w:val="ru-RU"/>
        </w:rPr>
        <w:t xml:space="preserve"> </w:t>
      </w:r>
      <w:r w:rsidRPr="003A4E23">
        <w:rPr>
          <w:lang w:val="ru-RU"/>
        </w:rPr>
        <w:t xml:space="preserve"> равно −166,8 дБВт, (</w:t>
      </w:r>
      <w:r w:rsidRPr="003A4E23">
        <w:rPr>
          <w:i/>
          <w:lang w:val="ru-RU"/>
        </w:rPr>
        <w:t>C</w:t>
      </w:r>
      <w:r w:rsidRPr="003A4E23">
        <w:rPr>
          <w:iCs/>
          <w:lang w:val="ru-RU"/>
        </w:rPr>
        <w:t>/</w:t>
      </w:r>
      <w:r w:rsidRPr="003A4E23">
        <w:rPr>
          <w:i/>
          <w:lang w:val="ru-RU"/>
        </w:rPr>
        <w:t>N</w:t>
      </w:r>
      <w:r w:rsidRPr="003A4E23">
        <w:rPr>
          <w:vertAlign w:val="subscript"/>
          <w:lang w:val="ru-RU"/>
        </w:rPr>
        <w:t>0</w:t>
      </w:r>
      <w:r w:rsidRPr="003A4E23">
        <w:rPr>
          <w:lang w:val="ru-RU"/>
        </w:rPr>
        <w:t>)</w:t>
      </w:r>
      <w:r w:rsidRPr="003A4E23">
        <w:rPr>
          <w:vertAlign w:val="subscript"/>
          <w:lang w:val="ru-RU"/>
        </w:rPr>
        <w:sym w:font="Symbol" w:char="F0AF"/>
      </w:r>
      <w:r w:rsidRPr="003A4E23">
        <w:rPr>
          <w:lang w:val="ru-RU"/>
        </w:rPr>
        <w:t xml:space="preserve"> равно 48,5 дБ(Гц), </w:t>
      </w:r>
      <w:r w:rsidRPr="003A4E23">
        <w:rPr>
          <w:i/>
          <w:lang w:val="ru-RU"/>
        </w:rPr>
        <w:t>N</w:t>
      </w:r>
      <w:r w:rsidRPr="003A4E23">
        <w:rPr>
          <w:vertAlign w:val="subscript"/>
          <w:lang w:val="ru-RU"/>
        </w:rPr>
        <w:t>0</w:t>
      </w:r>
      <w:r w:rsidRPr="003A4E23">
        <w:rPr>
          <w:vertAlign w:val="subscript"/>
          <w:lang w:val="ru-RU"/>
        </w:rPr>
        <w:sym w:font="Symbol" w:char="F0AD"/>
      </w:r>
      <w:r w:rsidRPr="003A4E23">
        <w:rPr>
          <w:lang w:val="ru-RU"/>
        </w:rPr>
        <w:t xml:space="preserve"> = −199,1 дБ(Вт/Гц), </w:t>
      </w:r>
      <w:r w:rsidRPr="003A4E23">
        <w:rPr>
          <w:i/>
          <w:lang w:val="ru-RU"/>
        </w:rPr>
        <w:t>Lps</w:t>
      </w:r>
      <w:r w:rsidRPr="003A4E23">
        <w:rPr>
          <w:lang w:val="ru-RU"/>
        </w:rPr>
        <w:t xml:space="preserve"> равно −17,4 дБ, а</w:t>
      </w:r>
      <w:r w:rsidRPr="003A4E23">
        <w:rPr>
          <w:i/>
          <w:lang w:val="ru-RU"/>
        </w:rPr>
        <w:t xml:space="preserve"> </w:t>
      </w:r>
      <w:r w:rsidRPr="003A4E23">
        <w:rPr>
          <w:lang w:val="ru-RU"/>
        </w:rPr>
        <w:t>(</w:t>
      </w:r>
      <w:r w:rsidRPr="003A4E23">
        <w:rPr>
          <w:i/>
          <w:lang w:val="ru-RU"/>
        </w:rPr>
        <w:t>C</w:t>
      </w:r>
      <w:r w:rsidRPr="003A4E23">
        <w:rPr>
          <w:iCs/>
          <w:lang w:val="ru-RU"/>
        </w:rPr>
        <w:t>/</w:t>
      </w:r>
      <w:r w:rsidRPr="003A4E23">
        <w:rPr>
          <w:i/>
          <w:lang w:val="ru-RU"/>
        </w:rPr>
        <w:t>N</w:t>
      </w:r>
      <w:r w:rsidRPr="003A4E23">
        <w:rPr>
          <w:lang w:val="ru-RU"/>
        </w:rPr>
        <w:t>)</w:t>
      </w:r>
      <w:r w:rsidRPr="003A4E23">
        <w:rPr>
          <w:vertAlign w:val="subscript"/>
          <w:lang w:val="ru-RU"/>
        </w:rPr>
        <w:sym w:font="Symbol" w:char="F0AF"/>
      </w:r>
      <w:r w:rsidRPr="003A4E23">
        <w:rPr>
          <w:lang w:val="ru-RU"/>
        </w:rPr>
        <w:t xml:space="preserve"> равно 48,5 дБ(Гц) минус 10 log(80k) или −0,53 дБ. Подставив эти численные значения в уравнение (18), получим:</w:t>
      </w:r>
    </w:p>
    <w:p w:rsidR="0041192D" w:rsidRPr="003A4E23" w:rsidRDefault="0041192D" w:rsidP="0041192D">
      <w:pPr>
        <w:pStyle w:val="Equation"/>
        <w:spacing w:before="240"/>
        <w:rPr>
          <w:lang w:val="ru-RU"/>
        </w:rPr>
      </w:pPr>
      <w:r w:rsidRPr="003A4E23">
        <w:rPr>
          <w:i/>
          <w:lang w:val="ru-RU"/>
        </w:rPr>
        <w:tab/>
      </w:r>
      <w:r w:rsidRPr="003A4E23">
        <w:rPr>
          <w:i/>
          <w:lang w:val="ru-RU"/>
        </w:rPr>
        <w:tab/>
        <w:t>I</w:t>
      </w:r>
      <w:r w:rsidRPr="003A4E23">
        <w:rPr>
          <w:vertAlign w:val="subscript"/>
          <w:lang w:val="ru-RU"/>
        </w:rPr>
        <w:t>0</w:t>
      </w:r>
      <w:r w:rsidRPr="003A4E23">
        <w:rPr>
          <w:lang w:val="ru-RU"/>
        </w:rPr>
        <w:t> = (10</w:t>
      </w:r>
      <w:r w:rsidRPr="003A4E23">
        <w:rPr>
          <w:vertAlign w:val="superscript"/>
          <w:lang w:val="ru-RU"/>
        </w:rPr>
        <w:t>−166,8/10</w:t>
      </w:r>
      <w:r w:rsidRPr="003A4E23">
        <w:rPr>
          <w:lang w:val="ru-RU"/>
        </w:rPr>
        <w:t xml:space="preserve"> (10</w:t>
      </w:r>
      <w:r w:rsidRPr="003A4E23">
        <w:rPr>
          <w:vertAlign w:val="superscript"/>
          <w:lang w:val="ru-RU"/>
        </w:rPr>
        <w:t>−29,8/10</w:t>
      </w:r>
      <w:r w:rsidRPr="003A4E23">
        <w:rPr>
          <w:lang w:val="ru-RU"/>
        </w:rPr>
        <w:t xml:space="preserve"> − 10</w:t>
      </w:r>
      <w:r w:rsidRPr="003A4E23">
        <w:rPr>
          <w:vertAlign w:val="superscript"/>
          <w:lang w:val="ru-RU"/>
        </w:rPr>
        <w:t>−48,5/10</w:t>
      </w:r>
      <w:r w:rsidRPr="003A4E23">
        <w:rPr>
          <w:lang w:val="ru-RU"/>
        </w:rPr>
        <w:t>) − 10</w:t>
      </w:r>
      <w:r w:rsidRPr="003A4E23">
        <w:rPr>
          <w:vertAlign w:val="superscript"/>
          <w:lang w:val="ru-RU"/>
        </w:rPr>
        <w:t>−199,1/10</w:t>
      </w:r>
      <w:r w:rsidRPr="003A4E23">
        <w:rPr>
          <w:lang w:val="ru-RU"/>
        </w:rPr>
        <w:t>) / (1 + 10</w:t>
      </w:r>
      <w:r w:rsidRPr="003A4E23">
        <w:rPr>
          <w:vertAlign w:val="superscript"/>
          <w:lang w:val="ru-RU"/>
        </w:rPr>
        <w:t>−17,4/10</w:t>
      </w:r>
      <w:r w:rsidRPr="003A4E23">
        <w:rPr>
          <w:lang w:val="ru-RU"/>
        </w:rPr>
        <w:t xml:space="preserve"> × 10</w:t>
      </w:r>
      <w:r w:rsidRPr="003A4E23">
        <w:rPr>
          <w:vertAlign w:val="superscript"/>
          <w:lang w:val="ru-RU"/>
        </w:rPr>
        <w:t>0,53/10</w:t>
      </w:r>
      <w:r w:rsidRPr="003A4E23">
        <w:rPr>
          <w:lang w:val="ru-RU"/>
        </w:rPr>
        <w:t>)</w:t>
      </w:r>
    </w:p>
    <w:p w:rsidR="0041192D" w:rsidRPr="003A4E23" w:rsidRDefault="0041192D" w:rsidP="0041192D">
      <w:pPr>
        <w:pStyle w:val="Equation"/>
        <w:rPr>
          <w:lang w:val="ru-RU"/>
        </w:rPr>
      </w:pPr>
      <w:r w:rsidRPr="003A4E23">
        <w:rPr>
          <w:i/>
          <w:lang w:val="ru-RU"/>
        </w:rPr>
        <w:tab/>
      </w:r>
      <w:r w:rsidRPr="003A4E23">
        <w:rPr>
          <w:i/>
          <w:lang w:val="ru-RU"/>
        </w:rPr>
        <w:tab/>
        <w:t>I</w:t>
      </w:r>
      <w:r w:rsidRPr="003A4E23">
        <w:rPr>
          <w:vertAlign w:val="subscript"/>
          <w:lang w:val="ru-RU"/>
        </w:rPr>
        <w:t>0</w:t>
      </w:r>
      <w:r w:rsidRPr="003A4E23">
        <w:rPr>
          <w:lang w:val="ru-RU"/>
        </w:rPr>
        <w:t xml:space="preserve"> = −200,3 дБ(Вт/Гц).</w:t>
      </w:r>
    </w:p>
    <w:p w:rsidR="0041192D" w:rsidRPr="003A4E23" w:rsidRDefault="0041192D" w:rsidP="000713F1">
      <w:pPr>
        <w:rPr>
          <w:lang w:val="ru-RU"/>
        </w:rPr>
      </w:pPr>
      <w:r w:rsidRPr="003A4E23">
        <w:rPr>
          <w:lang w:val="ru-RU"/>
        </w:rPr>
        <w:t>Рассматриваемые критерии защиты желательно характеризовать в виде порогового уровня с.п.п.м. помех, указываемого в дБ(Вт/м</w:t>
      </w:r>
      <w:r w:rsidRPr="003A4E23">
        <w:rPr>
          <w:vertAlign w:val="superscript"/>
          <w:lang w:val="ru-RU"/>
        </w:rPr>
        <w:t>2</w:t>
      </w:r>
      <w:r w:rsidRPr="003A4E23">
        <w:rPr>
          <w:lang w:val="ru-RU"/>
        </w:rPr>
        <w:t xml:space="preserve"> ∙ Гц), на входе спутниковой антенны 406 МГц. Эффективная апертура антенны </w:t>
      </w:r>
      <w:r w:rsidRPr="003A4E23">
        <w:rPr>
          <w:i/>
          <w:lang w:val="ru-RU"/>
        </w:rPr>
        <w:t>A</w:t>
      </w:r>
      <w:r w:rsidRPr="003A4E23">
        <w:rPr>
          <w:i/>
          <w:vertAlign w:val="subscript"/>
          <w:lang w:val="ru-RU"/>
        </w:rPr>
        <w:t>e</w:t>
      </w:r>
      <w:r w:rsidRPr="003A4E23">
        <w:rPr>
          <w:lang w:val="ru-RU"/>
        </w:rPr>
        <w:t xml:space="preserve"> с усилением </w:t>
      </w:r>
      <w:r w:rsidRPr="003A4E23">
        <w:rPr>
          <w:i/>
          <w:lang w:val="ru-RU"/>
        </w:rPr>
        <w:t>G</w:t>
      </w:r>
      <w:r w:rsidRPr="003A4E23">
        <w:rPr>
          <w:lang w:val="ru-RU"/>
        </w:rPr>
        <w:t xml:space="preserve"> определяется как </w:t>
      </w:r>
      <w:r w:rsidRPr="003A4E23">
        <w:rPr>
          <w:i/>
          <w:lang w:val="ru-RU"/>
        </w:rPr>
        <w:t>A</w:t>
      </w:r>
      <w:r w:rsidRPr="003A4E23">
        <w:rPr>
          <w:i/>
          <w:vertAlign w:val="subscript"/>
          <w:lang w:val="ru-RU"/>
        </w:rPr>
        <w:t>e</w:t>
      </w:r>
      <w:r w:rsidRPr="003A4E23">
        <w:rPr>
          <w:i/>
          <w:lang w:val="ru-RU"/>
        </w:rPr>
        <w:t xml:space="preserve"> </w:t>
      </w:r>
      <w:r w:rsidRPr="003A4E23">
        <w:rPr>
          <w:lang w:val="ru-RU"/>
        </w:rPr>
        <w:t xml:space="preserve">= </w:t>
      </w:r>
      <w:r w:rsidRPr="003A4E23">
        <w:rPr>
          <w:i/>
          <w:lang w:val="ru-RU"/>
        </w:rPr>
        <w:t>G</w:t>
      </w:r>
      <w:r w:rsidRPr="003A4E23">
        <w:rPr>
          <w:rFonts w:ascii="Symbol" w:hAnsi="Symbol"/>
          <w:lang w:val="ru-RU"/>
        </w:rPr>
        <w:t></w:t>
      </w:r>
      <w:r w:rsidRPr="003A4E23">
        <w:rPr>
          <w:vertAlign w:val="superscript"/>
          <w:lang w:val="ru-RU"/>
        </w:rPr>
        <w:t>2</w:t>
      </w:r>
      <w:r w:rsidRPr="003A4E23">
        <w:rPr>
          <w:lang w:val="ru-RU"/>
        </w:rPr>
        <w:t>/4</w:t>
      </w:r>
      <w:r w:rsidRPr="003A4E23">
        <w:rPr>
          <w:rFonts w:ascii="Symbol" w:hAnsi="Symbol"/>
          <w:lang w:val="ru-RU"/>
        </w:rPr>
        <w:t></w:t>
      </w:r>
      <w:r w:rsidRPr="003A4E23">
        <w:rPr>
          <w:rFonts w:ascii="Symbol" w:hAnsi="Symbol"/>
          <w:lang w:val="ru-RU"/>
        </w:rPr>
        <w:t></w:t>
      </w:r>
      <w:r w:rsidRPr="003A4E23">
        <w:rPr>
          <w:rFonts w:ascii="Symbol" w:hAnsi="Symbol"/>
          <w:lang w:val="ru-RU"/>
        </w:rPr>
        <w:t></w:t>
      </w:r>
      <w:r w:rsidRPr="003A4E23">
        <w:rPr>
          <w:lang w:val="ru-RU"/>
        </w:rPr>
        <w:t xml:space="preserve">Антенна Электро имеет усиление </w:t>
      </w:r>
      <w:r w:rsidRPr="003A4E23">
        <w:rPr>
          <w:lang w:val="ru-RU"/>
        </w:rPr>
        <w:lastRenderedPageBreak/>
        <w:t>12 дБи, следовательно, эффективная апертура равна 0,7 м</w:t>
      </w:r>
      <w:r w:rsidRPr="003A4E23">
        <w:rPr>
          <w:vertAlign w:val="superscript"/>
          <w:lang w:val="ru-RU"/>
        </w:rPr>
        <w:t>2</w:t>
      </w:r>
      <w:r w:rsidRPr="003A4E23">
        <w:rPr>
          <w:lang w:val="ru-RU"/>
        </w:rPr>
        <w:t>. Максимальные приемлемые суммарные помехи, указываемые в виде спектральной плотности потока мощности (с.п.п.м.), составляют:</w:t>
      </w:r>
    </w:p>
    <w:p w:rsidR="0041192D" w:rsidRPr="003A4E23" w:rsidRDefault="0041192D" w:rsidP="0041192D">
      <w:pPr>
        <w:pStyle w:val="Equation"/>
        <w:rPr>
          <w:lang w:val="ru-RU"/>
        </w:rPr>
      </w:pPr>
      <w:r w:rsidRPr="003A4E23">
        <w:rPr>
          <w:lang w:val="ru-RU"/>
        </w:rPr>
        <w:tab/>
      </w:r>
      <w:r w:rsidRPr="003A4E23">
        <w:rPr>
          <w:lang w:val="ru-RU"/>
        </w:rPr>
        <w:tab/>
        <w:t xml:space="preserve">с.п.п.м. = </w:t>
      </w:r>
      <w:r w:rsidRPr="003A4E23">
        <w:rPr>
          <w:i/>
          <w:lang w:val="ru-RU"/>
        </w:rPr>
        <w:t>I</w:t>
      </w:r>
      <w:r w:rsidRPr="003A4E23">
        <w:rPr>
          <w:vertAlign w:val="subscript"/>
          <w:lang w:val="ru-RU"/>
        </w:rPr>
        <w:t>0</w:t>
      </w:r>
      <w:r w:rsidRPr="003A4E23">
        <w:rPr>
          <w:lang w:val="ru-RU"/>
        </w:rPr>
        <w:t xml:space="preserve"> – </w:t>
      </w:r>
      <w:r w:rsidRPr="003A4E23">
        <w:rPr>
          <w:i/>
          <w:lang w:val="ru-RU"/>
        </w:rPr>
        <w:t>L</w:t>
      </w:r>
      <w:r w:rsidRPr="003A4E23">
        <w:rPr>
          <w:i/>
          <w:vertAlign w:val="subscript"/>
          <w:lang w:val="ru-RU"/>
        </w:rPr>
        <w:t>линии</w:t>
      </w:r>
      <w:r w:rsidRPr="003A4E23">
        <w:rPr>
          <w:i/>
          <w:lang w:val="ru-RU"/>
        </w:rPr>
        <w:t xml:space="preserve"> </w:t>
      </w:r>
      <w:r w:rsidRPr="003A4E23">
        <w:rPr>
          <w:lang w:val="ru-RU"/>
        </w:rPr>
        <w:t xml:space="preserve"> − </w:t>
      </w:r>
      <w:r w:rsidRPr="003A4E23">
        <w:rPr>
          <w:i/>
          <w:lang w:val="ru-RU"/>
        </w:rPr>
        <w:t>A</w:t>
      </w:r>
      <w:r w:rsidRPr="003A4E23">
        <w:rPr>
          <w:i/>
          <w:vertAlign w:val="subscript"/>
          <w:lang w:val="ru-RU"/>
        </w:rPr>
        <w:t>e</w:t>
      </w:r>
      <w:r w:rsidRPr="003A4E23">
        <w:rPr>
          <w:lang w:val="ru-RU"/>
        </w:rPr>
        <w:t>.</w:t>
      </w:r>
    </w:p>
    <w:p w:rsidR="0041192D" w:rsidRPr="003A4E23" w:rsidRDefault="0041192D" w:rsidP="000713F1">
      <w:pPr>
        <w:rPr>
          <w:lang w:val="ru-RU"/>
        </w:rPr>
      </w:pPr>
      <w:r w:rsidRPr="003A4E23">
        <w:rPr>
          <w:lang w:val="ru-RU"/>
        </w:rPr>
        <w:t xml:space="preserve">Если предположить, что </w:t>
      </w:r>
      <w:r w:rsidRPr="003A4E23">
        <w:rPr>
          <w:i/>
          <w:lang w:val="ru-RU"/>
        </w:rPr>
        <w:t>L</w:t>
      </w:r>
      <w:r w:rsidRPr="003A4E23">
        <w:rPr>
          <w:i/>
          <w:vertAlign w:val="subscript"/>
          <w:lang w:val="ru-RU"/>
        </w:rPr>
        <w:t>линии</w:t>
      </w:r>
      <w:r w:rsidRPr="003A4E23">
        <w:rPr>
          <w:lang w:val="ru-RU"/>
        </w:rPr>
        <w:t xml:space="preserve"> = 0:</w:t>
      </w:r>
    </w:p>
    <w:p w:rsidR="0041192D" w:rsidRPr="003A4E23" w:rsidRDefault="0041192D" w:rsidP="0041192D">
      <w:pPr>
        <w:pStyle w:val="Equation"/>
        <w:rPr>
          <w:lang w:val="ru-RU"/>
        </w:rPr>
      </w:pPr>
      <w:r w:rsidRPr="003A4E23">
        <w:rPr>
          <w:lang w:val="ru-RU"/>
        </w:rPr>
        <w:tab/>
      </w:r>
      <w:r w:rsidRPr="003A4E23">
        <w:rPr>
          <w:lang w:val="ru-RU"/>
        </w:rPr>
        <w:tab/>
        <w:t>с.п.п.м. = −200,3 − 0 − 10 log (0,7)</w:t>
      </w:r>
    </w:p>
    <w:p w:rsidR="0041192D" w:rsidRPr="003A4E23" w:rsidRDefault="0041192D" w:rsidP="0041192D">
      <w:pPr>
        <w:pStyle w:val="Equation"/>
        <w:rPr>
          <w:lang w:val="ru-RU"/>
        </w:rPr>
      </w:pPr>
      <w:r w:rsidRPr="003A4E23">
        <w:rPr>
          <w:lang w:val="ru-RU"/>
        </w:rPr>
        <w:tab/>
      </w:r>
      <w:r w:rsidRPr="003A4E23">
        <w:rPr>
          <w:lang w:val="ru-RU"/>
        </w:rPr>
        <w:tab/>
        <w:t>с.п.п.м. = −198,7 дБ(Вт/(м</w:t>
      </w:r>
      <w:r w:rsidRPr="003A4E23">
        <w:rPr>
          <w:vertAlign w:val="superscript"/>
          <w:lang w:val="ru-RU"/>
        </w:rPr>
        <w:t>2</w:t>
      </w:r>
      <w:r w:rsidRPr="003A4E23">
        <w:rPr>
          <w:lang w:val="ru-RU"/>
        </w:rPr>
        <w:t> ∙ Гц)).</w:t>
      </w:r>
    </w:p>
    <w:p w:rsidR="0041192D" w:rsidRPr="003A4E23" w:rsidRDefault="0041192D" w:rsidP="000713F1">
      <w:pPr>
        <w:rPr>
          <w:color w:val="000000"/>
          <w:lang w:val="ru-RU"/>
        </w:rPr>
      </w:pPr>
      <w:r w:rsidRPr="003A4E23">
        <w:rPr>
          <w:lang w:val="ru-RU"/>
        </w:rPr>
        <w:t>Максимальный уровень широкополосных шумоподобных помех в полосе 406–406,1 МГц, измеренный на входе антенны спутника Электро, не должен превышать −198,7 дБ(Вт/(м</w:t>
      </w:r>
      <w:r w:rsidRPr="003A4E23">
        <w:rPr>
          <w:vertAlign w:val="superscript"/>
          <w:lang w:val="ru-RU"/>
        </w:rPr>
        <w:t>2</w:t>
      </w:r>
      <w:r w:rsidRPr="003A4E23">
        <w:rPr>
          <w:lang w:val="ru-RU"/>
        </w:rPr>
        <w:t> ∙ Гц)).</w:t>
      </w:r>
    </w:p>
    <w:p w:rsidR="0041192D" w:rsidRPr="003A4E23" w:rsidRDefault="0041192D" w:rsidP="0041192D">
      <w:pPr>
        <w:pStyle w:val="Heading1"/>
        <w:rPr>
          <w:lang w:val="ru-RU"/>
        </w:rPr>
      </w:pPr>
      <w:r w:rsidRPr="003A4E23">
        <w:rPr>
          <w:lang w:val="ru-RU"/>
        </w:rPr>
        <w:t>4</w:t>
      </w:r>
      <w:r w:rsidRPr="003A4E23">
        <w:rPr>
          <w:lang w:val="ru-RU"/>
        </w:rPr>
        <w:tab/>
        <w:t>Процедура вычисления уровня помех в канале SAR/Электро 406 МГц</w:t>
      </w:r>
    </w:p>
    <w:p w:rsidR="0041192D" w:rsidRPr="003A4E23" w:rsidRDefault="0041192D" w:rsidP="0041192D">
      <w:pPr>
        <w:rPr>
          <w:lang w:val="ru-RU"/>
        </w:rPr>
      </w:pPr>
      <w:r w:rsidRPr="003A4E23">
        <w:rPr>
          <w:lang w:val="ru-RU"/>
        </w:rPr>
        <w:t xml:space="preserve">Помехи, создаваемые системе Коспас-Сарсат, чаще всего являются результатом внеполосных излучений от служб в соседних или близких к ним полосах. </w:t>
      </w:r>
    </w:p>
    <w:p w:rsidR="0041192D" w:rsidRPr="003A4E23" w:rsidRDefault="0041192D" w:rsidP="0041192D">
      <w:pPr>
        <w:rPr>
          <w:lang w:val="ru-RU"/>
        </w:rPr>
      </w:pPr>
      <w:r w:rsidRPr="003A4E23">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возникающие при их движении.</w:t>
      </w:r>
    </w:p>
    <w:p w:rsidR="0041192D" w:rsidRPr="003A4E23" w:rsidRDefault="0041192D" w:rsidP="0041192D">
      <w:pPr>
        <w:rPr>
          <w:lang w:val="ru-RU"/>
        </w:rPr>
      </w:pPr>
      <w:r w:rsidRPr="003A4E23">
        <w:rPr>
          <w:lang w:val="ru-RU"/>
        </w:rPr>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−198,7 дБ(Вт/(м</w:t>
      </w:r>
      <w:r w:rsidRPr="003A4E23">
        <w:rPr>
          <w:vertAlign w:val="superscript"/>
          <w:lang w:val="ru-RU"/>
        </w:rPr>
        <w:t>2</w:t>
      </w:r>
      <w:r w:rsidRPr="003A4E23">
        <w:rPr>
          <w:lang w:val="ru-RU"/>
        </w:rPr>
        <w:t> ∙ Гц)) в любой части этой полосы.</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spacing w:line="240" w:lineRule="exact"/>
        <w:rPr>
          <w:lang w:val="ru-RU"/>
        </w:rPr>
      </w:pPr>
      <w:r w:rsidRPr="003A4E23">
        <w:rPr>
          <w:lang w:val="ru-RU"/>
        </w:rPr>
        <w:t>Приложение 9</w:t>
      </w:r>
      <w:r w:rsidRPr="003A4E23">
        <w:rPr>
          <w:lang w:val="ru-RU"/>
        </w:rPr>
        <w:br/>
      </w:r>
      <w:r w:rsidRPr="003A4E23">
        <w:rPr>
          <w:lang w:val="ru-RU"/>
        </w:rPr>
        <w:br/>
        <w:t xml:space="preserve">Критерии защиты оборудования поиска и спасания системы Коспас-Сарсат </w:t>
      </w:r>
      <w:r w:rsidRPr="003A4E23">
        <w:rPr>
          <w:lang w:val="ru-RU"/>
        </w:rPr>
        <w:br/>
        <w:t>в полосе частот 406–406,1 МГц (SAR/ГЛОНАСС)</w:t>
      </w:r>
    </w:p>
    <w:p w:rsidR="0041192D" w:rsidRPr="003A4E23" w:rsidRDefault="0041192D" w:rsidP="000713F1">
      <w:pPr>
        <w:pStyle w:val="Heading1"/>
        <w:rPr>
          <w:lang w:val="ru-RU"/>
        </w:rPr>
      </w:pPr>
      <w:r w:rsidRPr="003A4E23">
        <w:rPr>
          <w:lang w:val="ru-RU"/>
        </w:rPr>
        <w:t>1</w:t>
      </w:r>
      <w:r w:rsidRPr="003A4E23">
        <w:rPr>
          <w:lang w:val="ru-RU"/>
        </w:rPr>
        <w:tab/>
        <w:t>Введение</w:t>
      </w:r>
    </w:p>
    <w:p w:rsidR="0041192D" w:rsidRPr="003A4E23" w:rsidRDefault="0041192D" w:rsidP="000713F1">
      <w:pPr>
        <w:rPr>
          <w:lang w:val="ru-RU"/>
        </w:rPr>
      </w:pPr>
      <w:r w:rsidRPr="003A4E23">
        <w:rPr>
          <w:lang w:val="ru-RU"/>
        </w:rPr>
        <w:t>Ретрансляторы поиска и спасания системы Коспас-Сарсат на борту спутников ГЛОНАСС принимают передаваемые радиомаяками сигналы бедствия на частоте 406 МГц и ретранслируют их на терминалы местных пользователей системы Коспас-Сарсат на средневысотной околоземной орбите (MEOLUT) по линии вниз на частотах в полосе 1544–1545 МГц. Приведенный в настоящем Приложении анализ устанавливает критерии защиты от помех в полосе частот 406,0–406,1 МГц для служб ГЛОНАСС MEOSAR.</w:t>
      </w:r>
    </w:p>
    <w:p w:rsidR="0041192D" w:rsidRPr="003A4E23" w:rsidRDefault="0041192D" w:rsidP="000713F1">
      <w:pPr>
        <w:pStyle w:val="Heading1"/>
        <w:rPr>
          <w:lang w:val="ru-RU"/>
        </w:rPr>
      </w:pPr>
      <w:r w:rsidRPr="003A4E23">
        <w:rPr>
          <w:lang w:val="ru-RU"/>
        </w:rPr>
        <w:t>2</w:t>
      </w:r>
      <w:r w:rsidRPr="003A4E23">
        <w:rPr>
          <w:lang w:val="ru-RU"/>
        </w:rPr>
        <w:tab/>
        <w:t>Минимальные приемлемые характеристики для обнаружения передаваемых радиомаяками сигналов бедствия на частоте 406 МГц, которые транслируются через спутники ГЛОНАСС</w:t>
      </w:r>
    </w:p>
    <w:p w:rsidR="0041192D" w:rsidRPr="003A4E23" w:rsidRDefault="0041192D" w:rsidP="000713F1">
      <w:pPr>
        <w:rPr>
          <w:lang w:val="ru-RU"/>
        </w:rPr>
      </w:pPr>
      <w:r w:rsidRPr="003A4E23">
        <w:rPr>
          <w:lang w:val="ru-RU"/>
        </w:rPr>
        <w:t>Для надежного обнаружения сигналов радиомаяков, передающих сигналы бедствия на частоте 406 МГц, используя ретрансляторы 406 МГц спутников ГЛОНАСС, коэффициент ошибок по битам (BER) в канале не должен превышать 5 × 10</w:t>
      </w:r>
      <w:r w:rsidRPr="003A4E23">
        <w:rPr>
          <w:vertAlign w:val="superscript"/>
          <w:lang w:val="ru-RU"/>
        </w:rPr>
        <w:t>–5</w:t>
      </w:r>
      <w:r w:rsidRPr="003A4E23">
        <w:rPr>
          <w:lang w:val="ru-RU"/>
        </w:rPr>
        <w:t>.</w:t>
      </w:r>
    </w:p>
    <w:p w:rsidR="0041192D" w:rsidRPr="003A4E23" w:rsidRDefault="0041192D" w:rsidP="000713F1">
      <w:pPr>
        <w:pStyle w:val="Heading1"/>
        <w:rPr>
          <w:lang w:val="ru-RU"/>
        </w:rPr>
      </w:pPr>
      <w:r w:rsidRPr="003A4E23">
        <w:rPr>
          <w:lang w:val="ru-RU"/>
        </w:rPr>
        <w:t>3</w:t>
      </w:r>
      <w:r w:rsidRPr="003A4E23">
        <w:rPr>
          <w:lang w:val="ru-RU"/>
        </w:rPr>
        <w:tab/>
        <w:t>Анализ с.п.п.м. помех</w:t>
      </w:r>
    </w:p>
    <w:p w:rsidR="0041192D" w:rsidRPr="003A4E23" w:rsidRDefault="0041192D" w:rsidP="000713F1">
      <w:pPr>
        <w:rPr>
          <w:lang w:val="ru-RU"/>
        </w:rPr>
      </w:pPr>
      <w:r w:rsidRPr="003A4E23">
        <w:rPr>
          <w:lang w:val="ru-RU"/>
        </w:rPr>
        <w:t xml:space="preserve">Величина BER в канале связи выводится из отношения энергии, содержащейся в каждом бите данных, </w:t>
      </w:r>
      <w:r w:rsidRPr="003A4E23">
        <w:rPr>
          <w:i/>
          <w:lang w:val="ru-RU"/>
        </w:rPr>
        <w:t>E</w:t>
      </w:r>
      <w:r w:rsidRPr="003A4E23">
        <w:rPr>
          <w:i/>
          <w:vertAlign w:val="subscript"/>
          <w:lang w:val="ru-RU"/>
        </w:rPr>
        <w:t>b</w:t>
      </w:r>
      <w:r w:rsidRPr="003A4E23">
        <w:rPr>
          <w:lang w:val="ru-RU"/>
        </w:rPr>
        <w:t xml:space="preserve">, к плотности шума. Общая плотность шума состоит из шума, создаваемого </w:t>
      </w:r>
      <w:r w:rsidRPr="003A4E23">
        <w:rPr>
          <w:lang w:val="ru-RU"/>
        </w:rPr>
        <w:lastRenderedPageBreak/>
        <w:t xml:space="preserve">оборудованием Коспас-Сарсат, </w:t>
      </w:r>
      <w:r w:rsidRPr="003A4E23">
        <w:rPr>
          <w:i/>
          <w:lang w:val="ru-RU"/>
        </w:rPr>
        <w:t>N</w:t>
      </w:r>
      <w:r w:rsidRPr="003A4E23">
        <w:rPr>
          <w:vertAlign w:val="subscript"/>
          <w:lang w:val="ru-RU"/>
        </w:rPr>
        <w:t>0</w:t>
      </w:r>
      <w:r w:rsidRPr="003A4E23">
        <w:rPr>
          <w:lang w:val="ru-RU"/>
        </w:rPr>
        <w:t xml:space="preserve">, и шума, вызываемого помехами от других систем, </w:t>
      </w:r>
      <w:r w:rsidRPr="003A4E23">
        <w:rPr>
          <w:i/>
          <w:lang w:val="ru-RU"/>
        </w:rPr>
        <w:t>I</w:t>
      </w:r>
      <w:r w:rsidRPr="003A4E23">
        <w:rPr>
          <w:vertAlign w:val="subscript"/>
          <w:lang w:val="ru-RU"/>
        </w:rPr>
        <w:t>0</w:t>
      </w:r>
      <w:r w:rsidRPr="003A4E23">
        <w:rPr>
          <w:lang w:val="ru-RU"/>
        </w:rPr>
        <w:t>. На рисунке 10 показан канал полезной нагрузки SAR 406 МГц спутника ГЛОНАСС (ГЛОНАСС MEOSAR) с помехами на линии вверх.</w:t>
      </w:r>
    </w:p>
    <w:p w:rsidR="0041192D" w:rsidRPr="003A4E23" w:rsidRDefault="0041192D" w:rsidP="0041192D">
      <w:pPr>
        <w:pStyle w:val="FigureNo"/>
        <w:spacing w:line="240" w:lineRule="exact"/>
        <w:rPr>
          <w:lang w:val="ru-RU"/>
        </w:rPr>
      </w:pPr>
      <w:r w:rsidRPr="003A4E23">
        <w:rPr>
          <w:lang w:val="ru-RU"/>
        </w:rPr>
        <w:t>РИСУНОК 10</w:t>
      </w:r>
    </w:p>
    <w:p w:rsidR="0041192D" w:rsidRPr="003A4E23" w:rsidRDefault="0041192D" w:rsidP="0041192D">
      <w:pPr>
        <w:pStyle w:val="Figuretitle"/>
        <w:spacing w:line="240" w:lineRule="exact"/>
        <w:rPr>
          <w:rFonts w:asciiTheme="minorHAnsi" w:hAnsiTheme="minorHAnsi"/>
          <w:lang w:val="ru-RU"/>
        </w:rPr>
      </w:pPr>
      <w:r w:rsidRPr="003A4E23">
        <w:rPr>
          <w:lang w:val="ru-RU"/>
        </w:rPr>
        <w:t>Ретранслятор ГЛОНАСС MEOSAR с помехами линии вверх</w:t>
      </w:r>
    </w:p>
    <w:p w:rsidR="0041192D" w:rsidRPr="003A4E23" w:rsidRDefault="0041192D" w:rsidP="0041192D">
      <w:pPr>
        <w:pStyle w:val="Figure"/>
        <w:rPr>
          <w:lang w:val="ru-RU"/>
        </w:rPr>
      </w:pPr>
      <w:r w:rsidRPr="003A4E23">
        <w:rPr>
          <w:lang w:val="ru-RU"/>
        </w:rPr>
        <w:object w:dxaOrig="6720" w:dyaOrig="4050">
          <v:shape id="_x0000_i1078" type="#_x0000_t75" style="width:335.6pt;height:202.85pt" o:ole="">
            <v:imagedata r:id="rId120" o:title=""/>
          </v:shape>
          <o:OLEObject Type="Embed" ProgID="CorelDRAW.Graphic.14" ShapeID="_x0000_i1078" DrawAspect="Content" ObjectID="_1500106794" r:id="rId121"/>
        </w:object>
      </w:r>
    </w:p>
    <w:p w:rsidR="0041192D" w:rsidRPr="003A4E23" w:rsidRDefault="0041192D" w:rsidP="000713F1">
      <w:pPr>
        <w:rPr>
          <w:color w:val="000000"/>
          <w:lang w:val="ru-RU"/>
        </w:rPr>
      </w:pPr>
      <w:r w:rsidRPr="003A4E23">
        <w:rPr>
          <w:lang w:val="ru-RU"/>
        </w:rPr>
        <w:t xml:space="preserve">Чтобы достичь величины BER </w:t>
      </w:r>
      <w:r w:rsidRPr="003A4E23">
        <w:rPr>
          <w:rFonts w:ascii="TimesNewRoman" w:hAnsi="TimesNewRoman"/>
          <w:lang w:val="ru-RU"/>
        </w:rPr>
        <w:t>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отношение энергии на бит к плотности шума и помех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 xml:space="preserve">) </w:t>
      </w:r>
      <w:r w:rsidRPr="003A4E23">
        <w:rPr>
          <w:lang w:val="ru-RU"/>
        </w:rPr>
        <w:t>в демодуляторе терминала MEOLUT должно быть равно или превышать 8,8 дБ.</w:t>
      </w:r>
      <w:r w:rsidRPr="003A4E23">
        <w:rPr>
          <w:color w:val="000000"/>
          <w:lang w:val="ru-RU"/>
        </w:rPr>
        <w:t xml:space="preserve"> Данный </w:t>
      </w:r>
      <w:r w:rsidRPr="003A4E23">
        <w:rPr>
          <w:lang w:val="ru-RU"/>
        </w:rPr>
        <w:t xml:space="preserve">анализ определяет максимальное количество широкополосных шумоподобных помех, указываемое как спектральная плотность потока мощности (с.п.п.м.) на входе антенны 406 МГц спутника ГЛОНАСС, которое может быть принято без ухудшения величины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в общей линии ниже 8,8 дБ.</w:t>
      </w:r>
    </w:p>
    <w:p w:rsidR="0041192D" w:rsidRPr="003A4E23" w:rsidRDefault="0041192D" w:rsidP="000713F1">
      <w:pPr>
        <w:rPr>
          <w:lang w:val="ru-RU"/>
        </w:rPr>
      </w:pPr>
      <w:r w:rsidRPr="003A4E23">
        <w:rPr>
          <w:lang w:val="ru-RU"/>
        </w:rPr>
        <w:t>В рамках этого анализа предполагается, что три активных радиомаяка одновременно передают сигналы на трех разных частотах в полосе 406,0–406,1 МГц. Радиомаяк с "низким уровнем" мощности, который является предметом анализа, имеет угол места 5° по отношению к космическому аппарату. Два других радиомаяка ведут передачу при "номинальных уровнях" мощности, а угол места для них составляет 40° по отношению к космическому аппарату. Два радиомаяка с "номинальным уровнем" включены в анализ, потому что они совместно используют располагаемую мощность спутникового ретранслятора и, соответственно, влияют на бюджет линии.</w:t>
      </w:r>
    </w:p>
    <w:p w:rsidR="0041192D" w:rsidRPr="003A4E23" w:rsidRDefault="0041192D" w:rsidP="000713F1">
      <w:pPr>
        <w:rPr>
          <w:szCs w:val="24"/>
          <w:lang w:val="ru-RU"/>
        </w:rPr>
      </w:pPr>
      <w:r w:rsidRPr="003A4E23">
        <w:rPr>
          <w:color w:val="000000"/>
          <w:szCs w:val="24"/>
          <w:lang w:val="ru-RU"/>
        </w:rPr>
        <w:t xml:space="preserve">Как видно из рисунка 10, передаваемые радиомаяками сигналы бедствия на частоте 406 МГц принимаются бортовым оборудованием SAR спутника ГЛОНАСС и передаются по линии вниз на частоте 1544,8 МГц для обнаружения и обработки терминалами MEOLUT. Усиление антенны и шумовая температура системы для спутникового ретранслятора составляют 11,5 дБи и 700 K (28,5 дБ(К)) соответственно. Соответствующее отношение </w:t>
      </w:r>
      <w:r w:rsidRPr="003A4E23">
        <w:rPr>
          <w:i/>
          <w:color w:val="000000"/>
          <w:szCs w:val="24"/>
          <w:lang w:val="ru-RU"/>
        </w:rPr>
        <w:t>G</w:t>
      </w:r>
      <w:r w:rsidRPr="003A4E23">
        <w:rPr>
          <w:color w:val="000000"/>
          <w:szCs w:val="24"/>
          <w:lang w:val="ru-RU"/>
        </w:rPr>
        <w:t>/</w:t>
      </w:r>
      <w:r w:rsidRPr="003A4E23">
        <w:rPr>
          <w:i/>
          <w:color w:val="000000"/>
          <w:szCs w:val="24"/>
          <w:lang w:val="ru-RU"/>
        </w:rPr>
        <w:t>T</w:t>
      </w:r>
      <w:r w:rsidRPr="003A4E23">
        <w:rPr>
          <w:color w:val="000000"/>
          <w:szCs w:val="24"/>
          <w:lang w:val="ru-RU"/>
        </w:rPr>
        <w:t xml:space="preserve"> составляет –17,0 дБ/K.</w:t>
      </w:r>
    </w:p>
    <w:p w:rsidR="0041192D" w:rsidRPr="003A4E23" w:rsidRDefault="0041192D" w:rsidP="000713F1">
      <w:pPr>
        <w:rPr>
          <w:color w:val="000000"/>
          <w:sz w:val="23"/>
          <w:lang w:val="ru-RU"/>
        </w:rPr>
      </w:pPr>
      <w:r w:rsidRPr="003A4E23">
        <w:rPr>
          <w:color w:val="000000"/>
          <w:lang w:val="ru-RU"/>
        </w:rPr>
        <w:t>Сигнал радиомаяка имеет угол места 5</w:t>
      </w:r>
      <w:r w:rsidRPr="003A4E23">
        <w:rPr>
          <w:color w:val="000000"/>
          <w:sz w:val="23"/>
          <w:lang w:val="ru-RU"/>
        </w:rPr>
        <w:t>°</w:t>
      </w:r>
      <w:r w:rsidRPr="003A4E23">
        <w:rPr>
          <w:color w:val="000000"/>
          <w:lang w:val="ru-RU"/>
        </w:rPr>
        <w:t xml:space="preserve"> по отношению к космическому аппарату.</w:t>
      </w:r>
      <w:r w:rsidRPr="003A4E23">
        <w:rPr>
          <w:color w:val="000000"/>
          <w:sz w:val="23"/>
          <w:lang w:val="ru-RU"/>
        </w:rPr>
        <w:t xml:space="preserve"> </w:t>
      </w:r>
      <w:r w:rsidRPr="003A4E23">
        <w:rPr>
          <w:lang w:val="ru-RU"/>
        </w:rPr>
        <w:t xml:space="preserve">При отсутствии внешних источников помех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составляет 35,5 дБ(Гц), что при скорости передачи данных 400 бит/с соответствует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xml:space="preserve">, равному 9,5 дБ </w:t>
      </w:r>
      <w:r w:rsidRPr="003A4E23">
        <w:rPr>
          <w:color w:val="000000"/>
          <w:lang w:val="ru-RU"/>
        </w:rPr>
        <w:t>(35,5 дБ(Гц) – 26 дБ/с)</w:t>
      </w:r>
      <w:r w:rsidRPr="003A4E23">
        <w:rPr>
          <w:lang w:val="ru-RU"/>
        </w:rPr>
        <w:t>.</w:t>
      </w:r>
      <w:r w:rsidRPr="003A4E23">
        <w:rPr>
          <w:color w:val="000000"/>
          <w:sz w:val="15"/>
          <w:lang w:val="ru-RU"/>
        </w:rPr>
        <w:t xml:space="preserve"> </w:t>
      </w:r>
      <w:r w:rsidRPr="003A4E23">
        <w:rPr>
          <w:lang w:val="ru-RU"/>
        </w:rPr>
        <w:t xml:space="preserve">С учетом потерь на аппаратную реализацию (1,0 дБ), потерь при модуляции данных от радиомаяка (1,0 дБ), а также выигрыша от обработки данных (2,0 дБ) на терминале MEOLUT эффективное отношение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 xml:space="preserve">0 </w:t>
      </w:r>
      <w:r w:rsidRPr="003A4E23">
        <w:rPr>
          <w:color w:val="000000"/>
          <w:lang w:val="ru-RU"/>
        </w:rPr>
        <w:t>будет равно 9,5</w:t>
      </w:r>
      <w:r w:rsidRPr="003A4E23">
        <w:rPr>
          <w:lang w:val="ru-RU"/>
        </w:rPr>
        <w:t> </w:t>
      </w:r>
      <w:r w:rsidRPr="003A4E23">
        <w:rPr>
          <w:color w:val="000000"/>
          <w:lang w:val="ru-RU"/>
        </w:rPr>
        <w:t>дБ.</w:t>
      </w:r>
      <w:r w:rsidRPr="003A4E23">
        <w:rPr>
          <w:color w:val="000000"/>
          <w:sz w:val="23"/>
          <w:lang w:val="ru-RU"/>
        </w:rPr>
        <w:t xml:space="preserve"> </w:t>
      </w:r>
      <w:r w:rsidRPr="003A4E23">
        <w:rPr>
          <w:lang w:val="ru-RU"/>
        </w:rPr>
        <w:t xml:space="preserve">Поскольку для обеспечения надежного соответствия минимальным требованиям к производительности в канале требуется общее отношение </w:t>
      </w:r>
      <w:r w:rsidRPr="003A4E23">
        <w:rPr>
          <w:rFonts w:ascii="TimesNewRoman" w:hAnsi="TimesNewRoman"/>
          <w:i/>
          <w:lang w:val="ru-RU"/>
        </w:rPr>
        <w:t>E</w:t>
      </w:r>
      <w:r w:rsidRPr="003A4E23">
        <w:rPr>
          <w:i/>
          <w:vertAlign w:val="subscript"/>
          <w:lang w:val="ru-RU"/>
        </w:rPr>
        <w:t>b</w:t>
      </w:r>
      <w:r w:rsidRPr="003A4E23">
        <w:rPr>
          <w:rFonts w:ascii="TimesNewRoman" w:hAnsi="TimesNewRoman"/>
          <w:lang w:val="ru-RU"/>
        </w:rPr>
        <w:t>/(</w:t>
      </w:r>
      <w:r w:rsidRPr="003A4E23">
        <w:rPr>
          <w:rFonts w:ascii="TimesNewRoman" w:hAnsi="TimesNewRoman"/>
          <w:i/>
          <w:lang w:val="ru-RU"/>
        </w:rPr>
        <w:t>N</w:t>
      </w:r>
      <w:r w:rsidRPr="003A4E23">
        <w:rPr>
          <w:rFonts w:ascii="TimesNewRoman" w:hAnsi="TimesNewRoman"/>
          <w:vertAlign w:val="subscript"/>
          <w:lang w:val="ru-RU"/>
        </w:rPr>
        <w:t>0</w:t>
      </w:r>
      <w:r w:rsidRPr="003A4E23">
        <w:rPr>
          <w:lang w:val="ru-RU"/>
        </w:rPr>
        <w:t> </w:t>
      </w:r>
      <w:r w:rsidRPr="003A4E23">
        <w:rPr>
          <w:rFonts w:ascii="Symbol" w:hAnsi="Symbol"/>
          <w:lang w:val="ru-RU"/>
        </w:rPr>
        <w:t></w:t>
      </w:r>
      <w:r w:rsidRPr="003A4E23">
        <w:rPr>
          <w:lang w:val="ru-RU"/>
        </w:rPr>
        <w:t> </w:t>
      </w:r>
      <w:r w:rsidRPr="003A4E23">
        <w:rPr>
          <w:rFonts w:ascii="TimesNewRoman" w:hAnsi="TimesNewRoman"/>
          <w:i/>
          <w:lang w:val="ru-RU"/>
        </w:rPr>
        <w:t>I</w:t>
      </w:r>
      <w:r w:rsidRPr="003A4E23">
        <w:rPr>
          <w:vertAlign w:val="subscript"/>
          <w:lang w:val="ru-RU"/>
        </w:rPr>
        <w:t>0</w:t>
      </w:r>
      <w:r w:rsidRPr="003A4E23">
        <w:rPr>
          <w:rFonts w:ascii="TimesNewRoman" w:hAnsi="TimesNewRoman"/>
          <w:lang w:val="ru-RU"/>
        </w:rPr>
        <w:t>)</w:t>
      </w:r>
      <w:r w:rsidRPr="003A4E23">
        <w:rPr>
          <w:lang w:val="ru-RU"/>
        </w:rPr>
        <w:t xml:space="preserve"> не менее 8,8 дБ, не может быть допущено накопление широкополосных помех на линии вверх, которое уменьшает общее отношение несущей к плотности шума и помех более чем на 0,7 дБ.</w:t>
      </w:r>
    </w:p>
    <w:p w:rsidR="0041192D" w:rsidRPr="003A4E23" w:rsidRDefault="0041192D" w:rsidP="000713F1">
      <w:pPr>
        <w:rPr>
          <w:color w:val="000000"/>
          <w:lang w:val="ru-RU"/>
        </w:rPr>
      </w:pPr>
      <w:r w:rsidRPr="003A4E23">
        <w:rPr>
          <w:lang w:val="ru-RU"/>
        </w:rPr>
        <w:lastRenderedPageBreak/>
        <w:t xml:space="preserve">Поскольку общее 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в отсутствие помех равно 35,5 дБ(Гц), то из-за широкополосных шумоподобных помех на линии вверх, которые вызывают его ухудшение на 0,7 дБ, общее отношение несущей к плотности шума и помех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общее с помехами</w:t>
      </w:r>
      <w:r w:rsidRPr="003A4E23">
        <w:rPr>
          <w:lang w:val="ru-RU"/>
        </w:rPr>
        <w:t xml:space="preserve"> будет составлять:</w:t>
      </w:r>
    </w:p>
    <w:p w:rsidR="0041192D" w:rsidRPr="003A4E23" w:rsidRDefault="0041192D" w:rsidP="0041192D">
      <w:pPr>
        <w:pStyle w:val="Equation"/>
        <w:spacing w:after="120"/>
        <w:rPr>
          <w:color w:val="000000"/>
          <w:szCs w:val="24"/>
          <w:lang w:val="ru-RU"/>
        </w:rPr>
      </w:pPr>
      <w:r w:rsidRPr="003A4E23">
        <w:rPr>
          <w:szCs w:val="24"/>
          <w:lang w:val="ru-RU"/>
        </w:rPr>
        <w:tab/>
      </w:r>
      <w:r w:rsidRPr="003A4E23">
        <w:rPr>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lang w:val="ru-RU"/>
        </w:rPr>
        <w:t>I</w:t>
      </w:r>
      <w:r w:rsidRPr="003A4E23">
        <w:rPr>
          <w:szCs w:val="24"/>
          <w:vertAlign w:val="subscript"/>
          <w:lang w:val="ru-RU"/>
        </w:rPr>
        <w:t>0</w:t>
      </w:r>
      <w:r w:rsidRPr="003A4E23">
        <w:rPr>
          <w:szCs w:val="24"/>
          <w:lang w:val="ru-RU"/>
        </w:rPr>
        <w:t>))</w:t>
      </w:r>
      <w:r w:rsidRPr="003A4E23">
        <w:rPr>
          <w:i/>
          <w:szCs w:val="24"/>
          <w:vertAlign w:val="subscript"/>
          <w:lang w:val="ru-RU"/>
        </w:rPr>
        <w:t>общее</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общее</w:t>
      </w:r>
      <w:r w:rsidRPr="003A4E23">
        <w:rPr>
          <w:szCs w:val="24"/>
          <w:lang w:val="ru-RU"/>
        </w:rPr>
        <w:t xml:space="preserve"> –</w:t>
      </w:r>
      <w:r w:rsidRPr="003A4E23">
        <w:rPr>
          <w:color w:val="000000"/>
          <w:szCs w:val="24"/>
          <w:lang w:val="ru-RU"/>
        </w:rPr>
        <w:t xml:space="preserve"> 0,7 дБ =</w:t>
      </w:r>
    </w:p>
    <w:p w:rsidR="0041192D" w:rsidRPr="003A4E23" w:rsidRDefault="0041192D" w:rsidP="0041192D">
      <w:pPr>
        <w:pStyle w:val="Equation"/>
        <w:spacing w:before="240" w:after="120"/>
        <w:rPr>
          <w:color w:val="000000"/>
          <w:szCs w:val="24"/>
          <w:lang w:val="ru-RU"/>
        </w:rPr>
      </w:pPr>
      <w:r w:rsidRPr="003A4E23">
        <w:rPr>
          <w:color w:val="000000"/>
          <w:szCs w:val="24"/>
          <w:lang w:val="ru-RU"/>
        </w:rPr>
        <w:tab/>
      </w:r>
      <w:r w:rsidRPr="003A4E23">
        <w:rPr>
          <w:color w:val="000000"/>
          <w:szCs w:val="24"/>
          <w:lang w:val="ru-RU"/>
        </w:rPr>
        <w:tab/>
        <w:t>= 35,5 дБ(Гц) – 0,7 дБ =</w:t>
      </w:r>
    </w:p>
    <w:p w:rsidR="0041192D" w:rsidRPr="003A4E23" w:rsidRDefault="0041192D" w:rsidP="0041192D">
      <w:pPr>
        <w:pStyle w:val="Equation"/>
        <w:spacing w:before="240" w:after="120"/>
        <w:rPr>
          <w:szCs w:val="24"/>
          <w:lang w:val="ru-RU"/>
        </w:rPr>
      </w:pPr>
      <w:r w:rsidRPr="003A4E23">
        <w:rPr>
          <w:szCs w:val="24"/>
          <w:lang w:val="ru-RU"/>
        </w:rPr>
        <w:tab/>
      </w:r>
      <w:r w:rsidRPr="003A4E23">
        <w:rPr>
          <w:szCs w:val="24"/>
          <w:lang w:val="ru-RU"/>
        </w:rPr>
        <w:tab/>
        <w:t>= 34</w:t>
      </w:r>
      <w:r w:rsidRPr="003A4E23">
        <w:rPr>
          <w:color w:val="000000"/>
          <w:szCs w:val="24"/>
          <w:lang w:val="ru-RU"/>
        </w:rPr>
        <w:t>,8 дБ(Гц).</w:t>
      </w:r>
      <w:r w:rsidRPr="003A4E23">
        <w:rPr>
          <w:color w:val="000000"/>
          <w:szCs w:val="24"/>
          <w:lang w:val="ru-RU"/>
        </w:rPr>
        <w:tab/>
        <w:t>(19)</w:t>
      </w:r>
    </w:p>
    <w:p w:rsidR="0041192D" w:rsidRPr="003A4E23" w:rsidRDefault="0041192D" w:rsidP="0041192D">
      <w:pPr>
        <w:rPr>
          <w:color w:val="000000"/>
          <w:lang w:val="ru-RU"/>
        </w:rPr>
      </w:pPr>
      <w:r w:rsidRPr="003A4E23">
        <w:rPr>
          <w:lang w:val="ru-RU"/>
        </w:rPr>
        <w:t>Отношение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вычисляется из отношений несущей к плотности шума и помех для линии вверх и линии вниз, как указано ниже: </w:t>
      </w:r>
    </w:p>
    <w:p w:rsidR="0041192D" w:rsidRPr="003A4E23" w:rsidRDefault="0041192D" w:rsidP="0041192D">
      <w:pPr>
        <w:pStyle w:val="Equation"/>
        <w:spacing w:after="120"/>
        <w:rPr>
          <w:szCs w:val="24"/>
          <w:lang w:val="ru-RU"/>
        </w:rPr>
      </w:pPr>
      <w:r w:rsidRPr="003A4E23">
        <w:rPr>
          <w:szCs w:val="24"/>
          <w:lang w:val="ru-RU"/>
        </w:rPr>
        <w:tab/>
      </w:r>
      <w:r w:rsidRPr="003A4E23">
        <w:rPr>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ОП</w:t>
      </w:r>
      <w:r w:rsidRPr="003A4E23">
        <w:rPr>
          <w:szCs w:val="24"/>
          <w:vertAlign w:val="subscript"/>
          <w:lang w:val="ru-RU"/>
        </w:rPr>
        <w:t xml:space="preserve"> </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szCs w:val="24"/>
          <w:vertAlign w:val="superscript"/>
          <w:lang w:val="ru-RU"/>
        </w:rPr>
        <w:t>− 1</w:t>
      </w:r>
      <w:r w:rsidRPr="003A4E23">
        <w:rPr>
          <w:i/>
          <w:szCs w:val="24"/>
          <w:vertAlign w:val="subscript"/>
          <w:lang w:val="ru-RU"/>
        </w:rPr>
        <w:t>вверх с помехами</w:t>
      </w:r>
      <w:r w:rsidRPr="003A4E23">
        <w:rPr>
          <w:szCs w:val="24"/>
          <w:lang w:val="ru-RU"/>
        </w:rPr>
        <w:t xml:space="preserve">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szCs w:val="24"/>
          <w:vertAlign w:val="superscript"/>
          <w:lang w:val="ru-RU"/>
        </w:rPr>
        <w:t>−1</w:t>
      </w:r>
      <w:r w:rsidRPr="003A4E23">
        <w:rPr>
          <w:i/>
          <w:szCs w:val="24"/>
          <w:vertAlign w:val="subscript"/>
          <w:lang w:val="ru-RU"/>
        </w:rPr>
        <w:t>вниз с помехами</w:t>
      </w:r>
      <w:r w:rsidRPr="003A4E23">
        <w:rPr>
          <w:szCs w:val="24"/>
          <w:lang w:val="ru-RU"/>
        </w:rPr>
        <w:t>)</w:t>
      </w:r>
      <w:r w:rsidRPr="003A4E23">
        <w:rPr>
          <w:szCs w:val="24"/>
          <w:vertAlign w:val="superscript"/>
          <w:lang w:val="ru-RU"/>
        </w:rPr>
        <w:t>−1</w:t>
      </w:r>
      <w:r w:rsidRPr="003A4E23">
        <w:rPr>
          <w:szCs w:val="24"/>
          <w:lang w:val="ru-RU"/>
        </w:rPr>
        <w:t xml:space="preserve"> </w:t>
      </w:r>
      <w:r w:rsidRPr="003A4E23">
        <w:rPr>
          <w:rFonts w:ascii="TimesNewRomanPSMT" w:hAnsi="TimesNewRomanPSMT"/>
          <w:szCs w:val="24"/>
          <w:lang w:val="ru-RU"/>
        </w:rPr>
        <w:t>(</w:t>
      </w:r>
      <w:r w:rsidRPr="003A4E23">
        <w:rPr>
          <w:szCs w:val="24"/>
          <w:lang w:val="ru-RU"/>
        </w:rPr>
        <w:t>численная величина</w:t>
      </w:r>
      <w:r w:rsidRPr="003A4E23">
        <w:rPr>
          <w:rFonts w:ascii="TimesNewRomanPSMT" w:hAnsi="TimesNewRomanPSMT"/>
          <w:szCs w:val="24"/>
          <w:lang w:val="ru-RU"/>
        </w:rPr>
        <w:t>).</w:t>
      </w:r>
      <w:r w:rsidRPr="003A4E23">
        <w:rPr>
          <w:rFonts w:ascii="TimesNewRomanPSMT" w:hAnsi="TimesNewRomanPSMT"/>
          <w:szCs w:val="24"/>
          <w:lang w:val="ru-RU"/>
        </w:rPr>
        <w:tab/>
        <w:t>(20)</w:t>
      </w:r>
    </w:p>
    <w:p w:rsidR="0041192D" w:rsidRPr="003A4E23" w:rsidRDefault="0041192D" w:rsidP="0041192D">
      <w:pPr>
        <w:rPr>
          <w:color w:val="000000"/>
          <w:lang w:val="ru-RU"/>
        </w:rPr>
      </w:pPr>
      <w:r w:rsidRPr="003A4E23">
        <w:rPr>
          <w:lang w:val="ru-RU"/>
        </w:rPr>
        <w:t>Поскольку этот анализ касается только помех на линии вверх, то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вверх с помехами</w:t>
      </w:r>
      <w:r w:rsidRPr="003A4E23">
        <w:rPr>
          <w:lang w:val="ru-RU"/>
        </w:rPr>
        <w:t xml:space="preserve"> в уравнении (20) будет: </w:t>
      </w:r>
    </w:p>
    <w:p w:rsidR="0041192D" w:rsidRPr="003A4E23" w:rsidRDefault="0041192D" w:rsidP="0041192D">
      <w:pPr>
        <w:pStyle w:val="Equation"/>
        <w:spacing w:after="120"/>
        <w:rPr>
          <w:szCs w:val="24"/>
          <w:lang w:val="ru-RU"/>
        </w:rPr>
      </w:pPr>
      <w:r w:rsidRPr="003A4E23">
        <w:rPr>
          <w:color w:val="000000"/>
          <w:szCs w:val="24"/>
          <w:lang w:val="ru-RU"/>
        </w:rPr>
        <w:tab/>
      </w:r>
      <w:r w:rsidRPr="003A4E23">
        <w:rPr>
          <w:color w:val="000000"/>
          <w:szCs w:val="24"/>
          <w:lang w:val="ru-RU"/>
        </w:rPr>
        <w:tab/>
        <w:t>(</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вверх с помехами</w:t>
      </w:r>
      <w:r w:rsidRPr="003A4E23">
        <w:rPr>
          <w:szCs w:val="24"/>
          <w:lang w:val="ru-RU"/>
        </w:rPr>
        <w:t xml:space="preserve"> = (</w:t>
      </w:r>
      <w:r w:rsidRPr="003A4E23">
        <w:rPr>
          <w:i/>
          <w:szCs w:val="24"/>
          <w:lang w:val="ru-RU"/>
        </w:rPr>
        <w:t>C</w:t>
      </w:r>
      <w:r w:rsidRPr="003A4E23">
        <w:rPr>
          <w:szCs w:val="24"/>
          <w:vertAlign w:val="subscript"/>
          <w:lang w:val="ru-RU"/>
        </w:rPr>
        <w:sym w:font="Symbol" w:char="F0AD"/>
      </w:r>
      <w:r w:rsidRPr="003A4E23">
        <w:rPr>
          <w:szCs w:val="24"/>
          <w:lang w:val="ru-RU"/>
        </w:rPr>
        <w:t>/(</w:t>
      </w:r>
      <w:r w:rsidRPr="003A4E23">
        <w:rPr>
          <w:i/>
          <w:szCs w:val="24"/>
          <w:lang w:val="ru-RU"/>
        </w:rPr>
        <w:t>N</w:t>
      </w:r>
      <w:r w:rsidRPr="003A4E23">
        <w:rPr>
          <w:szCs w:val="24"/>
          <w:vertAlign w:val="subscript"/>
          <w:lang w:val="ru-RU"/>
        </w:rPr>
        <w:t>0</w:t>
      </w:r>
      <w:r w:rsidRPr="003A4E23">
        <w:rPr>
          <w:szCs w:val="24"/>
          <w:vertAlign w:val="subscript"/>
          <w:lang w:val="ru-RU"/>
        </w:rPr>
        <w:sym w:font="Symbol" w:char="F0AD"/>
      </w:r>
      <w:r w:rsidRPr="003A4E23">
        <w:rPr>
          <w:szCs w:val="24"/>
          <w:lang w:val="ru-RU"/>
        </w:rPr>
        <w:t xml:space="preserve"> + </w:t>
      </w:r>
      <w:r w:rsidRPr="003A4E23">
        <w:rPr>
          <w:i/>
          <w:szCs w:val="24"/>
          <w:lang w:val="ru-RU"/>
        </w:rPr>
        <w:t>I</w:t>
      </w:r>
      <w:r w:rsidRPr="003A4E23">
        <w:rPr>
          <w:szCs w:val="24"/>
          <w:vertAlign w:val="subscript"/>
          <w:lang w:val="ru-RU"/>
        </w:rPr>
        <w:t>0</w:t>
      </w:r>
      <w:r w:rsidRPr="003A4E23">
        <w:rPr>
          <w:szCs w:val="24"/>
          <w:lang w:val="ru-RU"/>
        </w:rPr>
        <w:t>)) (численная величина).</w:t>
      </w:r>
      <w:r w:rsidRPr="003A4E23">
        <w:rPr>
          <w:szCs w:val="24"/>
          <w:lang w:val="ru-RU"/>
        </w:rPr>
        <w:tab/>
        <w:t>(21)</w:t>
      </w:r>
    </w:p>
    <w:p w:rsidR="0041192D" w:rsidRPr="003A4E23" w:rsidRDefault="0041192D" w:rsidP="0041192D">
      <w:pPr>
        <w:rPr>
          <w:lang w:val="ru-RU"/>
        </w:rPr>
      </w:pPr>
      <w:r w:rsidRPr="003A4E23">
        <w:rPr>
          <w:lang w:val="ru-RU"/>
        </w:rPr>
        <w:t>Помехи также влияют на отношение несущей к плотности шума в линии вниз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за счет увеличения общей мощности, совместно используемой в полосе пропускания систем поиска и спасания. Эта увеличенная общая мощность уменьшает потери разделения мощности и влияет на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rFonts w:ascii="Symbol" w:hAnsi="Symbol"/>
          <w:vertAlign w:val="subscript"/>
          <w:lang w:val="ru-RU"/>
        </w:rPr>
        <w:t></w:t>
      </w:r>
      <w:r w:rsidRPr="003A4E23">
        <w:rPr>
          <w:lang w:val="ru-RU"/>
        </w:rPr>
        <w:t xml:space="preserve"> следующим образом:</w:t>
      </w:r>
    </w:p>
    <w:p w:rsidR="0041192D" w:rsidRPr="003A4E23" w:rsidRDefault="0041192D" w:rsidP="0041192D">
      <w:pPr>
        <w:pStyle w:val="Equation"/>
        <w:spacing w:after="120"/>
        <w:rPr>
          <w:szCs w:val="24"/>
          <w:lang w:val="ru-RU"/>
        </w:rPr>
      </w:pPr>
      <w:r w:rsidRPr="003A4E23">
        <w:rPr>
          <w:i/>
          <w:szCs w:val="24"/>
          <w:lang w:val="ru-RU"/>
        </w:rPr>
        <w:tab/>
      </w:r>
      <w:r w:rsidRPr="003A4E23">
        <w:rPr>
          <w:i/>
          <w:szCs w:val="24"/>
          <w:lang w:val="ru-RU"/>
        </w:rPr>
        <w:tab/>
      </w:r>
      <w:r w:rsidRPr="003A4E23">
        <w:rPr>
          <w:szCs w:val="24"/>
          <w:lang w:val="ru-RU"/>
        </w:rPr>
        <w:t>(</w:t>
      </w:r>
      <w:r w:rsidRPr="003A4E23">
        <w:rPr>
          <w:i/>
          <w:szCs w:val="24"/>
          <w:lang w:val="ru-RU"/>
        </w:rPr>
        <w:t>C</w:t>
      </w:r>
      <w:r w:rsidRPr="003A4E23">
        <w:rPr>
          <w:iCs/>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вниз с помехами</w:t>
      </w:r>
      <w:r w:rsidRPr="003A4E23">
        <w:rPr>
          <w:i/>
          <w:szCs w:val="24"/>
          <w:lang w:val="ru-RU"/>
        </w:rPr>
        <w:t xml:space="preserve"> = </w:t>
      </w:r>
      <w:r w:rsidRPr="003A4E23">
        <w:rPr>
          <w:szCs w:val="24"/>
          <w:lang w:val="ru-RU"/>
        </w:rPr>
        <w:t>(</w:t>
      </w:r>
      <w:r w:rsidRPr="003A4E23">
        <w:rPr>
          <w:i/>
          <w:szCs w:val="24"/>
          <w:lang w:val="ru-RU"/>
        </w:rPr>
        <w:t>C</w:t>
      </w:r>
      <w:r w:rsidRPr="003A4E23">
        <w:rPr>
          <w:iCs/>
          <w:szCs w:val="24"/>
          <w:lang w:val="ru-RU"/>
        </w:rPr>
        <w:t>/</w:t>
      </w:r>
      <w:r w:rsidRPr="003A4E23">
        <w:rPr>
          <w:i/>
          <w:szCs w:val="24"/>
          <w:lang w:val="ru-RU"/>
        </w:rPr>
        <w:t>N</w:t>
      </w:r>
      <w:r w:rsidRPr="003A4E23">
        <w:rPr>
          <w:szCs w:val="24"/>
          <w:lang w:val="ru-RU"/>
        </w:rPr>
        <w:t>)</w:t>
      </w:r>
      <w:r w:rsidRPr="003A4E23">
        <w:rPr>
          <w:szCs w:val="24"/>
          <w:vertAlign w:val="subscript"/>
          <w:lang w:val="ru-RU"/>
        </w:rPr>
        <w:sym w:font="Symbol" w:char="F0AF"/>
      </w:r>
      <w:r w:rsidRPr="003A4E23">
        <w:rPr>
          <w:szCs w:val="24"/>
          <w:lang w:val="ru-RU"/>
        </w:rPr>
        <w:t xml:space="preserve"> </w:t>
      </w:r>
      <w:r w:rsidRPr="003A4E23">
        <w:rPr>
          <w:i/>
          <w:szCs w:val="24"/>
          <w:lang w:val="ru-RU"/>
        </w:rPr>
        <w:t xml:space="preserve">× </w:t>
      </w:r>
      <w:r w:rsidRPr="003A4E23">
        <w:rPr>
          <w:szCs w:val="24"/>
          <w:lang w:val="ru-RU"/>
        </w:rPr>
        <w:t>(</w:t>
      </w:r>
      <w:r w:rsidRPr="003A4E23">
        <w:rPr>
          <w:i/>
          <w:szCs w:val="24"/>
          <w:lang w:val="ru-RU"/>
        </w:rPr>
        <w:t>Lpsi</w:t>
      </w:r>
      <w:r w:rsidRPr="003A4E23">
        <w:rPr>
          <w:iCs/>
          <w:szCs w:val="24"/>
          <w:lang w:val="ru-RU"/>
        </w:rPr>
        <w:t>/</w:t>
      </w:r>
      <w:r w:rsidRPr="003A4E23">
        <w:rPr>
          <w:i/>
          <w:szCs w:val="24"/>
          <w:lang w:val="ru-RU"/>
        </w:rPr>
        <w:t>Lps</w:t>
      </w:r>
      <w:r w:rsidRPr="003A4E23">
        <w:rPr>
          <w:szCs w:val="24"/>
          <w:lang w:val="ru-RU"/>
        </w:rPr>
        <w:t>)</w:t>
      </w:r>
      <w:r w:rsidRPr="003A4E23">
        <w:rPr>
          <w:i/>
          <w:szCs w:val="24"/>
          <w:lang w:val="ru-RU"/>
        </w:rPr>
        <w:t xml:space="preserve"> </w:t>
      </w:r>
      <w:r w:rsidRPr="003A4E23">
        <w:rPr>
          <w:szCs w:val="24"/>
          <w:lang w:val="ru-RU"/>
        </w:rPr>
        <w:t>(численная величина),</w:t>
      </w:r>
      <w:r w:rsidRPr="003A4E23">
        <w:rPr>
          <w:szCs w:val="24"/>
          <w:lang w:val="ru-RU"/>
        </w:rPr>
        <w:tab/>
        <w:t>(22)</w:t>
      </w:r>
    </w:p>
    <w:p w:rsidR="0041192D" w:rsidRPr="003A4E23" w:rsidRDefault="0041192D" w:rsidP="0041192D">
      <w:pPr>
        <w:rPr>
          <w:lang w:val="ru-RU"/>
        </w:rPr>
      </w:pPr>
      <w:r w:rsidRPr="003A4E23">
        <w:rPr>
          <w:lang w:val="ru-RU"/>
        </w:rPr>
        <w:t xml:space="preserve">где </w:t>
      </w:r>
      <w:r w:rsidRPr="003A4E23">
        <w:rPr>
          <w:i/>
          <w:lang w:val="ru-RU"/>
        </w:rPr>
        <w:t>Lps</w:t>
      </w:r>
      <w:r w:rsidRPr="003A4E23">
        <w:rPr>
          <w:lang w:val="ru-RU"/>
        </w:rPr>
        <w:t xml:space="preserve"> – потери разделения мощности без помех, а </w:t>
      </w:r>
      <w:r w:rsidRPr="003A4E23">
        <w:rPr>
          <w:i/>
          <w:lang w:val="ru-RU"/>
        </w:rPr>
        <w:t xml:space="preserve">Lpsi </w:t>
      </w:r>
      <w:r w:rsidRPr="003A4E23">
        <w:rPr>
          <w:lang w:val="ru-RU"/>
        </w:rPr>
        <w:t xml:space="preserve">– потери разделения мощности с помехами.  </w:t>
      </w:r>
      <w:r w:rsidRPr="003A4E23">
        <w:rPr>
          <w:i/>
          <w:lang w:val="ru-RU"/>
        </w:rPr>
        <w:t>Lpsi</w:t>
      </w:r>
      <w:r w:rsidRPr="003A4E23">
        <w:rPr>
          <w:lang w:val="ru-RU"/>
        </w:rPr>
        <w:t xml:space="preserve"> вычисляется следующим образом:</w:t>
      </w:r>
    </w:p>
    <w:p w:rsidR="0041192D" w:rsidRPr="003A4E23" w:rsidRDefault="0041192D" w:rsidP="0041192D">
      <w:pPr>
        <w:pStyle w:val="Equation"/>
        <w:spacing w:after="120"/>
        <w:rPr>
          <w:szCs w:val="24"/>
          <w:lang w:val="ru-RU"/>
        </w:rPr>
      </w:pPr>
      <w:r w:rsidRPr="003A4E23">
        <w:rPr>
          <w:i/>
          <w:szCs w:val="24"/>
          <w:lang w:val="ru-RU"/>
        </w:rPr>
        <w:tab/>
      </w:r>
      <w:r w:rsidRPr="003A4E23">
        <w:rPr>
          <w:i/>
          <w:szCs w:val="24"/>
          <w:lang w:val="ru-RU"/>
        </w:rPr>
        <w:tab/>
        <w:t>Lpsi = C</w:t>
      </w:r>
      <w:r w:rsidRPr="003A4E23">
        <w:rPr>
          <w:szCs w:val="24"/>
          <w:vertAlign w:val="subscript"/>
          <w:lang w:val="ru-RU"/>
        </w:rPr>
        <w:sym w:font="Symbol" w:char="F0AD"/>
      </w:r>
      <w:r w:rsidRPr="003A4E23">
        <w:rPr>
          <w:i/>
          <w:szCs w:val="24"/>
          <w:lang w:val="ru-RU"/>
        </w:rPr>
        <w:t xml:space="preserve"> </w:t>
      </w:r>
      <w:r w:rsidRPr="003A4E23">
        <w:rPr>
          <w:szCs w:val="24"/>
          <w:lang w:val="ru-RU"/>
        </w:rPr>
        <w:t>/(</w:t>
      </w:r>
      <w:r w:rsidRPr="003A4E23">
        <w:rPr>
          <w:i/>
          <w:szCs w:val="24"/>
          <w:lang w:val="ru-RU"/>
        </w:rPr>
        <w:t>C</w:t>
      </w:r>
      <w:r w:rsidRPr="003A4E23">
        <w:rPr>
          <w:szCs w:val="24"/>
          <w:vertAlign w:val="subscript"/>
          <w:lang w:val="ru-RU"/>
        </w:rPr>
        <w:sym w:font="Symbol" w:char="F0AD"/>
      </w:r>
      <w:r w:rsidRPr="003A4E23">
        <w:rPr>
          <w:i/>
          <w:szCs w:val="24"/>
          <w:lang w:val="ru-RU"/>
        </w:rPr>
        <w:t xml:space="preserve"> + </w:t>
      </w:r>
      <w:r w:rsidRPr="003A4E23">
        <w:rPr>
          <w:szCs w:val="24"/>
          <w:lang w:val="ru-RU"/>
        </w:rPr>
        <w:t>2</w:t>
      </w:r>
      <w:r w:rsidRPr="003A4E23">
        <w:rPr>
          <w:i/>
          <w:szCs w:val="24"/>
          <w:lang w:val="ru-RU"/>
        </w:rPr>
        <w:t xml:space="preserve"> </w:t>
      </w:r>
      <w:r w:rsidRPr="003A4E23">
        <w:rPr>
          <w:szCs w:val="24"/>
          <w:lang w:val="ru-RU"/>
        </w:rPr>
        <w:t>×</w:t>
      </w:r>
      <w:r w:rsidRPr="003A4E23">
        <w:rPr>
          <w:i/>
          <w:szCs w:val="24"/>
          <w:lang w:val="ru-RU"/>
        </w:rPr>
        <w:t xml:space="preserve"> C</w:t>
      </w:r>
      <w:r w:rsidRPr="003A4E23">
        <w:rPr>
          <w:szCs w:val="24"/>
          <w:vertAlign w:val="subscript"/>
          <w:lang w:val="ru-RU"/>
        </w:rPr>
        <w:t>2</w:t>
      </w:r>
      <w:r w:rsidRPr="003A4E23">
        <w:rPr>
          <w:i/>
          <w:szCs w:val="24"/>
          <w:lang w:val="ru-RU"/>
        </w:rPr>
        <w:t xml:space="preserve"> + N</w:t>
      </w:r>
      <w:r w:rsidRPr="003A4E23">
        <w:rPr>
          <w:szCs w:val="24"/>
          <w:vertAlign w:val="subscript"/>
          <w:lang w:val="ru-RU"/>
        </w:rPr>
        <w:sym w:font="Symbol" w:char="F0AD"/>
      </w:r>
      <w:r w:rsidRPr="003A4E23">
        <w:rPr>
          <w:szCs w:val="24"/>
          <w:lang w:val="ru-RU"/>
        </w:rPr>
        <w:t xml:space="preserve"> </w:t>
      </w:r>
      <w:r w:rsidRPr="003A4E23">
        <w:rPr>
          <w:i/>
          <w:szCs w:val="24"/>
          <w:lang w:val="ru-RU"/>
        </w:rPr>
        <w:t>+ I</w:t>
      </w:r>
      <w:r w:rsidRPr="003A4E23">
        <w:rPr>
          <w:szCs w:val="24"/>
          <w:vertAlign w:val="subscript"/>
          <w:lang w:val="ru-RU"/>
        </w:rPr>
        <w:t>0</w:t>
      </w:r>
      <w:r w:rsidRPr="003A4E23">
        <w:rPr>
          <w:i/>
          <w:szCs w:val="24"/>
          <w:lang w:val="ru-RU"/>
        </w:rPr>
        <w:t>B</w:t>
      </w:r>
      <w:r w:rsidRPr="003A4E23">
        <w:rPr>
          <w:szCs w:val="24"/>
          <w:lang w:val="ru-RU"/>
        </w:rPr>
        <w:t>)</w:t>
      </w:r>
      <w:r w:rsidRPr="003A4E23">
        <w:rPr>
          <w:i/>
          <w:szCs w:val="24"/>
          <w:lang w:val="ru-RU"/>
        </w:rPr>
        <w:t xml:space="preserve"> </w:t>
      </w:r>
      <w:r w:rsidRPr="003A4E23">
        <w:rPr>
          <w:szCs w:val="24"/>
          <w:lang w:val="ru-RU"/>
        </w:rPr>
        <w:t>(численная величина),</w:t>
      </w:r>
      <w:r w:rsidRPr="003A4E23">
        <w:rPr>
          <w:szCs w:val="24"/>
          <w:lang w:val="ru-RU"/>
        </w:rPr>
        <w:tab/>
        <w:t>(23)</w:t>
      </w:r>
    </w:p>
    <w:p w:rsidR="0041192D" w:rsidRPr="003A4E23" w:rsidRDefault="0041192D" w:rsidP="000713F1">
      <w:pPr>
        <w:rPr>
          <w:lang w:val="ru-RU"/>
        </w:rPr>
      </w:pPr>
      <w:r w:rsidRPr="003A4E23">
        <w:rPr>
          <w:lang w:val="ru-RU"/>
        </w:rPr>
        <w:t xml:space="preserve">где </w:t>
      </w:r>
      <w:r w:rsidRPr="003A4E23">
        <w:rPr>
          <w:i/>
          <w:lang w:val="ru-RU"/>
        </w:rPr>
        <w:t>C</w:t>
      </w:r>
      <w:r w:rsidRPr="003A4E23">
        <w:rPr>
          <w:vertAlign w:val="subscript"/>
          <w:lang w:val="ru-RU"/>
        </w:rPr>
        <w:t>2</w:t>
      </w:r>
      <w:r w:rsidRPr="003A4E23">
        <w:rPr>
          <w:lang w:val="ru-RU"/>
        </w:rPr>
        <w:t xml:space="preserve"> – уровень мощности одного из двух других радиомаяков, сигналы которых одновременно принимает SARR спутника ГЛОНАСС, а </w:t>
      </w:r>
      <w:r w:rsidRPr="003A4E23">
        <w:rPr>
          <w:i/>
          <w:lang w:val="ru-RU"/>
        </w:rPr>
        <w:t>B</w:t>
      </w:r>
      <w:r w:rsidRPr="003A4E23">
        <w:rPr>
          <w:lang w:val="ru-RU"/>
        </w:rPr>
        <w:t xml:space="preserve"> – полоса пропускания приемника этого спутника. </w:t>
      </w:r>
    </w:p>
    <w:p w:rsidR="0041192D" w:rsidRPr="003A4E23" w:rsidRDefault="0041192D" w:rsidP="000713F1">
      <w:pPr>
        <w:rPr>
          <w:lang w:val="ru-RU"/>
        </w:rPr>
      </w:pPr>
      <w:r w:rsidRPr="003A4E23">
        <w:rPr>
          <w:lang w:val="ru-RU"/>
        </w:rPr>
        <w:t xml:space="preserve">Подставим уравнение (23) в уравнение (22), а затем уравнения (21) и (22) – в уравнение (20) и, вычисляя </w:t>
      </w:r>
      <w:r w:rsidRPr="003A4E23">
        <w:rPr>
          <w:i/>
          <w:lang w:val="ru-RU"/>
        </w:rPr>
        <w:t>I</w:t>
      </w:r>
      <w:r w:rsidRPr="003A4E23">
        <w:rPr>
          <w:vertAlign w:val="subscript"/>
          <w:lang w:val="ru-RU"/>
        </w:rPr>
        <w:t>0</w:t>
      </w:r>
      <w:r w:rsidRPr="003A4E23">
        <w:rPr>
          <w:lang w:val="ru-RU"/>
        </w:rPr>
        <w:t>, получим следующую формулу:</w:t>
      </w:r>
    </w:p>
    <w:p w:rsidR="0041192D" w:rsidRPr="003A4E23" w:rsidRDefault="0041192D" w:rsidP="0041192D">
      <w:pPr>
        <w:pStyle w:val="Equation"/>
        <w:spacing w:after="120"/>
        <w:rPr>
          <w:szCs w:val="24"/>
          <w:lang w:val="ru-RU"/>
        </w:rPr>
      </w:pPr>
      <w:r w:rsidRPr="003A4E23">
        <w:rPr>
          <w:szCs w:val="24"/>
          <w:lang w:val="ru-RU"/>
        </w:rPr>
        <w:tab/>
      </w:r>
      <w:r w:rsidRPr="003A4E23">
        <w:rPr>
          <w:szCs w:val="24"/>
          <w:lang w:val="ru-RU"/>
        </w:rPr>
        <w:tab/>
      </w:r>
      <w:r w:rsidRPr="003A4E23">
        <w:rPr>
          <w:i/>
          <w:szCs w:val="24"/>
          <w:lang w:val="ru-RU"/>
        </w:rPr>
        <w:t>I</w:t>
      </w:r>
      <w:r w:rsidRPr="003A4E23">
        <w:rPr>
          <w:szCs w:val="24"/>
          <w:vertAlign w:val="subscript"/>
          <w:lang w:val="ru-RU"/>
        </w:rPr>
        <w:t>0</w:t>
      </w:r>
      <w:r w:rsidRPr="003A4E23">
        <w:rPr>
          <w:szCs w:val="24"/>
          <w:lang w:val="ru-RU"/>
        </w:rPr>
        <w:t xml:space="preserve"> </w:t>
      </w:r>
      <w:r w:rsidRPr="003A4E23">
        <w:rPr>
          <w:i/>
          <w:szCs w:val="24"/>
          <w:lang w:val="ru-RU"/>
        </w:rPr>
        <w:t xml:space="preserve">= </w:t>
      </w:r>
      <w:r w:rsidRPr="003A4E23">
        <w:rPr>
          <w:szCs w:val="24"/>
          <w:lang w:val="ru-RU"/>
        </w:rPr>
        <w:t>(</w:t>
      </w:r>
      <w:r w:rsidRPr="003A4E23">
        <w:rPr>
          <w:i/>
          <w:szCs w:val="24"/>
          <w:lang w:val="ru-RU"/>
        </w:rPr>
        <w:t>C</w:t>
      </w:r>
      <w:r w:rsidRPr="003A4E23">
        <w:rPr>
          <w:szCs w:val="24"/>
          <w:vertAlign w:val="subscript"/>
          <w:lang w:val="ru-RU"/>
        </w:rPr>
        <w:sym w:font="Symbol" w:char="F0AD"/>
      </w:r>
      <w:r w:rsidRPr="003A4E23">
        <w:rPr>
          <w:szCs w:val="24"/>
          <w:lang w:val="ru-RU"/>
        </w:rPr>
        <w:t xml:space="preserve">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i/>
          <w:szCs w:val="24"/>
          <w:vertAlign w:val="subscript"/>
          <w:lang w:val="ru-RU"/>
        </w:rPr>
        <w:t>ОП</w:t>
      </w:r>
      <w:r w:rsidRPr="003A4E23">
        <w:rPr>
          <w:i/>
          <w:szCs w:val="24"/>
          <w:vertAlign w:val="superscript"/>
          <w:lang w:val="ru-RU"/>
        </w:rPr>
        <w:t>−1</w:t>
      </w:r>
      <w:r w:rsidRPr="003A4E23">
        <w:rPr>
          <w:szCs w:val="24"/>
          <w:lang w:val="ru-RU"/>
        </w:rPr>
        <w:t> − (</w:t>
      </w:r>
      <w:r w:rsidRPr="003A4E23">
        <w:rPr>
          <w:i/>
          <w:szCs w:val="24"/>
          <w:lang w:val="ru-RU"/>
        </w:rPr>
        <w:t>C</w:t>
      </w:r>
      <w:r w:rsidRPr="003A4E23">
        <w:rPr>
          <w:szCs w:val="24"/>
          <w:lang w:val="ru-RU"/>
        </w:rPr>
        <w:t>/</w:t>
      </w:r>
      <w:r w:rsidRPr="003A4E23">
        <w:rPr>
          <w:i/>
          <w:szCs w:val="24"/>
          <w:lang w:val="ru-RU"/>
        </w:rPr>
        <w:t>N</w:t>
      </w:r>
      <w:r w:rsidRPr="003A4E23">
        <w:rPr>
          <w:szCs w:val="24"/>
          <w:vertAlign w:val="subscript"/>
          <w:lang w:val="ru-RU"/>
        </w:rPr>
        <w:t>0</w:t>
      </w:r>
      <w:r w:rsidRPr="003A4E23">
        <w:rPr>
          <w:szCs w:val="24"/>
          <w:lang w:val="ru-RU"/>
        </w:rPr>
        <w:t>)</w:t>
      </w:r>
      <w:r w:rsidRPr="003A4E23">
        <w:rPr>
          <w:szCs w:val="24"/>
          <w:vertAlign w:val="subscript"/>
          <w:lang w:val="ru-RU"/>
        </w:rPr>
        <w:sym w:font="Symbol" w:char="F0AF"/>
      </w:r>
      <w:r w:rsidRPr="003A4E23">
        <w:rPr>
          <w:szCs w:val="24"/>
          <w:vertAlign w:val="superscript"/>
          <w:lang w:val="ru-RU"/>
        </w:rPr>
        <w:t>−1</w:t>
      </w:r>
      <w:r w:rsidRPr="003A4E23">
        <w:rPr>
          <w:szCs w:val="24"/>
          <w:lang w:val="ru-RU"/>
        </w:rPr>
        <w:t>) − </w:t>
      </w:r>
      <w:r w:rsidRPr="003A4E23">
        <w:rPr>
          <w:i/>
          <w:szCs w:val="24"/>
          <w:lang w:val="ru-RU"/>
        </w:rPr>
        <w:t>N</w:t>
      </w:r>
      <w:r w:rsidRPr="003A4E23">
        <w:rPr>
          <w:szCs w:val="24"/>
          <w:vertAlign w:val="subscript"/>
          <w:lang w:val="ru-RU"/>
        </w:rPr>
        <w:t>0</w:t>
      </w:r>
      <w:r w:rsidRPr="003A4E23">
        <w:rPr>
          <w:szCs w:val="24"/>
          <w:vertAlign w:val="subscript"/>
          <w:lang w:val="ru-RU"/>
        </w:rPr>
        <w:sym w:font="Symbol" w:char="F0AD"/>
      </w:r>
      <w:r w:rsidRPr="003A4E23">
        <w:rPr>
          <w:szCs w:val="24"/>
          <w:lang w:val="ru-RU"/>
        </w:rPr>
        <w:t>)/(1</w:t>
      </w:r>
      <w:r w:rsidRPr="003A4E23">
        <w:rPr>
          <w:i/>
          <w:szCs w:val="24"/>
          <w:lang w:val="ru-RU"/>
        </w:rPr>
        <w:t xml:space="preserve"> + Lps </w:t>
      </w:r>
      <w:r w:rsidRPr="003A4E23">
        <w:rPr>
          <w:szCs w:val="24"/>
          <w:lang w:val="ru-RU"/>
        </w:rPr>
        <w:t>(</w:t>
      </w:r>
      <w:r w:rsidRPr="003A4E23">
        <w:rPr>
          <w:i/>
          <w:szCs w:val="24"/>
          <w:lang w:val="ru-RU"/>
        </w:rPr>
        <w:t>C</w:t>
      </w:r>
      <w:r w:rsidRPr="003A4E23">
        <w:rPr>
          <w:szCs w:val="24"/>
          <w:lang w:val="ru-RU"/>
        </w:rPr>
        <w:t>/</w:t>
      </w:r>
      <w:r w:rsidRPr="003A4E23">
        <w:rPr>
          <w:i/>
          <w:szCs w:val="24"/>
          <w:lang w:val="ru-RU"/>
        </w:rPr>
        <w:t>N</w:t>
      </w:r>
      <w:r w:rsidRPr="003A4E23">
        <w:rPr>
          <w:szCs w:val="24"/>
          <w:lang w:val="ru-RU"/>
        </w:rPr>
        <w:t>)</w:t>
      </w:r>
      <w:r w:rsidRPr="003A4E23">
        <w:rPr>
          <w:szCs w:val="24"/>
          <w:vertAlign w:val="subscript"/>
          <w:lang w:val="ru-RU"/>
        </w:rPr>
        <w:sym w:font="Symbol" w:char="F0AF"/>
      </w:r>
      <w:r w:rsidRPr="003A4E23">
        <w:rPr>
          <w:szCs w:val="24"/>
          <w:vertAlign w:val="superscript"/>
          <w:lang w:val="ru-RU"/>
        </w:rPr>
        <w:t>−1</w:t>
      </w:r>
      <w:r w:rsidRPr="003A4E23">
        <w:rPr>
          <w:szCs w:val="24"/>
          <w:lang w:val="ru-RU"/>
        </w:rPr>
        <w:t>) (численная величина).</w:t>
      </w:r>
      <w:r w:rsidRPr="003A4E23">
        <w:rPr>
          <w:szCs w:val="24"/>
          <w:lang w:val="ru-RU"/>
        </w:rPr>
        <w:tab/>
        <w:t>(24)</w:t>
      </w:r>
    </w:p>
    <w:p w:rsidR="0041192D" w:rsidRPr="003A4E23" w:rsidRDefault="0041192D" w:rsidP="000713F1">
      <w:pPr>
        <w:rPr>
          <w:lang w:val="ru-RU"/>
        </w:rPr>
      </w:pPr>
      <w:r w:rsidRPr="003A4E23">
        <w:rPr>
          <w:i/>
          <w:lang w:val="ru-RU"/>
        </w:rPr>
        <w:t>C</w:t>
      </w:r>
      <w:r w:rsidRPr="003A4E23">
        <w:rPr>
          <w:vertAlign w:val="subscript"/>
          <w:lang w:val="ru-RU"/>
        </w:rPr>
        <w:t>2</w:t>
      </w:r>
      <w:r w:rsidRPr="003A4E23">
        <w:rPr>
          <w:lang w:val="ru-RU"/>
        </w:rPr>
        <w:t xml:space="preserve"> равно –158,5 дБВт, </w:t>
      </w:r>
      <w:r w:rsidRPr="003A4E23">
        <w:rPr>
          <w:i/>
          <w:lang w:val="ru-RU"/>
        </w:rPr>
        <w:t>B</w:t>
      </w:r>
      <w:r w:rsidRPr="003A4E23">
        <w:rPr>
          <w:lang w:val="ru-RU"/>
        </w:rPr>
        <w:t xml:space="preserve"> равно 80 кГц,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i/>
          <w:vertAlign w:val="subscript"/>
          <w:lang w:val="ru-RU"/>
        </w:rPr>
        <w:t>ОП</w:t>
      </w:r>
      <w:r w:rsidRPr="003A4E23">
        <w:rPr>
          <w:lang w:val="ru-RU"/>
        </w:rPr>
        <w:t xml:space="preserve"> равно 34,8 дБ(Гц), </w:t>
      </w:r>
      <w:r w:rsidRPr="003A4E23">
        <w:rPr>
          <w:i/>
          <w:lang w:val="ru-RU"/>
        </w:rPr>
        <w:t>C</w:t>
      </w:r>
      <w:r w:rsidRPr="003A4E23">
        <w:rPr>
          <w:vertAlign w:val="subscript"/>
          <w:lang w:val="ru-RU"/>
        </w:rPr>
        <w:sym w:font="Symbol" w:char="F0AD"/>
      </w:r>
      <w:r w:rsidRPr="003A4E23">
        <w:rPr>
          <w:vertAlign w:val="subscript"/>
          <w:lang w:val="ru-RU"/>
        </w:rPr>
        <w:t xml:space="preserve"> </w:t>
      </w:r>
      <w:r w:rsidRPr="003A4E23">
        <w:rPr>
          <w:lang w:val="ru-RU"/>
        </w:rPr>
        <w:t xml:space="preserve"> равно –164,3 дБВт,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w:t>
      </w:r>
      <w:r w:rsidRPr="003A4E23">
        <w:rPr>
          <w:vertAlign w:val="subscript"/>
          <w:lang w:val="ru-RU"/>
        </w:rPr>
        <w:sym w:font="Symbol" w:char="F0AF"/>
      </w:r>
      <w:r w:rsidRPr="003A4E23">
        <w:rPr>
          <w:lang w:val="ru-RU"/>
        </w:rPr>
        <w:t xml:space="preserve"> равно 47,6 дБ(Гц), </w:t>
      </w:r>
      <w:r w:rsidRPr="003A4E23">
        <w:rPr>
          <w:i/>
          <w:lang w:val="ru-RU"/>
        </w:rPr>
        <w:t>N</w:t>
      </w:r>
      <w:r w:rsidRPr="003A4E23">
        <w:rPr>
          <w:vertAlign w:val="subscript"/>
          <w:lang w:val="ru-RU"/>
        </w:rPr>
        <w:t>0</w:t>
      </w:r>
      <w:r w:rsidRPr="003A4E23">
        <w:rPr>
          <w:vertAlign w:val="subscript"/>
          <w:lang w:val="ru-RU"/>
        </w:rPr>
        <w:sym w:font="Symbol" w:char="F0AD"/>
      </w:r>
      <w:r w:rsidRPr="003A4E23">
        <w:rPr>
          <w:lang w:val="ru-RU"/>
        </w:rPr>
        <w:t xml:space="preserve"> = –200,2 дБ(Вт/Гц), </w:t>
      </w:r>
      <w:r w:rsidRPr="003A4E23">
        <w:rPr>
          <w:i/>
          <w:lang w:val="ru-RU"/>
        </w:rPr>
        <w:t>Lps</w:t>
      </w:r>
      <w:r w:rsidRPr="003A4E23">
        <w:rPr>
          <w:lang w:val="ru-RU"/>
        </w:rPr>
        <w:t xml:space="preserve"> равно –14,7 дБ, а</w:t>
      </w:r>
      <w:r w:rsidRPr="003A4E23">
        <w:rPr>
          <w:i/>
          <w:lang w:val="ru-RU"/>
        </w:rPr>
        <w:t xml:space="preserve"> </w:t>
      </w:r>
      <w:r w:rsidRPr="003A4E23">
        <w:rPr>
          <w:lang w:val="ru-RU"/>
        </w:rPr>
        <w:t>(</w:t>
      </w:r>
      <w:r w:rsidRPr="003A4E23">
        <w:rPr>
          <w:i/>
          <w:lang w:val="ru-RU"/>
        </w:rPr>
        <w:t>C</w:t>
      </w:r>
      <w:r w:rsidRPr="003A4E23">
        <w:rPr>
          <w:lang w:val="ru-RU"/>
        </w:rPr>
        <w:t>/</w:t>
      </w:r>
      <w:r w:rsidRPr="003A4E23">
        <w:rPr>
          <w:i/>
          <w:lang w:val="ru-RU"/>
        </w:rPr>
        <w:t>N</w:t>
      </w:r>
      <w:r w:rsidRPr="003A4E23">
        <w:rPr>
          <w:lang w:val="ru-RU"/>
        </w:rPr>
        <w:t>)</w:t>
      </w:r>
      <w:r w:rsidRPr="003A4E23">
        <w:rPr>
          <w:vertAlign w:val="subscript"/>
          <w:lang w:val="ru-RU"/>
        </w:rPr>
        <w:sym w:font="Symbol" w:char="F0AF"/>
      </w:r>
      <w:r w:rsidRPr="003A4E23">
        <w:rPr>
          <w:lang w:val="ru-RU"/>
        </w:rPr>
        <w:t xml:space="preserve"> равно 47,6 дБ(Гц) минус 10 log(80k) или –1,4 дБ. Подставив эти численные значения в уравнение (24), получим:</w:t>
      </w:r>
    </w:p>
    <w:p w:rsidR="0041192D" w:rsidRPr="003A4E23" w:rsidRDefault="0041192D" w:rsidP="0041192D">
      <w:pPr>
        <w:pStyle w:val="Equation"/>
        <w:rPr>
          <w:szCs w:val="24"/>
          <w:lang w:val="ru-RU"/>
        </w:rPr>
      </w:pPr>
      <w:r w:rsidRPr="003A4E23">
        <w:rPr>
          <w:i/>
          <w:szCs w:val="24"/>
          <w:lang w:val="ru-RU"/>
        </w:rPr>
        <w:tab/>
      </w:r>
      <w:r w:rsidRPr="003A4E23">
        <w:rPr>
          <w:i/>
          <w:szCs w:val="24"/>
          <w:lang w:val="ru-RU"/>
        </w:rPr>
        <w:tab/>
        <w:t>I</w:t>
      </w:r>
      <w:r w:rsidRPr="003A4E23">
        <w:rPr>
          <w:szCs w:val="24"/>
          <w:vertAlign w:val="subscript"/>
          <w:lang w:val="ru-RU"/>
        </w:rPr>
        <w:t>0</w:t>
      </w:r>
      <w:r w:rsidRPr="003A4E23">
        <w:rPr>
          <w:szCs w:val="24"/>
          <w:lang w:val="ru-RU"/>
        </w:rPr>
        <w:t> = (10</w:t>
      </w:r>
      <w:r w:rsidRPr="003A4E23">
        <w:rPr>
          <w:szCs w:val="24"/>
          <w:vertAlign w:val="superscript"/>
          <w:lang w:val="ru-RU"/>
        </w:rPr>
        <w:t>–164,3/10</w:t>
      </w:r>
      <w:r w:rsidRPr="003A4E23">
        <w:rPr>
          <w:szCs w:val="24"/>
          <w:lang w:val="ru-RU"/>
        </w:rPr>
        <w:t xml:space="preserve"> (10</w:t>
      </w:r>
      <w:r w:rsidRPr="003A4E23">
        <w:rPr>
          <w:szCs w:val="24"/>
          <w:vertAlign w:val="superscript"/>
          <w:lang w:val="ru-RU"/>
        </w:rPr>
        <w:t>–34,8/10</w:t>
      </w:r>
      <w:r w:rsidRPr="003A4E23">
        <w:rPr>
          <w:szCs w:val="24"/>
          <w:lang w:val="ru-RU"/>
        </w:rPr>
        <w:t xml:space="preserve"> – 10</w:t>
      </w:r>
      <w:r w:rsidRPr="003A4E23">
        <w:rPr>
          <w:szCs w:val="24"/>
          <w:vertAlign w:val="superscript"/>
          <w:lang w:val="ru-RU"/>
        </w:rPr>
        <w:t>–47,6/10</w:t>
      </w:r>
      <w:r w:rsidRPr="003A4E23">
        <w:rPr>
          <w:szCs w:val="24"/>
          <w:lang w:val="ru-RU"/>
        </w:rPr>
        <w:t>) – 10</w:t>
      </w:r>
      <w:r w:rsidRPr="003A4E23">
        <w:rPr>
          <w:szCs w:val="24"/>
          <w:vertAlign w:val="superscript"/>
          <w:lang w:val="ru-RU"/>
        </w:rPr>
        <w:t>–200,2/10</w:t>
      </w:r>
      <w:r w:rsidRPr="003A4E23">
        <w:rPr>
          <w:szCs w:val="24"/>
          <w:lang w:val="ru-RU"/>
        </w:rPr>
        <w:t>) / (1 + 10</w:t>
      </w:r>
      <w:r w:rsidRPr="003A4E23">
        <w:rPr>
          <w:szCs w:val="24"/>
          <w:vertAlign w:val="superscript"/>
          <w:lang w:val="ru-RU"/>
        </w:rPr>
        <w:t>–14,7/10</w:t>
      </w:r>
      <w:r w:rsidRPr="003A4E23">
        <w:rPr>
          <w:szCs w:val="24"/>
          <w:lang w:val="ru-RU"/>
        </w:rPr>
        <w:t xml:space="preserve"> × 10</w:t>
      </w:r>
      <w:r w:rsidRPr="003A4E23">
        <w:rPr>
          <w:szCs w:val="24"/>
          <w:vertAlign w:val="superscript"/>
          <w:lang w:val="ru-RU"/>
        </w:rPr>
        <w:t>1,4/10</w:t>
      </w:r>
      <w:r w:rsidRPr="003A4E23">
        <w:rPr>
          <w:szCs w:val="24"/>
          <w:lang w:val="ru-RU"/>
        </w:rPr>
        <w:t>)</w:t>
      </w:r>
    </w:p>
    <w:p w:rsidR="0041192D" w:rsidRPr="003A4E23" w:rsidRDefault="0041192D" w:rsidP="0041192D">
      <w:pPr>
        <w:pStyle w:val="Equation"/>
        <w:rPr>
          <w:szCs w:val="24"/>
          <w:lang w:val="ru-RU"/>
        </w:rPr>
      </w:pPr>
      <w:r w:rsidRPr="003A4E23">
        <w:rPr>
          <w:i/>
          <w:szCs w:val="24"/>
          <w:lang w:val="ru-RU"/>
        </w:rPr>
        <w:tab/>
      </w:r>
      <w:r w:rsidRPr="003A4E23">
        <w:rPr>
          <w:i/>
          <w:szCs w:val="24"/>
          <w:lang w:val="ru-RU"/>
        </w:rPr>
        <w:tab/>
        <w:t>I</w:t>
      </w:r>
      <w:r w:rsidRPr="003A4E23">
        <w:rPr>
          <w:szCs w:val="24"/>
          <w:vertAlign w:val="subscript"/>
          <w:lang w:val="ru-RU"/>
        </w:rPr>
        <w:t>0</w:t>
      </w:r>
      <w:r w:rsidRPr="003A4E23">
        <w:rPr>
          <w:szCs w:val="24"/>
          <w:lang w:val="ru-RU"/>
        </w:rPr>
        <w:t xml:space="preserve"> = –207,3 дБ(Вт/Гц).</w:t>
      </w:r>
    </w:p>
    <w:p w:rsidR="0041192D" w:rsidRPr="003A4E23" w:rsidRDefault="0041192D" w:rsidP="0041192D">
      <w:pPr>
        <w:rPr>
          <w:lang w:val="ru-RU"/>
        </w:rPr>
      </w:pPr>
      <w:r w:rsidRPr="003A4E23">
        <w:rPr>
          <w:lang w:val="ru-RU"/>
        </w:rPr>
        <w:t>Рассматриваемые критерии защиты желательно характеризовать в виде порогового уровня с.п.п.м. помех, указываемого в дБ(Вт/м</w:t>
      </w:r>
      <w:r w:rsidRPr="003A4E23">
        <w:rPr>
          <w:vertAlign w:val="superscript"/>
          <w:lang w:val="ru-RU"/>
        </w:rPr>
        <w:t>2</w:t>
      </w:r>
      <w:r w:rsidRPr="003A4E23">
        <w:rPr>
          <w:lang w:val="ru-RU"/>
        </w:rPr>
        <w:t xml:space="preserve"> ∙ Гц), на входе спутниковой антенны 406 МГц. Эффективная апертура антенны </w:t>
      </w:r>
      <w:r w:rsidRPr="003A4E23">
        <w:rPr>
          <w:i/>
          <w:lang w:val="ru-RU"/>
        </w:rPr>
        <w:t>A</w:t>
      </w:r>
      <w:r w:rsidRPr="003A4E23">
        <w:rPr>
          <w:i/>
          <w:vertAlign w:val="subscript"/>
          <w:lang w:val="ru-RU"/>
        </w:rPr>
        <w:t>e</w:t>
      </w:r>
      <w:r w:rsidRPr="003A4E23">
        <w:rPr>
          <w:lang w:val="ru-RU"/>
        </w:rPr>
        <w:t xml:space="preserve"> с усилением </w:t>
      </w:r>
      <w:r w:rsidRPr="003A4E23">
        <w:rPr>
          <w:i/>
          <w:lang w:val="ru-RU"/>
        </w:rPr>
        <w:t>G</w:t>
      </w:r>
      <w:r w:rsidRPr="003A4E23">
        <w:rPr>
          <w:lang w:val="ru-RU"/>
        </w:rPr>
        <w:t xml:space="preserve"> определяется как </w:t>
      </w:r>
      <w:r w:rsidRPr="003A4E23">
        <w:rPr>
          <w:i/>
          <w:lang w:val="ru-RU"/>
        </w:rPr>
        <w:t>A</w:t>
      </w:r>
      <w:r w:rsidRPr="003A4E23">
        <w:rPr>
          <w:i/>
          <w:vertAlign w:val="subscript"/>
          <w:lang w:val="ru-RU"/>
        </w:rPr>
        <w:t>e</w:t>
      </w:r>
      <w:r w:rsidRPr="003A4E23">
        <w:rPr>
          <w:lang w:val="ru-RU"/>
        </w:rPr>
        <w:t> </w:t>
      </w:r>
      <w:r w:rsidRPr="003A4E23">
        <w:rPr>
          <w:rFonts w:ascii="Symbol" w:hAnsi="Symbol"/>
          <w:lang w:val="ru-RU"/>
        </w:rPr>
        <w:t></w:t>
      </w:r>
      <w:r w:rsidRPr="003A4E23">
        <w:rPr>
          <w:lang w:val="ru-RU"/>
        </w:rPr>
        <w:t> </w:t>
      </w:r>
      <w:r w:rsidRPr="003A4E23">
        <w:rPr>
          <w:i/>
          <w:lang w:val="ru-RU"/>
        </w:rPr>
        <w:t>G</w:t>
      </w:r>
      <w:r w:rsidRPr="003A4E23">
        <w:rPr>
          <w:lang w:val="ru-RU"/>
        </w:rPr>
        <w:t> </w:t>
      </w:r>
      <w:r w:rsidRPr="003A4E23">
        <w:rPr>
          <w:rFonts w:ascii="Symbol" w:hAnsi="Symbol"/>
          <w:lang w:val="ru-RU"/>
        </w:rPr>
        <w:t></w:t>
      </w:r>
      <w:r w:rsidRPr="003A4E23">
        <w:rPr>
          <w:vertAlign w:val="superscript"/>
          <w:lang w:val="ru-RU"/>
        </w:rPr>
        <w:t>2</w:t>
      </w:r>
      <w:r w:rsidRPr="003A4E23">
        <w:rPr>
          <w:lang w:val="ru-RU"/>
        </w:rPr>
        <w:t>/4</w:t>
      </w:r>
      <w:r w:rsidRPr="003A4E23">
        <w:rPr>
          <w:rFonts w:ascii="Symbol" w:hAnsi="Symbol"/>
          <w:lang w:val="ru-RU"/>
        </w:rPr>
        <w:t></w:t>
      </w:r>
      <w:r w:rsidRPr="003A4E23">
        <w:rPr>
          <w:rFonts w:ascii="Symbol" w:hAnsi="Symbol"/>
          <w:lang w:val="ru-RU"/>
        </w:rPr>
        <w:t></w:t>
      </w:r>
      <w:r w:rsidRPr="003A4E23">
        <w:rPr>
          <w:rFonts w:ascii="Symbol" w:hAnsi="Symbol"/>
          <w:lang w:val="ru-RU"/>
        </w:rPr>
        <w:t></w:t>
      </w:r>
      <w:r w:rsidRPr="003A4E23">
        <w:rPr>
          <w:lang w:val="ru-RU"/>
        </w:rPr>
        <w:t>Приемная антенна ГЛОНАСС имеет усиление 11,5 дБи, следовательно, эффективная апертура равна 0,61 м</w:t>
      </w:r>
      <w:r w:rsidRPr="003A4E23">
        <w:rPr>
          <w:vertAlign w:val="superscript"/>
          <w:lang w:val="ru-RU"/>
        </w:rPr>
        <w:t>2</w:t>
      </w:r>
      <w:r w:rsidRPr="003A4E23">
        <w:rPr>
          <w:lang w:val="ru-RU"/>
        </w:rPr>
        <w:t>. Максимальные приемлемые суммарные помехи, указываемые в виде с.п.п.м., составляют:</w:t>
      </w:r>
    </w:p>
    <w:p w:rsidR="0041192D" w:rsidRPr="003A4E23" w:rsidRDefault="0041192D" w:rsidP="0041192D">
      <w:pPr>
        <w:pStyle w:val="Equation"/>
        <w:rPr>
          <w:szCs w:val="24"/>
          <w:lang w:val="ru-RU"/>
        </w:rPr>
      </w:pPr>
      <w:r w:rsidRPr="003A4E23">
        <w:rPr>
          <w:szCs w:val="24"/>
          <w:lang w:val="ru-RU"/>
        </w:rPr>
        <w:tab/>
      </w:r>
      <w:r w:rsidRPr="003A4E23">
        <w:rPr>
          <w:szCs w:val="24"/>
          <w:lang w:val="ru-RU"/>
        </w:rPr>
        <w:tab/>
        <w:t xml:space="preserve">с.п.п.м. = </w:t>
      </w:r>
      <w:r w:rsidRPr="003A4E23">
        <w:rPr>
          <w:i/>
          <w:szCs w:val="24"/>
          <w:lang w:val="ru-RU"/>
        </w:rPr>
        <w:t>I</w:t>
      </w:r>
      <w:r w:rsidRPr="003A4E23">
        <w:rPr>
          <w:szCs w:val="24"/>
          <w:vertAlign w:val="subscript"/>
          <w:lang w:val="ru-RU"/>
        </w:rPr>
        <w:t>0</w:t>
      </w:r>
      <w:r w:rsidRPr="003A4E23">
        <w:rPr>
          <w:szCs w:val="24"/>
          <w:lang w:val="ru-RU"/>
        </w:rPr>
        <w:t xml:space="preserve"> – </w:t>
      </w:r>
      <w:r w:rsidRPr="003A4E23">
        <w:rPr>
          <w:i/>
          <w:szCs w:val="24"/>
          <w:lang w:val="ru-RU"/>
        </w:rPr>
        <w:t>L</w:t>
      </w:r>
      <w:r w:rsidRPr="003A4E23">
        <w:rPr>
          <w:i/>
          <w:szCs w:val="24"/>
          <w:vertAlign w:val="subscript"/>
          <w:lang w:val="ru-RU"/>
        </w:rPr>
        <w:t>линии</w:t>
      </w:r>
      <w:r w:rsidRPr="003A4E23">
        <w:rPr>
          <w:i/>
          <w:szCs w:val="24"/>
          <w:lang w:val="ru-RU"/>
        </w:rPr>
        <w:t xml:space="preserve"> </w:t>
      </w:r>
      <w:r w:rsidRPr="003A4E23">
        <w:rPr>
          <w:szCs w:val="24"/>
          <w:lang w:val="ru-RU"/>
        </w:rPr>
        <w:t xml:space="preserve"> − </w:t>
      </w:r>
      <w:r w:rsidRPr="003A4E23">
        <w:rPr>
          <w:i/>
          <w:szCs w:val="24"/>
          <w:lang w:val="ru-RU"/>
        </w:rPr>
        <w:t>A</w:t>
      </w:r>
      <w:r w:rsidRPr="003A4E23">
        <w:rPr>
          <w:i/>
          <w:szCs w:val="24"/>
          <w:vertAlign w:val="subscript"/>
          <w:lang w:val="ru-RU"/>
        </w:rPr>
        <w:t>e</w:t>
      </w:r>
      <w:r w:rsidRPr="003A4E23">
        <w:rPr>
          <w:szCs w:val="24"/>
          <w:lang w:val="ru-RU"/>
        </w:rPr>
        <w:t>.</w:t>
      </w:r>
    </w:p>
    <w:p w:rsidR="0041192D" w:rsidRPr="003A4E23" w:rsidRDefault="0041192D" w:rsidP="000713F1">
      <w:pPr>
        <w:rPr>
          <w:lang w:val="ru-RU"/>
        </w:rPr>
      </w:pPr>
      <w:r w:rsidRPr="003A4E23">
        <w:rPr>
          <w:lang w:val="ru-RU"/>
        </w:rPr>
        <w:t xml:space="preserve">Если предположить, что </w:t>
      </w:r>
      <w:r w:rsidRPr="003A4E23">
        <w:rPr>
          <w:i/>
          <w:lang w:val="ru-RU"/>
        </w:rPr>
        <w:t>L</w:t>
      </w:r>
      <w:r w:rsidRPr="003A4E23">
        <w:rPr>
          <w:i/>
          <w:vertAlign w:val="subscript"/>
          <w:lang w:val="ru-RU"/>
        </w:rPr>
        <w:t>линии</w:t>
      </w:r>
      <w:r w:rsidRPr="003A4E23">
        <w:rPr>
          <w:lang w:val="ru-RU"/>
        </w:rPr>
        <w:t xml:space="preserve"> = 0:</w:t>
      </w:r>
    </w:p>
    <w:p w:rsidR="0041192D" w:rsidRPr="003A4E23" w:rsidRDefault="0041192D" w:rsidP="0041192D">
      <w:pPr>
        <w:pStyle w:val="Equation"/>
        <w:rPr>
          <w:lang w:val="ru-RU"/>
        </w:rPr>
      </w:pPr>
      <w:r w:rsidRPr="003A4E23">
        <w:rPr>
          <w:lang w:val="ru-RU"/>
        </w:rPr>
        <w:tab/>
      </w:r>
      <w:r w:rsidRPr="003A4E23">
        <w:rPr>
          <w:lang w:val="ru-RU"/>
        </w:rPr>
        <w:tab/>
        <w:t>с.п.п.м. = –207,3 − 0 − 10 log (0,61)</w:t>
      </w:r>
    </w:p>
    <w:p w:rsidR="0041192D" w:rsidRPr="003A4E23" w:rsidRDefault="0041192D" w:rsidP="0041192D">
      <w:pPr>
        <w:pStyle w:val="Equation"/>
        <w:rPr>
          <w:lang w:val="ru-RU"/>
        </w:rPr>
      </w:pPr>
      <w:r w:rsidRPr="003A4E23">
        <w:rPr>
          <w:lang w:val="ru-RU"/>
        </w:rPr>
        <w:tab/>
      </w:r>
      <w:r w:rsidRPr="003A4E23">
        <w:rPr>
          <w:lang w:val="ru-RU"/>
        </w:rPr>
        <w:tab/>
        <w:t>с.п.п.м. = –205,2 дБ(Вт/(м</w:t>
      </w:r>
      <w:r w:rsidRPr="003A4E23">
        <w:rPr>
          <w:vertAlign w:val="superscript"/>
          <w:lang w:val="ru-RU"/>
        </w:rPr>
        <w:t>2</w:t>
      </w:r>
      <w:r w:rsidRPr="003A4E23">
        <w:rPr>
          <w:lang w:val="ru-RU"/>
        </w:rPr>
        <w:t> ∙ Гц)).</w:t>
      </w:r>
    </w:p>
    <w:p w:rsidR="0041192D" w:rsidRPr="003A4E23" w:rsidRDefault="0041192D" w:rsidP="0041192D">
      <w:pPr>
        <w:rPr>
          <w:color w:val="000000"/>
          <w:lang w:val="ru-RU"/>
        </w:rPr>
      </w:pPr>
      <w:r w:rsidRPr="003A4E23">
        <w:rPr>
          <w:lang w:val="ru-RU"/>
        </w:rPr>
        <w:t>Максимальный уровень широкополосных шумоподобных помех в полосе 406–406,1 МГц, измеренный на входе антенны спутника ГЛОНАСС, не должен превышать –205,2 дБ(Вт/(м</w:t>
      </w:r>
      <w:r w:rsidRPr="003A4E23">
        <w:rPr>
          <w:vertAlign w:val="superscript"/>
          <w:lang w:val="ru-RU"/>
        </w:rPr>
        <w:t>2</w:t>
      </w:r>
      <w:r w:rsidRPr="003A4E23">
        <w:rPr>
          <w:lang w:val="ru-RU"/>
        </w:rPr>
        <w:t> ∙ Гц)).</w:t>
      </w:r>
    </w:p>
    <w:p w:rsidR="0041192D" w:rsidRPr="003A4E23" w:rsidRDefault="0041192D" w:rsidP="0041192D">
      <w:pPr>
        <w:pStyle w:val="Heading1"/>
        <w:rPr>
          <w:lang w:val="ru-RU"/>
        </w:rPr>
      </w:pPr>
      <w:r w:rsidRPr="003A4E23">
        <w:rPr>
          <w:lang w:val="ru-RU"/>
        </w:rPr>
        <w:lastRenderedPageBreak/>
        <w:t>4</w:t>
      </w:r>
      <w:r w:rsidRPr="003A4E23">
        <w:rPr>
          <w:lang w:val="ru-RU"/>
        </w:rPr>
        <w:tab/>
        <w:t>Процедура вычисления уровня помех в канале SAR/ГЛОНАСС 406 МГц</w:t>
      </w:r>
    </w:p>
    <w:p w:rsidR="0041192D" w:rsidRPr="003A4E23" w:rsidRDefault="0041192D" w:rsidP="0041192D">
      <w:pPr>
        <w:rPr>
          <w:lang w:val="ru-RU"/>
        </w:rPr>
      </w:pPr>
      <w:r w:rsidRPr="003A4E23">
        <w:rPr>
          <w:lang w:val="ru-RU"/>
        </w:rPr>
        <w:t xml:space="preserve">Помехи, создаваемые системе Коспас-Сарсат, чаще всего являются результатом внеполосных излучений от служб в соседних или близких к ним полосах. </w:t>
      </w:r>
    </w:p>
    <w:p w:rsidR="0041192D" w:rsidRPr="003A4E23" w:rsidRDefault="0041192D" w:rsidP="0041192D">
      <w:pPr>
        <w:rPr>
          <w:lang w:val="ru-RU"/>
        </w:rPr>
      </w:pPr>
      <w:r w:rsidRPr="003A4E23">
        <w:rPr>
          <w:lang w:val="ru-RU"/>
        </w:rPr>
        <w:t>Чтобы определить, передается ли энергия в полосе 406–406,1 МГц, необходимо изучить ширину полосы излучения. Особую тщательность следует проявлять при анализе воздействия подвижных систем (например, негеостационарных спутников и приемников на борту воздушных судов), чтобы учесть эффекты допплеровского сдвига частоты, возникающего при их движении.</w:t>
      </w:r>
    </w:p>
    <w:p w:rsidR="0041192D" w:rsidRPr="003A4E23" w:rsidRDefault="0041192D" w:rsidP="0041192D">
      <w:pPr>
        <w:rPr>
          <w:lang w:val="ru-RU"/>
        </w:rPr>
      </w:pPr>
      <w:r w:rsidRPr="003A4E23">
        <w:rPr>
          <w:lang w:val="ru-RU"/>
        </w:rPr>
        <w:t>Необходимо вычислить уровень помех от всех источников, которые передают энергию в полосе частот 406–406,1 МГц, выражаемый как уровень с.п.п.м. на спутниковой антенне. Суммарный уровень для всех источников помех не должен превышать –205,2 дБ(Вт/(м</w:t>
      </w:r>
      <w:r w:rsidRPr="003A4E23">
        <w:rPr>
          <w:vertAlign w:val="superscript"/>
          <w:lang w:val="ru-RU"/>
        </w:rPr>
        <w:t>2</w:t>
      </w:r>
      <w:r w:rsidRPr="003A4E23">
        <w:rPr>
          <w:lang w:val="ru-RU"/>
        </w:rPr>
        <w:t> ∙ Гц)) в любой части этой полосы.</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t>Приложение 10</w:t>
      </w:r>
      <w:r w:rsidRPr="003A4E23">
        <w:rPr>
          <w:lang w:val="ru-RU"/>
        </w:rPr>
        <w:br/>
      </w:r>
      <w:r w:rsidRPr="003A4E23">
        <w:rPr>
          <w:lang w:val="ru-RU"/>
        </w:rPr>
        <w:br/>
        <w:t>Критерии защиты оборудования поиска и спасания системы Коспас-Сарсат</w:t>
      </w:r>
      <w:r w:rsidRPr="003A4E23">
        <w:rPr>
          <w:lang w:val="ru-RU"/>
        </w:rPr>
        <w:br/>
        <w:t xml:space="preserve"> в полосе частот 406–406,1 МГц (SAR/Galileo)</w:t>
      </w:r>
    </w:p>
    <w:p w:rsidR="0041192D" w:rsidRPr="003A4E23" w:rsidRDefault="0041192D" w:rsidP="0041192D">
      <w:pPr>
        <w:pStyle w:val="Heading1"/>
        <w:rPr>
          <w:lang w:val="ru-RU"/>
        </w:rPr>
      </w:pPr>
      <w:r w:rsidRPr="003A4E23">
        <w:rPr>
          <w:lang w:val="ru-RU"/>
        </w:rPr>
        <w:t>1</w:t>
      </w:r>
      <w:r w:rsidRPr="003A4E23">
        <w:rPr>
          <w:lang w:val="ru-RU"/>
        </w:rPr>
        <w:tab/>
        <w:t>Введение</w:t>
      </w:r>
    </w:p>
    <w:p w:rsidR="0041192D" w:rsidRPr="003A4E23" w:rsidRDefault="0041192D" w:rsidP="0041192D">
      <w:pPr>
        <w:rPr>
          <w:lang w:val="ru-RU" w:eastAsia="zh-CN"/>
        </w:rPr>
      </w:pPr>
      <w:r w:rsidRPr="003A4E23">
        <w:rPr>
          <w:lang w:val="ru-RU" w:eastAsia="zh-CN"/>
        </w:rPr>
        <w:t>Ретрансляторы поиска и спасания системы Коспас-Сарсат расположены на борту спутников Galileo. Эти ретрансляторы принимают сигналы от маяков, передающих с</w:t>
      </w:r>
      <w:r w:rsidR="003F3BD9">
        <w:rPr>
          <w:lang w:val="ru-RU" w:eastAsia="zh-CN"/>
        </w:rPr>
        <w:t>игналы бедствия в диапазоне 406</w:t>
      </w:r>
      <w:r w:rsidR="003F3BD9">
        <w:rPr>
          <w:lang w:val="en-US" w:eastAsia="zh-CN"/>
        </w:rPr>
        <w:t> </w:t>
      </w:r>
      <w:r w:rsidRPr="003A4E23">
        <w:rPr>
          <w:lang w:val="ru-RU" w:eastAsia="zh-CN"/>
        </w:rPr>
        <w:t>МГц, и транслируют сигналы на терминалы MEOLUT Коспас-Сарсат на частотах линии вниз в полосе 1544–1545 МГц. По результатам приведенного в данном Приложении анализа устанавливаются критерии защиты от помех для спутников Galileo, которые принимают сигналы от маяков, передающих сигналы бедствия в диапазоне 406 МГц,</w:t>
      </w:r>
      <w:r w:rsidRPr="003A4E23">
        <w:rPr>
          <w:lang w:val="ru-RU"/>
        </w:rPr>
        <w:t xml:space="preserve"> на линии вверх.</w:t>
      </w:r>
    </w:p>
    <w:p w:rsidR="0041192D" w:rsidRPr="003A4E23" w:rsidRDefault="0041192D" w:rsidP="0041192D">
      <w:pPr>
        <w:pStyle w:val="Heading1"/>
        <w:rPr>
          <w:b w:val="0"/>
          <w:lang w:val="ru-RU"/>
        </w:rPr>
      </w:pPr>
      <w:r w:rsidRPr="003A4E23">
        <w:rPr>
          <w:lang w:val="ru-RU"/>
        </w:rPr>
        <w:t>2</w:t>
      </w:r>
      <w:r w:rsidRPr="003A4E23">
        <w:rPr>
          <w:lang w:val="ru-RU"/>
        </w:rPr>
        <w:tab/>
        <w:t>Минимальные приемлемые характеристики для обнаружения сигналов маяков, передающих сигналы бедствия в диапазоне 406 МГц, транслируемых через спутники SAR/Galileo</w:t>
      </w:r>
    </w:p>
    <w:p w:rsidR="0041192D" w:rsidRPr="003A4E23" w:rsidRDefault="0041192D" w:rsidP="0041192D">
      <w:pPr>
        <w:rPr>
          <w:lang w:val="ru-RU" w:eastAsia="zh-CN"/>
        </w:rPr>
      </w:pPr>
      <w:r w:rsidRPr="003A4E23">
        <w:rPr>
          <w:lang w:val="ru-RU"/>
        </w:rPr>
        <w:t>Для оценки максимального приемлемого уровня широкополосных излучений рассматривается такой параметр качества работы, как минимально допустимый коэффициент BER: для надежного обнаружения сигналов от маяков, передающих сигналы бедствия в диапазоне 406 МГц, с использованием ретрансляторов 406 МГц на спутниках Galileo, BER в канале не должен превышать 5 </w:t>
      </w:r>
      <w:r w:rsidRPr="003A4E23">
        <w:rPr>
          <w:lang w:val="ru-RU"/>
        </w:rPr>
        <w:sym w:font="Symbol" w:char="F0B4"/>
      </w:r>
      <w:r w:rsidRPr="003A4E23">
        <w:rPr>
          <w:lang w:val="ru-RU"/>
        </w:rPr>
        <w:t> 10</w:t>
      </w:r>
      <w:r w:rsidRPr="003A4E23">
        <w:rPr>
          <w:vertAlign w:val="superscript"/>
          <w:lang w:val="ru-RU"/>
        </w:rPr>
        <w:t>−5</w:t>
      </w:r>
      <w:r w:rsidRPr="003A4E23">
        <w:rPr>
          <w:lang w:val="ru-RU"/>
        </w:rPr>
        <w:t xml:space="preserve">. Кроме того, поскольку </w:t>
      </w:r>
      <w:r w:rsidRPr="003A4E23">
        <w:rPr>
          <w:lang w:val="ru-RU" w:eastAsia="zh-CN"/>
        </w:rPr>
        <w:t>линия вверх преобладает</w:t>
      </w:r>
      <w:r w:rsidRPr="003A4E23">
        <w:rPr>
          <w:lang w:val="ru-RU"/>
        </w:rPr>
        <w:t xml:space="preserve"> в сквозной линии </w:t>
      </w:r>
      <w:r w:rsidRPr="003A4E23">
        <w:rPr>
          <w:lang w:val="ru-RU" w:eastAsia="zh-CN"/>
        </w:rPr>
        <w:t xml:space="preserve">(по </w:t>
      </w:r>
      <w:r w:rsidRPr="003A4E23">
        <w:rPr>
          <w:lang w:val="ru-RU"/>
        </w:rPr>
        <w:t xml:space="preserve">показателю </w:t>
      </w:r>
      <w:r w:rsidRPr="003A4E23">
        <w:rPr>
          <w:i/>
          <w:iCs/>
          <w:lang w:val="ru-RU" w:eastAsia="zh-CN"/>
        </w:rPr>
        <w:t>C</w:t>
      </w:r>
      <w:r w:rsidRPr="003A4E23">
        <w:rPr>
          <w:lang w:val="ru-RU" w:eastAsia="zh-CN"/>
        </w:rPr>
        <w:t>/</w:t>
      </w:r>
      <w:r w:rsidRPr="003A4E23">
        <w:rPr>
          <w:i/>
          <w:iCs/>
          <w:lang w:val="ru-RU" w:eastAsia="zh-CN"/>
        </w:rPr>
        <w:t>N</w:t>
      </w:r>
      <w:r w:rsidRPr="003A4E23">
        <w:rPr>
          <w:vertAlign w:val="subscript"/>
          <w:lang w:val="ru-RU" w:eastAsia="zh-CN"/>
        </w:rPr>
        <w:t>0</w:t>
      </w:r>
      <w:r w:rsidRPr="003A4E23">
        <w:rPr>
          <w:lang w:val="ru-RU" w:eastAsia="zh-CN"/>
        </w:rPr>
        <w:t xml:space="preserve">), то рассматривается значение </w:t>
      </w:r>
      <w:r w:rsidRPr="003A4E23">
        <w:rPr>
          <w:i/>
          <w:iCs/>
          <w:lang w:val="ru-RU" w:eastAsia="zh-CN"/>
        </w:rPr>
        <w:t>C</w:t>
      </w:r>
      <w:r w:rsidRPr="003A4E23">
        <w:rPr>
          <w:lang w:val="ru-RU" w:eastAsia="zh-CN"/>
        </w:rPr>
        <w:t>/</w:t>
      </w:r>
      <w:r w:rsidRPr="003A4E23">
        <w:rPr>
          <w:i/>
          <w:iCs/>
          <w:lang w:val="ru-RU" w:eastAsia="zh-CN"/>
        </w:rPr>
        <w:t>N</w:t>
      </w:r>
      <w:r w:rsidRPr="003A4E23">
        <w:rPr>
          <w:vertAlign w:val="subscript"/>
          <w:lang w:val="ru-RU" w:eastAsia="zh-CN"/>
        </w:rPr>
        <w:t>0</w:t>
      </w:r>
      <w:r w:rsidRPr="003A4E23">
        <w:rPr>
          <w:lang w:val="ru-RU" w:eastAsia="zh-CN"/>
        </w:rPr>
        <w:t xml:space="preserve"> на линии вверх.</w:t>
      </w:r>
    </w:p>
    <w:p w:rsidR="0041192D" w:rsidRPr="003A4E23" w:rsidRDefault="0041192D" w:rsidP="0041192D">
      <w:pPr>
        <w:pStyle w:val="Heading1"/>
        <w:rPr>
          <w:lang w:val="ru-RU"/>
        </w:rPr>
      </w:pPr>
      <w:r w:rsidRPr="003A4E23">
        <w:rPr>
          <w:lang w:val="ru-RU"/>
        </w:rPr>
        <w:t>3</w:t>
      </w:r>
      <w:r w:rsidRPr="003A4E23">
        <w:rPr>
          <w:lang w:val="ru-RU"/>
        </w:rPr>
        <w:tab/>
        <w:t>Анализ с.п.п.м. помех</w:t>
      </w:r>
    </w:p>
    <w:p w:rsidR="0041192D" w:rsidRPr="003A4E23" w:rsidRDefault="0041192D" w:rsidP="0041192D">
      <w:pPr>
        <w:rPr>
          <w:lang w:val="ru-RU" w:eastAsia="zh-CN"/>
        </w:rPr>
      </w:pPr>
      <w:r w:rsidRPr="003A4E23">
        <w:rPr>
          <w:lang w:val="ru-RU" w:eastAsia="zh-CN"/>
        </w:rPr>
        <w:t>Потенциальные помехи, присутствующие в диапазоне УВЧ SAR, изображены на рисунке 11.</w:t>
      </w:r>
    </w:p>
    <w:p w:rsidR="0041192D" w:rsidRPr="003A4E23" w:rsidRDefault="0041192D" w:rsidP="0041192D">
      <w:pPr>
        <w:pStyle w:val="FigureNo"/>
        <w:rPr>
          <w:lang w:val="ru-RU"/>
        </w:rPr>
      </w:pPr>
      <w:r w:rsidRPr="003A4E23">
        <w:rPr>
          <w:lang w:val="ru-RU"/>
        </w:rPr>
        <w:lastRenderedPageBreak/>
        <w:t>рисунок 11</w:t>
      </w:r>
    </w:p>
    <w:p w:rsidR="0041192D" w:rsidRPr="003A4E23" w:rsidRDefault="0041192D" w:rsidP="0041192D">
      <w:pPr>
        <w:pStyle w:val="Figuretitle"/>
        <w:rPr>
          <w:rFonts w:asciiTheme="majorBidi" w:hAnsiTheme="majorBidi" w:cstheme="majorBidi"/>
          <w:lang w:val="ru-RU"/>
        </w:rPr>
      </w:pPr>
      <w:r w:rsidRPr="003A4E23">
        <w:rPr>
          <w:rFonts w:asciiTheme="majorBidi" w:hAnsiTheme="majorBidi" w:cstheme="majorBidi"/>
          <w:lang w:val="ru-RU" w:eastAsia="zh-CN"/>
        </w:rPr>
        <w:t>Непреднамеренные помехи ретранслятору SAR/Galileo MEOSAR в диапазоне УВЧ</w:t>
      </w:r>
    </w:p>
    <w:p w:rsidR="0041192D" w:rsidRPr="003A4E23" w:rsidRDefault="0041192D" w:rsidP="0041192D">
      <w:pPr>
        <w:pStyle w:val="Figure"/>
        <w:rPr>
          <w:lang w:val="ru-RU"/>
        </w:rPr>
      </w:pPr>
      <w:r w:rsidRPr="003A4E23">
        <w:rPr>
          <w:lang w:val="ru-RU"/>
        </w:rPr>
        <w:object w:dxaOrig="8010" w:dyaOrig="4755">
          <v:shape id="_x0000_i1079" type="#_x0000_t75" style="width:400.7pt;height:237.9pt" o:ole="">
            <v:imagedata r:id="rId122" o:title="" cropright="14891f"/>
          </v:shape>
          <o:OLEObject Type="Embed" ProgID="CorelDRAW.Graphic.14" ShapeID="_x0000_i1079" DrawAspect="Content" ObjectID="_1500106795" r:id="rId123"/>
        </w:object>
      </w:r>
    </w:p>
    <w:p w:rsidR="0041192D" w:rsidRPr="003A4E23" w:rsidRDefault="0041192D" w:rsidP="0041192D">
      <w:pPr>
        <w:pStyle w:val="Heading2"/>
        <w:rPr>
          <w:lang w:val="ru-RU"/>
        </w:rPr>
      </w:pPr>
      <w:r w:rsidRPr="003A4E23">
        <w:rPr>
          <w:lang w:val="ru-RU"/>
        </w:rPr>
        <w:t>3.1</w:t>
      </w:r>
      <w:r w:rsidRPr="003A4E23">
        <w:rPr>
          <w:lang w:val="ru-RU"/>
        </w:rPr>
        <w:tab/>
        <w:t>Широкополосные помехи</w:t>
      </w:r>
    </w:p>
    <w:p w:rsidR="0041192D" w:rsidRPr="003A4E23" w:rsidRDefault="0041192D" w:rsidP="0041192D">
      <w:pPr>
        <w:rPr>
          <w:lang w:val="ru-RU" w:eastAsia="zh-CN"/>
        </w:rPr>
      </w:pPr>
      <w:r w:rsidRPr="003A4E23">
        <w:rPr>
          <w:lang w:val="ru-RU"/>
        </w:rPr>
        <w:t xml:space="preserve">Добавление широкополосного шума, воздействующего на полезную нагрузку SAR спутника </w:t>
      </w:r>
      <w:r w:rsidRPr="003A4E23">
        <w:rPr>
          <w:lang w:val="ru-RU" w:eastAsia="zh-CN"/>
        </w:rPr>
        <w:t xml:space="preserve">Galileo </w:t>
      </w:r>
      <w:r w:rsidRPr="003A4E23">
        <w:rPr>
          <w:lang w:val="ru-RU"/>
        </w:rPr>
        <w:t xml:space="preserve">Сарсат, ведет к возрастанию коэффициента BER в системе и тем самым негативно влияет на ее характеристики. Как определено в исследованиях МСЭ-R, максимальный приемлемый коэффициент BER на линии вверх для системы </w:t>
      </w:r>
      <w:r w:rsidRPr="003A4E23">
        <w:rPr>
          <w:lang w:val="ru-RU" w:eastAsia="zh-CN"/>
        </w:rPr>
        <w:t xml:space="preserve">Galileo SAR </w:t>
      </w:r>
      <w:r w:rsidRPr="003A4E23">
        <w:rPr>
          <w:lang w:val="ru-RU"/>
        </w:rPr>
        <w:t>не может превышать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Исходя из этого требования в ходе данного анализа определяется максимальная приемлемая плотность потока мощности, связанная с широкополосным шумом в канале на линии вверх </w:t>
      </w:r>
      <w:r w:rsidRPr="003A4E23">
        <w:rPr>
          <w:lang w:val="ru-RU" w:eastAsia="zh-CN"/>
        </w:rPr>
        <w:t>Galileo</w:t>
      </w:r>
      <w:r w:rsidRPr="003A4E23">
        <w:rPr>
          <w:lang w:val="ru-RU"/>
        </w:rPr>
        <w:t xml:space="preserve"> Сарсат. Шумовая температура системы, несущей полезную нагрузку </w:t>
      </w:r>
      <w:r w:rsidRPr="003A4E23">
        <w:rPr>
          <w:lang w:val="ru-RU" w:eastAsia="zh-CN"/>
        </w:rPr>
        <w:t>Galileo</w:t>
      </w:r>
      <w:r w:rsidRPr="003A4E23">
        <w:rPr>
          <w:lang w:val="ru-RU"/>
        </w:rPr>
        <w:t xml:space="preserve"> Сарсат, на входе приемника полезной нагрузки </w:t>
      </w:r>
      <w:r w:rsidRPr="003A4E23">
        <w:rPr>
          <w:lang w:val="ru-RU" w:eastAsia="zh-CN"/>
        </w:rPr>
        <w:t>SAR равна 600 K (= 27,7 дБK).</w:t>
      </w:r>
    </w:p>
    <w:p w:rsidR="0041192D" w:rsidRPr="003A4E23" w:rsidRDefault="0041192D" w:rsidP="0041192D">
      <w:pPr>
        <w:rPr>
          <w:lang w:val="ru-RU" w:eastAsia="zh-CN"/>
        </w:rPr>
      </w:pPr>
      <w:r w:rsidRPr="003A4E23">
        <w:rPr>
          <w:lang w:val="ru-RU" w:eastAsia="zh-CN"/>
        </w:rPr>
        <w:t>Поэтому спектральная плотность шума равна:</w:t>
      </w:r>
    </w:p>
    <w:p w:rsidR="0041192D" w:rsidRPr="003A4E23" w:rsidRDefault="0041192D" w:rsidP="0041192D">
      <w:pPr>
        <w:pStyle w:val="Equation"/>
        <w:rPr>
          <w:lang w:val="ru-RU" w:eastAsia="zh-CN"/>
        </w:rPr>
      </w:pPr>
      <w:r w:rsidRPr="003A4E23">
        <w:rPr>
          <w:lang w:val="ru-RU" w:eastAsia="zh-CN"/>
        </w:rPr>
        <w:tab/>
      </w:r>
      <w:r w:rsidRPr="003A4E23">
        <w:rPr>
          <w:lang w:val="ru-RU" w:eastAsia="zh-CN"/>
        </w:rPr>
        <w:tab/>
      </w:r>
      <w:r w:rsidRPr="003A4E23">
        <w:rPr>
          <w:i/>
          <w:iCs/>
          <w:lang w:val="ru-RU" w:eastAsia="zh-CN"/>
        </w:rPr>
        <w:t>N</w:t>
      </w:r>
      <w:r w:rsidRPr="003A4E23">
        <w:rPr>
          <w:vertAlign w:val="subscript"/>
          <w:lang w:val="ru-RU" w:eastAsia="zh-CN"/>
        </w:rPr>
        <w:t>0</w:t>
      </w:r>
      <w:r w:rsidRPr="003A4E23">
        <w:rPr>
          <w:lang w:val="ru-RU" w:eastAsia="zh-CN"/>
        </w:rPr>
        <w:t xml:space="preserve"> = −228,6 + 27,7 = −200,9 дБ(Вт/Гц)</w:t>
      </w:r>
      <w:r w:rsidRPr="003A4E23">
        <w:rPr>
          <w:lang w:val="ru-RU" w:eastAsia="zh-CN"/>
        </w:rPr>
        <w:tab/>
        <w:t>(25)</w:t>
      </w:r>
    </w:p>
    <w:p w:rsidR="0041192D" w:rsidRPr="003A4E23" w:rsidRDefault="0041192D" w:rsidP="00434E76">
      <w:pPr>
        <w:rPr>
          <w:lang w:val="ru-RU"/>
        </w:rPr>
      </w:pPr>
      <w:r w:rsidRPr="003A4E23">
        <w:rPr>
          <w:lang w:val="ru-RU"/>
        </w:rPr>
        <w:t xml:space="preserve">Согласно спецификации для наихудшего случая, терминал </w:t>
      </w:r>
      <w:r w:rsidRPr="003A4E23">
        <w:rPr>
          <w:lang w:val="ru-RU" w:eastAsia="zh-CN"/>
        </w:rPr>
        <w:t xml:space="preserve">MLT </w:t>
      </w:r>
      <w:proofErr w:type="spellStart"/>
      <w:r w:rsidRPr="003A4E23">
        <w:rPr>
          <w:lang w:val="ru-RU" w:eastAsia="zh-CN"/>
        </w:rPr>
        <w:t>Galileo</w:t>
      </w:r>
      <w:proofErr w:type="spellEnd"/>
      <w:r w:rsidRPr="003A4E23">
        <w:rPr>
          <w:lang w:val="ru-RU" w:eastAsia="zh-CN"/>
        </w:rPr>
        <w:t xml:space="preserve"> SAR </w:t>
      </w:r>
      <w:r w:rsidRPr="003A4E23">
        <w:rPr>
          <w:lang w:val="ru-RU"/>
        </w:rPr>
        <w:t xml:space="preserve">разработан так, чтобы правильно работать при минимальной мощности принимаемого сигнала </w:t>
      </w:r>
      <w:r w:rsidRPr="003A4E23">
        <w:rPr>
          <w:i/>
          <w:lang w:val="ru-RU"/>
        </w:rPr>
        <w:t>C</w:t>
      </w:r>
      <w:r w:rsidRPr="003A4E23">
        <w:rPr>
          <w:lang w:val="ru-RU"/>
        </w:rPr>
        <w:t> </w:t>
      </w:r>
      <w:r w:rsidRPr="003A4E23">
        <w:rPr>
          <w:rFonts w:ascii="Symbol" w:hAnsi="Symbol"/>
          <w:lang w:val="ru-RU"/>
        </w:rPr>
        <w:t></w:t>
      </w:r>
      <w:r w:rsidRPr="003A4E23">
        <w:rPr>
          <w:lang w:val="ru-RU"/>
        </w:rPr>
        <w:t> –165,2 </w:t>
      </w:r>
      <w:proofErr w:type="spellStart"/>
      <w:r w:rsidRPr="003A4E23">
        <w:rPr>
          <w:lang w:val="ru-RU"/>
        </w:rPr>
        <w:t>дБВт</w:t>
      </w:r>
      <w:proofErr w:type="spellEnd"/>
      <w:r w:rsidRPr="003A4E23">
        <w:rPr>
          <w:lang w:val="ru-RU"/>
        </w:rPr>
        <w:t xml:space="preserve">; данная величина принимаемого сигнала соответствует минимальному отношению </w:t>
      </w:r>
      <w:r w:rsidRPr="003A4E23">
        <w:rPr>
          <w:i/>
          <w:lang w:val="ru-RU" w:eastAsia="zh-CN"/>
        </w:rPr>
        <w:t>C</w:t>
      </w:r>
      <w:r w:rsidRPr="003A4E23">
        <w:rPr>
          <w:lang w:val="ru-RU" w:eastAsia="zh-CN"/>
        </w:rPr>
        <w:t>/</w:t>
      </w:r>
      <w:r w:rsidRPr="003A4E23">
        <w:rPr>
          <w:i/>
          <w:lang w:val="ru-RU" w:eastAsia="zh-CN"/>
        </w:rPr>
        <w:t>N</w:t>
      </w:r>
      <w:r w:rsidRPr="003A4E23">
        <w:rPr>
          <w:iCs/>
          <w:vertAlign w:val="subscript"/>
          <w:lang w:val="ru-RU" w:eastAsia="zh-CN"/>
        </w:rPr>
        <w:t>0</w:t>
      </w:r>
      <w:r w:rsidRPr="003A4E23">
        <w:rPr>
          <w:lang w:val="ru-RU" w:eastAsia="zh-CN"/>
        </w:rPr>
        <w:t xml:space="preserve"> на линии вверх, равному 35,7 дБ(Гц),</w:t>
      </w:r>
      <w:r w:rsidRPr="003A4E23">
        <w:rPr>
          <w:lang w:val="ru-RU"/>
        </w:rPr>
        <w:t xml:space="preserve"> на входе приемника, что обеспечивает эффективное отношение </w:t>
      </w:r>
      <w:proofErr w:type="spellStart"/>
      <w:r w:rsidRPr="003A4E23">
        <w:rPr>
          <w:i/>
          <w:lang w:val="ru-RU"/>
        </w:rPr>
        <w:t>E</w:t>
      </w:r>
      <w:r w:rsidRPr="003A4E23">
        <w:rPr>
          <w:i/>
          <w:vertAlign w:val="subscript"/>
          <w:lang w:val="ru-RU"/>
        </w:rPr>
        <w:t>b</w:t>
      </w:r>
      <w:proofErr w:type="spellEnd"/>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xml:space="preserve"> 9,7 дБ </w:t>
      </w:r>
      <w:r w:rsidR="003F3BD9">
        <w:rPr>
          <w:lang w:val="ru-RU"/>
        </w:rPr>
        <w:br/>
      </w:r>
      <w:r w:rsidRPr="003A4E23">
        <w:rPr>
          <w:lang w:val="ru-RU"/>
        </w:rPr>
        <w:t xml:space="preserve">(с учетом скорости передачи информации </w:t>
      </w:r>
      <w:r w:rsidRPr="003A4E23">
        <w:rPr>
          <w:lang w:val="ru-RU" w:eastAsia="zh-CN"/>
        </w:rPr>
        <w:t xml:space="preserve">400 бит/с (26 дБ)) </w:t>
      </w:r>
      <w:r w:rsidRPr="003A4E23">
        <w:rPr>
          <w:lang w:val="ru-RU"/>
        </w:rPr>
        <w:t>в битовом детекторе полезной нагрузки SAR. В этом случае соответствующий BER равен 8 </w:t>
      </w:r>
      <w:r w:rsidRPr="003A4E23">
        <w:rPr>
          <w:rFonts w:ascii="Symbol" w:hAnsi="Symbol"/>
          <w:lang w:val="ru-RU"/>
        </w:rPr>
        <w:t></w:t>
      </w:r>
      <w:r w:rsidRPr="003A4E23">
        <w:rPr>
          <w:lang w:val="ru-RU"/>
        </w:rPr>
        <w:t> 10</w:t>
      </w:r>
      <w:r w:rsidRPr="003A4E23">
        <w:rPr>
          <w:vertAlign w:val="superscript"/>
          <w:lang w:val="ru-RU"/>
        </w:rPr>
        <w:t>–6</w:t>
      </w:r>
      <w:r w:rsidRPr="003A4E23">
        <w:rPr>
          <w:lang w:val="ru-RU"/>
        </w:rPr>
        <w:t>.</w:t>
      </w:r>
    </w:p>
    <w:p w:rsidR="0041192D" w:rsidRPr="003A4E23" w:rsidRDefault="0041192D" w:rsidP="0041192D">
      <w:pPr>
        <w:rPr>
          <w:lang w:val="ru-RU"/>
        </w:rPr>
      </w:pPr>
      <w:r w:rsidRPr="003A4E23">
        <w:rPr>
          <w:lang w:val="ru-RU"/>
        </w:rPr>
        <w:t>Отсюда следует, что для достижения значения BER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 xml:space="preserve"> максимальное приемлемое ухудшение составляет 0,9 дБ. При </w:t>
      </w:r>
      <w:r w:rsidRPr="003A4E23">
        <w:rPr>
          <w:i/>
          <w:lang w:val="ru-RU"/>
        </w:rPr>
        <w:t>E</w:t>
      </w:r>
      <w:r w:rsidRPr="003A4E23">
        <w:rPr>
          <w:i/>
          <w:vertAlign w:val="subscript"/>
          <w:lang w:val="ru-RU"/>
        </w:rPr>
        <w:t>b</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8,8 дБ BER равен 5 </w:t>
      </w:r>
      <w:r w:rsidRPr="003A4E23">
        <w:rPr>
          <w:rFonts w:ascii="Symbol" w:hAnsi="Symbol"/>
          <w:lang w:val="ru-RU"/>
        </w:rPr>
        <w:t></w:t>
      </w:r>
      <w:r w:rsidRPr="003A4E23">
        <w:rPr>
          <w:lang w:val="ru-RU"/>
        </w:rPr>
        <w:t> 10</w:t>
      </w:r>
      <w:r w:rsidRPr="003A4E23">
        <w:rPr>
          <w:vertAlign w:val="superscript"/>
          <w:lang w:val="ru-RU"/>
        </w:rPr>
        <w:t>–5</w:t>
      </w:r>
      <w:r w:rsidRPr="003A4E23">
        <w:rPr>
          <w:lang w:val="ru-RU"/>
        </w:rPr>
        <w:t>.</w:t>
      </w:r>
    </w:p>
    <w:p w:rsidR="0041192D" w:rsidRPr="003A4E23" w:rsidRDefault="0041192D" w:rsidP="0041192D">
      <w:pPr>
        <w:rPr>
          <w:lang w:val="ru-RU"/>
        </w:rPr>
      </w:pPr>
      <w:r w:rsidRPr="003A4E23">
        <w:rPr>
          <w:lang w:val="ru-RU"/>
        </w:rPr>
        <w:t xml:space="preserve">В данном случае вычисляется аддитивный шум, соответствующий ухудшению 0,9 дБ для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Пусть </w:t>
      </w:r>
      <w:r w:rsidRPr="003A4E23">
        <w:rPr>
          <w:i/>
          <w:iCs/>
          <w:lang w:val="ru-RU"/>
        </w:rPr>
        <w:t>I</w:t>
      </w:r>
      <w:r w:rsidRPr="003A4E23">
        <w:rPr>
          <w:vertAlign w:val="subscript"/>
          <w:lang w:val="ru-RU"/>
        </w:rPr>
        <w:t>0</w:t>
      </w:r>
      <w:r w:rsidRPr="003A4E23">
        <w:rPr>
          <w:lang w:val="ru-RU"/>
        </w:rPr>
        <w:t xml:space="preserve"> представляет плотность мощности аддитивного шума, создаваемого источниками помех.</w:t>
      </w:r>
    </w:p>
    <w:p w:rsidR="0041192D" w:rsidRPr="003A4E23" w:rsidRDefault="0041192D" w:rsidP="0041192D">
      <w:pPr>
        <w:rPr>
          <w:lang w:val="ru-RU" w:eastAsia="zh-CN"/>
        </w:rPr>
      </w:pPr>
      <w:r w:rsidRPr="003A4E23">
        <w:rPr>
          <w:lang w:val="ru-RU"/>
        </w:rPr>
        <w:t xml:space="preserve">Начальный шум </w:t>
      </w:r>
      <w:r w:rsidRPr="003A4E23">
        <w:rPr>
          <w:i/>
          <w:lang w:val="ru-RU"/>
        </w:rPr>
        <w:t>N</w:t>
      </w:r>
      <w:r w:rsidRPr="003A4E23">
        <w:rPr>
          <w:vertAlign w:val="subscript"/>
          <w:lang w:val="ru-RU"/>
        </w:rPr>
        <w:t xml:space="preserve">0 </w:t>
      </w:r>
      <w:r w:rsidRPr="003A4E23">
        <w:rPr>
          <w:lang w:val="ru-RU"/>
        </w:rPr>
        <w:t xml:space="preserve">становится равным </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 xml:space="preserve">. Отношение несущая-шум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xml:space="preserve"> становится равным </w:t>
      </w:r>
      <w:r w:rsidRPr="003A4E23">
        <w:rPr>
          <w:i/>
          <w:lang w:val="ru-RU"/>
        </w:rPr>
        <w:t>C</w:t>
      </w:r>
      <w:r w:rsidRPr="003A4E23">
        <w:rPr>
          <w:lang w:val="ru-RU"/>
        </w:rPr>
        <w:t>/(</w:t>
      </w:r>
      <w:r w:rsidRPr="003A4E23">
        <w:rPr>
          <w:i/>
          <w:lang w:val="ru-RU"/>
        </w:rPr>
        <w:t>N</w:t>
      </w:r>
      <w:r w:rsidRPr="003A4E23">
        <w:rPr>
          <w:vertAlign w:val="subscript"/>
          <w:lang w:val="ru-RU"/>
        </w:rPr>
        <w:t>0</w:t>
      </w:r>
      <w:r w:rsidRPr="003A4E23">
        <w:rPr>
          <w:lang w:val="ru-RU"/>
        </w:rPr>
        <w:t> </w:t>
      </w:r>
      <w:r w:rsidRPr="003A4E23">
        <w:rPr>
          <w:rFonts w:ascii="Symbol" w:hAnsi="Symbol"/>
          <w:lang w:val="ru-RU"/>
        </w:rPr>
        <w:t></w:t>
      </w:r>
      <w:r w:rsidRPr="003A4E23">
        <w:rPr>
          <w:lang w:val="ru-RU"/>
        </w:rPr>
        <w:t> </w:t>
      </w:r>
      <w:r w:rsidRPr="003A4E23">
        <w:rPr>
          <w:i/>
          <w:lang w:val="ru-RU"/>
        </w:rPr>
        <w:t>I</w:t>
      </w:r>
      <w:r w:rsidRPr="003A4E23">
        <w:rPr>
          <w:vertAlign w:val="subscript"/>
          <w:lang w:val="ru-RU"/>
        </w:rPr>
        <w:t>0</w:t>
      </w:r>
      <w:r w:rsidRPr="003A4E23">
        <w:rPr>
          <w:lang w:val="ru-RU"/>
        </w:rPr>
        <w:t>).</w:t>
      </w:r>
    </w:p>
    <w:p w:rsidR="0041192D" w:rsidRPr="003A4E23" w:rsidRDefault="0041192D" w:rsidP="0041192D">
      <w:pPr>
        <w:rPr>
          <w:lang w:val="ru-RU"/>
        </w:rPr>
      </w:pPr>
      <w:r w:rsidRPr="003A4E23">
        <w:rPr>
          <w:lang w:val="ru-RU"/>
        </w:rPr>
        <w:t>Ухудшение составляет:</w:t>
      </w:r>
    </w:p>
    <w:p w:rsidR="0041192D" w:rsidRPr="003A4E23" w:rsidRDefault="0041192D" w:rsidP="0041192D">
      <w:pPr>
        <w:pStyle w:val="Equation"/>
        <w:rPr>
          <w:lang w:val="ru-RU" w:eastAsia="zh-CN"/>
        </w:rPr>
      </w:pPr>
      <w:r w:rsidRPr="003A4E23">
        <w:rPr>
          <w:lang w:val="ru-RU" w:eastAsia="zh-CN"/>
        </w:rPr>
        <w:tab/>
      </w:r>
      <w:r w:rsidRPr="003A4E23">
        <w:rPr>
          <w:lang w:val="ru-RU" w:eastAsia="zh-CN"/>
        </w:rPr>
        <w:tab/>
        <w:t>0,9 дБ = 10 log ((</w:t>
      </w:r>
      <w:r w:rsidRPr="003A4E23">
        <w:rPr>
          <w:i/>
          <w:iCs/>
          <w:lang w:val="ru-RU" w:eastAsia="zh-CN"/>
        </w:rPr>
        <w:t>C</w:t>
      </w:r>
      <w:r w:rsidRPr="003A4E23">
        <w:rPr>
          <w:lang w:val="ru-RU" w:eastAsia="zh-CN"/>
        </w:rPr>
        <w:t>/</w:t>
      </w:r>
      <w:r w:rsidRPr="003A4E23">
        <w:rPr>
          <w:i/>
          <w:iCs/>
          <w:lang w:val="ru-RU" w:eastAsia="zh-CN"/>
        </w:rPr>
        <w:t>N</w:t>
      </w:r>
      <w:r w:rsidRPr="003A4E23">
        <w:rPr>
          <w:vertAlign w:val="subscript"/>
          <w:lang w:val="ru-RU" w:eastAsia="zh-CN"/>
        </w:rPr>
        <w:t>0</w:t>
      </w:r>
      <w:r w:rsidRPr="003A4E23">
        <w:rPr>
          <w:lang w:val="ru-RU" w:eastAsia="zh-CN"/>
        </w:rPr>
        <w:t>)/(</w:t>
      </w:r>
      <w:r w:rsidRPr="003A4E23">
        <w:rPr>
          <w:i/>
          <w:iCs/>
          <w:lang w:val="ru-RU" w:eastAsia="zh-CN"/>
        </w:rPr>
        <w:t>C</w:t>
      </w:r>
      <w:r w:rsidRPr="003A4E23">
        <w:rPr>
          <w:lang w:val="ru-RU" w:eastAsia="zh-CN"/>
        </w:rPr>
        <w:t>/(</w:t>
      </w:r>
      <w:r w:rsidRPr="003A4E23">
        <w:rPr>
          <w:i/>
          <w:iCs/>
          <w:lang w:val="ru-RU" w:eastAsia="zh-CN"/>
        </w:rPr>
        <w:t>N</w:t>
      </w:r>
      <w:r w:rsidRPr="003A4E23">
        <w:rPr>
          <w:vertAlign w:val="subscript"/>
          <w:lang w:val="ru-RU" w:eastAsia="zh-CN"/>
        </w:rPr>
        <w:t>0</w:t>
      </w:r>
      <w:r w:rsidRPr="003A4E23">
        <w:rPr>
          <w:lang w:val="ru-RU" w:eastAsia="zh-CN"/>
        </w:rPr>
        <w:t xml:space="preserve"> + </w:t>
      </w:r>
      <w:r w:rsidRPr="003A4E23">
        <w:rPr>
          <w:i/>
          <w:iCs/>
          <w:lang w:val="ru-RU" w:eastAsia="zh-CN"/>
        </w:rPr>
        <w:t>I</w:t>
      </w:r>
      <w:r w:rsidRPr="003A4E23">
        <w:rPr>
          <w:vertAlign w:val="subscript"/>
          <w:lang w:val="ru-RU" w:eastAsia="zh-CN"/>
        </w:rPr>
        <w:t>0</w:t>
      </w:r>
      <w:r w:rsidRPr="003A4E23">
        <w:rPr>
          <w:lang w:val="ru-RU" w:eastAsia="zh-CN"/>
        </w:rPr>
        <w:t>)))</w:t>
      </w:r>
      <w:r w:rsidRPr="003A4E23">
        <w:rPr>
          <w:lang w:val="ru-RU" w:eastAsia="zh-CN"/>
        </w:rPr>
        <w:tab/>
        <w:t>(26)</w:t>
      </w:r>
    </w:p>
    <w:p w:rsidR="0041192D" w:rsidRPr="003A4E23" w:rsidRDefault="0041192D" w:rsidP="0041192D">
      <w:pPr>
        <w:rPr>
          <w:lang w:val="ru-RU" w:eastAsia="zh-CN"/>
        </w:rPr>
      </w:pPr>
      <w:r w:rsidRPr="003A4E23">
        <w:rPr>
          <w:lang w:val="ru-RU"/>
        </w:rPr>
        <w:t xml:space="preserve">таким образом, </w:t>
      </w:r>
      <w:r w:rsidRPr="003A4E23">
        <w:rPr>
          <w:i/>
          <w:lang w:val="ru-RU" w:eastAsia="zh-CN"/>
        </w:rPr>
        <w:t>I</w:t>
      </w:r>
      <w:r w:rsidRPr="003A4E23">
        <w:rPr>
          <w:iCs/>
          <w:vertAlign w:val="subscript"/>
          <w:lang w:val="ru-RU" w:eastAsia="zh-CN"/>
        </w:rPr>
        <w:t>0</w:t>
      </w:r>
      <w:r w:rsidRPr="003A4E23">
        <w:rPr>
          <w:i/>
          <w:lang w:val="ru-RU" w:eastAsia="zh-CN"/>
        </w:rPr>
        <w:t>/N</w:t>
      </w:r>
      <w:r w:rsidRPr="003A4E23">
        <w:rPr>
          <w:iCs/>
          <w:vertAlign w:val="subscript"/>
          <w:lang w:val="ru-RU" w:eastAsia="zh-CN"/>
        </w:rPr>
        <w:t>0</w:t>
      </w:r>
      <w:r w:rsidRPr="003A4E23">
        <w:rPr>
          <w:i/>
          <w:lang w:val="ru-RU" w:eastAsia="zh-CN"/>
        </w:rPr>
        <w:t xml:space="preserve"> </w:t>
      </w:r>
      <w:r w:rsidRPr="003A4E23">
        <w:rPr>
          <w:lang w:val="ru-RU" w:eastAsia="zh-CN"/>
        </w:rPr>
        <w:t xml:space="preserve">= –6,38 дБ, а </w:t>
      </w:r>
      <w:r w:rsidRPr="003A4E23">
        <w:rPr>
          <w:i/>
          <w:lang w:val="ru-RU" w:eastAsia="zh-CN"/>
        </w:rPr>
        <w:t>I</w:t>
      </w:r>
      <w:r w:rsidRPr="003A4E23">
        <w:rPr>
          <w:iCs/>
          <w:vertAlign w:val="subscript"/>
          <w:lang w:val="ru-RU" w:eastAsia="zh-CN"/>
        </w:rPr>
        <w:t>0</w:t>
      </w:r>
      <w:r w:rsidRPr="003A4E23">
        <w:rPr>
          <w:lang w:val="ru-RU" w:eastAsia="zh-CN"/>
        </w:rPr>
        <w:t xml:space="preserve"> = −207,28 </w:t>
      </w:r>
      <w:r w:rsidRPr="003A4E23">
        <w:rPr>
          <w:lang w:val="ru-RU"/>
        </w:rPr>
        <w:t>дБ(Вт/Гц)</w:t>
      </w:r>
      <w:r w:rsidRPr="003A4E23">
        <w:rPr>
          <w:lang w:val="ru-RU" w:eastAsia="zh-CN"/>
        </w:rPr>
        <w:t>.</w:t>
      </w:r>
    </w:p>
    <w:p w:rsidR="0041192D" w:rsidRPr="003A4E23" w:rsidRDefault="0041192D" w:rsidP="0041192D">
      <w:pPr>
        <w:rPr>
          <w:lang w:val="ru-RU" w:eastAsia="zh-CN"/>
        </w:rPr>
      </w:pPr>
      <w:r w:rsidRPr="003A4E23">
        <w:rPr>
          <w:lang w:val="ru-RU"/>
        </w:rPr>
        <w:t xml:space="preserve">Следовательно, максимальный приемлемый уровень плотности шума </w:t>
      </w:r>
      <w:r w:rsidRPr="003A4E23">
        <w:rPr>
          <w:i/>
          <w:iCs/>
          <w:lang w:val="ru-RU"/>
        </w:rPr>
        <w:t>I</w:t>
      </w:r>
      <w:r w:rsidRPr="003A4E23">
        <w:rPr>
          <w:vertAlign w:val="subscript"/>
          <w:lang w:val="ru-RU"/>
        </w:rPr>
        <w:t>0</w:t>
      </w:r>
      <w:r w:rsidRPr="003A4E23">
        <w:rPr>
          <w:lang w:val="ru-RU"/>
        </w:rPr>
        <w:t> </w:t>
      </w:r>
      <w:r w:rsidRPr="003A4E23">
        <w:rPr>
          <w:rFonts w:ascii="Symbol" w:hAnsi="Symbol"/>
          <w:lang w:val="ru-RU"/>
        </w:rPr>
        <w:t></w:t>
      </w:r>
      <w:r w:rsidRPr="003A4E23">
        <w:rPr>
          <w:lang w:val="ru-RU"/>
        </w:rPr>
        <w:t xml:space="preserve"> –207,28 дБ(Вт/Гц) (вычислено на входе приемника полезной нагрузки </w:t>
      </w:r>
      <w:r w:rsidRPr="003A4E23">
        <w:rPr>
          <w:lang w:val="ru-RU" w:eastAsia="zh-CN"/>
        </w:rPr>
        <w:t>SAR).</w:t>
      </w:r>
    </w:p>
    <w:p w:rsidR="0041192D" w:rsidRPr="003A4E23" w:rsidRDefault="0041192D" w:rsidP="0041192D">
      <w:pPr>
        <w:rPr>
          <w:lang w:val="ru-RU"/>
        </w:rPr>
      </w:pPr>
      <w:r w:rsidRPr="003A4E23">
        <w:rPr>
          <w:lang w:val="ru-RU"/>
        </w:rPr>
        <w:lastRenderedPageBreak/>
        <w:t xml:space="preserve">Плотность шума </w:t>
      </w:r>
      <w:r w:rsidRPr="003A4E23">
        <w:rPr>
          <w:i/>
          <w:lang w:val="ru-RU"/>
        </w:rPr>
        <w:t>I</w:t>
      </w:r>
      <w:r w:rsidRPr="003A4E23">
        <w:rPr>
          <w:vertAlign w:val="subscript"/>
          <w:lang w:val="ru-RU"/>
        </w:rPr>
        <w:t>0</w:t>
      </w:r>
      <w:r w:rsidRPr="003A4E23">
        <w:rPr>
          <w:lang w:val="ru-RU"/>
        </w:rPr>
        <w:t xml:space="preserve"> учитывает ослабление и усиление антенны. Поскольку требуется определить спектральную плотность потока мощности спутника, необходимо преобразовать этот коэффициент в дБ(Вт/(м</w:t>
      </w:r>
      <w:r w:rsidRPr="003A4E23">
        <w:rPr>
          <w:vertAlign w:val="superscript"/>
          <w:lang w:val="ru-RU"/>
        </w:rPr>
        <w:t>2</w:t>
      </w:r>
      <w:r w:rsidRPr="003A4E23">
        <w:rPr>
          <w:lang w:val="ru-RU"/>
        </w:rPr>
        <w:t xml:space="preserve"> · Гц)). </w:t>
      </w:r>
    </w:p>
    <w:p w:rsidR="0041192D" w:rsidRPr="003A4E23" w:rsidRDefault="0041192D" w:rsidP="0041192D">
      <w:pPr>
        <w:rPr>
          <w:lang w:val="ru-RU"/>
        </w:rPr>
      </w:pPr>
      <w:r w:rsidRPr="003A4E23">
        <w:rPr>
          <w:lang w:val="ru-RU"/>
        </w:rPr>
        <w:t xml:space="preserve">Эквивалентная площадь поверхности антенны с усилением </w:t>
      </w:r>
      <w:r w:rsidRPr="003A4E23">
        <w:rPr>
          <w:i/>
          <w:lang w:val="ru-RU"/>
        </w:rPr>
        <w:t>G</w:t>
      </w:r>
      <w:r w:rsidRPr="003A4E23">
        <w:rPr>
          <w:lang w:val="ru-RU"/>
        </w:rPr>
        <w:t xml:space="preserve"> определяется как </w:t>
      </w:r>
      <w:r w:rsidRPr="003A4E23">
        <w:rPr>
          <w:position w:val="-22"/>
          <w:lang w:val="ru-RU"/>
        </w:rPr>
        <w:object w:dxaOrig="870" w:dyaOrig="615">
          <v:shape id="_x0000_i1080" type="#_x0000_t75" style="width:43.85pt;height:30.7pt" o:ole="">
            <v:imagedata r:id="rId16" o:title=""/>
          </v:shape>
          <o:OLEObject Type="Embed" ProgID="Equation.3" ShapeID="_x0000_i1080" DrawAspect="Content" ObjectID="_1500106796" r:id="rId124"/>
        </w:object>
      </w:r>
      <w:r w:rsidRPr="003A4E23">
        <w:rPr>
          <w:lang w:val="ru-RU"/>
        </w:rPr>
        <w:t xml:space="preserve">. </w:t>
      </w:r>
      <w:r w:rsidRPr="003A4E23">
        <w:rPr>
          <w:i/>
          <w:iCs/>
          <w:lang w:val="ru-RU" w:eastAsia="zh-CN"/>
        </w:rPr>
        <w:t>G</w:t>
      </w:r>
      <w:r w:rsidRPr="003A4E23">
        <w:rPr>
          <w:lang w:val="ru-RU" w:eastAsia="zh-CN"/>
        </w:rPr>
        <w:t xml:space="preserve"> находится в интервале 11,6–13 дБи.</w:t>
      </w:r>
    </w:p>
    <w:p w:rsidR="0041192D" w:rsidRPr="003A4E23" w:rsidRDefault="0041192D" w:rsidP="0041192D">
      <w:pPr>
        <w:rPr>
          <w:lang w:val="ru-RU" w:eastAsia="zh-CN"/>
        </w:rPr>
      </w:pPr>
      <w:r w:rsidRPr="003A4E23">
        <w:rPr>
          <w:i/>
          <w:iCs/>
          <w:lang w:val="ru-RU" w:eastAsia="zh-CN"/>
        </w:rPr>
        <w:t>S</w:t>
      </w:r>
      <w:r w:rsidRPr="003A4E23">
        <w:rPr>
          <w:lang w:val="ru-RU" w:eastAsia="zh-CN"/>
        </w:rPr>
        <w:t> = −0,6 дБ(м</w:t>
      </w:r>
      <w:r w:rsidRPr="003A4E23">
        <w:rPr>
          <w:vertAlign w:val="superscript"/>
          <w:lang w:val="ru-RU" w:eastAsia="zh-CN"/>
        </w:rPr>
        <w:t>2</w:t>
      </w:r>
      <w:r w:rsidRPr="003A4E23">
        <w:rPr>
          <w:lang w:val="ru-RU" w:eastAsia="zh-CN"/>
        </w:rPr>
        <w:t>) (при условии, что эффективность равна 0,7% и максимальное усиление = 13 дБи).</w:t>
      </w:r>
    </w:p>
    <w:p w:rsidR="0041192D" w:rsidRPr="003A4E23" w:rsidRDefault="0041192D" w:rsidP="0041192D">
      <w:pPr>
        <w:rPr>
          <w:lang w:val="ru-RU"/>
        </w:rPr>
      </w:pPr>
      <w:r w:rsidRPr="003A4E23">
        <w:rPr>
          <w:lang w:val="ru-RU"/>
        </w:rPr>
        <w:t>Поэтому соответствующая спектральная плотность потока мощности спутника равна:</w:t>
      </w:r>
    </w:p>
    <w:p w:rsidR="0041192D" w:rsidRPr="003A4E23" w:rsidRDefault="0041192D" w:rsidP="0041192D">
      <w:pPr>
        <w:pStyle w:val="Equation"/>
        <w:rPr>
          <w:lang w:val="ru-RU" w:eastAsia="zh-CN"/>
        </w:rPr>
      </w:pPr>
      <w:r w:rsidRPr="003A4E23">
        <w:rPr>
          <w:lang w:val="ru-RU" w:eastAsia="zh-CN"/>
        </w:rPr>
        <w:tab/>
        <w:t>с.п.п.м. = −207,28 + 0,51 (потери) – (–0,6) = –206,1 дБ(Вт/(м</w:t>
      </w:r>
      <w:r w:rsidRPr="003A4E23">
        <w:rPr>
          <w:vertAlign w:val="superscript"/>
          <w:lang w:val="ru-RU" w:eastAsia="zh-CN"/>
        </w:rPr>
        <w:t>2</w:t>
      </w:r>
      <w:r w:rsidRPr="003A4E23">
        <w:rPr>
          <w:lang w:val="ru-RU"/>
        </w:rPr>
        <w:t> · </w:t>
      </w:r>
      <w:r w:rsidRPr="003A4E23">
        <w:rPr>
          <w:lang w:val="ru-RU" w:eastAsia="zh-CN"/>
        </w:rPr>
        <w:t>Гц))</w:t>
      </w:r>
      <w:r w:rsidRPr="003A4E23">
        <w:rPr>
          <w:b/>
          <w:lang w:val="ru-RU" w:eastAsia="zh-CN"/>
        </w:rPr>
        <w:tab/>
      </w:r>
      <w:r w:rsidRPr="003A4E23">
        <w:rPr>
          <w:lang w:val="ru-RU" w:eastAsia="zh-CN"/>
        </w:rPr>
        <w:t>(27)</w:t>
      </w:r>
    </w:p>
    <w:p w:rsidR="0041192D" w:rsidRPr="003A4E23" w:rsidRDefault="0041192D" w:rsidP="0041192D">
      <w:pPr>
        <w:rPr>
          <w:lang w:val="ru-RU" w:eastAsia="zh-CN"/>
        </w:rPr>
      </w:pPr>
      <w:r w:rsidRPr="003A4E23">
        <w:rPr>
          <w:lang w:val="ru-RU"/>
        </w:rPr>
        <w:t>с учетом наивысшего угла отклонения спутника от надира.</w:t>
      </w:r>
    </w:p>
    <w:p w:rsidR="0041192D" w:rsidRPr="003A4E23" w:rsidRDefault="0041192D" w:rsidP="0041192D">
      <w:pPr>
        <w:rPr>
          <w:lang w:val="ru-RU" w:eastAsia="zh-CN"/>
        </w:rPr>
      </w:pPr>
      <w:r w:rsidRPr="003A4E23">
        <w:rPr>
          <w:lang w:val="ru-RU"/>
        </w:rPr>
        <w:t xml:space="preserve">Для защиты терминала </w:t>
      </w:r>
      <w:r w:rsidRPr="003A4E23">
        <w:rPr>
          <w:szCs w:val="24"/>
          <w:lang w:val="ru-RU" w:eastAsia="zh-CN"/>
        </w:rPr>
        <w:t xml:space="preserve">MLT Galileo SAR </w:t>
      </w:r>
      <w:r w:rsidRPr="003A4E23">
        <w:rPr>
          <w:lang w:val="ru-RU"/>
        </w:rPr>
        <w:t>максимальный уровень широкополосных шумовых помех в полосе частот 406–406,1 МГц на входе спутника не должен превышать –206,1 дБ(Вт/(м</w:t>
      </w:r>
      <w:r w:rsidRPr="003A4E23">
        <w:rPr>
          <w:vertAlign w:val="superscript"/>
          <w:lang w:val="ru-RU"/>
        </w:rPr>
        <w:t>2</w:t>
      </w:r>
      <w:r w:rsidRPr="003A4E23">
        <w:rPr>
          <w:lang w:val="ru-RU"/>
        </w:rPr>
        <w:t> · Гц)).</w:t>
      </w:r>
    </w:p>
    <w:p w:rsidR="0041192D" w:rsidRPr="003A4E23" w:rsidRDefault="0041192D" w:rsidP="0041192D">
      <w:pPr>
        <w:pStyle w:val="Heading2"/>
        <w:rPr>
          <w:lang w:val="ru-RU"/>
        </w:rPr>
      </w:pPr>
      <w:r w:rsidRPr="003A4E23">
        <w:rPr>
          <w:lang w:val="ru-RU"/>
        </w:rPr>
        <w:t>3.2</w:t>
      </w:r>
      <w:r w:rsidRPr="003A4E23">
        <w:rPr>
          <w:lang w:val="ru-RU"/>
        </w:rPr>
        <w:tab/>
        <w:t>Узкополосные помехи</w:t>
      </w:r>
    </w:p>
    <w:p w:rsidR="0041192D" w:rsidRPr="003A4E23" w:rsidRDefault="0041192D" w:rsidP="0041192D">
      <w:pPr>
        <w:rPr>
          <w:lang w:val="ru-RU" w:eastAsia="zh-CN"/>
        </w:rPr>
      </w:pPr>
      <w:r w:rsidRPr="003A4E23">
        <w:rPr>
          <w:lang w:val="ru-RU" w:eastAsia="zh-CN"/>
        </w:rPr>
        <w:t xml:space="preserve">В связи с тем, что полезная нагрузка </w:t>
      </w:r>
      <w:r w:rsidRPr="003A4E23">
        <w:rPr>
          <w:lang w:val="ru-RU"/>
        </w:rPr>
        <w:t>Galileo</w:t>
      </w:r>
      <w:r w:rsidRPr="003A4E23">
        <w:rPr>
          <w:lang w:val="ru-RU" w:eastAsia="zh-CN"/>
        </w:rPr>
        <w:t xml:space="preserve"> SAR является прозрачной, узкополосные помехи в полосе 406–406,1 МГц будут непосредственно транслироваться SART в полосе 1544–1595 МГц; на уровне терминала MLT данный мешающий сигнал может быть обнаружен приемником как настоящий сигнал бедствия SAR.</w:t>
      </w:r>
    </w:p>
    <w:p w:rsidR="0041192D" w:rsidRPr="003A4E23" w:rsidRDefault="0041192D" w:rsidP="00434E76">
      <w:pPr>
        <w:rPr>
          <w:lang w:val="ru-RU" w:eastAsia="zh-CN"/>
        </w:rPr>
      </w:pPr>
      <w:r w:rsidRPr="003A4E23">
        <w:rPr>
          <w:lang w:val="ru-RU" w:eastAsia="zh-CN"/>
        </w:rPr>
        <w:t xml:space="preserve">В связи с этим для определения максимально допустимой узкополосной помехи используется такой параметр </w:t>
      </w:r>
      <w:r w:rsidRPr="003A4E23">
        <w:rPr>
          <w:lang w:val="ru-RU"/>
        </w:rPr>
        <w:t xml:space="preserve">качества работы, как пороговый уровень в режиме захвата для терминала </w:t>
      </w:r>
      <w:r w:rsidRPr="003A4E23">
        <w:rPr>
          <w:lang w:val="ru-RU" w:eastAsia="zh-CN"/>
        </w:rPr>
        <w:t>MeoLUT, который считается равным 34,8 дБ(Гц).</w:t>
      </w:r>
    </w:p>
    <w:p w:rsidR="0041192D" w:rsidRPr="003A4E23" w:rsidRDefault="0041192D" w:rsidP="00434E76">
      <w:pPr>
        <w:rPr>
          <w:lang w:val="ru-RU" w:eastAsia="zh-CN"/>
        </w:rPr>
      </w:pPr>
      <w:r w:rsidRPr="003A4E23">
        <w:rPr>
          <w:lang w:val="ru-RU" w:eastAsia="zh-CN"/>
        </w:rPr>
        <w:t xml:space="preserve">Мощность мешающего сигнала на антенне MLT обозначается как </w:t>
      </w:r>
      <w:r w:rsidRPr="003A4E23">
        <w:rPr>
          <w:i/>
          <w:iCs/>
          <w:lang w:val="ru-RU" w:eastAsia="zh-CN"/>
        </w:rPr>
        <w:t>I</w:t>
      </w:r>
      <w:r w:rsidRPr="003A4E23">
        <w:rPr>
          <w:lang w:val="ru-RU" w:eastAsia="zh-CN"/>
        </w:rPr>
        <w:t xml:space="preserve">; если уровень </w:t>
      </w:r>
      <w:r w:rsidRPr="003A4E23">
        <w:rPr>
          <w:i/>
          <w:iCs/>
          <w:lang w:val="ru-RU" w:eastAsia="zh-CN"/>
        </w:rPr>
        <w:t>I</w:t>
      </w:r>
      <w:r w:rsidRPr="003A4E23">
        <w:rPr>
          <w:lang w:val="ru-RU" w:eastAsia="zh-CN"/>
        </w:rPr>
        <w:t>/</w:t>
      </w:r>
      <w:r w:rsidRPr="003A4E23">
        <w:rPr>
          <w:i/>
          <w:iCs/>
          <w:lang w:val="ru-RU" w:eastAsia="zh-CN"/>
        </w:rPr>
        <w:t>N</w:t>
      </w:r>
      <w:r w:rsidRPr="003A4E23">
        <w:rPr>
          <w:vertAlign w:val="subscript"/>
          <w:lang w:val="ru-RU" w:eastAsia="zh-CN"/>
        </w:rPr>
        <w:t>0</w:t>
      </w:r>
      <w:r w:rsidRPr="003A4E23">
        <w:rPr>
          <w:lang w:val="ru-RU" w:eastAsia="zh-CN"/>
        </w:rPr>
        <w:t xml:space="preserve"> этой помехи превышает </w:t>
      </w:r>
      <w:r w:rsidRPr="003A4E23">
        <w:rPr>
          <w:lang w:val="ru-RU"/>
        </w:rPr>
        <w:t xml:space="preserve">пороговый уровень в режиме захвата для </w:t>
      </w:r>
      <w:r w:rsidRPr="003A4E23">
        <w:rPr>
          <w:lang w:val="ru-RU" w:eastAsia="zh-CN"/>
        </w:rPr>
        <w:t>MLT, то MLT обнаруживает помеху.</w:t>
      </w:r>
    </w:p>
    <w:p w:rsidR="0041192D" w:rsidRPr="003A4E23" w:rsidRDefault="0041192D" w:rsidP="00434E76">
      <w:pPr>
        <w:rPr>
          <w:lang w:val="ru-RU" w:eastAsia="zh-CN"/>
        </w:rPr>
      </w:pPr>
      <w:r w:rsidRPr="003A4E23">
        <w:rPr>
          <w:lang w:val="ru-RU" w:eastAsia="zh-CN"/>
        </w:rPr>
        <w:t xml:space="preserve">С учетом того, что уровень шума в системе, рассчитанный в п. 3.1, </w:t>
      </w:r>
      <w:r w:rsidRPr="003A4E23">
        <w:rPr>
          <w:i/>
          <w:iCs/>
          <w:lang w:val="ru-RU" w:eastAsia="zh-CN"/>
        </w:rPr>
        <w:t>N</w:t>
      </w:r>
      <w:r w:rsidRPr="003A4E23">
        <w:rPr>
          <w:vertAlign w:val="subscript"/>
          <w:lang w:val="ru-RU" w:eastAsia="zh-CN"/>
        </w:rPr>
        <w:t>0</w:t>
      </w:r>
      <w:r w:rsidRPr="003A4E23">
        <w:rPr>
          <w:lang w:val="ru-RU" w:eastAsia="zh-CN"/>
        </w:rPr>
        <w:t xml:space="preserve"> = −200,9 дБ(Вт/Гц), мощность мешающего сигнала (на уровне SART) равна: </w:t>
      </w:r>
      <w:r w:rsidRPr="003A4E23">
        <w:rPr>
          <w:i/>
          <w:iCs/>
          <w:lang w:val="ru-RU" w:eastAsia="zh-CN"/>
        </w:rPr>
        <w:t>I</w:t>
      </w:r>
      <w:r w:rsidRPr="003A4E23">
        <w:rPr>
          <w:lang w:val="ru-RU" w:eastAsia="zh-CN"/>
        </w:rPr>
        <w:t xml:space="preserve"> = </w:t>
      </w:r>
      <w:r w:rsidRPr="003A4E23">
        <w:rPr>
          <w:i/>
          <w:iCs/>
          <w:lang w:val="ru-RU" w:eastAsia="zh-CN"/>
        </w:rPr>
        <w:t>I</w:t>
      </w:r>
      <w:r w:rsidRPr="003A4E23">
        <w:rPr>
          <w:lang w:val="ru-RU" w:eastAsia="zh-CN"/>
        </w:rPr>
        <w:t>/</w:t>
      </w:r>
      <w:r w:rsidRPr="003A4E23">
        <w:rPr>
          <w:i/>
          <w:iCs/>
          <w:lang w:val="ru-RU" w:eastAsia="zh-CN"/>
        </w:rPr>
        <w:t>N</w:t>
      </w:r>
      <w:r w:rsidRPr="003A4E23">
        <w:rPr>
          <w:vertAlign w:val="subscript"/>
          <w:lang w:val="ru-RU" w:eastAsia="zh-CN"/>
        </w:rPr>
        <w:t>0 </w:t>
      </w:r>
      <w:r w:rsidRPr="003A4E23">
        <w:rPr>
          <w:lang w:val="ru-RU" w:eastAsia="zh-CN"/>
        </w:rPr>
        <w:t>+ </w:t>
      </w:r>
      <w:r w:rsidRPr="003A4E23">
        <w:rPr>
          <w:i/>
          <w:iCs/>
          <w:lang w:val="ru-RU" w:eastAsia="zh-CN"/>
        </w:rPr>
        <w:t>N</w:t>
      </w:r>
      <w:r w:rsidRPr="003A4E23">
        <w:rPr>
          <w:vertAlign w:val="subscript"/>
          <w:lang w:val="ru-RU" w:eastAsia="zh-CN"/>
        </w:rPr>
        <w:t xml:space="preserve">0 </w:t>
      </w:r>
      <w:r w:rsidRPr="003A4E23">
        <w:rPr>
          <w:lang w:val="ru-RU" w:eastAsia="zh-CN"/>
        </w:rPr>
        <w:t>= −166,1 дБВт.</w:t>
      </w:r>
    </w:p>
    <w:p w:rsidR="0041192D" w:rsidRPr="003A4E23" w:rsidRDefault="0041192D" w:rsidP="00434E76">
      <w:pPr>
        <w:rPr>
          <w:lang w:val="ru-RU" w:eastAsia="zh-CN"/>
        </w:rPr>
      </w:pPr>
      <w:r w:rsidRPr="003A4E23">
        <w:rPr>
          <w:lang w:val="ru-RU" w:eastAsia="zh-CN"/>
        </w:rPr>
        <w:t>Чтобы получить значение плотности потока мощности на антенне, принимающей полезную нагрузку SAR, следует учесть эквивалентную площадь поверхности антенны; по аналогии с п. 3.1 плотность потока мощности можно рассчитать по формуле:</w:t>
      </w:r>
    </w:p>
    <w:p w:rsidR="0041192D" w:rsidRPr="003A4E23" w:rsidRDefault="0041192D" w:rsidP="0041192D">
      <w:pPr>
        <w:pStyle w:val="Equation"/>
        <w:rPr>
          <w:bCs/>
          <w:lang w:val="ru-RU" w:eastAsia="zh-CN"/>
        </w:rPr>
      </w:pPr>
      <w:r w:rsidRPr="003A4E23">
        <w:rPr>
          <w:lang w:val="ru-RU" w:eastAsia="zh-CN"/>
        </w:rPr>
        <w:tab/>
      </w:r>
      <w:r w:rsidRPr="003A4E23">
        <w:rPr>
          <w:lang w:val="ru-RU" w:eastAsia="zh-CN"/>
        </w:rPr>
        <w:tab/>
        <w:t xml:space="preserve">п.п.м. = −166,1 + 0,51 (потери) – (–0,6) = </w:t>
      </w:r>
      <w:r w:rsidRPr="003A4E23">
        <w:rPr>
          <w:bCs/>
          <w:lang w:val="ru-RU" w:eastAsia="zh-CN"/>
        </w:rPr>
        <w:t>–166,2 дБ(Вт/м</w:t>
      </w:r>
      <w:r w:rsidRPr="003A4E23">
        <w:rPr>
          <w:vertAlign w:val="superscript"/>
          <w:lang w:val="ru-RU" w:eastAsia="zh-CN"/>
        </w:rPr>
        <w:t>2</w:t>
      </w:r>
      <w:r w:rsidRPr="003A4E23">
        <w:rPr>
          <w:bCs/>
          <w:lang w:val="ru-RU" w:eastAsia="zh-CN"/>
        </w:rPr>
        <w:t>)</w:t>
      </w:r>
      <w:r w:rsidRPr="003A4E23">
        <w:rPr>
          <w:lang w:val="ru-RU" w:eastAsia="zh-CN"/>
        </w:rPr>
        <w:tab/>
        <w:t>(28)</w:t>
      </w:r>
    </w:p>
    <w:p w:rsidR="0041192D" w:rsidRPr="003A4E23" w:rsidRDefault="0041192D" w:rsidP="0041192D">
      <w:pPr>
        <w:rPr>
          <w:lang w:val="ru-RU" w:eastAsia="zh-CN"/>
        </w:rPr>
      </w:pPr>
      <w:r w:rsidRPr="003A4E23">
        <w:rPr>
          <w:lang w:val="ru-RU"/>
        </w:rPr>
        <w:t>с учетом наивысшего угла отклонения спутника от надира</w:t>
      </w:r>
      <w:r w:rsidRPr="003A4E23">
        <w:rPr>
          <w:lang w:val="ru-RU" w:eastAsia="zh-CN"/>
        </w:rPr>
        <w:t>.</w:t>
      </w:r>
    </w:p>
    <w:p w:rsidR="0041192D" w:rsidRPr="003A4E23" w:rsidRDefault="0041192D" w:rsidP="0041192D">
      <w:pPr>
        <w:rPr>
          <w:lang w:val="ru-RU"/>
        </w:rPr>
      </w:pPr>
      <w:r w:rsidRPr="003A4E23">
        <w:rPr>
          <w:lang w:val="ru-RU"/>
        </w:rPr>
        <w:t>Чтобы обеспечить правильное обнаружение сигнала, максимальный уровень узкополосных шумовых помех в полосе частот 406–406,1 МГц на входе спутника не должен превышать</w:t>
      </w:r>
      <w:r w:rsidRPr="003A4E23">
        <w:rPr>
          <w:lang w:val="ru-RU" w:eastAsia="zh-CN"/>
        </w:rPr>
        <w:t> −166,2</w:t>
      </w:r>
      <w:r w:rsidRPr="003A4E23">
        <w:rPr>
          <w:lang w:val="ru-RU"/>
        </w:rPr>
        <w:t> дБ(Вт/(м</w:t>
      </w:r>
      <w:r w:rsidRPr="003A4E23">
        <w:rPr>
          <w:vertAlign w:val="superscript"/>
          <w:lang w:val="ru-RU"/>
        </w:rPr>
        <w:t>2</w:t>
      </w:r>
      <w:r w:rsidRPr="003A4E23">
        <w:rPr>
          <w:lang w:val="ru-RU"/>
        </w:rPr>
        <w:t> · Гц)).</w:t>
      </w:r>
    </w:p>
    <w:p w:rsidR="0041192D" w:rsidRPr="003A4E23" w:rsidRDefault="0041192D" w:rsidP="0041192D">
      <w:pPr>
        <w:rPr>
          <w:lang w:val="ru-RU"/>
        </w:rPr>
      </w:pPr>
    </w:p>
    <w:p w:rsidR="0041192D" w:rsidRPr="003A4E23" w:rsidRDefault="0041192D" w:rsidP="0041192D">
      <w:pPr>
        <w:rPr>
          <w:lang w:val="ru-RU"/>
        </w:rPr>
      </w:pPr>
    </w:p>
    <w:p w:rsidR="0041192D" w:rsidRPr="003A4E23" w:rsidRDefault="0041192D" w:rsidP="0041192D">
      <w:pPr>
        <w:pStyle w:val="AnnexNoTitle"/>
        <w:rPr>
          <w:lang w:val="ru-RU"/>
        </w:rPr>
      </w:pPr>
      <w:r w:rsidRPr="003A4E23">
        <w:rPr>
          <w:lang w:val="ru-RU"/>
        </w:rPr>
        <w:lastRenderedPageBreak/>
        <w:t>Приложение 11</w:t>
      </w:r>
      <w:r w:rsidRPr="003A4E23">
        <w:rPr>
          <w:lang w:val="ru-RU"/>
        </w:rPr>
        <w:br/>
      </w:r>
      <w:r w:rsidRPr="003A4E23">
        <w:rPr>
          <w:lang w:val="ru-RU"/>
        </w:rPr>
        <w:br/>
        <w:t>Краткое описание общих характеристик всех видов оборудования</w:t>
      </w:r>
    </w:p>
    <w:p w:rsidR="0041192D" w:rsidRPr="003A4E23" w:rsidRDefault="0041192D" w:rsidP="0041192D">
      <w:pPr>
        <w:keepNext/>
        <w:keepLines/>
        <w:rPr>
          <w:lang w:val="ru-RU" w:eastAsia="zh-CN"/>
        </w:rPr>
      </w:pPr>
      <w:r w:rsidRPr="003A4E23">
        <w:rPr>
          <w:lang w:val="ru-RU" w:eastAsia="zh-CN"/>
        </w:rPr>
        <w:t xml:space="preserve">В таблице 4 приводится краткое описание общих характеристик по каждому типу оборудования системы Коспас-Сарсат. </w:t>
      </w:r>
    </w:p>
    <w:p w:rsidR="0041192D" w:rsidRPr="003A4E23" w:rsidRDefault="0041192D" w:rsidP="0041192D">
      <w:pPr>
        <w:pStyle w:val="TableNo"/>
        <w:rPr>
          <w:lang w:val="ru-RU"/>
        </w:rPr>
      </w:pPr>
      <w:r w:rsidRPr="003A4E23">
        <w:rPr>
          <w:lang w:val="ru-RU"/>
        </w:rPr>
        <w:t>ТАБЛИЦА 4</w:t>
      </w:r>
    </w:p>
    <w:p w:rsidR="0041192D" w:rsidRPr="003A4E23" w:rsidRDefault="0041192D" w:rsidP="0041192D">
      <w:pPr>
        <w:pStyle w:val="Tabletitle"/>
        <w:keepLines/>
        <w:rPr>
          <w:lang w:val="ru-RU"/>
        </w:rPr>
      </w:pPr>
      <w:r w:rsidRPr="003A4E23">
        <w:rPr>
          <w:lang w:val="ru-RU"/>
        </w:rPr>
        <w:t>Краткое описание характеристик оборудования Коспас-Сарсат</w:t>
      </w:r>
    </w:p>
    <w:tbl>
      <w:tblPr>
        <w:tblStyle w:val="TableGrid"/>
        <w:tblW w:w="0" w:type="auto"/>
        <w:tblInd w:w="0" w:type="dxa"/>
        <w:tblLook w:val="04A0" w:firstRow="1" w:lastRow="0" w:firstColumn="1" w:lastColumn="0" w:noHBand="0" w:noVBand="1"/>
      </w:tblPr>
      <w:tblGrid>
        <w:gridCol w:w="2444"/>
        <w:gridCol w:w="2445"/>
        <w:gridCol w:w="2445"/>
        <w:gridCol w:w="2445"/>
      </w:tblGrid>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Head0"/>
              <w:keepNext/>
              <w:keepLines/>
              <w:rPr>
                <w:rFonts w:asciiTheme="majorBidi" w:hAnsiTheme="majorBidi" w:cstheme="majorBidi"/>
                <w:sz w:val="20"/>
                <w:lang w:val="ru-RU"/>
              </w:rPr>
            </w:pPr>
            <w:r w:rsidRPr="003A4E23">
              <w:rPr>
                <w:rFonts w:asciiTheme="majorBidi" w:hAnsiTheme="majorBidi" w:cstheme="majorBidi"/>
                <w:sz w:val="20"/>
                <w:lang w:val="ru-RU"/>
              </w:rPr>
              <w:t>Тип оборудования</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Head0"/>
              <w:keepNext/>
              <w:keepLines/>
              <w:rPr>
                <w:rFonts w:asciiTheme="majorBidi" w:hAnsiTheme="majorBidi" w:cstheme="majorBidi"/>
                <w:sz w:val="20"/>
                <w:lang w:val="ru-RU"/>
              </w:rPr>
            </w:pPr>
            <w:r w:rsidRPr="003A4E23">
              <w:rPr>
                <w:rFonts w:asciiTheme="majorBidi" w:hAnsiTheme="majorBidi" w:cstheme="majorBidi"/>
                <w:sz w:val="20"/>
                <w:lang w:val="ru-RU"/>
              </w:rPr>
              <w:t>Орбитальные характеристики, количество спутников, подлежащих развертыванию</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Head0"/>
              <w:keepNext/>
              <w:keepLines/>
              <w:rPr>
                <w:rFonts w:asciiTheme="majorBidi" w:hAnsiTheme="majorBidi" w:cstheme="majorBidi"/>
                <w:sz w:val="20"/>
                <w:lang w:val="ru-RU"/>
              </w:rPr>
            </w:pPr>
            <w:r w:rsidRPr="003A4E23">
              <w:rPr>
                <w:rFonts w:asciiTheme="majorBidi" w:hAnsiTheme="majorBidi" w:cstheme="majorBidi"/>
                <w:sz w:val="20"/>
                <w:lang w:val="ru-RU"/>
              </w:rPr>
              <w:t>Критерии защиты для узкополосных и побочных излучений на входе процессора или МШУ в космическом аппарате</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Head0"/>
              <w:keepNext/>
              <w:keepLines/>
              <w:rPr>
                <w:rFonts w:asciiTheme="majorBidi" w:hAnsiTheme="majorBidi" w:cstheme="majorBidi"/>
                <w:sz w:val="20"/>
                <w:lang w:val="ru-RU"/>
              </w:rPr>
            </w:pPr>
            <w:r w:rsidRPr="003A4E23">
              <w:rPr>
                <w:rFonts w:asciiTheme="majorBidi" w:hAnsiTheme="majorBidi" w:cstheme="majorBidi"/>
                <w:sz w:val="20"/>
                <w:lang w:val="ru-RU"/>
              </w:rPr>
              <w:t>Критерии защиты для широкополосных излучений</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keepLines/>
              <w:jc w:val="left"/>
              <w:rPr>
                <w:rFonts w:asciiTheme="majorBidi" w:hAnsiTheme="majorBidi" w:cstheme="majorBidi"/>
                <w:lang w:val="ru-RU" w:eastAsia="zh-CN"/>
              </w:rPr>
            </w:pPr>
            <w:r w:rsidRPr="003A4E23">
              <w:rPr>
                <w:rFonts w:asciiTheme="majorBidi" w:hAnsiTheme="majorBidi" w:cstheme="majorBidi"/>
                <w:lang w:val="ru-RU" w:eastAsia="zh-CN"/>
              </w:rPr>
              <w:t>Оборудование SARP для низкоорбитального спутника Сарсат</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keepLines/>
              <w:jc w:val="left"/>
              <w:rPr>
                <w:rFonts w:asciiTheme="majorBidi" w:hAnsiTheme="majorBidi" w:cstheme="majorBidi"/>
                <w:lang w:val="ru-RU" w:eastAsia="zh-CN"/>
              </w:rPr>
            </w:pPr>
            <w:r w:rsidRPr="003A4E23">
              <w:rPr>
                <w:rFonts w:asciiTheme="majorBidi" w:hAnsiTheme="majorBidi" w:cstheme="majorBidi"/>
                <w:lang w:val="ru-RU" w:eastAsia="zh-CN"/>
              </w:rPr>
              <w:t>Круговая орбита с высотой 830 км и наклонением 98°</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keepLines/>
              <w:jc w:val="center"/>
              <w:rPr>
                <w:rFonts w:asciiTheme="majorBidi" w:hAnsiTheme="majorBidi" w:cstheme="majorBidi"/>
                <w:lang w:val="ru-RU" w:eastAsia="zh-CN"/>
              </w:rPr>
            </w:pPr>
            <w:r w:rsidRPr="003A4E23">
              <w:rPr>
                <w:rFonts w:asciiTheme="majorBidi" w:hAnsiTheme="majorBidi" w:cstheme="majorBidi"/>
                <w:lang w:val="ru-RU"/>
              </w:rPr>
              <w:t>–147,6 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keepLines/>
              <w:jc w:val="center"/>
              <w:rPr>
                <w:rFonts w:asciiTheme="majorBidi" w:hAnsiTheme="majorBidi" w:cstheme="majorBidi"/>
                <w:lang w:val="ru-RU" w:eastAsia="zh-CN"/>
              </w:rPr>
            </w:pPr>
            <w:r w:rsidRPr="003A4E23">
              <w:rPr>
                <w:rFonts w:asciiTheme="majorBidi" w:hAnsiTheme="majorBidi" w:cstheme="majorBidi"/>
                <w:lang w:val="ru-RU"/>
              </w:rPr>
              <w:t>–198,6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Оборудование SARP для низкоорбитального спутника Коспас</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Круговая орбита с высотой 830 км и наклонением 98°</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–147,6 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–198,6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rPr>
          <w:trHeight w:val="762"/>
        </w:trPr>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 xml:space="preserve">Оборудование SARR Сарсат для низкоорбитального спутника </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Круговая орбита с высотой 830 км и наклонением 98°</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w:t>
            </w:r>
            <w:r w:rsidRPr="003A4E23">
              <w:rPr>
                <w:rFonts w:asciiTheme="majorBidi" w:hAnsiTheme="majorBidi" w:cstheme="majorBidi"/>
                <w:lang w:val="ru-RU" w:eastAsia="zh-CN"/>
              </w:rPr>
              <w:t>147</w:t>
            </w:r>
            <w:r w:rsidRPr="003A4E23">
              <w:rPr>
                <w:rFonts w:asciiTheme="majorBidi" w:hAnsiTheme="majorBidi" w:cstheme="majorBidi"/>
                <w:lang w:val="ru-RU"/>
              </w:rPr>
              <w:t>,</w:t>
            </w:r>
            <w:r w:rsidRPr="003A4E23">
              <w:rPr>
                <w:rFonts w:asciiTheme="majorBidi" w:hAnsiTheme="majorBidi" w:cstheme="majorBidi"/>
                <w:lang w:val="ru-RU" w:eastAsia="zh-CN"/>
              </w:rPr>
              <w:t xml:space="preserve">6 </w:t>
            </w:r>
            <w:r w:rsidRPr="003A4E23">
              <w:rPr>
                <w:rFonts w:asciiTheme="majorBidi" w:hAnsiTheme="majorBidi" w:cstheme="majorBidi"/>
                <w:lang w:val="ru-RU"/>
              </w:rPr>
              <w:t>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–204,7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Ретранслятор на борту спутника GOES</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Геостационарная орбита</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w:t>
            </w:r>
            <w:r w:rsidRPr="003A4E23">
              <w:rPr>
                <w:rFonts w:asciiTheme="majorBidi" w:hAnsiTheme="majorBidi" w:cstheme="majorBidi"/>
                <w:lang w:val="ru-RU" w:eastAsia="zh-CN"/>
              </w:rPr>
              <w:t>140</w:t>
            </w:r>
            <w:r w:rsidRPr="003A4E23">
              <w:rPr>
                <w:rFonts w:asciiTheme="majorBidi" w:hAnsiTheme="majorBidi" w:cstheme="majorBidi"/>
                <w:lang w:val="ru-RU"/>
              </w:rPr>
              <w:t>,</w:t>
            </w:r>
            <w:r w:rsidRPr="003A4E23">
              <w:rPr>
                <w:rFonts w:asciiTheme="majorBidi" w:hAnsiTheme="majorBidi" w:cstheme="majorBidi"/>
                <w:lang w:val="ru-RU" w:eastAsia="zh-CN"/>
              </w:rPr>
              <w:t xml:space="preserve">9 </w:t>
            </w:r>
            <w:r w:rsidRPr="003A4E23">
              <w:rPr>
                <w:rFonts w:asciiTheme="majorBidi" w:hAnsiTheme="majorBidi" w:cstheme="majorBidi"/>
                <w:lang w:val="ru-RU"/>
              </w:rPr>
              <w:t>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–201,1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 xml:space="preserve">Ретранслятор на борту спутника MSG </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Геостационарная орбита</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w:t>
            </w:r>
            <w:r w:rsidRPr="003A4E23">
              <w:rPr>
                <w:rFonts w:asciiTheme="majorBidi" w:hAnsiTheme="majorBidi" w:cstheme="majorBidi"/>
                <w:lang w:val="ru-RU" w:eastAsia="zh-CN"/>
              </w:rPr>
              <w:t xml:space="preserve">147 </w:t>
            </w:r>
            <w:r w:rsidRPr="003A4E23">
              <w:rPr>
                <w:rFonts w:asciiTheme="majorBidi" w:hAnsiTheme="majorBidi" w:cstheme="majorBidi"/>
                <w:lang w:val="ru-RU"/>
              </w:rPr>
              <w:t>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–206,4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Ретранслятор на борту спутника Electro</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Геостационарная орбита</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w:t>
            </w:r>
            <w:r w:rsidRPr="003A4E23">
              <w:rPr>
                <w:rFonts w:asciiTheme="majorBidi" w:hAnsiTheme="majorBidi" w:cstheme="majorBidi"/>
                <w:lang w:val="ru-RU" w:eastAsia="zh-CN"/>
              </w:rPr>
              <w:t>139</w:t>
            </w:r>
            <w:r w:rsidRPr="003A4E23">
              <w:rPr>
                <w:rFonts w:asciiTheme="majorBidi" w:hAnsiTheme="majorBidi" w:cstheme="majorBidi"/>
                <w:lang w:val="ru-RU"/>
              </w:rPr>
              <w:t>,</w:t>
            </w:r>
            <w:r w:rsidRPr="003A4E23">
              <w:rPr>
                <w:rFonts w:asciiTheme="majorBidi" w:hAnsiTheme="majorBidi" w:cstheme="majorBidi"/>
                <w:lang w:val="ru-RU" w:eastAsia="zh-CN"/>
              </w:rPr>
              <w:t xml:space="preserve">8 </w:t>
            </w:r>
            <w:r w:rsidRPr="003A4E23">
              <w:rPr>
                <w:rFonts w:asciiTheme="majorBidi" w:hAnsiTheme="majorBidi" w:cstheme="majorBidi"/>
                <w:lang w:val="ru-RU"/>
              </w:rPr>
              <w:t>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–198,7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 xml:space="preserve">Ретранслятор на борту спутника </w:t>
            </w:r>
            <w:r w:rsidRPr="003A4E23">
              <w:rPr>
                <w:rFonts w:asciiTheme="majorBidi" w:hAnsiTheme="majorBidi" w:cstheme="majorBidi"/>
                <w:lang w:val="ru-RU"/>
              </w:rPr>
              <w:t>Galileo</w:t>
            </w:r>
            <w:r w:rsidRPr="003A4E23">
              <w:rPr>
                <w:rFonts w:asciiTheme="majorBidi" w:hAnsiTheme="majorBidi" w:cstheme="majorBidi"/>
                <w:lang w:val="ru-RU" w:eastAsia="zh-CN"/>
              </w:rPr>
              <w:t xml:space="preserve"> </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 xml:space="preserve">Используются спутники на средневысотной околоземной орбите: 27 спутников на круговой орбите с высотой 23 225 км и углом наклонения 56° </w:t>
            </w:r>
          </w:p>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(подробное описание орбитальных характеристик системы Galileo см. в Рекомендации МСЭ-R M.1787).</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–136,8 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–206,1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r w:rsidR="0041192D" w:rsidRPr="003A4E23" w:rsidTr="0041192D">
        <w:tc>
          <w:tcPr>
            <w:tcW w:w="2444"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Ретранслятор на борту спутника ГЛОНАСС</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 xml:space="preserve">Используются спутники на средневысотной околоземной орбите: 24 спутника на круговой орбите с высотой </w:t>
            </w:r>
            <w:r w:rsidRPr="003A4E23">
              <w:rPr>
                <w:rFonts w:asciiTheme="majorBidi" w:hAnsiTheme="majorBidi" w:cstheme="majorBidi"/>
                <w:lang w:val="ru-RU"/>
              </w:rPr>
              <w:t>19 100</w:t>
            </w:r>
            <w:r w:rsidRPr="003A4E23">
              <w:rPr>
                <w:rFonts w:asciiTheme="majorBidi" w:hAnsiTheme="majorBidi" w:cstheme="majorBidi"/>
                <w:lang w:val="ru-RU" w:eastAsia="zh-CN"/>
              </w:rPr>
              <w:t xml:space="preserve"> км и углом наклонения </w:t>
            </w:r>
            <w:r w:rsidRPr="003A4E23">
              <w:rPr>
                <w:rFonts w:asciiTheme="majorBidi" w:hAnsiTheme="majorBidi" w:cstheme="majorBidi"/>
                <w:lang w:val="ru-RU"/>
              </w:rPr>
              <w:t>64,8</w:t>
            </w:r>
            <w:r w:rsidRPr="003A4E23">
              <w:rPr>
                <w:rFonts w:asciiTheme="majorBidi" w:hAnsiTheme="majorBidi" w:cstheme="majorBidi"/>
                <w:lang w:val="ru-RU" w:eastAsia="zh-CN"/>
              </w:rPr>
              <w:t xml:space="preserve">° </w:t>
            </w:r>
          </w:p>
          <w:p w:rsidR="0041192D" w:rsidRPr="003A4E23" w:rsidRDefault="0041192D">
            <w:pPr>
              <w:pStyle w:val="TableText0"/>
              <w:jc w:val="left"/>
              <w:rPr>
                <w:rFonts w:asciiTheme="majorBidi" w:hAnsiTheme="majorBidi" w:cstheme="majorBidi"/>
                <w:lang w:val="ru-RU" w:eastAsia="zh-CN"/>
              </w:rPr>
            </w:pPr>
            <w:r w:rsidRPr="003A4E23">
              <w:rPr>
                <w:rFonts w:asciiTheme="majorBidi" w:hAnsiTheme="majorBidi" w:cstheme="majorBidi"/>
                <w:lang w:val="ru-RU" w:eastAsia="zh-CN"/>
              </w:rPr>
              <w:t>(подробное описание орбитальных характеристик системы ГЛОНАСС см. в Рекомендации МСЭ-R M.1787).</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w:t>
            </w:r>
            <w:r w:rsidRPr="003A4E23">
              <w:rPr>
                <w:rFonts w:asciiTheme="majorBidi" w:hAnsiTheme="majorBidi" w:cstheme="majorBidi"/>
                <w:lang w:val="ru-RU" w:eastAsia="zh-CN"/>
              </w:rPr>
              <w:t>147</w:t>
            </w:r>
            <w:r w:rsidRPr="003A4E23">
              <w:rPr>
                <w:rFonts w:asciiTheme="majorBidi" w:hAnsiTheme="majorBidi" w:cstheme="majorBidi"/>
                <w:lang w:val="ru-RU"/>
              </w:rPr>
              <w:t>,</w:t>
            </w:r>
            <w:r w:rsidRPr="003A4E23">
              <w:rPr>
                <w:rFonts w:asciiTheme="majorBidi" w:hAnsiTheme="majorBidi" w:cstheme="majorBidi"/>
                <w:lang w:val="ru-RU" w:eastAsia="zh-CN"/>
              </w:rPr>
              <w:t xml:space="preserve">1 </w:t>
            </w:r>
            <w:r w:rsidRPr="003A4E23">
              <w:rPr>
                <w:rFonts w:asciiTheme="majorBidi" w:hAnsiTheme="majorBidi" w:cstheme="majorBidi"/>
                <w:lang w:val="ru-RU"/>
              </w:rPr>
              <w:t>дБм</w:t>
            </w:r>
          </w:p>
        </w:tc>
        <w:tc>
          <w:tcPr>
            <w:tcW w:w="2445" w:type="dxa"/>
            <w:tcBorders>
              <w:top w:val="single" w:sz="4" w:space="0" w:color="auto"/>
              <w:left w:val="single" w:sz="4" w:space="0" w:color="auto"/>
              <w:bottom w:val="single" w:sz="4" w:space="0" w:color="auto"/>
              <w:right w:val="single" w:sz="4" w:space="0" w:color="auto"/>
            </w:tcBorders>
            <w:vAlign w:val="center"/>
            <w:hideMark/>
          </w:tcPr>
          <w:p w:rsidR="0041192D" w:rsidRPr="003A4E23" w:rsidRDefault="0041192D">
            <w:pPr>
              <w:pStyle w:val="TableText0"/>
              <w:jc w:val="center"/>
              <w:rPr>
                <w:rFonts w:asciiTheme="majorBidi" w:hAnsiTheme="majorBidi" w:cstheme="majorBidi"/>
                <w:lang w:val="ru-RU" w:eastAsia="zh-CN"/>
              </w:rPr>
            </w:pPr>
            <w:r w:rsidRPr="003A4E23">
              <w:rPr>
                <w:rFonts w:asciiTheme="majorBidi" w:hAnsiTheme="majorBidi" w:cstheme="majorBidi"/>
                <w:lang w:val="ru-RU"/>
              </w:rPr>
              <w:t>–205,2 дБ(Вт/(м</w:t>
            </w:r>
            <w:r w:rsidRPr="003A4E23">
              <w:rPr>
                <w:rFonts w:asciiTheme="majorBidi" w:hAnsiTheme="majorBidi" w:cstheme="majorBidi"/>
                <w:vertAlign w:val="superscript"/>
                <w:lang w:val="ru-RU"/>
              </w:rPr>
              <w:t>2</w:t>
            </w:r>
            <w:r w:rsidRPr="003A4E23">
              <w:rPr>
                <w:rFonts w:asciiTheme="majorBidi" w:hAnsiTheme="majorBidi" w:cstheme="majorBidi"/>
                <w:lang w:val="ru-RU"/>
              </w:rPr>
              <w:t> · Гц))</w:t>
            </w:r>
          </w:p>
        </w:tc>
      </w:tr>
    </w:tbl>
    <w:p w:rsidR="0041192D" w:rsidRPr="003A4E23" w:rsidRDefault="0041192D" w:rsidP="0041192D">
      <w:pPr>
        <w:spacing w:before="480"/>
        <w:jc w:val="center"/>
        <w:rPr>
          <w:lang w:val="ru-RU"/>
        </w:rPr>
      </w:pPr>
      <w:r w:rsidRPr="003A4E23">
        <w:rPr>
          <w:lang w:val="ru-RU"/>
        </w:rPr>
        <w:t>______________</w:t>
      </w:r>
    </w:p>
    <w:sectPr w:rsidR="0041192D" w:rsidRPr="003A4E23" w:rsidSect="00C906E6">
      <w:headerReference w:type="first" r:id="rId12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6F7" w:rsidRDefault="009826F7">
      <w:r>
        <w:separator/>
      </w:r>
    </w:p>
  </w:endnote>
  <w:endnote w:type="continuationSeparator" w:id="0">
    <w:p w:rsidR="009826F7" w:rsidRDefault="00982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6F7" w:rsidRDefault="009826F7">
      <w:r>
        <w:separator/>
      </w:r>
    </w:p>
  </w:footnote>
  <w:footnote w:type="continuationSeparator" w:id="0">
    <w:p w:rsidR="009826F7" w:rsidRDefault="009826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6F7" w:rsidRDefault="009826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6F7" w:rsidRDefault="009826F7"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6F7" w:rsidRDefault="009826F7"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4164">
      <w:rPr>
        <w:rStyle w:val="PageNumber"/>
        <w:b/>
        <w:bCs/>
        <w:noProof/>
        <w:lang w:val="en-US"/>
      </w:rPr>
      <w:t>26</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C4164">
      <w:rPr>
        <w:b/>
        <w:bCs/>
        <w:noProof/>
        <w:szCs w:val="22"/>
        <w:lang w:val="en-US"/>
      </w:rPr>
      <w:t>МСЭ-R  M.1478-3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6F7" w:rsidRDefault="009826F7" w:rsidP="0041192D">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C4164">
      <w:rPr>
        <w:b/>
        <w:bCs/>
        <w:noProof/>
      </w:rPr>
      <w:t>МСЭ-R  M.1478-3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4164">
      <w:rPr>
        <w:rStyle w:val="PageNumber"/>
        <w:b/>
        <w:bCs/>
        <w:noProof/>
      </w:rPr>
      <w:t>25</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6F7" w:rsidRPr="00C906E6" w:rsidRDefault="009826F7"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AD05DB">
      <w:rPr>
        <w:b/>
        <w:bCs/>
        <w:noProof/>
        <w:szCs w:val="22"/>
        <w:lang w:val="en-US"/>
      </w:rPr>
      <w:t>МСЭ-R  M.1478-3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AD05DB">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13F1"/>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56B5D"/>
    <w:rsid w:val="003646F2"/>
    <w:rsid w:val="00374579"/>
    <w:rsid w:val="00387A7D"/>
    <w:rsid w:val="003A4E23"/>
    <w:rsid w:val="003C38BA"/>
    <w:rsid w:val="003F3BD9"/>
    <w:rsid w:val="0041192D"/>
    <w:rsid w:val="00420DFD"/>
    <w:rsid w:val="00434E76"/>
    <w:rsid w:val="00437A76"/>
    <w:rsid w:val="00470E28"/>
    <w:rsid w:val="00475345"/>
    <w:rsid w:val="004934C5"/>
    <w:rsid w:val="004F1F5C"/>
    <w:rsid w:val="00556548"/>
    <w:rsid w:val="00571788"/>
    <w:rsid w:val="00581381"/>
    <w:rsid w:val="00584B77"/>
    <w:rsid w:val="00586EF8"/>
    <w:rsid w:val="005A127F"/>
    <w:rsid w:val="005B49AB"/>
    <w:rsid w:val="005B50E7"/>
    <w:rsid w:val="005C4164"/>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D1607"/>
    <w:rsid w:val="00800C5F"/>
    <w:rsid w:val="008310C9"/>
    <w:rsid w:val="00853CC5"/>
    <w:rsid w:val="00870848"/>
    <w:rsid w:val="008C7848"/>
    <w:rsid w:val="00906589"/>
    <w:rsid w:val="00906AD6"/>
    <w:rsid w:val="00917AF2"/>
    <w:rsid w:val="0092418A"/>
    <w:rsid w:val="00934ED7"/>
    <w:rsid w:val="009543C3"/>
    <w:rsid w:val="00962305"/>
    <w:rsid w:val="00966E1B"/>
    <w:rsid w:val="009826F7"/>
    <w:rsid w:val="009947C0"/>
    <w:rsid w:val="009E3058"/>
    <w:rsid w:val="009F2D2C"/>
    <w:rsid w:val="009F4170"/>
    <w:rsid w:val="00A25DEC"/>
    <w:rsid w:val="00A31928"/>
    <w:rsid w:val="00A62A14"/>
    <w:rsid w:val="00A6617B"/>
    <w:rsid w:val="00A71FE5"/>
    <w:rsid w:val="00A83C2A"/>
    <w:rsid w:val="00A971A1"/>
    <w:rsid w:val="00AA3AD8"/>
    <w:rsid w:val="00AB0DC8"/>
    <w:rsid w:val="00AD05DB"/>
    <w:rsid w:val="00B033C8"/>
    <w:rsid w:val="00B33425"/>
    <w:rsid w:val="00B44E24"/>
    <w:rsid w:val="00B54ECC"/>
    <w:rsid w:val="00B62AB1"/>
    <w:rsid w:val="00B714F3"/>
    <w:rsid w:val="00B87B6B"/>
    <w:rsid w:val="00B97948"/>
    <w:rsid w:val="00BB31D7"/>
    <w:rsid w:val="00BC5D77"/>
    <w:rsid w:val="00BF0366"/>
    <w:rsid w:val="00BF487A"/>
    <w:rsid w:val="00BF76E7"/>
    <w:rsid w:val="00C46BD9"/>
    <w:rsid w:val="00C47F82"/>
    <w:rsid w:val="00C55258"/>
    <w:rsid w:val="00C73560"/>
    <w:rsid w:val="00C847AA"/>
    <w:rsid w:val="00C906E6"/>
    <w:rsid w:val="00CB0F14"/>
    <w:rsid w:val="00CD659B"/>
    <w:rsid w:val="00CE0A43"/>
    <w:rsid w:val="00CE257A"/>
    <w:rsid w:val="00D54BEC"/>
    <w:rsid w:val="00D83556"/>
    <w:rsid w:val="00DC5CFC"/>
    <w:rsid w:val="00DF4176"/>
    <w:rsid w:val="00E17240"/>
    <w:rsid w:val="00E44309"/>
    <w:rsid w:val="00E74595"/>
    <w:rsid w:val="00EB0890"/>
    <w:rsid w:val="00EB713A"/>
    <w:rsid w:val="00EB7C57"/>
    <w:rsid w:val="00ED2695"/>
    <w:rsid w:val="00EE2009"/>
    <w:rsid w:val="00EE36FE"/>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812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semiHidden/>
    <w:rsid w:val="001A5DF7"/>
    <w:rPr>
      <w:position w:val="6"/>
      <w:sz w:val="16"/>
    </w:rPr>
  </w:style>
  <w:style w:type="paragraph" w:styleId="FootnoteText">
    <w:name w:val="footnote text"/>
    <w:basedOn w:val="Normal"/>
    <w:link w:val="FootnoteTextChar"/>
    <w:semiHidden/>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Heading1Char">
    <w:name w:val="Heading 1 Char"/>
    <w:basedOn w:val="DefaultParagraphFont"/>
    <w:link w:val="Heading1"/>
    <w:rsid w:val="0041192D"/>
    <w:rPr>
      <w:b/>
      <w:sz w:val="22"/>
      <w:lang w:val="fr-FR" w:eastAsia="en-US"/>
    </w:rPr>
  </w:style>
  <w:style w:type="character" w:customStyle="1" w:styleId="Heading2Char">
    <w:name w:val="Heading 2 Char"/>
    <w:basedOn w:val="DefaultParagraphFont"/>
    <w:link w:val="Heading2"/>
    <w:rsid w:val="0041192D"/>
    <w:rPr>
      <w:b/>
      <w:sz w:val="22"/>
      <w:lang w:val="fr-FR" w:eastAsia="en-US"/>
    </w:rPr>
  </w:style>
  <w:style w:type="character" w:customStyle="1" w:styleId="Heading3Char">
    <w:name w:val="Heading 3 Char"/>
    <w:basedOn w:val="DefaultParagraphFont"/>
    <w:link w:val="Heading3"/>
    <w:rsid w:val="0041192D"/>
    <w:rPr>
      <w:b/>
      <w:sz w:val="22"/>
      <w:lang w:val="fr-FR" w:eastAsia="en-US"/>
    </w:rPr>
  </w:style>
  <w:style w:type="character" w:customStyle="1" w:styleId="Heading4Char">
    <w:name w:val="Heading 4 Char"/>
    <w:basedOn w:val="DefaultParagraphFont"/>
    <w:link w:val="Heading4"/>
    <w:rsid w:val="0041192D"/>
    <w:rPr>
      <w:b/>
      <w:sz w:val="22"/>
      <w:lang w:val="fr-FR" w:eastAsia="en-US"/>
    </w:rPr>
  </w:style>
  <w:style w:type="character" w:customStyle="1" w:styleId="Heading5Char">
    <w:name w:val="Heading 5 Char"/>
    <w:basedOn w:val="DefaultParagraphFont"/>
    <w:link w:val="Heading5"/>
    <w:rsid w:val="0041192D"/>
    <w:rPr>
      <w:b/>
      <w:sz w:val="22"/>
      <w:lang w:val="fr-FR" w:eastAsia="en-US"/>
    </w:rPr>
  </w:style>
  <w:style w:type="character" w:customStyle="1" w:styleId="Heading6Char">
    <w:name w:val="Heading 6 Char"/>
    <w:basedOn w:val="DefaultParagraphFont"/>
    <w:link w:val="Heading6"/>
    <w:rsid w:val="0041192D"/>
    <w:rPr>
      <w:b/>
      <w:sz w:val="22"/>
      <w:lang w:val="fr-FR" w:eastAsia="en-US"/>
    </w:rPr>
  </w:style>
  <w:style w:type="character" w:customStyle="1" w:styleId="Heading7Char">
    <w:name w:val="Heading 7 Char"/>
    <w:basedOn w:val="DefaultParagraphFont"/>
    <w:link w:val="Heading7"/>
    <w:rsid w:val="0041192D"/>
    <w:rPr>
      <w:b/>
      <w:sz w:val="22"/>
      <w:lang w:val="fr-FR" w:eastAsia="en-US"/>
    </w:rPr>
  </w:style>
  <w:style w:type="character" w:customStyle="1" w:styleId="Heading8Char">
    <w:name w:val="Heading 8 Char"/>
    <w:basedOn w:val="DefaultParagraphFont"/>
    <w:link w:val="Heading8"/>
    <w:rsid w:val="0041192D"/>
    <w:rPr>
      <w:b/>
      <w:sz w:val="22"/>
      <w:lang w:val="fr-FR" w:eastAsia="en-US"/>
    </w:rPr>
  </w:style>
  <w:style w:type="character" w:customStyle="1" w:styleId="Heading9Char">
    <w:name w:val="Heading 9 Char"/>
    <w:basedOn w:val="DefaultParagraphFont"/>
    <w:link w:val="Heading9"/>
    <w:rsid w:val="0041192D"/>
    <w:rPr>
      <w:b/>
      <w:sz w:val="22"/>
      <w:lang w:val="fr-FR" w:eastAsia="en-US"/>
    </w:rPr>
  </w:style>
  <w:style w:type="character" w:styleId="FollowedHyperlink">
    <w:name w:val="FollowedHyperlink"/>
    <w:basedOn w:val="DefaultParagraphFont"/>
    <w:uiPriority w:val="99"/>
    <w:semiHidden/>
    <w:unhideWhenUsed/>
    <w:rsid w:val="0041192D"/>
    <w:rPr>
      <w:color w:val="800080" w:themeColor="followedHyperlink"/>
      <w:u w:val="single"/>
    </w:rPr>
  </w:style>
  <w:style w:type="character" w:customStyle="1" w:styleId="FootnoteTextChar">
    <w:name w:val="Footnote Text Char"/>
    <w:basedOn w:val="DefaultParagraphFont"/>
    <w:link w:val="FootnoteText"/>
    <w:semiHidden/>
    <w:rsid w:val="0041192D"/>
    <w:rPr>
      <w:lang w:val="fr-FR" w:eastAsia="en-US"/>
    </w:rPr>
  </w:style>
  <w:style w:type="character" w:customStyle="1" w:styleId="FooterChar">
    <w:name w:val="Footer Char"/>
    <w:basedOn w:val="DefaultParagraphFont"/>
    <w:link w:val="Footer"/>
    <w:rsid w:val="0041192D"/>
    <w:rPr>
      <w:noProof/>
      <w:sz w:val="18"/>
      <w:lang w:val="fr-FR" w:eastAsia="en-US"/>
    </w:rPr>
  </w:style>
  <w:style w:type="character" w:customStyle="1" w:styleId="Rectitle0">
    <w:name w:val="Rec_title Знак"/>
    <w:link w:val="Rectitle"/>
    <w:locked/>
    <w:rsid w:val="0041192D"/>
    <w:rPr>
      <w:b/>
      <w:sz w:val="26"/>
      <w:lang w:val="fr-FR" w:eastAsia="en-US"/>
    </w:rPr>
  </w:style>
  <w:style w:type="character" w:customStyle="1" w:styleId="TableNo0">
    <w:name w:val="Table_No Знак"/>
    <w:link w:val="TableNo"/>
    <w:locked/>
    <w:rsid w:val="0041192D"/>
    <w:rPr>
      <w:sz w:val="22"/>
      <w:lang w:val="fr-FR" w:eastAsia="en-US"/>
    </w:rPr>
  </w:style>
  <w:style w:type="character" w:customStyle="1" w:styleId="Tabletitle0">
    <w:name w:val="Table_title Знак"/>
    <w:link w:val="Tabletitle"/>
    <w:locked/>
    <w:rsid w:val="0041192D"/>
    <w:rPr>
      <w:b/>
      <w:sz w:val="22"/>
      <w:lang w:val="fr-FR" w:eastAsia="en-US"/>
    </w:rPr>
  </w:style>
  <w:style w:type="paragraph" w:customStyle="1" w:styleId="TableText0">
    <w:name w:val="Table_Text"/>
    <w:basedOn w:val="Tablelegend"/>
    <w:uiPriority w:val="99"/>
    <w:rsid w:val="0041192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textAlignment w:val="auto"/>
    </w:pPr>
    <w:rPr>
      <w:sz w:val="18"/>
      <w:lang w:val="en-GB"/>
    </w:rPr>
  </w:style>
  <w:style w:type="paragraph" w:customStyle="1" w:styleId="TableHead0">
    <w:name w:val="Table_Head"/>
    <w:basedOn w:val="TableText0"/>
    <w:uiPriority w:val="99"/>
    <w:rsid w:val="0041192D"/>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table" w:styleId="TableGrid">
    <w:name w:val="Table Grid"/>
    <w:basedOn w:val="TableNormal"/>
    <w:rsid w:val="0041192D"/>
    <w:rPr>
      <w:rFonts w:ascii="CG Times" w:hAnsi="CG Times"/>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422753">
      <w:bodyDiv w:val="1"/>
      <w:marLeft w:val="0"/>
      <w:marRight w:val="0"/>
      <w:marTop w:val="0"/>
      <w:marBottom w:val="0"/>
      <w:divBdr>
        <w:top w:val="none" w:sz="0" w:space="0" w:color="auto"/>
        <w:left w:val="none" w:sz="0" w:space="0" w:color="auto"/>
        <w:bottom w:val="none" w:sz="0" w:space="0" w:color="auto"/>
        <w:right w:val="none" w:sz="0" w:space="0" w:color="auto"/>
      </w:divBdr>
    </w:div>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41.bin"/><Relationship Id="rId19" Type="http://schemas.openxmlformats.org/officeDocument/2006/relationships/oleObject" Target="embeddings/oleObject3.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5.emf"/><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50.wmf"/><Relationship Id="rId116" Type="http://schemas.openxmlformats.org/officeDocument/2006/relationships/image" Target="media/image54.wmf"/><Relationship Id="rId124" Type="http://schemas.openxmlformats.org/officeDocument/2006/relationships/oleObject" Target="embeddings/oleObject56.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40.wmf"/><Relationship Id="rId91" Type="http://schemas.openxmlformats.org/officeDocument/2006/relationships/oleObject" Target="embeddings/oleObject39.bin"/><Relationship Id="rId96" Type="http://schemas.openxmlformats.org/officeDocument/2006/relationships/image" Target="media/image44.wmf"/><Relationship Id="rId111" Type="http://schemas.openxmlformats.org/officeDocument/2006/relationships/oleObject" Target="embeddings/oleObject4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3.bin"/><Relationship Id="rId127" Type="http://schemas.openxmlformats.org/officeDocument/2006/relationships/theme" Target="theme/theme1.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61" Type="http://schemas.openxmlformats.org/officeDocument/2006/relationships/oleObject" Target="embeddings/oleObject24.bin"/><Relationship Id="rId82" Type="http://schemas.openxmlformats.org/officeDocument/2006/relationships/image" Target="media/image37.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F323D-0B31-47F9-B982-F2999FC4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221</TotalTime>
  <Pages>32</Pages>
  <Words>11197</Words>
  <Characters>63825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74873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2015-08-03T07:58:00Z</cp:lastPrinted>
  <dcterms:created xsi:type="dcterms:W3CDTF">2015-07-31T10:49:00Z</dcterms:created>
  <dcterms:modified xsi:type="dcterms:W3CDTF">2015-08-03T09:28:00Z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