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tblPr>
      <w:tblGrid>
        <w:gridCol w:w="10089"/>
      </w:tblGrid>
      <w:tr w:rsidR="00042292" w:rsidRPr="00A07AEB"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D84B63">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sidR="00D84B63">
              <w:rPr>
                <w:rFonts w:ascii="Tahoma" w:hAnsi="Tahoma" w:cs="Tahoma"/>
                <w:b/>
                <w:bCs/>
                <w:iCs/>
                <w:color w:val="243285"/>
                <w:sz w:val="36"/>
                <w:szCs w:val="36"/>
                <w:lang w:val="es-ES_tradnl"/>
              </w:rPr>
              <w:t>1474-1</w:t>
            </w:r>
          </w:p>
          <w:p w:rsidR="00042292" w:rsidRPr="00A07AEB" w:rsidRDefault="00042292" w:rsidP="00186602">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186602">
              <w:rPr>
                <w:rFonts w:ascii="Tahoma" w:hAnsi="Tahoma" w:cs="Tahoma"/>
                <w:b/>
                <w:bCs/>
                <w:iCs/>
                <w:color w:val="243285"/>
                <w:szCs w:val="24"/>
                <w:lang w:val="es-ES_tradnl"/>
              </w:rPr>
              <w:t>01</w:t>
            </w:r>
            <w:r w:rsidRPr="00A07AEB">
              <w:rPr>
                <w:rFonts w:ascii="Tahoma" w:hAnsi="Tahoma" w:cs="Tahoma"/>
                <w:b/>
                <w:bCs/>
                <w:iCs/>
                <w:color w:val="243285"/>
                <w:szCs w:val="24"/>
                <w:lang w:val="es-ES_tradnl"/>
              </w:rPr>
              <w:t>/</w:t>
            </w:r>
            <w:r w:rsidR="00186602">
              <w:rPr>
                <w:rFonts w:ascii="Tahoma" w:hAnsi="Tahoma" w:cs="Tahoma"/>
                <w:b/>
                <w:bCs/>
                <w:iCs/>
                <w:color w:val="243285"/>
                <w:szCs w:val="24"/>
                <w:lang w:val="es-ES_tradnl"/>
              </w:rPr>
              <w:t>2010</w:t>
            </w:r>
            <w:r w:rsidRPr="00A07AEB">
              <w:rPr>
                <w:rFonts w:ascii="Tahoma" w:hAnsi="Tahoma" w:cs="Tahoma"/>
                <w:b/>
                <w:bCs/>
                <w:iCs/>
                <w:color w:val="243285"/>
                <w:szCs w:val="24"/>
                <w:lang w:val="es-ES_tradnl"/>
              </w:rPr>
              <w:t>)</w:t>
            </w:r>
          </w:p>
        </w:tc>
      </w:tr>
      <w:tr w:rsidR="00042292" w:rsidRPr="00142B4D" w:rsidTr="00A07AEB">
        <w:tc>
          <w:tcPr>
            <w:tcW w:w="10089" w:type="dxa"/>
          </w:tcPr>
          <w:p w:rsidR="00042292" w:rsidRPr="00D84B63" w:rsidRDefault="00042292" w:rsidP="00A07AEB">
            <w:pPr>
              <w:spacing w:before="80" w:line="500" w:lineRule="exact"/>
              <w:jc w:val="right"/>
              <w:rPr>
                <w:rFonts w:ascii="Tahoma" w:hAnsi="Tahoma" w:cs="Tahoma"/>
                <w:b/>
                <w:bCs/>
                <w:iCs/>
                <w:color w:val="243285"/>
                <w:sz w:val="40"/>
                <w:szCs w:val="40"/>
                <w:lang w:val="es-ES_tradnl"/>
              </w:rPr>
            </w:pPr>
          </w:p>
          <w:p w:rsidR="00042292" w:rsidRPr="00A07AEB" w:rsidRDefault="00D84B63" w:rsidP="00D84B63">
            <w:pPr>
              <w:spacing w:before="80" w:line="500" w:lineRule="exact"/>
              <w:jc w:val="right"/>
              <w:rPr>
                <w:rFonts w:ascii="Tahoma" w:hAnsi="Tahoma" w:cs="Tahoma"/>
                <w:b/>
                <w:bCs/>
                <w:iCs/>
                <w:color w:val="243285"/>
                <w:sz w:val="44"/>
                <w:szCs w:val="44"/>
                <w:lang w:val="es-ES_tradnl"/>
              </w:rPr>
            </w:pPr>
            <w:r w:rsidRPr="00D84B63">
              <w:rPr>
                <w:rFonts w:ascii="Tahoma" w:hAnsi="Tahoma" w:cs="Tahoma"/>
                <w:b/>
                <w:bCs/>
                <w:iCs/>
                <w:color w:val="243285"/>
                <w:sz w:val="40"/>
                <w:szCs w:val="40"/>
                <w:lang w:val="es-ES_tradnl"/>
              </w:rPr>
              <w:t>Metodología para evaluar la repercusión de la interferencia causada por sistemas del servicio móvil por satélite (SMS) con acceso múltiple</w:t>
            </w:r>
            <w:r>
              <w:rPr>
                <w:rFonts w:ascii="Tahoma" w:hAnsi="Tahoma" w:cs="Tahoma"/>
                <w:b/>
                <w:bCs/>
                <w:iCs/>
                <w:color w:val="243285"/>
                <w:sz w:val="40"/>
                <w:szCs w:val="40"/>
                <w:lang w:val="es-ES_tradnl"/>
              </w:rPr>
              <w:br/>
            </w:r>
            <w:r w:rsidRPr="00D84B63">
              <w:rPr>
                <w:rFonts w:ascii="Tahoma" w:hAnsi="Tahoma" w:cs="Tahoma"/>
                <w:b/>
                <w:bCs/>
                <w:iCs/>
                <w:color w:val="243285"/>
                <w:sz w:val="40"/>
                <w:szCs w:val="40"/>
                <w:lang w:val="es-ES_tradnl"/>
              </w:rPr>
              <w:t>por división en el tiempo/acceso múltiple</w:t>
            </w:r>
            <w:r>
              <w:rPr>
                <w:rFonts w:ascii="Tahoma" w:hAnsi="Tahoma" w:cs="Tahoma"/>
                <w:b/>
                <w:bCs/>
                <w:iCs/>
                <w:color w:val="243285"/>
                <w:sz w:val="40"/>
                <w:szCs w:val="40"/>
                <w:lang w:val="es-ES_tradnl"/>
              </w:rPr>
              <w:br/>
            </w:r>
            <w:r w:rsidRPr="00D84B63">
              <w:rPr>
                <w:rFonts w:ascii="Tahoma" w:hAnsi="Tahoma" w:cs="Tahoma"/>
                <w:b/>
                <w:bCs/>
                <w:iCs/>
                <w:color w:val="243285"/>
                <w:sz w:val="40"/>
                <w:szCs w:val="40"/>
                <w:lang w:val="es-ES_tradnl"/>
              </w:rPr>
              <w:t>por división en frecuencia (AMDT/AMDF)</w:t>
            </w:r>
            <w:r>
              <w:rPr>
                <w:rFonts w:ascii="Tahoma" w:hAnsi="Tahoma" w:cs="Tahoma"/>
                <w:b/>
                <w:bCs/>
                <w:iCs/>
                <w:color w:val="243285"/>
                <w:sz w:val="40"/>
                <w:szCs w:val="40"/>
                <w:lang w:val="es-ES_tradnl"/>
              </w:rPr>
              <w:br/>
            </w:r>
            <w:r w:rsidRPr="00D84B63">
              <w:rPr>
                <w:rFonts w:ascii="Tahoma" w:hAnsi="Tahoma" w:cs="Tahoma"/>
                <w:b/>
                <w:bCs/>
                <w:iCs/>
                <w:color w:val="243285"/>
                <w:sz w:val="40"/>
                <w:szCs w:val="40"/>
                <w:lang w:val="es-ES_tradnl"/>
              </w:rPr>
              <w:t>sobre la calidad de funcionamiento en la banda de base en receptores digitales del servicio fijo con visibilidad directa, basándose en las estadísticas de interferencia en radiofrecuencia en la gama de frecuencias 1-3 GHz</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142B4D" w:rsidTr="00A07AEB">
        <w:tc>
          <w:tcPr>
            <w:tcW w:w="10089" w:type="dxa"/>
          </w:tcPr>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6"/>
          <w:headerReference w:type="default" r:id="rId7"/>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42292" w:rsidRPr="00142B4D"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142B4D"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142B4D"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142B4D"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042292" w:rsidRPr="00142B4D"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142B4D"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r w:rsidRPr="001240BC">
              <w:rPr>
                <w:sz w:val="20"/>
              </w:rPr>
              <w:t>Gestión del espectro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142B4D"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r w:rsidRPr="00021E8A">
              <w:rPr>
                <w:bCs/>
                <w:sz w:val="20"/>
              </w:rPr>
              <w:t>Vocabulario y cuestiones afines</w:t>
            </w:r>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42292" w:rsidRPr="00142B4D" w:rsidTr="00A07AEB">
        <w:tc>
          <w:tcPr>
            <w:tcW w:w="9360" w:type="dxa"/>
          </w:tcPr>
          <w:p w:rsidR="00042292" w:rsidRPr="00A07AEB" w:rsidRDefault="00042292" w:rsidP="00A07AEB">
            <w:pPr>
              <w:spacing w:before="92" w:after="92"/>
              <w:jc w:val="left"/>
              <w:rPr>
                <w:i/>
                <w:iCs/>
                <w:sz w:val="20"/>
                <w:lang w:val="es-ES_tradnl"/>
              </w:rPr>
            </w:pPr>
            <w:r w:rsidRPr="00A07AEB">
              <w:rPr>
                <w:b/>
                <w:bCs/>
                <w:i/>
                <w:iCs/>
                <w:sz w:val="20"/>
                <w:lang w:val="es-ES_tradnl"/>
              </w:rPr>
              <w:t xml:space="preserve">         Nota</w:t>
            </w:r>
            <w:r w:rsidRPr="00A07AEB">
              <w:rPr>
                <w:i/>
                <w:iCs/>
                <w:sz w:val="20"/>
                <w:lang w:val="es-ES_tradnl"/>
              </w:rPr>
              <w:t xml:space="preserve">: Esta Recomendación UIT-R fue aprobada en inglés conforme al procedimiento detallado en la </w:t>
            </w:r>
            <w:r w:rsidRPr="00A07AEB">
              <w:rPr>
                <w:i/>
                <w:iCs/>
                <w:sz w:val="20"/>
                <w:lang w:val="es-ES_tradnl"/>
              </w:rPr>
              <w:br/>
              <w:t xml:space="preserve">        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1B26B3">
      <w:pPr>
        <w:spacing w:before="0" w:after="40"/>
        <w:jc w:val="right"/>
        <w:rPr>
          <w:sz w:val="20"/>
          <w:lang w:val="es-ES_tradnl"/>
        </w:rPr>
      </w:pPr>
      <w:r w:rsidRPr="00763D08">
        <w:rPr>
          <w:sz w:val="20"/>
          <w:lang w:val="es-ES_tradnl"/>
        </w:rPr>
        <w:t>Ginebra, 20</w:t>
      </w:r>
      <w:r w:rsidR="001B26B3">
        <w:rPr>
          <w:sz w:val="20"/>
          <w:lang w:val="es-ES_tradnl"/>
        </w:rPr>
        <w:t>10</w:t>
      </w:r>
    </w:p>
    <w:p w:rsidR="00042292" w:rsidRPr="00763D08" w:rsidRDefault="00042292" w:rsidP="00042292">
      <w:pPr>
        <w:spacing w:before="0"/>
        <w:jc w:val="center"/>
        <w:rPr>
          <w:sz w:val="22"/>
          <w:lang w:val="es-ES_tradnl"/>
        </w:rPr>
      </w:pPr>
    </w:p>
    <w:p w:rsidR="00042292" w:rsidRPr="00763D08" w:rsidRDefault="00042292" w:rsidP="001B26B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1B26B3">
        <w:rPr>
          <w:sz w:val="20"/>
          <w:lang w:val="es-ES_tradnl"/>
        </w:rPr>
        <w:t>10</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0"/>
          <w:headerReference w:type="default" r:id="rId11"/>
          <w:pgSz w:w="11907" w:h="16834" w:code="9"/>
          <w:pgMar w:top="1418" w:right="1134" w:bottom="1134" w:left="1134" w:header="720" w:footer="482" w:gutter="0"/>
          <w:pgNumType w:fmt="lowerRoman" w:start="2"/>
          <w:cols w:space="720"/>
        </w:sectPr>
      </w:pPr>
    </w:p>
    <w:p w:rsidR="00D84B63" w:rsidRDefault="00D84B63" w:rsidP="00D84B63">
      <w:pPr>
        <w:pStyle w:val="RecNo"/>
        <w:spacing w:before="0"/>
        <w:rPr>
          <w:lang w:val="es-ES_tradnl"/>
        </w:rPr>
      </w:pPr>
      <w:bookmarkStart w:id="2" w:name="irecnoe"/>
      <w:bookmarkEnd w:id="2"/>
      <w:r w:rsidRPr="00763D08">
        <w:rPr>
          <w:lang w:val="es-ES_tradnl"/>
        </w:rPr>
        <w:lastRenderedPageBreak/>
        <w:t xml:space="preserve">RECOMENDACIÓN  </w:t>
      </w:r>
      <w:r w:rsidRPr="00763D08">
        <w:rPr>
          <w:rStyle w:val="href"/>
          <w:lang w:val="es-ES_tradnl"/>
        </w:rPr>
        <w:t>UIT-R  M.1</w:t>
      </w:r>
      <w:r>
        <w:rPr>
          <w:rStyle w:val="href"/>
          <w:lang w:val="es-ES_tradnl"/>
        </w:rPr>
        <w:t>474-1</w:t>
      </w:r>
      <w:r w:rsidR="009A71C8" w:rsidRPr="00CB0C0D">
        <w:rPr>
          <w:rStyle w:val="FootnoteReference"/>
          <w:lang w:val="es-ES_tradnl"/>
        </w:rPr>
        <w:footnoteReference w:customMarkFollows="1" w:id="1"/>
        <w:t>*</w:t>
      </w:r>
    </w:p>
    <w:p w:rsidR="00042292" w:rsidRDefault="009A71C8" w:rsidP="00186602">
      <w:pPr>
        <w:pStyle w:val="Rectitle"/>
        <w:rPr>
          <w:lang w:val="es-ES_tradnl"/>
        </w:rPr>
      </w:pPr>
      <w:r w:rsidRPr="00CB0C0D">
        <w:rPr>
          <w:lang w:val="es-ES_tradnl"/>
        </w:rPr>
        <w:t>Metodología</w:t>
      </w:r>
      <w:r>
        <w:rPr>
          <w:lang w:val="es-ES_tradnl"/>
        </w:rPr>
        <w:t xml:space="preserve"> </w:t>
      </w:r>
      <w:r w:rsidRPr="00CB0C0D">
        <w:rPr>
          <w:lang w:val="es-ES_tradnl"/>
        </w:rPr>
        <w:t>para</w:t>
      </w:r>
      <w:r>
        <w:rPr>
          <w:lang w:val="es-ES_tradnl"/>
        </w:rPr>
        <w:t xml:space="preserve"> </w:t>
      </w:r>
      <w:r w:rsidRPr="00CB0C0D">
        <w:rPr>
          <w:lang w:val="es-ES_tradnl"/>
        </w:rPr>
        <w:t>evaluar</w:t>
      </w:r>
      <w:r>
        <w:rPr>
          <w:lang w:val="es-ES_tradnl"/>
        </w:rPr>
        <w:t xml:space="preserve"> </w:t>
      </w:r>
      <w:r w:rsidRPr="00CB0C0D">
        <w:rPr>
          <w:lang w:val="es-ES_tradnl"/>
        </w:rPr>
        <w:t>la</w:t>
      </w:r>
      <w:r>
        <w:rPr>
          <w:lang w:val="es-ES_tradnl"/>
        </w:rPr>
        <w:t xml:space="preserve"> </w:t>
      </w:r>
      <w:r w:rsidRPr="00CB0C0D">
        <w:rPr>
          <w:lang w:val="es-ES_tradnl"/>
        </w:rPr>
        <w:t>repercusión</w:t>
      </w:r>
      <w:r>
        <w:rPr>
          <w:lang w:val="es-ES_tradnl"/>
        </w:rPr>
        <w:t xml:space="preserve"> </w:t>
      </w:r>
      <w:r w:rsidRPr="00CB0C0D">
        <w:rPr>
          <w:lang w:val="es-ES_tradnl"/>
        </w:rPr>
        <w:t>de</w:t>
      </w:r>
      <w:r>
        <w:rPr>
          <w:lang w:val="es-ES_tradnl"/>
        </w:rPr>
        <w:t xml:space="preserve"> </w:t>
      </w:r>
      <w:r w:rsidRPr="00CB0C0D">
        <w:rPr>
          <w:lang w:val="es-ES_tradnl"/>
        </w:rPr>
        <w:t>la</w:t>
      </w:r>
      <w:r>
        <w:rPr>
          <w:lang w:val="es-ES_tradnl"/>
        </w:rPr>
        <w:t xml:space="preserve"> </w:t>
      </w:r>
      <w:r w:rsidRPr="00CB0C0D">
        <w:rPr>
          <w:lang w:val="es-ES_tradnl"/>
        </w:rPr>
        <w:t>interferencia</w:t>
      </w:r>
      <w:r w:rsidR="00186602">
        <w:rPr>
          <w:lang w:val="es-ES_tradnl"/>
        </w:rPr>
        <w:t xml:space="preserve"> </w:t>
      </w:r>
      <w:r w:rsidRPr="00CB0C0D">
        <w:rPr>
          <w:lang w:val="es-ES_tradnl"/>
        </w:rPr>
        <w:t>causada</w:t>
      </w:r>
      <w:r w:rsidR="00186602">
        <w:rPr>
          <w:lang w:val="es-ES_tradnl"/>
        </w:rPr>
        <w:br/>
      </w:r>
      <w:r w:rsidRPr="00CB0C0D">
        <w:rPr>
          <w:lang w:val="es-ES_tradnl"/>
        </w:rPr>
        <w:t>por</w:t>
      </w:r>
      <w:r>
        <w:rPr>
          <w:lang w:val="es-ES_tradnl"/>
        </w:rPr>
        <w:t xml:space="preserve"> s</w:t>
      </w:r>
      <w:r w:rsidRPr="00CB0C0D">
        <w:rPr>
          <w:lang w:val="es-ES_tradnl"/>
        </w:rPr>
        <w:t>istemas</w:t>
      </w:r>
      <w:r>
        <w:rPr>
          <w:lang w:val="es-ES_tradnl"/>
        </w:rPr>
        <w:t xml:space="preserve"> </w:t>
      </w:r>
      <w:r w:rsidRPr="00CB0C0D">
        <w:rPr>
          <w:lang w:val="es-ES_tradnl"/>
        </w:rPr>
        <w:t>del</w:t>
      </w:r>
      <w:r>
        <w:rPr>
          <w:lang w:val="es-ES_tradnl"/>
        </w:rPr>
        <w:t xml:space="preserve"> </w:t>
      </w:r>
      <w:r w:rsidRPr="00CB0C0D">
        <w:rPr>
          <w:lang w:val="es-ES_tradnl"/>
        </w:rPr>
        <w:t>servicio</w:t>
      </w:r>
      <w:r>
        <w:rPr>
          <w:lang w:val="es-ES_tradnl"/>
        </w:rPr>
        <w:t xml:space="preserve"> </w:t>
      </w:r>
      <w:r w:rsidRPr="00CB0C0D">
        <w:rPr>
          <w:lang w:val="es-ES_tradnl"/>
        </w:rPr>
        <w:t>móvil</w:t>
      </w:r>
      <w:r>
        <w:rPr>
          <w:lang w:val="es-ES_tradnl"/>
        </w:rPr>
        <w:t xml:space="preserve"> </w:t>
      </w:r>
      <w:r w:rsidRPr="00CB0C0D">
        <w:rPr>
          <w:lang w:val="es-ES_tradnl"/>
        </w:rPr>
        <w:t>por</w:t>
      </w:r>
      <w:r>
        <w:rPr>
          <w:lang w:val="es-ES_tradnl"/>
        </w:rPr>
        <w:t xml:space="preserve"> </w:t>
      </w:r>
      <w:r w:rsidRPr="00CB0C0D">
        <w:rPr>
          <w:lang w:val="es-ES_tradnl"/>
        </w:rPr>
        <w:t>satélite</w:t>
      </w:r>
      <w:r>
        <w:rPr>
          <w:lang w:val="es-ES_tradnl"/>
        </w:rPr>
        <w:t xml:space="preserve"> </w:t>
      </w:r>
      <w:r w:rsidRPr="00CB0C0D">
        <w:rPr>
          <w:lang w:val="es-ES_tradnl"/>
        </w:rPr>
        <w:t>(SMS)</w:t>
      </w:r>
      <w:r w:rsidR="00186602">
        <w:rPr>
          <w:lang w:val="es-ES_tradnl"/>
        </w:rPr>
        <w:t xml:space="preserve"> </w:t>
      </w:r>
      <w:r w:rsidRPr="00CB0C0D">
        <w:rPr>
          <w:lang w:val="es-ES_tradnl"/>
        </w:rPr>
        <w:t>con</w:t>
      </w:r>
      <w:r>
        <w:rPr>
          <w:lang w:val="es-ES_tradnl"/>
        </w:rPr>
        <w:t xml:space="preserve"> </w:t>
      </w:r>
      <w:r w:rsidRPr="00CB0C0D">
        <w:rPr>
          <w:lang w:val="es-ES_tradnl"/>
        </w:rPr>
        <w:t>acceso</w:t>
      </w:r>
      <w:r w:rsidR="00186602">
        <w:rPr>
          <w:lang w:val="es-ES_tradnl"/>
        </w:rPr>
        <w:br/>
      </w:r>
      <w:r w:rsidRPr="00CB0C0D">
        <w:rPr>
          <w:lang w:val="es-ES_tradnl"/>
        </w:rPr>
        <w:t>múltiple</w:t>
      </w:r>
      <w:r>
        <w:rPr>
          <w:lang w:val="es-ES_tradnl"/>
        </w:rPr>
        <w:t xml:space="preserve"> </w:t>
      </w:r>
      <w:r w:rsidRPr="00CB0C0D">
        <w:rPr>
          <w:lang w:val="es-ES_tradnl"/>
        </w:rPr>
        <w:t>por</w:t>
      </w:r>
      <w:r>
        <w:rPr>
          <w:lang w:val="es-ES_tradnl"/>
        </w:rPr>
        <w:t xml:space="preserve"> </w:t>
      </w:r>
      <w:r w:rsidRPr="00CB0C0D">
        <w:rPr>
          <w:lang w:val="es-ES_tradnl"/>
        </w:rPr>
        <w:t>división</w:t>
      </w:r>
      <w:r>
        <w:rPr>
          <w:lang w:val="es-ES_tradnl"/>
        </w:rPr>
        <w:t xml:space="preserve"> </w:t>
      </w:r>
      <w:r w:rsidRPr="00CB0C0D">
        <w:rPr>
          <w:lang w:val="es-ES_tradnl"/>
        </w:rPr>
        <w:t>en</w:t>
      </w:r>
      <w:r>
        <w:rPr>
          <w:lang w:val="es-ES_tradnl"/>
        </w:rPr>
        <w:t xml:space="preserve"> </w:t>
      </w:r>
      <w:r w:rsidRPr="00CB0C0D">
        <w:rPr>
          <w:lang w:val="es-ES_tradnl"/>
        </w:rPr>
        <w:t>el</w:t>
      </w:r>
      <w:r>
        <w:rPr>
          <w:lang w:val="es-ES_tradnl"/>
        </w:rPr>
        <w:t xml:space="preserve"> </w:t>
      </w:r>
      <w:r w:rsidRPr="00CB0C0D">
        <w:rPr>
          <w:lang w:val="es-ES_tradnl"/>
        </w:rPr>
        <w:t>tiempo/acceso</w:t>
      </w:r>
      <w:r w:rsidR="00186602">
        <w:rPr>
          <w:lang w:val="es-ES_tradnl"/>
        </w:rPr>
        <w:t xml:space="preserve"> </w:t>
      </w:r>
      <w:r w:rsidRPr="00CB0C0D">
        <w:rPr>
          <w:lang w:val="es-ES_tradnl"/>
        </w:rPr>
        <w:t>múltiple</w:t>
      </w:r>
      <w:r>
        <w:rPr>
          <w:lang w:val="es-ES_tradnl"/>
        </w:rPr>
        <w:t xml:space="preserve"> </w:t>
      </w:r>
      <w:r w:rsidRPr="00CB0C0D">
        <w:rPr>
          <w:lang w:val="es-ES_tradnl"/>
        </w:rPr>
        <w:t>por</w:t>
      </w:r>
      <w:r>
        <w:rPr>
          <w:lang w:val="es-ES_tradnl"/>
        </w:rPr>
        <w:t xml:space="preserve"> </w:t>
      </w:r>
      <w:r w:rsidRPr="00CB0C0D">
        <w:rPr>
          <w:lang w:val="es-ES_tradnl"/>
        </w:rPr>
        <w:t>división</w:t>
      </w:r>
      <w:r w:rsidR="00186602">
        <w:rPr>
          <w:lang w:val="es-ES_tradnl"/>
        </w:rPr>
        <w:br/>
      </w:r>
      <w:r w:rsidRPr="00CB0C0D">
        <w:rPr>
          <w:lang w:val="es-ES_tradnl"/>
        </w:rPr>
        <w:t>en</w:t>
      </w:r>
      <w:r>
        <w:rPr>
          <w:lang w:val="es-ES_tradnl"/>
        </w:rPr>
        <w:t xml:space="preserve"> </w:t>
      </w:r>
      <w:r w:rsidRPr="00CB0C0D">
        <w:rPr>
          <w:lang w:val="es-ES_tradnl"/>
        </w:rPr>
        <w:t>frecuencia</w:t>
      </w:r>
      <w:r>
        <w:rPr>
          <w:lang w:val="es-ES_tradnl"/>
        </w:rPr>
        <w:t xml:space="preserve"> </w:t>
      </w:r>
      <w:r w:rsidRPr="00CB0C0D">
        <w:rPr>
          <w:lang w:val="es-ES_tradnl"/>
        </w:rPr>
        <w:t>(AMDT/AMDF)</w:t>
      </w:r>
      <w:r w:rsidR="00186602">
        <w:rPr>
          <w:lang w:val="es-ES_tradnl"/>
        </w:rPr>
        <w:t xml:space="preserve"> </w:t>
      </w:r>
      <w:r w:rsidRPr="00CB0C0D">
        <w:rPr>
          <w:lang w:val="es-ES_tradnl"/>
        </w:rPr>
        <w:t>sobre</w:t>
      </w:r>
      <w:r>
        <w:rPr>
          <w:lang w:val="es-ES_tradnl"/>
        </w:rPr>
        <w:t xml:space="preserve"> </w:t>
      </w:r>
      <w:r w:rsidRPr="00CB0C0D">
        <w:rPr>
          <w:lang w:val="es-ES_tradnl"/>
        </w:rPr>
        <w:t>la</w:t>
      </w:r>
      <w:r>
        <w:rPr>
          <w:lang w:val="es-ES_tradnl"/>
        </w:rPr>
        <w:t xml:space="preserve"> </w:t>
      </w:r>
      <w:r w:rsidRPr="00CB0C0D">
        <w:rPr>
          <w:lang w:val="es-ES_tradnl"/>
        </w:rPr>
        <w:t>calidad</w:t>
      </w:r>
      <w:r>
        <w:rPr>
          <w:lang w:val="es-ES_tradnl"/>
        </w:rPr>
        <w:t xml:space="preserve"> </w:t>
      </w:r>
      <w:r w:rsidRPr="00CB0C0D">
        <w:rPr>
          <w:lang w:val="es-ES_tradnl"/>
        </w:rPr>
        <w:t>de</w:t>
      </w:r>
      <w:r>
        <w:rPr>
          <w:lang w:val="es-ES_tradnl"/>
        </w:rPr>
        <w:t xml:space="preserve"> </w:t>
      </w:r>
      <w:r w:rsidRPr="00CB0C0D">
        <w:rPr>
          <w:lang w:val="es-ES_tradnl"/>
        </w:rPr>
        <w:t>funcionamiento</w:t>
      </w:r>
      <w:r w:rsidR="00186602">
        <w:rPr>
          <w:lang w:val="es-ES_tradnl"/>
        </w:rPr>
        <w:br/>
      </w:r>
      <w:r w:rsidRPr="00CB0C0D">
        <w:rPr>
          <w:lang w:val="es-ES_tradnl"/>
        </w:rPr>
        <w:t>en</w:t>
      </w:r>
      <w:r>
        <w:rPr>
          <w:lang w:val="es-ES_tradnl"/>
        </w:rPr>
        <w:t xml:space="preserve"> </w:t>
      </w:r>
      <w:r w:rsidRPr="00CB0C0D">
        <w:rPr>
          <w:lang w:val="es-ES_tradnl"/>
        </w:rPr>
        <w:t>la</w:t>
      </w:r>
      <w:r>
        <w:rPr>
          <w:lang w:val="es-ES_tradnl"/>
        </w:rPr>
        <w:t xml:space="preserve"> </w:t>
      </w:r>
      <w:r w:rsidRPr="00CB0C0D">
        <w:rPr>
          <w:lang w:val="es-ES_tradnl"/>
        </w:rPr>
        <w:t>banda</w:t>
      </w:r>
      <w:r>
        <w:rPr>
          <w:lang w:val="es-ES_tradnl"/>
        </w:rPr>
        <w:t xml:space="preserve"> </w:t>
      </w:r>
      <w:r w:rsidRPr="00CB0C0D">
        <w:rPr>
          <w:lang w:val="es-ES_tradnl"/>
        </w:rPr>
        <w:t>de</w:t>
      </w:r>
      <w:r>
        <w:rPr>
          <w:lang w:val="es-ES_tradnl"/>
        </w:rPr>
        <w:t xml:space="preserve"> </w:t>
      </w:r>
      <w:r w:rsidRPr="00CB0C0D">
        <w:rPr>
          <w:lang w:val="es-ES_tradnl"/>
        </w:rPr>
        <w:t>base</w:t>
      </w:r>
      <w:r w:rsidR="00186602">
        <w:rPr>
          <w:lang w:val="es-ES_tradnl"/>
        </w:rPr>
        <w:t xml:space="preserve"> </w:t>
      </w:r>
      <w:r w:rsidRPr="00CB0C0D">
        <w:rPr>
          <w:lang w:val="es-ES_tradnl"/>
        </w:rPr>
        <w:t>en</w:t>
      </w:r>
      <w:r>
        <w:rPr>
          <w:lang w:val="es-ES_tradnl"/>
        </w:rPr>
        <w:t xml:space="preserve"> </w:t>
      </w:r>
      <w:r w:rsidRPr="00CB0C0D">
        <w:rPr>
          <w:lang w:val="es-ES_tradnl"/>
        </w:rPr>
        <w:t>receptores</w:t>
      </w:r>
      <w:r>
        <w:rPr>
          <w:lang w:val="es-ES_tradnl"/>
        </w:rPr>
        <w:t xml:space="preserve"> </w:t>
      </w:r>
      <w:r w:rsidRPr="00CB0C0D">
        <w:rPr>
          <w:lang w:val="es-ES_tradnl"/>
        </w:rPr>
        <w:t>digitales</w:t>
      </w:r>
      <w:r>
        <w:rPr>
          <w:lang w:val="es-ES_tradnl"/>
        </w:rPr>
        <w:t xml:space="preserve"> </w:t>
      </w:r>
      <w:r w:rsidRPr="00CB0C0D">
        <w:rPr>
          <w:lang w:val="es-ES_tradnl"/>
        </w:rPr>
        <w:t>del</w:t>
      </w:r>
      <w:r>
        <w:rPr>
          <w:lang w:val="es-ES_tradnl"/>
        </w:rPr>
        <w:t xml:space="preserve"> </w:t>
      </w:r>
      <w:r w:rsidRPr="00CB0C0D">
        <w:rPr>
          <w:lang w:val="es-ES_tradnl"/>
        </w:rPr>
        <w:t>servicio</w:t>
      </w:r>
      <w:r>
        <w:rPr>
          <w:lang w:val="es-ES_tradnl"/>
        </w:rPr>
        <w:t xml:space="preserve"> </w:t>
      </w:r>
      <w:r w:rsidRPr="00CB0C0D">
        <w:rPr>
          <w:lang w:val="es-ES_tradnl"/>
        </w:rPr>
        <w:t>fijo</w:t>
      </w:r>
      <w:r w:rsidR="00186602">
        <w:rPr>
          <w:lang w:val="es-ES_tradnl"/>
        </w:rPr>
        <w:br/>
      </w:r>
      <w:r w:rsidRPr="00CB0C0D">
        <w:rPr>
          <w:lang w:val="es-ES_tradnl"/>
        </w:rPr>
        <w:t>con</w:t>
      </w:r>
      <w:r>
        <w:rPr>
          <w:lang w:val="es-ES_tradnl"/>
        </w:rPr>
        <w:t xml:space="preserve"> </w:t>
      </w:r>
      <w:r w:rsidRPr="00CB0C0D">
        <w:rPr>
          <w:lang w:val="es-ES_tradnl"/>
        </w:rPr>
        <w:t>visibilidad</w:t>
      </w:r>
      <w:r w:rsidR="00186602">
        <w:rPr>
          <w:lang w:val="es-ES_tradnl"/>
        </w:rPr>
        <w:t xml:space="preserve"> </w:t>
      </w:r>
      <w:r w:rsidRPr="00CB0C0D">
        <w:rPr>
          <w:lang w:val="es-ES_tradnl"/>
        </w:rPr>
        <w:t>directa,</w:t>
      </w:r>
      <w:r>
        <w:rPr>
          <w:lang w:val="es-ES_tradnl"/>
        </w:rPr>
        <w:t xml:space="preserve"> </w:t>
      </w:r>
      <w:r w:rsidRPr="00CB0C0D">
        <w:rPr>
          <w:lang w:val="es-ES_tradnl"/>
        </w:rPr>
        <w:t>basándose</w:t>
      </w:r>
      <w:r>
        <w:rPr>
          <w:lang w:val="es-ES_tradnl"/>
        </w:rPr>
        <w:t xml:space="preserve"> </w:t>
      </w:r>
      <w:r w:rsidRPr="00CB0C0D">
        <w:rPr>
          <w:lang w:val="es-ES_tradnl"/>
        </w:rPr>
        <w:t>en</w:t>
      </w:r>
      <w:r>
        <w:rPr>
          <w:lang w:val="es-ES_tradnl"/>
        </w:rPr>
        <w:t xml:space="preserve"> </w:t>
      </w:r>
      <w:r w:rsidRPr="00CB0C0D">
        <w:rPr>
          <w:lang w:val="es-ES_tradnl"/>
        </w:rPr>
        <w:t>las</w:t>
      </w:r>
      <w:r>
        <w:rPr>
          <w:lang w:val="es-ES_tradnl"/>
        </w:rPr>
        <w:t xml:space="preserve"> </w:t>
      </w:r>
      <w:r w:rsidRPr="00CB0C0D">
        <w:rPr>
          <w:lang w:val="es-ES_tradnl"/>
        </w:rPr>
        <w:t>estadísticas</w:t>
      </w:r>
      <w:r w:rsidR="00186602">
        <w:rPr>
          <w:lang w:val="es-ES_tradnl"/>
        </w:rPr>
        <w:br/>
      </w:r>
      <w:r w:rsidRPr="00CB0C0D">
        <w:rPr>
          <w:lang w:val="es-ES_tradnl"/>
        </w:rPr>
        <w:t>de</w:t>
      </w:r>
      <w:r>
        <w:rPr>
          <w:lang w:val="es-ES_tradnl"/>
        </w:rPr>
        <w:t xml:space="preserve"> </w:t>
      </w:r>
      <w:r w:rsidRPr="00CB0C0D">
        <w:rPr>
          <w:lang w:val="es-ES_tradnl"/>
        </w:rPr>
        <w:t>interferencia</w:t>
      </w:r>
      <w:r w:rsidR="00186602">
        <w:rPr>
          <w:lang w:val="es-ES_tradnl"/>
        </w:rPr>
        <w:t xml:space="preserve"> </w:t>
      </w:r>
      <w:r w:rsidRPr="00CB0C0D">
        <w:rPr>
          <w:lang w:val="es-ES_tradnl"/>
        </w:rPr>
        <w:t>en</w:t>
      </w:r>
      <w:r>
        <w:rPr>
          <w:lang w:val="es-ES_tradnl"/>
        </w:rPr>
        <w:t xml:space="preserve"> </w:t>
      </w:r>
      <w:r w:rsidRPr="00CB0C0D">
        <w:rPr>
          <w:lang w:val="es-ES_tradnl"/>
        </w:rPr>
        <w:t>radiofrecuencia</w:t>
      </w:r>
      <w:r>
        <w:rPr>
          <w:lang w:val="es-ES_tradnl"/>
        </w:rPr>
        <w:t xml:space="preserve"> en la gama</w:t>
      </w:r>
      <w:r w:rsidR="00186602">
        <w:rPr>
          <w:lang w:val="es-ES_tradnl"/>
        </w:rPr>
        <w:br/>
      </w:r>
      <w:r>
        <w:rPr>
          <w:lang w:val="es-ES_tradnl"/>
        </w:rPr>
        <w:t>de frecuencias 1-3 GHz</w:t>
      </w:r>
    </w:p>
    <w:p w:rsidR="00E31B8C" w:rsidRDefault="00E31B8C" w:rsidP="00E31B8C">
      <w:pPr>
        <w:pStyle w:val="Recref"/>
        <w:rPr>
          <w:lang w:val="es-ES_tradnl"/>
        </w:rPr>
      </w:pPr>
      <w:r w:rsidRPr="00487329">
        <w:rPr>
          <w:lang w:val="es-ES_tradnl"/>
        </w:rPr>
        <w:t>(Cuestiones UIT-R 201/</w:t>
      </w:r>
      <w:r>
        <w:rPr>
          <w:lang w:val="es-ES_tradnl"/>
        </w:rPr>
        <w:t>4</w:t>
      </w:r>
      <w:r w:rsidRPr="00487329">
        <w:rPr>
          <w:lang w:val="es-ES_tradnl"/>
        </w:rPr>
        <w:t xml:space="preserve"> y UIT-R 118/</w:t>
      </w:r>
      <w:r>
        <w:rPr>
          <w:lang w:val="es-ES_tradnl"/>
        </w:rPr>
        <w:t>5</w:t>
      </w:r>
      <w:r w:rsidRPr="00487329">
        <w:rPr>
          <w:lang w:val="es-ES_tradnl"/>
        </w:rPr>
        <w:t>)</w:t>
      </w:r>
    </w:p>
    <w:p w:rsidR="00E31B8C" w:rsidRDefault="00E31B8C" w:rsidP="00E31B8C">
      <w:pPr>
        <w:pStyle w:val="Recdate"/>
        <w:rPr>
          <w:lang w:val="es-ES_tradnl"/>
        </w:rPr>
      </w:pPr>
    </w:p>
    <w:p w:rsidR="00E31B8C" w:rsidRPr="00E31B8C" w:rsidRDefault="00E31B8C" w:rsidP="00E31B8C">
      <w:pPr>
        <w:pStyle w:val="Recdate"/>
        <w:rPr>
          <w:lang w:val="es-ES_tradnl"/>
        </w:rPr>
      </w:pPr>
      <w:r w:rsidRPr="00487329">
        <w:rPr>
          <w:lang w:val="es-ES_tradnl"/>
        </w:rPr>
        <w:t>(2000</w:t>
      </w:r>
      <w:r>
        <w:rPr>
          <w:lang w:val="es-ES_tradnl"/>
        </w:rPr>
        <w:t>-2010</w:t>
      </w:r>
      <w:r w:rsidRPr="00487329">
        <w:rPr>
          <w:lang w:val="es-ES_tradnl"/>
        </w:rPr>
        <w:t>)</w:t>
      </w:r>
    </w:p>
    <w:p w:rsidR="00E31B8C" w:rsidRPr="00487329" w:rsidRDefault="00E31B8C" w:rsidP="00E31B8C">
      <w:pPr>
        <w:rPr>
          <w:lang w:val="es-ES_tradnl"/>
        </w:rPr>
      </w:pPr>
    </w:p>
    <w:p w:rsidR="00E31B8C" w:rsidRDefault="00E31B8C" w:rsidP="00E31B8C">
      <w:pPr>
        <w:pStyle w:val="HeadingSum"/>
      </w:pPr>
      <w:r>
        <w:t>Cometido</w:t>
      </w:r>
    </w:p>
    <w:p w:rsidR="00E31B8C" w:rsidRDefault="00E31B8C" w:rsidP="00E31B8C">
      <w:pPr>
        <w:pStyle w:val="Summary"/>
      </w:pPr>
      <w:r>
        <w:t>En la presente Recomendación se presenta una metodología para evaluar la repercusión de la interferencia causada por las transmisiones espacio-Tierra y Tierra-espacio de los sistemas del servicio móvil por satélite (SMS) en la calidad de funcionamiento de los receptores del servicio fijo (SF) con visibilidad directa en la gama de frecuencias 1-3 GHz. Esta metodología también se puede emplear para la coordinación detallada entre el SMS y el SF.</w:t>
      </w:r>
    </w:p>
    <w:p w:rsidR="00E31B8C" w:rsidRPr="00CB0C0D" w:rsidRDefault="00E31B8C" w:rsidP="00E31B8C">
      <w:pPr>
        <w:pStyle w:val="Normalaftertitle"/>
        <w:rPr>
          <w:lang w:val="es-ES_tradnl"/>
        </w:rPr>
      </w:pPr>
      <w:r w:rsidRPr="00CB0C0D">
        <w:rPr>
          <w:lang w:val="es-ES_tradnl"/>
        </w:rPr>
        <w:t>La Asamblea de Radiocomunicaciones de la UIT,</w:t>
      </w:r>
    </w:p>
    <w:p w:rsidR="00E31B8C" w:rsidRPr="00CB0C0D" w:rsidRDefault="00E31B8C" w:rsidP="00E31B8C">
      <w:pPr>
        <w:pStyle w:val="Call"/>
        <w:rPr>
          <w:lang w:val="es-ES_tradnl"/>
        </w:rPr>
      </w:pPr>
      <w:r w:rsidRPr="00CB0C0D">
        <w:rPr>
          <w:lang w:val="es-ES_tradnl"/>
        </w:rPr>
        <w:t>considerando</w:t>
      </w:r>
    </w:p>
    <w:p w:rsidR="00E31B8C" w:rsidRDefault="00E31B8C" w:rsidP="005253D3">
      <w:pPr>
        <w:rPr>
          <w:lang w:val="es-ES_tradnl"/>
        </w:rPr>
      </w:pPr>
      <w:r w:rsidRPr="00CB0C0D">
        <w:rPr>
          <w:lang w:val="es-ES_tradnl"/>
        </w:rPr>
        <w:t>a)</w:t>
      </w:r>
      <w:r w:rsidRPr="00CB0C0D">
        <w:rPr>
          <w:lang w:val="es-ES_tradnl"/>
        </w:rPr>
        <w:tab/>
      </w:r>
      <w:r>
        <w:rPr>
          <w:lang w:val="es-ES_tradnl"/>
        </w:rPr>
        <w:t>que la banda de frecuencias 1</w:t>
      </w:r>
      <w:r w:rsidR="005253D3">
        <w:rPr>
          <w:lang w:val="es-ES_tradnl"/>
        </w:rPr>
        <w:t> </w:t>
      </w:r>
      <w:r>
        <w:rPr>
          <w:lang w:val="es-ES_tradnl"/>
        </w:rPr>
        <w:t>518-1</w:t>
      </w:r>
      <w:r w:rsidR="005253D3">
        <w:rPr>
          <w:lang w:val="es-ES_tradnl"/>
        </w:rPr>
        <w:t> </w:t>
      </w:r>
      <w:r>
        <w:rPr>
          <w:lang w:val="es-ES_tradnl"/>
        </w:rPr>
        <w:t>525 MHz está atribuida al SMS (espacio-Tierra) y al servicio fijo (SF) a título coprimario en todas las Regiones</w:t>
      </w:r>
      <w:r w:rsidRPr="00CB0C0D">
        <w:rPr>
          <w:lang w:val="es-ES_tradnl"/>
        </w:rPr>
        <w:t>;</w:t>
      </w:r>
    </w:p>
    <w:p w:rsidR="00E31B8C" w:rsidRDefault="00E31B8C" w:rsidP="005253D3">
      <w:pPr>
        <w:rPr>
          <w:lang w:val="es-ES_tradnl"/>
        </w:rPr>
      </w:pPr>
      <w:r w:rsidRPr="00CB0C0D">
        <w:rPr>
          <w:lang w:val="es-ES_tradnl"/>
        </w:rPr>
        <w:t>b)</w:t>
      </w:r>
      <w:r w:rsidRPr="00CB0C0D">
        <w:rPr>
          <w:lang w:val="es-ES_tradnl"/>
        </w:rPr>
        <w:tab/>
        <w:t xml:space="preserve">que las </w:t>
      </w:r>
      <w:r>
        <w:rPr>
          <w:lang w:val="es-ES_tradnl"/>
        </w:rPr>
        <w:t>bandas de frecuencias 1</w:t>
      </w:r>
      <w:r w:rsidR="005253D3">
        <w:rPr>
          <w:lang w:val="es-ES_tradnl"/>
        </w:rPr>
        <w:t> </w:t>
      </w:r>
      <w:r>
        <w:rPr>
          <w:lang w:val="es-ES_tradnl"/>
        </w:rPr>
        <w:t>525-1</w:t>
      </w:r>
      <w:r w:rsidR="005253D3">
        <w:rPr>
          <w:lang w:val="es-ES_tradnl"/>
        </w:rPr>
        <w:t> </w:t>
      </w:r>
      <w:r>
        <w:rPr>
          <w:lang w:val="es-ES_tradnl"/>
        </w:rPr>
        <w:t>559 MHz y 1</w:t>
      </w:r>
      <w:r w:rsidR="005253D3">
        <w:rPr>
          <w:lang w:val="es-ES_tradnl"/>
        </w:rPr>
        <w:t> </w:t>
      </w:r>
      <w:r>
        <w:rPr>
          <w:lang w:val="es-ES_tradnl"/>
        </w:rPr>
        <w:t>626,5-1</w:t>
      </w:r>
      <w:r w:rsidR="005253D3">
        <w:rPr>
          <w:lang w:val="es-ES_tradnl"/>
        </w:rPr>
        <w:t> </w:t>
      </w:r>
      <w:r>
        <w:rPr>
          <w:lang w:val="es-ES_tradnl"/>
        </w:rPr>
        <w:t>660,5 MHz también están atribuidas al SMS (espacio-Tierra y Tierra-espacio, respectivamente) a título primario en todas las Regiones</w:t>
      </w:r>
      <w:r w:rsidRPr="00CB0C0D">
        <w:rPr>
          <w:lang w:val="es-ES_tradnl"/>
        </w:rPr>
        <w:t>;</w:t>
      </w:r>
    </w:p>
    <w:p w:rsidR="00E31B8C" w:rsidRDefault="00E31B8C" w:rsidP="005253D3">
      <w:pPr>
        <w:rPr>
          <w:lang w:val="es-ES_tradnl"/>
        </w:rPr>
      </w:pPr>
      <w:r w:rsidRPr="00CB0C0D">
        <w:rPr>
          <w:lang w:val="es-ES_tradnl"/>
        </w:rPr>
        <w:t>c)</w:t>
      </w:r>
      <w:r w:rsidRPr="00CB0C0D">
        <w:rPr>
          <w:lang w:val="es-ES_tradnl"/>
        </w:rPr>
        <w:tab/>
        <w:t>que la</w:t>
      </w:r>
      <w:r>
        <w:rPr>
          <w:lang w:val="es-ES_tradnl"/>
        </w:rPr>
        <w:t xml:space="preserve"> banda de frecuencias 1</w:t>
      </w:r>
      <w:r w:rsidR="005253D3">
        <w:rPr>
          <w:lang w:val="es-ES_tradnl"/>
        </w:rPr>
        <w:t> </w:t>
      </w:r>
      <w:r>
        <w:rPr>
          <w:lang w:val="es-ES_tradnl"/>
        </w:rPr>
        <w:t>525-</w:t>
      </w:r>
      <w:r w:rsidR="005253D3">
        <w:rPr>
          <w:lang w:val="es-ES_tradnl"/>
        </w:rPr>
        <w:t>1 </w:t>
      </w:r>
      <w:r>
        <w:rPr>
          <w:lang w:val="es-ES_tradnl"/>
        </w:rPr>
        <w:t>530 MHz también está atribuida al servicio fijo a título primario en las Regiones</w:t>
      </w:r>
      <w:r w:rsidR="005253D3">
        <w:rPr>
          <w:lang w:val="es-ES_tradnl"/>
        </w:rPr>
        <w:t> </w:t>
      </w:r>
      <w:r>
        <w:rPr>
          <w:lang w:val="es-ES_tradnl"/>
        </w:rPr>
        <w:t xml:space="preserve">1 y 3, y que las bandas de frecuencias </w:t>
      </w:r>
      <w:r w:rsidR="005253D3">
        <w:rPr>
          <w:lang w:val="es-ES_tradnl"/>
        </w:rPr>
        <w:t>1 </w:t>
      </w:r>
      <w:r>
        <w:rPr>
          <w:lang w:val="es-ES_tradnl"/>
        </w:rPr>
        <w:t>550-</w:t>
      </w:r>
      <w:r w:rsidR="005253D3">
        <w:rPr>
          <w:lang w:val="es-ES_tradnl"/>
        </w:rPr>
        <w:t>1 </w:t>
      </w:r>
      <w:r>
        <w:rPr>
          <w:lang w:val="es-ES_tradnl"/>
        </w:rPr>
        <w:t xml:space="preserve">559 MHz, </w:t>
      </w:r>
      <w:r w:rsidR="005253D3">
        <w:rPr>
          <w:lang w:val="es-ES_tradnl"/>
        </w:rPr>
        <w:t>1 </w:t>
      </w:r>
      <w:r>
        <w:rPr>
          <w:lang w:val="es-ES_tradnl"/>
        </w:rPr>
        <w:t xml:space="preserve">626,5-1 645,5 MHz y </w:t>
      </w:r>
      <w:r w:rsidR="005253D3">
        <w:rPr>
          <w:lang w:val="es-ES_tradnl"/>
        </w:rPr>
        <w:t>1 </w:t>
      </w:r>
      <w:r>
        <w:rPr>
          <w:lang w:val="es-ES_tradnl"/>
        </w:rPr>
        <w:t>646,5-</w:t>
      </w:r>
      <w:r w:rsidR="005253D3">
        <w:rPr>
          <w:lang w:val="es-ES_tradnl"/>
        </w:rPr>
        <w:t>1 </w:t>
      </w:r>
      <w:r>
        <w:rPr>
          <w:lang w:val="es-ES_tradnl"/>
        </w:rPr>
        <w:t>660 MHz también están atribuidas al servicio fijo a título primario en algunos países</w:t>
      </w:r>
      <w:r w:rsidRPr="00CB0C0D">
        <w:rPr>
          <w:lang w:val="es-ES_tradnl"/>
        </w:rPr>
        <w:t>;</w:t>
      </w:r>
    </w:p>
    <w:p w:rsidR="00E31B8C" w:rsidRDefault="00E31B8C" w:rsidP="005253D3">
      <w:pPr>
        <w:rPr>
          <w:lang w:val="es-ES_tradnl"/>
        </w:rPr>
      </w:pPr>
      <w:r w:rsidRPr="00CB0C0D">
        <w:rPr>
          <w:lang w:val="es-ES_tradnl"/>
        </w:rPr>
        <w:t>d)</w:t>
      </w:r>
      <w:r w:rsidRPr="00CB0C0D">
        <w:rPr>
          <w:lang w:val="es-ES_tradnl"/>
        </w:rPr>
        <w:tab/>
        <w:t xml:space="preserve">que </w:t>
      </w:r>
      <w:r>
        <w:rPr>
          <w:lang w:val="es-ES_tradnl"/>
        </w:rPr>
        <w:t xml:space="preserve">la banda de frecuencias </w:t>
      </w:r>
      <w:r w:rsidR="005253D3">
        <w:rPr>
          <w:lang w:val="es-ES_tradnl"/>
        </w:rPr>
        <w:t>1 </w:t>
      </w:r>
      <w:r>
        <w:rPr>
          <w:lang w:val="es-ES_tradnl"/>
        </w:rPr>
        <w:t>668,4-</w:t>
      </w:r>
      <w:r w:rsidR="005253D3">
        <w:rPr>
          <w:lang w:val="es-ES_tradnl"/>
        </w:rPr>
        <w:t>1 </w:t>
      </w:r>
      <w:r>
        <w:rPr>
          <w:lang w:val="es-ES_tradnl"/>
        </w:rPr>
        <w:t>675 MHz está atribuida al SMS (Tierra-espacio) y al servicio fijo a título coprimario en todas las Regiones</w:t>
      </w:r>
      <w:r w:rsidRPr="00CB0C0D">
        <w:rPr>
          <w:lang w:val="es-ES_tradnl"/>
        </w:rPr>
        <w:t>;</w:t>
      </w:r>
    </w:p>
    <w:p w:rsidR="00E31B8C" w:rsidRDefault="00E31B8C" w:rsidP="005253D3">
      <w:pPr>
        <w:rPr>
          <w:lang w:val="es-ES_tradnl"/>
        </w:rPr>
      </w:pPr>
      <w:r w:rsidRPr="00CB0C0D">
        <w:rPr>
          <w:lang w:val="es-ES_tradnl"/>
        </w:rPr>
        <w:t>e)</w:t>
      </w:r>
      <w:r w:rsidRPr="00CB0C0D">
        <w:rPr>
          <w:lang w:val="es-ES_tradnl"/>
        </w:rPr>
        <w:tab/>
        <w:t>que la</w:t>
      </w:r>
      <w:r>
        <w:rPr>
          <w:lang w:val="es-ES_tradnl"/>
        </w:rPr>
        <w:t xml:space="preserve">s bandas de frecuencias </w:t>
      </w:r>
      <w:r w:rsidR="005253D3">
        <w:rPr>
          <w:lang w:val="es-ES_tradnl"/>
        </w:rPr>
        <w:t>1 </w:t>
      </w:r>
      <w:r>
        <w:rPr>
          <w:lang w:val="es-ES_tradnl"/>
        </w:rPr>
        <w:t>980-2 010 MHz y 2 170-2 200 MHz en todas las Regiones, y 2 010-2 025 MHz y 2 160-2 170 MHz en la Región 2 están atribuidas al SMS (Tierra-espacio y espacio-Tierra) y al servicio fijo a título coprimario</w:t>
      </w:r>
      <w:r w:rsidRPr="00CB0C0D">
        <w:rPr>
          <w:lang w:val="es-ES_tradnl"/>
        </w:rPr>
        <w:t>;</w:t>
      </w:r>
    </w:p>
    <w:p w:rsidR="00E31B8C" w:rsidRDefault="00E31B8C" w:rsidP="00E31B8C">
      <w:pPr>
        <w:rPr>
          <w:lang w:val="es-ES_tradnl"/>
        </w:rPr>
      </w:pPr>
      <w:r w:rsidRPr="00CB0C0D">
        <w:rPr>
          <w:lang w:val="es-ES_tradnl"/>
        </w:rPr>
        <w:t>f)</w:t>
      </w:r>
      <w:r w:rsidRPr="00CB0C0D">
        <w:rPr>
          <w:lang w:val="es-ES_tradnl"/>
        </w:rPr>
        <w:tab/>
        <w:t xml:space="preserve">que </w:t>
      </w:r>
      <w:r>
        <w:rPr>
          <w:lang w:val="es-ES_tradnl"/>
        </w:rPr>
        <w:t>las transmisiones procedentes de los satélites móviles pueden causar interferencia a los receptores del servicio fijo con visibilidad directa que funcionan en estas bandas</w:t>
      </w:r>
      <w:r w:rsidRPr="00CB0C0D">
        <w:rPr>
          <w:lang w:val="es-ES_tradnl"/>
        </w:rPr>
        <w:t>;</w:t>
      </w:r>
    </w:p>
    <w:p w:rsidR="00E31B8C" w:rsidRDefault="00E31B8C" w:rsidP="00E31B8C">
      <w:pPr>
        <w:rPr>
          <w:lang w:val="es-ES_tradnl"/>
        </w:rPr>
      </w:pPr>
      <w:r w:rsidRPr="00CB0C0D">
        <w:rPr>
          <w:lang w:val="es-ES_tradnl"/>
        </w:rPr>
        <w:lastRenderedPageBreak/>
        <w:t>g)</w:t>
      </w:r>
      <w:r w:rsidRPr="00CB0C0D">
        <w:rPr>
          <w:lang w:val="es-ES_tradnl"/>
        </w:rPr>
        <w:tab/>
        <w:t>que la</w:t>
      </w:r>
      <w:r>
        <w:rPr>
          <w:lang w:val="es-ES_tradnl"/>
        </w:rPr>
        <w:t>s transmisiones procedentes de los satélites móviles y las estaciones terrenas móviles (ETM) asociadas</w:t>
      </w:r>
      <w:r w:rsidRPr="00CB0C0D">
        <w:rPr>
          <w:lang w:val="es-ES_tradnl"/>
        </w:rPr>
        <w:t xml:space="preserve"> </w:t>
      </w:r>
      <w:r>
        <w:rPr>
          <w:lang w:val="es-ES_tradnl"/>
        </w:rPr>
        <w:t>pueden causar interferencia a los receptores del servicio fijo con visibilidad directa que funcionan en estas bandas</w:t>
      </w:r>
      <w:r w:rsidRPr="00CB0C0D">
        <w:rPr>
          <w:lang w:val="es-ES_tradnl"/>
        </w:rPr>
        <w:t>;</w:t>
      </w:r>
    </w:p>
    <w:p w:rsidR="00E31B8C" w:rsidRDefault="00E31B8C" w:rsidP="00E31B8C">
      <w:pPr>
        <w:rPr>
          <w:lang w:val="es-ES_tradnl"/>
        </w:rPr>
      </w:pPr>
      <w:r w:rsidRPr="00CB0C0D">
        <w:rPr>
          <w:lang w:val="es-ES_tradnl"/>
        </w:rPr>
        <w:t>h)</w:t>
      </w:r>
      <w:r w:rsidRPr="00CB0C0D">
        <w:rPr>
          <w:lang w:val="es-ES_tradnl"/>
        </w:rPr>
        <w:tab/>
        <w:t>que</w:t>
      </w:r>
      <w:r>
        <w:rPr>
          <w:lang w:val="es-ES_tradnl"/>
        </w:rPr>
        <w:t xml:space="preserve"> en tal interferencia participan fenómenos variables en el tiempo, como la geometría interferente, las condiciones de propagación y el tráfico del SMS;</w:t>
      </w:r>
    </w:p>
    <w:p w:rsidR="00E31B8C" w:rsidRDefault="003769BE" w:rsidP="00E31B8C">
      <w:pPr>
        <w:rPr>
          <w:lang w:val="es-ES_tradnl"/>
        </w:rPr>
      </w:pPr>
      <w:r>
        <w:rPr>
          <w:lang w:val="es-ES_tradnl"/>
        </w:rPr>
        <w:t>j</w:t>
      </w:r>
      <w:r w:rsidR="00E31B8C">
        <w:rPr>
          <w:lang w:val="es-ES_tradnl"/>
        </w:rPr>
        <w:t>)</w:t>
      </w:r>
      <w:r w:rsidR="00E31B8C">
        <w:rPr>
          <w:lang w:val="es-ES_tradnl"/>
        </w:rPr>
        <w:tab/>
        <w:t>que la simulación suele ser la única forma de evaluar con exactitud esas interferencias;</w:t>
      </w:r>
    </w:p>
    <w:p w:rsidR="00E31B8C" w:rsidRDefault="003769BE" w:rsidP="00E31B8C">
      <w:pPr>
        <w:rPr>
          <w:lang w:val="es-ES_tradnl"/>
        </w:rPr>
      </w:pPr>
      <w:r>
        <w:rPr>
          <w:lang w:val="es-ES_tradnl"/>
        </w:rPr>
        <w:t>k</w:t>
      </w:r>
      <w:r w:rsidR="00E31B8C">
        <w:rPr>
          <w:lang w:val="es-ES_tradnl"/>
        </w:rPr>
        <w:t>)</w:t>
      </w:r>
      <w:r w:rsidR="00E31B8C">
        <w:rPr>
          <w:lang w:val="es-ES_tradnl"/>
        </w:rPr>
        <w:tab/>
        <w:t xml:space="preserve">que el resultado de esas simulaciones suele darse en forma de estadísticas de </w:t>
      </w:r>
      <w:r w:rsidR="00E31B8C">
        <w:rPr>
          <w:i/>
          <w:iCs/>
          <w:lang w:val="es-ES_tradnl"/>
        </w:rPr>
        <w:t>C/I, C/N</w:t>
      </w:r>
      <w:r w:rsidR="00E31B8C">
        <w:rPr>
          <w:lang w:val="es-ES_tradnl"/>
        </w:rPr>
        <w:t xml:space="preserve"> y </w:t>
      </w:r>
      <w:r w:rsidR="00E31B8C">
        <w:rPr>
          <w:i/>
          <w:iCs/>
          <w:lang w:val="es-ES_tradnl"/>
        </w:rPr>
        <w:t>C/</w:t>
      </w:r>
      <w:r w:rsidR="00E31B8C" w:rsidRPr="00186602">
        <w:rPr>
          <w:lang w:val="es-ES_tradnl"/>
        </w:rPr>
        <w:t>(</w:t>
      </w:r>
      <w:r w:rsidR="00E31B8C">
        <w:rPr>
          <w:i/>
          <w:iCs/>
          <w:lang w:val="es-ES_tradnl"/>
        </w:rPr>
        <w:t>N+I</w:t>
      </w:r>
      <w:r w:rsidR="00E31B8C" w:rsidRPr="00186602">
        <w:rPr>
          <w:lang w:val="es-ES_tradnl"/>
        </w:rPr>
        <w:t>);</w:t>
      </w:r>
    </w:p>
    <w:p w:rsidR="00E31B8C" w:rsidRDefault="003769BE" w:rsidP="00E31B8C">
      <w:pPr>
        <w:rPr>
          <w:lang w:val="es-ES_tradnl"/>
        </w:rPr>
      </w:pPr>
      <w:r>
        <w:rPr>
          <w:lang w:val="es-ES_tradnl"/>
        </w:rPr>
        <w:t>l</w:t>
      </w:r>
      <w:r w:rsidR="00E31B8C">
        <w:rPr>
          <w:lang w:val="es-ES_tradnl"/>
        </w:rPr>
        <w:t>)</w:t>
      </w:r>
      <w:r w:rsidR="00E31B8C">
        <w:rPr>
          <w:lang w:val="es-ES_tradnl"/>
        </w:rPr>
        <w:tab/>
        <w:t>que la repercusión de esas interferencias puede a menudo evaluarse estudiando únicamente las estadísticas sobre radiofrecuencias;</w:t>
      </w:r>
    </w:p>
    <w:p w:rsidR="00E31B8C" w:rsidRDefault="003769BE" w:rsidP="00E31B8C">
      <w:pPr>
        <w:rPr>
          <w:lang w:val="es-ES_tradnl"/>
        </w:rPr>
      </w:pPr>
      <w:r>
        <w:rPr>
          <w:lang w:val="es-ES_tradnl"/>
        </w:rPr>
        <w:t>m</w:t>
      </w:r>
      <w:r w:rsidR="00E31B8C">
        <w:rPr>
          <w:lang w:val="es-ES_tradnl"/>
        </w:rPr>
        <w:t>)</w:t>
      </w:r>
      <w:r w:rsidR="00E31B8C">
        <w:rPr>
          <w:lang w:val="es-ES_tradnl"/>
        </w:rPr>
        <w:tab/>
        <w:t>que, en situaciones críticas, es necesario evaluar la interferencia sobre los objetivos de calidad de la banda base del servicio fijo,</w:t>
      </w:r>
    </w:p>
    <w:p w:rsidR="00E31B8C" w:rsidRPr="00CB0C0D" w:rsidRDefault="00E31B8C" w:rsidP="00E31B8C">
      <w:pPr>
        <w:pStyle w:val="Call"/>
        <w:rPr>
          <w:lang w:val="es-ES_tradnl"/>
        </w:rPr>
      </w:pPr>
      <w:r w:rsidRPr="00CB0C0D">
        <w:rPr>
          <w:lang w:val="es-ES_tradnl"/>
        </w:rPr>
        <w:t>recomienda</w:t>
      </w:r>
    </w:p>
    <w:p w:rsidR="00E31B8C" w:rsidRDefault="00E31B8C" w:rsidP="005253D3">
      <w:pPr>
        <w:rPr>
          <w:lang w:val="es-ES_tradnl"/>
        </w:rPr>
      </w:pPr>
      <w:r w:rsidRPr="00CB0C0D">
        <w:rPr>
          <w:b/>
          <w:bCs/>
          <w:lang w:val="es-ES_tradnl"/>
        </w:rPr>
        <w:t>1</w:t>
      </w:r>
      <w:r w:rsidRPr="00CB0C0D">
        <w:rPr>
          <w:lang w:val="es-ES_tradnl"/>
        </w:rPr>
        <w:tab/>
        <w:t>que se utilice la metodología del Anexo</w:t>
      </w:r>
      <w:r w:rsidR="005253D3">
        <w:rPr>
          <w:lang w:val="es-ES_tradnl"/>
        </w:rPr>
        <w:t> </w:t>
      </w:r>
      <w:r w:rsidRPr="00CB0C0D">
        <w:rPr>
          <w:lang w:val="es-ES_tradnl"/>
        </w:rPr>
        <w:t>1 como orientación en la coordinación bilateral detallada destinada a la evaluación inicial del efecto de la interferencia causada por los satélites del</w:t>
      </w:r>
      <w:r w:rsidR="00186602">
        <w:rPr>
          <w:lang w:val="es-ES_tradnl"/>
        </w:rPr>
        <w:t xml:space="preserve"> </w:t>
      </w:r>
      <w:r w:rsidRPr="00CB0C0D">
        <w:rPr>
          <w:lang w:val="es-ES_tradnl"/>
        </w:rPr>
        <w:t xml:space="preserve">SMS AMDT/AMDF y las ETM asociadas, que funcionan en las atribuciones del SMS a </w:t>
      </w:r>
      <w:r>
        <w:rPr>
          <w:lang w:val="es-ES_tradnl"/>
        </w:rPr>
        <w:t>1-3</w:t>
      </w:r>
      <w:r w:rsidRPr="00CB0C0D">
        <w:rPr>
          <w:lang w:val="es-ES_tradnl"/>
        </w:rPr>
        <w:t xml:space="preserve"> GHz, sobre la calidad de la banda base en receptores del servicio fijo con visibilidad directa digitales basándose en las estadísticas de interferencia en radiofrecuencia.</w:t>
      </w:r>
    </w:p>
    <w:p w:rsidR="00E31B8C" w:rsidRDefault="00E31B8C" w:rsidP="005253D3">
      <w:pPr>
        <w:rPr>
          <w:lang w:val="es-ES_tradnl"/>
        </w:rPr>
      </w:pPr>
      <w:r w:rsidRPr="00CB0C0D">
        <w:rPr>
          <w:lang w:val="es-ES_tradnl"/>
        </w:rPr>
        <w:t>NOTA 1 – Se considera que las metodologías presentadas en el Anexo</w:t>
      </w:r>
      <w:r w:rsidR="005253D3">
        <w:rPr>
          <w:lang w:val="es-ES_tradnl"/>
        </w:rPr>
        <w:t> </w:t>
      </w:r>
      <w:r w:rsidRPr="00CB0C0D">
        <w:rPr>
          <w:lang w:val="es-ES_tradnl"/>
        </w:rPr>
        <w:t>1 son provisionales. Se invita a las administra</w:t>
      </w:r>
      <w:r w:rsidRPr="00CB0C0D">
        <w:rPr>
          <w:lang w:val="es-ES_tradnl"/>
        </w:rPr>
        <w:softHyphen/>
        <w:t>ciones a presentar contribuciones a dicho Anexo con miras a un futuro desarrollo de estas metodologías.</w:t>
      </w:r>
    </w:p>
    <w:p w:rsidR="00E31B8C" w:rsidRDefault="00E31B8C" w:rsidP="00E31B8C">
      <w:pPr>
        <w:rPr>
          <w:lang w:val="es-ES_tradnl"/>
        </w:rPr>
      </w:pPr>
    </w:p>
    <w:p w:rsidR="00E31B8C" w:rsidRDefault="00E31B8C" w:rsidP="00E31B8C">
      <w:pPr>
        <w:rPr>
          <w:lang w:val="es-ES_tradnl"/>
        </w:rPr>
      </w:pPr>
    </w:p>
    <w:p w:rsidR="00E31B8C" w:rsidRPr="00CB0C0D" w:rsidRDefault="00E31B8C" w:rsidP="00E31B8C">
      <w:pPr>
        <w:rPr>
          <w:lang w:val="es-ES_tradnl"/>
        </w:rPr>
      </w:pPr>
    </w:p>
    <w:p w:rsidR="00E31B8C" w:rsidRPr="00CB0C0D" w:rsidRDefault="00E31B8C" w:rsidP="00E31B8C">
      <w:pPr>
        <w:pStyle w:val="AnnexNoTitle"/>
        <w:rPr>
          <w:lang w:val="es-ES_tradnl"/>
        </w:rPr>
      </w:pPr>
      <w:bookmarkStart w:id="3" w:name="_Toc115520193"/>
      <w:r w:rsidRPr="00CB0C0D">
        <w:rPr>
          <w:lang w:val="es-ES_tradnl"/>
        </w:rPr>
        <w:t>Anexo  1</w:t>
      </w:r>
      <w:bookmarkEnd w:id="3"/>
    </w:p>
    <w:p w:rsidR="00E31B8C" w:rsidRPr="00CB0C0D" w:rsidRDefault="00E31B8C" w:rsidP="00E31B8C">
      <w:pPr>
        <w:pStyle w:val="Heading1"/>
        <w:rPr>
          <w:lang w:val="es-ES_tradnl"/>
        </w:rPr>
      </w:pPr>
      <w:bookmarkStart w:id="4" w:name="_Toc115520194"/>
      <w:r w:rsidRPr="00CB0C0D">
        <w:rPr>
          <w:lang w:val="es-ES_tradnl"/>
        </w:rPr>
        <w:t>1</w:t>
      </w:r>
      <w:r w:rsidRPr="00CB0C0D">
        <w:rPr>
          <w:lang w:val="es-ES_tradnl"/>
        </w:rPr>
        <w:tab/>
        <w:t>Introducción</w:t>
      </w:r>
      <w:bookmarkEnd w:id="4"/>
    </w:p>
    <w:p w:rsidR="00E31B8C" w:rsidRPr="00CB0C0D" w:rsidRDefault="00E31B8C" w:rsidP="00E31B8C">
      <w:pPr>
        <w:rPr>
          <w:lang w:val="es-ES_tradnl"/>
        </w:rPr>
      </w:pPr>
      <w:r w:rsidRPr="00CB0C0D">
        <w:rPr>
          <w:lang w:val="es-ES_tradnl"/>
        </w:rPr>
        <w:t xml:space="preserve">En la compartición entre el SMS y el servicio fijo intervienen fenómenos que varían en el tiempo, tales como la geometría de la interferencia, las condiciones de propagación, etc. La simulación es generalmente la única forma de evaluar con exactitud la interferencia entre sistemas del SMS y el servicio fijo. El resultado de dichas simulaciones suele darse en forma de estadísticas de </w:t>
      </w:r>
      <w:r w:rsidRPr="00CB0C0D">
        <w:rPr>
          <w:i/>
          <w:iCs/>
          <w:lang w:val="es-ES_tradnl"/>
        </w:rPr>
        <w:t>C</w:t>
      </w:r>
      <w:r w:rsidRPr="00F45FEE">
        <w:rPr>
          <w:iCs/>
          <w:lang w:val="es-ES_tradnl"/>
        </w:rPr>
        <w:t>/</w:t>
      </w:r>
      <w:r w:rsidRPr="00CB0C0D">
        <w:rPr>
          <w:i/>
          <w:iCs/>
          <w:lang w:val="es-ES_tradnl"/>
        </w:rPr>
        <w:t>I</w:t>
      </w:r>
      <w:r w:rsidRPr="00CB0C0D">
        <w:rPr>
          <w:lang w:val="es-ES_tradnl"/>
        </w:rPr>
        <w:t xml:space="preserve">, </w:t>
      </w:r>
      <w:r w:rsidRPr="00CB0C0D">
        <w:rPr>
          <w:i/>
          <w:iCs/>
          <w:lang w:val="es-ES_tradnl"/>
        </w:rPr>
        <w:t>C</w:t>
      </w:r>
      <w:r w:rsidRPr="00F45FEE">
        <w:rPr>
          <w:iCs/>
          <w:lang w:val="es-ES_tradnl"/>
        </w:rPr>
        <w:t>/</w:t>
      </w:r>
      <w:r w:rsidRPr="00CB0C0D">
        <w:rPr>
          <w:i/>
          <w:iCs/>
          <w:lang w:val="es-ES_tradnl"/>
        </w:rPr>
        <w:t>N</w:t>
      </w:r>
      <w:r w:rsidRPr="00CB0C0D">
        <w:rPr>
          <w:lang w:val="es-ES_tradnl"/>
        </w:rPr>
        <w:t xml:space="preserve"> y </w:t>
      </w:r>
      <w:r w:rsidRPr="00CB0C0D">
        <w:rPr>
          <w:i/>
          <w:iCs/>
          <w:lang w:val="es-ES_tradnl"/>
        </w:rPr>
        <w:t>C</w:t>
      </w:r>
      <w:r w:rsidRPr="00CB0C0D">
        <w:rPr>
          <w:lang w:val="es-ES_tradnl"/>
        </w:rPr>
        <w:t>/(</w:t>
      </w:r>
      <w:r w:rsidRPr="00CB0C0D">
        <w:rPr>
          <w:i/>
          <w:iCs/>
          <w:lang w:val="es-ES_tradnl"/>
        </w:rPr>
        <w:t>N</w:t>
      </w:r>
      <w:r w:rsidRPr="00CB0C0D">
        <w:rPr>
          <w:lang w:val="es-ES_tradnl"/>
        </w:rPr>
        <w:t> + </w:t>
      </w:r>
      <w:r w:rsidRPr="00CB0C0D">
        <w:rPr>
          <w:i/>
          <w:iCs/>
          <w:lang w:val="es-ES_tradnl"/>
        </w:rPr>
        <w:t>I</w:t>
      </w:r>
      <w:r w:rsidRPr="00CB0C0D">
        <w:rPr>
          <w:rFonts w:ascii="Tms Rmn" w:hAnsi="Tms Rmn"/>
          <w:sz w:val="12"/>
          <w:lang w:val="es-ES_tradnl"/>
        </w:rPr>
        <w:t> </w:t>
      </w:r>
      <w:r w:rsidRPr="00CB0C0D">
        <w:rPr>
          <w:lang w:val="es-ES_tradnl"/>
        </w:rPr>
        <w:t>) en radiofrecuencia presentadas normalmente como una función de distribución acumulativa.</w:t>
      </w:r>
    </w:p>
    <w:p w:rsidR="00E31B8C" w:rsidRPr="00CB0C0D" w:rsidRDefault="00E31B8C" w:rsidP="00E31B8C">
      <w:pPr>
        <w:rPr>
          <w:lang w:val="es-ES_tradnl"/>
        </w:rPr>
      </w:pPr>
      <w:r w:rsidRPr="00CB0C0D">
        <w:rPr>
          <w:lang w:val="es-ES_tradnl"/>
        </w:rPr>
        <w:t xml:space="preserve">En la Recomendación UIT-R M.1319 se presenta una metodología según la cual, entre otras cosas, los objetivos de la BER para sistemas digitales del servicio fijo pueden convertirse en requisitos equivalentes de </w:t>
      </w:r>
      <w:r w:rsidRPr="00CB0C0D">
        <w:rPr>
          <w:i/>
          <w:iCs/>
          <w:lang w:val="es-ES_tradnl"/>
        </w:rPr>
        <w:t>C</w:t>
      </w:r>
      <w:r w:rsidRPr="00CB0C0D">
        <w:rPr>
          <w:lang w:val="es-ES_tradnl"/>
        </w:rPr>
        <w:t>/(</w:t>
      </w:r>
      <w:r w:rsidRPr="00CB0C0D">
        <w:rPr>
          <w:i/>
          <w:iCs/>
          <w:lang w:val="es-ES_tradnl"/>
        </w:rPr>
        <w:t>N</w:t>
      </w:r>
      <w:r w:rsidRPr="00CB0C0D">
        <w:rPr>
          <w:lang w:val="es-ES_tradnl"/>
        </w:rPr>
        <w:t> + </w:t>
      </w:r>
      <w:r w:rsidRPr="00CB0C0D">
        <w:rPr>
          <w:i/>
          <w:iCs/>
          <w:lang w:val="es-ES_tradnl"/>
        </w:rPr>
        <w:t>I</w:t>
      </w:r>
      <w:r w:rsidRPr="00CB0C0D">
        <w:rPr>
          <w:rFonts w:ascii="Tms Rmn" w:hAnsi="Tms Rmn"/>
          <w:sz w:val="12"/>
          <w:lang w:val="es-ES_tradnl"/>
        </w:rPr>
        <w:t> </w:t>
      </w:r>
      <w:r w:rsidRPr="00CB0C0D">
        <w:rPr>
          <w:lang w:val="es-ES_tradnl"/>
        </w:rPr>
        <w:t>) en radio</w:t>
      </w:r>
      <w:r w:rsidRPr="00CB0C0D">
        <w:rPr>
          <w:lang w:val="es-ES_tradnl"/>
        </w:rPr>
        <w:softHyphen/>
        <w:t>frecuencia para un porcentaje de tiempo asociado. Estos objetivos de calidad de funcionamiento equivalentes en radio</w:t>
      </w:r>
      <w:r w:rsidRPr="00CB0C0D">
        <w:rPr>
          <w:lang w:val="es-ES_tradnl"/>
        </w:rPr>
        <w:softHyphen/>
        <w:t xml:space="preserve">frecuencia se llevan a las representaciones de distribución acumulativa de </w:t>
      </w:r>
      <w:r w:rsidRPr="00CB0C0D">
        <w:rPr>
          <w:i/>
          <w:iCs/>
          <w:lang w:val="es-ES_tradnl"/>
        </w:rPr>
        <w:t>C</w:t>
      </w:r>
      <w:r w:rsidRPr="00CB0C0D">
        <w:rPr>
          <w:lang w:val="es-ES_tradnl"/>
        </w:rPr>
        <w:t>/(</w:t>
      </w:r>
      <w:r w:rsidRPr="00CB0C0D">
        <w:rPr>
          <w:i/>
          <w:iCs/>
          <w:lang w:val="es-ES_tradnl"/>
        </w:rPr>
        <w:t>N</w:t>
      </w:r>
      <w:r w:rsidRPr="00CB0C0D">
        <w:rPr>
          <w:lang w:val="es-ES_tradnl"/>
        </w:rPr>
        <w:t> + </w:t>
      </w:r>
      <w:r w:rsidRPr="00CB0C0D">
        <w:rPr>
          <w:i/>
          <w:iCs/>
          <w:lang w:val="es-ES_tradnl"/>
        </w:rPr>
        <w:t>I</w:t>
      </w:r>
      <w:r w:rsidRPr="00CB0C0D">
        <w:rPr>
          <w:rFonts w:ascii="Tms Rmn" w:hAnsi="Tms Rmn"/>
          <w:sz w:val="12"/>
          <w:lang w:val="es-ES_tradnl"/>
        </w:rPr>
        <w:t> </w:t>
      </w:r>
      <w:r w:rsidRPr="00CB0C0D">
        <w:rPr>
          <w:lang w:val="es-ES_tradnl"/>
        </w:rPr>
        <w:t>) para determinar si la interferencia procedente de los satélites del SMS es aceptable.</w:t>
      </w:r>
    </w:p>
    <w:p w:rsidR="00E31B8C" w:rsidRPr="00CB0C0D" w:rsidRDefault="00E31B8C" w:rsidP="00186602">
      <w:pPr>
        <w:rPr>
          <w:lang w:val="es-ES_tradnl"/>
        </w:rPr>
      </w:pPr>
      <w:r w:rsidRPr="00CB0C0D">
        <w:rPr>
          <w:lang w:val="es-ES_tradnl"/>
        </w:rPr>
        <w:t xml:space="preserve">El método descrito en la Recomendación UIT-R M.1319, aunque exige mucha simulación por computador, es relativamente sencillo de realizar en soporte lógico, ya que todos los cálculos y comparaciones se efectúan en el dominio de la radiofrecuencia. La metodología de la mencionada </w:t>
      </w:r>
      <w:r w:rsidRPr="00CB0C0D">
        <w:rPr>
          <w:lang w:val="es-ES_tradnl"/>
        </w:rPr>
        <w:lastRenderedPageBreak/>
        <w:t>Recomendación debe utilizarse en la fase de coordinación detallada entre las administraciones, cuando se requiere oficialmente coordinación y se desencadena ésta en aplicación del</w:t>
      </w:r>
      <w:r>
        <w:rPr>
          <w:lang w:val="es-ES_tradnl"/>
        </w:rPr>
        <w:t xml:space="preserve"> Artículo 9 del Reglamento de Radiocomunicaciones (RR) y del Apéndice 5 del RR</w:t>
      </w:r>
      <w:r w:rsidRPr="00CB0C0D">
        <w:rPr>
          <w:lang w:val="es-ES_tradnl"/>
        </w:rPr>
        <w:t>, a fin de determinar si la interferencia es o no aceptable, teniendo en cuenta la información sobre el sistema del servicio fijo y los objetivos de calidad de funcionamiento y disponibilidad pertinentes del UIT</w:t>
      </w:r>
      <w:r w:rsidRPr="00CB0C0D">
        <w:rPr>
          <w:lang w:val="es-ES_tradnl"/>
        </w:rPr>
        <w:noBreakHyphen/>
        <w:t>R.</w:t>
      </w:r>
    </w:p>
    <w:p w:rsidR="00E31B8C" w:rsidRPr="00CB0C0D" w:rsidRDefault="00E31B8C" w:rsidP="00E31B8C">
      <w:pPr>
        <w:rPr>
          <w:lang w:val="es-ES_tradnl"/>
        </w:rPr>
      </w:pPr>
      <w:r w:rsidRPr="00CB0C0D">
        <w:rPr>
          <w:lang w:val="es-ES_tradnl"/>
        </w:rPr>
        <w:t>En ciertos casos, durante la fase de coordinación bilateral, puede ser necesario que las partes interesadas vuelvan a examinar la repercusión de la interferencia del SMS sobre los objetivos de calidad de funcionamiento de los sistemas digitales del servicio fijo. Esto puede ocurrir cuando los resultados del método de simulación descrito en la Recomen</w:t>
      </w:r>
      <w:r w:rsidRPr="00CB0C0D">
        <w:rPr>
          <w:lang w:val="es-ES_tradnl"/>
        </w:rPr>
        <w:softHyphen/>
        <w:t>dación UIT</w:t>
      </w:r>
      <w:r w:rsidRPr="00CB0C0D">
        <w:rPr>
          <w:lang w:val="es-ES_tradnl"/>
        </w:rPr>
        <w:noBreakHyphen/>
        <w:t>R M.1319 no son lo suficientemente definitivos para concluir la coordinación de frecuencias.</w:t>
      </w:r>
    </w:p>
    <w:p w:rsidR="00E31B8C" w:rsidRPr="00CB0C0D" w:rsidRDefault="00E31B8C" w:rsidP="00E31B8C">
      <w:pPr>
        <w:rPr>
          <w:lang w:val="es-ES_tradnl"/>
        </w:rPr>
      </w:pPr>
      <w:r w:rsidRPr="00CB0C0D">
        <w:rPr>
          <w:lang w:val="es-ES_tradnl"/>
        </w:rPr>
        <w:t xml:space="preserve">Este Anexo tiene por finalidad describir metodologías para convertir las estadísticas de </w:t>
      </w:r>
      <w:r w:rsidRPr="00CB0C0D">
        <w:rPr>
          <w:i/>
          <w:iCs/>
          <w:lang w:val="es-ES_tradnl"/>
        </w:rPr>
        <w:t>C</w:t>
      </w:r>
      <w:r w:rsidRPr="00CB0C0D">
        <w:rPr>
          <w:lang w:val="es-ES_tradnl"/>
        </w:rPr>
        <w:t>/(</w:t>
      </w:r>
      <w:r w:rsidRPr="00CB0C0D">
        <w:rPr>
          <w:i/>
          <w:iCs/>
          <w:lang w:val="es-ES_tradnl"/>
        </w:rPr>
        <w:t>N</w:t>
      </w:r>
      <w:r w:rsidRPr="00CB0C0D">
        <w:rPr>
          <w:lang w:val="es-ES_tradnl"/>
        </w:rPr>
        <w:t> + </w:t>
      </w:r>
      <w:r w:rsidRPr="00CB0C0D">
        <w:rPr>
          <w:i/>
          <w:iCs/>
          <w:lang w:val="es-ES_tradnl"/>
        </w:rPr>
        <w:t>I</w:t>
      </w:r>
      <w:r w:rsidRPr="00CB0C0D">
        <w:rPr>
          <w:rFonts w:ascii="Tms Rmn" w:hAnsi="Tms Rmn"/>
          <w:sz w:val="12"/>
          <w:lang w:val="es-ES_tradnl"/>
        </w:rPr>
        <w:t> </w:t>
      </w:r>
      <w:r w:rsidRPr="00CB0C0D">
        <w:rPr>
          <w:lang w:val="es-ES_tradnl"/>
        </w:rPr>
        <w:t>) en radiofrecuencia en mediciones de la calidad de funcionamiento en banda base para portadoras digitales del servicio fijo.</w:t>
      </w:r>
    </w:p>
    <w:p w:rsidR="00E31B8C" w:rsidRPr="00CB0C0D" w:rsidRDefault="00E31B8C" w:rsidP="00E31B8C">
      <w:pPr>
        <w:pStyle w:val="Heading1"/>
        <w:rPr>
          <w:lang w:val="es-ES_tradnl"/>
        </w:rPr>
      </w:pPr>
      <w:bookmarkStart w:id="5" w:name="_Toc115520195"/>
      <w:r w:rsidRPr="00CB0C0D">
        <w:rPr>
          <w:lang w:val="es-ES_tradnl"/>
        </w:rPr>
        <w:t>2</w:t>
      </w:r>
      <w:r w:rsidRPr="00CB0C0D">
        <w:rPr>
          <w:lang w:val="es-ES_tradnl"/>
        </w:rPr>
        <w:tab/>
        <w:t xml:space="preserve">Conversión de </w:t>
      </w:r>
      <w:r w:rsidRPr="00CB0C0D">
        <w:rPr>
          <w:i/>
          <w:iCs/>
          <w:lang w:val="es-ES_tradnl"/>
        </w:rPr>
        <w:t>C</w:t>
      </w:r>
      <w:r w:rsidRPr="00CB0C0D">
        <w:rPr>
          <w:lang w:val="es-ES_tradnl"/>
        </w:rPr>
        <w:t>/(</w:t>
      </w:r>
      <w:r w:rsidRPr="00CB0C0D">
        <w:rPr>
          <w:i/>
          <w:iCs/>
          <w:lang w:val="es-ES_tradnl"/>
        </w:rPr>
        <w:t>N</w:t>
      </w:r>
      <w:r w:rsidRPr="00CB0C0D">
        <w:rPr>
          <w:lang w:val="es-ES_tradnl"/>
        </w:rPr>
        <w:t> + </w:t>
      </w:r>
      <w:r w:rsidRPr="00CB0C0D">
        <w:rPr>
          <w:i/>
          <w:iCs/>
          <w:lang w:val="es-ES_tradnl"/>
        </w:rPr>
        <w:t>I</w:t>
      </w:r>
      <w:r w:rsidRPr="00CB0C0D">
        <w:rPr>
          <w:rFonts w:ascii="Tms Rmn" w:hAnsi="Tms Rmn"/>
          <w:sz w:val="12"/>
          <w:lang w:val="es-ES_tradnl"/>
        </w:rPr>
        <w:t> </w:t>
      </w:r>
      <w:r w:rsidRPr="00CB0C0D">
        <w:rPr>
          <w:lang w:val="es-ES_tradnl"/>
        </w:rPr>
        <w:t>) en BER</w:t>
      </w:r>
      <w:bookmarkEnd w:id="5"/>
    </w:p>
    <w:p w:rsidR="00E31B8C" w:rsidRPr="00CB0C0D" w:rsidRDefault="00E31B8C" w:rsidP="00E31B8C">
      <w:pPr>
        <w:rPr>
          <w:lang w:val="es-ES_tradnl"/>
        </w:rPr>
      </w:pPr>
      <w:r w:rsidRPr="00CB0C0D">
        <w:rPr>
          <w:lang w:val="es-ES_tradnl"/>
        </w:rPr>
        <w:t xml:space="preserve">Un valor </w:t>
      </w:r>
      <w:r w:rsidRPr="00CB0C0D">
        <w:rPr>
          <w:i/>
          <w:iCs/>
          <w:lang w:val="es-ES_tradnl"/>
        </w:rPr>
        <w:t>C</w:t>
      </w:r>
      <w:r w:rsidRPr="00CB0C0D">
        <w:rPr>
          <w:lang w:val="es-ES_tradnl"/>
        </w:rPr>
        <w:t>/(</w:t>
      </w:r>
      <w:r w:rsidRPr="00CB0C0D">
        <w:rPr>
          <w:i/>
          <w:iCs/>
          <w:lang w:val="es-ES_tradnl"/>
        </w:rPr>
        <w:t>N</w:t>
      </w:r>
      <w:r w:rsidRPr="00CB0C0D">
        <w:rPr>
          <w:lang w:val="es-ES_tradnl"/>
        </w:rPr>
        <w:t> + </w:t>
      </w:r>
      <w:r w:rsidRPr="00CB0C0D">
        <w:rPr>
          <w:i/>
          <w:iCs/>
          <w:lang w:val="es-ES_tradnl"/>
        </w:rPr>
        <w:t>I</w:t>
      </w:r>
      <w:r w:rsidRPr="00CB0C0D">
        <w:rPr>
          <w:rFonts w:ascii="Tms Rmn" w:hAnsi="Tms Rmn"/>
          <w:sz w:val="12"/>
          <w:lang w:val="es-ES_tradnl"/>
        </w:rPr>
        <w:t> </w:t>
      </w:r>
      <w:r w:rsidRPr="00CB0C0D">
        <w:rPr>
          <w:lang w:val="es-ES_tradnl"/>
        </w:rPr>
        <w:t xml:space="preserve">) puede convertirse en una proporción de símbolos erróneos (SER, </w:t>
      </w:r>
      <w:r w:rsidRPr="00CB0C0D">
        <w:rPr>
          <w:i/>
          <w:lang w:val="es-ES_tradnl"/>
        </w:rPr>
        <w:t>symbol error ratio</w:t>
      </w:r>
      <w:r w:rsidRPr="00CB0C0D">
        <w:rPr>
          <w:lang w:val="es-ES_tradnl"/>
        </w:rPr>
        <w:t>) equivalente</w:t>
      </w:r>
      <w:r>
        <w:rPr>
          <w:lang w:val="es-ES_tradnl"/>
        </w:rPr>
        <w:t>,</w:t>
      </w:r>
      <w:r w:rsidRPr="00CB0C0D">
        <w:rPr>
          <w:lang w:val="es-ES_tradnl"/>
        </w:rPr>
        <w:t xml:space="preserve"> utilizando las ecuaciones o curva</w:t>
      </w:r>
      <w:r>
        <w:rPr>
          <w:lang w:val="es-ES_tradnl"/>
        </w:rPr>
        <w:t xml:space="preserve">s indicadas en la Recomendación </w:t>
      </w:r>
      <w:r w:rsidRPr="00CB0C0D">
        <w:rPr>
          <w:lang w:val="es-ES_tradnl"/>
        </w:rPr>
        <w:t>UIT</w:t>
      </w:r>
      <w:r w:rsidRPr="00CB0C0D">
        <w:rPr>
          <w:lang w:val="es-ES_tradnl"/>
        </w:rPr>
        <w:noBreakHyphen/>
        <w:t>R SF.766. Por ejemplo, para una portadora con MDP</w:t>
      </w:r>
      <w:r w:rsidRPr="00CB0C0D">
        <w:rPr>
          <w:lang w:val="es-ES_tradnl"/>
        </w:rPr>
        <w:noBreakHyphen/>
      </w:r>
      <w:r w:rsidRPr="00CB0C0D">
        <w:rPr>
          <w:i/>
          <w:iCs/>
          <w:lang w:val="es-ES_tradnl"/>
        </w:rPr>
        <w:t>M</w:t>
      </w:r>
      <w:r w:rsidRPr="00CB0C0D">
        <w:rPr>
          <w:lang w:val="es-ES_tradnl"/>
        </w:rPr>
        <w:t>:</w:t>
      </w:r>
    </w:p>
    <w:p w:rsidR="00E31B8C" w:rsidRPr="00487329" w:rsidRDefault="00E31B8C" w:rsidP="00E31B8C">
      <w:pPr>
        <w:pStyle w:val="Blanc"/>
        <w:rPr>
          <w:lang w:val="es-ES_tradnl"/>
        </w:rPr>
      </w:pPr>
    </w:p>
    <w:p w:rsidR="00E31B8C" w:rsidRPr="00CB0C0D" w:rsidRDefault="00E31B8C" w:rsidP="00E31B8C">
      <w:pPr>
        <w:pStyle w:val="Equation"/>
        <w:rPr>
          <w:lang w:val="es-ES_tradnl"/>
        </w:rPr>
      </w:pPr>
      <w:r w:rsidRPr="00CB0C0D">
        <w:rPr>
          <w:lang w:val="es-ES_tradnl"/>
        </w:rPr>
        <w:tab/>
      </w:r>
      <w:r w:rsidRPr="00CB0C0D">
        <w:rPr>
          <w:lang w:val="es-ES_tradnl"/>
        </w:rPr>
        <w:tab/>
      </w:r>
      <w:r w:rsidRPr="000A69EB">
        <w:rPr>
          <w:position w:val="-32"/>
        </w:rPr>
        <w:object w:dxaOrig="32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4pt;height:38.4pt" o:ole="">
            <v:imagedata r:id="rId12" o:title=""/>
          </v:shape>
          <o:OLEObject Type="Embed" ProgID="Equation.3" ShapeID="_x0000_i1025" DrawAspect="Content" ObjectID="_1339418967" r:id="rId13"/>
        </w:object>
      </w:r>
      <w:r w:rsidRPr="00CB0C0D">
        <w:rPr>
          <w:lang w:val="es-ES_tradnl"/>
        </w:rPr>
        <w:tab/>
        <w:t>(1)</w:t>
      </w:r>
    </w:p>
    <w:p w:rsidR="00E31B8C" w:rsidRPr="00487329" w:rsidRDefault="00E31B8C" w:rsidP="00E31B8C">
      <w:pPr>
        <w:pStyle w:val="Blanc"/>
        <w:rPr>
          <w:lang w:val="es-ES_tradnl"/>
        </w:rPr>
      </w:pPr>
    </w:p>
    <w:p w:rsidR="00E31B8C" w:rsidRPr="00CB0C0D" w:rsidRDefault="00E31B8C" w:rsidP="00E31B8C">
      <w:pPr>
        <w:rPr>
          <w:lang w:val="es-ES_tradnl"/>
        </w:rPr>
      </w:pPr>
      <w:r w:rsidRPr="00CB0C0D">
        <w:rPr>
          <w:lang w:val="es-ES_tradnl"/>
        </w:rPr>
        <w:t>donde:</w:t>
      </w:r>
    </w:p>
    <w:p w:rsidR="00E31B8C" w:rsidRPr="00F45FEE" w:rsidRDefault="00E31B8C" w:rsidP="00BC1E89">
      <w:pPr>
        <w:pStyle w:val="Equationlegend"/>
        <w:rPr>
          <w:lang w:val="es-ES_tradnl"/>
        </w:rPr>
      </w:pPr>
      <w:r w:rsidRPr="008D1476">
        <w:rPr>
          <w:lang w:val="es-ES"/>
        </w:rPr>
        <w:tab/>
      </w:r>
      <w:r w:rsidRPr="00F45FEE">
        <w:rPr>
          <w:rFonts w:ascii="Symbol" w:hAnsi="Symbol"/>
        </w:rPr>
        <w:t></w:t>
      </w:r>
      <w:r w:rsidRPr="008B5F39">
        <w:rPr>
          <w:i/>
          <w:iCs/>
          <w:position w:val="-4"/>
          <w:vertAlign w:val="subscript"/>
          <w:lang w:val="es-ES_tradnl"/>
        </w:rPr>
        <w:t>b</w:t>
      </w:r>
      <w:r w:rsidRPr="00F45FEE">
        <w:rPr>
          <w:lang w:val="es-ES_tradnl"/>
        </w:rPr>
        <w:t> </w:t>
      </w:r>
      <w:r w:rsidRPr="00F45FEE">
        <w:rPr>
          <w:rFonts w:ascii="Symbol" w:hAnsi="Symbol"/>
        </w:rPr>
        <w:t></w:t>
      </w:r>
      <w:r w:rsidR="00BC1E89">
        <w:rPr>
          <w:rFonts w:ascii="Tms Rmn" w:hAnsi="Tms Rmn"/>
          <w:lang w:val="es-ES_tradnl"/>
        </w:rPr>
        <w:tab/>
      </w:r>
      <w:r w:rsidRPr="00F45FEE">
        <w:rPr>
          <w:i/>
          <w:iCs/>
          <w:lang w:val="es-ES_tradnl"/>
        </w:rPr>
        <w:t>E</w:t>
      </w:r>
      <w:r>
        <w:rPr>
          <w:i/>
          <w:iCs/>
          <w:vertAlign w:val="subscript"/>
          <w:lang w:val="es-ES_tradnl"/>
        </w:rPr>
        <w:t>b</w:t>
      </w:r>
      <w:r w:rsidRPr="00F45FEE">
        <w:rPr>
          <w:lang w:val="es-ES_tradnl"/>
        </w:rPr>
        <w:t>/(</w:t>
      </w:r>
      <w:r w:rsidRPr="00F45FEE">
        <w:rPr>
          <w:i/>
          <w:iCs/>
          <w:lang w:val="es-ES_tradnl"/>
        </w:rPr>
        <w:t>N</w:t>
      </w:r>
      <w:r w:rsidRPr="008D1476">
        <w:rPr>
          <w:iCs/>
          <w:vertAlign w:val="subscript"/>
          <w:lang w:val="es-ES_tradnl"/>
        </w:rPr>
        <w:t>0</w:t>
      </w:r>
      <w:r w:rsidRPr="00F45FEE">
        <w:rPr>
          <w:lang w:val="es-ES_tradnl"/>
        </w:rPr>
        <w:t> </w:t>
      </w:r>
      <w:r w:rsidRPr="00F45FEE">
        <w:rPr>
          <w:rFonts w:ascii="Symbol" w:hAnsi="Symbol"/>
        </w:rPr>
        <w:t></w:t>
      </w:r>
      <w:r w:rsidRPr="00F45FEE">
        <w:rPr>
          <w:lang w:val="es-ES_tradnl"/>
        </w:rPr>
        <w:t> </w:t>
      </w:r>
      <w:r w:rsidRPr="00F45FEE">
        <w:rPr>
          <w:i/>
          <w:iCs/>
          <w:lang w:val="es-ES_tradnl"/>
        </w:rPr>
        <w:t>I</w:t>
      </w:r>
      <w:r w:rsidRPr="008D1476">
        <w:rPr>
          <w:iCs/>
          <w:vertAlign w:val="subscript"/>
          <w:lang w:val="es-ES_tradnl"/>
        </w:rPr>
        <w:t>0</w:t>
      </w:r>
      <w:r w:rsidRPr="00F45FEE">
        <w:rPr>
          <w:lang w:val="es-ES_tradnl"/>
        </w:rPr>
        <w:t xml:space="preserve">) </w:t>
      </w:r>
      <w:r w:rsidRPr="00F45FEE">
        <w:rPr>
          <w:rFonts w:ascii="Symbol" w:hAnsi="Symbol"/>
        </w:rPr>
        <w:t></w:t>
      </w:r>
      <w:r w:rsidRPr="00F45FEE">
        <w:rPr>
          <w:lang w:val="es-ES_tradnl"/>
        </w:rPr>
        <w:t xml:space="preserve"> [</w:t>
      </w:r>
      <w:r w:rsidRPr="00F45FEE">
        <w:rPr>
          <w:i/>
          <w:iCs/>
          <w:lang w:val="es-ES_tradnl"/>
        </w:rPr>
        <w:t>C</w:t>
      </w:r>
      <w:r w:rsidRPr="00F45FEE">
        <w:rPr>
          <w:lang w:val="es-ES_tradnl"/>
        </w:rPr>
        <w:t>/(</w:t>
      </w:r>
      <w:r w:rsidRPr="00F45FEE">
        <w:rPr>
          <w:i/>
          <w:iCs/>
          <w:lang w:val="es-ES_tradnl"/>
        </w:rPr>
        <w:t>N</w:t>
      </w:r>
      <w:r w:rsidRPr="00F45FEE">
        <w:rPr>
          <w:lang w:val="es-ES_tradnl"/>
        </w:rPr>
        <w:t> </w:t>
      </w:r>
      <w:r w:rsidRPr="00F45FEE">
        <w:rPr>
          <w:rFonts w:ascii="Symbol" w:hAnsi="Symbol"/>
        </w:rPr>
        <w:t></w:t>
      </w:r>
      <w:r w:rsidRPr="00F45FEE">
        <w:rPr>
          <w:lang w:val="es-ES_tradnl"/>
        </w:rPr>
        <w:t> </w:t>
      </w:r>
      <w:r w:rsidRPr="00F45FEE">
        <w:rPr>
          <w:i/>
          <w:iCs/>
          <w:lang w:val="es-ES_tradnl"/>
        </w:rPr>
        <w:t>I</w:t>
      </w:r>
      <w:r w:rsidRPr="00F45FEE">
        <w:rPr>
          <w:rFonts w:ascii="Tms Rmn" w:hAnsi="Tms Rmn"/>
          <w:lang w:val="es-ES_tradnl"/>
        </w:rPr>
        <w:t> </w:t>
      </w:r>
      <w:r w:rsidRPr="00F45FEE">
        <w:rPr>
          <w:lang w:val="es-ES_tradnl"/>
        </w:rPr>
        <w:t>)](</w:t>
      </w:r>
      <w:r w:rsidRPr="00F45FEE">
        <w:rPr>
          <w:i/>
          <w:iCs/>
          <w:lang w:val="es-ES_tradnl"/>
        </w:rPr>
        <w:t>B</w:t>
      </w:r>
      <w:r w:rsidRPr="00F45FEE">
        <w:rPr>
          <w:lang w:val="es-ES_tradnl"/>
        </w:rPr>
        <w:t>/</w:t>
      </w:r>
      <w:r w:rsidRPr="00F45FEE">
        <w:rPr>
          <w:i/>
          <w:iCs/>
          <w:lang w:val="es-ES_tradnl"/>
        </w:rPr>
        <w:t>R</w:t>
      </w:r>
      <w:r w:rsidRPr="00F45FEE">
        <w:rPr>
          <w:rFonts w:ascii="Tms Rmn" w:hAnsi="Tms Rmn"/>
          <w:lang w:val="es-ES_tradnl"/>
        </w:rPr>
        <w:t> </w:t>
      </w:r>
      <w:r w:rsidRPr="00F45FEE">
        <w:rPr>
          <w:lang w:val="es-ES_tradnl"/>
        </w:rPr>
        <w:t>) (proporción numérica)</w:t>
      </w:r>
    </w:p>
    <w:p w:rsidR="00E31B8C" w:rsidRPr="00F45FEE" w:rsidRDefault="00E31B8C" w:rsidP="00BC1E89">
      <w:pPr>
        <w:pStyle w:val="Equationlegend"/>
        <w:tabs>
          <w:tab w:val="left" w:pos="2520"/>
          <w:tab w:val="left" w:pos="3420"/>
        </w:tabs>
        <w:rPr>
          <w:lang w:val="es-ES_tradnl"/>
        </w:rPr>
      </w:pPr>
      <w:r>
        <w:rPr>
          <w:lang w:val="es-ES_tradnl"/>
        </w:rPr>
        <w:tab/>
      </w:r>
      <w:r w:rsidRPr="00F45FEE">
        <w:rPr>
          <w:i/>
          <w:iCs/>
          <w:lang w:val="es-ES_tradnl"/>
        </w:rPr>
        <w:t>B</w:t>
      </w:r>
      <w:r w:rsidRPr="00F45FEE">
        <w:rPr>
          <w:rFonts w:ascii="Tms Rmn" w:hAnsi="Tms Rmn"/>
          <w:lang w:val="es-ES_tradnl"/>
        </w:rPr>
        <w:t> :</w:t>
      </w:r>
      <w:r w:rsidR="00BC1E89">
        <w:rPr>
          <w:rFonts w:ascii="Tms Rmn" w:hAnsi="Tms Rmn"/>
          <w:lang w:val="es-ES_tradnl"/>
        </w:rPr>
        <w:tab/>
      </w:r>
      <w:r>
        <w:rPr>
          <w:rFonts w:ascii="Tms Rmn" w:hAnsi="Tms Rmn"/>
          <w:lang w:val="es-ES_tradnl"/>
        </w:rPr>
        <w:t xml:space="preserve"> </w:t>
      </w:r>
      <w:r w:rsidRPr="00F45FEE">
        <w:rPr>
          <w:lang w:val="es-ES_tradnl"/>
        </w:rPr>
        <w:t>anchura de banda de ruido del receptor servicio fijo</w:t>
      </w:r>
    </w:p>
    <w:p w:rsidR="00E31B8C" w:rsidRPr="008D1476" w:rsidRDefault="00E31B8C" w:rsidP="00BC1E89">
      <w:pPr>
        <w:pStyle w:val="Equationlegend"/>
        <w:tabs>
          <w:tab w:val="left" w:pos="2520"/>
          <w:tab w:val="left" w:pos="3420"/>
        </w:tabs>
        <w:rPr>
          <w:lang w:val="es-ES"/>
        </w:rPr>
      </w:pPr>
      <w:r>
        <w:rPr>
          <w:lang w:val="es-ES_tradnl"/>
        </w:rPr>
        <w:tab/>
      </w:r>
      <w:r w:rsidRPr="008D1476">
        <w:rPr>
          <w:i/>
          <w:iCs/>
          <w:lang w:val="es-ES"/>
        </w:rPr>
        <w:t>R</w:t>
      </w:r>
      <w:r w:rsidRPr="008D1476">
        <w:rPr>
          <w:rFonts w:ascii="Tms Rmn" w:hAnsi="Tms Rmn"/>
          <w:lang w:val="es-ES"/>
        </w:rPr>
        <w:t> :</w:t>
      </w:r>
      <w:r w:rsidR="00BC1E89">
        <w:rPr>
          <w:rFonts w:ascii="Tms Rmn" w:hAnsi="Tms Rmn"/>
          <w:lang w:val="es-ES"/>
        </w:rPr>
        <w:tab/>
      </w:r>
      <w:r w:rsidRPr="008D1476">
        <w:rPr>
          <w:lang w:val="es-ES"/>
        </w:rPr>
        <w:t>velocidad binaria</w:t>
      </w:r>
    </w:p>
    <w:p w:rsidR="00E31B8C" w:rsidRPr="008D1476" w:rsidRDefault="00E31B8C" w:rsidP="00BC1E89">
      <w:pPr>
        <w:pStyle w:val="Equationlegend"/>
        <w:tabs>
          <w:tab w:val="left" w:pos="2520"/>
          <w:tab w:val="left" w:pos="3240"/>
        </w:tabs>
        <w:rPr>
          <w:lang w:val="es-ES"/>
        </w:rPr>
      </w:pPr>
      <w:r w:rsidRPr="008D1476">
        <w:rPr>
          <w:lang w:val="es-ES"/>
        </w:rPr>
        <w:tab/>
      </w:r>
      <w:r w:rsidRPr="008D1476">
        <w:rPr>
          <w:i/>
          <w:iCs/>
          <w:lang w:val="es-ES"/>
        </w:rPr>
        <w:t>M</w:t>
      </w:r>
      <w:r w:rsidRPr="008D1476">
        <w:rPr>
          <w:rFonts w:ascii="Tms Rmn" w:hAnsi="Tms Rmn"/>
          <w:lang w:val="es-ES"/>
        </w:rPr>
        <w:t> :</w:t>
      </w:r>
      <w:r w:rsidR="00BC1E89">
        <w:rPr>
          <w:rFonts w:ascii="Tms Rmn" w:hAnsi="Tms Rmn"/>
          <w:lang w:val="es-ES"/>
        </w:rPr>
        <w:tab/>
      </w:r>
      <w:r w:rsidRPr="008D1476">
        <w:rPr>
          <w:lang w:val="es-ES"/>
        </w:rPr>
        <w:t>número de estados.</w:t>
      </w:r>
    </w:p>
    <w:p w:rsidR="00E31B8C" w:rsidRPr="00CB0C0D" w:rsidRDefault="00E31B8C" w:rsidP="00E31B8C">
      <w:pPr>
        <w:rPr>
          <w:lang w:val="es-ES_tradnl"/>
        </w:rPr>
      </w:pPr>
      <w:r w:rsidRPr="00CB0C0D">
        <w:rPr>
          <w:lang w:val="es-ES_tradnl"/>
        </w:rPr>
        <w:t xml:space="preserve">La SER puede convertirse entonces en BER suponiendo que </w:t>
      </w:r>
      <w:r w:rsidRPr="00CB0C0D">
        <w:rPr>
          <w:i/>
          <w:iCs/>
          <w:lang w:val="es-ES_tradnl"/>
        </w:rPr>
        <w:t>BER</w:t>
      </w:r>
      <w:r w:rsidRPr="00CB0C0D">
        <w:rPr>
          <w:lang w:val="es-ES_tradnl"/>
        </w:rPr>
        <w:t> </w:t>
      </w:r>
      <w:r>
        <w:rPr>
          <w:rFonts w:ascii="Symbol" w:hAnsi="Symbol"/>
        </w:rPr>
        <w:t></w:t>
      </w:r>
      <w:r w:rsidRPr="00CB0C0D">
        <w:rPr>
          <w:lang w:val="es-ES_tradnl"/>
        </w:rPr>
        <w:t> </w:t>
      </w:r>
      <w:r w:rsidRPr="00CB0C0D">
        <w:rPr>
          <w:i/>
          <w:iCs/>
          <w:lang w:val="es-ES_tradnl"/>
        </w:rPr>
        <w:t>SER</w:t>
      </w:r>
      <w:r w:rsidRPr="00CB0C0D">
        <w:rPr>
          <w:lang w:val="es-ES_tradnl"/>
        </w:rPr>
        <w:t>/log</w:t>
      </w:r>
      <w:r w:rsidRPr="00CB0C0D">
        <w:rPr>
          <w:position w:val="-4"/>
          <w:sz w:val="16"/>
          <w:lang w:val="es-ES_tradnl"/>
        </w:rPr>
        <w:t>2</w:t>
      </w:r>
      <w:r w:rsidRPr="00CB0C0D">
        <w:rPr>
          <w:lang w:val="es-ES_tradnl"/>
        </w:rPr>
        <w:t>(</w:t>
      </w:r>
      <w:r w:rsidRPr="00CB0C0D">
        <w:rPr>
          <w:i/>
          <w:iCs/>
          <w:lang w:val="es-ES_tradnl"/>
        </w:rPr>
        <w:t>M</w:t>
      </w:r>
      <w:r w:rsidRPr="00CB0C0D">
        <w:rPr>
          <w:rFonts w:ascii="Tms Rmn" w:hAnsi="Tms Rmn"/>
          <w:sz w:val="8"/>
          <w:lang w:val="es-ES_tradnl"/>
        </w:rPr>
        <w:t> </w:t>
      </w:r>
      <w:r w:rsidRPr="00CB0C0D">
        <w:rPr>
          <w:lang w:val="es-ES_tradnl"/>
        </w:rPr>
        <w:t>).</w:t>
      </w:r>
    </w:p>
    <w:p w:rsidR="00E31B8C" w:rsidRPr="00CB0C0D" w:rsidRDefault="00E31B8C" w:rsidP="00E31B8C">
      <w:pPr>
        <w:pStyle w:val="Heading1"/>
        <w:rPr>
          <w:lang w:val="es-ES_tradnl"/>
        </w:rPr>
      </w:pPr>
      <w:bookmarkStart w:id="6" w:name="_Toc115520196"/>
      <w:r w:rsidRPr="00CB0C0D">
        <w:rPr>
          <w:lang w:val="es-ES_tradnl"/>
        </w:rPr>
        <w:t>3</w:t>
      </w:r>
      <w:r w:rsidRPr="00CB0C0D">
        <w:rPr>
          <w:lang w:val="es-ES_tradnl"/>
        </w:rPr>
        <w:tab/>
        <w:t>Otros objetivos de calidad de funcionamiento</w:t>
      </w:r>
      <w:bookmarkEnd w:id="6"/>
    </w:p>
    <w:p w:rsidR="00E31B8C" w:rsidRPr="00CB0C0D" w:rsidRDefault="00E31B8C" w:rsidP="00E31B8C">
      <w:pPr>
        <w:rPr>
          <w:lang w:val="es-ES_tradnl"/>
        </w:rPr>
      </w:pPr>
      <w:r w:rsidRPr="00CB0C0D">
        <w:rPr>
          <w:lang w:val="es-ES_tradnl"/>
        </w:rPr>
        <w:t>Otros objetivos comunes de la calidad de funcionamiento digital del servicio fijo (aparte de la BER) son los siguientes:</w:t>
      </w:r>
    </w:p>
    <w:p w:rsidR="00E31B8C" w:rsidRPr="00F45FEE" w:rsidRDefault="00E31B8C" w:rsidP="00E31B8C">
      <w:pPr>
        <w:pStyle w:val="enumlev1"/>
        <w:rPr>
          <w:szCs w:val="24"/>
          <w:lang w:val="es-ES_tradnl"/>
        </w:rPr>
      </w:pPr>
      <w:r w:rsidRPr="00F45FEE">
        <w:rPr>
          <w:szCs w:val="24"/>
          <w:lang w:val="es-ES_tradnl"/>
        </w:rPr>
        <w:t>–</w:t>
      </w:r>
      <w:r w:rsidRPr="00F45FEE">
        <w:rPr>
          <w:szCs w:val="24"/>
          <w:lang w:val="es-ES_tradnl"/>
        </w:rPr>
        <w:tab/>
        <w:t>indisponibilidad;</w:t>
      </w:r>
    </w:p>
    <w:p w:rsidR="00E31B8C" w:rsidRPr="00F45FEE" w:rsidRDefault="00E31B8C" w:rsidP="00E31B8C">
      <w:pPr>
        <w:pStyle w:val="enumlev1"/>
        <w:rPr>
          <w:szCs w:val="24"/>
          <w:lang w:val="es-ES_tradnl"/>
        </w:rPr>
      </w:pPr>
      <w:r w:rsidRPr="00F45FEE">
        <w:rPr>
          <w:szCs w:val="24"/>
          <w:lang w:val="es-ES_tradnl"/>
        </w:rPr>
        <w:t>–</w:t>
      </w:r>
      <w:r w:rsidRPr="00F45FEE">
        <w:rPr>
          <w:szCs w:val="24"/>
          <w:lang w:val="es-ES_tradnl"/>
        </w:rPr>
        <w:tab/>
        <w:t xml:space="preserve">tasa de segundos con errores (ESR, </w:t>
      </w:r>
      <w:r w:rsidRPr="00F45FEE">
        <w:rPr>
          <w:i/>
          <w:iCs/>
          <w:szCs w:val="24"/>
          <w:lang w:val="es-ES_tradnl"/>
        </w:rPr>
        <w:t>errored second ratio</w:t>
      </w:r>
      <w:r w:rsidRPr="00F45FEE">
        <w:rPr>
          <w:szCs w:val="24"/>
          <w:lang w:val="es-ES_tradnl"/>
        </w:rPr>
        <w:t>);</w:t>
      </w:r>
    </w:p>
    <w:p w:rsidR="00E31B8C" w:rsidRPr="00F45FEE" w:rsidRDefault="00E31B8C" w:rsidP="00E31B8C">
      <w:pPr>
        <w:pStyle w:val="enumlev1"/>
        <w:rPr>
          <w:szCs w:val="24"/>
          <w:lang w:val="es-ES_tradnl"/>
        </w:rPr>
      </w:pPr>
      <w:r w:rsidRPr="00F45FEE">
        <w:rPr>
          <w:szCs w:val="24"/>
          <w:lang w:val="es-ES_tradnl"/>
        </w:rPr>
        <w:t>–</w:t>
      </w:r>
      <w:r w:rsidRPr="00F45FEE">
        <w:rPr>
          <w:szCs w:val="24"/>
          <w:lang w:val="es-ES_tradnl"/>
        </w:rPr>
        <w:tab/>
        <w:t xml:space="preserve">tasa de segundos con muchos errores (SESR, </w:t>
      </w:r>
      <w:r w:rsidRPr="00F45FEE">
        <w:rPr>
          <w:i/>
          <w:iCs/>
          <w:szCs w:val="24"/>
          <w:lang w:val="es-ES_tradnl"/>
        </w:rPr>
        <w:t>severely errored second ratio</w:t>
      </w:r>
      <w:r w:rsidRPr="00F45FEE">
        <w:rPr>
          <w:szCs w:val="24"/>
          <w:lang w:val="es-ES_tradnl"/>
        </w:rPr>
        <w:t>);</w:t>
      </w:r>
    </w:p>
    <w:p w:rsidR="00E31B8C" w:rsidRPr="00F45FEE" w:rsidRDefault="00E31B8C" w:rsidP="00E31B8C">
      <w:pPr>
        <w:pStyle w:val="enumlev1"/>
        <w:rPr>
          <w:szCs w:val="24"/>
          <w:lang w:val="es-ES_tradnl"/>
        </w:rPr>
      </w:pPr>
      <w:r w:rsidRPr="00F45FEE">
        <w:rPr>
          <w:szCs w:val="24"/>
          <w:lang w:val="es-ES_tradnl"/>
        </w:rPr>
        <w:t>–</w:t>
      </w:r>
      <w:r w:rsidRPr="00F45FEE">
        <w:rPr>
          <w:szCs w:val="24"/>
          <w:lang w:val="es-ES_tradnl"/>
        </w:rPr>
        <w:tab/>
        <w:t xml:space="preserve">tasa de errores de bloque de fondo (BBER, </w:t>
      </w:r>
      <w:r w:rsidRPr="00F45FEE">
        <w:rPr>
          <w:i/>
          <w:iCs/>
          <w:szCs w:val="24"/>
          <w:lang w:val="es-ES_tradnl"/>
        </w:rPr>
        <w:t>background block error ratio</w:t>
      </w:r>
      <w:r w:rsidRPr="00F45FEE">
        <w:rPr>
          <w:szCs w:val="24"/>
          <w:lang w:val="es-ES_tradnl"/>
        </w:rPr>
        <w:t>).</w:t>
      </w:r>
    </w:p>
    <w:p w:rsidR="00E31B8C" w:rsidRPr="00CB0C0D" w:rsidRDefault="00E31B8C" w:rsidP="00E31B8C">
      <w:pPr>
        <w:rPr>
          <w:lang w:val="es-ES_tradnl"/>
        </w:rPr>
      </w:pPr>
      <w:r w:rsidRPr="00CB0C0D">
        <w:rPr>
          <w:lang w:val="es-ES_tradnl"/>
        </w:rPr>
        <w:t>La evaluación precisa de estas medidas requiere la comprobación continua de la calidad de funcionamiento del sistema del servicio fijo. En una simulación, esto conllevaría intervalos de tiempo muy pequeños, del orden de los milisegundos, lo cual puede ser imposible en un programa informático que simula la interferencia causada por un sistema del SMS no OSG en receptores del servicio fijo debido a la necesidad de modelar también las variaciones a largo plazo, ya que el tiempo de ejecución podría resultar prohibitivo.</w:t>
      </w:r>
    </w:p>
    <w:p w:rsidR="00E31B8C" w:rsidRPr="00CB0C0D" w:rsidRDefault="00E31B8C" w:rsidP="00E31B8C">
      <w:pPr>
        <w:rPr>
          <w:lang w:val="es-ES_tradnl"/>
        </w:rPr>
      </w:pPr>
      <w:r w:rsidRPr="00CB0C0D">
        <w:rPr>
          <w:lang w:val="es-ES_tradnl"/>
        </w:rPr>
        <w:lastRenderedPageBreak/>
        <w:t>Por este motivo, se propone que las medidas de calidad de funcionamiento citadas se evalúen mediante un método basado en el promedio, es decir, suponiendo que la BER es constante entre muestras de tiempo. Además, se supone que los errores en los bits se reparten uniformemente en el tiempo. Ese método dará en general estimaciones conservadoras, ya que los errores en los bits se repartirán entre un número máximo de bloques (véase la definición de bloque en el § 3.2); con una mayor variación en el agrupamiento de los errores en los bits quedarán afectados menos bloques (suponiendo que se da el número total de errores en los bits). En los puntos siguientes se describen métodos que pueden utilizarse para dicha evaluación.</w:t>
      </w:r>
    </w:p>
    <w:p w:rsidR="00E31B8C" w:rsidRPr="00CB0C0D" w:rsidRDefault="00E31B8C" w:rsidP="00E31B8C">
      <w:pPr>
        <w:pStyle w:val="Heading2"/>
        <w:rPr>
          <w:lang w:val="es-ES_tradnl"/>
        </w:rPr>
      </w:pPr>
      <w:bookmarkStart w:id="7" w:name="_Toc115520197"/>
      <w:r w:rsidRPr="00CB0C0D">
        <w:rPr>
          <w:lang w:val="es-ES_tradnl"/>
        </w:rPr>
        <w:t>3.1</w:t>
      </w:r>
      <w:r w:rsidRPr="00CB0C0D">
        <w:rPr>
          <w:lang w:val="es-ES_tradnl"/>
        </w:rPr>
        <w:tab/>
        <w:t>Indisponibilidad</w:t>
      </w:r>
      <w:bookmarkEnd w:id="7"/>
    </w:p>
    <w:p w:rsidR="00E31B8C" w:rsidRPr="00CB0C0D" w:rsidRDefault="00E31B8C" w:rsidP="00E31B8C">
      <w:pPr>
        <w:rPr>
          <w:lang w:val="es-ES_tradnl"/>
        </w:rPr>
      </w:pPr>
      <w:r w:rsidRPr="00CB0C0D">
        <w:rPr>
          <w:lang w:val="es-ES_tradnl"/>
        </w:rPr>
        <w:t>En la Recomendación UIT</w:t>
      </w:r>
      <w:r w:rsidRPr="00CB0C0D">
        <w:rPr>
          <w:lang w:val="es-ES_tradnl"/>
        </w:rPr>
        <w:noBreakHyphen/>
        <w:t>R F.557 se define la indisponibilidad para los enlaces digitales del servicio fijo:</w:t>
      </w:r>
    </w:p>
    <w:p w:rsidR="00E31B8C" w:rsidRPr="00CB0C0D" w:rsidRDefault="00713246" w:rsidP="00713246">
      <w:pPr>
        <w:pStyle w:val="enumlev1"/>
        <w:rPr>
          <w:lang w:val="es-ES_tradnl"/>
        </w:rPr>
      </w:pPr>
      <w:r>
        <w:rPr>
          <w:lang w:val="es-ES_tradnl"/>
        </w:rPr>
        <w:tab/>
      </w:r>
      <w:r w:rsidR="00E31B8C" w:rsidRPr="00CB0C0D">
        <w:rPr>
          <w:lang w:val="es-ES_tradnl"/>
        </w:rPr>
        <w:t>«El periodo de indisponibilidad comienza con el inicio de diez acontecimientos consecutivos de segundos con muchos errores, en al menos un sentido de transmisión. Estos 10 s se consideran tiempo indisponible. Para la definición de segundo con muchos errores, véanse las Recomendaciones UIT</w:t>
      </w:r>
      <w:r w:rsidR="00E31B8C" w:rsidRPr="00CB0C0D">
        <w:rPr>
          <w:lang w:val="es-ES_tradnl"/>
        </w:rPr>
        <w:noBreakHyphen/>
        <w:t>T G.821 y UIT</w:t>
      </w:r>
      <w:r w:rsidR="00E31B8C" w:rsidRPr="00CB0C0D">
        <w:rPr>
          <w:lang w:val="es-ES_tradnl"/>
        </w:rPr>
        <w:noBreakHyphen/>
        <w:t>T G.826 conexas.</w:t>
      </w:r>
    </w:p>
    <w:p w:rsidR="00E31B8C" w:rsidRPr="00CB0C0D" w:rsidRDefault="00713246" w:rsidP="00713246">
      <w:pPr>
        <w:pStyle w:val="enumlev1"/>
        <w:rPr>
          <w:lang w:val="es-ES_tradnl"/>
        </w:rPr>
      </w:pPr>
      <w:r>
        <w:rPr>
          <w:lang w:val="es-ES_tradnl"/>
        </w:rPr>
        <w:tab/>
      </w:r>
      <w:r w:rsidR="00E31B8C" w:rsidRPr="00CB0C0D">
        <w:rPr>
          <w:lang w:val="es-ES_tradnl"/>
        </w:rPr>
        <w:t>Un nuevo periodo de disponibilidad comienza con el inicio de diez acontecimientos consecutivos que no tienen segundo con muchos errores en ambos sentidos de transmisión. Estos 10 s se consideran tiempo disponible. Para la definición de segundo con muchos errores, véanse las Recomendaciones UIT</w:t>
      </w:r>
      <w:r w:rsidR="00E31B8C" w:rsidRPr="00CB0C0D">
        <w:rPr>
          <w:lang w:val="es-ES_tradnl"/>
        </w:rPr>
        <w:noBreakHyphen/>
        <w:t>T G.821 y UIT</w:t>
      </w:r>
      <w:r w:rsidR="00E31B8C" w:rsidRPr="00CB0C0D">
        <w:rPr>
          <w:lang w:val="es-ES_tradnl"/>
        </w:rPr>
        <w:noBreakHyphen/>
        <w:t>T G.826 conexas.»</w:t>
      </w:r>
    </w:p>
    <w:p w:rsidR="00E31B8C" w:rsidRPr="00CB0C0D" w:rsidRDefault="00E31B8C" w:rsidP="00E31B8C">
      <w:pPr>
        <w:rPr>
          <w:lang w:val="es-ES_tradnl"/>
        </w:rPr>
      </w:pPr>
      <w:r w:rsidRPr="00CB0C0D">
        <w:rPr>
          <w:lang w:val="es-ES_tradnl"/>
        </w:rPr>
        <w:t xml:space="preserve">Como se supone que la única información disponible es la función de densidad de probabilidad de </w:t>
      </w:r>
      <w:r w:rsidRPr="00CB0C0D">
        <w:rPr>
          <w:i/>
          <w:iCs/>
          <w:lang w:val="es-ES_tradnl"/>
        </w:rPr>
        <w:t>C</w:t>
      </w:r>
      <w:r w:rsidRPr="00CB0C0D">
        <w:rPr>
          <w:lang w:val="es-ES_tradnl"/>
        </w:rPr>
        <w:t>/(</w:t>
      </w:r>
      <w:r w:rsidRPr="00CB0C0D">
        <w:rPr>
          <w:i/>
          <w:iCs/>
          <w:lang w:val="es-ES_tradnl"/>
        </w:rPr>
        <w:t>N</w:t>
      </w:r>
      <w:r w:rsidRPr="00CB0C0D">
        <w:rPr>
          <w:lang w:val="es-ES_tradnl"/>
        </w:rPr>
        <w:t> + </w:t>
      </w:r>
      <w:r w:rsidRPr="00CB0C0D">
        <w:rPr>
          <w:i/>
          <w:iCs/>
          <w:lang w:val="es-ES_tradnl"/>
        </w:rPr>
        <w:t>I</w:t>
      </w:r>
      <w:r w:rsidRPr="00CB0C0D">
        <w:rPr>
          <w:rFonts w:ascii="Tms Rmn" w:hAnsi="Tms Rmn"/>
          <w:sz w:val="12"/>
          <w:lang w:val="es-ES_tradnl"/>
        </w:rPr>
        <w:t> </w:t>
      </w:r>
      <w:r w:rsidRPr="00CB0C0D">
        <w:rPr>
          <w:lang w:val="es-ES_tradnl"/>
        </w:rPr>
        <w:t>), debe utilizarse un método simplificado. Por lo tanto, la indisponibilidad se calculará como el porcentaje de tiempo en que la BER excede de 1 </w:t>
      </w:r>
      <w:r>
        <w:rPr>
          <w:rFonts w:ascii="Symbol" w:hAnsi="Symbol"/>
        </w:rPr>
        <w:t></w:t>
      </w:r>
      <w:r w:rsidRPr="00CB0C0D">
        <w:rPr>
          <w:lang w:val="es-ES_tradnl"/>
        </w:rPr>
        <w:t> 10</w:t>
      </w:r>
      <w:r w:rsidRPr="00CB0C0D">
        <w:rPr>
          <w:position w:val="6"/>
          <w:sz w:val="16"/>
          <w:lang w:val="es-ES_tradnl"/>
        </w:rPr>
        <w:t>–3</w:t>
      </w:r>
      <w:r w:rsidRPr="00CB0C0D">
        <w:rPr>
          <w:lang w:val="es-ES_tradnl"/>
        </w:rPr>
        <w:t xml:space="preserve">. El tiempo indisponible </w:t>
      </w:r>
      <w:r w:rsidRPr="00CB0C0D">
        <w:rPr>
          <w:i/>
          <w:iCs/>
          <w:lang w:val="es-ES_tradnl"/>
        </w:rPr>
        <w:t>T</w:t>
      </w:r>
      <w:r w:rsidRPr="00CB0C0D">
        <w:rPr>
          <w:i/>
          <w:iCs/>
          <w:position w:val="-4"/>
          <w:sz w:val="16"/>
          <w:lang w:val="es-ES_tradnl"/>
        </w:rPr>
        <w:t>U</w:t>
      </w:r>
      <w:r w:rsidRPr="00CB0C0D">
        <w:rPr>
          <w:lang w:val="es-ES_tradnl"/>
        </w:rPr>
        <w:t xml:space="preserve"> (s) es entonces:</w:t>
      </w:r>
    </w:p>
    <w:p w:rsidR="00E31B8C" w:rsidRPr="00487329" w:rsidRDefault="00E31B8C" w:rsidP="00E31B8C">
      <w:pPr>
        <w:pStyle w:val="Blanc"/>
        <w:rPr>
          <w:lang w:val="es-ES_tradnl"/>
        </w:rPr>
      </w:pPr>
    </w:p>
    <w:p w:rsidR="00E31B8C" w:rsidRPr="00CB0C0D" w:rsidRDefault="00E31B8C" w:rsidP="00E31B8C">
      <w:pPr>
        <w:pStyle w:val="Equation"/>
        <w:rPr>
          <w:lang w:val="es-ES_tradnl"/>
        </w:rPr>
      </w:pPr>
      <w:r w:rsidRPr="00CB0C0D">
        <w:rPr>
          <w:lang w:val="es-ES_tradnl"/>
        </w:rPr>
        <w:tab/>
      </w:r>
      <w:r w:rsidRPr="00CB0C0D">
        <w:rPr>
          <w:lang w:val="es-ES_tradnl"/>
        </w:rPr>
        <w:tab/>
      </w:r>
      <w:r w:rsidRPr="000A69EB">
        <w:rPr>
          <w:position w:val="-32"/>
        </w:rPr>
        <w:object w:dxaOrig="1520" w:dyaOrig="760">
          <v:shape id="_x0000_i1026" type="#_x0000_t75" style="width:75.6pt;height:38.4pt" o:ole="">
            <v:imagedata r:id="rId14" o:title=""/>
          </v:shape>
          <o:OLEObject Type="Embed" ProgID="Equation.3" ShapeID="_x0000_i1026" DrawAspect="Content" ObjectID="_1339418968" r:id="rId15"/>
        </w:object>
      </w:r>
      <w:r w:rsidRPr="00CB0C0D">
        <w:rPr>
          <w:lang w:val="es-ES_tradnl"/>
        </w:rPr>
        <w:tab/>
        <w:t>(2)</w:t>
      </w:r>
    </w:p>
    <w:p w:rsidR="00E31B8C" w:rsidRPr="00487329" w:rsidRDefault="00E31B8C" w:rsidP="00E31B8C">
      <w:pPr>
        <w:pStyle w:val="Blanc"/>
        <w:rPr>
          <w:lang w:val="es-ES_tradnl"/>
        </w:rPr>
      </w:pPr>
    </w:p>
    <w:p w:rsidR="00E31B8C" w:rsidRPr="00CB0C0D" w:rsidRDefault="00E31B8C" w:rsidP="00E31B8C">
      <w:pPr>
        <w:rPr>
          <w:lang w:val="es-ES_tradnl"/>
        </w:rPr>
      </w:pPr>
      <w:r w:rsidRPr="00CB0C0D">
        <w:rPr>
          <w:lang w:val="es-ES_tradnl"/>
        </w:rPr>
        <w:t>donde:</w:t>
      </w:r>
    </w:p>
    <w:p w:rsidR="00E31B8C" w:rsidRPr="00487329" w:rsidRDefault="00E31B8C" w:rsidP="00E31B8C">
      <w:pPr>
        <w:pStyle w:val="Equationlegend"/>
        <w:rPr>
          <w:lang w:val="es-ES_tradnl"/>
        </w:rPr>
      </w:pPr>
      <w:r w:rsidRPr="00487329">
        <w:rPr>
          <w:lang w:val="es-ES_tradnl"/>
        </w:rPr>
        <w:tab/>
      </w:r>
      <w:r w:rsidRPr="00487329">
        <w:rPr>
          <w:i/>
          <w:iCs/>
          <w:lang w:val="es-ES_tradnl"/>
        </w:rPr>
        <w:t>N</w:t>
      </w:r>
      <w:r w:rsidRPr="00487329">
        <w:rPr>
          <w:i/>
          <w:iCs/>
          <w:position w:val="-4"/>
          <w:sz w:val="16"/>
          <w:lang w:val="es-ES_tradnl"/>
        </w:rPr>
        <w:t>s</w:t>
      </w:r>
      <w:r w:rsidRPr="00487329">
        <w:rPr>
          <w:rFonts w:ascii="Tms Rmn" w:hAnsi="Tms Rmn"/>
          <w:sz w:val="12"/>
          <w:lang w:val="es-ES_tradnl"/>
        </w:rPr>
        <w:t> </w:t>
      </w:r>
      <w:r w:rsidRPr="00487329">
        <w:rPr>
          <w:rFonts w:ascii="Tms Rmn" w:hAnsi="Tms Rmn"/>
          <w:lang w:val="es-ES_tradnl"/>
        </w:rPr>
        <w:t>:</w:t>
      </w:r>
      <w:r w:rsidRPr="00487329">
        <w:rPr>
          <w:lang w:val="es-ES_tradnl"/>
        </w:rPr>
        <w:tab/>
        <w:t>tiempo de simulación total (s)</w:t>
      </w:r>
    </w:p>
    <w:p w:rsidR="00E31B8C" w:rsidRPr="00487329" w:rsidRDefault="00E31B8C" w:rsidP="00E31B8C">
      <w:pPr>
        <w:pStyle w:val="Equationlegend"/>
        <w:rPr>
          <w:lang w:val="es-ES_tradnl"/>
        </w:rPr>
      </w:pPr>
      <w:r w:rsidRPr="00487329">
        <w:rPr>
          <w:lang w:val="es-ES_tradnl"/>
        </w:rPr>
        <w:tab/>
      </w:r>
      <w:r w:rsidRPr="00487329">
        <w:rPr>
          <w:i/>
          <w:iCs/>
          <w:lang w:val="es-ES_tradnl"/>
        </w:rPr>
        <w:t>pdf</w:t>
      </w:r>
      <w:r w:rsidRPr="00487329">
        <w:rPr>
          <w:i/>
          <w:iCs/>
          <w:position w:val="-4"/>
          <w:sz w:val="16"/>
          <w:lang w:val="es-ES_tradnl"/>
        </w:rPr>
        <w:t>i</w:t>
      </w:r>
      <w:r w:rsidRPr="00487329">
        <w:rPr>
          <w:rFonts w:ascii="Tms Rmn" w:hAnsi="Tms Rmn"/>
          <w:sz w:val="12"/>
          <w:lang w:val="es-ES_tradnl"/>
        </w:rPr>
        <w:t> </w:t>
      </w:r>
      <w:r w:rsidRPr="00487329">
        <w:rPr>
          <w:rFonts w:ascii="Tms Rmn" w:hAnsi="Tms Rmn"/>
          <w:lang w:val="es-ES_tradnl"/>
        </w:rPr>
        <w:t>:</w:t>
      </w:r>
      <w:r w:rsidRPr="00487329">
        <w:rPr>
          <w:rFonts w:ascii="Tms Rmn" w:hAnsi="Tms Rmn"/>
          <w:lang w:val="es-ES_tradnl"/>
        </w:rPr>
        <w:tab/>
      </w:r>
      <w:r w:rsidRPr="00487329">
        <w:rPr>
          <w:lang w:val="es-ES_tradnl"/>
        </w:rPr>
        <w:t xml:space="preserve">función de densidad de probabilidad calculada de </w:t>
      </w:r>
      <w:r w:rsidRPr="00487329">
        <w:rPr>
          <w:i/>
          <w:iCs/>
          <w:lang w:val="es-ES_tradnl"/>
        </w:rPr>
        <w:t>C</w:t>
      </w:r>
      <w:r w:rsidRPr="00487329">
        <w:rPr>
          <w:lang w:val="es-ES_tradnl"/>
        </w:rPr>
        <w:t>/(</w:t>
      </w:r>
      <w:r w:rsidRPr="00487329">
        <w:rPr>
          <w:i/>
          <w:iCs/>
          <w:lang w:val="es-ES_tradnl"/>
        </w:rPr>
        <w:t>N</w:t>
      </w:r>
      <w:r w:rsidRPr="00487329">
        <w:rPr>
          <w:lang w:val="es-ES_tradnl"/>
        </w:rPr>
        <w:t> </w:t>
      </w:r>
      <w:r>
        <w:rPr>
          <w:rFonts w:ascii="Symbol" w:hAnsi="Symbol"/>
        </w:rPr>
        <w:t></w:t>
      </w:r>
      <w:r w:rsidRPr="00487329">
        <w:rPr>
          <w:lang w:val="es-ES_tradnl"/>
        </w:rPr>
        <w:t> </w:t>
      </w:r>
      <w:r w:rsidRPr="00487329">
        <w:rPr>
          <w:i/>
          <w:iCs/>
          <w:lang w:val="es-ES_tradnl"/>
        </w:rPr>
        <w:t>I</w:t>
      </w:r>
      <w:r w:rsidRPr="00487329">
        <w:rPr>
          <w:rFonts w:ascii="Tms Rmn" w:hAnsi="Tms Rmn"/>
          <w:sz w:val="12"/>
          <w:lang w:val="es-ES_tradnl"/>
        </w:rPr>
        <w:t> </w:t>
      </w:r>
      <w:r w:rsidRPr="00487329">
        <w:rPr>
          <w:lang w:val="es-ES_tradnl"/>
        </w:rPr>
        <w:t>)</w:t>
      </w:r>
    </w:p>
    <w:p w:rsidR="00E31B8C" w:rsidRPr="00487329" w:rsidRDefault="00E31B8C" w:rsidP="00E31B8C">
      <w:pPr>
        <w:pStyle w:val="Equationlegend"/>
        <w:rPr>
          <w:lang w:val="es-ES_tradnl"/>
        </w:rPr>
      </w:pPr>
      <w:r w:rsidRPr="00487329">
        <w:rPr>
          <w:lang w:val="es-ES_tradnl"/>
        </w:rPr>
        <w:tab/>
      </w:r>
      <w:r w:rsidRPr="00487329">
        <w:rPr>
          <w:i/>
          <w:iCs/>
          <w:lang w:val="es-ES_tradnl"/>
        </w:rPr>
        <w:t>a</w:t>
      </w:r>
      <w:r w:rsidRPr="00487329">
        <w:rPr>
          <w:rFonts w:ascii="Tms Rmn" w:hAnsi="Tms Rmn"/>
          <w:sz w:val="12"/>
          <w:lang w:val="es-ES_tradnl"/>
        </w:rPr>
        <w:t> </w:t>
      </w:r>
      <w:r w:rsidRPr="00487329">
        <w:rPr>
          <w:rFonts w:ascii="Tms Rmn" w:hAnsi="Tms Rmn"/>
          <w:lang w:val="es-ES_tradnl"/>
        </w:rPr>
        <w:t>:</w:t>
      </w:r>
      <w:r w:rsidRPr="00487329">
        <w:rPr>
          <w:lang w:val="es-ES_tradnl"/>
        </w:rPr>
        <w:tab/>
        <w:t xml:space="preserve">valor </w:t>
      </w:r>
      <w:r w:rsidRPr="00487329">
        <w:rPr>
          <w:i/>
          <w:iCs/>
          <w:lang w:val="es-ES_tradnl"/>
        </w:rPr>
        <w:t>C</w:t>
      </w:r>
      <w:r w:rsidRPr="00487329">
        <w:rPr>
          <w:lang w:val="es-ES_tradnl"/>
        </w:rPr>
        <w:t>/(</w:t>
      </w:r>
      <w:r w:rsidRPr="00487329">
        <w:rPr>
          <w:i/>
          <w:iCs/>
          <w:lang w:val="es-ES_tradnl"/>
        </w:rPr>
        <w:t>N</w:t>
      </w:r>
      <w:r w:rsidRPr="00487329">
        <w:rPr>
          <w:lang w:val="es-ES_tradnl"/>
        </w:rPr>
        <w:t> </w:t>
      </w:r>
      <w:r>
        <w:rPr>
          <w:rFonts w:ascii="Symbol" w:hAnsi="Symbol"/>
        </w:rPr>
        <w:t></w:t>
      </w:r>
      <w:r w:rsidRPr="00487329">
        <w:rPr>
          <w:lang w:val="es-ES_tradnl"/>
        </w:rPr>
        <w:t> </w:t>
      </w:r>
      <w:r w:rsidRPr="00487329">
        <w:rPr>
          <w:i/>
          <w:iCs/>
          <w:lang w:val="es-ES_tradnl"/>
        </w:rPr>
        <w:t>I</w:t>
      </w:r>
      <w:r w:rsidRPr="00487329">
        <w:rPr>
          <w:rFonts w:ascii="Tms Rmn" w:hAnsi="Tms Rmn"/>
          <w:sz w:val="12"/>
          <w:lang w:val="es-ES_tradnl"/>
        </w:rPr>
        <w:t> </w:t>
      </w:r>
      <w:r w:rsidRPr="00487329">
        <w:rPr>
          <w:lang w:val="es-ES_tradnl"/>
        </w:rPr>
        <w:t>) más pequeño representado en la distribución</w:t>
      </w:r>
    </w:p>
    <w:p w:rsidR="00E31B8C" w:rsidRPr="00487329" w:rsidRDefault="00E31B8C" w:rsidP="00E31B8C">
      <w:pPr>
        <w:pStyle w:val="Equationlegend"/>
        <w:rPr>
          <w:lang w:val="es-ES_tradnl"/>
        </w:rPr>
      </w:pPr>
      <w:r w:rsidRPr="00487329">
        <w:rPr>
          <w:lang w:val="es-ES_tradnl"/>
        </w:rPr>
        <w:tab/>
      </w:r>
      <w:r w:rsidRPr="00487329">
        <w:rPr>
          <w:i/>
          <w:iCs/>
          <w:lang w:val="es-ES_tradnl"/>
        </w:rPr>
        <w:t>x</w:t>
      </w:r>
      <w:r w:rsidRPr="00487329">
        <w:rPr>
          <w:rFonts w:ascii="Tms Rmn" w:hAnsi="Tms Rmn"/>
          <w:sz w:val="12"/>
          <w:lang w:val="es-ES_tradnl"/>
        </w:rPr>
        <w:t> </w:t>
      </w:r>
      <w:r w:rsidRPr="00487329">
        <w:rPr>
          <w:rFonts w:ascii="Tms Rmn" w:hAnsi="Tms Rmn"/>
          <w:lang w:val="es-ES_tradnl"/>
        </w:rPr>
        <w:t>:</w:t>
      </w:r>
      <w:r w:rsidRPr="00487329">
        <w:rPr>
          <w:lang w:val="es-ES_tradnl"/>
        </w:rPr>
        <w:tab/>
        <w:t xml:space="preserve">valor de </w:t>
      </w:r>
      <w:r w:rsidRPr="00487329">
        <w:rPr>
          <w:i/>
          <w:iCs/>
          <w:lang w:val="es-ES_tradnl"/>
        </w:rPr>
        <w:t>C</w:t>
      </w:r>
      <w:r w:rsidRPr="00487329">
        <w:rPr>
          <w:lang w:val="es-ES_tradnl"/>
        </w:rPr>
        <w:t>/(</w:t>
      </w:r>
      <w:r w:rsidRPr="00487329">
        <w:rPr>
          <w:i/>
          <w:iCs/>
          <w:lang w:val="es-ES_tradnl"/>
        </w:rPr>
        <w:t>N</w:t>
      </w:r>
      <w:r w:rsidRPr="00487329">
        <w:rPr>
          <w:lang w:val="es-ES_tradnl"/>
        </w:rPr>
        <w:t> </w:t>
      </w:r>
      <w:r>
        <w:rPr>
          <w:rFonts w:ascii="Symbol" w:hAnsi="Symbol"/>
        </w:rPr>
        <w:t></w:t>
      </w:r>
      <w:r w:rsidRPr="00487329">
        <w:rPr>
          <w:lang w:val="es-ES_tradnl"/>
        </w:rPr>
        <w:t> </w:t>
      </w:r>
      <w:r w:rsidRPr="00487329">
        <w:rPr>
          <w:i/>
          <w:iCs/>
          <w:lang w:val="es-ES_tradnl"/>
        </w:rPr>
        <w:t>I</w:t>
      </w:r>
      <w:r w:rsidRPr="00487329">
        <w:rPr>
          <w:rFonts w:ascii="Tms Rmn" w:hAnsi="Tms Rmn"/>
          <w:sz w:val="12"/>
          <w:lang w:val="es-ES_tradnl"/>
        </w:rPr>
        <w:t> </w:t>
      </w:r>
      <w:r w:rsidRPr="00487329">
        <w:rPr>
          <w:lang w:val="es-ES_tradnl"/>
        </w:rPr>
        <w:t xml:space="preserve">) correspondiente a BER </w:t>
      </w:r>
      <w:r>
        <w:rPr>
          <w:rFonts w:ascii="Symbol" w:hAnsi="Symbol"/>
        </w:rPr>
        <w:t></w:t>
      </w:r>
      <w:r w:rsidRPr="00487329">
        <w:rPr>
          <w:lang w:val="es-ES_tradnl"/>
        </w:rPr>
        <w:t xml:space="preserve"> 1 </w:t>
      </w:r>
      <w:r>
        <w:rPr>
          <w:rFonts w:ascii="Symbol" w:hAnsi="Symbol"/>
        </w:rPr>
        <w:t></w:t>
      </w:r>
      <w:r w:rsidRPr="00487329">
        <w:rPr>
          <w:lang w:val="es-ES_tradnl"/>
        </w:rPr>
        <w:t> 10</w:t>
      </w:r>
      <w:r w:rsidRPr="00487329">
        <w:rPr>
          <w:position w:val="6"/>
          <w:sz w:val="16"/>
          <w:lang w:val="es-ES_tradnl"/>
        </w:rPr>
        <w:t>–3</w:t>
      </w:r>
      <w:r w:rsidRPr="00487329">
        <w:rPr>
          <w:lang w:val="es-ES_tradnl"/>
        </w:rPr>
        <w:t>.</w:t>
      </w:r>
    </w:p>
    <w:p w:rsidR="00E31B8C" w:rsidRPr="00CB0C0D" w:rsidRDefault="00E31B8C" w:rsidP="00E31B8C">
      <w:pPr>
        <w:rPr>
          <w:lang w:val="es-ES_tradnl"/>
        </w:rPr>
      </w:pPr>
      <w:r w:rsidRPr="00CB0C0D">
        <w:rPr>
          <w:lang w:val="es-ES_tradnl"/>
        </w:rPr>
        <w:t xml:space="preserve">Por consiguiente, la indisponibilidad es: 100 </w:t>
      </w:r>
      <w:r w:rsidRPr="00CB0C0D">
        <w:rPr>
          <w:i/>
          <w:iCs/>
          <w:lang w:val="es-ES_tradnl"/>
        </w:rPr>
        <w:t>T</w:t>
      </w:r>
      <w:r w:rsidRPr="00CB0C0D">
        <w:rPr>
          <w:i/>
          <w:iCs/>
          <w:position w:val="-4"/>
          <w:sz w:val="16"/>
          <w:lang w:val="es-ES_tradnl"/>
        </w:rPr>
        <w:t>U</w:t>
      </w:r>
      <w:r w:rsidRPr="00CB0C0D">
        <w:rPr>
          <w:rFonts w:ascii="Tms Rmn" w:hAnsi="Tms Rmn"/>
          <w:sz w:val="12"/>
          <w:lang w:val="es-ES_tradnl"/>
        </w:rPr>
        <w:t> </w:t>
      </w:r>
      <w:r w:rsidRPr="00CB0C0D">
        <w:rPr>
          <w:lang w:val="es-ES_tradnl"/>
        </w:rPr>
        <w:t>/</w:t>
      </w:r>
      <w:r w:rsidRPr="00CB0C0D">
        <w:rPr>
          <w:rFonts w:ascii="Tms Rmn" w:hAnsi="Tms Rmn"/>
          <w:sz w:val="12"/>
          <w:lang w:val="es-ES_tradnl"/>
        </w:rPr>
        <w:t> </w:t>
      </w:r>
      <w:r w:rsidRPr="00CB0C0D">
        <w:rPr>
          <w:i/>
          <w:iCs/>
          <w:lang w:val="es-ES_tradnl"/>
        </w:rPr>
        <w:t>N</w:t>
      </w:r>
      <w:r w:rsidRPr="00CB0C0D">
        <w:rPr>
          <w:i/>
          <w:iCs/>
          <w:position w:val="-4"/>
          <w:sz w:val="16"/>
          <w:lang w:val="es-ES_tradnl"/>
        </w:rPr>
        <w:t>s</w:t>
      </w:r>
      <w:r w:rsidRPr="00CB0C0D">
        <w:rPr>
          <w:lang w:val="es-ES_tradnl"/>
        </w:rPr>
        <w:t xml:space="preserve"> (en valor porcentual).</w:t>
      </w:r>
    </w:p>
    <w:p w:rsidR="00E31B8C" w:rsidRPr="00CB0C0D" w:rsidRDefault="00E31B8C" w:rsidP="00E31B8C">
      <w:pPr>
        <w:pStyle w:val="Heading2"/>
        <w:rPr>
          <w:lang w:val="es-ES_tradnl"/>
        </w:rPr>
      </w:pPr>
      <w:bookmarkStart w:id="8" w:name="_Toc115520198"/>
      <w:r w:rsidRPr="00CB0C0D">
        <w:rPr>
          <w:lang w:val="es-ES_tradnl"/>
        </w:rPr>
        <w:t>3.2</w:t>
      </w:r>
      <w:r w:rsidRPr="00CB0C0D">
        <w:rPr>
          <w:lang w:val="es-ES_tradnl"/>
        </w:rPr>
        <w:tab/>
        <w:t>Segundos con errores</w:t>
      </w:r>
      <w:bookmarkEnd w:id="8"/>
    </w:p>
    <w:p w:rsidR="00E31B8C" w:rsidRPr="00CB0C0D" w:rsidRDefault="00E31B8C" w:rsidP="00E31B8C">
      <w:pPr>
        <w:rPr>
          <w:lang w:val="es-ES_tradnl"/>
        </w:rPr>
      </w:pPr>
      <w:r w:rsidRPr="00CB0C0D">
        <w:rPr>
          <w:lang w:val="es-ES_tradnl"/>
        </w:rPr>
        <w:t>En la Recomendación UIT-T G.826 se define el segundo con errores como un «periodo de un segundo con uno o más bloques con errores o por lo menos con un defecto». Se define un bloque con errores como un bloque en el cual uno o más bits tienen errores. En el cálculo de ESR se debe considerar únicamente el tiempo disponible:</w:t>
      </w:r>
    </w:p>
    <w:p w:rsidR="00E31B8C" w:rsidRPr="00487329" w:rsidRDefault="00E31B8C" w:rsidP="00E31B8C">
      <w:pPr>
        <w:pStyle w:val="Blanc"/>
        <w:rPr>
          <w:lang w:val="es-ES_tradnl"/>
        </w:rPr>
      </w:pPr>
    </w:p>
    <w:p w:rsidR="00E31B8C" w:rsidRPr="00CB0C0D" w:rsidRDefault="00E31B8C" w:rsidP="00E31B8C">
      <w:pPr>
        <w:pStyle w:val="Equation"/>
        <w:rPr>
          <w:lang w:val="es-ES_tradnl"/>
        </w:rPr>
      </w:pPr>
      <w:r w:rsidRPr="00CB0C0D">
        <w:rPr>
          <w:lang w:val="es-ES_tradnl"/>
        </w:rPr>
        <w:tab/>
      </w:r>
      <w:r w:rsidRPr="00CB0C0D">
        <w:rPr>
          <w:lang w:val="es-ES_tradnl"/>
        </w:rPr>
        <w:tab/>
      </w:r>
      <w:r w:rsidRPr="000A69EB">
        <w:rPr>
          <w:position w:val="-28"/>
        </w:rPr>
        <w:object w:dxaOrig="1460" w:dyaOrig="639">
          <v:shape id="_x0000_i1027" type="#_x0000_t75" style="width:72.6pt;height:32.4pt" o:ole="">
            <v:imagedata r:id="rId16" o:title=""/>
          </v:shape>
          <o:OLEObject Type="Embed" ProgID="Equation.3" ShapeID="_x0000_i1027" DrawAspect="Content" ObjectID="_1339418969" r:id="rId17"/>
        </w:object>
      </w:r>
      <w:r w:rsidRPr="00CB0C0D">
        <w:rPr>
          <w:lang w:val="es-ES_tradnl"/>
        </w:rPr>
        <w:tab/>
        <w:t>(3)</w:t>
      </w:r>
    </w:p>
    <w:p w:rsidR="00E31B8C" w:rsidRPr="00487329" w:rsidRDefault="00E31B8C" w:rsidP="00E31B8C">
      <w:pPr>
        <w:pStyle w:val="Blanc"/>
        <w:rPr>
          <w:lang w:val="es-ES_tradnl"/>
        </w:rPr>
      </w:pPr>
    </w:p>
    <w:p w:rsidR="00E31B8C" w:rsidRPr="00CB0C0D" w:rsidRDefault="00E31B8C" w:rsidP="00E31B8C">
      <w:pPr>
        <w:rPr>
          <w:lang w:val="es-ES_tradnl"/>
        </w:rPr>
      </w:pPr>
      <w:r w:rsidRPr="00CB0C0D">
        <w:rPr>
          <w:lang w:val="es-ES_tradnl"/>
        </w:rPr>
        <w:t xml:space="preserve">donde </w:t>
      </w:r>
      <w:r w:rsidRPr="00CB0C0D">
        <w:rPr>
          <w:i/>
          <w:iCs/>
          <w:lang w:val="es-ES_tradnl"/>
        </w:rPr>
        <w:t>ES</w:t>
      </w:r>
      <w:r w:rsidRPr="00CB0C0D">
        <w:rPr>
          <w:lang w:val="es-ES_tradnl"/>
        </w:rPr>
        <w:t xml:space="preserve"> es el número de segundos con errores durante el tiempo disponible.</w:t>
      </w:r>
    </w:p>
    <w:p w:rsidR="00E31B8C" w:rsidRPr="00CB0C0D" w:rsidRDefault="00E31B8C" w:rsidP="00E31B8C">
      <w:pPr>
        <w:rPr>
          <w:lang w:val="es-ES_tradnl"/>
        </w:rPr>
      </w:pPr>
      <w:r w:rsidRPr="00CB0C0D">
        <w:rPr>
          <w:lang w:val="es-ES_tradnl"/>
        </w:rPr>
        <w:lastRenderedPageBreak/>
        <w:t>El número de segundos con errores durante el tiempo disponible puede calcularse de la manera siguiente:</w:t>
      </w:r>
    </w:p>
    <w:p w:rsidR="00E31B8C" w:rsidRPr="00CB0C0D" w:rsidRDefault="00E31B8C" w:rsidP="00E31B8C">
      <w:pPr>
        <w:pStyle w:val="Equation"/>
        <w:rPr>
          <w:lang w:val="es-ES_tradnl"/>
        </w:rPr>
      </w:pPr>
      <w:r w:rsidRPr="00CB0C0D">
        <w:rPr>
          <w:lang w:val="es-ES_tradnl"/>
        </w:rPr>
        <w:tab/>
      </w:r>
      <w:r w:rsidRPr="00CB0C0D">
        <w:rPr>
          <w:lang w:val="es-ES_tradnl"/>
        </w:rPr>
        <w:tab/>
      </w:r>
      <w:r w:rsidRPr="000A69EB">
        <w:rPr>
          <w:position w:val="-32"/>
        </w:rPr>
        <w:object w:dxaOrig="3220" w:dyaOrig="760">
          <v:shape id="_x0000_i1028" type="#_x0000_t75" style="width:161.4pt;height:38.4pt" o:ole="">
            <v:imagedata r:id="rId18" o:title=""/>
          </v:shape>
          <o:OLEObject Type="Embed" ProgID="Equation.3" ShapeID="_x0000_i1028" DrawAspect="Content" ObjectID="_1339418970" r:id="rId19"/>
        </w:object>
      </w:r>
      <w:r w:rsidRPr="00CB0C0D">
        <w:rPr>
          <w:lang w:val="es-ES_tradnl"/>
        </w:rPr>
        <w:tab/>
        <w:t>(4)</w:t>
      </w:r>
    </w:p>
    <w:p w:rsidR="00E31B8C" w:rsidRPr="00CB0C0D" w:rsidRDefault="00E31B8C" w:rsidP="00E31B8C">
      <w:pPr>
        <w:rPr>
          <w:lang w:val="es-ES_tradnl"/>
        </w:rPr>
      </w:pPr>
      <w:r w:rsidRPr="00CB0C0D">
        <w:rPr>
          <w:lang w:val="es-ES_tradnl"/>
        </w:rPr>
        <w:t>donde:</w:t>
      </w:r>
    </w:p>
    <w:p w:rsidR="00E31B8C" w:rsidRPr="00487329" w:rsidRDefault="00E31B8C" w:rsidP="00E31B8C">
      <w:pPr>
        <w:pStyle w:val="Equationlegend"/>
        <w:rPr>
          <w:lang w:val="es-ES_tradnl"/>
        </w:rPr>
      </w:pPr>
      <w:r w:rsidRPr="00487329">
        <w:rPr>
          <w:lang w:val="es-ES_tradnl"/>
        </w:rPr>
        <w:tab/>
      </w:r>
      <w:r w:rsidRPr="00487329">
        <w:rPr>
          <w:i/>
          <w:iCs/>
          <w:lang w:val="es-ES_tradnl"/>
        </w:rPr>
        <w:t>b</w:t>
      </w:r>
      <w:r w:rsidRPr="00487329">
        <w:rPr>
          <w:rFonts w:ascii="Tms Rmn" w:hAnsi="Tms Rmn"/>
          <w:sz w:val="12"/>
          <w:lang w:val="es-ES_tradnl"/>
        </w:rPr>
        <w:t> </w:t>
      </w:r>
      <w:r w:rsidRPr="00487329">
        <w:rPr>
          <w:rFonts w:ascii="Tms Rmn" w:hAnsi="Tms Rmn"/>
          <w:lang w:val="es-ES_tradnl"/>
        </w:rPr>
        <w:t>:</w:t>
      </w:r>
      <w:r w:rsidRPr="00487329">
        <w:rPr>
          <w:lang w:val="es-ES_tradnl"/>
        </w:rPr>
        <w:tab/>
        <w:t xml:space="preserve">mayor valor de </w:t>
      </w:r>
      <w:r w:rsidRPr="00487329">
        <w:rPr>
          <w:i/>
          <w:iCs/>
          <w:lang w:val="es-ES_tradnl"/>
        </w:rPr>
        <w:t>C</w:t>
      </w:r>
      <w:r w:rsidRPr="00487329">
        <w:rPr>
          <w:lang w:val="es-ES_tradnl"/>
        </w:rPr>
        <w:t>/(</w:t>
      </w:r>
      <w:r w:rsidRPr="00487329">
        <w:rPr>
          <w:i/>
          <w:iCs/>
          <w:lang w:val="es-ES_tradnl"/>
        </w:rPr>
        <w:t>N</w:t>
      </w:r>
      <w:r w:rsidRPr="00487329">
        <w:rPr>
          <w:lang w:val="es-ES_tradnl"/>
        </w:rPr>
        <w:t> </w:t>
      </w:r>
      <w:r>
        <w:rPr>
          <w:rFonts w:ascii="Symbol" w:hAnsi="Symbol"/>
        </w:rPr>
        <w:t></w:t>
      </w:r>
      <w:r w:rsidRPr="00487329">
        <w:rPr>
          <w:lang w:val="es-ES_tradnl"/>
        </w:rPr>
        <w:t> </w:t>
      </w:r>
      <w:r w:rsidRPr="00487329">
        <w:rPr>
          <w:i/>
          <w:iCs/>
          <w:lang w:val="es-ES_tradnl"/>
        </w:rPr>
        <w:t>I</w:t>
      </w:r>
      <w:r w:rsidRPr="00487329">
        <w:rPr>
          <w:rFonts w:ascii="Tms Rmn" w:hAnsi="Tms Rmn"/>
          <w:sz w:val="12"/>
          <w:lang w:val="es-ES_tradnl"/>
        </w:rPr>
        <w:t> </w:t>
      </w:r>
      <w:r w:rsidRPr="00487329">
        <w:rPr>
          <w:lang w:val="es-ES_tradnl"/>
        </w:rPr>
        <w:t>) representado en la distribución</w:t>
      </w:r>
    </w:p>
    <w:p w:rsidR="00E31B8C" w:rsidRPr="00487329" w:rsidRDefault="00E31B8C" w:rsidP="00E31B8C">
      <w:pPr>
        <w:pStyle w:val="Equationlegend"/>
        <w:rPr>
          <w:lang w:val="es-ES_tradnl"/>
        </w:rPr>
      </w:pPr>
      <w:r w:rsidRPr="00487329">
        <w:rPr>
          <w:lang w:val="es-ES_tradnl"/>
        </w:rPr>
        <w:tab/>
      </w:r>
      <w:r w:rsidRPr="00487329">
        <w:rPr>
          <w:i/>
          <w:lang w:val="es-ES_tradnl"/>
        </w:rPr>
        <w:t>BlockE</w:t>
      </w:r>
      <w:r w:rsidRPr="00487329">
        <w:rPr>
          <w:i/>
          <w:iCs/>
          <w:position w:val="-4"/>
          <w:sz w:val="16"/>
          <w:lang w:val="es-ES_tradnl"/>
        </w:rPr>
        <w:t>s</w:t>
      </w:r>
      <w:r w:rsidRPr="00487329">
        <w:rPr>
          <w:rFonts w:ascii="Tms Rmn" w:hAnsi="Tms Rmn"/>
          <w:iCs/>
          <w:sz w:val="4"/>
          <w:lang w:val="es-ES_tradnl"/>
        </w:rPr>
        <w:t> </w:t>
      </w:r>
      <w:r w:rsidRPr="00487329">
        <w:rPr>
          <w:lang w:val="es-ES_tradnl"/>
        </w:rPr>
        <w:t>(</w:t>
      </w:r>
      <w:r w:rsidRPr="00487329">
        <w:rPr>
          <w:i/>
          <w:lang w:val="es-ES_tradnl"/>
        </w:rPr>
        <w:t>i</w:t>
      </w:r>
      <w:r w:rsidRPr="00487329">
        <w:rPr>
          <w:rFonts w:ascii="Tms Rmn" w:hAnsi="Tms Rmn"/>
          <w:iCs/>
          <w:sz w:val="4"/>
          <w:lang w:val="es-ES_tradnl"/>
        </w:rPr>
        <w:t> </w:t>
      </w:r>
      <w:r w:rsidRPr="00487329">
        <w:rPr>
          <w:lang w:val="es-ES_tradnl"/>
        </w:rPr>
        <w:t>)</w:t>
      </w:r>
      <w:r w:rsidRPr="00487329">
        <w:rPr>
          <w:rFonts w:ascii="Tms Rmn" w:hAnsi="Tms Rmn"/>
          <w:iCs/>
          <w:sz w:val="12"/>
          <w:lang w:val="es-ES_tradnl"/>
        </w:rPr>
        <w:t> </w:t>
      </w:r>
      <w:r w:rsidRPr="00487329">
        <w:rPr>
          <w:rFonts w:ascii="Tms Rmn" w:hAnsi="Tms Rmn"/>
          <w:lang w:val="es-ES_tradnl"/>
        </w:rPr>
        <w:t>:</w:t>
      </w:r>
      <w:r w:rsidRPr="00487329">
        <w:rPr>
          <w:rFonts w:ascii="Tms Rmn" w:hAnsi="Tms Rmn"/>
          <w:lang w:val="es-ES_tradnl"/>
        </w:rPr>
        <w:tab/>
      </w:r>
      <w:r w:rsidRPr="00487329">
        <w:rPr>
          <w:lang w:val="es-ES_tradnl"/>
        </w:rPr>
        <w:t xml:space="preserve">número medio de errores en los bloques por segundo para </w:t>
      </w:r>
      <w:r w:rsidRPr="00487329">
        <w:rPr>
          <w:i/>
          <w:iCs/>
          <w:lang w:val="es-ES_tradnl"/>
        </w:rPr>
        <w:t>C</w:t>
      </w:r>
      <w:r w:rsidRPr="00487329">
        <w:rPr>
          <w:lang w:val="es-ES_tradnl"/>
        </w:rPr>
        <w:t>/(</w:t>
      </w:r>
      <w:r w:rsidRPr="00487329">
        <w:rPr>
          <w:i/>
          <w:iCs/>
          <w:lang w:val="es-ES_tradnl"/>
        </w:rPr>
        <w:t>N</w:t>
      </w:r>
      <w:r w:rsidRPr="00487329">
        <w:rPr>
          <w:lang w:val="es-ES_tradnl"/>
        </w:rPr>
        <w:t> </w:t>
      </w:r>
      <w:r>
        <w:rPr>
          <w:rFonts w:ascii="Symbol" w:hAnsi="Symbol"/>
        </w:rPr>
        <w:t></w:t>
      </w:r>
      <w:r w:rsidRPr="00487329">
        <w:rPr>
          <w:lang w:val="es-ES_tradnl"/>
        </w:rPr>
        <w:t> </w:t>
      </w:r>
      <w:r w:rsidRPr="00487329">
        <w:rPr>
          <w:i/>
          <w:iCs/>
          <w:lang w:val="es-ES_tradnl"/>
        </w:rPr>
        <w:t>I</w:t>
      </w:r>
      <w:r w:rsidRPr="00487329">
        <w:rPr>
          <w:rFonts w:ascii="Tms Rmn" w:hAnsi="Tms Rmn"/>
          <w:sz w:val="12"/>
          <w:lang w:val="es-ES_tradnl"/>
        </w:rPr>
        <w:t> </w:t>
      </w:r>
      <w:r w:rsidRPr="00487329">
        <w:rPr>
          <w:lang w:val="es-ES_tradnl"/>
        </w:rPr>
        <w:t>) </w:t>
      </w:r>
      <w:r>
        <w:rPr>
          <w:rFonts w:ascii="Symbol" w:hAnsi="Symbol"/>
        </w:rPr>
        <w:t></w:t>
      </w:r>
      <w:r w:rsidRPr="00487329">
        <w:rPr>
          <w:lang w:val="es-ES_tradnl"/>
        </w:rPr>
        <w:t> </w:t>
      </w:r>
      <w:r w:rsidRPr="00487329">
        <w:rPr>
          <w:i/>
          <w:iCs/>
          <w:lang w:val="es-ES_tradnl"/>
        </w:rPr>
        <w:t>i</w:t>
      </w:r>
      <w:r w:rsidRPr="00487329">
        <w:rPr>
          <w:lang w:val="es-ES_tradnl"/>
        </w:rPr>
        <w:t>.</w:t>
      </w:r>
    </w:p>
    <w:p w:rsidR="00E31B8C" w:rsidRPr="008D1476" w:rsidRDefault="00E31B8C" w:rsidP="00E31B8C">
      <w:pPr>
        <w:pStyle w:val="Equationlegend"/>
        <w:rPr>
          <w:lang w:val="es-ES"/>
        </w:rPr>
      </w:pPr>
      <w:r w:rsidRPr="00487329">
        <w:rPr>
          <w:lang w:val="es-ES_tradnl"/>
        </w:rPr>
        <w:tab/>
      </w:r>
      <w:r w:rsidRPr="00487329">
        <w:rPr>
          <w:lang w:val="es-ES_tradnl"/>
        </w:rPr>
        <w:tab/>
      </w:r>
      <w:r w:rsidRPr="008D1476">
        <w:rPr>
          <w:lang w:val="es-ES"/>
        </w:rPr>
        <w:t xml:space="preserve">Obsérvese que si el número medio de errores en los bloques por segundo es superior a 1, se considera que, para </w:t>
      </w:r>
      <w:r w:rsidRPr="008D1476">
        <w:rPr>
          <w:i/>
          <w:iCs/>
          <w:lang w:val="es-ES"/>
        </w:rPr>
        <w:t>C</w:t>
      </w:r>
      <w:r w:rsidRPr="008D1476">
        <w:rPr>
          <w:lang w:val="es-ES"/>
        </w:rPr>
        <w:t>/(</w:t>
      </w:r>
      <w:r w:rsidRPr="008D1476">
        <w:rPr>
          <w:i/>
          <w:iCs/>
          <w:lang w:val="es-ES"/>
        </w:rPr>
        <w:t>N</w:t>
      </w:r>
      <w:r w:rsidRPr="008D1476">
        <w:rPr>
          <w:lang w:val="es-ES"/>
        </w:rPr>
        <w:t> </w:t>
      </w:r>
      <w:r>
        <w:rPr>
          <w:rFonts w:ascii="Symbol" w:hAnsi="Symbol"/>
        </w:rPr>
        <w:t></w:t>
      </w:r>
      <w:r w:rsidRPr="008D1476">
        <w:rPr>
          <w:lang w:val="es-ES"/>
        </w:rPr>
        <w:t> </w:t>
      </w:r>
      <w:r w:rsidRPr="008D1476">
        <w:rPr>
          <w:i/>
          <w:iCs/>
          <w:lang w:val="es-ES"/>
        </w:rPr>
        <w:t>I</w:t>
      </w:r>
      <w:r w:rsidRPr="008D1476">
        <w:rPr>
          <w:rFonts w:ascii="Tms Rmn" w:hAnsi="Tms Rmn"/>
          <w:sz w:val="12"/>
          <w:lang w:val="es-ES"/>
        </w:rPr>
        <w:t> </w:t>
      </w:r>
      <w:r w:rsidRPr="008D1476">
        <w:rPr>
          <w:lang w:val="es-ES"/>
        </w:rPr>
        <w:t>) </w:t>
      </w:r>
      <w:r>
        <w:rPr>
          <w:rFonts w:ascii="Symbol" w:hAnsi="Symbol"/>
        </w:rPr>
        <w:t></w:t>
      </w:r>
      <w:r w:rsidRPr="008D1476">
        <w:rPr>
          <w:lang w:val="es-ES"/>
        </w:rPr>
        <w:t> </w:t>
      </w:r>
      <w:r w:rsidRPr="008D1476">
        <w:rPr>
          <w:i/>
          <w:iCs/>
          <w:lang w:val="es-ES"/>
        </w:rPr>
        <w:t>i</w:t>
      </w:r>
      <w:r w:rsidRPr="008D1476">
        <w:rPr>
          <w:lang w:val="es-ES"/>
        </w:rPr>
        <w:t>, todos los segundos tienen errores</w:t>
      </w:r>
    </w:p>
    <w:p w:rsidR="00E31B8C" w:rsidRPr="008D1476" w:rsidRDefault="00E31B8C" w:rsidP="00E31B8C">
      <w:pPr>
        <w:pStyle w:val="Blanc"/>
        <w:rPr>
          <w:lang w:val="es-ES"/>
        </w:rPr>
      </w:pPr>
    </w:p>
    <w:p w:rsidR="00E31B8C" w:rsidRPr="00CB0C0D" w:rsidRDefault="00E31B8C" w:rsidP="00E31B8C">
      <w:pPr>
        <w:pStyle w:val="Equation"/>
        <w:rPr>
          <w:lang w:val="es-ES_tradnl"/>
        </w:rPr>
      </w:pPr>
      <w:r w:rsidRPr="00CB0C0D">
        <w:rPr>
          <w:lang w:val="es-ES_tradnl"/>
        </w:rPr>
        <w:tab/>
      </w:r>
      <w:r w:rsidRPr="00CB0C0D">
        <w:rPr>
          <w:lang w:val="es-ES_tradnl"/>
        </w:rPr>
        <w:tab/>
      </w:r>
      <w:r w:rsidRPr="000A69EB">
        <w:rPr>
          <w:position w:val="-22"/>
        </w:rPr>
        <w:object w:dxaOrig="3760" w:dyaOrig="560">
          <v:shape id="_x0000_i1029" type="#_x0000_t75" style="width:187.8pt;height:28.2pt" o:ole="">
            <v:imagedata r:id="rId20" o:title=""/>
          </v:shape>
          <o:OLEObject Type="Embed" ProgID="Equation.3" ShapeID="_x0000_i1029" DrawAspect="Content" ObjectID="_1339418971" r:id="rId21"/>
        </w:object>
      </w:r>
      <w:r w:rsidRPr="00CB0C0D">
        <w:rPr>
          <w:lang w:val="es-ES_tradnl"/>
        </w:rPr>
        <w:tab/>
        <w:t>(5)</w:t>
      </w:r>
    </w:p>
    <w:p w:rsidR="00E31B8C" w:rsidRPr="00487329" w:rsidRDefault="00E31B8C" w:rsidP="00E31B8C">
      <w:pPr>
        <w:pStyle w:val="Blanc"/>
        <w:rPr>
          <w:lang w:val="es-ES_tradnl"/>
        </w:rPr>
      </w:pPr>
    </w:p>
    <w:p w:rsidR="00E31B8C" w:rsidRPr="00CB0C0D" w:rsidRDefault="00E31B8C" w:rsidP="00E31B8C">
      <w:pPr>
        <w:keepNext/>
        <w:rPr>
          <w:lang w:val="es-ES_tradnl"/>
        </w:rPr>
      </w:pPr>
      <w:r w:rsidRPr="00CB0C0D">
        <w:rPr>
          <w:lang w:val="es-ES_tradnl"/>
        </w:rPr>
        <w:t>donde:</w:t>
      </w:r>
    </w:p>
    <w:p w:rsidR="00E31B8C" w:rsidRPr="00487329" w:rsidRDefault="00E31B8C" w:rsidP="00E31B8C">
      <w:pPr>
        <w:pStyle w:val="Equationlegend"/>
        <w:rPr>
          <w:lang w:val="es-ES_tradnl"/>
        </w:rPr>
      </w:pPr>
      <w:r w:rsidRPr="00487329">
        <w:rPr>
          <w:lang w:val="es-ES_tradnl"/>
        </w:rPr>
        <w:tab/>
      </w:r>
      <w:r w:rsidRPr="00487329">
        <w:rPr>
          <w:i/>
          <w:iCs/>
          <w:lang w:val="es-ES_tradnl"/>
        </w:rPr>
        <w:t>N</w:t>
      </w:r>
      <w:r w:rsidRPr="00487329">
        <w:rPr>
          <w:i/>
          <w:iCs/>
          <w:position w:val="-4"/>
          <w:sz w:val="16"/>
          <w:lang w:val="es-ES_tradnl"/>
        </w:rPr>
        <w:t>Blocks/s</w:t>
      </w:r>
      <w:r w:rsidRPr="00487329">
        <w:rPr>
          <w:rFonts w:ascii="Tms Rmn" w:hAnsi="Tms Rmn"/>
          <w:sz w:val="12"/>
          <w:lang w:val="es-ES_tradnl"/>
        </w:rPr>
        <w:t> </w:t>
      </w:r>
      <w:r w:rsidRPr="00487329">
        <w:rPr>
          <w:lang w:val="es-ES_tradnl"/>
        </w:rPr>
        <w:t>:</w:t>
      </w:r>
      <w:r w:rsidRPr="00487329">
        <w:rPr>
          <w:rFonts w:ascii="Tms Rmn" w:hAnsi="Tms Rmn"/>
          <w:sz w:val="12"/>
          <w:lang w:val="es-ES_tradnl"/>
        </w:rPr>
        <w:tab/>
      </w:r>
      <w:r w:rsidRPr="00487329">
        <w:rPr>
          <w:lang w:val="es-ES_tradnl"/>
        </w:rPr>
        <w:t>número de bloques por segundo</w:t>
      </w:r>
    </w:p>
    <w:p w:rsidR="00E31B8C" w:rsidRPr="00715741" w:rsidRDefault="00E31B8C" w:rsidP="00E31B8C">
      <w:pPr>
        <w:pStyle w:val="Equationlegend"/>
        <w:rPr>
          <w:lang w:val="es-ES"/>
        </w:rPr>
      </w:pPr>
      <w:r w:rsidRPr="00487329">
        <w:rPr>
          <w:lang w:val="es-ES_tradnl"/>
        </w:rPr>
        <w:tab/>
      </w:r>
      <w:r w:rsidRPr="00715741">
        <w:rPr>
          <w:i/>
          <w:iCs/>
          <w:lang w:val="es-ES"/>
        </w:rPr>
        <w:t>BE</w:t>
      </w:r>
      <w:r w:rsidRPr="00715741">
        <w:rPr>
          <w:i/>
          <w:iCs/>
          <w:position w:val="-4"/>
          <w:sz w:val="16"/>
          <w:lang w:val="es-ES"/>
        </w:rPr>
        <w:t>Block</w:t>
      </w:r>
      <w:r w:rsidRPr="00715741">
        <w:rPr>
          <w:rFonts w:ascii="Tms Rmn" w:hAnsi="Tms Rmn"/>
          <w:iCs/>
          <w:sz w:val="4"/>
          <w:lang w:val="es-ES"/>
        </w:rPr>
        <w:t> </w:t>
      </w:r>
      <w:r w:rsidRPr="00715741">
        <w:rPr>
          <w:lang w:val="es-ES"/>
        </w:rPr>
        <w:t>(</w:t>
      </w:r>
      <w:r w:rsidRPr="00715741">
        <w:rPr>
          <w:i/>
          <w:lang w:val="es-ES"/>
        </w:rPr>
        <w:t>i</w:t>
      </w:r>
      <w:r w:rsidRPr="00715741">
        <w:rPr>
          <w:rFonts w:ascii="Tms Rmn" w:hAnsi="Tms Rmn"/>
          <w:iCs/>
          <w:sz w:val="4"/>
          <w:lang w:val="es-ES"/>
        </w:rPr>
        <w:t> </w:t>
      </w:r>
      <w:r w:rsidRPr="00715741">
        <w:rPr>
          <w:lang w:val="es-ES"/>
        </w:rPr>
        <w:t>)</w:t>
      </w:r>
      <w:r>
        <w:rPr>
          <w:lang w:val="es-ES"/>
        </w:rPr>
        <w:t>:</w:t>
      </w:r>
      <w:r w:rsidRPr="00715741">
        <w:rPr>
          <w:rFonts w:ascii="Tms Rmn" w:hAnsi="Tms Rmn"/>
          <w:sz w:val="12"/>
          <w:lang w:val="es-ES"/>
        </w:rPr>
        <w:tab/>
      </w:r>
      <w:r w:rsidRPr="00715741">
        <w:rPr>
          <w:lang w:val="es-ES"/>
        </w:rPr>
        <w:t xml:space="preserve">número medio de errores en los bits por bloque para </w:t>
      </w:r>
      <w:r w:rsidRPr="00715741">
        <w:rPr>
          <w:i/>
          <w:iCs/>
          <w:lang w:val="es-ES"/>
        </w:rPr>
        <w:t>C</w:t>
      </w:r>
      <w:r w:rsidRPr="00715741">
        <w:rPr>
          <w:lang w:val="es-ES"/>
        </w:rPr>
        <w:t>/(</w:t>
      </w:r>
      <w:r w:rsidRPr="00715741">
        <w:rPr>
          <w:i/>
          <w:iCs/>
          <w:lang w:val="es-ES"/>
        </w:rPr>
        <w:t>N</w:t>
      </w:r>
      <w:r w:rsidRPr="00715741">
        <w:rPr>
          <w:lang w:val="es-ES"/>
        </w:rPr>
        <w:t> </w:t>
      </w:r>
      <w:r>
        <w:rPr>
          <w:rFonts w:ascii="Symbol" w:hAnsi="Symbol"/>
        </w:rPr>
        <w:t></w:t>
      </w:r>
      <w:r w:rsidRPr="00715741">
        <w:rPr>
          <w:lang w:val="es-ES"/>
        </w:rPr>
        <w:t> </w:t>
      </w:r>
      <w:r w:rsidRPr="00715741">
        <w:rPr>
          <w:i/>
          <w:iCs/>
          <w:lang w:val="es-ES"/>
        </w:rPr>
        <w:t>I</w:t>
      </w:r>
      <w:r w:rsidRPr="00715741">
        <w:rPr>
          <w:rFonts w:ascii="Tms Rmn" w:hAnsi="Tms Rmn"/>
          <w:sz w:val="12"/>
          <w:lang w:val="es-ES"/>
        </w:rPr>
        <w:t> </w:t>
      </w:r>
      <w:r w:rsidRPr="00715741">
        <w:rPr>
          <w:lang w:val="es-ES"/>
        </w:rPr>
        <w:t>) </w:t>
      </w:r>
      <w:r>
        <w:rPr>
          <w:rFonts w:ascii="Symbol" w:hAnsi="Symbol"/>
        </w:rPr>
        <w:t></w:t>
      </w:r>
      <w:r w:rsidRPr="00715741">
        <w:rPr>
          <w:lang w:val="es-ES"/>
        </w:rPr>
        <w:t> </w:t>
      </w:r>
      <w:r w:rsidRPr="00715741">
        <w:rPr>
          <w:i/>
          <w:iCs/>
          <w:lang w:val="es-ES"/>
        </w:rPr>
        <w:t>i</w:t>
      </w:r>
      <w:r w:rsidRPr="00715741">
        <w:rPr>
          <w:lang w:val="es-ES"/>
        </w:rPr>
        <w:t xml:space="preserve">. Del mismo modo, si el número medio de errores en los bits en un bloque es mayor a 1, se considera que, para </w:t>
      </w:r>
      <w:r w:rsidRPr="00715741">
        <w:rPr>
          <w:i/>
          <w:iCs/>
          <w:lang w:val="es-ES"/>
        </w:rPr>
        <w:t>C</w:t>
      </w:r>
      <w:r w:rsidRPr="00715741">
        <w:rPr>
          <w:lang w:val="es-ES"/>
        </w:rPr>
        <w:t>/(</w:t>
      </w:r>
      <w:r w:rsidRPr="00715741">
        <w:rPr>
          <w:i/>
          <w:iCs/>
          <w:lang w:val="es-ES"/>
        </w:rPr>
        <w:t>N</w:t>
      </w:r>
      <w:r w:rsidRPr="00715741">
        <w:rPr>
          <w:lang w:val="es-ES"/>
        </w:rPr>
        <w:t> </w:t>
      </w:r>
      <w:r>
        <w:rPr>
          <w:rFonts w:ascii="Symbol" w:hAnsi="Symbol"/>
        </w:rPr>
        <w:t></w:t>
      </w:r>
      <w:r w:rsidRPr="00715741">
        <w:rPr>
          <w:lang w:val="es-ES"/>
        </w:rPr>
        <w:t> </w:t>
      </w:r>
      <w:r w:rsidRPr="00715741">
        <w:rPr>
          <w:i/>
          <w:iCs/>
          <w:lang w:val="es-ES"/>
        </w:rPr>
        <w:t>I</w:t>
      </w:r>
      <w:r w:rsidRPr="00715741">
        <w:rPr>
          <w:rFonts w:ascii="Tms Rmn" w:hAnsi="Tms Rmn"/>
          <w:sz w:val="12"/>
          <w:lang w:val="es-ES"/>
        </w:rPr>
        <w:t> </w:t>
      </w:r>
      <w:r w:rsidRPr="00715741">
        <w:rPr>
          <w:lang w:val="es-ES"/>
        </w:rPr>
        <w:t>) </w:t>
      </w:r>
      <w:r>
        <w:rPr>
          <w:rFonts w:ascii="Symbol" w:hAnsi="Symbol"/>
        </w:rPr>
        <w:t></w:t>
      </w:r>
      <w:r w:rsidRPr="00715741">
        <w:rPr>
          <w:lang w:val="es-ES"/>
        </w:rPr>
        <w:t> </w:t>
      </w:r>
      <w:r w:rsidRPr="00715741">
        <w:rPr>
          <w:i/>
          <w:iCs/>
          <w:lang w:val="es-ES"/>
        </w:rPr>
        <w:t>i</w:t>
      </w:r>
      <w:r w:rsidRPr="00715741">
        <w:rPr>
          <w:lang w:val="es-ES"/>
        </w:rPr>
        <w:t>, todos los bloques tienen errores</w:t>
      </w:r>
    </w:p>
    <w:p w:rsidR="00E31B8C" w:rsidRPr="00715741" w:rsidRDefault="00E31B8C" w:rsidP="00E31B8C">
      <w:pPr>
        <w:pStyle w:val="Blanc"/>
        <w:rPr>
          <w:lang w:val="es-ES"/>
        </w:rPr>
      </w:pPr>
    </w:p>
    <w:p w:rsidR="00E31B8C" w:rsidRPr="00CB0C0D" w:rsidRDefault="00E31B8C" w:rsidP="00E31B8C">
      <w:pPr>
        <w:pStyle w:val="Equation"/>
        <w:rPr>
          <w:lang w:val="es-ES_tradnl"/>
        </w:rPr>
      </w:pPr>
      <w:r w:rsidRPr="00CB0C0D">
        <w:rPr>
          <w:lang w:val="es-ES_tradnl"/>
        </w:rPr>
        <w:tab/>
      </w:r>
      <w:r w:rsidRPr="00CB0C0D">
        <w:rPr>
          <w:lang w:val="es-ES_tradnl"/>
        </w:rPr>
        <w:tab/>
      </w:r>
      <w:r w:rsidRPr="000A69EB">
        <w:rPr>
          <w:position w:val="-10"/>
        </w:rPr>
        <w:object w:dxaOrig="2620" w:dyaOrig="320">
          <v:shape id="_x0000_i1030" type="#_x0000_t75" style="width:131.4pt;height:16.2pt" o:ole="">
            <v:imagedata r:id="rId22" o:title=""/>
          </v:shape>
          <o:OLEObject Type="Embed" ProgID="Equation.3" ShapeID="_x0000_i1030" DrawAspect="Content" ObjectID="_1339418972" r:id="rId23"/>
        </w:object>
      </w:r>
      <w:r w:rsidRPr="00CB0C0D">
        <w:rPr>
          <w:lang w:val="es-ES_tradnl"/>
        </w:rPr>
        <w:tab/>
        <w:t>(6)</w:t>
      </w:r>
    </w:p>
    <w:p w:rsidR="00E31B8C" w:rsidRPr="00487329" w:rsidRDefault="00E31B8C" w:rsidP="00E31B8C">
      <w:pPr>
        <w:pStyle w:val="Blanc"/>
        <w:rPr>
          <w:lang w:val="es-ES_tradnl"/>
        </w:rPr>
      </w:pPr>
    </w:p>
    <w:p w:rsidR="00E31B8C" w:rsidRPr="00CB0C0D" w:rsidRDefault="00E31B8C" w:rsidP="00E31B8C">
      <w:pPr>
        <w:pStyle w:val="enumlev1"/>
        <w:rPr>
          <w:lang w:val="es-ES_tradnl"/>
        </w:rPr>
      </w:pPr>
      <w:r w:rsidRPr="00CB0C0D">
        <w:rPr>
          <w:lang w:val="es-ES_tradnl"/>
        </w:rPr>
        <w:tab/>
        <w:t>donde:</w:t>
      </w:r>
    </w:p>
    <w:p w:rsidR="00E31B8C" w:rsidRPr="00487329" w:rsidRDefault="00E31B8C" w:rsidP="00E31B8C">
      <w:pPr>
        <w:pStyle w:val="Equationlegend"/>
        <w:rPr>
          <w:lang w:val="es-ES_tradnl"/>
        </w:rPr>
      </w:pPr>
      <w:r w:rsidRPr="00487329">
        <w:rPr>
          <w:lang w:val="es-ES_tradnl"/>
        </w:rPr>
        <w:tab/>
      </w:r>
      <w:r w:rsidRPr="00487329">
        <w:rPr>
          <w:i/>
          <w:iCs/>
          <w:lang w:val="es-ES_tradnl"/>
        </w:rPr>
        <w:t>BER</w:t>
      </w:r>
      <w:r w:rsidRPr="00487329">
        <w:rPr>
          <w:i/>
          <w:iCs/>
          <w:position w:val="-4"/>
          <w:sz w:val="16"/>
          <w:lang w:val="es-ES_tradnl"/>
        </w:rPr>
        <w:t>i</w:t>
      </w:r>
      <w:r w:rsidRPr="00487329">
        <w:rPr>
          <w:rFonts w:ascii="Tms Rmn" w:hAnsi="Tms Rmn"/>
          <w:sz w:val="12"/>
          <w:lang w:val="es-ES_tradnl"/>
        </w:rPr>
        <w:t> </w:t>
      </w:r>
      <w:r w:rsidRPr="00487329">
        <w:rPr>
          <w:rFonts w:ascii="Tms Rmn" w:hAnsi="Tms Rmn"/>
          <w:lang w:val="es-ES_tradnl"/>
        </w:rPr>
        <w:t>:</w:t>
      </w:r>
      <w:r w:rsidRPr="00487329">
        <w:rPr>
          <w:rFonts w:ascii="Tms Rmn" w:hAnsi="Tms Rmn"/>
          <w:lang w:val="es-ES_tradnl"/>
        </w:rPr>
        <w:tab/>
      </w:r>
      <w:r w:rsidRPr="00487329">
        <w:rPr>
          <w:lang w:val="es-ES_tradnl"/>
        </w:rPr>
        <w:t xml:space="preserve">proporción de bits erróneos correspondientes a </w:t>
      </w:r>
      <w:r w:rsidRPr="00487329">
        <w:rPr>
          <w:i/>
          <w:iCs/>
          <w:lang w:val="es-ES_tradnl"/>
        </w:rPr>
        <w:t>C</w:t>
      </w:r>
      <w:r w:rsidRPr="00487329">
        <w:rPr>
          <w:lang w:val="es-ES_tradnl"/>
        </w:rPr>
        <w:t>/(</w:t>
      </w:r>
      <w:r w:rsidRPr="00487329">
        <w:rPr>
          <w:i/>
          <w:iCs/>
          <w:lang w:val="es-ES_tradnl"/>
        </w:rPr>
        <w:t>N</w:t>
      </w:r>
      <w:r w:rsidRPr="00487329">
        <w:rPr>
          <w:lang w:val="es-ES_tradnl"/>
        </w:rPr>
        <w:t> </w:t>
      </w:r>
      <w:r>
        <w:rPr>
          <w:rFonts w:ascii="Symbol" w:hAnsi="Symbol"/>
        </w:rPr>
        <w:t></w:t>
      </w:r>
      <w:r w:rsidRPr="00487329">
        <w:rPr>
          <w:lang w:val="es-ES_tradnl"/>
        </w:rPr>
        <w:t> </w:t>
      </w:r>
      <w:r w:rsidRPr="00487329">
        <w:rPr>
          <w:i/>
          <w:iCs/>
          <w:lang w:val="es-ES_tradnl"/>
        </w:rPr>
        <w:t>I</w:t>
      </w:r>
      <w:r w:rsidRPr="00487329">
        <w:rPr>
          <w:rFonts w:ascii="Tms Rmn" w:hAnsi="Tms Rmn"/>
          <w:sz w:val="12"/>
          <w:lang w:val="es-ES_tradnl"/>
        </w:rPr>
        <w:t> </w:t>
      </w:r>
      <w:r w:rsidRPr="00487329">
        <w:rPr>
          <w:lang w:val="es-ES_tradnl"/>
        </w:rPr>
        <w:t>) </w:t>
      </w:r>
      <w:r>
        <w:rPr>
          <w:rFonts w:ascii="Symbol" w:hAnsi="Symbol"/>
        </w:rPr>
        <w:t></w:t>
      </w:r>
      <w:r w:rsidRPr="00487329">
        <w:rPr>
          <w:lang w:val="es-ES_tradnl"/>
        </w:rPr>
        <w:t> </w:t>
      </w:r>
      <w:r w:rsidRPr="00487329">
        <w:rPr>
          <w:i/>
          <w:iCs/>
          <w:lang w:val="es-ES_tradnl"/>
        </w:rPr>
        <w:t>i</w:t>
      </w:r>
    </w:p>
    <w:p w:rsidR="00E31B8C" w:rsidRPr="00487329" w:rsidRDefault="00E31B8C" w:rsidP="00E31B8C">
      <w:pPr>
        <w:pStyle w:val="Equationlegend"/>
        <w:rPr>
          <w:lang w:val="es-ES_tradnl"/>
        </w:rPr>
      </w:pPr>
      <w:r w:rsidRPr="00487329">
        <w:rPr>
          <w:lang w:val="es-ES_tradnl"/>
        </w:rPr>
        <w:tab/>
      </w:r>
      <w:r w:rsidRPr="00487329">
        <w:rPr>
          <w:i/>
          <w:iCs/>
          <w:lang w:val="es-ES_tradnl"/>
        </w:rPr>
        <w:t>N</w:t>
      </w:r>
      <w:r w:rsidRPr="00487329">
        <w:rPr>
          <w:i/>
          <w:iCs/>
          <w:position w:val="-4"/>
          <w:sz w:val="16"/>
          <w:lang w:val="es-ES_tradnl"/>
        </w:rPr>
        <w:t>B/block</w:t>
      </w:r>
      <w:r w:rsidRPr="00487329">
        <w:rPr>
          <w:rFonts w:ascii="Tms Rmn" w:hAnsi="Tms Rmn"/>
          <w:sz w:val="12"/>
          <w:lang w:val="es-ES_tradnl"/>
        </w:rPr>
        <w:t> </w:t>
      </w:r>
      <w:r w:rsidRPr="00487329">
        <w:rPr>
          <w:rFonts w:ascii="Tms Rmn" w:hAnsi="Tms Rmn"/>
          <w:lang w:val="es-ES_tradnl"/>
        </w:rPr>
        <w:t>:</w:t>
      </w:r>
      <w:r w:rsidRPr="00487329">
        <w:rPr>
          <w:rFonts w:ascii="Tms Rmn" w:hAnsi="Tms Rmn"/>
          <w:lang w:val="es-ES_tradnl"/>
        </w:rPr>
        <w:tab/>
      </w:r>
      <w:r w:rsidRPr="00487329">
        <w:rPr>
          <w:lang w:val="es-ES_tradnl"/>
        </w:rPr>
        <w:t>número de bits por bloque.</w:t>
      </w:r>
    </w:p>
    <w:p w:rsidR="00E31B8C" w:rsidRPr="00CB0C0D" w:rsidRDefault="00E31B8C" w:rsidP="00E31B8C">
      <w:pPr>
        <w:pStyle w:val="Heading2"/>
        <w:rPr>
          <w:lang w:val="es-ES_tradnl"/>
        </w:rPr>
      </w:pPr>
      <w:bookmarkStart w:id="9" w:name="_Toc115520199"/>
      <w:r w:rsidRPr="00CB0C0D">
        <w:rPr>
          <w:lang w:val="es-ES_tradnl"/>
        </w:rPr>
        <w:t>3.3</w:t>
      </w:r>
      <w:r w:rsidRPr="00CB0C0D">
        <w:rPr>
          <w:lang w:val="es-ES_tradnl"/>
        </w:rPr>
        <w:tab/>
        <w:t>Segundos con muchos errores</w:t>
      </w:r>
      <w:bookmarkEnd w:id="9"/>
    </w:p>
    <w:p w:rsidR="00E31B8C" w:rsidRPr="00CB0C0D" w:rsidRDefault="00E31B8C" w:rsidP="00E31B8C">
      <w:pPr>
        <w:rPr>
          <w:lang w:val="es-ES_tradnl"/>
        </w:rPr>
      </w:pPr>
      <w:r w:rsidRPr="00CB0C0D">
        <w:rPr>
          <w:lang w:val="es-ES_tradnl"/>
        </w:rPr>
        <w:t xml:space="preserve">En la Recomendación UIT-T G.826 se define el segundo con muchos errores (SES) como un «periodo de un segundo que contiene </w:t>
      </w:r>
      <w:r>
        <w:sym w:font="SymbolPS (PCL6)" w:char="F0B3"/>
      </w:r>
      <w:r w:rsidRPr="00CB0C0D">
        <w:rPr>
          <w:lang w:val="es-ES_tradnl"/>
        </w:rPr>
        <w:t xml:space="preserve"> 30% de bloques con errores o por lo menos un defecto». En la fórmula siguiente se ha ignorado el concepto de defecto. En el cálculo de SESR debe considerarse únicamente el tiempo disponible.</w:t>
      </w:r>
    </w:p>
    <w:p w:rsidR="00E31B8C" w:rsidRPr="00487329" w:rsidRDefault="00E31B8C" w:rsidP="00E31B8C">
      <w:pPr>
        <w:pStyle w:val="Blanc"/>
        <w:rPr>
          <w:lang w:val="es-ES_tradnl"/>
        </w:rPr>
      </w:pPr>
    </w:p>
    <w:p w:rsidR="00E31B8C" w:rsidRPr="00CB0C0D" w:rsidRDefault="00E31B8C" w:rsidP="00E31B8C">
      <w:pPr>
        <w:pStyle w:val="Equation"/>
        <w:rPr>
          <w:lang w:val="es-ES_tradnl"/>
        </w:rPr>
      </w:pPr>
      <w:r w:rsidRPr="00CB0C0D">
        <w:rPr>
          <w:lang w:val="es-ES_tradnl"/>
        </w:rPr>
        <w:tab/>
      </w:r>
      <w:r w:rsidRPr="00CB0C0D">
        <w:rPr>
          <w:lang w:val="es-ES_tradnl"/>
        </w:rPr>
        <w:tab/>
      </w:r>
      <w:r w:rsidRPr="000A69EB">
        <w:rPr>
          <w:position w:val="-28"/>
        </w:rPr>
        <w:object w:dxaOrig="1579" w:dyaOrig="639">
          <v:shape id="_x0000_i1031" type="#_x0000_t75" style="width:79.2pt;height:32.4pt" o:ole="">
            <v:imagedata r:id="rId24" o:title=""/>
          </v:shape>
          <o:OLEObject Type="Embed" ProgID="Equation.3" ShapeID="_x0000_i1031" DrawAspect="Content" ObjectID="_1339418973" r:id="rId25"/>
        </w:object>
      </w:r>
      <w:r w:rsidRPr="00CB0C0D">
        <w:rPr>
          <w:lang w:val="es-ES_tradnl"/>
        </w:rPr>
        <w:tab/>
        <w:t>(7)</w:t>
      </w:r>
    </w:p>
    <w:p w:rsidR="00E31B8C" w:rsidRPr="00487329" w:rsidRDefault="00E31B8C" w:rsidP="00E31B8C">
      <w:pPr>
        <w:pStyle w:val="Blanc"/>
        <w:rPr>
          <w:lang w:val="es-ES_tradnl"/>
        </w:rPr>
      </w:pPr>
    </w:p>
    <w:p w:rsidR="00E31B8C" w:rsidRPr="00CB0C0D" w:rsidRDefault="00E31B8C" w:rsidP="00E31B8C">
      <w:pPr>
        <w:rPr>
          <w:lang w:val="es-ES_tradnl"/>
        </w:rPr>
      </w:pPr>
      <w:r w:rsidRPr="00CB0C0D">
        <w:rPr>
          <w:lang w:val="es-ES_tradnl"/>
        </w:rPr>
        <w:t>donde:</w:t>
      </w:r>
    </w:p>
    <w:p w:rsidR="00E31B8C" w:rsidRPr="00CB0C0D" w:rsidRDefault="00E31B8C" w:rsidP="00E31B8C">
      <w:pPr>
        <w:pStyle w:val="enumlev1"/>
        <w:tabs>
          <w:tab w:val="left" w:pos="964"/>
        </w:tabs>
        <w:rPr>
          <w:lang w:val="es-ES_tradnl"/>
        </w:rPr>
      </w:pPr>
      <w:r w:rsidRPr="00CB0C0D">
        <w:rPr>
          <w:lang w:val="es-ES_tradnl"/>
        </w:rPr>
        <w:tab/>
      </w:r>
      <w:r w:rsidRPr="00CB0C0D">
        <w:rPr>
          <w:i/>
          <w:iCs/>
          <w:lang w:val="es-ES_tradnl"/>
        </w:rPr>
        <w:t>SES</w:t>
      </w:r>
      <w:r w:rsidRPr="00CB0C0D">
        <w:rPr>
          <w:rFonts w:ascii="Tms Rmn" w:hAnsi="Tms Rmn"/>
          <w:sz w:val="12"/>
          <w:lang w:val="es-ES_tradnl"/>
        </w:rPr>
        <w:t> </w:t>
      </w:r>
      <w:r w:rsidRPr="00CB0C0D">
        <w:rPr>
          <w:rFonts w:ascii="Tms Rmn" w:hAnsi="Tms Rmn"/>
          <w:lang w:val="es-ES_tradnl"/>
        </w:rPr>
        <w:t>:</w:t>
      </w:r>
      <w:r w:rsidRPr="00CB0C0D">
        <w:rPr>
          <w:rFonts w:ascii="Tms Rmn" w:hAnsi="Tms Rmn"/>
          <w:lang w:val="es-ES_tradnl"/>
        </w:rPr>
        <w:tab/>
      </w:r>
      <w:r w:rsidRPr="00CB0C0D">
        <w:rPr>
          <w:lang w:val="es-ES_tradnl"/>
        </w:rPr>
        <w:t>número de segundos con muchos errores durante el tiempo disponible:</w:t>
      </w:r>
    </w:p>
    <w:p w:rsidR="00E31B8C" w:rsidRPr="00487329" w:rsidRDefault="00E31B8C" w:rsidP="00E31B8C">
      <w:pPr>
        <w:pStyle w:val="Blanc"/>
        <w:rPr>
          <w:lang w:val="es-ES_tradnl"/>
        </w:rPr>
      </w:pPr>
    </w:p>
    <w:p w:rsidR="00E31B8C" w:rsidRPr="00CB0C0D" w:rsidRDefault="00E31B8C" w:rsidP="00E31B8C">
      <w:pPr>
        <w:pStyle w:val="Equation"/>
        <w:rPr>
          <w:lang w:val="en-US"/>
        </w:rPr>
      </w:pPr>
      <w:r w:rsidRPr="00CB0C0D">
        <w:rPr>
          <w:lang w:val="es-ES_tradnl"/>
        </w:rPr>
        <w:tab/>
      </w:r>
      <w:r w:rsidRPr="00CB0C0D">
        <w:rPr>
          <w:lang w:val="es-ES_tradnl"/>
        </w:rPr>
        <w:tab/>
      </w:r>
      <w:r w:rsidRPr="000A69EB">
        <w:rPr>
          <w:position w:val="-32"/>
        </w:rPr>
        <w:object w:dxaOrig="2659" w:dyaOrig="760">
          <v:shape id="_x0000_i1032" type="#_x0000_t75" style="width:132.6pt;height:38.4pt" o:ole="">
            <v:imagedata r:id="rId26" o:title=""/>
          </v:shape>
          <o:OLEObject Type="Embed" ProgID="Equation.3" ShapeID="_x0000_i1032" DrawAspect="Content" ObjectID="_1339418974" r:id="rId27"/>
        </w:object>
      </w:r>
      <w:r w:rsidRPr="00CB0C0D">
        <w:rPr>
          <w:lang w:val="en-US"/>
        </w:rPr>
        <w:tab/>
        <w:t>(8)</w:t>
      </w:r>
    </w:p>
    <w:p w:rsidR="00E31B8C" w:rsidRDefault="00E31B8C" w:rsidP="00E31B8C">
      <w:pPr>
        <w:pStyle w:val="Blanc"/>
      </w:pPr>
    </w:p>
    <w:p w:rsidR="00E31B8C" w:rsidRDefault="00E31B8C" w:rsidP="00E31B8C">
      <w:pPr>
        <w:pStyle w:val="enumlev1"/>
        <w:rPr>
          <w:lang w:val="en-US"/>
        </w:rPr>
      </w:pPr>
      <w:r w:rsidRPr="00CB0C0D">
        <w:rPr>
          <w:lang w:val="en-US"/>
        </w:rPr>
        <w:tab/>
      </w:r>
      <w:r>
        <w:rPr>
          <w:lang w:val="en-US"/>
        </w:rPr>
        <w:t>donde:</w:t>
      </w:r>
    </w:p>
    <w:p w:rsidR="00E31B8C" w:rsidRDefault="00E31B8C" w:rsidP="00E31B8C">
      <w:pPr>
        <w:pStyle w:val="enumlev2"/>
        <w:tabs>
          <w:tab w:val="clear" w:pos="794"/>
          <w:tab w:val="left" w:pos="964"/>
        </w:tabs>
        <w:ind w:left="964" w:hanging="567"/>
        <w:rPr>
          <w:lang w:val="en-US"/>
        </w:rPr>
      </w:pPr>
      <w:r>
        <w:rPr>
          <w:lang w:val="en-US"/>
        </w:rPr>
        <w:tab/>
      </w:r>
      <w:r>
        <w:rPr>
          <w:lang w:val="en-US"/>
        </w:rPr>
        <w:tab/>
      </w:r>
      <w:r>
        <w:rPr>
          <w:lang w:val="en-US"/>
        </w:rPr>
        <w:tab/>
      </w:r>
      <w:r>
        <w:rPr>
          <w:i/>
          <w:iCs/>
          <w:lang w:val="en-US"/>
        </w:rPr>
        <w:t>CHECK</w:t>
      </w:r>
      <w:r>
        <w:rPr>
          <w:lang w:val="en-US"/>
        </w:rPr>
        <w:t>1</w:t>
      </w:r>
      <w:r w:rsidRPr="00CB0C0D">
        <w:rPr>
          <w:i/>
          <w:iCs/>
          <w:position w:val="-4"/>
          <w:sz w:val="16"/>
          <w:lang w:val="en-US"/>
        </w:rPr>
        <w:t>i</w:t>
      </w:r>
      <w:r>
        <w:rPr>
          <w:lang w:val="en-US"/>
        </w:rPr>
        <w:t xml:space="preserve"> </w:t>
      </w:r>
      <w:r>
        <w:rPr>
          <w:rFonts w:ascii="Symbol" w:hAnsi="Symbol"/>
        </w:rPr>
        <w:t></w:t>
      </w:r>
      <w:r>
        <w:rPr>
          <w:lang w:val="en-US"/>
        </w:rPr>
        <w:t xml:space="preserve"> 1     si </w:t>
      </w:r>
      <w:r>
        <w:rPr>
          <w:i/>
          <w:lang w:val="en-US"/>
        </w:rPr>
        <w:t>BlockE</w:t>
      </w:r>
      <w:r>
        <w:rPr>
          <w:i/>
          <w:iCs/>
          <w:position w:val="-4"/>
          <w:sz w:val="16"/>
          <w:lang w:val="en-US"/>
        </w:rPr>
        <w:t>s</w:t>
      </w:r>
      <w:r>
        <w:rPr>
          <w:rFonts w:ascii="Tms Rmn" w:hAnsi="Tms Rmn"/>
          <w:iCs/>
          <w:sz w:val="4"/>
          <w:lang w:val="en-US"/>
        </w:rPr>
        <w:t> </w:t>
      </w:r>
      <w:r w:rsidRPr="00CB0C0D">
        <w:rPr>
          <w:lang w:val="en-US"/>
        </w:rPr>
        <w:t>(</w:t>
      </w:r>
      <w:r>
        <w:rPr>
          <w:i/>
          <w:lang w:val="en-US"/>
        </w:rPr>
        <w:t>i</w:t>
      </w:r>
      <w:r>
        <w:rPr>
          <w:rFonts w:ascii="Tms Rmn" w:hAnsi="Tms Rmn"/>
          <w:iCs/>
          <w:sz w:val="4"/>
          <w:lang w:val="en-US"/>
        </w:rPr>
        <w:t> </w:t>
      </w:r>
      <w:r w:rsidRPr="00CB0C0D">
        <w:rPr>
          <w:lang w:val="en-US"/>
        </w:rPr>
        <w:t>)</w:t>
      </w:r>
      <w:r>
        <w:rPr>
          <w:lang w:val="en-US"/>
        </w:rPr>
        <w:t xml:space="preserve"> </w:t>
      </w:r>
      <w:r>
        <w:rPr>
          <w:rFonts w:ascii="Symbol" w:hAnsi="Symbol"/>
          <w:lang w:val="en-US"/>
        </w:rPr>
        <w:t></w:t>
      </w:r>
      <w:r>
        <w:rPr>
          <w:lang w:val="en-US"/>
        </w:rPr>
        <w:t xml:space="preserve"> 0,3</w:t>
      </w:r>
      <w:r>
        <w:rPr>
          <w:i/>
          <w:iCs/>
          <w:lang w:val="en-US"/>
        </w:rPr>
        <w:t>N</w:t>
      </w:r>
      <w:r>
        <w:rPr>
          <w:i/>
          <w:iCs/>
          <w:position w:val="-4"/>
          <w:sz w:val="16"/>
          <w:lang w:val="en-US"/>
        </w:rPr>
        <w:t>Blocks/s</w:t>
      </w:r>
      <w:r>
        <w:rPr>
          <w:lang w:val="en-US"/>
        </w:rPr>
        <w:t xml:space="preserve">,     si no </w:t>
      </w:r>
      <w:r>
        <w:rPr>
          <w:i/>
          <w:iCs/>
          <w:lang w:val="en-US"/>
        </w:rPr>
        <w:t>CHECK</w:t>
      </w:r>
      <w:r>
        <w:rPr>
          <w:lang w:val="en-US"/>
        </w:rPr>
        <w:t>1</w:t>
      </w:r>
      <w:r>
        <w:rPr>
          <w:i/>
          <w:iCs/>
          <w:position w:val="-4"/>
          <w:sz w:val="16"/>
          <w:lang w:val="en-US"/>
        </w:rPr>
        <w:t>i</w:t>
      </w:r>
      <w:r>
        <w:rPr>
          <w:lang w:val="en-US"/>
        </w:rPr>
        <w:t xml:space="preserve"> </w:t>
      </w:r>
      <w:r>
        <w:rPr>
          <w:rFonts w:ascii="Symbol" w:hAnsi="Symbol"/>
        </w:rPr>
        <w:t></w:t>
      </w:r>
      <w:r>
        <w:rPr>
          <w:lang w:val="en-US"/>
        </w:rPr>
        <w:t xml:space="preserve"> 0.</w:t>
      </w:r>
    </w:p>
    <w:p w:rsidR="00E31B8C" w:rsidRPr="00CB0C0D" w:rsidRDefault="00E31B8C" w:rsidP="00E31B8C">
      <w:pPr>
        <w:pStyle w:val="Heading2"/>
        <w:rPr>
          <w:lang w:val="es-ES_tradnl"/>
        </w:rPr>
      </w:pPr>
      <w:bookmarkStart w:id="10" w:name="_Toc115520200"/>
      <w:r w:rsidRPr="00CB0C0D">
        <w:rPr>
          <w:lang w:val="es-ES_tradnl"/>
        </w:rPr>
        <w:lastRenderedPageBreak/>
        <w:t>3.4</w:t>
      </w:r>
      <w:r w:rsidRPr="00CB0C0D">
        <w:rPr>
          <w:lang w:val="es-ES_tradnl"/>
        </w:rPr>
        <w:tab/>
        <w:t>Errores de bloque de fondo</w:t>
      </w:r>
      <w:bookmarkEnd w:id="10"/>
    </w:p>
    <w:p w:rsidR="00E31B8C" w:rsidRPr="00CB0C0D" w:rsidRDefault="00E31B8C" w:rsidP="00E31B8C">
      <w:pPr>
        <w:rPr>
          <w:lang w:val="es-ES_tradnl"/>
        </w:rPr>
      </w:pPr>
      <w:r w:rsidRPr="00CB0C0D">
        <w:rPr>
          <w:lang w:val="es-ES_tradnl"/>
        </w:rPr>
        <w:t xml:space="preserve">En la Recomendación UIT-T G.826 se define el error de bloque de fondo (BBE, </w:t>
      </w:r>
      <w:r w:rsidRPr="00CB0C0D">
        <w:rPr>
          <w:i/>
          <w:iCs/>
          <w:lang w:val="es-ES_tradnl"/>
        </w:rPr>
        <w:t>background black error)</w:t>
      </w:r>
      <w:r w:rsidRPr="00CB0C0D">
        <w:rPr>
          <w:lang w:val="es-ES_tradnl"/>
        </w:rPr>
        <w:t xml:space="preserve"> como un «bloque con error que no se produce como parte de un SES».</w:t>
      </w:r>
    </w:p>
    <w:p w:rsidR="00E31B8C" w:rsidRPr="00487329" w:rsidRDefault="00E31B8C" w:rsidP="00E31B8C">
      <w:pPr>
        <w:pStyle w:val="Blanc"/>
        <w:rPr>
          <w:lang w:val="es-ES_tradnl"/>
        </w:rPr>
      </w:pPr>
    </w:p>
    <w:p w:rsidR="00E31B8C" w:rsidRPr="00CB0C0D" w:rsidRDefault="00E31B8C" w:rsidP="00E31B8C">
      <w:pPr>
        <w:pStyle w:val="Equation"/>
        <w:rPr>
          <w:lang w:val="es-ES_tradnl"/>
        </w:rPr>
      </w:pPr>
      <w:r w:rsidRPr="00CB0C0D">
        <w:rPr>
          <w:lang w:val="es-ES_tradnl"/>
        </w:rPr>
        <w:tab/>
      </w:r>
      <w:r w:rsidRPr="00CB0C0D">
        <w:rPr>
          <w:lang w:val="es-ES_tradnl"/>
        </w:rPr>
        <w:tab/>
      </w:r>
      <w:r w:rsidRPr="000A69EB">
        <w:rPr>
          <w:position w:val="-28"/>
        </w:rPr>
        <w:object w:dxaOrig="1620" w:dyaOrig="639">
          <v:shape id="_x0000_i1033" type="#_x0000_t75" style="width:81pt;height:32.4pt" o:ole="">
            <v:imagedata r:id="rId28" o:title=""/>
          </v:shape>
          <o:OLEObject Type="Embed" ProgID="Equation.3" ShapeID="_x0000_i1033" DrawAspect="Content" ObjectID="_1339418975" r:id="rId29"/>
        </w:object>
      </w:r>
      <w:r w:rsidRPr="00CB0C0D">
        <w:rPr>
          <w:lang w:val="es-ES_tradnl"/>
        </w:rPr>
        <w:tab/>
        <w:t>(9)</w:t>
      </w:r>
    </w:p>
    <w:p w:rsidR="00E31B8C" w:rsidRPr="00487329" w:rsidRDefault="00E31B8C" w:rsidP="00E31B8C">
      <w:pPr>
        <w:pStyle w:val="Blanc"/>
        <w:rPr>
          <w:lang w:val="es-ES_tradnl"/>
        </w:rPr>
      </w:pPr>
    </w:p>
    <w:p w:rsidR="00E31B8C" w:rsidRPr="00CB0C0D" w:rsidRDefault="00E31B8C" w:rsidP="00E31B8C">
      <w:pPr>
        <w:rPr>
          <w:lang w:val="es-ES_tradnl"/>
        </w:rPr>
      </w:pPr>
      <w:r w:rsidRPr="00CB0C0D">
        <w:rPr>
          <w:lang w:val="es-ES_tradnl"/>
        </w:rPr>
        <w:t>donde:</w:t>
      </w:r>
    </w:p>
    <w:p w:rsidR="00E31B8C" w:rsidRPr="00CB0C0D" w:rsidRDefault="00E31B8C" w:rsidP="00E31B8C">
      <w:pPr>
        <w:pStyle w:val="enumlev1"/>
        <w:tabs>
          <w:tab w:val="left" w:pos="964"/>
        </w:tabs>
        <w:rPr>
          <w:lang w:val="es-ES_tradnl"/>
        </w:rPr>
      </w:pPr>
      <w:r w:rsidRPr="00CB0C0D">
        <w:rPr>
          <w:lang w:val="es-ES_tradnl"/>
        </w:rPr>
        <w:tab/>
      </w:r>
      <w:r w:rsidRPr="00CB0C0D">
        <w:rPr>
          <w:i/>
          <w:iCs/>
          <w:lang w:val="es-ES_tradnl"/>
        </w:rPr>
        <w:t>BBE</w:t>
      </w:r>
      <w:r w:rsidRPr="00CB0C0D">
        <w:rPr>
          <w:rFonts w:ascii="Tms Rmn" w:hAnsi="Tms Rmn"/>
          <w:sz w:val="12"/>
          <w:lang w:val="es-ES_tradnl"/>
        </w:rPr>
        <w:t> </w:t>
      </w:r>
      <w:r w:rsidRPr="00CB0C0D">
        <w:rPr>
          <w:rFonts w:ascii="Tms Rmn" w:hAnsi="Tms Rmn"/>
          <w:lang w:val="es-ES_tradnl"/>
        </w:rPr>
        <w:t>:</w:t>
      </w:r>
      <w:r w:rsidRPr="00CB0C0D">
        <w:rPr>
          <w:rFonts w:ascii="Tms Rmn" w:hAnsi="Tms Rmn"/>
          <w:lang w:val="es-ES_tradnl"/>
        </w:rPr>
        <w:tab/>
      </w:r>
      <w:r w:rsidRPr="00CB0C0D">
        <w:rPr>
          <w:lang w:val="es-ES_tradnl"/>
        </w:rPr>
        <w:t>número de errores de bloque que se producen durante el tiempo disponible:</w:t>
      </w:r>
    </w:p>
    <w:p w:rsidR="00E31B8C" w:rsidRPr="00487329" w:rsidRDefault="00E31B8C" w:rsidP="00E31B8C">
      <w:pPr>
        <w:pStyle w:val="Blanc"/>
        <w:rPr>
          <w:lang w:val="es-ES_tradnl"/>
        </w:rPr>
      </w:pPr>
    </w:p>
    <w:p w:rsidR="00E31B8C" w:rsidRPr="00CB0C0D" w:rsidRDefault="00E31B8C" w:rsidP="00E31B8C">
      <w:pPr>
        <w:pStyle w:val="Equation"/>
        <w:rPr>
          <w:lang w:val="en-US"/>
        </w:rPr>
      </w:pPr>
      <w:r w:rsidRPr="00CB0C0D">
        <w:rPr>
          <w:lang w:val="es-ES_tradnl"/>
        </w:rPr>
        <w:tab/>
      </w:r>
      <w:r w:rsidRPr="00CB0C0D">
        <w:rPr>
          <w:lang w:val="es-ES_tradnl"/>
        </w:rPr>
        <w:tab/>
      </w:r>
      <w:r w:rsidRPr="000A69EB">
        <w:rPr>
          <w:position w:val="-32"/>
        </w:rPr>
        <w:object w:dxaOrig="5240" w:dyaOrig="760">
          <v:shape id="_x0000_i1034" type="#_x0000_t75" style="width:261.6pt;height:38.4pt" o:ole="">
            <v:imagedata r:id="rId30" o:title=""/>
          </v:shape>
          <o:OLEObject Type="Embed" ProgID="Equation.3" ShapeID="_x0000_i1034" DrawAspect="Content" ObjectID="_1339418976" r:id="rId31"/>
        </w:object>
      </w:r>
      <w:r w:rsidRPr="00CB0C0D">
        <w:rPr>
          <w:lang w:val="en-US"/>
        </w:rPr>
        <w:tab/>
        <w:t>(10)</w:t>
      </w:r>
    </w:p>
    <w:p w:rsidR="00E31B8C" w:rsidRDefault="00E31B8C" w:rsidP="00E31B8C">
      <w:pPr>
        <w:pStyle w:val="Blanc"/>
      </w:pPr>
    </w:p>
    <w:p w:rsidR="00E31B8C" w:rsidRDefault="00E31B8C" w:rsidP="00E31B8C">
      <w:pPr>
        <w:pStyle w:val="enumlev1"/>
        <w:keepNext/>
        <w:rPr>
          <w:lang w:val="en-US"/>
        </w:rPr>
      </w:pPr>
      <w:r w:rsidRPr="00CB0C0D">
        <w:rPr>
          <w:lang w:val="en-US"/>
        </w:rPr>
        <w:tab/>
      </w:r>
      <w:r>
        <w:rPr>
          <w:lang w:val="en-US"/>
        </w:rPr>
        <w:t>donde:</w:t>
      </w:r>
    </w:p>
    <w:p w:rsidR="00E31B8C" w:rsidRDefault="00E31B8C" w:rsidP="00E31B8C">
      <w:pPr>
        <w:pStyle w:val="enumlev2"/>
        <w:tabs>
          <w:tab w:val="clear" w:pos="794"/>
          <w:tab w:val="left" w:pos="964"/>
        </w:tabs>
        <w:ind w:left="964" w:hanging="567"/>
        <w:rPr>
          <w:lang w:val="en-US"/>
        </w:rPr>
      </w:pPr>
      <w:r>
        <w:rPr>
          <w:lang w:val="en-US"/>
        </w:rPr>
        <w:tab/>
      </w:r>
      <w:r>
        <w:rPr>
          <w:lang w:val="en-US"/>
        </w:rPr>
        <w:tab/>
      </w:r>
      <w:r>
        <w:rPr>
          <w:lang w:val="en-US"/>
        </w:rPr>
        <w:tab/>
      </w:r>
      <w:r w:rsidRPr="00CB0C0D">
        <w:rPr>
          <w:i/>
          <w:lang w:val="en-US"/>
        </w:rPr>
        <w:t>CHECK</w:t>
      </w:r>
      <w:r w:rsidRPr="00CB0C0D">
        <w:rPr>
          <w:lang w:val="en-US"/>
        </w:rPr>
        <w:t>2</w:t>
      </w:r>
      <w:r w:rsidRPr="00CB0C0D">
        <w:rPr>
          <w:i/>
          <w:iCs/>
          <w:position w:val="-4"/>
          <w:sz w:val="16"/>
          <w:lang w:val="en-US"/>
        </w:rPr>
        <w:t>i</w:t>
      </w:r>
      <w:r w:rsidRPr="00CB0C0D">
        <w:rPr>
          <w:lang w:val="en-US"/>
        </w:rPr>
        <w:t xml:space="preserve"> </w:t>
      </w:r>
      <w:r>
        <w:rPr>
          <w:rFonts w:ascii="Symbol" w:hAnsi="Symbol"/>
        </w:rPr>
        <w:t></w:t>
      </w:r>
      <w:r w:rsidRPr="00CB0C0D">
        <w:rPr>
          <w:lang w:val="en-US"/>
        </w:rPr>
        <w:t xml:space="preserve"> 1     si </w:t>
      </w:r>
      <w:r w:rsidRPr="00CB0C0D">
        <w:rPr>
          <w:i/>
          <w:lang w:val="en-US"/>
        </w:rPr>
        <w:t>BlockE</w:t>
      </w:r>
      <w:r w:rsidRPr="00CB0C0D">
        <w:rPr>
          <w:i/>
          <w:iCs/>
          <w:position w:val="-4"/>
          <w:sz w:val="16"/>
          <w:lang w:val="en-US"/>
        </w:rPr>
        <w:t>s</w:t>
      </w:r>
      <w:r>
        <w:rPr>
          <w:rFonts w:ascii="Tms Rmn" w:hAnsi="Tms Rmn"/>
          <w:iCs/>
          <w:sz w:val="4"/>
          <w:lang w:val="en-US"/>
        </w:rPr>
        <w:t> </w:t>
      </w:r>
      <w:r w:rsidRPr="00CB0C0D">
        <w:rPr>
          <w:lang w:val="en-US"/>
        </w:rPr>
        <w:t>(</w:t>
      </w:r>
      <w:r>
        <w:rPr>
          <w:i/>
          <w:lang w:val="en-US"/>
        </w:rPr>
        <w:t>i</w:t>
      </w:r>
      <w:r>
        <w:rPr>
          <w:rFonts w:ascii="Tms Rmn" w:hAnsi="Tms Rmn"/>
          <w:iCs/>
          <w:sz w:val="4"/>
          <w:lang w:val="en-US"/>
        </w:rPr>
        <w:t> </w:t>
      </w:r>
      <w:r w:rsidRPr="00CB0C0D">
        <w:rPr>
          <w:lang w:val="en-US"/>
        </w:rPr>
        <w:t xml:space="preserve">) </w:t>
      </w:r>
      <w:r>
        <w:rPr>
          <w:rFonts w:ascii="Symbol" w:hAnsi="Symbol"/>
        </w:rPr>
        <w:t></w:t>
      </w:r>
      <w:r w:rsidRPr="00CB0C0D">
        <w:rPr>
          <w:lang w:val="en-US"/>
        </w:rPr>
        <w:t xml:space="preserve"> 0,3 </w:t>
      </w:r>
      <w:r w:rsidRPr="00CB0C0D">
        <w:rPr>
          <w:i/>
          <w:iCs/>
          <w:lang w:val="en-US"/>
        </w:rPr>
        <w:t>N</w:t>
      </w:r>
      <w:r w:rsidRPr="00CB0C0D">
        <w:rPr>
          <w:i/>
          <w:iCs/>
          <w:position w:val="-4"/>
          <w:sz w:val="16"/>
          <w:lang w:val="en-US"/>
        </w:rPr>
        <w:t>Blocks/</w:t>
      </w:r>
      <w:r w:rsidRPr="00CB0C0D">
        <w:rPr>
          <w:position w:val="-4"/>
          <w:sz w:val="16"/>
          <w:lang w:val="en-US"/>
        </w:rPr>
        <w:t>s</w:t>
      </w:r>
      <w:r w:rsidRPr="00CB0C0D">
        <w:rPr>
          <w:lang w:val="en-US"/>
        </w:rPr>
        <w:t xml:space="preserve">,     si no </w:t>
      </w:r>
      <w:r>
        <w:rPr>
          <w:i/>
          <w:iCs/>
          <w:lang w:val="en-US"/>
        </w:rPr>
        <w:t>CHECK</w:t>
      </w:r>
      <w:r>
        <w:rPr>
          <w:lang w:val="en-US"/>
        </w:rPr>
        <w:t>2</w:t>
      </w:r>
      <w:r>
        <w:rPr>
          <w:i/>
          <w:iCs/>
          <w:position w:val="-4"/>
          <w:sz w:val="16"/>
          <w:lang w:val="en-US"/>
        </w:rPr>
        <w:t>i</w:t>
      </w:r>
      <w:r>
        <w:rPr>
          <w:lang w:val="en-US"/>
        </w:rPr>
        <w:t xml:space="preserve"> </w:t>
      </w:r>
      <w:r>
        <w:rPr>
          <w:rFonts w:ascii="Symbol" w:hAnsi="Symbol"/>
        </w:rPr>
        <w:t></w:t>
      </w:r>
      <w:r>
        <w:rPr>
          <w:lang w:val="en-US"/>
        </w:rPr>
        <w:t xml:space="preserve"> 0.</w:t>
      </w:r>
    </w:p>
    <w:p w:rsidR="00E31B8C" w:rsidRPr="00487329" w:rsidRDefault="00E31B8C" w:rsidP="00E31B8C">
      <w:pPr>
        <w:pStyle w:val="Heading1"/>
        <w:rPr>
          <w:lang w:val="es-ES_tradnl"/>
        </w:rPr>
      </w:pPr>
      <w:bookmarkStart w:id="11" w:name="_Toc115520201"/>
      <w:r w:rsidRPr="00487329">
        <w:rPr>
          <w:lang w:val="es-ES_tradnl"/>
        </w:rPr>
        <w:t>4</w:t>
      </w:r>
      <w:r w:rsidRPr="00487329">
        <w:rPr>
          <w:lang w:val="es-ES_tradnl"/>
        </w:rPr>
        <w:tab/>
        <w:t>Conclusión</w:t>
      </w:r>
      <w:bookmarkEnd w:id="11"/>
    </w:p>
    <w:p w:rsidR="00E31B8C" w:rsidRPr="00CB0C0D" w:rsidRDefault="00E31B8C" w:rsidP="00E31B8C">
      <w:pPr>
        <w:rPr>
          <w:lang w:val="es-ES_tradnl"/>
        </w:rPr>
      </w:pPr>
      <w:r w:rsidRPr="00CB0C0D">
        <w:rPr>
          <w:lang w:val="es-ES_tradnl"/>
        </w:rPr>
        <w:t xml:space="preserve">En este Anexo se presentan ecuaciones que pueden utilizarse para obtener estimaciones de la repercusión de la interferencia sobre la calidad de funcionamiento en banda base para sistemas digitales del servicio fijo basándose en las estadísticas de </w:t>
      </w:r>
      <w:r w:rsidRPr="00CB0C0D">
        <w:rPr>
          <w:i/>
          <w:iCs/>
          <w:lang w:val="es-ES_tradnl"/>
        </w:rPr>
        <w:t>C</w:t>
      </w:r>
      <w:r w:rsidRPr="00CB0C0D">
        <w:rPr>
          <w:lang w:val="es-ES_tradnl"/>
        </w:rPr>
        <w:t>/(</w:t>
      </w:r>
      <w:r w:rsidRPr="00CB0C0D">
        <w:rPr>
          <w:i/>
          <w:iCs/>
          <w:lang w:val="es-ES_tradnl"/>
        </w:rPr>
        <w:t>N</w:t>
      </w:r>
      <w:r w:rsidRPr="00CB0C0D">
        <w:rPr>
          <w:rFonts w:hint="eastAsia"/>
          <w:lang w:val="es-ES_tradnl"/>
        </w:rPr>
        <w:t> </w:t>
      </w:r>
      <w:r>
        <w:rPr>
          <w:rFonts w:ascii="Symbol" w:hAnsi="Symbol"/>
        </w:rPr>
        <w:t></w:t>
      </w:r>
      <w:r w:rsidRPr="00CB0C0D">
        <w:rPr>
          <w:lang w:val="es-ES_tradnl"/>
        </w:rPr>
        <w:t> </w:t>
      </w:r>
      <w:r w:rsidRPr="00CB0C0D">
        <w:rPr>
          <w:i/>
          <w:iCs/>
          <w:lang w:val="es-ES_tradnl"/>
        </w:rPr>
        <w:t>I</w:t>
      </w:r>
      <w:r w:rsidRPr="00CB0C0D">
        <w:rPr>
          <w:rFonts w:ascii="Tms Rmn" w:hAnsi="Tms Rmn"/>
          <w:i/>
          <w:iCs/>
          <w:sz w:val="12"/>
          <w:lang w:val="es-ES_tradnl"/>
        </w:rPr>
        <w:t> </w:t>
      </w:r>
      <w:r w:rsidRPr="00CB0C0D">
        <w:rPr>
          <w:lang w:val="es-ES_tradnl"/>
        </w:rPr>
        <w:t>) en radiofrecuencia. Los métodos se basan en el promedio, lo que dará estimaciones conserva</w:t>
      </w:r>
      <w:r w:rsidRPr="00CB0C0D">
        <w:rPr>
          <w:lang w:val="es-ES_tradnl"/>
        </w:rPr>
        <w:softHyphen/>
        <w:t>doras ya que los errores en los bits se repartirán entre un número máximo de bloques; con una mayor variación en el agrupamiento de los errores en los bits quedarán afectados menos bloques (suponiendo que se da el número total de errores en los bits).</w:t>
      </w:r>
    </w:p>
    <w:p w:rsidR="00D84B63" w:rsidRDefault="00E31B8C" w:rsidP="00E31B8C">
      <w:pPr>
        <w:rPr>
          <w:lang w:val="es-ES_tradnl"/>
        </w:rPr>
      </w:pPr>
      <w:r w:rsidRPr="00CB0C0D">
        <w:rPr>
          <w:lang w:val="es-ES_tradnl"/>
        </w:rPr>
        <w:t>Los métodos presentados en este Anexo deben utilizarse únicamente en situaciones críticas, cuando el examen de las estadísticas sobre interferencias en radiofrecuencia no ofrecen resultados lo suficientemente definitivos para concluir la coordinación de frecuencias.</w:t>
      </w:r>
    </w:p>
    <w:p w:rsidR="00E31B8C" w:rsidRDefault="00E31B8C" w:rsidP="00D84B63">
      <w:pPr>
        <w:rPr>
          <w:lang w:val="es-ES_tradnl"/>
        </w:rPr>
      </w:pPr>
    </w:p>
    <w:p w:rsidR="00D84B63" w:rsidRDefault="00D84B63" w:rsidP="00D84B63">
      <w:pPr>
        <w:rPr>
          <w:lang w:val="es-ES_tradnl"/>
        </w:rPr>
      </w:pPr>
    </w:p>
    <w:p w:rsidR="00D84B63" w:rsidRPr="005253D3" w:rsidRDefault="00D84B63" w:rsidP="00D84B63">
      <w:pPr>
        <w:pStyle w:val="Line"/>
        <w:rPr>
          <w:lang w:val="es-ES_tradnl"/>
        </w:rPr>
      </w:pPr>
    </w:p>
    <w:sectPr w:rsidR="00D84B63" w:rsidRPr="005253D3" w:rsidSect="00042292">
      <w:headerReference w:type="even" r:id="rId32"/>
      <w:headerReference w:type="default" r:id="rId33"/>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3246" w:rsidRDefault="00713246">
      <w:r>
        <w:separator/>
      </w:r>
    </w:p>
  </w:endnote>
  <w:endnote w:type="continuationSeparator" w:id="0">
    <w:p w:rsidR="00713246" w:rsidRDefault="007132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panose1 w:val="020208030705050203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ymbolPS (PCL6)">
    <w:panose1 w:val="00000000000000000000"/>
    <w:charset w:val="02"/>
    <w:family w:val="roman"/>
    <w:notTrueType/>
    <w:pitch w:val="variable"/>
    <w:sig w:usb0="00000000" w:usb1="00000000" w:usb2="00000000" w:usb3="00000000" w:csb0="0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3246" w:rsidRDefault="00713246">
      <w:r>
        <w:separator/>
      </w:r>
    </w:p>
  </w:footnote>
  <w:footnote w:type="continuationSeparator" w:id="0">
    <w:p w:rsidR="00713246" w:rsidRDefault="00713246">
      <w:r>
        <w:continuationSeparator/>
      </w:r>
    </w:p>
  </w:footnote>
  <w:footnote w:id="1">
    <w:p w:rsidR="00713246" w:rsidRPr="00CB0C0D" w:rsidRDefault="00713246" w:rsidP="009A71C8">
      <w:pPr>
        <w:pStyle w:val="FootnoteText"/>
        <w:rPr>
          <w:lang w:val="es-ES_tradnl"/>
        </w:rPr>
      </w:pPr>
      <w:r w:rsidRPr="00CB0C0D">
        <w:rPr>
          <w:rStyle w:val="FootnoteReference"/>
          <w:lang w:val="es-ES_tradnl"/>
        </w:rPr>
        <w:t>*</w:t>
      </w:r>
      <w:r w:rsidRPr="00CB0C0D">
        <w:rPr>
          <w:lang w:val="es-ES_tradnl"/>
        </w:rPr>
        <w:t xml:space="preserve"> </w:t>
      </w:r>
      <w:r w:rsidRPr="00CB0C0D">
        <w:rPr>
          <w:lang w:val="es-ES_tradnl"/>
        </w:rPr>
        <w:tab/>
        <w:t>Esta Recomendación fue realizada conjuntamente por las Comisiones de Estudio</w:t>
      </w:r>
      <w:r>
        <w:rPr>
          <w:lang w:val="es-ES_tradnl"/>
        </w:rPr>
        <w:t xml:space="preserve"> 4</w:t>
      </w:r>
      <w:r w:rsidRPr="00CB0C0D">
        <w:rPr>
          <w:lang w:val="es-ES_tradnl"/>
        </w:rPr>
        <w:t xml:space="preserve"> y</w:t>
      </w:r>
      <w:r>
        <w:rPr>
          <w:lang w:val="es-ES_tradnl"/>
        </w:rPr>
        <w:t xml:space="preserve"> 5</w:t>
      </w:r>
      <w:r w:rsidRPr="00CB0C0D">
        <w:rPr>
          <w:lang w:val="es-ES_tradnl"/>
        </w:rPr>
        <w:t xml:space="preserve"> de Radiocomunicaciones, que también se ocuparán conjuntamente de cualquier futura revisión.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246" w:rsidRDefault="00713246">
    <w:pP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246" w:rsidRDefault="00713246" w:rsidP="00CB1354">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246" w:rsidRDefault="00993D08" w:rsidP="001B395D">
    <w:pPr>
      <w:pStyle w:val="Header"/>
      <w:jc w:val="left"/>
    </w:pPr>
    <w:r>
      <w:rPr>
        <w:rStyle w:val="PageNumber"/>
        <w:b/>
        <w:bCs/>
      </w:rPr>
      <w:fldChar w:fldCharType="begin"/>
    </w:r>
    <w:r w:rsidR="00713246">
      <w:rPr>
        <w:rStyle w:val="PageNumber"/>
        <w:b/>
        <w:bCs/>
      </w:rPr>
      <w:instrText xml:space="preserve"> PAGE </w:instrText>
    </w:r>
    <w:r>
      <w:rPr>
        <w:rStyle w:val="PageNumber"/>
        <w:b/>
        <w:bCs/>
      </w:rPr>
      <w:fldChar w:fldCharType="separate"/>
    </w:r>
    <w:r w:rsidR="00142B4D">
      <w:rPr>
        <w:rStyle w:val="PageNumber"/>
        <w:b/>
        <w:bCs/>
        <w:noProof/>
      </w:rPr>
      <w:t>ii</w:t>
    </w:r>
    <w:r>
      <w:rPr>
        <w:rStyle w:val="PageNumber"/>
        <w:b/>
        <w:bCs/>
      </w:rPr>
      <w:fldChar w:fldCharType="end"/>
    </w:r>
    <w:r w:rsidR="00713246">
      <w:tab/>
    </w:r>
    <w:fldSimple w:instr=" DOCPROPERTY &quot;Header&quot; \* MERGEFORMAT ">
      <w:r w:rsidR="00713246">
        <w:rPr>
          <w:b/>
          <w:bCs/>
        </w:rPr>
        <w:t xml:space="preserve">Rec. </w:t>
      </w:r>
    </w:fldSimple>
    <w:r w:rsidR="00713246" w:rsidRPr="001B395D">
      <w:rPr>
        <w:b/>
        <w:bCs/>
      </w:rPr>
      <w:t xml:space="preserve"> </w:t>
    </w:r>
    <w:r w:rsidRPr="001B395D">
      <w:rPr>
        <w:b/>
        <w:bCs/>
      </w:rPr>
      <w:fldChar w:fldCharType="begin"/>
    </w:r>
    <w:r w:rsidR="00713246" w:rsidRPr="001B395D">
      <w:rPr>
        <w:b/>
        <w:bCs/>
      </w:rPr>
      <w:instrText>styleref href</w:instrText>
    </w:r>
    <w:r w:rsidRPr="001B395D">
      <w:rPr>
        <w:b/>
        <w:bCs/>
      </w:rPr>
      <w:fldChar w:fldCharType="separate"/>
    </w:r>
    <w:r w:rsidR="00142B4D">
      <w:rPr>
        <w:b/>
        <w:bCs/>
        <w:noProof/>
      </w:rPr>
      <w:t>UIT-R  M.1474-1</w:t>
    </w:r>
    <w:r w:rsidRPr="001B395D">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246" w:rsidRDefault="00713246">
    <w:r>
      <w:tab/>
    </w:r>
    <w:fldSimple w:instr=" DOCPROPERTY &quot;Header&quot; \* MERGEFORMAT ">
      <w:r>
        <w:rPr>
          <w:b/>
          <w:bCs/>
        </w:rPr>
        <w:t xml:space="preserve">Rec. </w:t>
      </w:r>
    </w:fldSimple>
    <w:r>
      <w:rPr>
        <w:b/>
        <w:bCs/>
      </w:rPr>
      <w:t xml:space="preserve"> </w:t>
    </w:r>
    <w:r w:rsidR="00993D08">
      <w:rPr>
        <w:b/>
        <w:bCs/>
      </w:rPr>
      <w:fldChar w:fldCharType="begin"/>
    </w:r>
    <w:r>
      <w:rPr>
        <w:b/>
        <w:bCs/>
      </w:rPr>
      <w:instrText>styleref href</w:instrText>
    </w:r>
    <w:r w:rsidR="00993D08">
      <w:rPr>
        <w:b/>
        <w:bCs/>
      </w:rPr>
      <w:fldChar w:fldCharType="separate"/>
    </w:r>
    <w:r>
      <w:rPr>
        <w:b/>
        <w:bCs/>
        <w:noProof/>
      </w:rPr>
      <w:t>UIT-R  M.1474-1</w:t>
    </w:r>
    <w:r w:rsidR="00993D08">
      <w:rPr>
        <w:b/>
        <w:bCs/>
      </w:rPr>
      <w:fldChar w:fldCharType="end"/>
    </w:r>
    <w:r>
      <w:tab/>
    </w:r>
    <w:r w:rsidR="00993D08">
      <w:rPr>
        <w:rStyle w:val="PageNumber"/>
        <w:b/>
        <w:bCs/>
      </w:rPr>
      <w:fldChar w:fldCharType="begin"/>
    </w:r>
    <w:r>
      <w:rPr>
        <w:rStyle w:val="PageNumber"/>
        <w:b/>
        <w:bCs/>
      </w:rPr>
      <w:instrText xml:space="preserve"> PAGE </w:instrText>
    </w:r>
    <w:r w:rsidR="00993D08">
      <w:rPr>
        <w:rStyle w:val="PageNumber"/>
        <w:b/>
        <w:bCs/>
      </w:rPr>
      <w:fldChar w:fldCharType="separate"/>
    </w:r>
    <w:r>
      <w:rPr>
        <w:rStyle w:val="PageNumber"/>
        <w:b/>
        <w:bCs/>
        <w:noProof/>
      </w:rPr>
      <w:t>3</w:t>
    </w:r>
    <w:r w:rsidR="00993D08">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246" w:rsidRDefault="00993D08" w:rsidP="001B395D">
    <w:pPr>
      <w:pStyle w:val="Header"/>
      <w:jc w:val="left"/>
    </w:pPr>
    <w:r>
      <w:rPr>
        <w:rStyle w:val="PageNumber"/>
        <w:b/>
        <w:bCs/>
      </w:rPr>
      <w:fldChar w:fldCharType="begin"/>
    </w:r>
    <w:r w:rsidR="00713246">
      <w:rPr>
        <w:rStyle w:val="PageNumber"/>
        <w:b/>
        <w:bCs/>
      </w:rPr>
      <w:instrText xml:space="preserve"> PAGE </w:instrText>
    </w:r>
    <w:r>
      <w:rPr>
        <w:rStyle w:val="PageNumber"/>
        <w:b/>
        <w:bCs/>
      </w:rPr>
      <w:fldChar w:fldCharType="separate"/>
    </w:r>
    <w:r w:rsidR="00142B4D">
      <w:rPr>
        <w:rStyle w:val="PageNumber"/>
        <w:b/>
        <w:bCs/>
        <w:noProof/>
      </w:rPr>
      <w:t>6</w:t>
    </w:r>
    <w:r>
      <w:rPr>
        <w:rStyle w:val="PageNumber"/>
        <w:b/>
        <w:bCs/>
      </w:rPr>
      <w:fldChar w:fldCharType="end"/>
    </w:r>
    <w:r w:rsidR="00713246">
      <w:tab/>
    </w:r>
    <w:fldSimple w:instr=" DOCPROPERTY &quot;Header&quot; \* MERGEFORMAT ">
      <w:r w:rsidR="00713246">
        <w:rPr>
          <w:b/>
          <w:bCs/>
        </w:rPr>
        <w:t xml:space="preserve">Rec. </w:t>
      </w:r>
    </w:fldSimple>
    <w:r w:rsidR="00713246" w:rsidRPr="001B395D">
      <w:rPr>
        <w:b/>
        <w:bCs/>
      </w:rPr>
      <w:t xml:space="preserve"> </w:t>
    </w:r>
    <w:r w:rsidRPr="001B395D">
      <w:rPr>
        <w:b/>
        <w:bCs/>
      </w:rPr>
      <w:fldChar w:fldCharType="begin"/>
    </w:r>
    <w:r w:rsidR="00713246" w:rsidRPr="001B395D">
      <w:rPr>
        <w:b/>
        <w:bCs/>
      </w:rPr>
      <w:instrText>styleref href</w:instrText>
    </w:r>
    <w:r w:rsidRPr="001B395D">
      <w:rPr>
        <w:b/>
        <w:bCs/>
      </w:rPr>
      <w:fldChar w:fldCharType="separate"/>
    </w:r>
    <w:r w:rsidR="00142B4D">
      <w:rPr>
        <w:b/>
        <w:bCs/>
        <w:noProof/>
      </w:rPr>
      <w:t>UIT-R  M.1474-1</w:t>
    </w:r>
    <w:r w:rsidRPr="001B395D">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246" w:rsidRPr="001B395D" w:rsidRDefault="00713246" w:rsidP="001B395D">
    <w:pPr>
      <w:pStyle w:val="Header"/>
      <w:rPr>
        <w:b/>
        <w:bCs/>
      </w:rPr>
    </w:pPr>
    <w:r>
      <w:tab/>
    </w:r>
    <w:fldSimple w:instr=" DOCPROPERTY &quot;Header&quot; \* MERGEFORMAT ">
      <w:r>
        <w:rPr>
          <w:b/>
          <w:bCs/>
        </w:rPr>
        <w:t xml:space="preserve">Rec. </w:t>
      </w:r>
    </w:fldSimple>
    <w:r w:rsidRPr="001B395D">
      <w:rPr>
        <w:b/>
        <w:bCs/>
      </w:rPr>
      <w:t xml:space="preserve"> </w:t>
    </w:r>
    <w:r w:rsidR="00993D08" w:rsidRPr="001B395D">
      <w:rPr>
        <w:b/>
        <w:bCs/>
      </w:rPr>
      <w:fldChar w:fldCharType="begin"/>
    </w:r>
    <w:r w:rsidRPr="001B395D">
      <w:rPr>
        <w:b/>
        <w:bCs/>
      </w:rPr>
      <w:instrText>styleref href</w:instrText>
    </w:r>
    <w:r w:rsidR="00993D08" w:rsidRPr="001B395D">
      <w:rPr>
        <w:b/>
        <w:bCs/>
      </w:rPr>
      <w:fldChar w:fldCharType="separate"/>
    </w:r>
    <w:r w:rsidR="00142B4D">
      <w:rPr>
        <w:b/>
        <w:bCs/>
        <w:noProof/>
      </w:rPr>
      <w:t>UIT-R  M.1474-1</w:t>
    </w:r>
    <w:r w:rsidR="00993D08" w:rsidRPr="001B395D">
      <w:rPr>
        <w:b/>
        <w:bCs/>
      </w:rPr>
      <w:fldChar w:fldCharType="end"/>
    </w:r>
    <w:r w:rsidRPr="001B395D">
      <w:rPr>
        <w:b/>
        <w:bCs/>
      </w:rPr>
      <w:tab/>
    </w:r>
    <w:r w:rsidR="00993D08" w:rsidRPr="001B395D">
      <w:rPr>
        <w:rStyle w:val="PageNumber"/>
        <w:b/>
        <w:bCs/>
      </w:rPr>
      <w:fldChar w:fldCharType="begin"/>
    </w:r>
    <w:r w:rsidRPr="001B395D">
      <w:rPr>
        <w:rStyle w:val="PageNumber"/>
        <w:b/>
        <w:bCs/>
      </w:rPr>
      <w:instrText xml:space="preserve"> PAGE </w:instrText>
    </w:r>
    <w:r w:rsidR="00993D08" w:rsidRPr="001B395D">
      <w:rPr>
        <w:rStyle w:val="PageNumber"/>
        <w:b/>
        <w:bCs/>
      </w:rPr>
      <w:fldChar w:fldCharType="separate"/>
    </w:r>
    <w:r w:rsidR="00142B4D">
      <w:rPr>
        <w:rStyle w:val="PageNumber"/>
        <w:b/>
        <w:bCs/>
        <w:noProof/>
      </w:rPr>
      <w:t>5</w:t>
    </w:r>
    <w:r w:rsidR="00993D08" w:rsidRPr="001B395D">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ttachedTemplate r:id="rId1"/>
  <w:stylePaneFormatFilter w:val="3F01"/>
  <w:defaultTabStop w:val="720"/>
  <w:evenAndOddHeaders/>
  <w:noPunctuationKerning/>
  <w:characterSpacingControl w:val="doNotCompress"/>
  <w:hdrShapeDefaults>
    <o:shapedefaults v:ext="edit" spidmax="2060"/>
  </w:hdrShapeDefaults>
  <w:footnotePr>
    <w:footnote w:id="-1"/>
    <w:footnote w:id="0"/>
  </w:footnotePr>
  <w:endnotePr>
    <w:endnote w:id="-1"/>
    <w:endnote w:id="0"/>
  </w:endnotePr>
  <w:compat/>
  <w:rsids>
    <w:rsidRoot w:val="00042292"/>
    <w:rsid w:val="00042292"/>
    <w:rsid w:val="00142B4D"/>
    <w:rsid w:val="00186602"/>
    <w:rsid w:val="001B26B3"/>
    <w:rsid w:val="001B395D"/>
    <w:rsid w:val="002D76C4"/>
    <w:rsid w:val="003769BE"/>
    <w:rsid w:val="00410F5B"/>
    <w:rsid w:val="005253D3"/>
    <w:rsid w:val="00574354"/>
    <w:rsid w:val="005B3735"/>
    <w:rsid w:val="005F44BF"/>
    <w:rsid w:val="00607D68"/>
    <w:rsid w:val="00713246"/>
    <w:rsid w:val="0076082A"/>
    <w:rsid w:val="00993D08"/>
    <w:rsid w:val="009A71C8"/>
    <w:rsid w:val="00A07AEB"/>
    <w:rsid w:val="00A6617B"/>
    <w:rsid w:val="00AB0DC8"/>
    <w:rsid w:val="00B37919"/>
    <w:rsid w:val="00B44E24"/>
    <w:rsid w:val="00BC1E89"/>
    <w:rsid w:val="00C36A75"/>
    <w:rsid w:val="00CB1354"/>
    <w:rsid w:val="00D84B63"/>
    <w:rsid w:val="00DF4176"/>
    <w:rsid w:val="00E31B8C"/>
    <w:rsid w:val="00EE743D"/>
    <w:rsid w:val="00FD7CE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324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13246"/>
    <w:pPr>
      <w:keepNext/>
      <w:keepLines/>
      <w:spacing w:before="480"/>
      <w:ind w:left="794" w:hanging="794"/>
      <w:outlineLvl w:val="0"/>
    </w:pPr>
    <w:rPr>
      <w:b/>
    </w:rPr>
  </w:style>
  <w:style w:type="paragraph" w:styleId="Heading2">
    <w:name w:val="heading 2"/>
    <w:basedOn w:val="Heading1"/>
    <w:next w:val="Normal"/>
    <w:qFormat/>
    <w:rsid w:val="00713246"/>
    <w:pPr>
      <w:spacing w:before="320"/>
      <w:outlineLvl w:val="1"/>
    </w:pPr>
  </w:style>
  <w:style w:type="paragraph" w:styleId="Heading3">
    <w:name w:val="heading 3"/>
    <w:basedOn w:val="Heading1"/>
    <w:next w:val="Normal"/>
    <w:qFormat/>
    <w:rsid w:val="00713246"/>
    <w:pPr>
      <w:spacing w:before="200"/>
      <w:outlineLvl w:val="2"/>
    </w:pPr>
  </w:style>
  <w:style w:type="paragraph" w:styleId="Heading4">
    <w:name w:val="heading 4"/>
    <w:basedOn w:val="Heading3"/>
    <w:next w:val="Normal"/>
    <w:qFormat/>
    <w:rsid w:val="00713246"/>
    <w:pPr>
      <w:tabs>
        <w:tab w:val="clear" w:pos="794"/>
        <w:tab w:val="left" w:pos="992"/>
      </w:tabs>
      <w:ind w:left="992" w:hanging="992"/>
      <w:outlineLvl w:val="3"/>
    </w:pPr>
  </w:style>
  <w:style w:type="paragraph" w:styleId="Heading5">
    <w:name w:val="heading 5"/>
    <w:basedOn w:val="Heading4"/>
    <w:next w:val="Normal"/>
    <w:qFormat/>
    <w:rsid w:val="00713246"/>
    <w:pPr>
      <w:outlineLvl w:val="4"/>
    </w:pPr>
  </w:style>
  <w:style w:type="paragraph" w:styleId="Heading6">
    <w:name w:val="heading 6"/>
    <w:basedOn w:val="Heading4"/>
    <w:next w:val="Normal"/>
    <w:qFormat/>
    <w:rsid w:val="00713246"/>
    <w:pPr>
      <w:tabs>
        <w:tab w:val="clear" w:pos="992"/>
        <w:tab w:val="clear" w:pos="1191"/>
      </w:tabs>
      <w:ind w:left="1588" w:hanging="1588"/>
      <w:outlineLvl w:val="5"/>
    </w:pPr>
  </w:style>
  <w:style w:type="paragraph" w:styleId="Heading7">
    <w:name w:val="heading 7"/>
    <w:basedOn w:val="Heading6"/>
    <w:next w:val="Normal"/>
    <w:qFormat/>
    <w:rsid w:val="00713246"/>
    <w:pPr>
      <w:outlineLvl w:val="6"/>
    </w:pPr>
  </w:style>
  <w:style w:type="paragraph" w:styleId="Heading8">
    <w:name w:val="heading 8"/>
    <w:basedOn w:val="Heading6"/>
    <w:next w:val="Normal"/>
    <w:qFormat/>
    <w:rsid w:val="00713246"/>
    <w:pPr>
      <w:outlineLvl w:val="7"/>
    </w:pPr>
  </w:style>
  <w:style w:type="paragraph" w:styleId="Heading9">
    <w:name w:val="heading 9"/>
    <w:basedOn w:val="Heading6"/>
    <w:next w:val="Normal"/>
    <w:qFormat/>
    <w:rsid w:val="0071324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1324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1324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13246"/>
  </w:style>
  <w:style w:type="paragraph" w:customStyle="1" w:styleId="Headingb">
    <w:name w:val="Heading_b"/>
    <w:basedOn w:val="Heading3"/>
    <w:next w:val="Normal"/>
    <w:rsid w:val="00713246"/>
    <w:pPr>
      <w:spacing w:before="160"/>
      <w:ind w:left="0" w:firstLine="0"/>
      <w:outlineLvl w:val="9"/>
    </w:pPr>
  </w:style>
  <w:style w:type="paragraph" w:customStyle="1" w:styleId="Headingi">
    <w:name w:val="Heading_i"/>
    <w:basedOn w:val="Heading3"/>
    <w:next w:val="Normal"/>
    <w:rsid w:val="00713246"/>
    <w:pPr>
      <w:spacing w:before="160"/>
      <w:ind w:left="0" w:firstLine="0"/>
    </w:pPr>
    <w:rPr>
      <w:b w:val="0"/>
      <w:i/>
    </w:rPr>
  </w:style>
  <w:style w:type="character" w:customStyle="1" w:styleId="href">
    <w:name w:val="href"/>
    <w:basedOn w:val="DefaultParagraphFont"/>
    <w:rsid w:val="00713246"/>
  </w:style>
  <w:style w:type="paragraph" w:customStyle="1" w:styleId="enumlev1">
    <w:name w:val="enumlev1"/>
    <w:basedOn w:val="Normal"/>
    <w:rsid w:val="00713246"/>
    <w:pPr>
      <w:spacing w:before="80"/>
      <w:ind w:left="794" w:hanging="794"/>
    </w:pPr>
  </w:style>
  <w:style w:type="paragraph" w:customStyle="1" w:styleId="enumlev2">
    <w:name w:val="enumlev2"/>
    <w:basedOn w:val="enumlev1"/>
    <w:rsid w:val="00713246"/>
    <w:pPr>
      <w:ind w:left="1191" w:hanging="397"/>
    </w:pPr>
  </w:style>
  <w:style w:type="paragraph" w:customStyle="1" w:styleId="enumlev3">
    <w:name w:val="enumlev3"/>
    <w:basedOn w:val="enumlev2"/>
    <w:rsid w:val="00713246"/>
    <w:pPr>
      <w:ind w:left="1588"/>
    </w:pPr>
  </w:style>
  <w:style w:type="paragraph" w:customStyle="1" w:styleId="Normalaftertitle">
    <w:name w:val="Normal_after_title"/>
    <w:basedOn w:val="Normal"/>
    <w:next w:val="Normal"/>
    <w:rsid w:val="00713246"/>
    <w:pPr>
      <w:spacing w:before="320"/>
    </w:pPr>
  </w:style>
  <w:style w:type="paragraph" w:customStyle="1" w:styleId="Note">
    <w:name w:val="Note"/>
    <w:basedOn w:val="Normal"/>
    <w:rsid w:val="0071324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1324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713246"/>
    <w:pPr>
      <w:spacing w:before="240"/>
    </w:pPr>
    <w:rPr>
      <w:sz w:val="22"/>
      <w:lang w:val="es-ES_tradnl"/>
    </w:rPr>
  </w:style>
  <w:style w:type="paragraph" w:customStyle="1" w:styleId="Recref">
    <w:name w:val="Rec_ref"/>
    <w:basedOn w:val="Normal"/>
    <w:next w:val="Recdate"/>
    <w:rsid w:val="00713246"/>
    <w:pPr>
      <w:jc w:val="center"/>
    </w:pPr>
  </w:style>
  <w:style w:type="paragraph" w:customStyle="1" w:styleId="Recdate">
    <w:name w:val="Rec_date"/>
    <w:basedOn w:val="Recref"/>
    <w:next w:val="Normalaftertitle"/>
    <w:rsid w:val="00713246"/>
    <w:pPr>
      <w:jc w:val="right"/>
    </w:pPr>
  </w:style>
  <w:style w:type="paragraph" w:customStyle="1" w:styleId="AnnexNoTitle">
    <w:name w:val="Annex_NoTitle"/>
    <w:basedOn w:val="Normal"/>
    <w:next w:val="Normalaftertitle"/>
    <w:rsid w:val="00713246"/>
    <w:pPr>
      <w:keepNext/>
      <w:keepLines/>
      <w:spacing w:before="480" w:after="80"/>
      <w:jc w:val="center"/>
    </w:pPr>
    <w:rPr>
      <w:b/>
      <w:sz w:val="28"/>
    </w:rPr>
  </w:style>
  <w:style w:type="paragraph" w:customStyle="1" w:styleId="AppendixNoTitle">
    <w:name w:val="Appendix_NoTitle"/>
    <w:basedOn w:val="AnnexNoTitle"/>
    <w:next w:val="Normal"/>
    <w:rsid w:val="00713246"/>
  </w:style>
  <w:style w:type="paragraph" w:customStyle="1" w:styleId="Tablefin">
    <w:name w:val="Table_fin"/>
    <w:basedOn w:val="Normal"/>
    <w:next w:val="Normal"/>
    <w:rsid w:val="00713246"/>
    <w:pPr>
      <w:spacing w:before="0"/>
    </w:pPr>
    <w:rPr>
      <w:sz w:val="20"/>
      <w:lang w:val="en-GB"/>
    </w:rPr>
  </w:style>
  <w:style w:type="paragraph" w:customStyle="1" w:styleId="Tablehead">
    <w:name w:val="Table_head"/>
    <w:basedOn w:val="Normal"/>
    <w:next w:val="Normal"/>
    <w:rsid w:val="0071324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1324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13246"/>
    <w:pPr>
      <w:keepNext/>
      <w:spacing w:before="360" w:after="120"/>
      <w:jc w:val="center"/>
    </w:pPr>
  </w:style>
  <w:style w:type="paragraph" w:customStyle="1" w:styleId="Tabletext">
    <w:name w:val="Table_text"/>
    <w:basedOn w:val="Normal"/>
    <w:rsid w:val="0071324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13246"/>
    <w:pPr>
      <w:tabs>
        <w:tab w:val="clear" w:pos="1191"/>
        <w:tab w:val="clear" w:pos="1588"/>
        <w:tab w:val="clear" w:pos="1985"/>
        <w:tab w:val="center" w:pos="4820"/>
        <w:tab w:val="right" w:pos="9639"/>
      </w:tabs>
    </w:pPr>
  </w:style>
  <w:style w:type="paragraph" w:customStyle="1" w:styleId="Equationlegend">
    <w:name w:val="Equation_legend"/>
    <w:basedOn w:val="NormalIndent"/>
    <w:rsid w:val="0071324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13246"/>
    <w:pPr>
      <w:ind w:left="794"/>
    </w:pPr>
  </w:style>
  <w:style w:type="paragraph" w:customStyle="1" w:styleId="Figurelegend">
    <w:name w:val="Figure_legend"/>
    <w:basedOn w:val="Normal"/>
    <w:rsid w:val="0071324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13246"/>
    <w:pPr>
      <w:keepNext/>
      <w:keepLines/>
      <w:spacing w:before="480" w:after="80"/>
      <w:jc w:val="center"/>
    </w:pPr>
    <w:rPr>
      <w:caps/>
      <w:sz w:val="18"/>
    </w:rPr>
  </w:style>
  <w:style w:type="paragraph" w:customStyle="1" w:styleId="tocpart">
    <w:name w:val="tocpart"/>
    <w:basedOn w:val="Normal"/>
    <w:rsid w:val="0071324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13246"/>
    <w:pPr>
      <w:keepNext/>
      <w:keepLines/>
      <w:spacing w:before="480"/>
      <w:jc w:val="center"/>
    </w:pPr>
    <w:rPr>
      <w:sz w:val="28"/>
    </w:rPr>
  </w:style>
  <w:style w:type="paragraph" w:customStyle="1" w:styleId="Arttitle">
    <w:name w:val="Art_title"/>
    <w:basedOn w:val="Normal"/>
    <w:next w:val="Normalaftertitle"/>
    <w:rsid w:val="00713246"/>
    <w:pPr>
      <w:keepNext/>
      <w:keepLines/>
      <w:spacing w:before="240"/>
      <w:jc w:val="center"/>
    </w:pPr>
    <w:rPr>
      <w:b/>
      <w:sz w:val="28"/>
    </w:rPr>
  </w:style>
  <w:style w:type="paragraph" w:customStyle="1" w:styleId="Blanc">
    <w:name w:val="Blanc"/>
    <w:basedOn w:val="Normal"/>
    <w:next w:val="Tabletext"/>
    <w:rsid w:val="0071324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1324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13246"/>
    <w:pPr>
      <w:keepNext/>
      <w:keepLines/>
      <w:spacing w:before="160"/>
      <w:ind w:left="794"/>
    </w:pPr>
    <w:rPr>
      <w:i/>
    </w:rPr>
  </w:style>
  <w:style w:type="paragraph" w:customStyle="1" w:styleId="ChapNo">
    <w:name w:val="Chap_No"/>
    <w:basedOn w:val="ArtNo"/>
    <w:next w:val="Chaptitle"/>
    <w:rsid w:val="00713246"/>
    <w:rPr>
      <w:b/>
    </w:rPr>
  </w:style>
  <w:style w:type="paragraph" w:customStyle="1" w:styleId="Chaptitle">
    <w:name w:val="Chap_title"/>
    <w:basedOn w:val="Arttitle"/>
    <w:next w:val="Normalaftertitle"/>
    <w:rsid w:val="00713246"/>
  </w:style>
  <w:style w:type="character" w:styleId="FootnoteReference">
    <w:name w:val="footnote reference"/>
    <w:basedOn w:val="DefaultParagraphFont"/>
    <w:semiHidden/>
    <w:rsid w:val="00713246"/>
    <w:rPr>
      <w:position w:val="6"/>
      <w:sz w:val="18"/>
    </w:rPr>
  </w:style>
  <w:style w:type="paragraph" w:styleId="FootnoteText">
    <w:name w:val="footnote text"/>
    <w:basedOn w:val="Normal"/>
    <w:semiHidden/>
    <w:rsid w:val="00713246"/>
    <w:pPr>
      <w:keepLines/>
      <w:tabs>
        <w:tab w:val="left" w:pos="255"/>
      </w:tabs>
      <w:ind w:left="255" w:hanging="255"/>
    </w:pPr>
    <w:rPr>
      <w:sz w:val="22"/>
    </w:rPr>
  </w:style>
  <w:style w:type="paragraph" w:styleId="Index1">
    <w:name w:val="index 1"/>
    <w:basedOn w:val="Normal"/>
    <w:next w:val="Normal"/>
    <w:semiHidden/>
    <w:rsid w:val="00713246"/>
  </w:style>
  <w:style w:type="paragraph" w:styleId="Index2">
    <w:name w:val="index 2"/>
    <w:basedOn w:val="Normal"/>
    <w:next w:val="Normal"/>
    <w:semiHidden/>
    <w:rsid w:val="00713246"/>
    <w:pPr>
      <w:ind w:left="283"/>
    </w:pPr>
  </w:style>
  <w:style w:type="paragraph" w:styleId="Index3">
    <w:name w:val="index 3"/>
    <w:basedOn w:val="Normal"/>
    <w:next w:val="Normal"/>
    <w:semiHidden/>
    <w:rsid w:val="00713246"/>
    <w:pPr>
      <w:ind w:left="566"/>
    </w:pPr>
  </w:style>
  <w:style w:type="paragraph" w:styleId="IndexHeading">
    <w:name w:val="index heading"/>
    <w:basedOn w:val="Normal"/>
    <w:next w:val="Index1"/>
    <w:semiHidden/>
    <w:rsid w:val="00713246"/>
  </w:style>
  <w:style w:type="paragraph" w:customStyle="1" w:styleId="Line">
    <w:name w:val="Line"/>
    <w:basedOn w:val="Normal"/>
    <w:next w:val="Normal"/>
    <w:rsid w:val="0071324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1324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13246"/>
  </w:style>
  <w:style w:type="paragraph" w:customStyle="1" w:styleId="Partref">
    <w:name w:val="Part_ref"/>
    <w:basedOn w:val="Normal"/>
    <w:next w:val="Normal"/>
    <w:rsid w:val="00713246"/>
    <w:pPr>
      <w:keepNext/>
      <w:keepLines/>
      <w:spacing w:after="280"/>
      <w:jc w:val="center"/>
    </w:pPr>
  </w:style>
  <w:style w:type="paragraph" w:customStyle="1" w:styleId="Parttitle">
    <w:name w:val="Part_title"/>
    <w:basedOn w:val="Normal"/>
    <w:next w:val="Normalaftertitle"/>
    <w:rsid w:val="0071324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13246"/>
  </w:style>
  <w:style w:type="paragraph" w:customStyle="1" w:styleId="QuestionNo">
    <w:name w:val="Question_No"/>
    <w:basedOn w:val="RecNo"/>
    <w:next w:val="Normal"/>
    <w:rsid w:val="00713246"/>
  </w:style>
  <w:style w:type="paragraph" w:customStyle="1" w:styleId="Questionref">
    <w:name w:val="Question_ref"/>
    <w:basedOn w:val="Recref"/>
    <w:next w:val="Questiondate"/>
    <w:rsid w:val="00713246"/>
  </w:style>
  <w:style w:type="paragraph" w:customStyle="1" w:styleId="Questiontitle">
    <w:name w:val="Question_title"/>
    <w:basedOn w:val="Normal"/>
    <w:next w:val="Questionref"/>
    <w:rsid w:val="00713246"/>
  </w:style>
  <w:style w:type="paragraph" w:customStyle="1" w:styleId="Reftext">
    <w:name w:val="Ref_text"/>
    <w:basedOn w:val="Normal"/>
    <w:rsid w:val="00713246"/>
    <w:pPr>
      <w:ind w:left="794" w:hanging="794"/>
    </w:pPr>
    <w:rPr>
      <w:sz w:val="22"/>
    </w:rPr>
  </w:style>
  <w:style w:type="paragraph" w:customStyle="1" w:styleId="Reftitle">
    <w:name w:val="Ref_title"/>
    <w:basedOn w:val="Normal"/>
    <w:next w:val="Reftext"/>
    <w:rsid w:val="0071324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13246"/>
  </w:style>
  <w:style w:type="paragraph" w:customStyle="1" w:styleId="RepNo">
    <w:name w:val="Rep_No"/>
    <w:basedOn w:val="RecNo"/>
    <w:next w:val="Reptitle"/>
    <w:rsid w:val="00713246"/>
  </w:style>
  <w:style w:type="paragraph" w:customStyle="1" w:styleId="Repref">
    <w:name w:val="Rep_ref"/>
    <w:basedOn w:val="Recref"/>
    <w:next w:val="Repdate"/>
    <w:rsid w:val="00713246"/>
  </w:style>
  <w:style w:type="paragraph" w:customStyle="1" w:styleId="Reptitle">
    <w:name w:val="Rep_title"/>
    <w:basedOn w:val="Rectitle"/>
    <w:next w:val="Repref"/>
    <w:rsid w:val="00713246"/>
  </w:style>
  <w:style w:type="paragraph" w:customStyle="1" w:styleId="Resdate">
    <w:name w:val="Res_date"/>
    <w:basedOn w:val="Recdate"/>
    <w:next w:val="Normalaftertitle"/>
    <w:rsid w:val="00713246"/>
  </w:style>
  <w:style w:type="paragraph" w:customStyle="1" w:styleId="ResNo">
    <w:name w:val="Res_No"/>
    <w:basedOn w:val="RecNo"/>
    <w:next w:val="Restitle"/>
    <w:rsid w:val="00713246"/>
  </w:style>
  <w:style w:type="paragraph" w:customStyle="1" w:styleId="Resref">
    <w:name w:val="Res_ref"/>
    <w:basedOn w:val="Recref"/>
    <w:next w:val="Resdate"/>
    <w:rsid w:val="00713246"/>
  </w:style>
  <w:style w:type="paragraph" w:customStyle="1" w:styleId="Restitle">
    <w:name w:val="Res_title"/>
    <w:basedOn w:val="Normal"/>
    <w:next w:val="Resref"/>
    <w:rsid w:val="00713246"/>
    <w:pPr>
      <w:spacing w:before="240"/>
      <w:jc w:val="center"/>
    </w:pPr>
    <w:rPr>
      <w:b/>
      <w:sz w:val="28"/>
    </w:rPr>
  </w:style>
  <w:style w:type="paragraph" w:customStyle="1" w:styleId="SectionNo">
    <w:name w:val="Section_No"/>
    <w:basedOn w:val="Normal"/>
    <w:next w:val="Normal"/>
    <w:rsid w:val="00713246"/>
  </w:style>
  <w:style w:type="paragraph" w:customStyle="1" w:styleId="Sectiontitle">
    <w:name w:val="Section_title"/>
    <w:basedOn w:val="Normal"/>
    <w:next w:val="Normalaftertitle"/>
    <w:rsid w:val="0071324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13246"/>
    <w:pPr>
      <w:tabs>
        <w:tab w:val="clear" w:pos="794"/>
        <w:tab w:val="clear" w:pos="1191"/>
        <w:tab w:val="clear" w:pos="1588"/>
        <w:tab w:val="clear" w:pos="1985"/>
        <w:tab w:val="right" w:pos="9611"/>
      </w:tabs>
    </w:pPr>
    <w:rPr>
      <w:i/>
    </w:rPr>
  </w:style>
  <w:style w:type="paragraph" w:styleId="TOC1">
    <w:name w:val="toc 1"/>
    <w:basedOn w:val="Normal"/>
    <w:semiHidden/>
    <w:rsid w:val="0071324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13246"/>
    <w:pPr>
      <w:tabs>
        <w:tab w:val="clear" w:pos="567"/>
        <w:tab w:val="left" w:pos="1276"/>
      </w:tabs>
      <w:spacing w:before="160"/>
      <w:ind w:left="1276" w:hanging="709"/>
    </w:pPr>
  </w:style>
  <w:style w:type="paragraph" w:styleId="TOC3">
    <w:name w:val="toc 3"/>
    <w:basedOn w:val="TOC2"/>
    <w:semiHidden/>
    <w:rsid w:val="00713246"/>
    <w:pPr>
      <w:tabs>
        <w:tab w:val="clear" w:pos="1276"/>
        <w:tab w:val="left" w:pos="2155"/>
      </w:tabs>
      <w:ind w:left="2155" w:hanging="879"/>
    </w:pPr>
  </w:style>
  <w:style w:type="paragraph" w:styleId="TOC4">
    <w:name w:val="toc 4"/>
    <w:basedOn w:val="TOC3"/>
    <w:semiHidden/>
    <w:rsid w:val="00713246"/>
    <w:pPr>
      <w:tabs>
        <w:tab w:val="left" w:pos="3261"/>
      </w:tabs>
      <w:spacing w:before="80"/>
      <w:ind w:left="3261" w:hanging="993"/>
    </w:pPr>
  </w:style>
  <w:style w:type="paragraph" w:styleId="TOC5">
    <w:name w:val="toc 5"/>
    <w:basedOn w:val="TOC4"/>
    <w:semiHidden/>
    <w:rsid w:val="00713246"/>
  </w:style>
  <w:style w:type="paragraph" w:styleId="TOC6">
    <w:name w:val="toc 6"/>
    <w:basedOn w:val="TOC4"/>
    <w:semiHidden/>
    <w:rsid w:val="00713246"/>
  </w:style>
  <w:style w:type="paragraph" w:styleId="TOC7">
    <w:name w:val="toc 7"/>
    <w:basedOn w:val="TOC4"/>
    <w:semiHidden/>
    <w:rsid w:val="00713246"/>
  </w:style>
  <w:style w:type="paragraph" w:styleId="TOC8">
    <w:name w:val="toc 8"/>
    <w:basedOn w:val="TOC4"/>
    <w:semiHidden/>
    <w:rsid w:val="00713246"/>
  </w:style>
  <w:style w:type="paragraph" w:customStyle="1" w:styleId="Rectitle">
    <w:name w:val="Rec_title"/>
    <w:basedOn w:val="Normal"/>
    <w:next w:val="Recref"/>
    <w:rsid w:val="00713246"/>
    <w:pPr>
      <w:keepNext/>
      <w:keepLines/>
      <w:spacing w:before="240"/>
      <w:jc w:val="center"/>
    </w:pPr>
    <w:rPr>
      <w:b/>
      <w:sz w:val="28"/>
    </w:rPr>
  </w:style>
  <w:style w:type="paragraph" w:customStyle="1" w:styleId="Annexref">
    <w:name w:val="Annex_ref"/>
    <w:basedOn w:val="Normal"/>
    <w:next w:val="Normalaftertitle"/>
    <w:rsid w:val="00713246"/>
    <w:pPr>
      <w:keepNext/>
      <w:keepLines/>
      <w:spacing w:after="280"/>
      <w:jc w:val="center"/>
    </w:pPr>
  </w:style>
  <w:style w:type="paragraph" w:customStyle="1" w:styleId="Appendixref">
    <w:name w:val="Appendix_ref"/>
    <w:basedOn w:val="Annexref"/>
    <w:next w:val="Normalaftertitle"/>
    <w:rsid w:val="00713246"/>
  </w:style>
  <w:style w:type="paragraph" w:customStyle="1" w:styleId="Figuretitle">
    <w:name w:val="Figure_title"/>
    <w:basedOn w:val="Normal"/>
    <w:next w:val="Figure"/>
    <w:rsid w:val="0071324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13246"/>
    <w:pPr>
      <w:keepNext/>
      <w:spacing w:before="0" w:after="120"/>
      <w:jc w:val="center"/>
    </w:pPr>
    <w:rPr>
      <w:b/>
    </w:rPr>
  </w:style>
  <w:style w:type="paragraph" w:customStyle="1" w:styleId="Summary">
    <w:name w:val="Summary"/>
    <w:basedOn w:val="Normal"/>
    <w:next w:val="Normalaftertitle"/>
    <w:rsid w:val="00713246"/>
    <w:pPr>
      <w:spacing w:after="480"/>
    </w:pPr>
    <w:rPr>
      <w:sz w:val="22"/>
      <w:lang w:val="es-ES_tradnl"/>
    </w:rPr>
  </w:style>
  <w:style w:type="character" w:styleId="Hyperlink">
    <w:name w:val="Hyperlink"/>
    <w:basedOn w:val="DefaultParagraphFont"/>
    <w:rsid w:val="00042292"/>
    <w:rPr>
      <w:color w:val="0000FF"/>
      <w:u w:val="single"/>
    </w:rPr>
  </w:style>
  <w:style w:type="paragraph" w:customStyle="1" w:styleId="Figure">
    <w:name w:val="Figure"/>
    <w:basedOn w:val="FigureNo"/>
    <w:next w:val="Normal"/>
    <w:rsid w:val="00713246"/>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egendNote">
    <w:name w:val="Table_Legend_Note"/>
    <w:basedOn w:val="Tablelegend"/>
    <w:next w:val="Tablelegend"/>
    <w:rsid w:val="00713246"/>
    <w:pPr>
      <w:ind w:left="-85" w:firstLine="0"/>
    </w:pPr>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 Type="http://schemas.openxmlformats.org/officeDocument/2006/relationships/webSettings" Target="webSettings.xml"/><Relationship Id="rId21" Type="http://schemas.openxmlformats.org/officeDocument/2006/relationships/oleObject" Target="embeddings/oleObject5.bin"/><Relationship Id="rId34"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9.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wmf"/><Relationship Id="rId32"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158</TotalTime>
  <Pages>8</Pages>
  <Words>2533</Words>
  <Characters>13319</Characters>
  <Application>Microsoft Office Word</Application>
  <DocSecurity>0</DocSecurity>
  <Lines>322</Lines>
  <Paragraphs>147</Paragraphs>
  <ScaleCrop>false</ScaleCrop>
  <HeadingPairs>
    <vt:vector size="2" baseType="variant">
      <vt:variant>
        <vt:lpstr>Title</vt:lpstr>
      </vt:variant>
      <vt:variant>
        <vt:i4>1</vt:i4>
      </vt:variant>
    </vt:vector>
  </HeadingPairs>
  <TitlesOfParts>
    <vt:vector size="1" baseType="lpstr">
      <vt:lpstr>RECOMENDACIÓN  UIT-R  M.1474-1* - Metodología para evaluar la repercusión de la interferencia causada por sistemas del servicio móvil por satélite (SMS) con acceso múltiple por división en el tiempo/acceso múltiple por división en frecuencia (AMDT/AMDF) s</vt:lpstr>
    </vt:vector>
  </TitlesOfParts>
  <Manager/>
  <Company>ITU</Company>
  <LinksUpToDate>false</LinksUpToDate>
  <CharactersWithSpaces>15806</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M.1474-1* - Metodología para evaluar la repercusión de la interferencia causada por sistemas del servicio móvil por satélite (SMS) con acceso múltiple por división en el tiempo/acceso múltiple por división en frecuencia (AMDT/AMDF) sobre la calidad de funcionamiento en la banda de base en receptores digitales del servicio fijo con visibilidad directa, basándose en las estadísticas de interferencia en radiofrecuencia en la gama de frecuencias 1-3 GHz</dc:title>
  <dc:subject>Serie M = Servicios móviles, de radiodeterminación y de aficionados, incluidos los correspondientes servicios por satélite</dc:subject>
  <dc:creator>Oficina de Radiocomunicaciones del UIT (BR)</dc:creator>
  <cp:keywords>M,1474-1*</cp:keywords>
  <dc:description>Martiner, 30.06.2010, AMR106400</dc:description>
  <cp:lastModifiedBy>martiner</cp:lastModifiedBy>
  <cp:revision>11</cp:revision>
  <cp:lastPrinted>2005-02-10T14:54:00Z</cp:lastPrinted>
  <dcterms:created xsi:type="dcterms:W3CDTF">2010-06-25T12:56:00Z</dcterms:created>
  <dcterms:modified xsi:type="dcterms:W3CDTF">2010-06-30T14:01:00Z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25 June 2010</vt:lpwstr>
  </property>
</Properties>
</file>