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tblPr>
      <w:tblGrid>
        <w:gridCol w:w="10089"/>
      </w:tblGrid>
      <w:tr w:rsidR="00042292" w:rsidRPr="00A07AE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AE2CA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AE2CA3">
              <w:rPr>
                <w:rFonts w:ascii="Tahoma" w:hAnsi="Tahoma" w:cs="Tahoma"/>
                <w:b/>
                <w:bCs/>
                <w:iCs/>
                <w:color w:val="243285"/>
                <w:sz w:val="36"/>
                <w:szCs w:val="36"/>
                <w:lang w:val="es-ES_tradnl"/>
              </w:rPr>
              <w:t>1469-2</w:t>
            </w:r>
          </w:p>
          <w:p w:rsidR="00042292" w:rsidRPr="00A07AEB" w:rsidRDefault="00042292" w:rsidP="00AE2CA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AE2CA3">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AE2CA3">
              <w:rPr>
                <w:rFonts w:ascii="Tahoma" w:hAnsi="Tahoma" w:cs="Tahoma"/>
                <w:b/>
                <w:bCs/>
                <w:iCs/>
                <w:color w:val="243285"/>
                <w:szCs w:val="24"/>
                <w:lang w:val="es-ES_tradnl"/>
              </w:rPr>
              <w:t>2010</w:t>
            </w:r>
            <w:r w:rsidRPr="00A07AEB">
              <w:rPr>
                <w:rFonts w:ascii="Tahoma" w:hAnsi="Tahoma" w:cs="Tahoma"/>
                <w:b/>
                <w:bCs/>
                <w:iCs/>
                <w:color w:val="243285"/>
                <w:szCs w:val="24"/>
                <w:lang w:val="es-ES_tradnl"/>
              </w:rPr>
              <w:t>)</w:t>
            </w:r>
          </w:p>
        </w:tc>
      </w:tr>
      <w:tr w:rsidR="00042292" w:rsidRPr="00CF3C1E"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A07AEB" w:rsidRDefault="00AE2CA3" w:rsidP="00046135">
            <w:pPr>
              <w:spacing w:before="80" w:line="500" w:lineRule="exact"/>
              <w:jc w:val="right"/>
              <w:rPr>
                <w:rFonts w:ascii="Tahoma" w:hAnsi="Tahoma" w:cs="Tahoma"/>
                <w:b/>
                <w:bCs/>
                <w:iCs/>
                <w:color w:val="243285"/>
                <w:sz w:val="44"/>
                <w:szCs w:val="44"/>
                <w:lang w:val="es-ES_tradnl"/>
              </w:rPr>
            </w:pPr>
            <w:r w:rsidRPr="00A13C39">
              <w:rPr>
                <w:rFonts w:ascii="Tahoma" w:hAnsi="Tahoma" w:cs="Tahoma"/>
                <w:b/>
                <w:bCs/>
                <w:color w:val="00007F"/>
                <w:sz w:val="44"/>
                <w:szCs w:val="44"/>
                <w:lang w:val="es-ES"/>
              </w:rPr>
              <w:t>Metodología para evaluar las posibilidades de interferencia causada por las transmisiones del servicio móvil por</w:t>
            </w:r>
            <w:r w:rsidR="00046135">
              <w:rPr>
                <w:rFonts w:ascii="Tahoma" w:hAnsi="Tahoma" w:cs="Tahoma"/>
                <w:b/>
                <w:bCs/>
                <w:color w:val="00007F"/>
                <w:sz w:val="44"/>
                <w:szCs w:val="44"/>
                <w:lang w:val="es-ES"/>
              </w:rPr>
              <w:br/>
            </w:r>
            <w:r w:rsidRPr="00A13C39">
              <w:rPr>
                <w:rFonts w:ascii="Tahoma" w:hAnsi="Tahoma" w:cs="Tahoma"/>
                <w:b/>
                <w:bCs/>
                <w:color w:val="00007F"/>
                <w:sz w:val="44"/>
                <w:szCs w:val="44"/>
                <w:lang w:val="es-ES"/>
              </w:rPr>
              <w:t>satélite (</w:t>
            </w:r>
            <w:proofErr w:type="spellStart"/>
            <w:r w:rsidRPr="00A13C39">
              <w:rPr>
                <w:rFonts w:ascii="Tahoma" w:hAnsi="Tahoma" w:cs="Tahoma"/>
                <w:b/>
                <w:bCs/>
                <w:color w:val="00007F"/>
                <w:sz w:val="44"/>
                <w:szCs w:val="44"/>
                <w:lang w:val="es-ES"/>
              </w:rPr>
              <w:t>SMS</w:t>
            </w:r>
            <w:proofErr w:type="spellEnd"/>
            <w:r w:rsidRPr="00A13C39">
              <w:rPr>
                <w:rFonts w:ascii="Tahoma" w:hAnsi="Tahoma" w:cs="Tahoma"/>
                <w:b/>
                <w:bCs/>
                <w:color w:val="00007F"/>
                <w:sz w:val="44"/>
                <w:szCs w:val="44"/>
                <w:lang w:val="es-ES"/>
              </w:rPr>
              <w:t>) (Tierra-espacio)</w:t>
            </w:r>
            <w:r>
              <w:rPr>
                <w:rFonts w:ascii="Tahoma" w:hAnsi="Tahoma" w:cs="Tahoma"/>
                <w:b/>
                <w:bCs/>
                <w:color w:val="00007F"/>
                <w:sz w:val="44"/>
                <w:szCs w:val="44"/>
                <w:lang w:val="es-ES"/>
              </w:rPr>
              <w:t xml:space="preserve"> </w:t>
            </w:r>
            <w:r w:rsidRPr="00A13C39">
              <w:rPr>
                <w:rFonts w:ascii="Tahoma" w:hAnsi="Tahoma" w:cs="Tahoma"/>
                <w:b/>
                <w:bCs/>
                <w:color w:val="00007F"/>
                <w:sz w:val="44"/>
                <w:szCs w:val="44"/>
                <w:lang w:val="es-ES"/>
              </w:rPr>
              <w:t>con acceso múltiple por división en el tiempo/</w:t>
            </w:r>
            <w:r w:rsidR="00046135">
              <w:rPr>
                <w:rFonts w:ascii="Tahoma" w:hAnsi="Tahoma" w:cs="Tahoma"/>
                <w:b/>
                <w:bCs/>
                <w:color w:val="00007F"/>
                <w:sz w:val="44"/>
                <w:szCs w:val="44"/>
                <w:lang w:val="es-ES"/>
              </w:rPr>
              <w:br/>
            </w:r>
            <w:r w:rsidRPr="00A13C39">
              <w:rPr>
                <w:rFonts w:ascii="Tahoma" w:hAnsi="Tahoma" w:cs="Tahoma"/>
                <w:b/>
                <w:bCs/>
                <w:color w:val="00007F"/>
                <w:sz w:val="44"/>
                <w:szCs w:val="44"/>
                <w:lang w:val="es-ES"/>
              </w:rPr>
              <w:t>acceso múltiple por</w:t>
            </w:r>
            <w:r>
              <w:rPr>
                <w:rFonts w:ascii="Tahoma" w:hAnsi="Tahoma" w:cs="Tahoma"/>
                <w:b/>
                <w:bCs/>
                <w:color w:val="00007F"/>
                <w:sz w:val="44"/>
                <w:szCs w:val="44"/>
                <w:lang w:val="es-ES"/>
              </w:rPr>
              <w:t xml:space="preserve"> </w:t>
            </w:r>
            <w:r w:rsidRPr="00A13C39">
              <w:rPr>
                <w:rFonts w:ascii="Tahoma" w:hAnsi="Tahoma" w:cs="Tahoma"/>
                <w:b/>
                <w:bCs/>
                <w:color w:val="00007F"/>
                <w:sz w:val="44"/>
                <w:szCs w:val="44"/>
                <w:lang w:val="es-ES"/>
              </w:rPr>
              <w:t>división en</w:t>
            </w:r>
            <w:r w:rsidR="00046135">
              <w:rPr>
                <w:rFonts w:ascii="Tahoma" w:hAnsi="Tahoma" w:cs="Tahoma"/>
                <w:b/>
                <w:bCs/>
                <w:color w:val="00007F"/>
                <w:sz w:val="44"/>
                <w:szCs w:val="44"/>
                <w:lang w:val="es-ES"/>
              </w:rPr>
              <w:br/>
            </w:r>
            <w:r w:rsidRPr="00A13C39">
              <w:rPr>
                <w:rFonts w:ascii="Tahoma" w:hAnsi="Tahoma" w:cs="Tahoma"/>
                <w:b/>
                <w:bCs/>
                <w:color w:val="00007F"/>
                <w:sz w:val="44"/>
                <w:szCs w:val="44"/>
                <w:lang w:val="es-ES"/>
              </w:rPr>
              <w:t>frecuencia (</w:t>
            </w:r>
            <w:proofErr w:type="spellStart"/>
            <w:r w:rsidRPr="00A13C39">
              <w:rPr>
                <w:rFonts w:ascii="Tahoma" w:hAnsi="Tahoma" w:cs="Tahoma"/>
                <w:b/>
                <w:bCs/>
                <w:color w:val="00007F"/>
                <w:sz w:val="44"/>
                <w:szCs w:val="44"/>
                <w:lang w:val="es-ES"/>
              </w:rPr>
              <w:t>AMDT</w:t>
            </w:r>
            <w:proofErr w:type="spellEnd"/>
            <w:r w:rsidRPr="00A13C39">
              <w:rPr>
                <w:rFonts w:ascii="Tahoma" w:hAnsi="Tahoma" w:cs="Tahoma"/>
                <w:b/>
                <w:bCs/>
                <w:color w:val="00007F"/>
                <w:sz w:val="44"/>
                <w:szCs w:val="44"/>
                <w:lang w:val="es-ES"/>
              </w:rPr>
              <w:t>/</w:t>
            </w:r>
            <w:proofErr w:type="spellStart"/>
            <w:r w:rsidRPr="00A13C39">
              <w:rPr>
                <w:rFonts w:ascii="Tahoma" w:hAnsi="Tahoma" w:cs="Tahoma"/>
                <w:b/>
                <w:bCs/>
                <w:color w:val="00007F"/>
                <w:sz w:val="44"/>
                <w:szCs w:val="44"/>
                <w:lang w:val="es-ES"/>
              </w:rPr>
              <w:t>AMDF</w:t>
            </w:r>
            <w:proofErr w:type="spellEnd"/>
            <w:r w:rsidRPr="00A13C39">
              <w:rPr>
                <w:rFonts w:ascii="Tahoma" w:hAnsi="Tahoma" w:cs="Tahoma"/>
                <w:b/>
                <w:bCs/>
                <w:color w:val="00007F"/>
                <w:sz w:val="44"/>
                <w:szCs w:val="44"/>
                <w:lang w:val="es-ES"/>
              </w:rPr>
              <w:t>) a</w:t>
            </w:r>
            <w:r>
              <w:rPr>
                <w:rFonts w:ascii="Tahoma" w:hAnsi="Tahoma" w:cs="Tahoma"/>
                <w:b/>
                <w:bCs/>
                <w:color w:val="00007F"/>
                <w:sz w:val="44"/>
                <w:szCs w:val="44"/>
                <w:lang w:val="es-ES"/>
              </w:rPr>
              <w:t xml:space="preserve"> </w:t>
            </w:r>
            <w:r w:rsidRPr="00A13C39">
              <w:rPr>
                <w:rFonts w:ascii="Tahoma" w:hAnsi="Tahoma" w:cs="Tahoma"/>
                <w:b/>
                <w:bCs/>
                <w:color w:val="00007F"/>
                <w:sz w:val="44"/>
                <w:szCs w:val="44"/>
                <w:lang w:val="es-ES"/>
              </w:rPr>
              <w:t>los receptores del</w:t>
            </w:r>
            <w:r>
              <w:rPr>
                <w:rFonts w:ascii="Tahoma" w:hAnsi="Tahoma" w:cs="Tahoma"/>
                <w:b/>
                <w:bCs/>
                <w:color w:val="00007F"/>
                <w:sz w:val="44"/>
                <w:szCs w:val="44"/>
                <w:lang w:val="es-ES"/>
              </w:rPr>
              <w:t xml:space="preserve"> </w:t>
            </w:r>
            <w:r w:rsidRPr="00A13C39">
              <w:rPr>
                <w:rFonts w:ascii="Tahoma" w:hAnsi="Tahoma" w:cs="Tahoma"/>
                <w:b/>
                <w:bCs/>
                <w:color w:val="00007F"/>
                <w:sz w:val="44"/>
                <w:szCs w:val="44"/>
                <w:lang w:val="es-ES"/>
              </w:rPr>
              <w:t>servicio fijo con visibilidad directa (</w:t>
            </w:r>
            <w:proofErr w:type="spellStart"/>
            <w:r w:rsidRPr="00A13C39">
              <w:rPr>
                <w:rFonts w:ascii="Tahoma" w:hAnsi="Tahoma" w:cs="Tahoma"/>
                <w:b/>
                <w:bCs/>
                <w:color w:val="00007F"/>
                <w:sz w:val="44"/>
                <w:szCs w:val="44"/>
                <w:lang w:val="es-ES"/>
              </w:rPr>
              <w:t>LoS</w:t>
            </w:r>
            <w:proofErr w:type="spellEnd"/>
            <w:r w:rsidRPr="00A13C39">
              <w:rPr>
                <w:rFonts w:ascii="Tahoma" w:hAnsi="Tahoma" w:cs="Tahoma"/>
                <w:b/>
                <w:bCs/>
                <w:color w:val="00007F"/>
                <w:sz w:val="44"/>
                <w:szCs w:val="44"/>
                <w:lang w:val="es-ES"/>
              </w:rPr>
              <w:t>) en la gama de frecuencias 1-3 GHz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CF3C1E"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042292" w:rsidRPr="00021E8A" w:rsidRDefault="00042292" w:rsidP="00042292">
      <w:pPr>
        <w:spacing w:before="180"/>
        <w:rPr>
          <w:sz w:val="20"/>
          <w:lang w:val="es-ES_tradnl"/>
        </w:rPr>
      </w:pPr>
      <w:r w:rsidRPr="00021E8A">
        <w:rPr>
          <w:sz w:val="20"/>
          <w:lang w:val="es-ES_tradnl"/>
        </w:rPr>
        <w:t xml:space="preserve">La política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Derechos de Propiedad Intelectual se describe en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r w:rsidR="00975893">
        <w:fldChar w:fldCharType="begin"/>
      </w:r>
      <w:r w:rsidR="00975893" w:rsidRPr="00CF3C1E">
        <w:rPr>
          <w:lang w:val="es-ES_tradnl"/>
        </w:rPr>
        <w:instrText>HYPERLINK "http://www.itu.int/ITU-R/go/patents/es"</w:instrText>
      </w:r>
      <w:r w:rsidR="00975893">
        <w:fldChar w:fldCharType="separate"/>
      </w:r>
      <w:r w:rsidRPr="00021E8A">
        <w:rPr>
          <w:rStyle w:val="Hyperlink"/>
          <w:sz w:val="20"/>
          <w:lang w:val="es-ES_tradnl"/>
        </w:rPr>
        <w:t>http://www.itu.int/ITU-R/go/patents/es</w:t>
      </w:r>
      <w:r w:rsidR="00975893">
        <w:fldChar w:fldCharType="end"/>
      </w:r>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CF3C1E"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975893">
              <w:fldChar w:fldCharType="begin"/>
            </w:r>
            <w:r w:rsidR="00975893" w:rsidRPr="00CF3C1E">
              <w:rPr>
                <w:lang w:val="es-ES_tradnl"/>
              </w:rPr>
              <w:instrText>HYPERLINK "http://www.itu.int/publ/R-REC/es"</w:instrText>
            </w:r>
            <w:r w:rsidR="00975893">
              <w:fldChar w:fldCharType="separate"/>
            </w:r>
            <w:r>
              <w:rPr>
                <w:rStyle w:val="Hyperlink"/>
                <w:b w:val="0"/>
                <w:bCs/>
                <w:sz w:val="18"/>
                <w:szCs w:val="18"/>
                <w:lang w:val="es-ES_tradnl"/>
              </w:rPr>
              <w:t>http://www.itu.int/publ/R-REC/es</w:t>
            </w:r>
            <w:r w:rsidR="00975893">
              <w:fldChar w:fldCharType="end"/>
            </w:r>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42292" w:rsidRPr="00CF3C1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sonora</w:t>
            </w:r>
            <w:proofErr w:type="spellEnd"/>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42292" w:rsidRPr="00CF3C1E"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CF3C1E"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042292" w:rsidRPr="00CF3C1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42292" w:rsidRPr="00CF3C1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proofErr w:type="spellStart"/>
            <w:r w:rsidRPr="00036EE3">
              <w:rPr>
                <w:b/>
                <w:bCs/>
                <w:sz w:val="20"/>
                <w:lang w:val="en-US"/>
              </w:rPr>
              <w:t>SNG</w:t>
            </w:r>
            <w:proofErr w:type="spellEnd"/>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CF3C1E" w:rsidTr="00CB1354">
        <w:tc>
          <w:tcPr>
            <w:tcW w:w="1140" w:type="dxa"/>
          </w:tcPr>
          <w:p w:rsidR="00042292" w:rsidRPr="00036EE3" w:rsidRDefault="00042292" w:rsidP="00CB1354">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CF3C1E"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1B26B3">
      <w:pPr>
        <w:spacing w:before="0" w:after="40"/>
        <w:jc w:val="right"/>
        <w:rPr>
          <w:sz w:val="20"/>
          <w:lang w:val="es-ES_tradnl"/>
        </w:rPr>
      </w:pPr>
      <w:r w:rsidRPr="00763D08">
        <w:rPr>
          <w:sz w:val="20"/>
          <w:lang w:val="es-ES_tradnl"/>
        </w:rPr>
        <w:t>Ginebra, 20</w:t>
      </w:r>
      <w:r w:rsidR="001B26B3">
        <w:rPr>
          <w:sz w:val="20"/>
          <w:lang w:val="es-ES_tradnl"/>
        </w:rPr>
        <w:t>10</w:t>
      </w:r>
    </w:p>
    <w:p w:rsidR="00042292" w:rsidRPr="00763D08" w:rsidRDefault="00042292" w:rsidP="00042292">
      <w:pPr>
        <w:spacing w:before="0"/>
        <w:jc w:val="center"/>
        <w:rPr>
          <w:sz w:val="22"/>
          <w:lang w:val="es-ES_tradnl"/>
        </w:rPr>
      </w:pPr>
    </w:p>
    <w:p w:rsidR="00042292" w:rsidRPr="00763D08" w:rsidRDefault="00042292" w:rsidP="001B26B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10</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9"/>
          <w:headerReference w:type="default" r:id="rId10"/>
          <w:pgSz w:w="11907" w:h="16834" w:code="9"/>
          <w:pgMar w:top="1418" w:right="1134" w:bottom="1134" w:left="1134" w:header="720" w:footer="482" w:gutter="0"/>
          <w:pgNumType w:fmt="lowerRoman" w:start="2"/>
          <w:cols w:space="720"/>
        </w:sectPr>
      </w:pPr>
    </w:p>
    <w:p w:rsidR="00AE2CA3" w:rsidRPr="001C7F89" w:rsidRDefault="00AE2CA3" w:rsidP="00AE2CA3">
      <w:pPr>
        <w:pStyle w:val="RecNo"/>
        <w:spacing w:before="0"/>
        <w:rPr>
          <w:lang w:val="es-ES_tradnl"/>
        </w:rPr>
      </w:pPr>
      <w:bookmarkStart w:id="2" w:name="irecnoe"/>
      <w:bookmarkEnd w:id="2"/>
      <w:r w:rsidRPr="001C7F89">
        <w:rPr>
          <w:lang w:val="es-ES_tradnl"/>
        </w:rPr>
        <w:lastRenderedPageBreak/>
        <w:t xml:space="preserve">RECOMENDACIÓN  </w:t>
      </w:r>
      <w:r w:rsidRPr="001C7F89">
        <w:rPr>
          <w:rStyle w:val="href"/>
          <w:lang w:val="es-ES_tradnl"/>
        </w:rPr>
        <w:t>UIT-R  M.1469-2</w:t>
      </w:r>
      <w:r w:rsidR="0064659B" w:rsidRPr="001C7F89">
        <w:rPr>
          <w:rStyle w:val="FootnoteReference"/>
          <w:lang w:val="es-ES_tradnl"/>
        </w:rPr>
        <w:footnoteReference w:customMarkFollows="1" w:id="1"/>
        <w:t>*</w:t>
      </w:r>
    </w:p>
    <w:p w:rsidR="00042292" w:rsidRPr="001C7F89" w:rsidRDefault="00AE2CA3" w:rsidP="00984C2D">
      <w:pPr>
        <w:pStyle w:val="Rectitle"/>
        <w:rPr>
          <w:bCs/>
          <w:position w:val="6"/>
          <w:sz w:val="18"/>
          <w:szCs w:val="18"/>
          <w:lang w:val="es-ES_tradnl"/>
        </w:rPr>
      </w:pPr>
      <w:r w:rsidRPr="001C7F89">
        <w:rPr>
          <w:bCs/>
          <w:szCs w:val="28"/>
          <w:lang w:val="es-ES_tradnl"/>
        </w:rPr>
        <w:t>Metodología para evaluar las posibilidades de interferencia causada</w:t>
      </w:r>
      <w:r w:rsidR="003901D5">
        <w:rPr>
          <w:bCs/>
          <w:szCs w:val="28"/>
          <w:lang w:val="es-ES_tradnl"/>
        </w:rPr>
        <w:t xml:space="preserve"> </w:t>
      </w:r>
      <w:r w:rsidRPr="001C7F89">
        <w:rPr>
          <w:bCs/>
          <w:szCs w:val="28"/>
          <w:lang w:val="es-ES_tradnl"/>
        </w:rPr>
        <w:t>por</w:t>
      </w:r>
      <w:r w:rsidR="002B63D1">
        <w:rPr>
          <w:bCs/>
          <w:szCs w:val="28"/>
          <w:lang w:val="es-ES_tradnl"/>
        </w:rPr>
        <w:t xml:space="preserve"> </w:t>
      </w:r>
      <w:r w:rsidR="002B63D1" w:rsidRPr="001C7F89">
        <w:rPr>
          <w:bCs/>
          <w:szCs w:val="28"/>
          <w:lang w:val="es-ES_tradnl"/>
        </w:rPr>
        <w:t>las</w:t>
      </w:r>
      <w:r w:rsidR="003901D5">
        <w:rPr>
          <w:bCs/>
          <w:szCs w:val="28"/>
          <w:lang w:val="es-ES_tradnl"/>
        </w:rPr>
        <w:br/>
      </w:r>
      <w:r w:rsidRPr="001C7F89">
        <w:rPr>
          <w:bCs/>
          <w:szCs w:val="28"/>
          <w:lang w:val="es-ES_tradnl"/>
        </w:rPr>
        <w:t>transmisiones del servicio móvil por satélite (</w:t>
      </w:r>
      <w:proofErr w:type="spellStart"/>
      <w:r w:rsidRPr="001C7F89">
        <w:rPr>
          <w:bCs/>
          <w:szCs w:val="28"/>
          <w:lang w:val="es-ES_tradnl"/>
        </w:rPr>
        <w:t>SMS</w:t>
      </w:r>
      <w:proofErr w:type="spellEnd"/>
      <w:r w:rsidRPr="001C7F89">
        <w:rPr>
          <w:bCs/>
          <w:szCs w:val="28"/>
          <w:lang w:val="es-ES_tradnl"/>
        </w:rPr>
        <w:t>)</w:t>
      </w:r>
      <w:r w:rsidR="003901D5">
        <w:rPr>
          <w:bCs/>
          <w:szCs w:val="28"/>
          <w:lang w:val="es-ES_tradnl"/>
        </w:rPr>
        <w:t xml:space="preserve"> </w:t>
      </w:r>
      <w:r w:rsidRPr="001C7F89">
        <w:rPr>
          <w:bCs/>
          <w:szCs w:val="28"/>
          <w:lang w:val="es-ES_tradnl"/>
        </w:rPr>
        <w:t>(Tierra-espacio)</w:t>
      </w:r>
      <w:r w:rsidR="002B63D1">
        <w:rPr>
          <w:bCs/>
          <w:szCs w:val="28"/>
          <w:lang w:val="es-ES_tradnl"/>
        </w:rPr>
        <w:t xml:space="preserve"> </w:t>
      </w:r>
      <w:r w:rsidR="002B63D1" w:rsidRPr="001C7F89">
        <w:rPr>
          <w:bCs/>
          <w:szCs w:val="28"/>
          <w:lang w:val="es-ES_tradnl"/>
        </w:rPr>
        <w:t>con</w:t>
      </w:r>
      <w:r w:rsidR="003901D5">
        <w:rPr>
          <w:bCs/>
          <w:szCs w:val="28"/>
          <w:lang w:val="es-ES_tradnl"/>
        </w:rPr>
        <w:br/>
      </w:r>
      <w:r w:rsidRPr="001C7F89">
        <w:rPr>
          <w:bCs/>
          <w:szCs w:val="28"/>
          <w:lang w:val="es-ES_tradnl"/>
        </w:rPr>
        <w:t>acceso múltiple por división en el</w:t>
      </w:r>
      <w:r w:rsidR="003901D5">
        <w:rPr>
          <w:bCs/>
          <w:szCs w:val="28"/>
          <w:lang w:val="es-ES_tradnl"/>
        </w:rPr>
        <w:t xml:space="preserve"> </w:t>
      </w:r>
      <w:r w:rsidRPr="001C7F89">
        <w:rPr>
          <w:bCs/>
          <w:szCs w:val="28"/>
          <w:lang w:val="es-ES_tradnl"/>
        </w:rPr>
        <w:t>tiempo/acceso</w:t>
      </w:r>
      <w:r w:rsidR="0064659B" w:rsidRPr="001C7F89">
        <w:rPr>
          <w:bCs/>
          <w:szCs w:val="28"/>
          <w:lang w:val="es-ES_tradnl"/>
        </w:rPr>
        <w:t xml:space="preserve"> </w:t>
      </w:r>
      <w:r w:rsidRPr="001C7F89">
        <w:rPr>
          <w:bCs/>
          <w:szCs w:val="28"/>
          <w:lang w:val="es-ES_tradnl"/>
        </w:rPr>
        <w:t>múltiple por</w:t>
      </w:r>
      <w:r w:rsidR="0064659B" w:rsidRPr="001C7F89">
        <w:rPr>
          <w:bCs/>
          <w:szCs w:val="28"/>
          <w:lang w:val="es-ES_tradnl"/>
        </w:rPr>
        <w:t xml:space="preserve"> </w:t>
      </w:r>
      <w:r w:rsidRPr="001C7F89">
        <w:rPr>
          <w:bCs/>
          <w:szCs w:val="28"/>
          <w:lang w:val="es-ES_tradnl"/>
        </w:rPr>
        <w:t>división</w:t>
      </w:r>
      <w:r w:rsidR="003901D5">
        <w:rPr>
          <w:bCs/>
          <w:szCs w:val="28"/>
          <w:lang w:val="es-ES_tradnl"/>
        </w:rPr>
        <w:br/>
      </w:r>
      <w:r w:rsidRPr="001C7F89">
        <w:rPr>
          <w:bCs/>
          <w:szCs w:val="28"/>
          <w:lang w:val="es-ES_tradnl"/>
        </w:rPr>
        <w:t>en frecuencia</w:t>
      </w:r>
      <w:r w:rsidR="003901D5">
        <w:rPr>
          <w:bCs/>
          <w:szCs w:val="28"/>
          <w:lang w:val="es-ES_tradnl"/>
        </w:rPr>
        <w:t xml:space="preserve"> </w:t>
      </w:r>
      <w:r w:rsidRPr="001C7F89">
        <w:rPr>
          <w:bCs/>
          <w:szCs w:val="28"/>
          <w:lang w:val="es-ES_tradnl"/>
        </w:rPr>
        <w:t>(</w:t>
      </w:r>
      <w:proofErr w:type="spellStart"/>
      <w:r w:rsidRPr="001C7F89">
        <w:rPr>
          <w:bCs/>
          <w:szCs w:val="28"/>
          <w:lang w:val="es-ES_tradnl"/>
        </w:rPr>
        <w:t>AMDT</w:t>
      </w:r>
      <w:proofErr w:type="spellEnd"/>
      <w:r w:rsidRPr="001C7F89">
        <w:rPr>
          <w:bCs/>
          <w:szCs w:val="28"/>
          <w:lang w:val="es-ES_tradnl"/>
        </w:rPr>
        <w:t>/</w:t>
      </w:r>
      <w:proofErr w:type="spellStart"/>
      <w:r w:rsidRPr="001C7F89">
        <w:rPr>
          <w:bCs/>
          <w:szCs w:val="28"/>
          <w:lang w:val="es-ES_tradnl"/>
        </w:rPr>
        <w:t>AMDF</w:t>
      </w:r>
      <w:proofErr w:type="spellEnd"/>
      <w:r w:rsidRPr="001C7F89">
        <w:rPr>
          <w:bCs/>
          <w:szCs w:val="28"/>
          <w:lang w:val="es-ES_tradnl"/>
        </w:rPr>
        <w:t>) a los receptores del</w:t>
      </w:r>
      <w:r w:rsidR="0064659B" w:rsidRPr="001C7F89">
        <w:rPr>
          <w:bCs/>
          <w:szCs w:val="28"/>
          <w:lang w:val="es-ES_tradnl"/>
        </w:rPr>
        <w:t xml:space="preserve"> </w:t>
      </w:r>
      <w:r w:rsidRPr="001C7F89">
        <w:rPr>
          <w:bCs/>
          <w:szCs w:val="28"/>
          <w:lang w:val="es-ES_tradnl"/>
        </w:rPr>
        <w:t>servicio fijo</w:t>
      </w:r>
      <w:r w:rsidR="00984C2D">
        <w:rPr>
          <w:bCs/>
          <w:szCs w:val="28"/>
          <w:lang w:val="es-ES_tradnl"/>
        </w:rPr>
        <w:t xml:space="preserve"> </w:t>
      </w:r>
      <w:r w:rsidR="00984C2D" w:rsidRPr="001C7F89">
        <w:rPr>
          <w:bCs/>
          <w:szCs w:val="28"/>
          <w:lang w:val="es-ES_tradnl"/>
        </w:rPr>
        <w:t>con</w:t>
      </w:r>
      <w:r w:rsidR="002B63D1">
        <w:rPr>
          <w:bCs/>
          <w:szCs w:val="28"/>
          <w:lang w:val="es-ES_tradnl"/>
        </w:rPr>
        <w:br/>
      </w:r>
      <w:r w:rsidRPr="001C7F89">
        <w:rPr>
          <w:bCs/>
          <w:szCs w:val="28"/>
          <w:lang w:val="es-ES_tradnl"/>
        </w:rPr>
        <w:t>visibilidad directa (</w:t>
      </w:r>
      <w:proofErr w:type="spellStart"/>
      <w:r w:rsidRPr="001C7F89">
        <w:rPr>
          <w:bCs/>
          <w:szCs w:val="28"/>
          <w:lang w:val="es-ES_tradnl"/>
        </w:rPr>
        <w:t>LoS</w:t>
      </w:r>
      <w:proofErr w:type="spellEnd"/>
      <w:r w:rsidRPr="001C7F89">
        <w:rPr>
          <w:bCs/>
          <w:szCs w:val="28"/>
          <w:lang w:val="es-ES_tradnl"/>
        </w:rPr>
        <w:t>) en la gama</w:t>
      </w:r>
      <w:r w:rsidR="003901D5">
        <w:rPr>
          <w:bCs/>
          <w:szCs w:val="28"/>
          <w:lang w:val="es-ES_tradnl"/>
        </w:rPr>
        <w:t xml:space="preserve"> </w:t>
      </w:r>
      <w:r w:rsidRPr="001C7F89">
        <w:rPr>
          <w:bCs/>
          <w:szCs w:val="28"/>
          <w:lang w:val="es-ES_tradnl"/>
        </w:rPr>
        <w:t>de frecuencias 1-3 GHz</w:t>
      </w:r>
      <w:r w:rsidR="0064659B" w:rsidRPr="001C7F89">
        <w:rPr>
          <w:rStyle w:val="FootnoteReference"/>
          <w:bCs/>
          <w:szCs w:val="28"/>
          <w:lang w:val="es-ES_tradnl"/>
        </w:rPr>
        <w:footnoteReference w:customMarkFollows="1" w:id="2"/>
        <w:t>**</w:t>
      </w:r>
    </w:p>
    <w:p w:rsidR="00AE2CA3" w:rsidRDefault="00AE2CA3" w:rsidP="00AE2CA3">
      <w:pPr>
        <w:pStyle w:val="Recref"/>
        <w:rPr>
          <w:lang w:val="es-ES_tradnl"/>
        </w:rPr>
      </w:pPr>
      <w:r w:rsidRPr="001C7F89">
        <w:rPr>
          <w:lang w:val="es-ES_tradnl"/>
        </w:rPr>
        <w:t>(Cuestiones UIT-R 201/4 y UIT-R 118/5)</w:t>
      </w:r>
    </w:p>
    <w:p w:rsidR="00AE2CA3" w:rsidRDefault="00AE2CA3" w:rsidP="00AE2CA3">
      <w:pPr>
        <w:pStyle w:val="Recdate"/>
        <w:rPr>
          <w:lang w:val="es-ES_tradnl"/>
        </w:rPr>
      </w:pPr>
      <w:r w:rsidRPr="001C7F89">
        <w:rPr>
          <w:lang w:val="es-ES_tradnl"/>
        </w:rPr>
        <w:t>(2000-2005-2010)</w:t>
      </w:r>
    </w:p>
    <w:p w:rsidR="00AE2CA3" w:rsidRPr="001C7F89" w:rsidRDefault="00AE2CA3" w:rsidP="0064659B">
      <w:pPr>
        <w:pStyle w:val="HeadingSum"/>
      </w:pPr>
      <w:r w:rsidRPr="001C7F89">
        <w:t>Cometido</w:t>
      </w:r>
    </w:p>
    <w:p w:rsidR="00AE2CA3" w:rsidRPr="001C7F89" w:rsidRDefault="00AE2CA3" w:rsidP="0064659B">
      <w:pPr>
        <w:pStyle w:val="Summary"/>
      </w:pPr>
      <w:r w:rsidRPr="001C7F89">
        <w:t>Esta Recomendación proporciona una metodología que puede utilizarse para evaluar la posible interferencia causada por las instalaciones de las estaciones terrenas móviles (</w:t>
      </w:r>
      <w:proofErr w:type="spellStart"/>
      <w:r w:rsidRPr="001C7F89">
        <w:t>ETM</w:t>
      </w:r>
      <w:proofErr w:type="spellEnd"/>
      <w:r w:rsidRPr="001C7F89">
        <w:t>) que utilizan antenas no directivas a los receptores del servicio fijo con visibilidad directa (</w:t>
      </w:r>
      <w:proofErr w:type="spellStart"/>
      <w:r w:rsidRPr="001C7F89">
        <w:t>LoS</w:t>
      </w:r>
      <w:proofErr w:type="spellEnd"/>
      <w:r w:rsidRPr="001C7F89">
        <w:t>) en la gama de 1-3 </w:t>
      </w:r>
      <w:proofErr w:type="spellStart"/>
      <w:r w:rsidRPr="001C7F89">
        <w:t>GHz.</w:t>
      </w:r>
      <w:proofErr w:type="spellEnd"/>
      <w:r w:rsidRPr="001C7F89">
        <w:t xml:space="preserve"> El método ofrece predicciones de la probabilidad de interferencia provocada a los receptores del servicio fijo en zonas donde existe compartición de frecuencias entre los dos servicios.</w:t>
      </w:r>
    </w:p>
    <w:p w:rsidR="00AE2CA3" w:rsidRPr="001C7F89" w:rsidRDefault="00AE2CA3" w:rsidP="0064659B">
      <w:pPr>
        <w:pStyle w:val="Normalaftertitle"/>
        <w:rPr>
          <w:lang w:val="es-ES_tradnl"/>
        </w:rPr>
      </w:pPr>
      <w:r w:rsidRPr="001C7F89">
        <w:rPr>
          <w:lang w:val="es-ES_tradnl"/>
        </w:rPr>
        <w:t>La Asamblea de Radiocomunicaciones de la UIT,</w:t>
      </w:r>
    </w:p>
    <w:p w:rsidR="00AE2CA3" w:rsidRPr="001C7F89" w:rsidRDefault="00AE2CA3" w:rsidP="00AE2CA3">
      <w:pPr>
        <w:keepNext/>
        <w:keepLines/>
        <w:spacing w:before="160"/>
        <w:ind w:left="794"/>
        <w:rPr>
          <w:i/>
          <w:iCs/>
          <w:lang w:val="es-ES_tradnl"/>
        </w:rPr>
      </w:pPr>
      <w:r w:rsidRPr="001C7F89">
        <w:rPr>
          <w:i/>
          <w:iCs/>
          <w:lang w:val="es-ES_tradnl"/>
        </w:rPr>
        <w:t>considerando</w:t>
      </w:r>
    </w:p>
    <w:p w:rsidR="00AE2CA3" w:rsidRPr="001C7F89" w:rsidRDefault="00AE2CA3" w:rsidP="00984C2D">
      <w:pPr>
        <w:rPr>
          <w:lang w:val="es-ES_tradnl"/>
        </w:rPr>
      </w:pPr>
      <w:r w:rsidRPr="001C7F89">
        <w:rPr>
          <w:lang w:val="es-ES_tradnl"/>
        </w:rPr>
        <w:t>a)</w:t>
      </w:r>
      <w:r w:rsidRPr="001C7F89">
        <w:rPr>
          <w:lang w:val="es-ES_tradnl"/>
        </w:rPr>
        <w:tab/>
        <w:t>que la banda de frecuencias 1</w:t>
      </w:r>
      <w:r w:rsidR="00984C2D" w:rsidRPr="001C7F89">
        <w:rPr>
          <w:rFonts w:ascii="Tms Rmn" w:hAnsi="Tms Rmn" w:cs="Tms Rmn"/>
          <w:sz w:val="12"/>
          <w:szCs w:val="12"/>
          <w:lang w:val="es-ES_tradnl"/>
        </w:rPr>
        <w:t> </w:t>
      </w:r>
      <w:r w:rsidRPr="001C7F89">
        <w:rPr>
          <w:lang w:val="es-ES_tradnl"/>
        </w:rPr>
        <w:t>626,5-1</w:t>
      </w:r>
      <w:r w:rsidR="00984C2D" w:rsidRPr="001C7F89">
        <w:rPr>
          <w:rFonts w:ascii="Tms Rmn" w:hAnsi="Tms Rmn" w:cs="Tms Rmn"/>
          <w:sz w:val="12"/>
          <w:szCs w:val="12"/>
          <w:lang w:val="es-ES_tradnl"/>
        </w:rPr>
        <w:t> </w:t>
      </w:r>
      <w:r w:rsidRPr="001C7F89">
        <w:rPr>
          <w:lang w:val="es-ES_tradnl"/>
        </w:rPr>
        <w:t>660,5 MHz está atribuida al servicio móvil por satélite (</w:t>
      </w:r>
      <w:proofErr w:type="spellStart"/>
      <w:r w:rsidRPr="001C7F89">
        <w:rPr>
          <w:lang w:val="es-ES_tradnl"/>
        </w:rPr>
        <w:t>SMS</w:t>
      </w:r>
      <w:proofErr w:type="spellEnd"/>
      <w:r w:rsidRPr="001C7F89">
        <w:rPr>
          <w:lang w:val="es-ES_tradnl"/>
        </w:rPr>
        <w:t>) (Tierra-espacio) a título primario en todas las Regiones;</w:t>
      </w:r>
    </w:p>
    <w:p w:rsidR="00AE2CA3" w:rsidRPr="001C7F89" w:rsidRDefault="00AE2CA3" w:rsidP="00984C2D">
      <w:pPr>
        <w:rPr>
          <w:lang w:val="es-ES_tradnl"/>
        </w:rPr>
      </w:pPr>
      <w:r w:rsidRPr="001C7F89">
        <w:rPr>
          <w:lang w:val="es-ES_tradnl"/>
        </w:rPr>
        <w:t>b)</w:t>
      </w:r>
      <w:r w:rsidRPr="001C7F89">
        <w:rPr>
          <w:lang w:val="es-ES_tradnl"/>
        </w:rPr>
        <w:tab/>
        <w:t>que las bandas de frecuencias 1</w:t>
      </w:r>
      <w:r w:rsidR="00984C2D" w:rsidRPr="001C7F89">
        <w:rPr>
          <w:rFonts w:ascii="Tms Rmn" w:hAnsi="Tms Rmn" w:cs="Tms Rmn"/>
          <w:sz w:val="12"/>
          <w:szCs w:val="12"/>
          <w:lang w:val="es-ES_tradnl"/>
        </w:rPr>
        <w:t> </w:t>
      </w:r>
      <w:r w:rsidRPr="001C7F89">
        <w:rPr>
          <w:lang w:val="es-ES_tradnl"/>
        </w:rPr>
        <w:t>626,5-1</w:t>
      </w:r>
      <w:r w:rsidR="00984C2D" w:rsidRPr="001C7F89">
        <w:rPr>
          <w:rFonts w:ascii="Tms Rmn" w:hAnsi="Tms Rmn" w:cs="Tms Rmn"/>
          <w:sz w:val="12"/>
          <w:szCs w:val="12"/>
          <w:lang w:val="es-ES_tradnl"/>
        </w:rPr>
        <w:t> </w:t>
      </w:r>
      <w:r w:rsidRPr="001C7F89">
        <w:rPr>
          <w:lang w:val="es-ES_tradnl"/>
        </w:rPr>
        <w:t>645,5 MHz y 1</w:t>
      </w:r>
      <w:r w:rsidR="00984C2D" w:rsidRPr="001C7F89">
        <w:rPr>
          <w:rFonts w:ascii="Tms Rmn" w:hAnsi="Tms Rmn" w:cs="Tms Rmn"/>
          <w:sz w:val="12"/>
          <w:szCs w:val="12"/>
          <w:lang w:val="es-ES_tradnl"/>
        </w:rPr>
        <w:t> </w:t>
      </w:r>
      <w:r w:rsidRPr="001C7F89">
        <w:rPr>
          <w:lang w:val="es-ES_tradnl"/>
        </w:rPr>
        <w:t>646,5-1</w:t>
      </w:r>
      <w:r w:rsidR="00984C2D" w:rsidRPr="001C7F89">
        <w:rPr>
          <w:rFonts w:ascii="Tms Rmn" w:hAnsi="Tms Rmn" w:cs="Tms Rmn"/>
          <w:sz w:val="12"/>
          <w:szCs w:val="12"/>
          <w:lang w:val="es-ES_tradnl"/>
        </w:rPr>
        <w:t> </w:t>
      </w:r>
      <w:r w:rsidRPr="001C7F89">
        <w:rPr>
          <w:lang w:val="es-ES_tradnl"/>
        </w:rPr>
        <w:t>660 MHz están atribuidas al servicio fijo a tít</w:t>
      </w:r>
      <w:r w:rsidR="003901D5">
        <w:rPr>
          <w:lang w:val="es-ES_tradnl"/>
        </w:rPr>
        <w:t>ulo primario en algunos países;</w:t>
      </w:r>
    </w:p>
    <w:p w:rsidR="00AE2CA3" w:rsidRPr="001C7F89" w:rsidRDefault="00AE2CA3" w:rsidP="00984C2D">
      <w:pPr>
        <w:rPr>
          <w:lang w:val="es-ES_tradnl"/>
        </w:rPr>
      </w:pPr>
      <w:r w:rsidRPr="001C7F89">
        <w:rPr>
          <w:lang w:val="es-ES_tradnl"/>
        </w:rPr>
        <w:t>c)</w:t>
      </w:r>
      <w:r w:rsidRPr="001C7F89">
        <w:rPr>
          <w:lang w:val="es-ES_tradnl"/>
        </w:rPr>
        <w:tab/>
        <w:t>que la banda de frecuencias 1</w:t>
      </w:r>
      <w:r w:rsidR="00984C2D" w:rsidRPr="001C7F89">
        <w:rPr>
          <w:rFonts w:ascii="Tms Rmn" w:hAnsi="Tms Rmn" w:cs="Tms Rmn"/>
          <w:sz w:val="12"/>
          <w:szCs w:val="12"/>
          <w:lang w:val="es-ES_tradnl"/>
        </w:rPr>
        <w:t> </w:t>
      </w:r>
      <w:r w:rsidRPr="001C7F89">
        <w:rPr>
          <w:lang w:val="es-ES_tradnl"/>
        </w:rPr>
        <w:t>668,4-1</w:t>
      </w:r>
      <w:r w:rsidR="00984C2D" w:rsidRPr="001C7F89">
        <w:rPr>
          <w:rFonts w:ascii="Tms Rmn" w:hAnsi="Tms Rmn" w:cs="Tms Rmn"/>
          <w:sz w:val="12"/>
          <w:szCs w:val="12"/>
          <w:lang w:val="es-ES_tradnl"/>
        </w:rPr>
        <w:t> </w:t>
      </w:r>
      <w:r w:rsidRPr="001C7F89">
        <w:rPr>
          <w:lang w:val="es-ES_tradnl"/>
        </w:rPr>
        <w:t xml:space="preserve">675 MHz está atribuida al </w:t>
      </w:r>
      <w:proofErr w:type="spellStart"/>
      <w:r w:rsidRPr="001C7F89">
        <w:rPr>
          <w:lang w:val="es-ES_tradnl"/>
        </w:rPr>
        <w:t>SMS</w:t>
      </w:r>
      <w:proofErr w:type="spellEnd"/>
      <w:r w:rsidRPr="001C7F89">
        <w:rPr>
          <w:lang w:val="es-ES_tradnl"/>
        </w:rPr>
        <w:t xml:space="preserve"> (Tierra-espacio) y al servicio fijo a título primario con igualdad de derechos en todas las Regiones;</w:t>
      </w:r>
    </w:p>
    <w:p w:rsidR="00AE2CA3" w:rsidRPr="001C7F89" w:rsidRDefault="00AE2CA3" w:rsidP="00AE2CA3">
      <w:pPr>
        <w:rPr>
          <w:lang w:val="es-ES_tradnl"/>
        </w:rPr>
      </w:pPr>
      <w:r w:rsidRPr="001C7F89">
        <w:rPr>
          <w:lang w:val="es-ES_tradnl"/>
        </w:rPr>
        <w:t>d)</w:t>
      </w:r>
      <w:r w:rsidRPr="001C7F89">
        <w:rPr>
          <w:lang w:val="es-ES_tradnl"/>
        </w:rPr>
        <w:tab/>
        <w:t>que las bandas de frecuencias 1</w:t>
      </w:r>
      <w:r w:rsidRPr="001C7F89">
        <w:rPr>
          <w:rFonts w:ascii="Tms Rmn" w:hAnsi="Tms Rmn" w:cs="Tms Rmn"/>
          <w:sz w:val="12"/>
          <w:szCs w:val="12"/>
          <w:lang w:val="es-ES_tradnl"/>
        </w:rPr>
        <w:t> </w:t>
      </w:r>
      <w:r w:rsidRPr="001C7F89">
        <w:rPr>
          <w:lang w:val="es-ES_tradnl"/>
        </w:rPr>
        <w:t>980-2</w:t>
      </w:r>
      <w:r w:rsidRPr="001C7F89">
        <w:rPr>
          <w:rFonts w:ascii="Tms Rmn" w:hAnsi="Tms Rmn" w:cs="Tms Rmn"/>
          <w:sz w:val="12"/>
          <w:szCs w:val="12"/>
          <w:lang w:val="es-ES_tradnl"/>
        </w:rPr>
        <w:t> </w:t>
      </w:r>
      <w:r w:rsidRPr="001C7F89">
        <w:rPr>
          <w:lang w:val="es-ES_tradnl"/>
        </w:rPr>
        <w:t>010 MHz en todas las Regiones y 2</w:t>
      </w:r>
      <w:r w:rsidRPr="001C7F89">
        <w:rPr>
          <w:rFonts w:ascii="Tms Rmn" w:hAnsi="Tms Rmn" w:cs="Tms Rmn"/>
          <w:sz w:val="12"/>
          <w:szCs w:val="12"/>
          <w:lang w:val="es-ES_tradnl"/>
        </w:rPr>
        <w:t> </w:t>
      </w:r>
      <w:r w:rsidRPr="001C7F89">
        <w:rPr>
          <w:lang w:val="es-ES_tradnl"/>
        </w:rPr>
        <w:t>010-2</w:t>
      </w:r>
      <w:r w:rsidRPr="001C7F89">
        <w:rPr>
          <w:rFonts w:ascii="Tms Rmn" w:hAnsi="Tms Rmn" w:cs="Tms Rmn"/>
          <w:sz w:val="12"/>
          <w:szCs w:val="12"/>
          <w:lang w:val="es-ES_tradnl"/>
        </w:rPr>
        <w:t> </w:t>
      </w:r>
      <w:r w:rsidRPr="001C7F89">
        <w:rPr>
          <w:lang w:val="es-ES_tradnl"/>
        </w:rPr>
        <w:t xml:space="preserve">025 MHz en la Región 2 están atribuidas al </w:t>
      </w:r>
      <w:proofErr w:type="spellStart"/>
      <w:r w:rsidRPr="001C7F89">
        <w:rPr>
          <w:lang w:val="es-ES_tradnl"/>
        </w:rPr>
        <w:t>SMS</w:t>
      </w:r>
      <w:proofErr w:type="spellEnd"/>
      <w:r w:rsidRPr="001C7F89">
        <w:rPr>
          <w:lang w:val="es-ES_tradnl"/>
        </w:rPr>
        <w:t xml:space="preserve"> (Tierra-espacio) y al servicio fijo a título pri</w:t>
      </w:r>
      <w:r w:rsidR="003901D5">
        <w:rPr>
          <w:lang w:val="es-ES_tradnl"/>
        </w:rPr>
        <w:t>mario con igualdad de derechos;</w:t>
      </w:r>
    </w:p>
    <w:p w:rsidR="00AE2CA3" w:rsidRPr="001C7F89" w:rsidRDefault="00AE2CA3" w:rsidP="00984C2D">
      <w:pPr>
        <w:rPr>
          <w:lang w:val="es-ES_tradnl"/>
        </w:rPr>
      </w:pPr>
      <w:r w:rsidRPr="001C7F89">
        <w:rPr>
          <w:lang w:val="es-ES_tradnl"/>
        </w:rPr>
        <w:t>e)</w:t>
      </w:r>
      <w:r w:rsidRPr="001C7F89">
        <w:rPr>
          <w:lang w:val="es-ES_tradnl"/>
        </w:rPr>
        <w:tab/>
        <w:t>que las estaciones terrenas móviles (</w:t>
      </w:r>
      <w:proofErr w:type="spellStart"/>
      <w:r w:rsidRPr="001C7F89">
        <w:rPr>
          <w:lang w:val="es-ES_tradnl"/>
        </w:rPr>
        <w:t>ETM</w:t>
      </w:r>
      <w:proofErr w:type="spellEnd"/>
      <w:r w:rsidRPr="001C7F89">
        <w:rPr>
          <w:lang w:val="es-ES_tradnl"/>
        </w:rPr>
        <w:t xml:space="preserve">) pueden provocar interferencia a los receptores del servicio fijo con </w:t>
      </w:r>
      <w:proofErr w:type="spellStart"/>
      <w:r w:rsidRPr="001C7F89">
        <w:rPr>
          <w:lang w:val="es-ES_tradnl"/>
        </w:rPr>
        <w:t>LoS</w:t>
      </w:r>
      <w:proofErr w:type="spellEnd"/>
      <w:r w:rsidRPr="001C7F89">
        <w:rPr>
          <w:lang w:val="es-ES_tradnl"/>
        </w:rPr>
        <w:t xml:space="preserve"> que funcionen en las bandas 1</w:t>
      </w:r>
      <w:r w:rsidR="00984C2D" w:rsidRPr="001C7F89">
        <w:rPr>
          <w:rFonts w:ascii="Tms Rmn" w:hAnsi="Tms Rmn" w:cs="Tms Rmn"/>
          <w:sz w:val="12"/>
          <w:szCs w:val="12"/>
          <w:lang w:val="es-ES_tradnl"/>
        </w:rPr>
        <w:t> </w:t>
      </w:r>
      <w:r w:rsidRPr="001C7F89">
        <w:rPr>
          <w:lang w:val="es-ES_tradnl"/>
        </w:rPr>
        <w:t>626,5-1</w:t>
      </w:r>
      <w:r w:rsidR="00984C2D" w:rsidRPr="001C7F89">
        <w:rPr>
          <w:rFonts w:ascii="Tms Rmn" w:hAnsi="Tms Rmn" w:cs="Tms Rmn"/>
          <w:sz w:val="12"/>
          <w:szCs w:val="12"/>
          <w:lang w:val="es-ES_tradnl"/>
        </w:rPr>
        <w:t> </w:t>
      </w:r>
      <w:r w:rsidRPr="001C7F89">
        <w:rPr>
          <w:lang w:val="es-ES_tradnl"/>
        </w:rPr>
        <w:t>645,5 MHz, 1</w:t>
      </w:r>
      <w:r w:rsidR="00984C2D" w:rsidRPr="001C7F89">
        <w:rPr>
          <w:rFonts w:ascii="Tms Rmn" w:hAnsi="Tms Rmn" w:cs="Tms Rmn"/>
          <w:sz w:val="12"/>
          <w:szCs w:val="12"/>
          <w:lang w:val="es-ES_tradnl"/>
        </w:rPr>
        <w:t> </w:t>
      </w:r>
      <w:r w:rsidRPr="001C7F89">
        <w:rPr>
          <w:lang w:val="es-ES_tradnl"/>
        </w:rPr>
        <w:t>646,5-1</w:t>
      </w:r>
      <w:r w:rsidR="00984C2D" w:rsidRPr="001C7F89">
        <w:rPr>
          <w:rFonts w:ascii="Tms Rmn" w:hAnsi="Tms Rmn" w:cs="Tms Rmn"/>
          <w:sz w:val="12"/>
          <w:szCs w:val="12"/>
          <w:lang w:val="es-ES_tradnl"/>
        </w:rPr>
        <w:t> </w:t>
      </w:r>
      <w:r w:rsidRPr="001C7F89">
        <w:rPr>
          <w:lang w:val="es-ES_tradnl"/>
        </w:rPr>
        <w:t>660 MHz, 1</w:t>
      </w:r>
      <w:r w:rsidR="00984C2D" w:rsidRPr="001C7F89">
        <w:rPr>
          <w:rFonts w:ascii="Tms Rmn" w:hAnsi="Tms Rmn" w:cs="Tms Rmn"/>
          <w:sz w:val="12"/>
          <w:szCs w:val="12"/>
          <w:lang w:val="es-ES_tradnl"/>
        </w:rPr>
        <w:t> </w:t>
      </w:r>
      <w:r w:rsidRPr="001C7F89">
        <w:rPr>
          <w:lang w:val="es-ES_tradnl"/>
        </w:rPr>
        <w:t>668,4-1</w:t>
      </w:r>
      <w:r w:rsidR="00984C2D" w:rsidRPr="001C7F89">
        <w:rPr>
          <w:rFonts w:ascii="Tms Rmn" w:hAnsi="Tms Rmn" w:cs="Tms Rmn"/>
          <w:sz w:val="12"/>
          <w:szCs w:val="12"/>
          <w:lang w:val="es-ES_tradnl"/>
        </w:rPr>
        <w:t> </w:t>
      </w:r>
      <w:r w:rsidRPr="001C7F89">
        <w:rPr>
          <w:lang w:val="es-ES_tradnl"/>
        </w:rPr>
        <w:t>675 MHz y 1</w:t>
      </w:r>
      <w:r w:rsidR="00984C2D" w:rsidRPr="001C7F89">
        <w:rPr>
          <w:rFonts w:ascii="Tms Rmn" w:hAnsi="Tms Rmn" w:cs="Tms Rmn"/>
          <w:sz w:val="12"/>
          <w:szCs w:val="12"/>
          <w:lang w:val="es-ES_tradnl"/>
        </w:rPr>
        <w:t> </w:t>
      </w:r>
      <w:r w:rsidRPr="001C7F89">
        <w:rPr>
          <w:lang w:val="es-ES_tradnl"/>
        </w:rPr>
        <w:t>980-2</w:t>
      </w:r>
      <w:r w:rsidR="00984C2D" w:rsidRPr="001C7F89">
        <w:rPr>
          <w:rFonts w:ascii="Tms Rmn" w:hAnsi="Tms Rmn" w:cs="Tms Rmn"/>
          <w:sz w:val="12"/>
          <w:szCs w:val="12"/>
          <w:lang w:val="es-ES_tradnl"/>
        </w:rPr>
        <w:t> </w:t>
      </w:r>
      <w:r w:rsidRPr="001C7F89">
        <w:rPr>
          <w:lang w:val="es-ES_tradnl"/>
        </w:rPr>
        <w:t>025 MHz del </w:t>
      </w:r>
      <w:proofErr w:type="spellStart"/>
      <w:r w:rsidRPr="001C7F89">
        <w:rPr>
          <w:lang w:val="es-ES_tradnl"/>
        </w:rPr>
        <w:t>SMS</w:t>
      </w:r>
      <w:proofErr w:type="spellEnd"/>
      <w:r w:rsidRPr="001C7F89">
        <w:rPr>
          <w:lang w:val="es-ES_tradnl"/>
        </w:rPr>
        <w:t xml:space="preserve"> dentro de la zona de coordinación de la </w:t>
      </w:r>
      <w:proofErr w:type="spellStart"/>
      <w:r w:rsidRPr="001C7F89">
        <w:rPr>
          <w:lang w:val="es-ES_tradnl"/>
        </w:rPr>
        <w:t>ETM</w:t>
      </w:r>
      <w:proofErr w:type="spellEnd"/>
      <w:r w:rsidRPr="001C7F89">
        <w:rPr>
          <w:lang w:val="es-ES_tradnl"/>
        </w:rPr>
        <w:t>, como se determina utilizando los métodos que figuran en el Reglamento de Radiocomunicaciones;</w:t>
      </w:r>
    </w:p>
    <w:p w:rsidR="00AE2CA3" w:rsidRPr="001C7F89" w:rsidRDefault="00AE2CA3" w:rsidP="00AE2CA3">
      <w:pPr>
        <w:rPr>
          <w:lang w:val="es-ES_tradnl"/>
        </w:rPr>
      </w:pPr>
      <w:r w:rsidRPr="001C7F89">
        <w:rPr>
          <w:lang w:val="es-ES_tradnl"/>
        </w:rPr>
        <w:t>f)</w:t>
      </w:r>
      <w:r w:rsidRPr="001C7F89">
        <w:rPr>
          <w:lang w:val="es-ES_tradnl"/>
        </w:rPr>
        <w:tab/>
        <w:t>que la naturaleza de dicha interferencia puede variar en el tiempo;</w:t>
      </w:r>
    </w:p>
    <w:p w:rsidR="00AE2CA3" w:rsidRPr="001C7F89" w:rsidRDefault="00AE2CA3" w:rsidP="00AE2CA3">
      <w:pPr>
        <w:rPr>
          <w:lang w:val="es-ES_tradnl"/>
        </w:rPr>
      </w:pPr>
      <w:r w:rsidRPr="001C7F89">
        <w:rPr>
          <w:lang w:val="es-ES_tradnl"/>
        </w:rPr>
        <w:t>g)</w:t>
      </w:r>
      <w:r w:rsidRPr="001C7F89">
        <w:rPr>
          <w:lang w:val="es-ES_tradnl"/>
        </w:rPr>
        <w:tab/>
        <w:t xml:space="preserve">que es necesario contar con las herramientas adecuadas para realizar un análisis detallado a fin de facilitar la coordinación entre las administraciones que explotan </w:t>
      </w:r>
      <w:proofErr w:type="spellStart"/>
      <w:r w:rsidRPr="001C7F89">
        <w:rPr>
          <w:lang w:val="es-ES_tradnl"/>
        </w:rPr>
        <w:t>ETM</w:t>
      </w:r>
      <w:proofErr w:type="spellEnd"/>
      <w:r w:rsidRPr="001C7F89">
        <w:rPr>
          <w:lang w:val="es-ES_tradnl"/>
        </w:rPr>
        <w:t xml:space="preserve"> y las administraciones afectadas que explotan receptores del servicio fijo,</w:t>
      </w:r>
    </w:p>
    <w:p w:rsidR="00AE2CA3" w:rsidRPr="001C7F89" w:rsidRDefault="00AE2CA3" w:rsidP="00AE2CA3">
      <w:pPr>
        <w:keepNext/>
        <w:keepLines/>
        <w:spacing w:before="160"/>
        <w:ind w:left="794"/>
        <w:rPr>
          <w:i/>
          <w:iCs/>
          <w:lang w:val="es-ES_tradnl"/>
        </w:rPr>
      </w:pPr>
      <w:r w:rsidRPr="001C7F89">
        <w:rPr>
          <w:i/>
          <w:iCs/>
          <w:lang w:val="es-ES_tradnl"/>
        </w:rPr>
        <w:t>recomienda</w:t>
      </w:r>
    </w:p>
    <w:p w:rsidR="00AE2CA3" w:rsidRPr="001C7F89" w:rsidRDefault="00AE2CA3" w:rsidP="00AE2CA3">
      <w:pPr>
        <w:rPr>
          <w:lang w:val="es-ES_tradnl"/>
        </w:rPr>
      </w:pPr>
      <w:r w:rsidRPr="001C7F89">
        <w:rPr>
          <w:b/>
          <w:bCs/>
          <w:lang w:val="es-ES_tradnl"/>
        </w:rPr>
        <w:t>1</w:t>
      </w:r>
      <w:r w:rsidRPr="001C7F89">
        <w:rPr>
          <w:lang w:val="es-ES_tradnl"/>
        </w:rPr>
        <w:tab/>
        <w:t xml:space="preserve">que al evaluar la posibilidad de que las </w:t>
      </w:r>
      <w:proofErr w:type="spellStart"/>
      <w:r w:rsidRPr="001C7F89">
        <w:rPr>
          <w:lang w:val="es-ES_tradnl"/>
        </w:rPr>
        <w:t>ETM</w:t>
      </w:r>
      <w:proofErr w:type="spellEnd"/>
      <w:r w:rsidRPr="001C7F89">
        <w:rPr>
          <w:lang w:val="es-ES_tradnl"/>
        </w:rPr>
        <w:t xml:space="preserve"> causen interferencia a los sistemas del servicio fijo, se tenga en cuenta la naturaleza variable en el tiempo de las señales de las </w:t>
      </w:r>
      <w:proofErr w:type="spellStart"/>
      <w:r w:rsidRPr="001C7F89">
        <w:rPr>
          <w:lang w:val="es-ES_tradnl"/>
        </w:rPr>
        <w:t>ETM</w:t>
      </w:r>
      <w:proofErr w:type="spellEnd"/>
      <w:r w:rsidRPr="001C7F89">
        <w:rPr>
          <w:lang w:val="es-ES_tradnl"/>
        </w:rPr>
        <w:t xml:space="preserve"> recibidas por </w:t>
      </w:r>
      <w:r w:rsidRPr="001C7F89">
        <w:rPr>
          <w:lang w:val="es-ES_tradnl"/>
        </w:rPr>
        <w:lastRenderedPageBreak/>
        <w:t xml:space="preserve">las estaciones del servicio fijo, incluidos los efectos de las distribuciones diurnas y geográficas previstas de las </w:t>
      </w:r>
      <w:proofErr w:type="spellStart"/>
      <w:r w:rsidRPr="001C7F89">
        <w:rPr>
          <w:lang w:val="es-ES_tradnl"/>
        </w:rPr>
        <w:t>ETM</w:t>
      </w:r>
      <w:proofErr w:type="spellEnd"/>
      <w:r w:rsidRPr="001C7F89">
        <w:rPr>
          <w:lang w:val="es-ES_tradnl"/>
        </w:rPr>
        <w:t xml:space="preserve"> transmisoras y las variaciones temporales en el nivel de potencia de las señales deseadas en los sistemas del servicio fijo;</w:t>
      </w:r>
    </w:p>
    <w:p w:rsidR="00AE2CA3" w:rsidRPr="001C7F89" w:rsidRDefault="00AE2CA3" w:rsidP="00AE2CA3">
      <w:pPr>
        <w:rPr>
          <w:lang w:val="es-ES_tradnl"/>
        </w:rPr>
      </w:pPr>
      <w:r w:rsidRPr="001C7F89">
        <w:rPr>
          <w:b/>
          <w:bCs/>
          <w:lang w:val="es-ES_tradnl"/>
        </w:rPr>
        <w:t>2</w:t>
      </w:r>
      <w:r w:rsidRPr="001C7F89">
        <w:rPr>
          <w:lang w:val="es-ES_tradnl"/>
        </w:rPr>
        <w:tab/>
        <w:t xml:space="preserve">que se utilice la metodología descrita en el Anexo 1 en la coordinación bilateral para efectuar una evaluación detallada de la posible interferencia causada a los receptores del servicio fijo por el conjunto de </w:t>
      </w:r>
      <w:proofErr w:type="spellStart"/>
      <w:r w:rsidRPr="001C7F89">
        <w:rPr>
          <w:lang w:val="es-ES_tradnl"/>
        </w:rPr>
        <w:t>ETM</w:t>
      </w:r>
      <w:proofErr w:type="spellEnd"/>
      <w:r w:rsidRPr="001C7F89">
        <w:rPr>
          <w:lang w:val="es-ES_tradnl"/>
        </w:rPr>
        <w:t xml:space="preserve"> que utilizan antenas no directivas (véanse las Notas 1 y 2).</w:t>
      </w:r>
    </w:p>
    <w:p w:rsidR="00AE2CA3" w:rsidRPr="001C7F89" w:rsidRDefault="00AE2CA3" w:rsidP="00AE2CA3">
      <w:pPr>
        <w:rPr>
          <w:lang w:val="es-ES_tradnl"/>
        </w:rPr>
      </w:pPr>
      <w:r w:rsidRPr="001C7F89">
        <w:rPr>
          <w:lang w:val="es-ES_tradnl"/>
        </w:rPr>
        <w:t>NOTA 1 – La aplicación de la metodología de esta Recomendación requerirá el desarrollo de algoritmos o de procedimientos de cálculo para poder aplicar las consideraciones descritas. La utilización o adaptación de estos algoritmos o procedimientos en toda coordinación bilateral deberá estar sujeta al acuerdo de las partes correspondientes.</w:t>
      </w:r>
    </w:p>
    <w:p w:rsidR="00AE2CA3" w:rsidRDefault="00AE2CA3" w:rsidP="00AE2CA3">
      <w:pPr>
        <w:rPr>
          <w:lang w:val="es-ES_tradnl"/>
        </w:rPr>
      </w:pPr>
      <w:r w:rsidRPr="001C7F89">
        <w:rPr>
          <w:lang w:val="es-ES_tradnl"/>
        </w:rPr>
        <w:t>NOTA 2 – En territorios donde funcione un número elevado de sistemas del servicio fijo, puede que sea suficiente aplicar la metodología del Anexo 1 a un conjunto representativo de estos sistemas que utilicen sus parámetros reales, teniendo la precaución de incluir en dicho conjunto los sistemas del servicio fijo que sean más susceptibles a la interferencia a causa de sus emplazamientos y características.</w:t>
      </w:r>
    </w:p>
    <w:p w:rsidR="00984C2D" w:rsidRDefault="00984C2D" w:rsidP="00AE2CA3">
      <w:pPr>
        <w:rPr>
          <w:lang w:val="es-ES_tradnl"/>
        </w:rPr>
      </w:pPr>
    </w:p>
    <w:p w:rsidR="00984C2D" w:rsidRPr="001C7F89" w:rsidRDefault="00984C2D" w:rsidP="00AE2CA3">
      <w:pPr>
        <w:rPr>
          <w:lang w:val="es-ES_tradnl"/>
        </w:rPr>
      </w:pPr>
    </w:p>
    <w:p w:rsidR="003901D5" w:rsidRDefault="00AE2CA3" w:rsidP="00CF3C1E">
      <w:pPr>
        <w:pStyle w:val="AnnexNoTitle"/>
        <w:rPr>
          <w:lang w:val="es-ES_tradnl"/>
        </w:rPr>
      </w:pPr>
      <w:r w:rsidRPr="001C7F89">
        <w:rPr>
          <w:lang w:val="es-ES_tradnl"/>
        </w:rPr>
        <w:t>Anexo 1</w:t>
      </w:r>
      <w:r w:rsidRPr="001C7F89">
        <w:rPr>
          <w:lang w:val="es-ES_tradnl"/>
        </w:rPr>
        <w:br/>
      </w:r>
      <w:r w:rsidRPr="001C7F89">
        <w:rPr>
          <w:lang w:val="es-ES_tradnl"/>
        </w:rPr>
        <w:br/>
        <w:t>Metodología para evaluar con detalle la posible interferencia</w:t>
      </w:r>
      <w:r w:rsidR="0064659B" w:rsidRPr="001C7F89">
        <w:rPr>
          <w:lang w:val="es-ES_tradnl"/>
        </w:rPr>
        <w:br/>
      </w:r>
      <w:r w:rsidRPr="001C7F89">
        <w:rPr>
          <w:lang w:val="es-ES_tradnl"/>
        </w:rPr>
        <w:t>causada</w:t>
      </w:r>
      <w:r w:rsidR="0064659B" w:rsidRPr="001C7F89">
        <w:rPr>
          <w:lang w:val="es-ES_tradnl"/>
        </w:rPr>
        <w:t xml:space="preserve"> </w:t>
      </w:r>
      <w:r w:rsidRPr="001C7F89">
        <w:rPr>
          <w:lang w:val="es-ES_tradnl"/>
        </w:rPr>
        <w:t xml:space="preserve">a los receptores del servicio fijo por las </w:t>
      </w:r>
      <w:proofErr w:type="spellStart"/>
      <w:r w:rsidRPr="001C7F89">
        <w:rPr>
          <w:lang w:val="es-ES_tradnl"/>
        </w:rPr>
        <w:t>ETM</w:t>
      </w:r>
      <w:proofErr w:type="spellEnd"/>
    </w:p>
    <w:p w:rsidR="00AE2CA3" w:rsidRDefault="00AE2CA3" w:rsidP="003901D5">
      <w:pPr>
        <w:jc w:val="center"/>
        <w:rPr>
          <w:lang w:val="es-ES_tradnl"/>
        </w:rPr>
      </w:pPr>
      <w:r w:rsidRPr="001C7F89">
        <w:rPr>
          <w:lang w:val="es-ES_tradnl"/>
        </w:rPr>
        <w:t>(Véase la Nota 1)</w:t>
      </w:r>
    </w:p>
    <w:p w:rsidR="003901D5" w:rsidRPr="00333762" w:rsidRDefault="003901D5" w:rsidP="003901D5">
      <w:pPr>
        <w:pStyle w:val="Blanc"/>
        <w:rPr>
          <w:lang w:val="es-ES_tradnl"/>
        </w:rPr>
      </w:pPr>
    </w:p>
    <w:p w:rsidR="00AE2CA3" w:rsidRPr="001C7F89" w:rsidRDefault="00AE2CA3" w:rsidP="0064659B">
      <w:pPr>
        <w:pStyle w:val="Note"/>
        <w:rPr>
          <w:lang w:val="es-ES_tradnl"/>
        </w:rPr>
      </w:pPr>
      <w:r w:rsidRPr="001C7F89">
        <w:rPr>
          <w:lang w:val="es-ES_tradnl"/>
        </w:rPr>
        <w:t xml:space="preserve">NOTA 1 – Esta metodología es aplicable a los sistemas del servicio fijo y permite utilizar un método simplificado que considera la potencia de la señal interferente y los niveles de calidad de funcionamiento asociados en un sistema de radioenlaces en un solo salto o de </w:t>
      </w:r>
      <w:proofErr w:type="spellStart"/>
      <w:r w:rsidRPr="001C7F89">
        <w:rPr>
          <w:lang w:val="es-ES_tradnl"/>
        </w:rPr>
        <w:t>multisaltos</w:t>
      </w:r>
      <w:proofErr w:type="spellEnd"/>
      <w:r w:rsidRPr="001C7F89">
        <w:rPr>
          <w:lang w:val="es-ES_tradnl"/>
        </w:rPr>
        <w:t xml:space="preserve">. Puede desarrollarse y aplicarse una metodología similar para los sistemas de radioenlaces analógicos de un solo salto o </w:t>
      </w:r>
      <w:proofErr w:type="spellStart"/>
      <w:r w:rsidRPr="001C7F89">
        <w:rPr>
          <w:lang w:val="es-ES_tradnl"/>
        </w:rPr>
        <w:t>multisaltos</w:t>
      </w:r>
      <w:proofErr w:type="spellEnd"/>
      <w:r w:rsidRPr="001C7F89">
        <w:rPr>
          <w:lang w:val="es-ES_tradnl"/>
        </w:rPr>
        <w:t xml:space="preserve"> con respecto al adecuado criterio de calidad de funcionamiento (es decir, el criterio de calidad de funcionamiento de extremo a extremo para un sistema analógico </w:t>
      </w:r>
      <w:proofErr w:type="spellStart"/>
      <w:r w:rsidRPr="001C7F89">
        <w:rPr>
          <w:lang w:val="es-ES_tradnl"/>
        </w:rPr>
        <w:t>multisaltos</w:t>
      </w:r>
      <w:proofErr w:type="spellEnd"/>
      <w:r w:rsidRPr="001C7F89">
        <w:rPr>
          <w:lang w:val="es-ES_tradnl"/>
        </w:rPr>
        <w:t xml:space="preserve"> que haya sido prorrateado de acuerdo con el número de saltos).</w:t>
      </w:r>
    </w:p>
    <w:p w:rsidR="00AE2CA3" w:rsidRPr="001C7F89" w:rsidRDefault="00AE2CA3" w:rsidP="00AE2CA3">
      <w:pPr>
        <w:pStyle w:val="Heading1"/>
        <w:rPr>
          <w:b w:val="0"/>
          <w:bCs/>
          <w:lang w:val="es-ES_tradnl"/>
        </w:rPr>
      </w:pPr>
      <w:r w:rsidRPr="001C7F89">
        <w:rPr>
          <w:bCs/>
          <w:lang w:val="es-ES_tradnl"/>
        </w:rPr>
        <w:t>1</w:t>
      </w:r>
      <w:r w:rsidRPr="001C7F89">
        <w:rPr>
          <w:bCs/>
          <w:lang w:val="es-ES_tradnl"/>
        </w:rPr>
        <w:tab/>
        <w:t>Introducción</w:t>
      </w:r>
    </w:p>
    <w:p w:rsidR="00AE2CA3" w:rsidRPr="001C7F89" w:rsidRDefault="00AE2CA3" w:rsidP="00AE2CA3">
      <w:pPr>
        <w:rPr>
          <w:lang w:val="es-ES_tradnl"/>
        </w:rPr>
      </w:pPr>
      <w:r w:rsidRPr="001C7F89">
        <w:rPr>
          <w:lang w:val="es-ES_tradnl"/>
        </w:rPr>
        <w:t xml:space="preserve">Este Anexo presenta un método de simulación detallada que puede utilizarse para evaluar la posible interferencia causada por instalaciones reales de </w:t>
      </w:r>
      <w:proofErr w:type="spellStart"/>
      <w:r w:rsidRPr="001C7F89">
        <w:rPr>
          <w:lang w:val="es-ES_tradnl"/>
        </w:rPr>
        <w:t>ETM</w:t>
      </w:r>
      <w:proofErr w:type="spellEnd"/>
      <w:r w:rsidRPr="001C7F89">
        <w:rPr>
          <w:lang w:val="es-ES_tradnl"/>
        </w:rPr>
        <w:t xml:space="preserve"> que utilizan antenas no directivas a receptores del servicio fijo con </w:t>
      </w:r>
      <w:proofErr w:type="spellStart"/>
      <w:r w:rsidRPr="001C7F89">
        <w:rPr>
          <w:lang w:val="es-ES_tradnl"/>
        </w:rPr>
        <w:t>LoS</w:t>
      </w:r>
      <w:proofErr w:type="spellEnd"/>
      <w:r w:rsidRPr="001C7F89">
        <w:rPr>
          <w:lang w:val="es-ES_tradnl"/>
        </w:rPr>
        <w:t>. El método proporciona predicciones detalladas sobre la probabilidad de interferencia provocada en los receptores del servicio fijo en zonas donde existe compartición de frecuencias entre ambos servicios.</w:t>
      </w:r>
    </w:p>
    <w:p w:rsidR="00AE2CA3" w:rsidRPr="001C7F89" w:rsidRDefault="00AE2CA3" w:rsidP="00AE2CA3">
      <w:pPr>
        <w:pStyle w:val="Heading1"/>
        <w:rPr>
          <w:b w:val="0"/>
          <w:bCs/>
          <w:lang w:val="es-ES_tradnl"/>
        </w:rPr>
      </w:pPr>
      <w:r w:rsidRPr="001C7F89">
        <w:rPr>
          <w:bCs/>
          <w:lang w:val="es-ES_tradnl"/>
        </w:rPr>
        <w:t>2</w:t>
      </w:r>
      <w:r w:rsidRPr="001C7F89">
        <w:rPr>
          <w:bCs/>
          <w:lang w:val="es-ES_tradnl"/>
        </w:rPr>
        <w:tab/>
        <w:t>Descripción general</w:t>
      </w:r>
    </w:p>
    <w:p w:rsidR="00AE2CA3" w:rsidRPr="001C7F89" w:rsidRDefault="00AE2CA3" w:rsidP="00AE2CA3">
      <w:pPr>
        <w:rPr>
          <w:lang w:val="es-ES_tradnl"/>
        </w:rPr>
      </w:pPr>
      <w:r w:rsidRPr="001C7F89">
        <w:rPr>
          <w:lang w:val="es-ES_tradnl"/>
        </w:rPr>
        <w:t>Se realiza una simulación a lo largo de un elevado número de intervalos de tiempo. En cada uno de ellos se llevan a cabo los siguientes cálculos:</w:t>
      </w:r>
    </w:p>
    <w:p w:rsidR="00AE2CA3" w:rsidRPr="001C7F89" w:rsidRDefault="00AE2CA3" w:rsidP="00AE2CA3">
      <w:pPr>
        <w:rPr>
          <w:lang w:val="es-ES_tradnl"/>
        </w:rPr>
      </w:pPr>
      <w:r w:rsidRPr="001C7F89">
        <w:rPr>
          <w:lang w:val="es-ES_tradnl"/>
        </w:rPr>
        <w:t>2.1</w:t>
      </w:r>
      <w:r w:rsidRPr="001C7F89">
        <w:rPr>
          <w:lang w:val="es-ES_tradnl"/>
        </w:rPr>
        <w:tab/>
        <w:t xml:space="preserve">Se calcula el nivel de la señal deseada en la estación receptora del servicio fijo en una anchura de banda de referencia de 1 MHz utilizando las características de transmisión del servicio </w:t>
      </w:r>
      <w:r w:rsidRPr="001C7F89">
        <w:rPr>
          <w:lang w:val="es-ES_tradnl"/>
        </w:rPr>
        <w:lastRenderedPageBreak/>
        <w:t>fijo junto con el modelo de desvaneci</w:t>
      </w:r>
      <w:r w:rsidRPr="001C7F89">
        <w:rPr>
          <w:lang w:val="es-ES_tradnl"/>
        </w:rPr>
        <w:softHyphen/>
        <w:t xml:space="preserve">miento multitrayecto que figura en la Recomendación </w:t>
      </w:r>
      <w:proofErr w:type="spellStart"/>
      <w:r w:rsidRPr="001C7F89">
        <w:rPr>
          <w:lang w:val="es-ES_tradnl"/>
        </w:rPr>
        <w:t>UIT</w:t>
      </w:r>
      <w:r w:rsidRPr="001C7F89">
        <w:rPr>
          <w:lang w:val="es-ES_tradnl"/>
        </w:rPr>
        <w:noBreakHyphen/>
        <w:t>R</w:t>
      </w:r>
      <w:proofErr w:type="spellEnd"/>
      <w:r w:rsidRPr="001C7F89">
        <w:rPr>
          <w:lang w:val="es-ES_tradnl"/>
        </w:rPr>
        <w:t> P.530 (para más detalles véase el § 3).</w:t>
      </w:r>
    </w:p>
    <w:p w:rsidR="00AE2CA3" w:rsidRPr="001C7F89" w:rsidRDefault="00AE2CA3" w:rsidP="003901D5">
      <w:pPr>
        <w:rPr>
          <w:lang w:val="es-ES_tradnl"/>
        </w:rPr>
      </w:pPr>
      <w:r w:rsidRPr="001C7F89">
        <w:rPr>
          <w:lang w:val="es-ES_tradnl"/>
        </w:rPr>
        <w:t>2.2</w:t>
      </w:r>
      <w:r w:rsidRPr="001C7F89">
        <w:rPr>
          <w:lang w:val="es-ES_tradnl"/>
        </w:rPr>
        <w:tab/>
        <w:t xml:space="preserve">Se calcula a la entrada de cada receptor del servicio fijo la potencia de la señal interferente combinada en la anchura de banda de referencia procedente de todas las </w:t>
      </w:r>
      <w:proofErr w:type="spellStart"/>
      <w:r w:rsidRPr="001C7F89">
        <w:rPr>
          <w:lang w:val="es-ES_tradnl"/>
        </w:rPr>
        <w:t>ETM</w:t>
      </w:r>
      <w:proofErr w:type="spellEnd"/>
      <w:r w:rsidRPr="001C7F89">
        <w:rPr>
          <w:lang w:val="es-ES_tradnl"/>
        </w:rPr>
        <w:t xml:space="preserve"> activas instaladas dentro de una zona definida. Los datos digitales del terreno se utilizan para obtener los perfiles del mismo a fin de determinar los trayectos de interferencia desde cada una de las </w:t>
      </w:r>
      <w:proofErr w:type="spellStart"/>
      <w:r w:rsidRPr="001C7F89">
        <w:rPr>
          <w:lang w:val="es-ES_tradnl"/>
        </w:rPr>
        <w:t>ETM</w:t>
      </w:r>
      <w:proofErr w:type="spellEnd"/>
      <w:r w:rsidRPr="001C7F89">
        <w:rPr>
          <w:lang w:val="es-ES_tradnl"/>
        </w:rPr>
        <w:t xml:space="preserve"> a cada uno de los receptores del servicio fijo. Las pérdidas de transmisión básicas para cada trayecto de interferencia se calculan mediante los métodos indicados en la Recomendación UIT-R P.452 (para más detalles véase el § 4).</w:t>
      </w:r>
    </w:p>
    <w:p w:rsidR="00AE2CA3" w:rsidRPr="001C7F89" w:rsidRDefault="00AE2CA3" w:rsidP="00AE2CA3">
      <w:pPr>
        <w:rPr>
          <w:lang w:val="es-ES_tradnl"/>
        </w:rPr>
      </w:pPr>
      <w:r w:rsidRPr="001C7F89">
        <w:rPr>
          <w:lang w:val="es-ES_tradnl"/>
        </w:rPr>
        <w:t>2.3</w:t>
      </w:r>
      <w:r w:rsidRPr="001C7F89">
        <w:rPr>
          <w:lang w:val="es-ES_tradnl"/>
        </w:rPr>
        <w:tab/>
        <w:t xml:space="preserve">Se calcula la relación </w:t>
      </w:r>
      <w:r w:rsidRPr="001C7F89">
        <w:rPr>
          <w:i/>
          <w:iCs/>
          <w:lang w:val="es-ES_tradnl"/>
        </w:rPr>
        <w:t>C</w:t>
      </w:r>
      <w:r w:rsidRPr="001C7F89">
        <w:rPr>
          <w:lang w:val="es-ES_tradnl"/>
        </w:rPr>
        <w:t>/(</w:t>
      </w:r>
      <w:r w:rsidRPr="001C7F89">
        <w:rPr>
          <w:i/>
          <w:iCs/>
          <w:lang w:val="es-ES_tradnl"/>
        </w:rPr>
        <w:t>N</w:t>
      </w:r>
      <w:r w:rsidRPr="001C7F89">
        <w:rPr>
          <w:lang w:val="es-ES_tradnl"/>
        </w:rPr>
        <w:t xml:space="preserve"> </w:t>
      </w:r>
      <w:r w:rsidRPr="001C7F89">
        <w:rPr>
          <w:rFonts w:ascii="Symbol" w:hAnsi="Symbol" w:cs="Symbol"/>
          <w:lang w:val="es-ES_tradnl"/>
        </w:rPr>
        <w:t></w:t>
      </w:r>
      <w:r w:rsidRPr="001C7F89">
        <w:rPr>
          <w:lang w:val="es-ES_tradnl"/>
        </w:rPr>
        <w:t xml:space="preserve"> </w:t>
      </w:r>
      <w:r w:rsidRPr="001C7F89">
        <w:rPr>
          <w:i/>
          <w:iCs/>
          <w:lang w:val="es-ES_tradnl"/>
        </w:rPr>
        <w:t>I</w:t>
      </w:r>
      <w:r w:rsidRPr="001C7F89">
        <w:rPr>
          <w:lang w:val="es-ES_tradnl"/>
        </w:rPr>
        <w:t xml:space="preserve">) en cada receptor del servicio fijo (para más detalles véase el § 5). Al determinar el valor de </w:t>
      </w:r>
      <w:r w:rsidRPr="001C7F89">
        <w:rPr>
          <w:i/>
          <w:iCs/>
          <w:lang w:val="es-ES_tradnl"/>
        </w:rPr>
        <w:t>N</w:t>
      </w:r>
      <w:r w:rsidRPr="001C7F89">
        <w:rPr>
          <w:lang w:val="es-ES_tradnl"/>
        </w:rPr>
        <w:t>, deben incluirse los efectos de todas las degradaciones del sistema del servicio fijo (por ejemplo, véase la Recomendación UIT-R M.1319).</w:t>
      </w:r>
    </w:p>
    <w:p w:rsidR="00AE2CA3" w:rsidRPr="001C7F89" w:rsidRDefault="00AE2CA3" w:rsidP="00AE2CA3">
      <w:pPr>
        <w:rPr>
          <w:lang w:val="es-ES_tradnl"/>
        </w:rPr>
      </w:pPr>
      <w:r w:rsidRPr="001C7F89">
        <w:rPr>
          <w:lang w:val="es-ES_tradnl"/>
        </w:rPr>
        <w:t xml:space="preserve">Realizando la simulación durante un periodo de tiempo suficientemente amplio (es decir, un número muy elevado de intervalos de tiempo) pueden obtenerse resultados estadísticamente significativos. Este proceso se aplica a varias instalaciones reales de </w:t>
      </w:r>
      <w:proofErr w:type="spellStart"/>
      <w:r w:rsidRPr="001C7F89">
        <w:rPr>
          <w:lang w:val="es-ES_tradnl"/>
        </w:rPr>
        <w:t>ETM</w:t>
      </w:r>
      <w:proofErr w:type="spellEnd"/>
      <w:r w:rsidRPr="001C7F89">
        <w:rPr>
          <w:lang w:val="es-ES_tradnl"/>
        </w:rPr>
        <w:t xml:space="preserve"> a fin de eliminar la sensibilidad de los resultados a algunas instalaciones en concreto, lo cual puede ser particularmente importante en casos en que el número de </w:t>
      </w:r>
      <w:proofErr w:type="spellStart"/>
      <w:r w:rsidRPr="001C7F89">
        <w:rPr>
          <w:lang w:val="es-ES_tradnl"/>
        </w:rPr>
        <w:t>ETM</w:t>
      </w:r>
      <w:proofErr w:type="spellEnd"/>
      <w:r w:rsidRPr="001C7F89">
        <w:rPr>
          <w:lang w:val="es-ES_tradnl"/>
        </w:rPr>
        <w:t xml:space="preserve"> que transmiten simultáneamente situadas dentro de la zona de visibilidad directa de una estación del servicio fijo puede variar notablemente en el tiempo. La distribución de probabilidad acumulativa de </w:t>
      </w:r>
      <w:r w:rsidRPr="001C7F89">
        <w:rPr>
          <w:i/>
          <w:iCs/>
          <w:lang w:val="es-ES_tradnl"/>
        </w:rPr>
        <w:t>C</w:t>
      </w:r>
      <w:r w:rsidRPr="001C7F89">
        <w:rPr>
          <w:lang w:val="es-ES_tradnl"/>
        </w:rPr>
        <w:t>/(</w:t>
      </w:r>
      <w:r w:rsidRPr="001C7F89">
        <w:rPr>
          <w:i/>
          <w:iCs/>
          <w:lang w:val="es-ES_tradnl"/>
        </w:rPr>
        <w:t>N</w:t>
      </w:r>
      <w:r w:rsidRPr="001C7F89">
        <w:rPr>
          <w:lang w:val="es-ES_tradnl"/>
        </w:rPr>
        <w:t xml:space="preserve"> </w:t>
      </w:r>
      <w:r w:rsidRPr="001C7F89">
        <w:rPr>
          <w:rFonts w:ascii="Symbol" w:hAnsi="Symbol" w:cs="Symbol"/>
          <w:lang w:val="es-ES_tradnl"/>
        </w:rPr>
        <w:t></w:t>
      </w:r>
      <w:r w:rsidRPr="001C7F89">
        <w:rPr>
          <w:lang w:val="es-ES_tradnl"/>
        </w:rPr>
        <w:t xml:space="preserve"> </w:t>
      </w:r>
      <w:r w:rsidRPr="001C7F89">
        <w:rPr>
          <w:i/>
          <w:iCs/>
          <w:lang w:val="es-ES_tradnl"/>
        </w:rPr>
        <w:t>I</w:t>
      </w:r>
      <w:r w:rsidRPr="001C7F89">
        <w:rPr>
          <w:lang w:val="es-ES_tradnl"/>
        </w:rPr>
        <w:t xml:space="preserve">) puede compararse con los objetivos de calidad de funcionamiento del sistema del servicio fijo (expresados en términos de valores umbral equivalentes de la relación </w:t>
      </w:r>
      <w:r w:rsidRPr="001C7F89">
        <w:rPr>
          <w:i/>
          <w:iCs/>
          <w:lang w:val="es-ES_tradnl"/>
        </w:rPr>
        <w:t>C</w:t>
      </w:r>
      <w:r w:rsidRPr="001C7F89">
        <w:rPr>
          <w:lang w:val="es-ES_tradnl"/>
        </w:rPr>
        <w:t>/(</w:t>
      </w:r>
      <w:r w:rsidRPr="001C7F89">
        <w:rPr>
          <w:i/>
          <w:iCs/>
          <w:lang w:val="es-ES_tradnl"/>
        </w:rPr>
        <w:t>N</w:t>
      </w:r>
      <w:r w:rsidRPr="001C7F89">
        <w:rPr>
          <w:lang w:val="es-ES_tradnl"/>
        </w:rPr>
        <w:t xml:space="preserve"> </w:t>
      </w:r>
      <w:r w:rsidRPr="001C7F89">
        <w:rPr>
          <w:rFonts w:ascii="Symbol" w:hAnsi="Symbol" w:cs="Symbol"/>
          <w:lang w:val="es-ES_tradnl"/>
        </w:rPr>
        <w:t></w:t>
      </w:r>
      <w:r w:rsidRPr="001C7F89">
        <w:rPr>
          <w:lang w:val="es-ES_tradnl"/>
        </w:rPr>
        <w:t xml:space="preserve"> </w:t>
      </w:r>
      <w:r w:rsidRPr="001C7F89">
        <w:rPr>
          <w:i/>
          <w:iCs/>
          <w:lang w:val="es-ES_tradnl"/>
        </w:rPr>
        <w:t>I</w:t>
      </w:r>
      <w:r w:rsidRPr="001C7F89">
        <w:rPr>
          <w:lang w:val="es-ES_tradnl"/>
        </w:rPr>
        <w:t>) dentro de la anchura de banda de referencia).</w:t>
      </w:r>
    </w:p>
    <w:p w:rsidR="00AE2CA3" w:rsidRPr="001C7F89" w:rsidRDefault="00AE2CA3" w:rsidP="00AE2CA3">
      <w:pPr>
        <w:pStyle w:val="Heading1"/>
        <w:rPr>
          <w:b w:val="0"/>
          <w:bCs/>
          <w:lang w:val="es-ES_tradnl"/>
        </w:rPr>
      </w:pPr>
      <w:r w:rsidRPr="001C7F89">
        <w:rPr>
          <w:bCs/>
          <w:lang w:val="es-ES_tradnl"/>
        </w:rPr>
        <w:t>3</w:t>
      </w:r>
      <w:r w:rsidRPr="001C7F89">
        <w:rPr>
          <w:bCs/>
          <w:lang w:val="es-ES_tradnl"/>
        </w:rPr>
        <w:tab/>
        <w:t>Modelo del servicio fijo</w:t>
      </w:r>
    </w:p>
    <w:p w:rsidR="00AE2CA3" w:rsidRPr="001C7F89" w:rsidRDefault="00AE2CA3" w:rsidP="00AE2CA3">
      <w:pPr>
        <w:pStyle w:val="Heading2"/>
        <w:rPr>
          <w:b w:val="0"/>
          <w:bCs/>
          <w:lang w:val="es-ES_tradnl"/>
        </w:rPr>
      </w:pPr>
      <w:r w:rsidRPr="001C7F89">
        <w:rPr>
          <w:bCs/>
          <w:lang w:val="es-ES_tradnl"/>
        </w:rPr>
        <w:t>3.1</w:t>
      </w:r>
      <w:r w:rsidRPr="001C7F89">
        <w:rPr>
          <w:bCs/>
          <w:lang w:val="es-ES_tradnl"/>
        </w:rPr>
        <w:tab/>
        <w:t>Parámetros del servicio fijo</w:t>
      </w:r>
    </w:p>
    <w:p w:rsidR="00AE2CA3" w:rsidRPr="001C7F89" w:rsidRDefault="00AE2CA3" w:rsidP="00AE2CA3">
      <w:pPr>
        <w:rPr>
          <w:lang w:val="es-ES_tradnl"/>
        </w:rPr>
      </w:pPr>
      <w:r w:rsidRPr="001C7F89">
        <w:rPr>
          <w:lang w:val="es-ES_tradnl"/>
        </w:rPr>
        <w:t>Utilizando los parámetros indicados en el Cuadro 1 deben establecerse modelos sobre la instalación, los equipos y las características de funcionamiento del sistema del servicio fijo. La profundidad de desvanecimiento debe estimarse haciendo uso de la Recomendación UIT-R P.530 y este parámetro, junto con las pérdidas en el espacio libre, se utiliza para determinar las pérdidas de transmisión básicas del trayecto de la señal deseada.</w:t>
      </w:r>
    </w:p>
    <w:p w:rsidR="00AE2CA3" w:rsidRPr="001C7F89" w:rsidRDefault="00AE2CA3" w:rsidP="0064659B">
      <w:pPr>
        <w:pStyle w:val="TableNo"/>
        <w:rPr>
          <w:lang w:val="es-ES_tradnl"/>
        </w:rPr>
      </w:pPr>
      <w:r w:rsidRPr="001C7F89">
        <w:rPr>
          <w:lang w:val="es-ES_tradnl"/>
        </w:rPr>
        <w:t>CUADRO 1</w:t>
      </w:r>
    </w:p>
    <w:p w:rsidR="00AE2CA3" w:rsidRPr="001C7F89" w:rsidRDefault="00AE2CA3" w:rsidP="0064659B">
      <w:pPr>
        <w:pStyle w:val="Tabletitle"/>
        <w:rPr>
          <w:lang w:val="es-ES_tradnl"/>
        </w:rPr>
      </w:pPr>
      <w:r w:rsidRPr="001C7F89">
        <w:rPr>
          <w:lang w:val="es-ES_tradnl"/>
        </w:rPr>
        <w:t>Lista de los parámetros del servicio fijo requeridos</w:t>
      </w:r>
    </w:p>
    <w:tbl>
      <w:tblPr>
        <w:tblW w:w="0" w:type="auto"/>
        <w:jc w:val="center"/>
        <w:tblLayout w:type="fixed"/>
        <w:tblCellMar>
          <w:left w:w="107" w:type="dxa"/>
          <w:right w:w="107" w:type="dxa"/>
        </w:tblCellMar>
        <w:tblLook w:val="0000"/>
      </w:tblPr>
      <w:tblGrid>
        <w:gridCol w:w="7655"/>
      </w:tblGrid>
      <w:tr w:rsidR="00AE2CA3" w:rsidRPr="001C7F89"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keepNext/>
              <w:jc w:val="center"/>
              <w:rPr>
                <w:lang w:val="es-ES_tradnl"/>
              </w:rPr>
            </w:pPr>
            <w:r w:rsidRPr="001C7F89">
              <w:rPr>
                <w:lang w:val="es-ES_tradnl"/>
              </w:rPr>
              <w:t>Parámetro</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keepNext/>
              <w:jc w:val="left"/>
              <w:rPr>
                <w:lang w:val="es-ES_tradnl"/>
              </w:rPr>
            </w:pPr>
            <w:r w:rsidRPr="001C7F89">
              <w:rPr>
                <w:lang w:val="es-ES_tradnl"/>
              </w:rPr>
              <w:t xml:space="preserve">Ganancia de antena, </w:t>
            </w:r>
            <w:r w:rsidRPr="001C7F89">
              <w:rPr>
                <w:i/>
                <w:iCs/>
                <w:lang w:val="es-ES_tradnl"/>
              </w:rPr>
              <w:t>G</w:t>
            </w:r>
            <w:r w:rsidRPr="001C7F89">
              <w:rPr>
                <w:lang w:val="es-ES_tradnl"/>
              </w:rPr>
              <w:t xml:space="preserve"> (</w:t>
            </w:r>
            <w:proofErr w:type="spellStart"/>
            <w:r w:rsidRPr="001C7F89">
              <w:rPr>
                <w:lang w:val="es-ES_tradnl"/>
              </w:rPr>
              <w:t>dBi</w:t>
            </w:r>
            <w:proofErr w:type="spellEnd"/>
            <w:r w:rsidRPr="001C7F89">
              <w:rPr>
                <w:lang w:val="es-ES_tradnl"/>
              </w:rPr>
              <w:t>)</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keepNext/>
              <w:jc w:val="left"/>
              <w:rPr>
                <w:lang w:val="es-ES_tradnl"/>
              </w:rPr>
            </w:pPr>
            <w:r w:rsidRPr="001C7F89">
              <w:rPr>
                <w:lang w:val="es-ES_tradnl"/>
              </w:rPr>
              <w:t xml:space="preserve">Diagrama de antena, </w:t>
            </w:r>
            <w:r w:rsidRPr="001C7F89">
              <w:rPr>
                <w:i/>
                <w:iCs/>
                <w:lang w:val="es-ES_tradnl"/>
              </w:rPr>
              <w:t>G</w:t>
            </w:r>
            <w:r w:rsidRPr="001C7F89">
              <w:rPr>
                <w:lang w:val="es-ES_tradnl"/>
              </w:rPr>
              <w:t>(</w:t>
            </w:r>
            <w:r w:rsidRPr="001C7F89">
              <w:rPr>
                <w:rFonts w:ascii="SymbolPS" w:hAnsi="SymbolPS" w:cs="SymbolPS"/>
                <w:lang w:val="es-ES_tradnl"/>
              </w:rPr>
              <w:t></w:t>
            </w:r>
            <w:r w:rsidRPr="001C7F89">
              <w:rPr>
                <w:lang w:val="es-ES_tradnl"/>
              </w:rPr>
              <w:t>)</w:t>
            </w:r>
            <w:r w:rsidRPr="001C7F89">
              <w:rPr>
                <w:vertAlign w:val="superscript"/>
                <w:lang w:val="es-ES_tradnl"/>
              </w:rPr>
              <w:t>(1)</w:t>
            </w:r>
            <w:r w:rsidRPr="001C7F89">
              <w:rPr>
                <w:lang w:val="es-ES_tradnl"/>
              </w:rPr>
              <w:t xml:space="preserve"> (</w:t>
            </w:r>
            <w:proofErr w:type="spellStart"/>
            <w:r w:rsidRPr="001C7F89">
              <w:rPr>
                <w:lang w:val="es-ES_tradnl"/>
              </w:rPr>
              <w:t>dBi</w:t>
            </w:r>
            <w:proofErr w:type="spellEnd"/>
            <w:r w:rsidRPr="001C7F89">
              <w:rPr>
                <w:lang w:val="es-ES_tradnl"/>
              </w:rPr>
              <w:t>)</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keepNext/>
              <w:jc w:val="left"/>
              <w:rPr>
                <w:lang w:val="es-ES_tradnl"/>
              </w:rPr>
            </w:pPr>
            <w:r w:rsidRPr="001C7F89">
              <w:rPr>
                <w:lang w:val="es-ES_tradnl"/>
              </w:rPr>
              <w:t xml:space="preserve">Temperatura de ruido de la antena, </w:t>
            </w:r>
            <w:r w:rsidRPr="001C7F89">
              <w:rPr>
                <w:i/>
                <w:iCs/>
                <w:lang w:val="es-ES_tradnl"/>
              </w:rPr>
              <w:t>T</w:t>
            </w:r>
            <w:r w:rsidRPr="001C7F89">
              <w:rPr>
                <w:lang w:val="es-ES_tradnl"/>
              </w:rPr>
              <w:t xml:space="preserve"> (K)</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keepNext/>
              <w:jc w:val="left"/>
              <w:rPr>
                <w:lang w:val="es-ES_tradnl"/>
              </w:rPr>
            </w:pPr>
            <w:r w:rsidRPr="001C7F89">
              <w:rPr>
                <w:lang w:val="es-ES_tradnl"/>
              </w:rPr>
              <w:t xml:space="preserve">Frecuencia de transmisión, </w:t>
            </w:r>
            <w:r w:rsidRPr="001C7F89">
              <w:rPr>
                <w:i/>
                <w:iCs/>
                <w:lang w:val="es-ES_tradnl"/>
              </w:rPr>
              <w:t>f</w:t>
            </w:r>
            <w:r w:rsidRPr="001C7F89">
              <w:rPr>
                <w:lang w:val="es-ES_tradnl"/>
              </w:rPr>
              <w:t xml:space="preserve"> (MHz)</w:t>
            </w:r>
          </w:p>
        </w:tc>
      </w:tr>
      <w:tr w:rsidR="00AE2CA3" w:rsidRPr="001C7F89"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keepNext/>
              <w:jc w:val="left"/>
              <w:rPr>
                <w:lang w:val="es-ES_tradnl"/>
              </w:rPr>
            </w:pPr>
            <w:proofErr w:type="spellStart"/>
            <w:r w:rsidRPr="001C7F89">
              <w:rPr>
                <w:lang w:val="es-ES_tradnl"/>
              </w:rPr>
              <w:t>p.i.r.e.</w:t>
            </w:r>
            <w:r w:rsidRPr="001C7F89">
              <w:rPr>
                <w:vertAlign w:val="subscript"/>
                <w:lang w:val="es-ES_tradnl"/>
              </w:rPr>
              <w:t>SF</w:t>
            </w:r>
            <w:proofErr w:type="spellEnd"/>
            <w:r w:rsidRPr="001C7F89">
              <w:rPr>
                <w:lang w:val="es-ES_tradnl"/>
              </w:rPr>
              <w:t xml:space="preserve"> (</w:t>
            </w:r>
            <w:proofErr w:type="spellStart"/>
            <w:r w:rsidRPr="001C7F89">
              <w:rPr>
                <w:lang w:val="es-ES_tradnl"/>
              </w:rPr>
              <w:t>dBW</w:t>
            </w:r>
            <w:proofErr w:type="spellEnd"/>
            <w:r w:rsidRPr="001C7F89">
              <w:rPr>
                <w:lang w:val="es-ES_tradnl"/>
              </w:rPr>
              <w:t>)</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jc w:val="left"/>
              <w:rPr>
                <w:lang w:val="es-ES_tradnl"/>
              </w:rPr>
            </w:pPr>
            <w:r w:rsidRPr="001C7F89">
              <w:rPr>
                <w:lang w:val="es-ES_tradnl"/>
              </w:rPr>
              <w:t xml:space="preserve">Pérdidas en el alimentador, </w:t>
            </w:r>
            <w:proofErr w:type="spellStart"/>
            <w:r w:rsidRPr="001C7F89">
              <w:rPr>
                <w:i/>
                <w:iCs/>
                <w:lang w:val="es-ES_tradnl"/>
              </w:rPr>
              <w:t>L</w:t>
            </w:r>
            <w:r w:rsidRPr="001C7F89">
              <w:rPr>
                <w:i/>
                <w:iCs/>
                <w:vertAlign w:val="subscript"/>
                <w:lang w:val="es-ES_tradnl"/>
              </w:rPr>
              <w:t>s</w:t>
            </w:r>
            <w:proofErr w:type="spellEnd"/>
            <w:r w:rsidRPr="001C7F89">
              <w:rPr>
                <w:lang w:val="es-ES_tradnl"/>
              </w:rPr>
              <w:t xml:space="preserve"> (dB)</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jc w:val="left"/>
              <w:rPr>
                <w:lang w:val="es-ES_tradnl"/>
              </w:rPr>
            </w:pPr>
            <w:r w:rsidRPr="001C7F89">
              <w:rPr>
                <w:lang w:val="es-ES_tradnl"/>
              </w:rPr>
              <w:t>Temperatura de ruido del alimentador (K)</w:t>
            </w:r>
          </w:p>
        </w:tc>
      </w:tr>
      <w:tr w:rsidR="00984C2D" w:rsidRPr="00CF3C1E" w:rsidTr="00801154">
        <w:trPr>
          <w:jc w:val="center"/>
        </w:trPr>
        <w:tc>
          <w:tcPr>
            <w:tcW w:w="7655" w:type="dxa"/>
            <w:tcBorders>
              <w:top w:val="single" w:sz="6" w:space="0" w:color="auto"/>
              <w:left w:val="single" w:sz="6" w:space="0" w:color="auto"/>
              <w:bottom w:val="single" w:sz="6" w:space="0" w:color="auto"/>
              <w:right w:val="single" w:sz="6" w:space="0" w:color="auto"/>
            </w:tcBorders>
          </w:tcPr>
          <w:p w:rsidR="00984C2D" w:rsidRPr="001C7F89" w:rsidRDefault="00984C2D" w:rsidP="00801154">
            <w:pPr>
              <w:pStyle w:val="Tabletext"/>
              <w:jc w:val="left"/>
              <w:rPr>
                <w:lang w:val="es-ES_tradnl"/>
              </w:rPr>
            </w:pPr>
            <w:r w:rsidRPr="001C7F89">
              <w:rPr>
                <w:lang w:val="es-ES_tradnl"/>
              </w:rPr>
              <w:t>Anchura de banda ocupada del receptor (MHz)</w:t>
            </w:r>
          </w:p>
        </w:tc>
      </w:tr>
    </w:tbl>
    <w:p w:rsidR="00984C2D" w:rsidRPr="00333762" w:rsidRDefault="00984C2D" w:rsidP="00984C2D">
      <w:pPr>
        <w:pStyle w:val="Tablefin"/>
        <w:rPr>
          <w:lang w:val="es-ES_tradnl"/>
        </w:rPr>
      </w:pPr>
    </w:p>
    <w:p w:rsidR="00984C2D" w:rsidRPr="001C7F89" w:rsidRDefault="00984C2D" w:rsidP="00984C2D">
      <w:pPr>
        <w:pStyle w:val="TableNo"/>
        <w:rPr>
          <w:lang w:val="es-ES_tradnl"/>
        </w:rPr>
      </w:pPr>
      <w:r w:rsidRPr="001C7F89">
        <w:rPr>
          <w:lang w:val="es-ES_tradnl"/>
        </w:rPr>
        <w:lastRenderedPageBreak/>
        <w:t>CUADRO 1</w:t>
      </w:r>
      <w:r>
        <w:rPr>
          <w:lang w:val="es-ES_tradnl"/>
        </w:rPr>
        <w:t xml:space="preserve"> (</w:t>
      </w:r>
      <w:r w:rsidRPr="00984C2D">
        <w:rPr>
          <w:i/>
          <w:iCs/>
          <w:lang w:val="es-ES_tradnl"/>
        </w:rPr>
        <w:t>Fin</w:t>
      </w:r>
      <w:r>
        <w:rPr>
          <w:lang w:val="es-ES_tradnl"/>
        </w:rPr>
        <w:t>)</w:t>
      </w:r>
    </w:p>
    <w:tbl>
      <w:tblPr>
        <w:tblW w:w="0" w:type="auto"/>
        <w:jc w:val="center"/>
        <w:tblLayout w:type="fixed"/>
        <w:tblCellMar>
          <w:left w:w="107" w:type="dxa"/>
          <w:right w:w="107" w:type="dxa"/>
        </w:tblCellMar>
        <w:tblLook w:val="0000"/>
      </w:tblPr>
      <w:tblGrid>
        <w:gridCol w:w="7655"/>
      </w:tblGrid>
      <w:tr w:rsidR="00984C2D" w:rsidRPr="001C7F89"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984C2D" w:rsidRPr="001C7F89" w:rsidRDefault="00984C2D" w:rsidP="00801154">
            <w:pPr>
              <w:pStyle w:val="Tabletext"/>
              <w:keepNext/>
              <w:jc w:val="center"/>
              <w:rPr>
                <w:lang w:val="es-ES_tradnl"/>
              </w:rPr>
            </w:pPr>
            <w:r w:rsidRPr="001C7F89">
              <w:rPr>
                <w:lang w:val="es-ES_tradnl"/>
              </w:rPr>
              <w:t>Parámetro</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jc w:val="left"/>
              <w:rPr>
                <w:lang w:val="es-ES_tradnl"/>
              </w:rPr>
            </w:pPr>
            <w:r w:rsidRPr="001C7F89">
              <w:rPr>
                <w:lang w:val="es-ES_tradnl"/>
              </w:rPr>
              <w:t>Emplazamiento de la estación del servicio fijo (°</w:t>
            </w:r>
            <w:r w:rsidRPr="001C7F89">
              <w:rPr>
                <w:rFonts w:ascii="Tms Rmn" w:hAnsi="Tms Rmn" w:cs="Tms Rmn"/>
                <w:sz w:val="12"/>
                <w:szCs w:val="12"/>
                <w:lang w:val="es-ES_tradnl"/>
              </w:rPr>
              <w:t> </w:t>
            </w:r>
            <w:r w:rsidRPr="001C7F89">
              <w:rPr>
                <w:lang w:val="es-ES_tradnl"/>
              </w:rPr>
              <w:t>N, °</w:t>
            </w:r>
            <w:r w:rsidRPr="001C7F89">
              <w:rPr>
                <w:rFonts w:ascii="Tms Rmn" w:hAnsi="Tms Rmn" w:cs="Tms Rmn"/>
                <w:sz w:val="12"/>
                <w:szCs w:val="12"/>
                <w:lang w:val="es-ES_tradnl"/>
              </w:rPr>
              <w:t> </w:t>
            </w:r>
            <w:r w:rsidRPr="001C7F89">
              <w:rPr>
                <w:lang w:val="es-ES_tradnl"/>
              </w:rPr>
              <w:t>E)</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jc w:val="left"/>
              <w:rPr>
                <w:lang w:val="es-ES_tradnl"/>
              </w:rPr>
            </w:pPr>
            <w:r w:rsidRPr="001C7F89">
              <w:rPr>
                <w:lang w:val="es-ES_tradnl"/>
              </w:rPr>
              <w:t>Altura de la antena sobre el nivel medio del mar (m)</w:t>
            </w:r>
          </w:p>
        </w:tc>
      </w:tr>
      <w:tr w:rsidR="00AE2CA3" w:rsidRPr="001C7F89"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jc w:val="left"/>
              <w:rPr>
                <w:lang w:val="es-ES_tradnl"/>
              </w:rPr>
            </w:pPr>
            <w:r w:rsidRPr="001C7F89">
              <w:rPr>
                <w:lang w:val="es-ES_tradnl"/>
              </w:rPr>
              <w:t xml:space="preserve">Factor </w:t>
            </w:r>
            <w:proofErr w:type="spellStart"/>
            <w:r w:rsidRPr="001C7F89">
              <w:rPr>
                <w:lang w:val="es-ES_tradnl"/>
              </w:rPr>
              <w:t>geoclimático</w:t>
            </w:r>
            <w:proofErr w:type="spellEnd"/>
            <w:r w:rsidRPr="001C7F89">
              <w:rPr>
                <w:lang w:val="es-ES_tradnl"/>
              </w:rPr>
              <w:t xml:space="preserve">, </w:t>
            </w:r>
            <w:r w:rsidRPr="001C7F89">
              <w:rPr>
                <w:i/>
                <w:iCs/>
                <w:lang w:val="es-ES_tradnl"/>
              </w:rPr>
              <w:t>K</w:t>
            </w:r>
          </w:p>
        </w:tc>
      </w:tr>
      <w:tr w:rsidR="00AE2CA3" w:rsidRPr="00CF3C1E" w:rsidTr="00984C2D">
        <w:trPr>
          <w:jc w:val="center"/>
        </w:trPr>
        <w:tc>
          <w:tcPr>
            <w:tcW w:w="7655" w:type="dxa"/>
            <w:tcBorders>
              <w:top w:val="single" w:sz="6" w:space="0" w:color="auto"/>
              <w:left w:val="single" w:sz="6" w:space="0" w:color="auto"/>
              <w:bottom w:val="single" w:sz="6" w:space="0" w:color="auto"/>
              <w:right w:val="single" w:sz="6" w:space="0" w:color="auto"/>
            </w:tcBorders>
          </w:tcPr>
          <w:p w:rsidR="00AE2CA3" w:rsidRPr="001C7F89" w:rsidRDefault="00AE2CA3" w:rsidP="00984C2D">
            <w:pPr>
              <w:pStyle w:val="Tabletext"/>
              <w:jc w:val="left"/>
              <w:rPr>
                <w:lang w:val="es-ES_tradnl"/>
              </w:rPr>
            </w:pPr>
            <w:r w:rsidRPr="001C7F89">
              <w:rPr>
                <w:lang w:val="es-ES_tradnl"/>
              </w:rPr>
              <w:t>Temperatura de ruido del receptor (K)</w:t>
            </w:r>
          </w:p>
        </w:tc>
      </w:tr>
      <w:tr w:rsidR="00AE2CA3" w:rsidRPr="00CF3C1E" w:rsidTr="003901D5">
        <w:trPr>
          <w:jc w:val="center"/>
        </w:trPr>
        <w:tc>
          <w:tcPr>
            <w:tcW w:w="7655" w:type="dxa"/>
            <w:tcBorders>
              <w:top w:val="single" w:sz="6" w:space="0" w:color="auto"/>
              <w:left w:val="nil"/>
              <w:bottom w:val="nil"/>
              <w:right w:val="nil"/>
            </w:tcBorders>
          </w:tcPr>
          <w:p w:rsidR="00AE2CA3" w:rsidRPr="001C7F89" w:rsidRDefault="0064659B" w:rsidP="00984C2D">
            <w:pPr>
              <w:pStyle w:val="Tablelegend"/>
              <w:spacing w:before="40" w:after="40"/>
              <w:rPr>
                <w:lang w:val="es-ES_tradnl"/>
              </w:rPr>
            </w:pPr>
            <w:r w:rsidRPr="001C7F89">
              <w:rPr>
                <w:vertAlign w:val="superscript"/>
                <w:lang w:val="es-ES_tradnl"/>
              </w:rPr>
              <w:t>(1)</w:t>
            </w:r>
            <w:r w:rsidRPr="001C7F89">
              <w:rPr>
                <w:lang w:val="es-ES_tradnl"/>
              </w:rPr>
              <w:tab/>
            </w:r>
            <w:r w:rsidR="00AE2CA3" w:rsidRPr="001C7F89">
              <w:rPr>
                <w:lang w:val="es-ES_tradnl"/>
              </w:rPr>
              <w:t>Ganancia de la antena del servicio fijo en dirección de la fuente de interferencia.</w:t>
            </w:r>
          </w:p>
        </w:tc>
      </w:tr>
    </w:tbl>
    <w:p w:rsidR="00984C2D" w:rsidRPr="00333762" w:rsidRDefault="00984C2D" w:rsidP="00984C2D">
      <w:pPr>
        <w:pStyle w:val="Tablefin"/>
        <w:rPr>
          <w:lang w:val="es-ES_tradnl"/>
        </w:rPr>
      </w:pPr>
    </w:p>
    <w:p w:rsidR="00AE2CA3" w:rsidRPr="001C7F89" w:rsidRDefault="00AE2CA3" w:rsidP="00AE2CA3">
      <w:pPr>
        <w:pStyle w:val="Heading2"/>
        <w:rPr>
          <w:b w:val="0"/>
          <w:bCs/>
          <w:lang w:val="es-ES_tradnl"/>
        </w:rPr>
      </w:pPr>
      <w:r w:rsidRPr="001C7F89">
        <w:rPr>
          <w:bCs/>
          <w:lang w:val="es-ES_tradnl"/>
        </w:rPr>
        <w:t>3.2</w:t>
      </w:r>
      <w:r w:rsidRPr="001C7F89">
        <w:rPr>
          <w:bCs/>
          <w:lang w:val="es-ES_tradnl"/>
        </w:rPr>
        <w:tab/>
        <w:t>Cálculo del nivel de potencia de la señal deseada</w:t>
      </w:r>
    </w:p>
    <w:p w:rsidR="00AE2CA3" w:rsidRPr="001C7F89" w:rsidRDefault="00AE2CA3" w:rsidP="00AE2CA3">
      <w:pPr>
        <w:rPr>
          <w:lang w:val="es-ES_tradnl"/>
        </w:rPr>
      </w:pPr>
      <w:r w:rsidRPr="001C7F89">
        <w:rPr>
          <w:lang w:val="es-ES_tradnl"/>
        </w:rPr>
        <w:t xml:space="preserve">El primer paso consiste en calcular el nivel de potencia recibido de la señal deseada en un instante de tiempo, </w:t>
      </w:r>
      <w:r w:rsidRPr="001C7F89">
        <w:rPr>
          <w:i/>
          <w:iCs/>
          <w:lang w:val="es-ES_tradnl"/>
        </w:rPr>
        <w:t>C</w:t>
      </w:r>
      <w:r w:rsidRPr="001C7F89">
        <w:rPr>
          <w:lang w:val="es-ES_tradnl"/>
        </w:rPr>
        <w:t>(</w:t>
      </w:r>
      <w:r w:rsidRPr="001C7F89">
        <w:rPr>
          <w:i/>
          <w:iCs/>
          <w:lang w:val="es-ES_tradnl"/>
        </w:rPr>
        <w:t>t</w:t>
      </w:r>
      <w:r w:rsidRPr="001C7F89">
        <w:rPr>
          <w:lang w:val="es-ES_tradnl"/>
        </w:rPr>
        <w:t xml:space="preserve">). Se realiza mediante un generador de números aleatorios a fin de predecir un valor de la profundidad de desvanecimiento, </w:t>
      </w:r>
      <w:r w:rsidRPr="001C7F89">
        <w:rPr>
          <w:i/>
          <w:iCs/>
          <w:lang w:val="es-ES_tradnl"/>
        </w:rPr>
        <w:t>A</w:t>
      </w:r>
      <w:r w:rsidRPr="001C7F89">
        <w:rPr>
          <w:lang w:val="es-ES_tradnl"/>
        </w:rPr>
        <w:t>, coherente con la distribución indicada en el § 2.3 de la Recomendación UIT-R P.530. El nivel de la señal recibida en cada intervalo de tiempo se calcula a la entrada del receptor del servicio fijo para cada estación receptora considerada utilizando la siguiente ecuación:</w:t>
      </w:r>
    </w:p>
    <w:p w:rsidR="00AE2CA3" w:rsidRPr="00046135" w:rsidRDefault="00AE2CA3" w:rsidP="0064659B">
      <w:pPr>
        <w:pStyle w:val="Equation"/>
        <w:rPr>
          <w:lang w:val="fr-CH"/>
        </w:rPr>
      </w:pPr>
      <w:r w:rsidRPr="001C7F89">
        <w:rPr>
          <w:lang w:val="es-ES_tradnl"/>
        </w:rPr>
        <w:tab/>
      </w:r>
      <w:r w:rsidRPr="001C7F89">
        <w:rPr>
          <w:lang w:val="es-ES_tradnl"/>
        </w:rPr>
        <w:tab/>
      </w:r>
      <w:r w:rsidRPr="00046135">
        <w:rPr>
          <w:i/>
          <w:iCs/>
          <w:lang w:val="fr-CH"/>
        </w:rPr>
        <w:t>C</w:t>
      </w:r>
      <w:r w:rsidRPr="00046135">
        <w:rPr>
          <w:lang w:val="fr-CH"/>
        </w:rPr>
        <w:t>(</w:t>
      </w:r>
      <w:r w:rsidRPr="00046135">
        <w:rPr>
          <w:i/>
          <w:iCs/>
          <w:lang w:val="fr-CH"/>
        </w:rPr>
        <w:t>t</w:t>
      </w:r>
      <w:r w:rsidRPr="00046135">
        <w:rPr>
          <w:lang w:val="fr-CH"/>
        </w:rPr>
        <w:t xml:space="preserve">)  </w:t>
      </w:r>
      <w:r w:rsidRPr="001C7F89">
        <w:rPr>
          <w:rFonts w:ascii="Symbol" w:hAnsi="Symbol" w:cs="Symbol"/>
          <w:lang w:val="es-ES_tradnl"/>
        </w:rPr>
        <w:t></w:t>
      </w:r>
      <w:r w:rsidRPr="00046135">
        <w:rPr>
          <w:lang w:val="fr-CH"/>
        </w:rPr>
        <w:t xml:space="preserve">  </w:t>
      </w:r>
      <w:proofErr w:type="spellStart"/>
      <w:r w:rsidRPr="00046135">
        <w:rPr>
          <w:i/>
          <w:iCs/>
          <w:lang w:val="fr-CH"/>
        </w:rPr>
        <w:t>p.i.r.e.</w:t>
      </w:r>
      <w:r w:rsidRPr="00046135">
        <w:rPr>
          <w:i/>
          <w:iCs/>
          <w:vertAlign w:val="subscript"/>
          <w:lang w:val="fr-CH"/>
        </w:rPr>
        <w:t>SF</w:t>
      </w:r>
      <w:proofErr w:type="spellEnd"/>
      <w:r w:rsidRPr="00046135">
        <w:rPr>
          <w:lang w:val="fr-CH"/>
        </w:rPr>
        <w:t xml:space="preserve">  –  </w:t>
      </w:r>
      <w:proofErr w:type="spellStart"/>
      <w:r w:rsidRPr="00046135">
        <w:rPr>
          <w:i/>
          <w:iCs/>
          <w:lang w:val="fr-CH"/>
        </w:rPr>
        <w:t>L</w:t>
      </w:r>
      <w:r w:rsidRPr="00046135">
        <w:rPr>
          <w:i/>
          <w:iCs/>
          <w:vertAlign w:val="subscript"/>
          <w:lang w:val="fr-CH"/>
        </w:rPr>
        <w:t>bf</w:t>
      </w:r>
      <w:proofErr w:type="spellEnd"/>
      <w:r w:rsidRPr="00046135">
        <w:rPr>
          <w:lang w:val="fr-CH"/>
        </w:rPr>
        <w:t xml:space="preserve">  </w:t>
      </w:r>
      <w:r w:rsidRPr="001C7F89">
        <w:rPr>
          <w:rFonts w:ascii="SymbolPS" w:hAnsi="SymbolPS" w:cs="SymbolPS"/>
          <w:lang w:val="es-ES_tradnl"/>
        </w:rPr>
        <w:t></w:t>
      </w:r>
      <w:r w:rsidRPr="00046135">
        <w:rPr>
          <w:lang w:val="fr-CH"/>
        </w:rPr>
        <w:t xml:space="preserve">  </w:t>
      </w:r>
      <w:r w:rsidRPr="00046135">
        <w:rPr>
          <w:i/>
          <w:iCs/>
          <w:lang w:val="fr-CH"/>
        </w:rPr>
        <w:t>G</w:t>
      </w:r>
      <w:r w:rsidRPr="00046135">
        <w:rPr>
          <w:lang w:val="fr-CH"/>
        </w:rPr>
        <w:t xml:space="preserve">  –  </w:t>
      </w:r>
      <w:r w:rsidRPr="00046135">
        <w:rPr>
          <w:i/>
          <w:iCs/>
          <w:lang w:val="fr-CH"/>
        </w:rPr>
        <w:t>A</w:t>
      </w:r>
      <w:r w:rsidRPr="00046135">
        <w:rPr>
          <w:lang w:val="fr-CH"/>
        </w:rPr>
        <w:t>(</w:t>
      </w:r>
      <w:r w:rsidRPr="00046135">
        <w:rPr>
          <w:i/>
          <w:iCs/>
          <w:lang w:val="fr-CH"/>
        </w:rPr>
        <w:t>t</w:t>
      </w:r>
      <w:r w:rsidRPr="00046135">
        <w:rPr>
          <w:lang w:val="fr-CH"/>
        </w:rPr>
        <w:t xml:space="preserve">)  –  </w:t>
      </w:r>
      <w:proofErr w:type="spellStart"/>
      <w:r w:rsidRPr="00046135">
        <w:rPr>
          <w:i/>
          <w:iCs/>
          <w:lang w:val="fr-CH"/>
        </w:rPr>
        <w:t>L</w:t>
      </w:r>
      <w:r w:rsidRPr="00046135">
        <w:rPr>
          <w:i/>
          <w:iCs/>
          <w:vertAlign w:val="subscript"/>
          <w:lang w:val="fr-CH"/>
        </w:rPr>
        <w:t>s</w:t>
      </w:r>
      <w:proofErr w:type="spellEnd"/>
      <w:r w:rsidRPr="00046135">
        <w:rPr>
          <w:vertAlign w:val="subscript"/>
          <w:lang w:val="fr-CH"/>
        </w:rPr>
        <w:tab/>
      </w:r>
      <w:r w:rsidRPr="00046135">
        <w:rPr>
          <w:lang w:val="fr-CH"/>
        </w:rPr>
        <w:t>(1)</w:t>
      </w:r>
    </w:p>
    <w:p w:rsidR="00AE2CA3" w:rsidRPr="001C7F89" w:rsidRDefault="00AE2CA3" w:rsidP="00AE2CA3">
      <w:pPr>
        <w:rPr>
          <w:lang w:val="es-ES_tradnl"/>
        </w:rPr>
      </w:pPr>
      <w:r w:rsidRPr="001C7F89">
        <w:rPr>
          <w:lang w:val="es-ES_tradnl"/>
        </w:rPr>
        <w:t xml:space="preserve">siendo </w:t>
      </w:r>
      <w:proofErr w:type="spellStart"/>
      <w:r w:rsidRPr="001C7F89">
        <w:rPr>
          <w:i/>
          <w:iCs/>
          <w:lang w:val="es-ES_tradnl"/>
        </w:rPr>
        <w:t>L</w:t>
      </w:r>
      <w:r w:rsidRPr="001C7F89">
        <w:rPr>
          <w:i/>
          <w:iCs/>
          <w:vertAlign w:val="subscript"/>
          <w:lang w:val="es-ES_tradnl"/>
        </w:rPr>
        <w:t>bf</w:t>
      </w:r>
      <w:proofErr w:type="spellEnd"/>
      <w:r w:rsidRPr="001C7F89">
        <w:rPr>
          <w:lang w:val="es-ES_tradnl"/>
        </w:rPr>
        <w:t xml:space="preserve"> las pérdidas de transmisión básicas en espacio libre. En algunos casos puede ser posible (por ejemplo, basándose en los datos medidos), tener en cuenta las variaciones diurnas y/o estacionales en el comportamiento de la propagación con desvanecimiento multitrayecto.</w:t>
      </w:r>
    </w:p>
    <w:p w:rsidR="00AE2CA3" w:rsidRPr="001C7F89" w:rsidRDefault="00AE2CA3" w:rsidP="00AE2CA3">
      <w:pPr>
        <w:pStyle w:val="Heading1"/>
        <w:rPr>
          <w:b w:val="0"/>
          <w:bCs/>
          <w:lang w:val="es-ES_tradnl"/>
        </w:rPr>
      </w:pPr>
      <w:r w:rsidRPr="001C7F89">
        <w:rPr>
          <w:bCs/>
          <w:lang w:val="es-ES_tradnl"/>
        </w:rPr>
        <w:t>4</w:t>
      </w:r>
      <w:r w:rsidRPr="001C7F89">
        <w:rPr>
          <w:bCs/>
          <w:lang w:val="es-ES_tradnl"/>
        </w:rPr>
        <w:tab/>
        <w:t xml:space="preserve">Modelo de </w:t>
      </w:r>
      <w:proofErr w:type="spellStart"/>
      <w:r w:rsidRPr="001C7F89">
        <w:rPr>
          <w:bCs/>
          <w:lang w:val="es-ES_tradnl"/>
        </w:rPr>
        <w:t>ETM</w:t>
      </w:r>
      <w:proofErr w:type="spellEnd"/>
    </w:p>
    <w:p w:rsidR="00AE2CA3" w:rsidRPr="001C7F89" w:rsidRDefault="00AE2CA3" w:rsidP="00AE2CA3">
      <w:pPr>
        <w:pStyle w:val="Heading2"/>
        <w:rPr>
          <w:b w:val="0"/>
          <w:bCs/>
          <w:lang w:val="es-ES_tradnl"/>
        </w:rPr>
      </w:pPr>
      <w:r w:rsidRPr="001C7F89">
        <w:rPr>
          <w:bCs/>
          <w:lang w:val="es-ES_tradnl"/>
        </w:rPr>
        <w:t>4.1</w:t>
      </w:r>
      <w:r w:rsidRPr="001C7F89">
        <w:rPr>
          <w:bCs/>
          <w:lang w:val="es-ES_tradnl"/>
        </w:rPr>
        <w:tab/>
        <w:t xml:space="preserve">Distribución geográfica de las </w:t>
      </w:r>
      <w:proofErr w:type="spellStart"/>
      <w:r w:rsidRPr="001C7F89">
        <w:rPr>
          <w:bCs/>
          <w:lang w:val="es-ES_tradnl"/>
        </w:rPr>
        <w:t>ETM</w:t>
      </w:r>
      <w:proofErr w:type="spellEnd"/>
    </w:p>
    <w:p w:rsidR="00AE2CA3" w:rsidRPr="001C7F89" w:rsidRDefault="00AE2CA3" w:rsidP="00AE2CA3">
      <w:pPr>
        <w:rPr>
          <w:lang w:val="es-ES_tradnl"/>
        </w:rPr>
      </w:pPr>
      <w:r w:rsidRPr="001C7F89">
        <w:rPr>
          <w:lang w:val="es-ES_tradnl"/>
        </w:rPr>
        <w:t xml:space="preserve">La distribución geográfica de las </w:t>
      </w:r>
      <w:proofErr w:type="spellStart"/>
      <w:r w:rsidRPr="001C7F89">
        <w:rPr>
          <w:lang w:val="es-ES_tradnl"/>
        </w:rPr>
        <w:t>ETM</w:t>
      </w:r>
      <w:proofErr w:type="spellEnd"/>
      <w:r w:rsidRPr="001C7F89">
        <w:rPr>
          <w:lang w:val="es-ES_tradnl"/>
        </w:rPr>
        <w:t xml:space="preserve"> se define dentro de una zona de interés que debe ser suficientemente amplia de manera que se tengan en cuenta todas las contribuciones de interferencia significativas. Dicha zona está recubierta por una rejilla de puntos de latitud/longitud, que representan los posibles emplazamientos de las </w:t>
      </w:r>
      <w:proofErr w:type="spellStart"/>
      <w:r w:rsidRPr="001C7F89">
        <w:rPr>
          <w:lang w:val="es-ES_tradnl"/>
        </w:rPr>
        <w:t>ETM</w:t>
      </w:r>
      <w:proofErr w:type="spellEnd"/>
      <w:r w:rsidRPr="001C7F89">
        <w:rPr>
          <w:lang w:val="es-ES_tradnl"/>
        </w:rPr>
        <w:t xml:space="preserve">. El perfil de tráfico de estas </w:t>
      </w:r>
      <w:proofErr w:type="spellStart"/>
      <w:r w:rsidRPr="001C7F89">
        <w:rPr>
          <w:lang w:val="es-ES_tradnl"/>
        </w:rPr>
        <w:t>ETM</w:t>
      </w:r>
      <w:proofErr w:type="spellEnd"/>
      <w:r w:rsidRPr="001C7F89">
        <w:rPr>
          <w:lang w:val="es-ES_tradnl"/>
        </w:rPr>
        <w:t xml:space="preserve"> viene definido por dos parámetros básicos:</w:t>
      </w:r>
    </w:p>
    <w:p w:rsidR="00AE2CA3" w:rsidRPr="001C7F89" w:rsidRDefault="00AE2CA3" w:rsidP="0064659B">
      <w:pPr>
        <w:pStyle w:val="enumlev1"/>
        <w:rPr>
          <w:lang w:val="es-ES_tradnl"/>
        </w:rPr>
      </w:pPr>
      <w:r w:rsidRPr="001C7F89">
        <w:rPr>
          <w:lang w:val="es-ES_tradnl"/>
        </w:rPr>
        <w:t>–</w:t>
      </w:r>
      <w:r w:rsidRPr="001C7F89">
        <w:rPr>
          <w:lang w:val="es-ES_tradnl"/>
        </w:rPr>
        <w:tab/>
        <w:t xml:space="preserve">el número de </w:t>
      </w:r>
      <w:proofErr w:type="spellStart"/>
      <w:r w:rsidRPr="001C7F89">
        <w:rPr>
          <w:lang w:val="es-ES_tradnl"/>
        </w:rPr>
        <w:t>ETM</w:t>
      </w:r>
      <w:proofErr w:type="spellEnd"/>
      <w:r w:rsidRPr="001C7F89">
        <w:rPr>
          <w:lang w:val="es-ES_tradnl"/>
        </w:rPr>
        <w:t xml:space="preserve"> activas en la hora cargada local;</w:t>
      </w:r>
    </w:p>
    <w:p w:rsidR="00AE2CA3" w:rsidRPr="001C7F89" w:rsidRDefault="00AE2CA3" w:rsidP="0064659B">
      <w:pPr>
        <w:pStyle w:val="enumlev1"/>
        <w:rPr>
          <w:lang w:val="es-ES_tradnl"/>
        </w:rPr>
      </w:pPr>
      <w:r w:rsidRPr="001C7F89">
        <w:rPr>
          <w:lang w:val="es-ES_tradnl"/>
        </w:rPr>
        <w:t>–</w:t>
      </w:r>
      <w:r w:rsidRPr="001C7F89">
        <w:rPr>
          <w:lang w:val="es-ES_tradnl"/>
        </w:rPr>
        <w:tab/>
        <w:t>un perfil de la hora del día.</w:t>
      </w:r>
    </w:p>
    <w:p w:rsidR="00AE2CA3" w:rsidRPr="001C7F89" w:rsidRDefault="00AE2CA3" w:rsidP="00AE2CA3">
      <w:pPr>
        <w:rPr>
          <w:lang w:val="es-ES_tradnl"/>
        </w:rPr>
      </w:pPr>
      <w:r w:rsidRPr="001C7F89">
        <w:rPr>
          <w:lang w:val="es-ES_tradnl"/>
        </w:rPr>
        <w:t>La zona de interés puede subdividirse en células más pequeñas para permitir la variación de los anteriores parámetros.</w:t>
      </w:r>
    </w:p>
    <w:p w:rsidR="00AE2CA3" w:rsidRPr="001C7F89" w:rsidRDefault="00AE2CA3" w:rsidP="00AE2CA3">
      <w:pPr>
        <w:rPr>
          <w:lang w:val="es-ES_tradnl"/>
        </w:rPr>
      </w:pPr>
      <w:r w:rsidRPr="001C7F89">
        <w:rPr>
          <w:lang w:val="es-ES_tradnl"/>
        </w:rPr>
        <w:t xml:space="preserve">En cada intervalo de tiempo, se determina el número de </w:t>
      </w:r>
      <w:proofErr w:type="spellStart"/>
      <w:r w:rsidRPr="001C7F89">
        <w:rPr>
          <w:lang w:val="es-ES_tradnl"/>
        </w:rPr>
        <w:t>ETM</w:t>
      </w:r>
      <w:proofErr w:type="spellEnd"/>
      <w:r w:rsidRPr="001C7F89">
        <w:rPr>
          <w:lang w:val="es-ES_tradnl"/>
        </w:rPr>
        <w:t xml:space="preserve"> que están transmitiendo dentro de una célula a partir del perfil del tráfico de las </w:t>
      </w:r>
      <w:proofErr w:type="spellStart"/>
      <w:r w:rsidRPr="001C7F89">
        <w:rPr>
          <w:lang w:val="es-ES_tradnl"/>
        </w:rPr>
        <w:t>ETM</w:t>
      </w:r>
      <w:proofErr w:type="spellEnd"/>
      <w:r w:rsidRPr="001C7F89">
        <w:rPr>
          <w:lang w:val="es-ES_tradnl"/>
        </w:rPr>
        <w:t xml:space="preserve"> y de la hora del día. A continuación, se selecciona una </w:t>
      </w:r>
      <w:proofErr w:type="spellStart"/>
      <w:r w:rsidRPr="001C7F89">
        <w:rPr>
          <w:lang w:val="es-ES_tradnl"/>
        </w:rPr>
        <w:t>ETM</w:t>
      </w:r>
      <w:proofErr w:type="spellEnd"/>
      <w:r w:rsidRPr="001C7F89">
        <w:rPr>
          <w:lang w:val="es-ES_tradnl"/>
        </w:rPr>
        <w:t xml:space="preserve"> en cada punto de la zona de interés calificándola como estación transmisora o inactiva. Esto se determina calculando en primer lugar la probabilidad de que una </w:t>
      </w:r>
      <w:proofErr w:type="spellStart"/>
      <w:r w:rsidRPr="001C7F89">
        <w:rPr>
          <w:lang w:val="es-ES_tradnl"/>
        </w:rPr>
        <w:t>ETM</w:t>
      </w:r>
      <w:proofErr w:type="spellEnd"/>
      <w:r w:rsidRPr="001C7F89">
        <w:rPr>
          <w:lang w:val="es-ES_tradnl"/>
        </w:rPr>
        <w:t xml:space="preserve"> esté transmitiendo, p(activa), en ese instante de tiempo. A continuación se genera un número aleatorio y si dicho número es inferior a p(activa) se supone que la </w:t>
      </w:r>
      <w:proofErr w:type="spellStart"/>
      <w:r w:rsidRPr="001C7F89">
        <w:rPr>
          <w:lang w:val="es-ES_tradnl"/>
        </w:rPr>
        <w:t>ETM</w:t>
      </w:r>
      <w:proofErr w:type="spellEnd"/>
      <w:r w:rsidRPr="001C7F89">
        <w:rPr>
          <w:lang w:val="es-ES_tradnl"/>
        </w:rPr>
        <w:t xml:space="preserve"> está transmitiendo; de no ser así, se supone que la </w:t>
      </w:r>
      <w:proofErr w:type="spellStart"/>
      <w:r w:rsidRPr="001C7F89">
        <w:rPr>
          <w:lang w:val="es-ES_tradnl"/>
        </w:rPr>
        <w:t>ETM</w:t>
      </w:r>
      <w:proofErr w:type="spellEnd"/>
      <w:r w:rsidRPr="001C7F89">
        <w:rPr>
          <w:lang w:val="es-ES_tradnl"/>
        </w:rPr>
        <w:t xml:space="preserve"> está inactiva.</w:t>
      </w:r>
    </w:p>
    <w:p w:rsidR="00AE2CA3" w:rsidRPr="001C7F89" w:rsidRDefault="00AE2CA3" w:rsidP="00AE2CA3">
      <w:pPr>
        <w:rPr>
          <w:lang w:val="es-ES_tradnl"/>
        </w:rPr>
      </w:pPr>
      <w:r w:rsidRPr="001C7F89">
        <w:rPr>
          <w:lang w:val="es-ES_tradnl"/>
        </w:rPr>
        <w:t xml:space="preserve">Se supone igualmente que la distribución geográfica de las </w:t>
      </w:r>
      <w:proofErr w:type="spellStart"/>
      <w:r w:rsidRPr="001C7F89">
        <w:rPr>
          <w:lang w:val="es-ES_tradnl"/>
        </w:rPr>
        <w:t>ETM</w:t>
      </w:r>
      <w:proofErr w:type="spellEnd"/>
      <w:r w:rsidRPr="001C7F89">
        <w:rPr>
          <w:lang w:val="es-ES_tradnl"/>
        </w:rPr>
        <w:t xml:space="preserve"> es independiente de un intervalo de tiempo a otro. Esta hipótesis puede realizarse debido a que el objetivo del método es obtener los valores estadísticos de la interferencia a largo plazo y no la evolución de la interferencia a lo largo del tiempo.</w:t>
      </w:r>
    </w:p>
    <w:p w:rsidR="00AE2CA3" w:rsidRPr="001C7F89" w:rsidRDefault="00AE2CA3" w:rsidP="00AE2CA3">
      <w:pPr>
        <w:pStyle w:val="Heading2"/>
        <w:rPr>
          <w:b w:val="0"/>
          <w:bCs/>
          <w:lang w:val="es-ES_tradnl"/>
        </w:rPr>
      </w:pPr>
      <w:r w:rsidRPr="001C7F89">
        <w:rPr>
          <w:bCs/>
          <w:lang w:val="es-ES_tradnl"/>
        </w:rPr>
        <w:lastRenderedPageBreak/>
        <w:t>4.2</w:t>
      </w:r>
      <w:r w:rsidRPr="001C7F89">
        <w:rPr>
          <w:bCs/>
          <w:lang w:val="es-ES_tradnl"/>
        </w:rPr>
        <w:tab/>
        <w:t xml:space="preserve">Propagación de la señal de la </w:t>
      </w:r>
      <w:proofErr w:type="spellStart"/>
      <w:r w:rsidRPr="001C7F89">
        <w:rPr>
          <w:bCs/>
          <w:lang w:val="es-ES_tradnl"/>
        </w:rPr>
        <w:t>ETM</w:t>
      </w:r>
      <w:proofErr w:type="spellEnd"/>
    </w:p>
    <w:p w:rsidR="00AE2CA3" w:rsidRPr="001C7F89" w:rsidRDefault="00AE2CA3" w:rsidP="00AE2CA3">
      <w:pPr>
        <w:rPr>
          <w:lang w:val="es-ES_tradnl"/>
        </w:rPr>
      </w:pPr>
      <w:r w:rsidRPr="001C7F89">
        <w:rPr>
          <w:lang w:val="es-ES_tradnl"/>
        </w:rPr>
        <w:t xml:space="preserve">Es necesario contar con una base de datos del terreno para predecir con precisión las pérdidas de transmisión básicas en los trayectos de la señal interferente entre la </w:t>
      </w:r>
      <w:proofErr w:type="spellStart"/>
      <w:r w:rsidRPr="001C7F89">
        <w:rPr>
          <w:lang w:val="es-ES_tradnl"/>
        </w:rPr>
        <w:t>ETM</w:t>
      </w:r>
      <w:proofErr w:type="spellEnd"/>
      <w:r w:rsidRPr="001C7F89">
        <w:rPr>
          <w:lang w:val="es-ES_tradnl"/>
        </w:rPr>
        <w:t xml:space="preserve"> y el receptor del servicio fijo. Se genera un perfil del terreno para el trayecto de círculo máximo entre cada </w:t>
      </w:r>
      <w:proofErr w:type="spellStart"/>
      <w:r w:rsidRPr="001C7F89">
        <w:rPr>
          <w:lang w:val="es-ES_tradnl"/>
        </w:rPr>
        <w:t>ETM</w:t>
      </w:r>
      <w:proofErr w:type="spellEnd"/>
      <w:r w:rsidRPr="001C7F89">
        <w:rPr>
          <w:lang w:val="es-ES_tradnl"/>
        </w:rPr>
        <w:t xml:space="preserve"> transmisora y cada receptor del servicio fijo considerado y se calcula la pérdida de transmisión básica en cada intervalo de tiempo, utilizando el método de predicción de la interferencia en cielo despejado que figura en la Recomendación UIT-R P.452. Como este modelo de propagación predice las pérdidas de transmisión básicas que se rebasan durante porcentajes de tiempo del 50% o menos (en</w:t>
      </w:r>
      <w:r w:rsidR="001C7F89" w:rsidRPr="001C7F89">
        <w:rPr>
          <w:lang w:val="es-ES_tradnl"/>
        </w:rPr>
        <w:t xml:space="preserve"> vez de establecer una distribu</w:t>
      </w:r>
      <w:r w:rsidRPr="001C7F89">
        <w:rPr>
          <w:lang w:val="es-ES_tradnl"/>
        </w:rPr>
        <w:t>ción acumulativa completa), es necesario que la distribución en el tiempo acumulativa prevista de las pérdidas se amplíe para porcentajes de tiempo mayores a fin de englobar las pérdidas relativamente elevadas que pueden aparecer (en vez de suponer que el valor del 50% es el máximo nivel de la pérdida de transmisión básica). Igualmente, puede ser adecuado extrapolar la pérdida de transmisión básica para muy pequeños porcentajes de tiempo (por ejemplo, menos del 0,001%) suponiendo un valor adecuadamente pequeño para una mínima pérdida de transmisión básica. Incluso realizando la extrapolación, este modelo de propagación puede subestimar las pérdidas de transmisión básicas en algunas situaciones (por ejemplo, como resultado de fenómenos locales no contemplados por el modelo, bloqueos de la señal debidos a edificios circundantes no incluidos en los datos sobre el terreno y «bloqueo por la cabeza» del usuario). Ello conduce a una sobreestimación de los niveles de potencia de la señal interferente.</w:t>
      </w:r>
    </w:p>
    <w:p w:rsidR="00AE2CA3" w:rsidRPr="001C7F89" w:rsidRDefault="00AE2CA3" w:rsidP="00AE2CA3">
      <w:pPr>
        <w:pStyle w:val="Heading2"/>
        <w:rPr>
          <w:b w:val="0"/>
          <w:bCs/>
          <w:lang w:val="es-ES_tradnl"/>
        </w:rPr>
      </w:pPr>
      <w:r w:rsidRPr="001C7F89">
        <w:rPr>
          <w:bCs/>
          <w:lang w:val="es-ES_tradnl"/>
        </w:rPr>
        <w:t>4.3</w:t>
      </w:r>
      <w:r w:rsidRPr="001C7F89">
        <w:rPr>
          <w:bCs/>
          <w:lang w:val="es-ES_tradnl"/>
        </w:rPr>
        <w:tab/>
        <w:t>Cálculo de la interferencia</w:t>
      </w:r>
    </w:p>
    <w:p w:rsidR="00AE2CA3" w:rsidRPr="001C7F89" w:rsidRDefault="00AE2CA3" w:rsidP="00AE2CA3">
      <w:pPr>
        <w:rPr>
          <w:lang w:val="es-ES_tradnl"/>
        </w:rPr>
      </w:pPr>
      <w:r w:rsidRPr="001C7F89">
        <w:rPr>
          <w:lang w:val="es-ES_tradnl"/>
        </w:rPr>
        <w:t>La potencia de interferencia en cada intervalo de tiempo a la entrada del receptor del servicio fijo se calcula de la forma siguiente:</w:t>
      </w:r>
    </w:p>
    <w:p w:rsidR="00AE2CA3" w:rsidRPr="00046135" w:rsidRDefault="00AE2CA3" w:rsidP="0064659B">
      <w:pPr>
        <w:pStyle w:val="Equation"/>
        <w:rPr>
          <w:lang w:val="fr-CH"/>
        </w:rPr>
      </w:pPr>
      <w:r w:rsidRPr="001C7F89">
        <w:rPr>
          <w:lang w:val="es-ES_tradnl"/>
        </w:rPr>
        <w:tab/>
      </w:r>
      <w:r w:rsidRPr="001C7F89">
        <w:rPr>
          <w:lang w:val="es-ES_tradnl"/>
        </w:rPr>
        <w:tab/>
      </w:r>
      <w:r w:rsidRPr="00046135">
        <w:rPr>
          <w:i/>
          <w:iCs/>
          <w:lang w:val="fr-CH"/>
        </w:rPr>
        <w:t>I</w:t>
      </w:r>
      <w:r w:rsidRPr="00046135">
        <w:rPr>
          <w:lang w:val="fr-CH"/>
        </w:rPr>
        <w:t>(</w:t>
      </w:r>
      <w:r w:rsidRPr="00046135">
        <w:rPr>
          <w:i/>
          <w:iCs/>
          <w:lang w:val="fr-CH"/>
        </w:rPr>
        <w:t>t</w:t>
      </w:r>
      <w:r w:rsidRPr="00046135">
        <w:rPr>
          <w:lang w:val="fr-CH"/>
        </w:rPr>
        <w:t xml:space="preserve">)  </w:t>
      </w:r>
      <w:r w:rsidRPr="001C7F89">
        <w:rPr>
          <w:rFonts w:ascii="Symbol" w:hAnsi="Symbol" w:cs="Symbol"/>
          <w:lang w:val="es-ES_tradnl"/>
        </w:rPr>
        <w:t></w:t>
      </w:r>
      <w:r w:rsidRPr="00046135">
        <w:rPr>
          <w:lang w:val="fr-CH"/>
        </w:rPr>
        <w:t xml:space="preserve">  </w:t>
      </w:r>
      <w:proofErr w:type="spellStart"/>
      <w:r w:rsidRPr="00046135">
        <w:rPr>
          <w:i/>
          <w:iCs/>
          <w:lang w:val="fr-CH"/>
        </w:rPr>
        <w:t>p.i.r.e.</w:t>
      </w:r>
      <w:r w:rsidRPr="00046135">
        <w:rPr>
          <w:i/>
          <w:iCs/>
          <w:vertAlign w:val="subscript"/>
          <w:lang w:val="fr-CH"/>
        </w:rPr>
        <w:t>ETM</w:t>
      </w:r>
      <w:proofErr w:type="spellEnd"/>
      <w:r w:rsidRPr="00046135">
        <w:rPr>
          <w:lang w:val="fr-CH"/>
        </w:rPr>
        <w:t xml:space="preserve">  –  </w:t>
      </w:r>
      <w:r w:rsidRPr="00046135">
        <w:rPr>
          <w:i/>
          <w:iCs/>
          <w:lang w:val="fr-CH"/>
        </w:rPr>
        <w:t>L</w:t>
      </w:r>
      <w:r w:rsidRPr="00046135">
        <w:rPr>
          <w:i/>
          <w:iCs/>
          <w:vertAlign w:val="subscript"/>
          <w:lang w:val="fr-CH"/>
        </w:rPr>
        <w:t>b</w:t>
      </w:r>
      <w:r w:rsidRPr="00046135">
        <w:rPr>
          <w:lang w:val="fr-CH"/>
        </w:rPr>
        <w:t>(</w:t>
      </w:r>
      <w:r w:rsidRPr="00046135">
        <w:rPr>
          <w:i/>
          <w:iCs/>
          <w:lang w:val="fr-CH"/>
        </w:rPr>
        <w:t>t</w:t>
      </w:r>
      <w:r w:rsidRPr="00046135">
        <w:rPr>
          <w:lang w:val="fr-CH"/>
        </w:rPr>
        <w:t xml:space="preserve">)  +  </w:t>
      </w:r>
      <w:r w:rsidRPr="00046135">
        <w:rPr>
          <w:i/>
          <w:iCs/>
          <w:lang w:val="fr-CH"/>
        </w:rPr>
        <w:t>G</w:t>
      </w:r>
      <w:r w:rsidRPr="00046135">
        <w:rPr>
          <w:lang w:val="fr-CH"/>
        </w:rPr>
        <w:t>(</w:t>
      </w:r>
      <w:r w:rsidRPr="001C7F89">
        <w:rPr>
          <w:rFonts w:ascii="Symbol" w:hAnsi="Symbol" w:cs="Symbol"/>
          <w:lang w:val="es-ES_tradnl"/>
        </w:rPr>
        <w:t></w:t>
      </w:r>
      <w:r w:rsidRPr="00046135">
        <w:rPr>
          <w:lang w:val="fr-CH"/>
        </w:rPr>
        <w:t xml:space="preserve">)  –  </w:t>
      </w:r>
      <w:proofErr w:type="spellStart"/>
      <w:r w:rsidRPr="00046135">
        <w:rPr>
          <w:i/>
          <w:iCs/>
          <w:lang w:val="fr-CH"/>
        </w:rPr>
        <w:t>L</w:t>
      </w:r>
      <w:r w:rsidRPr="00046135">
        <w:rPr>
          <w:i/>
          <w:iCs/>
          <w:vertAlign w:val="subscript"/>
          <w:lang w:val="fr-CH"/>
        </w:rPr>
        <w:t>s</w:t>
      </w:r>
      <w:proofErr w:type="spellEnd"/>
      <w:r w:rsidRPr="00046135">
        <w:rPr>
          <w:lang w:val="fr-CH"/>
        </w:rPr>
        <w:tab/>
        <w:t>(2)</w:t>
      </w:r>
    </w:p>
    <w:p w:rsidR="00AE2CA3" w:rsidRPr="001C7F89" w:rsidRDefault="00AE2CA3" w:rsidP="00AE2CA3">
      <w:pPr>
        <w:rPr>
          <w:lang w:val="es-ES_tradnl"/>
        </w:rPr>
      </w:pPr>
      <w:r w:rsidRPr="001C7F89">
        <w:rPr>
          <w:lang w:val="es-ES_tradnl"/>
        </w:rPr>
        <w:t>siendo:</w:t>
      </w:r>
    </w:p>
    <w:p w:rsidR="00AE2CA3" w:rsidRPr="001C7F89" w:rsidRDefault="00AE2CA3" w:rsidP="0064659B">
      <w:pPr>
        <w:pStyle w:val="Equationlegend"/>
        <w:rPr>
          <w:lang w:val="es-ES_tradnl"/>
        </w:rPr>
      </w:pPr>
      <w:r w:rsidRPr="001C7F89">
        <w:rPr>
          <w:lang w:val="es-ES_tradnl"/>
        </w:rPr>
        <w:tab/>
      </w:r>
      <w:proofErr w:type="spellStart"/>
      <w:r w:rsidRPr="001C7F89">
        <w:rPr>
          <w:i/>
          <w:iCs/>
          <w:lang w:val="es-ES_tradnl"/>
        </w:rPr>
        <w:t>p.i.r.e.</w:t>
      </w:r>
      <w:r w:rsidRPr="001C7F89">
        <w:rPr>
          <w:i/>
          <w:iCs/>
          <w:vertAlign w:val="subscript"/>
          <w:lang w:val="es-ES_tradnl"/>
        </w:rPr>
        <w:t>ETM</w:t>
      </w:r>
      <w:proofErr w:type="spellEnd"/>
      <w:r w:rsidRPr="001C7F89">
        <w:rPr>
          <w:rFonts w:ascii="Tms Rmn" w:hAnsi="Tms Rmn" w:cs="Tms Rmn"/>
          <w:sz w:val="12"/>
          <w:szCs w:val="12"/>
          <w:lang w:val="es-ES_tradnl"/>
        </w:rPr>
        <w:t> </w:t>
      </w:r>
      <w:r w:rsidRPr="001C7F89">
        <w:rPr>
          <w:lang w:val="es-ES_tradnl"/>
        </w:rPr>
        <w:t>:</w:t>
      </w:r>
      <w:r w:rsidRPr="001C7F89">
        <w:rPr>
          <w:lang w:val="es-ES_tradnl"/>
        </w:rPr>
        <w:tab/>
        <w:t xml:space="preserve">potencia isótropa radiada equivalente de la </w:t>
      </w:r>
      <w:proofErr w:type="spellStart"/>
      <w:r w:rsidRPr="001C7F89">
        <w:rPr>
          <w:lang w:val="es-ES_tradnl"/>
        </w:rPr>
        <w:t>ETM</w:t>
      </w:r>
      <w:proofErr w:type="spellEnd"/>
      <w:r w:rsidRPr="001C7F89">
        <w:rPr>
          <w:lang w:val="es-ES_tradnl"/>
        </w:rPr>
        <w:t xml:space="preserve"> en la anchura de banda de referencia (</w:t>
      </w:r>
      <w:proofErr w:type="spellStart"/>
      <w:r w:rsidRPr="001C7F89">
        <w:rPr>
          <w:lang w:val="es-ES_tradnl"/>
        </w:rPr>
        <w:t>dBW</w:t>
      </w:r>
      <w:proofErr w:type="spellEnd"/>
      <w:r w:rsidRPr="001C7F89">
        <w:rPr>
          <w:lang w:val="es-ES_tradnl"/>
        </w:rPr>
        <w:t>)</w:t>
      </w:r>
    </w:p>
    <w:p w:rsidR="00AE2CA3" w:rsidRPr="001C7F89" w:rsidRDefault="00AE2CA3" w:rsidP="0064659B">
      <w:pPr>
        <w:pStyle w:val="Equationlegend"/>
        <w:rPr>
          <w:lang w:val="es-ES_tradnl"/>
        </w:rPr>
      </w:pPr>
      <w:r w:rsidRPr="001C7F89">
        <w:rPr>
          <w:lang w:val="es-ES_tradnl"/>
        </w:rPr>
        <w:tab/>
      </w:r>
      <w:r w:rsidRPr="001C7F89">
        <w:rPr>
          <w:i/>
          <w:iCs/>
          <w:lang w:val="es-ES_tradnl"/>
        </w:rPr>
        <w:t>L</w:t>
      </w:r>
      <w:r w:rsidRPr="001C7F89">
        <w:rPr>
          <w:i/>
          <w:iCs/>
          <w:vertAlign w:val="subscript"/>
          <w:lang w:val="es-ES_tradnl"/>
        </w:rPr>
        <w:t>b</w:t>
      </w:r>
      <w:r w:rsidRPr="001C7F89">
        <w:rPr>
          <w:rFonts w:ascii="Tms Rmn" w:hAnsi="Tms Rmn" w:cs="Tms Rmn"/>
          <w:sz w:val="12"/>
          <w:szCs w:val="12"/>
          <w:lang w:val="es-ES_tradnl"/>
        </w:rPr>
        <w:t> </w:t>
      </w:r>
      <w:r w:rsidRPr="001C7F89">
        <w:rPr>
          <w:lang w:val="es-ES_tradnl"/>
        </w:rPr>
        <w:t>:</w:t>
      </w:r>
      <w:r w:rsidRPr="001C7F89">
        <w:rPr>
          <w:lang w:val="es-ES_tradnl"/>
        </w:rPr>
        <w:tab/>
        <w:t>pérdida de propagación básica de la señal interferente (véase el § 4.2).</w:t>
      </w:r>
    </w:p>
    <w:p w:rsidR="00AE2CA3" w:rsidRPr="001C7F89" w:rsidRDefault="00AE2CA3" w:rsidP="00AE2CA3">
      <w:pPr>
        <w:rPr>
          <w:lang w:val="es-ES_tradnl"/>
        </w:rPr>
      </w:pPr>
      <w:r w:rsidRPr="001C7F89">
        <w:rPr>
          <w:lang w:val="es-ES_tradnl"/>
        </w:rPr>
        <w:t xml:space="preserve">En instalaciones con varias </w:t>
      </w:r>
      <w:proofErr w:type="spellStart"/>
      <w:r w:rsidRPr="001C7F89">
        <w:rPr>
          <w:lang w:val="es-ES_tradnl"/>
        </w:rPr>
        <w:t>ETM</w:t>
      </w:r>
      <w:proofErr w:type="spellEnd"/>
      <w:r w:rsidRPr="001C7F89">
        <w:rPr>
          <w:lang w:val="es-ES_tradnl"/>
        </w:rPr>
        <w:t xml:space="preserve"> transmisoras, la señal interferente combinada en cada intervalo de tiempo se considera como la suma de todos los niveles procedentes de una sola fuente de la potencia de la señal interferente.</w:t>
      </w:r>
    </w:p>
    <w:p w:rsidR="00AE2CA3" w:rsidRPr="001C7F89" w:rsidRDefault="00AE2CA3" w:rsidP="0064659B">
      <w:pPr>
        <w:pStyle w:val="Equation"/>
        <w:rPr>
          <w:lang w:val="es-ES_tradnl"/>
        </w:rPr>
      </w:pPr>
      <w:r w:rsidRPr="001C7F89">
        <w:rPr>
          <w:lang w:val="es-ES_tradnl"/>
        </w:rPr>
        <w:tab/>
      </w:r>
      <w:r w:rsidRPr="001C7F89">
        <w:rPr>
          <w:lang w:val="es-ES_tradnl"/>
        </w:rPr>
        <w:tab/>
      </w:r>
      <w:proofErr w:type="spellStart"/>
      <w:r w:rsidRPr="001C7F89">
        <w:rPr>
          <w:i/>
          <w:iCs/>
          <w:lang w:val="es-ES_tradnl"/>
        </w:rPr>
        <w:t>I</w:t>
      </w:r>
      <w:r w:rsidRPr="001C7F89">
        <w:rPr>
          <w:i/>
          <w:iCs/>
          <w:vertAlign w:val="subscript"/>
          <w:lang w:val="es-ES_tradnl"/>
        </w:rPr>
        <w:t>comb</w:t>
      </w:r>
      <w:proofErr w:type="spellEnd"/>
      <w:r w:rsidRPr="001C7F89">
        <w:rPr>
          <w:lang w:val="es-ES_tradnl"/>
        </w:rPr>
        <w:t>(</w:t>
      </w:r>
      <w:r w:rsidRPr="001C7F89">
        <w:rPr>
          <w:i/>
          <w:iCs/>
          <w:lang w:val="es-ES_tradnl"/>
        </w:rPr>
        <w:t>t</w:t>
      </w:r>
      <w:r w:rsidRPr="001C7F89">
        <w:rPr>
          <w:lang w:val="es-ES_tradnl"/>
        </w:rPr>
        <w:t xml:space="preserve">)  </w:t>
      </w:r>
      <w:r w:rsidRPr="001C7F89">
        <w:rPr>
          <w:rFonts w:ascii="Symbol" w:hAnsi="Symbol" w:cs="Symbol"/>
          <w:lang w:val="es-ES_tradnl"/>
        </w:rPr>
        <w:t></w:t>
      </w:r>
      <w:r w:rsidRPr="001C7F89">
        <w:rPr>
          <w:lang w:val="es-ES_tradnl"/>
        </w:rPr>
        <w:t xml:space="preserve">  10 log </w:t>
      </w:r>
      <w:r w:rsidR="001C7F89" w:rsidRPr="001C7F89">
        <w:rPr>
          <w:rFonts w:ascii="Arial" w:hAnsi="Arial" w:cs="Arial"/>
          <w:position w:val="-16"/>
          <w:sz w:val="20"/>
          <w:lang w:val="es-ES_tradnl"/>
        </w:rPr>
        <w:object w:dxaOrig="140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5pt;height:22.85pt" o:ole="">
            <v:imagedata r:id="rId11" o:title=""/>
          </v:shape>
          <o:OLEObject Type="Embed" ProgID="Equation.3" ShapeID="_x0000_i1025" DrawAspect="Content" ObjectID="_1338723876" r:id="rId12"/>
        </w:object>
      </w:r>
      <w:r w:rsidRPr="001C7F89">
        <w:rPr>
          <w:lang w:val="es-ES_tradnl"/>
        </w:rPr>
        <w:tab/>
        <w:t>(3)</w:t>
      </w:r>
    </w:p>
    <w:p w:rsidR="00AE2CA3" w:rsidRPr="001C7F89" w:rsidRDefault="00AE2CA3" w:rsidP="00AE2CA3">
      <w:pPr>
        <w:rPr>
          <w:lang w:val="es-ES_tradnl"/>
        </w:rPr>
      </w:pPr>
      <w:r w:rsidRPr="001C7F89">
        <w:rPr>
          <w:lang w:val="es-ES_tradnl"/>
        </w:rPr>
        <w:t>siendo:</w:t>
      </w:r>
    </w:p>
    <w:p w:rsidR="00AE2CA3" w:rsidRPr="001C7F89" w:rsidRDefault="00AE2CA3" w:rsidP="0064659B">
      <w:pPr>
        <w:pStyle w:val="Equationlegend"/>
        <w:rPr>
          <w:lang w:val="es-ES_tradnl"/>
        </w:rPr>
      </w:pPr>
      <w:r w:rsidRPr="001C7F89">
        <w:rPr>
          <w:lang w:val="es-ES_tradnl"/>
        </w:rPr>
        <w:tab/>
      </w:r>
      <w:proofErr w:type="spellStart"/>
      <w:r w:rsidRPr="001C7F89">
        <w:rPr>
          <w:i/>
          <w:iCs/>
          <w:lang w:val="es-ES_tradnl"/>
        </w:rPr>
        <w:t>I</w:t>
      </w:r>
      <w:r w:rsidRPr="001C7F89">
        <w:rPr>
          <w:i/>
          <w:iCs/>
          <w:vertAlign w:val="subscript"/>
          <w:lang w:val="es-ES_tradnl"/>
        </w:rPr>
        <w:t>i</w:t>
      </w:r>
      <w:proofErr w:type="spellEnd"/>
      <w:r w:rsidRPr="001C7F89">
        <w:rPr>
          <w:lang w:val="es-ES_tradnl"/>
        </w:rPr>
        <w:t>(</w:t>
      </w:r>
      <w:r w:rsidRPr="001C7F89">
        <w:rPr>
          <w:i/>
          <w:iCs/>
          <w:lang w:val="es-ES_tradnl"/>
        </w:rPr>
        <w:t>t</w:t>
      </w:r>
      <w:r w:rsidRPr="001C7F89">
        <w:rPr>
          <w:lang w:val="es-ES_tradnl"/>
        </w:rPr>
        <w:t>):</w:t>
      </w:r>
      <w:r w:rsidRPr="001C7F89">
        <w:rPr>
          <w:lang w:val="es-ES_tradnl"/>
        </w:rPr>
        <w:tab/>
        <w:t>señales interferentes procedentes de una sola fuente (dB).</w:t>
      </w:r>
    </w:p>
    <w:p w:rsidR="00AE2CA3" w:rsidRPr="001C7F89" w:rsidRDefault="00AE2CA3" w:rsidP="00AE2CA3">
      <w:pPr>
        <w:pStyle w:val="Heading1"/>
        <w:rPr>
          <w:b w:val="0"/>
          <w:bCs/>
          <w:lang w:val="es-ES_tradnl"/>
        </w:rPr>
      </w:pPr>
      <w:r w:rsidRPr="001C7F89">
        <w:rPr>
          <w:bCs/>
          <w:lang w:val="es-ES_tradnl"/>
        </w:rPr>
        <w:t>5</w:t>
      </w:r>
      <w:r w:rsidRPr="001C7F89">
        <w:rPr>
          <w:bCs/>
          <w:lang w:val="es-ES_tradnl"/>
        </w:rPr>
        <w:tab/>
        <w:t>Resultados</w:t>
      </w:r>
    </w:p>
    <w:p w:rsidR="00AE2CA3" w:rsidRPr="001C7F89" w:rsidRDefault="00AE2CA3" w:rsidP="00AE2CA3">
      <w:pPr>
        <w:rPr>
          <w:lang w:val="es-ES_tradnl"/>
        </w:rPr>
      </w:pPr>
      <w:r w:rsidRPr="001C7F89">
        <w:rPr>
          <w:lang w:val="es-ES_tradnl"/>
        </w:rPr>
        <w:t xml:space="preserve">Cada intervalo de tiempo de la simulación dará lugar a valores de la relación </w:t>
      </w:r>
      <w:r w:rsidRPr="001C7F89">
        <w:rPr>
          <w:i/>
          <w:iCs/>
          <w:lang w:val="es-ES_tradnl"/>
        </w:rPr>
        <w:t>C</w:t>
      </w:r>
      <w:r w:rsidRPr="001C7F89">
        <w:rPr>
          <w:lang w:val="es-ES_tradnl"/>
        </w:rPr>
        <w:t>/(</w:t>
      </w:r>
      <w:r w:rsidRPr="001C7F89">
        <w:rPr>
          <w:i/>
          <w:iCs/>
          <w:lang w:val="es-ES_tradnl"/>
        </w:rPr>
        <w:t>N</w:t>
      </w:r>
      <w:r w:rsidRPr="001C7F89">
        <w:rPr>
          <w:lang w:val="es-ES_tradnl"/>
        </w:rPr>
        <w:t xml:space="preserve"> </w:t>
      </w:r>
      <w:r w:rsidRPr="001C7F89">
        <w:rPr>
          <w:rFonts w:ascii="Symbol" w:hAnsi="Symbol" w:cs="Symbol"/>
          <w:lang w:val="es-ES_tradnl"/>
        </w:rPr>
        <w:t></w:t>
      </w:r>
      <w:r w:rsidRPr="001C7F89">
        <w:rPr>
          <w:lang w:val="es-ES_tradnl"/>
        </w:rPr>
        <w:t xml:space="preserve"> </w:t>
      </w:r>
      <w:r w:rsidRPr="001C7F89">
        <w:rPr>
          <w:i/>
          <w:iCs/>
          <w:lang w:val="es-ES_tradnl"/>
        </w:rPr>
        <w:t>I</w:t>
      </w:r>
      <w:r w:rsidRPr="001C7F89">
        <w:rPr>
          <w:lang w:val="es-ES_tradnl"/>
        </w:rPr>
        <w:t xml:space="preserve">) para cada receptor del servicio fijo considerado en la simulación. Estos valores se cuantifican adecuadamente (por ejemplo, en intervalos de 1 dB) y se almacenan (por ejemplo, como el número de apariciones de un valor cuantificado). Al final de la simulación, pueden calcularse las funciones de distribución acumulativa y compararse a los objetivos de calidad de funcionamiento del servicio fijo pertinentes; por ejemplo, según las Recomendaciones UIT-R F.634 o UIT-R F.697 convirtiendo a valores umbrales equivalentes de la relación </w:t>
      </w:r>
      <w:r w:rsidRPr="001C7F89">
        <w:rPr>
          <w:i/>
          <w:iCs/>
          <w:lang w:val="es-ES_tradnl"/>
        </w:rPr>
        <w:t>C</w:t>
      </w:r>
      <w:r w:rsidRPr="001C7F89">
        <w:rPr>
          <w:lang w:val="es-ES_tradnl"/>
        </w:rPr>
        <w:t>/(</w:t>
      </w:r>
      <w:r w:rsidRPr="001C7F89">
        <w:rPr>
          <w:i/>
          <w:iCs/>
          <w:lang w:val="es-ES_tradnl"/>
        </w:rPr>
        <w:t>N</w:t>
      </w:r>
      <w:r w:rsidRPr="001C7F89">
        <w:rPr>
          <w:lang w:val="es-ES_tradnl"/>
        </w:rPr>
        <w:t xml:space="preserve"> </w:t>
      </w:r>
      <w:r w:rsidRPr="001C7F89">
        <w:rPr>
          <w:rFonts w:ascii="Symbol" w:hAnsi="Symbol" w:cs="Symbol"/>
          <w:lang w:val="es-ES_tradnl"/>
        </w:rPr>
        <w:t></w:t>
      </w:r>
      <w:r w:rsidRPr="001C7F89">
        <w:rPr>
          <w:lang w:val="es-ES_tradnl"/>
        </w:rPr>
        <w:t xml:space="preserve"> </w:t>
      </w:r>
      <w:r w:rsidRPr="001C7F89">
        <w:rPr>
          <w:i/>
          <w:iCs/>
          <w:lang w:val="es-ES_tradnl"/>
        </w:rPr>
        <w:t>I</w:t>
      </w:r>
      <w:r w:rsidRPr="001C7F89">
        <w:rPr>
          <w:lang w:val="es-ES_tradnl"/>
        </w:rPr>
        <w:t>).</w:t>
      </w:r>
    </w:p>
    <w:p w:rsidR="00AE2CA3" w:rsidRPr="00984C2D" w:rsidRDefault="00AE2CA3" w:rsidP="00984C2D">
      <w:pPr>
        <w:spacing w:before="0"/>
        <w:rPr>
          <w:sz w:val="14"/>
          <w:lang w:val="es-ES_tradnl"/>
        </w:rPr>
      </w:pPr>
    </w:p>
    <w:p w:rsidR="00AE2CA3" w:rsidRPr="001C7F89" w:rsidRDefault="00AE2CA3" w:rsidP="00AE2CA3">
      <w:pPr>
        <w:pStyle w:val="Line"/>
        <w:rPr>
          <w:lang w:val="es-ES_tradnl"/>
        </w:rPr>
      </w:pPr>
    </w:p>
    <w:sectPr w:rsidR="00AE2CA3" w:rsidRPr="001C7F89" w:rsidSect="0004229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3D1" w:rsidRDefault="002B63D1">
      <w:r>
        <w:separator/>
      </w:r>
    </w:p>
  </w:endnote>
  <w:endnote w:type="continuationSeparator" w:id="0">
    <w:p w:rsidR="002B63D1" w:rsidRDefault="002B63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ymbolPS">
    <w:panose1 w:val="00000000000000000000"/>
    <w:charset w:val="02"/>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3D1" w:rsidRDefault="002B63D1">
      <w:r>
        <w:separator/>
      </w:r>
    </w:p>
  </w:footnote>
  <w:footnote w:type="continuationSeparator" w:id="0">
    <w:p w:rsidR="002B63D1" w:rsidRDefault="002B63D1">
      <w:r>
        <w:continuationSeparator/>
      </w:r>
    </w:p>
  </w:footnote>
  <w:footnote w:id="1">
    <w:p w:rsidR="002B63D1" w:rsidRPr="00046135" w:rsidRDefault="002B63D1">
      <w:pPr>
        <w:pStyle w:val="FootnoteText"/>
        <w:rPr>
          <w:lang w:val="es-ES_tradnl"/>
        </w:rPr>
      </w:pPr>
      <w:r w:rsidRPr="00046135">
        <w:rPr>
          <w:rStyle w:val="FootnoteReference"/>
          <w:lang w:val="es-ES_tradnl"/>
        </w:rPr>
        <w:t>*</w:t>
      </w:r>
      <w:r w:rsidRPr="00046135">
        <w:rPr>
          <w:lang w:val="es-ES_tradnl"/>
        </w:rPr>
        <w:tab/>
      </w:r>
      <w:r w:rsidRPr="004D7D05">
        <w:rPr>
          <w:lang w:val="es-ES_tradnl"/>
        </w:rPr>
        <w:t>Esta Recomendación debe señalarse a la atención de la Comisión de Estudio 3 de Radiocomunicaciones.</w:t>
      </w:r>
    </w:p>
  </w:footnote>
  <w:footnote w:id="2">
    <w:p w:rsidR="002B63D1" w:rsidRPr="00046135" w:rsidRDefault="002B63D1" w:rsidP="0064659B">
      <w:pPr>
        <w:pStyle w:val="FootnoteText"/>
        <w:rPr>
          <w:lang w:val="es-ES_tradnl"/>
        </w:rPr>
      </w:pPr>
      <w:r w:rsidRPr="00046135">
        <w:rPr>
          <w:rStyle w:val="FootnoteReference"/>
          <w:lang w:val="es-ES_tradnl"/>
        </w:rPr>
        <w:t>**</w:t>
      </w:r>
      <w:r w:rsidRPr="00046135">
        <w:rPr>
          <w:lang w:val="es-ES_tradnl"/>
        </w:rPr>
        <w:tab/>
      </w:r>
      <w:r w:rsidRPr="006D3BA4">
        <w:rPr>
          <w:lang w:val="es-ES_tradnl"/>
        </w:rPr>
        <w:t xml:space="preserve">Esta Recomendación fue realizada conjuntamente por las Comisiones de Estudio </w:t>
      </w:r>
      <w:r>
        <w:rPr>
          <w:lang w:val="es-ES_tradnl"/>
        </w:rPr>
        <w:t>4</w:t>
      </w:r>
      <w:r w:rsidRPr="006D3BA4">
        <w:rPr>
          <w:lang w:val="es-ES_tradnl"/>
        </w:rPr>
        <w:t xml:space="preserve"> y </w:t>
      </w:r>
      <w:r>
        <w:rPr>
          <w:lang w:val="es-ES_tradnl"/>
        </w:rPr>
        <w:t>5</w:t>
      </w:r>
      <w:r w:rsidRPr="006D3BA4">
        <w:rPr>
          <w:lang w:val="es-ES_tradnl"/>
        </w:rPr>
        <w:t xml:space="preserve"> de Radiocomunicaciones, que también se</w:t>
      </w:r>
      <w:r>
        <w:rPr>
          <w:lang w:val="es-ES_tradnl"/>
        </w:rPr>
        <w:t xml:space="preserve"> </w:t>
      </w:r>
      <w:r w:rsidRPr="006D3BA4">
        <w:rPr>
          <w:lang w:val="es-ES_tradnl"/>
        </w:rPr>
        <w:t>ocuparán conjuntamente de cualquier futura revisión.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3D1" w:rsidRDefault="002B63D1">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3D1" w:rsidRDefault="002B63D1"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3D1" w:rsidRDefault="00975893" w:rsidP="001B395D">
    <w:pPr>
      <w:pStyle w:val="Header"/>
      <w:jc w:val="left"/>
    </w:pPr>
    <w:r>
      <w:rPr>
        <w:rStyle w:val="PageNumber"/>
        <w:b/>
        <w:bCs/>
      </w:rPr>
      <w:fldChar w:fldCharType="begin"/>
    </w:r>
    <w:r w:rsidR="002B63D1">
      <w:rPr>
        <w:rStyle w:val="PageNumber"/>
        <w:b/>
        <w:bCs/>
      </w:rPr>
      <w:instrText xml:space="preserve"> PAGE </w:instrText>
    </w:r>
    <w:r>
      <w:rPr>
        <w:rStyle w:val="PageNumber"/>
        <w:b/>
        <w:bCs/>
      </w:rPr>
      <w:fldChar w:fldCharType="separate"/>
    </w:r>
    <w:r w:rsidR="00CF3C1E">
      <w:rPr>
        <w:rStyle w:val="PageNumber"/>
        <w:b/>
        <w:bCs/>
        <w:noProof/>
      </w:rPr>
      <w:t>2</w:t>
    </w:r>
    <w:r>
      <w:rPr>
        <w:rStyle w:val="PageNumber"/>
        <w:b/>
        <w:bCs/>
      </w:rPr>
      <w:fldChar w:fldCharType="end"/>
    </w:r>
    <w:r w:rsidR="002B63D1">
      <w:tab/>
    </w:r>
    <w:fldSimple w:instr=" DOCPROPERTY &quot;Header&quot; \* MERGEFORMAT ">
      <w:r w:rsidR="00333762" w:rsidRPr="00333762">
        <w:rPr>
          <w:b/>
          <w:bCs/>
        </w:rPr>
        <w:t xml:space="preserve">Rec. </w:t>
      </w:r>
    </w:fldSimple>
    <w:r w:rsidR="002B63D1" w:rsidRPr="001B395D">
      <w:rPr>
        <w:b/>
        <w:bCs/>
      </w:rPr>
      <w:t xml:space="preserve"> </w:t>
    </w:r>
    <w:r w:rsidRPr="001B395D">
      <w:rPr>
        <w:b/>
        <w:bCs/>
      </w:rPr>
      <w:fldChar w:fldCharType="begin"/>
    </w:r>
    <w:r w:rsidR="002B63D1" w:rsidRPr="001B395D">
      <w:rPr>
        <w:b/>
        <w:bCs/>
      </w:rPr>
      <w:instrText>styleref href</w:instrText>
    </w:r>
    <w:r w:rsidRPr="001B395D">
      <w:rPr>
        <w:b/>
        <w:bCs/>
      </w:rPr>
      <w:fldChar w:fldCharType="separate"/>
    </w:r>
    <w:r w:rsidR="00CF3C1E">
      <w:rPr>
        <w:b/>
        <w:bCs/>
        <w:noProof/>
      </w:rPr>
      <w:t>UIT-R  M.1469-2</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3D1" w:rsidRDefault="002B63D1">
    <w:r>
      <w:tab/>
    </w:r>
    <w:fldSimple w:instr=" DOCPROPERTY &quot;Header&quot; \* MERGEFORMAT ">
      <w:r w:rsidR="00333762" w:rsidRPr="00333762">
        <w:rPr>
          <w:b/>
          <w:bCs/>
        </w:rPr>
        <w:t xml:space="preserve">Rec. </w:t>
      </w:r>
    </w:fldSimple>
    <w:r>
      <w:rPr>
        <w:b/>
        <w:bCs/>
      </w:rPr>
      <w:t xml:space="preserve"> </w:t>
    </w:r>
    <w:r w:rsidR="00975893">
      <w:rPr>
        <w:b/>
        <w:bCs/>
      </w:rPr>
      <w:fldChar w:fldCharType="begin"/>
    </w:r>
    <w:r>
      <w:rPr>
        <w:b/>
        <w:bCs/>
      </w:rPr>
      <w:instrText>styleref href</w:instrText>
    </w:r>
    <w:r w:rsidR="00975893">
      <w:rPr>
        <w:b/>
        <w:bCs/>
      </w:rPr>
      <w:fldChar w:fldCharType="separate"/>
    </w:r>
    <w:r w:rsidR="00333762">
      <w:rPr>
        <w:b/>
        <w:bCs/>
        <w:noProof/>
      </w:rPr>
      <w:t>UIT-R  M.1469-2</w:t>
    </w:r>
    <w:r w:rsidR="00975893">
      <w:rPr>
        <w:b/>
        <w:bCs/>
      </w:rPr>
      <w:fldChar w:fldCharType="end"/>
    </w:r>
    <w:r>
      <w:tab/>
    </w:r>
    <w:r w:rsidR="00975893">
      <w:rPr>
        <w:rStyle w:val="PageNumber"/>
        <w:b/>
        <w:bCs/>
      </w:rPr>
      <w:fldChar w:fldCharType="begin"/>
    </w:r>
    <w:r>
      <w:rPr>
        <w:rStyle w:val="PageNumber"/>
        <w:b/>
        <w:bCs/>
      </w:rPr>
      <w:instrText xml:space="preserve"> PAGE </w:instrText>
    </w:r>
    <w:r w:rsidR="00975893">
      <w:rPr>
        <w:rStyle w:val="PageNumber"/>
        <w:b/>
        <w:bCs/>
      </w:rPr>
      <w:fldChar w:fldCharType="separate"/>
    </w:r>
    <w:r>
      <w:rPr>
        <w:rStyle w:val="PageNumber"/>
        <w:b/>
        <w:bCs/>
        <w:noProof/>
      </w:rPr>
      <w:t>v</w:t>
    </w:r>
    <w:r w:rsidR="0097589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3D1" w:rsidRPr="001B395D" w:rsidRDefault="002B63D1" w:rsidP="001B395D">
    <w:pPr>
      <w:pStyle w:val="Header"/>
      <w:rPr>
        <w:b/>
        <w:bCs/>
      </w:rPr>
    </w:pPr>
    <w:r>
      <w:tab/>
    </w:r>
    <w:fldSimple w:instr=" DOCPROPERTY &quot;Header&quot; \* MERGEFORMAT ">
      <w:r w:rsidR="00333762" w:rsidRPr="00333762">
        <w:rPr>
          <w:b/>
          <w:bCs/>
        </w:rPr>
        <w:t xml:space="preserve">Rec. </w:t>
      </w:r>
    </w:fldSimple>
    <w:r w:rsidRPr="001B395D">
      <w:rPr>
        <w:b/>
        <w:bCs/>
      </w:rPr>
      <w:t xml:space="preserve"> </w:t>
    </w:r>
    <w:r w:rsidR="00975893" w:rsidRPr="001B395D">
      <w:rPr>
        <w:b/>
        <w:bCs/>
      </w:rPr>
      <w:fldChar w:fldCharType="begin"/>
    </w:r>
    <w:r w:rsidRPr="001B395D">
      <w:rPr>
        <w:b/>
        <w:bCs/>
      </w:rPr>
      <w:instrText>styleref href</w:instrText>
    </w:r>
    <w:r w:rsidR="00975893" w:rsidRPr="001B395D">
      <w:rPr>
        <w:b/>
        <w:bCs/>
      </w:rPr>
      <w:fldChar w:fldCharType="separate"/>
    </w:r>
    <w:r w:rsidR="00CF3C1E">
      <w:rPr>
        <w:b/>
        <w:bCs/>
        <w:noProof/>
      </w:rPr>
      <w:t>UIT-R  M.1469-2</w:t>
    </w:r>
    <w:r w:rsidR="00975893" w:rsidRPr="001B395D">
      <w:rPr>
        <w:b/>
        <w:bCs/>
      </w:rPr>
      <w:fldChar w:fldCharType="end"/>
    </w:r>
    <w:r w:rsidRPr="001B395D">
      <w:rPr>
        <w:b/>
        <w:bCs/>
      </w:rPr>
      <w:tab/>
    </w:r>
    <w:r w:rsidR="00975893" w:rsidRPr="001B395D">
      <w:rPr>
        <w:rStyle w:val="PageNumber"/>
        <w:b/>
        <w:bCs/>
      </w:rPr>
      <w:fldChar w:fldCharType="begin"/>
    </w:r>
    <w:r w:rsidRPr="001B395D">
      <w:rPr>
        <w:rStyle w:val="PageNumber"/>
        <w:b/>
        <w:bCs/>
      </w:rPr>
      <w:instrText xml:space="preserve"> PAGE </w:instrText>
    </w:r>
    <w:r w:rsidR="00975893" w:rsidRPr="001B395D">
      <w:rPr>
        <w:rStyle w:val="PageNumber"/>
        <w:b/>
        <w:bCs/>
      </w:rPr>
      <w:fldChar w:fldCharType="separate"/>
    </w:r>
    <w:r w:rsidR="00CF3C1E">
      <w:rPr>
        <w:rStyle w:val="PageNumber"/>
        <w:b/>
        <w:bCs/>
        <w:noProof/>
      </w:rPr>
      <w:t>5</w:t>
    </w:r>
    <w:r w:rsidR="00975893" w:rsidRPr="001B395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7"/>
  <w:mirrorMargins/>
  <w:hideSpellingErrors/>
  <w:hideGrammaticalErrors/>
  <w:activeWritingStyle w:appName="MSWord" w:lang="en-US" w:vendorID="64" w:dllVersion="131077"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attachedTemplate r:id="rId1"/>
  <w:stylePaneFormatFilter w:val="3F01"/>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rsids>
    <w:rsidRoot w:val="00042292"/>
    <w:rsid w:val="00042292"/>
    <w:rsid w:val="00046135"/>
    <w:rsid w:val="001B26B3"/>
    <w:rsid w:val="001B395D"/>
    <w:rsid w:val="001C7F89"/>
    <w:rsid w:val="002B63D1"/>
    <w:rsid w:val="002D76C4"/>
    <w:rsid w:val="00333762"/>
    <w:rsid w:val="003901D5"/>
    <w:rsid w:val="00410F5B"/>
    <w:rsid w:val="005260F6"/>
    <w:rsid w:val="005C5325"/>
    <w:rsid w:val="005F0406"/>
    <w:rsid w:val="00607D68"/>
    <w:rsid w:val="0064659B"/>
    <w:rsid w:val="0076082A"/>
    <w:rsid w:val="00975893"/>
    <w:rsid w:val="00984C2D"/>
    <w:rsid w:val="00A07AEB"/>
    <w:rsid w:val="00A6617B"/>
    <w:rsid w:val="00AB0DC8"/>
    <w:rsid w:val="00AE2CA3"/>
    <w:rsid w:val="00B41B0A"/>
    <w:rsid w:val="00B44E24"/>
    <w:rsid w:val="00C36A75"/>
    <w:rsid w:val="00CB1354"/>
    <w:rsid w:val="00CF3C1E"/>
    <w:rsid w:val="00DF4176"/>
    <w:rsid w:val="00E77D30"/>
    <w:rsid w:val="00EE743D"/>
    <w:rsid w:val="00FD7C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39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B395D"/>
    <w:pPr>
      <w:keepNext/>
      <w:keepLines/>
      <w:spacing w:before="480"/>
      <w:ind w:left="794" w:hanging="794"/>
      <w:outlineLvl w:val="0"/>
    </w:pPr>
    <w:rPr>
      <w:b/>
    </w:rPr>
  </w:style>
  <w:style w:type="paragraph" w:styleId="Heading2">
    <w:name w:val="heading 2"/>
    <w:basedOn w:val="Heading1"/>
    <w:next w:val="Normal"/>
    <w:qFormat/>
    <w:rsid w:val="001B395D"/>
    <w:pPr>
      <w:spacing w:before="320"/>
      <w:outlineLvl w:val="1"/>
    </w:pPr>
  </w:style>
  <w:style w:type="paragraph" w:styleId="Heading3">
    <w:name w:val="heading 3"/>
    <w:basedOn w:val="Heading1"/>
    <w:next w:val="Normal"/>
    <w:qFormat/>
    <w:rsid w:val="001B395D"/>
    <w:pPr>
      <w:spacing w:before="200"/>
      <w:outlineLvl w:val="2"/>
    </w:pPr>
  </w:style>
  <w:style w:type="paragraph" w:styleId="Heading4">
    <w:name w:val="heading 4"/>
    <w:basedOn w:val="Heading3"/>
    <w:next w:val="Normal"/>
    <w:qFormat/>
    <w:rsid w:val="001B395D"/>
    <w:pPr>
      <w:tabs>
        <w:tab w:val="clear" w:pos="794"/>
        <w:tab w:val="left" w:pos="992"/>
      </w:tabs>
      <w:ind w:left="992" w:hanging="992"/>
      <w:outlineLvl w:val="3"/>
    </w:pPr>
  </w:style>
  <w:style w:type="paragraph" w:styleId="Heading5">
    <w:name w:val="heading 5"/>
    <w:basedOn w:val="Heading4"/>
    <w:next w:val="Normal"/>
    <w:qFormat/>
    <w:rsid w:val="001B395D"/>
    <w:pPr>
      <w:outlineLvl w:val="4"/>
    </w:pPr>
  </w:style>
  <w:style w:type="paragraph" w:styleId="Heading6">
    <w:name w:val="heading 6"/>
    <w:basedOn w:val="Heading4"/>
    <w:next w:val="Normal"/>
    <w:qFormat/>
    <w:rsid w:val="001B395D"/>
    <w:pPr>
      <w:tabs>
        <w:tab w:val="clear" w:pos="992"/>
        <w:tab w:val="clear" w:pos="1191"/>
      </w:tabs>
      <w:ind w:left="1588" w:hanging="1588"/>
      <w:outlineLvl w:val="5"/>
    </w:pPr>
  </w:style>
  <w:style w:type="paragraph" w:styleId="Heading7">
    <w:name w:val="heading 7"/>
    <w:basedOn w:val="Heading6"/>
    <w:next w:val="Normal"/>
    <w:qFormat/>
    <w:rsid w:val="001B395D"/>
    <w:pPr>
      <w:outlineLvl w:val="6"/>
    </w:pPr>
  </w:style>
  <w:style w:type="paragraph" w:styleId="Heading8">
    <w:name w:val="heading 8"/>
    <w:basedOn w:val="Heading6"/>
    <w:next w:val="Normal"/>
    <w:qFormat/>
    <w:rsid w:val="001B395D"/>
    <w:pPr>
      <w:outlineLvl w:val="7"/>
    </w:pPr>
  </w:style>
  <w:style w:type="paragraph" w:styleId="Heading9">
    <w:name w:val="heading 9"/>
    <w:basedOn w:val="Heading6"/>
    <w:next w:val="Normal"/>
    <w:qFormat/>
    <w:rsid w:val="001B395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B395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B395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B395D"/>
  </w:style>
  <w:style w:type="paragraph" w:customStyle="1" w:styleId="Headingb">
    <w:name w:val="Heading_b"/>
    <w:basedOn w:val="Heading3"/>
    <w:next w:val="Normal"/>
    <w:rsid w:val="001B395D"/>
    <w:pPr>
      <w:spacing w:before="160"/>
      <w:ind w:left="0" w:firstLine="0"/>
      <w:outlineLvl w:val="9"/>
    </w:pPr>
  </w:style>
  <w:style w:type="paragraph" w:customStyle="1" w:styleId="Headingi">
    <w:name w:val="Heading_i"/>
    <w:basedOn w:val="Heading3"/>
    <w:next w:val="Normal"/>
    <w:rsid w:val="001B395D"/>
    <w:pPr>
      <w:spacing w:before="160"/>
      <w:ind w:left="0" w:firstLine="0"/>
    </w:pPr>
    <w:rPr>
      <w:b w:val="0"/>
      <w:i/>
    </w:rPr>
  </w:style>
  <w:style w:type="character" w:customStyle="1" w:styleId="href">
    <w:name w:val="href"/>
    <w:basedOn w:val="DefaultParagraphFont"/>
    <w:rsid w:val="001B395D"/>
  </w:style>
  <w:style w:type="paragraph" w:customStyle="1" w:styleId="enumlev1">
    <w:name w:val="enumlev1"/>
    <w:basedOn w:val="Normal"/>
    <w:rsid w:val="001B395D"/>
    <w:pPr>
      <w:spacing w:before="80"/>
      <w:ind w:left="794" w:hanging="794"/>
    </w:pPr>
  </w:style>
  <w:style w:type="paragraph" w:customStyle="1" w:styleId="enumlev2">
    <w:name w:val="enumlev2"/>
    <w:basedOn w:val="enumlev1"/>
    <w:rsid w:val="001B395D"/>
    <w:pPr>
      <w:ind w:left="1191" w:hanging="397"/>
    </w:pPr>
  </w:style>
  <w:style w:type="paragraph" w:customStyle="1" w:styleId="enumlev3">
    <w:name w:val="enumlev3"/>
    <w:basedOn w:val="enumlev2"/>
    <w:rsid w:val="001B395D"/>
    <w:pPr>
      <w:ind w:left="1588"/>
    </w:pPr>
  </w:style>
  <w:style w:type="paragraph" w:customStyle="1" w:styleId="Normalaftertitle">
    <w:name w:val="Normal_after_title"/>
    <w:basedOn w:val="Normal"/>
    <w:next w:val="Normal"/>
    <w:rsid w:val="001B395D"/>
    <w:pPr>
      <w:spacing w:before="320"/>
    </w:pPr>
  </w:style>
  <w:style w:type="paragraph" w:customStyle="1" w:styleId="Note">
    <w:name w:val="Note"/>
    <w:basedOn w:val="Normal"/>
    <w:rsid w:val="001B395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B395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B395D"/>
    <w:pPr>
      <w:spacing w:before="240"/>
    </w:pPr>
    <w:rPr>
      <w:sz w:val="22"/>
      <w:lang w:val="es-ES_tradnl"/>
    </w:rPr>
  </w:style>
  <w:style w:type="paragraph" w:customStyle="1" w:styleId="Recref">
    <w:name w:val="Rec_ref"/>
    <w:basedOn w:val="Normal"/>
    <w:next w:val="Recdate"/>
    <w:rsid w:val="001B395D"/>
    <w:pPr>
      <w:jc w:val="center"/>
    </w:pPr>
  </w:style>
  <w:style w:type="paragraph" w:customStyle="1" w:styleId="Recdate">
    <w:name w:val="Rec_date"/>
    <w:basedOn w:val="Recref"/>
    <w:next w:val="Normalaftertitle"/>
    <w:rsid w:val="001B395D"/>
    <w:pPr>
      <w:jc w:val="right"/>
    </w:pPr>
  </w:style>
  <w:style w:type="paragraph" w:customStyle="1" w:styleId="AnnexNoTitle">
    <w:name w:val="Annex_NoTitle"/>
    <w:basedOn w:val="Normal"/>
    <w:next w:val="Normalaftertitle"/>
    <w:rsid w:val="001B395D"/>
    <w:pPr>
      <w:keepNext/>
      <w:keepLines/>
      <w:spacing w:before="480" w:after="80"/>
      <w:jc w:val="center"/>
    </w:pPr>
    <w:rPr>
      <w:b/>
      <w:sz w:val="28"/>
    </w:rPr>
  </w:style>
  <w:style w:type="paragraph" w:customStyle="1" w:styleId="AppendixNoTitle">
    <w:name w:val="Appendix_NoTitle"/>
    <w:basedOn w:val="AnnexNoTitle"/>
    <w:next w:val="Normal"/>
    <w:rsid w:val="001B395D"/>
  </w:style>
  <w:style w:type="paragraph" w:customStyle="1" w:styleId="Tablefin">
    <w:name w:val="Table_fin"/>
    <w:basedOn w:val="Normal"/>
    <w:next w:val="Normal"/>
    <w:rsid w:val="001B395D"/>
    <w:pPr>
      <w:spacing w:before="0"/>
    </w:pPr>
    <w:rPr>
      <w:sz w:val="20"/>
      <w:lang w:val="en-GB"/>
    </w:rPr>
  </w:style>
  <w:style w:type="paragraph" w:customStyle="1" w:styleId="Tablehead">
    <w:name w:val="Table_head"/>
    <w:basedOn w:val="Normal"/>
    <w:next w:val="Normal"/>
    <w:rsid w:val="001B39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B39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B395D"/>
    <w:pPr>
      <w:keepNext/>
      <w:spacing w:before="360" w:after="120"/>
      <w:jc w:val="center"/>
    </w:pPr>
  </w:style>
  <w:style w:type="paragraph" w:customStyle="1" w:styleId="Tabletext">
    <w:name w:val="Table_text"/>
    <w:basedOn w:val="Normal"/>
    <w:rsid w:val="001B39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B395D"/>
    <w:pPr>
      <w:tabs>
        <w:tab w:val="clear" w:pos="1191"/>
        <w:tab w:val="clear" w:pos="1588"/>
        <w:tab w:val="clear" w:pos="1985"/>
        <w:tab w:val="center" w:pos="4820"/>
        <w:tab w:val="right" w:pos="9639"/>
      </w:tabs>
    </w:pPr>
  </w:style>
  <w:style w:type="paragraph" w:customStyle="1" w:styleId="Equationlegend">
    <w:name w:val="Equation_legend"/>
    <w:basedOn w:val="NormalIndent"/>
    <w:rsid w:val="001B395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B395D"/>
    <w:pPr>
      <w:ind w:left="794"/>
    </w:pPr>
  </w:style>
  <w:style w:type="paragraph" w:customStyle="1" w:styleId="Figurelegend">
    <w:name w:val="Figure_legend"/>
    <w:basedOn w:val="Normal"/>
    <w:rsid w:val="001B395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B395D"/>
    <w:pPr>
      <w:keepNext/>
      <w:keepLines/>
      <w:spacing w:before="480" w:after="80"/>
      <w:jc w:val="center"/>
    </w:pPr>
    <w:rPr>
      <w:caps/>
      <w:sz w:val="18"/>
    </w:rPr>
  </w:style>
  <w:style w:type="paragraph" w:customStyle="1" w:styleId="tocpart">
    <w:name w:val="tocpart"/>
    <w:basedOn w:val="Normal"/>
    <w:rsid w:val="001B395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B395D"/>
    <w:pPr>
      <w:keepNext/>
      <w:keepLines/>
      <w:spacing w:before="480"/>
      <w:jc w:val="center"/>
    </w:pPr>
    <w:rPr>
      <w:sz w:val="28"/>
    </w:rPr>
  </w:style>
  <w:style w:type="paragraph" w:customStyle="1" w:styleId="Arttitle">
    <w:name w:val="Art_title"/>
    <w:basedOn w:val="Normal"/>
    <w:next w:val="Normalaftertitle"/>
    <w:rsid w:val="001B395D"/>
    <w:pPr>
      <w:keepNext/>
      <w:keepLines/>
      <w:spacing w:before="240"/>
      <w:jc w:val="center"/>
    </w:pPr>
    <w:rPr>
      <w:b/>
      <w:sz w:val="28"/>
    </w:rPr>
  </w:style>
  <w:style w:type="paragraph" w:customStyle="1" w:styleId="Blanc">
    <w:name w:val="Blanc"/>
    <w:basedOn w:val="Normal"/>
    <w:next w:val="Tabletext"/>
    <w:rsid w:val="001B395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B395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B395D"/>
    <w:pPr>
      <w:keepNext/>
      <w:keepLines/>
      <w:spacing w:before="160"/>
      <w:ind w:left="794"/>
    </w:pPr>
    <w:rPr>
      <w:i/>
    </w:rPr>
  </w:style>
  <w:style w:type="paragraph" w:customStyle="1" w:styleId="ChapNo">
    <w:name w:val="Chap_No"/>
    <w:basedOn w:val="ArtNo"/>
    <w:next w:val="Chaptitle"/>
    <w:rsid w:val="001B395D"/>
    <w:rPr>
      <w:b/>
    </w:rPr>
  </w:style>
  <w:style w:type="paragraph" w:customStyle="1" w:styleId="Chaptitle">
    <w:name w:val="Chap_title"/>
    <w:basedOn w:val="Arttitle"/>
    <w:next w:val="Normalaftertitle"/>
    <w:rsid w:val="001B395D"/>
  </w:style>
  <w:style w:type="character" w:styleId="FootnoteReference">
    <w:name w:val="footnote reference"/>
    <w:basedOn w:val="DefaultParagraphFont"/>
    <w:semiHidden/>
    <w:rsid w:val="001B395D"/>
    <w:rPr>
      <w:position w:val="6"/>
      <w:sz w:val="18"/>
    </w:rPr>
  </w:style>
  <w:style w:type="paragraph" w:styleId="FootnoteText">
    <w:name w:val="footnote text"/>
    <w:basedOn w:val="Normal"/>
    <w:semiHidden/>
    <w:rsid w:val="001B395D"/>
    <w:pPr>
      <w:keepLines/>
      <w:tabs>
        <w:tab w:val="left" w:pos="255"/>
      </w:tabs>
      <w:ind w:left="255" w:hanging="255"/>
    </w:pPr>
    <w:rPr>
      <w:sz w:val="22"/>
    </w:rPr>
  </w:style>
  <w:style w:type="paragraph" w:styleId="Index1">
    <w:name w:val="index 1"/>
    <w:basedOn w:val="Normal"/>
    <w:next w:val="Normal"/>
    <w:semiHidden/>
    <w:rsid w:val="001B395D"/>
  </w:style>
  <w:style w:type="paragraph" w:styleId="Index2">
    <w:name w:val="index 2"/>
    <w:basedOn w:val="Normal"/>
    <w:next w:val="Normal"/>
    <w:semiHidden/>
    <w:rsid w:val="001B395D"/>
    <w:pPr>
      <w:ind w:left="283"/>
    </w:pPr>
  </w:style>
  <w:style w:type="paragraph" w:styleId="Index3">
    <w:name w:val="index 3"/>
    <w:basedOn w:val="Normal"/>
    <w:next w:val="Normal"/>
    <w:semiHidden/>
    <w:rsid w:val="001B395D"/>
    <w:pPr>
      <w:ind w:left="566"/>
    </w:pPr>
  </w:style>
  <w:style w:type="paragraph" w:styleId="IndexHeading">
    <w:name w:val="index heading"/>
    <w:basedOn w:val="Normal"/>
    <w:next w:val="Index1"/>
    <w:semiHidden/>
    <w:rsid w:val="001B395D"/>
  </w:style>
  <w:style w:type="paragraph" w:customStyle="1" w:styleId="Line">
    <w:name w:val="Line"/>
    <w:basedOn w:val="Normal"/>
    <w:next w:val="Normal"/>
    <w:rsid w:val="001B395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B395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B395D"/>
  </w:style>
  <w:style w:type="paragraph" w:customStyle="1" w:styleId="Partref">
    <w:name w:val="Part_ref"/>
    <w:basedOn w:val="Normal"/>
    <w:next w:val="Normal"/>
    <w:rsid w:val="001B395D"/>
    <w:pPr>
      <w:keepNext/>
      <w:keepLines/>
      <w:spacing w:after="280"/>
      <w:jc w:val="center"/>
    </w:pPr>
  </w:style>
  <w:style w:type="paragraph" w:customStyle="1" w:styleId="Parttitle">
    <w:name w:val="Part_title"/>
    <w:basedOn w:val="Normal"/>
    <w:next w:val="Normalaftertitle"/>
    <w:rsid w:val="001B395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B395D"/>
  </w:style>
  <w:style w:type="paragraph" w:customStyle="1" w:styleId="QuestionNo">
    <w:name w:val="Question_No"/>
    <w:basedOn w:val="RecNo"/>
    <w:next w:val="Normal"/>
    <w:rsid w:val="001B395D"/>
  </w:style>
  <w:style w:type="paragraph" w:customStyle="1" w:styleId="Questionref">
    <w:name w:val="Question_ref"/>
    <w:basedOn w:val="Recref"/>
    <w:next w:val="Questiondate"/>
    <w:rsid w:val="001B395D"/>
  </w:style>
  <w:style w:type="paragraph" w:customStyle="1" w:styleId="Questiontitle">
    <w:name w:val="Question_title"/>
    <w:basedOn w:val="Normal"/>
    <w:next w:val="Questionref"/>
    <w:rsid w:val="001B395D"/>
  </w:style>
  <w:style w:type="paragraph" w:customStyle="1" w:styleId="Reftext">
    <w:name w:val="Ref_text"/>
    <w:basedOn w:val="Normal"/>
    <w:rsid w:val="001B395D"/>
    <w:pPr>
      <w:ind w:left="794" w:hanging="794"/>
    </w:pPr>
    <w:rPr>
      <w:sz w:val="22"/>
    </w:rPr>
  </w:style>
  <w:style w:type="paragraph" w:customStyle="1" w:styleId="Reftitle">
    <w:name w:val="Ref_title"/>
    <w:basedOn w:val="Normal"/>
    <w:next w:val="Reftext"/>
    <w:rsid w:val="001B395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B395D"/>
  </w:style>
  <w:style w:type="paragraph" w:customStyle="1" w:styleId="RepNo">
    <w:name w:val="Rep_No"/>
    <w:basedOn w:val="RecNo"/>
    <w:next w:val="Reptitle"/>
    <w:rsid w:val="001B395D"/>
  </w:style>
  <w:style w:type="paragraph" w:customStyle="1" w:styleId="Repref">
    <w:name w:val="Rep_ref"/>
    <w:basedOn w:val="Recref"/>
    <w:next w:val="Repdate"/>
    <w:rsid w:val="001B395D"/>
  </w:style>
  <w:style w:type="paragraph" w:customStyle="1" w:styleId="Reptitle">
    <w:name w:val="Rep_title"/>
    <w:basedOn w:val="Rectitle"/>
    <w:next w:val="Repref"/>
    <w:rsid w:val="001B395D"/>
  </w:style>
  <w:style w:type="paragraph" w:customStyle="1" w:styleId="Resdate">
    <w:name w:val="Res_date"/>
    <w:basedOn w:val="Recdate"/>
    <w:next w:val="Normalaftertitle"/>
    <w:rsid w:val="001B395D"/>
  </w:style>
  <w:style w:type="paragraph" w:customStyle="1" w:styleId="ResNo">
    <w:name w:val="Res_No"/>
    <w:basedOn w:val="RecNo"/>
    <w:next w:val="Restitle"/>
    <w:rsid w:val="001B395D"/>
  </w:style>
  <w:style w:type="paragraph" w:customStyle="1" w:styleId="Resref">
    <w:name w:val="Res_ref"/>
    <w:basedOn w:val="Recref"/>
    <w:next w:val="Resdate"/>
    <w:rsid w:val="001B395D"/>
  </w:style>
  <w:style w:type="paragraph" w:customStyle="1" w:styleId="Restitle">
    <w:name w:val="Res_title"/>
    <w:basedOn w:val="Normal"/>
    <w:next w:val="Resref"/>
    <w:rsid w:val="001B395D"/>
    <w:pPr>
      <w:spacing w:before="240"/>
      <w:jc w:val="center"/>
    </w:pPr>
    <w:rPr>
      <w:b/>
      <w:sz w:val="28"/>
    </w:rPr>
  </w:style>
  <w:style w:type="paragraph" w:customStyle="1" w:styleId="SectionNo">
    <w:name w:val="Section_No"/>
    <w:basedOn w:val="Normal"/>
    <w:next w:val="Normal"/>
    <w:rsid w:val="001B395D"/>
  </w:style>
  <w:style w:type="paragraph" w:customStyle="1" w:styleId="Sectiontitle">
    <w:name w:val="Section_title"/>
    <w:basedOn w:val="Normal"/>
    <w:next w:val="Normalaftertitle"/>
    <w:rsid w:val="001B395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B395D"/>
    <w:pPr>
      <w:tabs>
        <w:tab w:val="clear" w:pos="794"/>
        <w:tab w:val="clear" w:pos="1191"/>
        <w:tab w:val="clear" w:pos="1588"/>
        <w:tab w:val="clear" w:pos="1985"/>
        <w:tab w:val="right" w:pos="9611"/>
      </w:tabs>
    </w:pPr>
    <w:rPr>
      <w:i/>
    </w:rPr>
  </w:style>
  <w:style w:type="paragraph" w:styleId="TOC1">
    <w:name w:val="toc 1"/>
    <w:basedOn w:val="Normal"/>
    <w:semiHidden/>
    <w:rsid w:val="001B395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B395D"/>
    <w:pPr>
      <w:tabs>
        <w:tab w:val="clear" w:pos="567"/>
        <w:tab w:val="left" w:pos="1276"/>
      </w:tabs>
      <w:spacing w:before="160"/>
      <w:ind w:left="1276" w:hanging="709"/>
    </w:pPr>
  </w:style>
  <w:style w:type="paragraph" w:styleId="TOC3">
    <w:name w:val="toc 3"/>
    <w:basedOn w:val="TOC2"/>
    <w:semiHidden/>
    <w:rsid w:val="001B395D"/>
    <w:pPr>
      <w:tabs>
        <w:tab w:val="clear" w:pos="1276"/>
        <w:tab w:val="left" w:pos="2155"/>
      </w:tabs>
      <w:ind w:left="2155" w:hanging="879"/>
    </w:pPr>
  </w:style>
  <w:style w:type="paragraph" w:styleId="TOC4">
    <w:name w:val="toc 4"/>
    <w:basedOn w:val="TOC3"/>
    <w:semiHidden/>
    <w:rsid w:val="001B395D"/>
    <w:pPr>
      <w:tabs>
        <w:tab w:val="left" w:pos="3261"/>
      </w:tabs>
      <w:spacing w:before="80"/>
      <w:ind w:left="3261" w:hanging="993"/>
    </w:pPr>
  </w:style>
  <w:style w:type="paragraph" w:styleId="TOC5">
    <w:name w:val="toc 5"/>
    <w:basedOn w:val="TOC4"/>
    <w:semiHidden/>
    <w:rsid w:val="001B395D"/>
  </w:style>
  <w:style w:type="paragraph" w:styleId="TOC6">
    <w:name w:val="toc 6"/>
    <w:basedOn w:val="TOC4"/>
    <w:semiHidden/>
    <w:rsid w:val="001B395D"/>
  </w:style>
  <w:style w:type="paragraph" w:styleId="TOC7">
    <w:name w:val="toc 7"/>
    <w:basedOn w:val="TOC4"/>
    <w:semiHidden/>
    <w:rsid w:val="001B395D"/>
  </w:style>
  <w:style w:type="paragraph" w:styleId="TOC8">
    <w:name w:val="toc 8"/>
    <w:basedOn w:val="TOC4"/>
    <w:semiHidden/>
    <w:rsid w:val="001B395D"/>
  </w:style>
  <w:style w:type="paragraph" w:customStyle="1" w:styleId="Rectitle">
    <w:name w:val="Rec_title"/>
    <w:basedOn w:val="Normal"/>
    <w:next w:val="Recref"/>
    <w:rsid w:val="001B395D"/>
    <w:pPr>
      <w:keepNext/>
      <w:keepLines/>
      <w:spacing w:before="240"/>
      <w:jc w:val="center"/>
    </w:pPr>
    <w:rPr>
      <w:b/>
      <w:sz w:val="28"/>
    </w:rPr>
  </w:style>
  <w:style w:type="paragraph" w:customStyle="1" w:styleId="Annexref">
    <w:name w:val="Annex_ref"/>
    <w:basedOn w:val="Normal"/>
    <w:next w:val="Normalaftertitle"/>
    <w:rsid w:val="001B395D"/>
    <w:pPr>
      <w:keepNext/>
      <w:keepLines/>
      <w:spacing w:after="280"/>
      <w:jc w:val="center"/>
    </w:pPr>
  </w:style>
  <w:style w:type="paragraph" w:customStyle="1" w:styleId="Appendixref">
    <w:name w:val="Appendix_ref"/>
    <w:basedOn w:val="Annexref"/>
    <w:next w:val="Normalaftertitle"/>
    <w:rsid w:val="001B395D"/>
  </w:style>
  <w:style w:type="paragraph" w:customStyle="1" w:styleId="Figuretitle">
    <w:name w:val="Figure_title"/>
    <w:basedOn w:val="Normal"/>
    <w:next w:val="Figure"/>
    <w:rsid w:val="001B395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B395D"/>
    <w:pPr>
      <w:keepNext/>
      <w:spacing w:before="0" w:after="120"/>
      <w:jc w:val="center"/>
    </w:pPr>
    <w:rPr>
      <w:b/>
    </w:rPr>
  </w:style>
  <w:style w:type="paragraph" w:customStyle="1" w:styleId="Summary">
    <w:name w:val="Summary"/>
    <w:basedOn w:val="Normal"/>
    <w:next w:val="Normalaftertitle"/>
    <w:rsid w:val="001B395D"/>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1B395D"/>
    <w:pPr>
      <w:keepNext w:val="0"/>
      <w:spacing w:before="0" w:after="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3BC5D-4E66-4437-A898-D9AC40FE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TotalTime>
  <Pages>7</Pages>
  <Words>2658</Words>
  <Characters>14572</Characters>
  <Application>Microsoft Office Word</Application>
  <DocSecurity>0</DocSecurity>
  <Lines>766</Lines>
  <Paragraphs>117</Paragraphs>
  <ScaleCrop>false</ScaleCrop>
  <HeadingPairs>
    <vt:vector size="2" baseType="variant">
      <vt:variant>
        <vt:lpstr>Title</vt:lpstr>
      </vt:variant>
      <vt:variant>
        <vt:i4>1</vt:i4>
      </vt:variant>
    </vt:vector>
  </HeadingPairs>
  <TitlesOfParts>
    <vt:vector size="1" baseType="lpstr">
      <vt:lpstr>RECOMENDACIÓN  UIT-R  M.1469-2* - Metodología para evaluar las posibilidades de interferencia causada por las transmisiones del servicio móvil por satélite (SMS) (Tierra-espacio) con acceso múltiple por división en el tiempo/acceso múltiple por división e</vt:lpstr>
    </vt:vector>
  </TitlesOfParts>
  <Manager/>
  <Company>ITU</Company>
  <LinksUpToDate>false</LinksUpToDate>
  <CharactersWithSpaces>17113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M.1469-2* - Metodología para evaluar las posibilidades de interferencia causada por las transmisiones del servicio móvil por satélite (SMS) (Tierra-espacio) con acceso múltiple por división en el tiempo/acceso múltiple por división en frecuencia (AMDT/AMDF) a los receptores del servicio fijo con visibilidad directa (LoS) en la gama de frecuencias 1-3 GHz**</dc:title>
  <dc:subject>Serie M = Servicios móviles, de radiodeterminación y de aficionados, incluidos los correspondientes servicios por satélite</dc:subject>
  <dc:creator>Oficina de Radiocomunicaciones del UIT (BR)</dc:creator>
  <cp:keywords>M,1469-2*</cp:keywords>
  <dc:description>Santosbo, 21/06/2010, MSB106309</dc:description>
  <cp:lastModifiedBy>martiner</cp:lastModifiedBy>
  <cp:revision>11</cp:revision>
  <cp:lastPrinted>2010-06-22T12:38:00Z</cp:lastPrinted>
  <dcterms:created xsi:type="dcterms:W3CDTF">2010-06-21T13:29:00Z</dcterms:created>
  <dcterms:modified xsi:type="dcterms:W3CDTF">2010-06-22T12:54:00Z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21 June 2010</vt:lpwstr>
  </property>
</Properties>
</file>