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6B" w:rsidRPr="00575CB8" w:rsidRDefault="008E096B" w:rsidP="008E096B">
      <w:pPr>
        <w:rPr>
          <w:lang w:val="en-US"/>
        </w:rPr>
      </w:pPr>
    </w:p>
    <w:p w:rsidR="008E096B" w:rsidRDefault="008E096B" w:rsidP="008E096B"/>
    <w:p w:rsidR="008E096B" w:rsidRDefault="008E096B" w:rsidP="008E096B"/>
    <w:p w:rsidR="008E096B" w:rsidRDefault="008E096B" w:rsidP="008E096B"/>
    <w:p w:rsidR="008E096B" w:rsidRDefault="008E096B" w:rsidP="008E096B"/>
    <w:p w:rsidR="008E096B" w:rsidRDefault="008E096B" w:rsidP="008E096B"/>
    <w:p w:rsidR="008E096B" w:rsidRDefault="008E096B" w:rsidP="008E096B"/>
    <w:p w:rsidR="008E096B" w:rsidRDefault="008E096B" w:rsidP="008E096B"/>
    <w:p w:rsidR="008E096B" w:rsidRDefault="008E096B" w:rsidP="008E096B"/>
    <w:tbl>
      <w:tblPr>
        <w:tblW w:w="10089" w:type="dxa"/>
        <w:tblLook w:val="01E0" w:firstRow="1" w:lastRow="1" w:firstColumn="1" w:lastColumn="1" w:noHBand="0" w:noVBand="0"/>
      </w:tblPr>
      <w:tblGrid>
        <w:gridCol w:w="10089"/>
      </w:tblGrid>
      <w:tr w:rsidR="008E096B" w:rsidRPr="008E096B" w:rsidTr="00AD5F8C">
        <w:tc>
          <w:tcPr>
            <w:tcW w:w="10089" w:type="dxa"/>
          </w:tcPr>
          <w:p w:rsidR="008E096B" w:rsidRPr="00A07AEB" w:rsidRDefault="008E096B" w:rsidP="00AD5F8C">
            <w:pPr>
              <w:spacing w:before="380" w:line="280" w:lineRule="exact"/>
              <w:jc w:val="right"/>
              <w:rPr>
                <w:rFonts w:ascii="Tahoma" w:hAnsi="Tahoma" w:cs="Tahoma"/>
                <w:b/>
                <w:bCs/>
                <w:iCs/>
                <w:color w:val="243285"/>
                <w:sz w:val="32"/>
                <w:szCs w:val="32"/>
                <w:lang w:val="en-US"/>
              </w:rPr>
            </w:pPr>
          </w:p>
          <w:p w:rsidR="008E096B" w:rsidRPr="00A07AEB" w:rsidRDefault="008E096B" w:rsidP="00526014">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526014">
              <w:rPr>
                <w:rFonts w:ascii="Tahoma" w:hAnsi="Tahoma" w:cs="Tahoma"/>
                <w:b/>
                <w:bCs/>
                <w:iCs/>
                <w:color w:val="243285"/>
                <w:sz w:val="36"/>
                <w:szCs w:val="36"/>
                <w:lang w:val="es-ES_tradnl"/>
              </w:rPr>
              <w:t>1465-2</w:t>
            </w:r>
          </w:p>
          <w:p w:rsidR="008E096B" w:rsidRPr="00A07AEB" w:rsidRDefault="008E096B" w:rsidP="00526014">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526014">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8E096B" w:rsidRPr="00526014" w:rsidTr="00AD5F8C">
        <w:tc>
          <w:tcPr>
            <w:tcW w:w="10089" w:type="dxa"/>
          </w:tcPr>
          <w:p w:rsidR="008E096B" w:rsidRPr="0010336F" w:rsidRDefault="008E096B" w:rsidP="00AD5F8C">
            <w:pPr>
              <w:spacing w:before="80" w:line="500" w:lineRule="exact"/>
              <w:jc w:val="right"/>
              <w:rPr>
                <w:rFonts w:ascii="Tahoma" w:hAnsi="Tahoma" w:cs="Tahoma"/>
                <w:b/>
                <w:bCs/>
                <w:iCs/>
                <w:color w:val="243285"/>
                <w:sz w:val="44"/>
                <w:szCs w:val="44"/>
                <w:lang w:val="es-ES_tradnl"/>
              </w:rPr>
            </w:pPr>
          </w:p>
          <w:p w:rsidR="008E096B" w:rsidRPr="0010336F" w:rsidRDefault="008E096B" w:rsidP="00AD5F8C">
            <w:pPr>
              <w:spacing w:before="80" w:line="500" w:lineRule="exact"/>
              <w:jc w:val="right"/>
              <w:rPr>
                <w:rFonts w:ascii="Tahoma" w:hAnsi="Tahoma" w:cs="Tahoma"/>
                <w:b/>
                <w:bCs/>
                <w:iCs/>
                <w:color w:val="243285"/>
                <w:sz w:val="44"/>
                <w:szCs w:val="44"/>
                <w:lang w:val="es-ES_tradnl"/>
              </w:rPr>
            </w:pPr>
          </w:p>
          <w:p w:rsidR="008E096B" w:rsidRDefault="00526014" w:rsidP="00526014">
            <w:pPr>
              <w:spacing w:before="80" w:line="500" w:lineRule="exact"/>
              <w:jc w:val="right"/>
              <w:rPr>
                <w:rFonts w:ascii="Tahoma" w:hAnsi="Tahoma" w:cs="Tahoma"/>
                <w:b/>
                <w:bCs/>
                <w:color w:val="243285"/>
                <w:sz w:val="44"/>
                <w:szCs w:val="44"/>
                <w:lang w:val="es-ES_tradnl"/>
              </w:rPr>
            </w:pPr>
            <w:r w:rsidRPr="00526014">
              <w:rPr>
                <w:rFonts w:ascii="Tahoma" w:hAnsi="Tahoma" w:cs="Tahoma"/>
                <w:b/>
                <w:bCs/>
                <w:color w:val="243285"/>
                <w:sz w:val="44"/>
                <w:szCs w:val="44"/>
                <w:lang w:val="es-ES_tradnl"/>
              </w:rPr>
              <w:t>Características y criterios de protección de los radares</w:t>
            </w:r>
            <w:r>
              <w:rPr>
                <w:rFonts w:ascii="Tahoma" w:hAnsi="Tahoma" w:cs="Tahoma"/>
                <w:b/>
                <w:bCs/>
                <w:color w:val="243285"/>
                <w:sz w:val="44"/>
                <w:szCs w:val="44"/>
                <w:lang w:val="es-ES_tradnl"/>
              </w:rPr>
              <w:t xml:space="preserve"> </w:t>
            </w:r>
            <w:r w:rsidRPr="00526014">
              <w:rPr>
                <w:rFonts w:ascii="Tahoma" w:hAnsi="Tahoma" w:cs="Tahoma"/>
                <w:b/>
                <w:bCs/>
                <w:color w:val="243285"/>
                <w:sz w:val="44"/>
                <w:szCs w:val="44"/>
                <w:lang w:val="es-ES_tradnl"/>
              </w:rPr>
              <w:t xml:space="preserve">que funcionan en el servicio de </w:t>
            </w:r>
            <w:proofErr w:type="spellStart"/>
            <w:r w:rsidRPr="00526014">
              <w:rPr>
                <w:rFonts w:ascii="Tahoma" w:hAnsi="Tahoma" w:cs="Tahoma"/>
                <w:b/>
                <w:bCs/>
                <w:color w:val="243285"/>
                <w:sz w:val="44"/>
                <w:szCs w:val="44"/>
                <w:lang w:val="es-ES_tradnl"/>
              </w:rPr>
              <w:t>radiodeterminación</w:t>
            </w:r>
            <w:proofErr w:type="spellEnd"/>
            <w:r>
              <w:rPr>
                <w:rFonts w:ascii="Tahoma" w:hAnsi="Tahoma" w:cs="Tahoma"/>
                <w:b/>
                <w:bCs/>
                <w:color w:val="243285"/>
                <w:sz w:val="44"/>
                <w:szCs w:val="44"/>
                <w:lang w:val="es-ES_tradnl"/>
              </w:rPr>
              <w:t xml:space="preserve"> </w:t>
            </w:r>
            <w:r w:rsidRPr="00526014">
              <w:rPr>
                <w:rFonts w:ascii="Tahoma" w:hAnsi="Tahoma" w:cs="Tahoma"/>
                <w:b/>
                <w:bCs/>
                <w:color w:val="243285"/>
                <w:sz w:val="44"/>
                <w:szCs w:val="44"/>
                <w:lang w:val="es-ES_tradnl"/>
              </w:rPr>
              <w:t>en la gama de frecuencias 3 100-3 700 MHz</w:t>
            </w:r>
          </w:p>
          <w:p w:rsidR="008E096B" w:rsidRPr="00A07AEB" w:rsidRDefault="008E096B" w:rsidP="00AD5F8C">
            <w:pPr>
              <w:spacing w:before="80" w:line="500" w:lineRule="exact"/>
              <w:jc w:val="right"/>
              <w:rPr>
                <w:rFonts w:ascii="Tahoma" w:hAnsi="Tahoma" w:cs="Tahoma"/>
                <w:b/>
                <w:bCs/>
                <w:iCs/>
                <w:color w:val="243285"/>
                <w:sz w:val="44"/>
                <w:szCs w:val="44"/>
                <w:lang w:val="es-ES_tradnl"/>
              </w:rPr>
            </w:pPr>
          </w:p>
        </w:tc>
      </w:tr>
      <w:tr w:rsidR="008E096B" w:rsidRPr="008E096B" w:rsidTr="00AD5F8C">
        <w:tc>
          <w:tcPr>
            <w:tcW w:w="10089" w:type="dxa"/>
          </w:tcPr>
          <w:p w:rsidR="008E096B" w:rsidRPr="00A07AEB" w:rsidRDefault="008E096B" w:rsidP="00AD5F8C">
            <w:pPr>
              <w:spacing w:before="80" w:line="280" w:lineRule="exact"/>
              <w:ind w:right="640"/>
              <w:rPr>
                <w:rFonts w:ascii="Tahoma" w:hAnsi="Tahoma" w:cs="Tahoma"/>
                <w:b/>
                <w:bCs/>
                <w:iCs/>
                <w:color w:val="243285"/>
                <w:sz w:val="32"/>
                <w:szCs w:val="32"/>
                <w:lang w:val="es-ES_tradnl"/>
              </w:rPr>
            </w:pPr>
          </w:p>
          <w:p w:rsidR="008E096B" w:rsidRPr="00A07AEB" w:rsidRDefault="008E096B" w:rsidP="00AD5F8C">
            <w:pPr>
              <w:spacing w:before="80" w:line="280" w:lineRule="exact"/>
              <w:ind w:right="640"/>
              <w:rPr>
                <w:rFonts w:ascii="Tahoma" w:hAnsi="Tahoma" w:cs="Tahoma"/>
                <w:b/>
                <w:bCs/>
                <w:iCs/>
                <w:color w:val="243285"/>
                <w:sz w:val="32"/>
                <w:szCs w:val="32"/>
                <w:lang w:val="es-ES_tradnl"/>
              </w:rPr>
            </w:pPr>
          </w:p>
          <w:p w:rsidR="008E096B" w:rsidRPr="00A07AEB" w:rsidRDefault="008E096B" w:rsidP="00AD5F8C">
            <w:pPr>
              <w:spacing w:before="80" w:after="180" w:line="360" w:lineRule="exact"/>
              <w:ind w:right="720"/>
              <w:rPr>
                <w:rFonts w:ascii="Tahoma" w:hAnsi="Tahoma" w:cs="Tahoma"/>
                <w:b/>
                <w:bCs/>
                <w:iCs/>
                <w:color w:val="243285"/>
                <w:sz w:val="36"/>
                <w:szCs w:val="36"/>
                <w:lang w:val="es-ES_tradnl"/>
              </w:rPr>
            </w:pPr>
          </w:p>
          <w:p w:rsidR="008E096B" w:rsidRPr="00A07AEB" w:rsidRDefault="008E096B" w:rsidP="00AD5F8C">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E096B" w:rsidRPr="00A07AEB" w:rsidRDefault="008E096B" w:rsidP="00AD5F8C">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E096B" w:rsidRPr="0026666F" w:rsidRDefault="008E096B" w:rsidP="008E096B">
      <w:pPr>
        <w:spacing w:before="80"/>
        <w:rPr>
          <w:i/>
          <w:sz w:val="22"/>
          <w:lang w:val="es-ES_tradnl"/>
        </w:rPr>
      </w:pPr>
    </w:p>
    <w:p w:rsidR="008E096B" w:rsidRPr="0026666F" w:rsidRDefault="008E096B" w:rsidP="008E096B">
      <w:pPr>
        <w:spacing w:before="80"/>
        <w:rPr>
          <w:i/>
          <w:sz w:val="22"/>
          <w:lang w:val="es-ES_tradnl"/>
        </w:rPr>
      </w:pPr>
    </w:p>
    <w:p w:rsidR="008E096B" w:rsidRPr="0026666F" w:rsidRDefault="008E096B" w:rsidP="008E096B">
      <w:pPr>
        <w:spacing w:before="80"/>
        <w:rPr>
          <w:i/>
          <w:sz w:val="22"/>
          <w:lang w:val="es-ES_tradnl"/>
        </w:rPr>
      </w:pPr>
    </w:p>
    <w:p w:rsidR="008E096B" w:rsidRPr="0026666F" w:rsidRDefault="008E096B" w:rsidP="008E096B">
      <w:pPr>
        <w:pStyle w:val="Equation"/>
        <w:tabs>
          <w:tab w:val="clear" w:pos="4820"/>
          <w:tab w:val="clear" w:pos="9639"/>
          <w:tab w:val="left" w:pos="1191"/>
          <w:tab w:val="left" w:pos="1588"/>
          <w:tab w:val="left" w:pos="1985"/>
        </w:tabs>
        <w:rPr>
          <w:rFonts w:ascii="Palatino Linotype" w:hAnsi="Palatino Linotype"/>
          <w:lang w:val="es-ES_tradnl"/>
        </w:rPr>
        <w:sectPr w:rsidR="008E096B" w:rsidRPr="0026666F">
          <w:headerReference w:type="even" r:id="rId6"/>
          <w:headerReference w:type="default" r:id="rId7"/>
          <w:pgSz w:w="11907" w:h="16840" w:code="9"/>
          <w:pgMar w:top="1089" w:right="1089" w:bottom="284" w:left="1089" w:header="567" w:footer="284" w:gutter="0"/>
          <w:pgNumType w:start="1"/>
          <w:cols w:space="720"/>
        </w:sectPr>
      </w:pPr>
    </w:p>
    <w:p w:rsidR="008E096B" w:rsidRPr="006C718C" w:rsidRDefault="008E096B" w:rsidP="008E09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E096B" w:rsidRPr="006C718C" w:rsidRDefault="008E096B" w:rsidP="008E096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E096B" w:rsidRPr="006C718C" w:rsidRDefault="008E096B" w:rsidP="008E096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E096B" w:rsidRPr="00021E8A" w:rsidRDefault="008E096B" w:rsidP="008E096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E096B" w:rsidRPr="00021E8A" w:rsidRDefault="008E096B" w:rsidP="008E096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E096B" w:rsidRPr="007C36CA" w:rsidRDefault="008E096B" w:rsidP="008E096B">
      <w:pPr>
        <w:spacing w:before="0"/>
        <w:jc w:val="center"/>
        <w:rPr>
          <w:sz w:val="22"/>
          <w:lang w:val="es-ES_tradnl"/>
        </w:rPr>
      </w:pPr>
    </w:p>
    <w:p w:rsidR="008E096B" w:rsidRPr="007C36CA" w:rsidRDefault="008E096B" w:rsidP="008E096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E096B" w:rsidRPr="008E096B" w:rsidTr="00AD5F8C">
        <w:tc>
          <w:tcPr>
            <w:tcW w:w="9360" w:type="dxa"/>
            <w:gridSpan w:val="2"/>
          </w:tcPr>
          <w:p w:rsidR="008E096B" w:rsidRPr="00021E8A" w:rsidRDefault="008E096B" w:rsidP="00AD5F8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E096B" w:rsidRPr="00763D08"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8E096B" w:rsidRPr="00036EE3" w:rsidTr="00AD5F8C">
        <w:tc>
          <w:tcPr>
            <w:tcW w:w="1140" w:type="dxa"/>
          </w:tcPr>
          <w:p w:rsidR="008E096B" w:rsidRPr="00036EE3" w:rsidRDefault="008E096B" w:rsidP="00AD5F8C">
            <w:pPr>
              <w:spacing w:before="180" w:after="100"/>
              <w:ind w:left="57"/>
              <w:rPr>
                <w:b/>
                <w:bCs/>
                <w:sz w:val="20"/>
                <w:lang w:val="en-US"/>
              </w:rPr>
            </w:pPr>
            <w:r w:rsidRPr="00036EE3">
              <w:rPr>
                <w:b/>
                <w:bCs/>
                <w:sz w:val="20"/>
                <w:lang w:val="en-US"/>
              </w:rPr>
              <w:t>Series</w:t>
            </w:r>
          </w:p>
        </w:tc>
        <w:tc>
          <w:tcPr>
            <w:tcW w:w="8220" w:type="dxa"/>
          </w:tcPr>
          <w:p w:rsidR="008E096B" w:rsidRPr="00036EE3"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BO</w:t>
            </w:r>
          </w:p>
        </w:tc>
        <w:tc>
          <w:tcPr>
            <w:tcW w:w="8220" w:type="dxa"/>
          </w:tcPr>
          <w:p w:rsidR="008E096B" w:rsidRPr="00021E8A"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8E096B" w:rsidRPr="008E096B"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BR</w:t>
            </w:r>
          </w:p>
        </w:tc>
        <w:tc>
          <w:tcPr>
            <w:tcW w:w="8220" w:type="dxa"/>
          </w:tcPr>
          <w:p w:rsidR="008E096B" w:rsidRPr="00021E8A"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BS</w:t>
            </w:r>
          </w:p>
        </w:tc>
        <w:tc>
          <w:tcPr>
            <w:tcW w:w="8220" w:type="dxa"/>
          </w:tcPr>
          <w:p w:rsidR="008E096B" w:rsidRPr="00021E8A"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8E096B" w:rsidRPr="00ED2695" w:rsidTr="00AD5F8C">
        <w:tc>
          <w:tcPr>
            <w:tcW w:w="1140" w:type="dxa"/>
            <w:shd w:val="clear" w:color="auto" w:fill="auto"/>
          </w:tcPr>
          <w:p w:rsidR="008E096B" w:rsidRPr="00ED2695" w:rsidRDefault="008E096B" w:rsidP="00AD5F8C">
            <w:pPr>
              <w:spacing w:before="30" w:after="30"/>
              <w:ind w:left="57"/>
              <w:jc w:val="left"/>
              <w:rPr>
                <w:b/>
                <w:bCs/>
                <w:sz w:val="20"/>
                <w:lang w:val="en-US"/>
              </w:rPr>
            </w:pPr>
            <w:r w:rsidRPr="00ED2695">
              <w:rPr>
                <w:b/>
                <w:bCs/>
                <w:sz w:val="20"/>
                <w:lang w:val="en-US"/>
              </w:rPr>
              <w:t>BT</w:t>
            </w:r>
          </w:p>
        </w:tc>
        <w:tc>
          <w:tcPr>
            <w:tcW w:w="8220" w:type="dxa"/>
            <w:shd w:val="clear" w:color="auto" w:fill="auto"/>
          </w:tcPr>
          <w:p w:rsidR="008E096B" w:rsidRPr="00021E8A"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8E096B" w:rsidRPr="00036EE3" w:rsidTr="00AD5F8C">
        <w:tc>
          <w:tcPr>
            <w:tcW w:w="1140" w:type="dxa"/>
            <w:shd w:val="clear" w:color="auto" w:fill="auto"/>
          </w:tcPr>
          <w:p w:rsidR="008E096B" w:rsidRPr="00036EE3" w:rsidRDefault="008E096B" w:rsidP="00AD5F8C">
            <w:pPr>
              <w:spacing w:before="30" w:after="30"/>
              <w:ind w:left="57"/>
              <w:jc w:val="left"/>
              <w:rPr>
                <w:b/>
                <w:bCs/>
                <w:sz w:val="20"/>
                <w:lang w:val="fr-CH"/>
              </w:rPr>
            </w:pPr>
            <w:r w:rsidRPr="00036EE3">
              <w:rPr>
                <w:b/>
                <w:bCs/>
                <w:sz w:val="20"/>
                <w:lang w:val="fr-CH"/>
              </w:rPr>
              <w:t>F</w:t>
            </w:r>
          </w:p>
        </w:tc>
        <w:tc>
          <w:tcPr>
            <w:tcW w:w="8220" w:type="dxa"/>
            <w:shd w:val="clear" w:color="auto" w:fill="auto"/>
          </w:tcPr>
          <w:p w:rsidR="008E096B" w:rsidRPr="00021E8A" w:rsidRDefault="008E096B" w:rsidP="00AD5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8E096B" w:rsidRPr="008E096B" w:rsidTr="00AD5F8C">
        <w:tc>
          <w:tcPr>
            <w:tcW w:w="1140" w:type="dxa"/>
            <w:shd w:val="clear" w:color="auto" w:fill="F3F3F3"/>
          </w:tcPr>
          <w:p w:rsidR="008E096B" w:rsidRPr="001240BC" w:rsidRDefault="008E096B" w:rsidP="00AD5F8C">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E096B" w:rsidRPr="001240BC" w:rsidRDefault="008E096B" w:rsidP="00AD5F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8E096B" w:rsidRPr="008E096B" w:rsidTr="00AD5F8C">
        <w:tc>
          <w:tcPr>
            <w:tcW w:w="1140" w:type="dxa"/>
          </w:tcPr>
          <w:p w:rsidR="008E096B" w:rsidRPr="00036EE3" w:rsidRDefault="008E096B" w:rsidP="00AD5F8C">
            <w:pPr>
              <w:spacing w:before="30" w:after="30"/>
              <w:ind w:left="57"/>
              <w:jc w:val="left"/>
              <w:rPr>
                <w:b/>
                <w:bCs/>
                <w:sz w:val="20"/>
                <w:lang w:val="fr-CH"/>
              </w:rPr>
            </w:pPr>
            <w:r w:rsidRPr="00036EE3">
              <w:rPr>
                <w:b/>
                <w:bCs/>
                <w:sz w:val="20"/>
                <w:lang w:val="fr-CH"/>
              </w:rPr>
              <w:t>P</w:t>
            </w:r>
          </w:p>
        </w:tc>
        <w:tc>
          <w:tcPr>
            <w:tcW w:w="8220" w:type="dxa"/>
          </w:tcPr>
          <w:p w:rsidR="008E096B" w:rsidRPr="00021E8A" w:rsidRDefault="008E096B" w:rsidP="00AD5F8C">
            <w:pPr>
              <w:spacing w:before="30" w:after="30"/>
              <w:jc w:val="left"/>
              <w:rPr>
                <w:bCs/>
                <w:sz w:val="20"/>
                <w:lang w:val="es-ES_tradnl"/>
              </w:rPr>
            </w:pPr>
            <w:r w:rsidRPr="00021E8A">
              <w:rPr>
                <w:bCs/>
                <w:sz w:val="20"/>
                <w:lang w:val="es-ES_tradnl"/>
              </w:rPr>
              <w:t>Propagación de las ondas radioeléctricas</w:t>
            </w:r>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RA</w:t>
            </w:r>
          </w:p>
        </w:tc>
        <w:tc>
          <w:tcPr>
            <w:tcW w:w="8220" w:type="dxa"/>
          </w:tcPr>
          <w:p w:rsidR="008E096B" w:rsidRPr="00021E8A" w:rsidRDefault="008E096B" w:rsidP="00AD5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8E096B" w:rsidRPr="008E096B"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RS</w:t>
            </w:r>
          </w:p>
        </w:tc>
        <w:tc>
          <w:tcPr>
            <w:tcW w:w="8220" w:type="dxa"/>
          </w:tcPr>
          <w:p w:rsidR="008E096B" w:rsidRPr="00021E8A" w:rsidRDefault="008E096B" w:rsidP="00AD5F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S</w:t>
            </w:r>
          </w:p>
        </w:tc>
        <w:tc>
          <w:tcPr>
            <w:tcW w:w="8220" w:type="dxa"/>
          </w:tcPr>
          <w:p w:rsidR="008E096B" w:rsidRPr="00021E8A" w:rsidRDefault="008E096B" w:rsidP="00AD5F8C">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SA</w:t>
            </w:r>
          </w:p>
        </w:tc>
        <w:tc>
          <w:tcPr>
            <w:tcW w:w="8220" w:type="dxa"/>
          </w:tcPr>
          <w:p w:rsidR="008E096B" w:rsidRPr="00021E8A" w:rsidRDefault="008E096B" w:rsidP="00AD5F8C">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8E096B" w:rsidRPr="008E096B"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SF</w:t>
            </w:r>
          </w:p>
        </w:tc>
        <w:tc>
          <w:tcPr>
            <w:tcW w:w="8220" w:type="dxa"/>
          </w:tcPr>
          <w:p w:rsidR="008E096B" w:rsidRPr="00021E8A" w:rsidRDefault="008E096B" w:rsidP="00AD5F8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E096B" w:rsidRPr="00036EE3" w:rsidTr="00AD5F8C">
        <w:tc>
          <w:tcPr>
            <w:tcW w:w="1140" w:type="dxa"/>
            <w:shd w:val="clear" w:color="auto" w:fill="auto"/>
          </w:tcPr>
          <w:p w:rsidR="008E096B" w:rsidRPr="001240BC" w:rsidRDefault="008E096B" w:rsidP="00AD5F8C">
            <w:pPr>
              <w:spacing w:before="30" w:after="30"/>
              <w:ind w:left="57"/>
              <w:jc w:val="left"/>
              <w:rPr>
                <w:b/>
                <w:bCs/>
                <w:sz w:val="20"/>
                <w:lang w:val="en-US"/>
              </w:rPr>
            </w:pPr>
            <w:r w:rsidRPr="001240BC">
              <w:rPr>
                <w:b/>
                <w:bCs/>
                <w:sz w:val="20"/>
                <w:lang w:val="en-US"/>
              </w:rPr>
              <w:t>SM</w:t>
            </w:r>
          </w:p>
        </w:tc>
        <w:tc>
          <w:tcPr>
            <w:tcW w:w="8220" w:type="dxa"/>
            <w:shd w:val="clear" w:color="auto" w:fill="auto"/>
          </w:tcPr>
          <w:p w:rsidR="008E096B" w:rsidRPr="001240BC" w:rsidRDefault="008E096B" w:rsidP="00AD5F8C">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SNG</w:t>
            </w:r>
          </w:p>
        </w:tc>
        <w:tc>
          <w:tcPr>
            <w:tcW w:w="8220" w:type="dxa"/>
          </w:tcPr>
          <w:p w:rsidR="008E096B" w:rsidRPr="00021E8A" w:rsidRDefault="008E096B" w:rsidP="00AD5F8C">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E096B" w:rsidRPr="008E096B"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TF</w:t>
            </w:r>
          </w:p>
        </w:tc>
        <w:tc>
          <w:tcPr>
            <w:tcW w:w="8220" w:type="dxa"/>
          </w:tcPr>
          <w:p w:rsidR="008E096B" w:rsidRPr="00021E8A" w:rsidRDefault="008E096B" w:rsidP="00AD5F8C">
            <w:pPr>
              <w:spacing w:before="30" w:after="30"/>
              <w:jc w:val="left"/>
              <w:rPr>
                <w:bCs/>
                <w:sz w:val="20"/>
                <w:lang w:val="es-ES_tradnl"/>
              </w:rPr>
            </w:pPr>
            <w:r w:rsidRPr="00021E8A">
              <w:rPr>
                <w:bCs/>
                <w:sz w:val="20"/>
                <w:lang w:val="es-ES_tradnl"/>
              </w:rPr>
              <w:t>Emisiones de frecuencias patrón y señales horarias</w:t>
            </w:r>
          </w:p>
        </w:tc>
      </w:tr>
      <w:tr w:rsidR="008E096B" w:rsidRPr="00036EE3" w:rsidTr="00AD5F8C">
        <w:tc>
          <w:tcPr>
            <w:tcW w:w="1140" w:type="dxa"/>
          </w:tcPr>
          <w:p w:rsidR="008E096B" w:rsidRPr="00036EE3" w:rsidRDefault="008E096B" w:rsidP="00AD5F8C">
            <w:pPr>
              <w:spacing w:before="30" w:after="30"/>
              <w:ind w:left="57"/>
              <w:jc w:val="left"/>
              <w:rPr>
                <w:b/>
                <w:bCs/>
                <w:sz w:val="20"/>
                <w:lang w:val="en-US"/>
              </w:rPr>
            </w:pPr>
            <w:r w:rsidRPr="00036EE3">
              <w:rPr>
                <w:b/>
                <w:bCs/>
                <w:sz w:val="20"/>
                <w:lang w:val="en-US"/>
              </w:rPr>
              <w:t>V</w:t>
            </w:r>
          </w:p>
        </w:tc>
        <w:tc>
          <w:tcPr>
            <w:tcW w:w="8220" w:type="dxa"/>
          </w:tcPr>
          <w:p w:rsidR="008E096B" w:rsidRPr="00021E8A" w:rsidRDefault="008E096B" w:rsidP="00AD5F8C">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8E096B" w:rsidRPr="00036EE3" w:rsidRDefault="008E096B" w:rsidP="008E096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E096B" w:rsidTr="00AD5F8C">
        <w:tc>
          <w:tcPr>
            <w:tcW w:w="720" w:type="dxa"/>
          </w:tcPr>
          <w:p w:rsidR="008E096B" w:rsidRDefault="008E096B" w:rsidP="00AD5F8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E096B" w:rsidRPr="008E096B" w:rsidTr="00AD5F8C">
        <w:tc>
          <w:tcPr>
            <w:tcW w:w="9360" w:type="dxa"/>
          </w:tcPr>
          <w:p w:rsidR="008E096B" w:rsidRPr="00A07AEB" w:rsidRDefault="008E096B" w:rsidP="00AD5F8C">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E096B" w:rsidRPr="00763D08" w:rsidRDefault="008E096B" w:rsidP="008E096B">
      <w:pPr>
        <w:spacing w:before="0"/>
        <w:jc w:val="center"/>
        <w:rPr>
          <w:sz w:val="22"/>
          <w:lang w:val="es-ES_tradnl"/>
        </w:rPr>
      </w:pPr>
    </w:p>
    <w:p w:rsidR="008E096B" w:rsidRPr="00763D08" w:rsidRDefault="008E096B" w:rsidP="008E096B">
      <w:pPr>
        <w:spacing w:before="60"/>
        <w:jc w:val="right"/>
        <w:rPr>
          <w:i/>
          <w:iCs/>
          <w:sz w:val="20"/>
          <w:lang w:val="es-ES_tradnl"/>
        </w:rPr>
      </w:pPr>
      <w:r w:rsidRPr="00763D08">
        <w:rPr>
          <w:i/>
          <w:iCs/>
          <w:sz w:val="20"/>
          <w:lang w:val="es-ES_tradnl"/>
        </w:rPr>
        <w:t>Publicación electrónica</w:t>
      </w:r>
    </w:p>
    <w:p w:rsidR="008E096B" w:rsidRPr="00763D08" w:rsidRDefault="008E096B" w:rsidP="008E096B">
      <w:pPr>
        <w:spacing w:before="0" w:after="40"/>
        <w:jc w:val="right"/>
        <w:rPr>
          <w:sz w:val="20"/>
          <w:lang w:val="es-ES_tradnl"/>
        </w:rPr>
      </w:pPr>
      <w:r w:rsidRPr="00763D08">
        <w:rPr>
          <w:sz w:val="20"/>
          <w:lang w:val="es-ES_tradnl"/>
        </w:rPr>
        <w:t>Ginebra, 20</w:t>
      </w:r>
      <w:r>
        <w:rPr>
          <w:sz w:val="20"/>
          <w:lang w:val="es-ES_tradnl"/>
        </w:rPr>
        <w:t>16</w:t>
      </w:r>
    </w:p>
    <w:p w:rsidR="008E096B" w:rsidRPr="00763D08" w:rsidRDefault="008E096B" w:rsidP="008E096B">
      <w:pPr>
        <w:spacing w:before="0"/>
        <w:jc w:val="center"/>
        <w:rPr>
          <w:sz w:val="22"/>
          <w:lang w:val="es-ES_tradnl"/>
        </w:rPr>
      </w:pPr>
    </w:p>
    <w:p w:rsidR="008E096B" w:rsidRPr="00763D08" w:rsidRDefault="008E096B" w:rsidP="008E096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8E096B" w:rsidRPr="006C718C" w:rsidRDefault="008E096B" w:rsidP="008E096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E096B" w:rsidRPr="006C718C" w:rsidRDefault="008E096B" w:rsidP="008E096B">
      <w:pPr>
        <w:spacing w:before="160"/>
        <w:rPr>
          <w:i/>
          <w:sz w:val="20"/>
          <w:highlight w:val="yellow"/>
          <w:lang w:val="es-ES_tradnl"/>
        </w:rPr>
        <w:sectPr w:rsidR="008E096B"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8E096B" w:rsidRPr="0010336F" w:rsidRDefault="008E096B" w:rsidP="004C6AE7">
      <w:pPr>
        <w:pStyle w:val="RecNo"/>
        <w:spacing w:before="0"/>
        <w:rPr>
          <w:lang w:val="es-ES_tradnl"/>
        </w:rPr>
      </w:pPr>
      <w:bookmarkStart w:id="2" w:name="irecnoe"/>
      <w:bookmarkEnd w:id="2"/>
      <w:r w:rsidRPr="00864BF9">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sidR="004014E8">
        <w:rPr>
          <w:rStyle w:val="href"/>
          <w:lang w:val="es-ES_tradnl"/>
        </w:rPr>
        <w:t>1465-2</w:t>
      </w:r>
    </w:p>
    <w:p w:rsidR="008E096B" w:rsidRPr="00F72446" w:rsidRDefault="008E096B" w:rsidP="008E096B">
      <w:pPr>
        <w:pStyle w:val="Rectitle"/>
        <w:rPr>
          <w:lang w:val="es-ES_tradnl"/>
        </w:rPr>
      </w:pPr>
      <w:r w:rsidRPr="00F72446">
        <w:rPr>
          <w:lang w:val="es-ES_tradnl"/>
        </w:rPr>
        <w:t>Características y criterios de protección de los radares</w:t>
      </w:r>
      <w:r w:rsidRPr="00F72446">
        <w:rPr>
          <w:lang w:val="es-ES_tradnl"/>
        </w:rPr>
        <w:br/>
        <w:t xml:space="preserve">que funcionan en el servicio de </w:t>
      </w:r>
      <w:proofErr w:type="spellStart"/>
      <w:r w:rsidRPr="00F72446">
        <w:rPr>
          <w:lang w:val="es-ES_tradnl"/>
        </w:rPr>
        <w:t>radiodeterminación</w:t>
      </w:r>
      <w:proofErr w:type="spellEnd"/>
      <w:r w:rsidRPr="00F72446">
        <w:rPr>
          <w:lang w:val="es-ES_tradnl"/>
        </w:rPr>
        <w:t xml:space="preserve"> </w:t>
      </w:r>
      <w:r w:rsidRPr="00F72446">
        <w:rPr>
          <w:lang w:val="es-ES_tradnl"/>
        </w:rPr>
        <w:br/>
        <w:t>en la gama de frecuencias 3 100-3 700 MHz</w:t>
      </w:r>
    </w:p>
    <w:p w:rsidR="008E096B" w:rsidRPr="00F72446" w:rsidRDefault="008E096B" w:rsidP="008E096B">
      <w:pPr>
        <w:pStyle w:val="Recdate"/>
        <w:rPr>
          <w:lang w:val="es-ES_tradnl"/>
        </w:rPr>
      </w:pPr>
      <w:r w:rsidRPr="00F72446">
        <w:rPr>
          <w:lang w:val="es-ES_tradnl"/>
        </w:rPr>
        <w:t>(2000-2007-2015)</w:t>
      </w:r>
    </w:p>
    <w:p w:rsidR="008E096B" w:rsidRDefault="008E096B" w:rsidP="004C6AE7">
      <w:pPr>
        <w:pStyle w:val="HeadingSum"/>
      </w:pPr>
      <w:r w:rsidRPr="004C6AE7">
        <w:t>Cometido</w:t>
      </w:r>
    </w:p>
    <w:p w:rsidR="008E096B" w:rsidRDefault="008E096B" w:rsidP="008E096B">
      <w:pPr>
        <w:pStyle w:val="Summary"/>
      </w:pPr>
      <w:r>
        <w:t>En la presente Recomendación se proporcionan características técnicas y operativas y criterios de protección de radares terrestres, de barcos y de aviones que funcionan en la gama de frecuencias 3 </w:t>
      </w:r>
      <w:r w:rsidRPr="001C22B4">
        <w:t>100</w:t>
      </w:r>
      <w:r>
        <w:noBreakHyphen/>
      </w:r>
      <w:r w:rsidRPr="001C22B4">
        <w:t>3</w:t>
      </w:r>
      <w:r>
        <w:t> </w:t>
      </w:r>
      <w:r w:rsidRPr="001C22B4">
        <w:t>700</w:t>
      </w:r>
      <w:r>
        <w:t> MHz. Se incluyen características representativas de componentes del transmisor, del receptor y de la antena, así como información sobre el despliegue de estos radares.</w:t>
      </w:r>
    </w:p>
    <w:p w:rsidR="008E096B" w:rsidRPr="008E096B" w:rsidRDefault="008E096B" w:rsidP="001C5679">
      <w:pPr>
        <w:pStyle w:val="Headingb"/>
        <w:rPr>
          <w:lang w:val="es-ES_tradnl"/>
        </w:rPr>
      </w:pPr>
      <w:r w:rsidRPr="001C5679">
        <w:t>Palabras</w:t>
      </w:r>
      <w:r w:rsidRPr="008E096B">
        <w:rPr>
          <w:lang w:val="es-ES_tradnl"/>
        </w:rPr>
        <w:t xml:space="preserve"> clave</w:t>
      </w:r>
    </w:p>
    <w:p w:rsidR="008E096B" w:rsidRDefault="008E096B" w:rsidP="008E096B">
      <w:pPr>
        <w:rPr>
          <w:lang w:val="es-ES_tradnl"/>
        </w:rPr>
      </w:pPr>
      <w:r>
        <w:rPr>
          <w:lang w:val="es-ES_tradnl"/>
        </w:rPr>
        <w:t xml:space="preserve">Características, criterios de protección, radar a bordo de barco, </w:t>
      </w:r>
      <w:r w:rsidRPr="00E34FE1">
        <w:rPr>
          <w:lang w:val="es-ES_tradnl"/>
        </w:rPr>
        <w:t>radar en tierra</w:t>
      </w:r>
      <w:r>
        <w:rPr>
          <w:lang w:val="es-ES_tradnl"/>
        </w:rPr>
        <w:t>, radar a bordo de aeronave</w:t>
      </w:r>
    </w:p>
    <w:p w:rsidR="008E096B" w:rsidRPr="008E096B" w:rsidRDefault="008E096B" w:rsidP="008E096B">
      <w:pPr>
        <w:pStyle w:val="Headingb"/>
        <w:rPr>
          <w:lang w:val="es-ES_tradnl"/>
        </w:rPr>
      </w:pPr>
      <w:r w:rsidRPr="008E096B">
        <w:rPr>
          <w:lang w:val="es-ES_tradnl"/>
        </w:rPr>
        <w:t>Abreviaturas/Glosario</w:t>
      </w:r>
    </w:p>
    <w:p w:rsidR="00F06747" w:rsidRDefault="008E096B" w:rsidP="003F3CDD">
      <w:pPr>
        <w:tabs>
          <w:tab w:val="clear" w:pos="794"/>
        </w:tabs>
        <w:rPr>
          <w:lang w:val="es-ES_tradnl"/>
        </w:rPr>
      </w:pPr>
      <w:r>
        <w:rPr>
          <w:lang w:val="es-ES_tradnl"/>
        </w:rPr>
        <w:t>AMSL</w:t>
      </w:r>
      <w:r>
        <w:rPr>
          <w:lang w:val="es-ES_tradnl"/>
        </w:rPr>
        <w:tab/>
      </w:r>
      <w:r w:rsidR="003F3CDD">
        <w:rPr>
          <w:lang w:val="es-ES_tradnl"/>
        </w:rPr>
        <w:t>S</w:t>
      </w:r>
      <w:r w:rsidRPr="00AC12EC">
        <w:rPr>
          <w:lang w:val="es-ES_tradnl"/>
        </w:rPr>
        <w:t>obre el nivel medio del mar</w:t>
      </w:r>
      <w:r>
        <w:rPr>
          <w:lang w:val="es-ES_tradnl"/>
        </w:rPr>
        <w:t xml:space="preserve"> </w:t>
      </w:r>
    </w:p>
    <w:p w:rsidR="008E096B" w:rsidRDefault="008E096B" w:rsidP="00F06747">
      <w:pPr>
        <w:tabs>
          <w:tab w:val="clear" w:pos="794"/>
        </w:tabs>
        <w:rPr>
          <w:lang w:val="es-ES_tradnl"/>
        </w:rPr>
      </w:pPr>
      <w:r>
        <w:rPr>
          <w:lang w:val="es-ES_tradnl"/>
        </w:rPr>
        <w:t>ATC</w:t>
      </w:r>
      <w:r>
        <w:rPr>
          <w:lang w:val="es-ES_tradnl"/>
        </w:rPr>
        <w:tab/>
      </w:r>
      <w:r w:rsidR="003F3CDD">
        <w:rPr>
          <w:lang w:val="es-ES_tradnl"/>
        </w:rPr>
        <w:t>C</w:t>
      </w:r>
      <w:r w:rsidRPr="00AC12EC">
        <w:rPr>
          <w:lang w:val="es-ES_tradnl"/>
        </w:rPr>
        <w:t>ontrol del tráfico aéreo</w:t>
      </w:r>
      <w:r>
        <w:rPr>
          <w:lang w:val="es-ES_tradnl"/>
        </w:rPr>
        <w:t xml:space="preserve"> </w:t>
      </w:r>
    </w:p>
    <w:p w:rsidR="00F06747" w:rsidRDefault="008E096B" w:rsidP="00F06747">
      <w:pPr>
        <w:tabs>
          <w:tab w:val="clear" w:pos="794"/>
        </w:tabs>
        <w:rPr>
          <w:lang w:val="es-ES_tradnl"/>
        </w:rPr>
      </w:pPr>
      <w:r>
        <w:rPr>
          <w:lang w:val="es-ES_tradnl"/>
        </w:rPr>
        <w:t>MTI</w:t>
      </w:r>
      <w:r>
        <w:rPr>
          <w:lang w:val="es-ES_tradnl"/>
        </w:rPr>
        <w:tab/>
      </w:r>
      <w:r w:rsidR="003F3CDD">
        <w:rPr>
          <w:lang w:val="es-ES_tradnl"/>
        </w:rPr>
        <w:t>I</w:t>
      </w:r>
      <w:r w:rsidRPr="00A86587">
        <w:rPr>
          <w:lang w:val="es-ES_tradnl"/>
        </w:rPr>
        <w:t>ndicación de blancos móviles</w:t>
      </w:r>
      <w:r>
        <w:rPr>
          <w:lang w:val="es-ES_tradnl"/>
        </w:rPr>
        <w:t xml:space="preserve"> </w:t>
      </w:r>
    </w:p>
    <w:p w:rsidR="008E096B" w:rsidRPr="00DE317C" w:rsidRDefault="008E096B" w:rsidP="003F3CDD">
      <w:pPr>
        <w:tabs>
          <w:tab w:val="clear" w:pos="794"/>
        </w:tabs>
        <w:rPr>
          <w:lang w:val="es-ES_tradnl"/>
        </w:rPr>
      </w:pPr>
      <w:r>
        <w:rPr>
          <w:lang w:val="es-ES_tradnl"/>
        </w:rPr>
        <w:t>PPI</w:t>
      </w:r>
      <w:r>
        <w:rPr>
          <w:lang w:val="es-ES_tradnl"/>
        </w:rPr>
        <w:tab/>
      </w:r>
      <w:r w:rsidR="003F3CDD">
        <w:rPr>
          <w:lang w:val="es-ES_tradnl"/>
        </w:rPr>
        <w:t>I</w:t>
      </w:r>
      <w:r>
        <w:rPr>
          <w:lang w:val="es-ES_tradnl"/>
        </w:rPr>
        <w:t xml:space="preserve">ndicador de posición planificada </w:t>
      </w:r>
    </w:p>
    <w:p w:rsidR="008E096B" w:rsidRPr="008E096B" w:rsidRDefault="008E096B" w:rsidP="008E096B">
      <w:pPr>
        <w:pStyle w:val="Normalaftertitle"/>
        <w:rPr>
          <w:lang w:val="es-ES_tradnl"/>
        </w:rPr>
      </w:pPr>
      <w:r w:rsidRPr="008E096B">
        <w:rPr>
          <w:lang w:val="es-ES_tradnl"/>
        </w:rPr>
        <w:t>La Asamblea de Radiocomunicaciones de la UIT,</w:t>
      </w:r>
    </w:p>
    <w:p w:rsidR="008E096B" w:rsidRPr="008E096B" w:rsidRDefault="008E096B" w:rsidP="008E096B">
      <w:pPr>
        <w:pStyle w:val="Call"/>
        <w:rPr>
          <w:lang w:val="es-ES_tradnl"/>
        </w:rPr>
      </w:pPr>
      <w:r w:rsidRPr="008E096B">
        <w:rPr>
          <w:lang w:val="es-ES_tradnl"/>
        </w:rPr>
        <w:t>conside</w:t>
      </w:r>
      <w:bookmarkStart w:id="3" w:name="_GoBack"/>
      <w:bookmarkEnd w:id="3"/>
      <w:r w:rsidRPr="008E096B">
        <w:rPr>
          <w:lang w:val="es-ES_tradnl"/>
        </w:rPr>
        <w:t>rando</w:t>
      </w:r>
    </w:p>
    <w:p w:rsidR="008E096B" w:rsidRPr="004A3AA5" w:rsidRDefault="008E096B" w:rsidP="008E096B">
      <w:pPr>
        <w:rPr>
          <w:lang w:val="es-ES"/>
        </w:rPr>
      </w:pPr>
      <w:r w:rsidRPr="00552DF0">
        <w:rPr>
          <w:i/>
          <w:iCs/>
          <w:lang w:val="es-ES"/>
        </w:rPr>
        <w:t>a)</w:t>
      </w:r>
      <w:r w:rsidRPr="004A3AA5">
        <w:rPr>
          <w:i/>
          <w:lang w:val="es-ES"/>
        </w:rPr>
        <w:tab/>
      </w:r>
      <w:r w:rsidRPr="004A3AA5">
        <w:rPr>
          <w:lang w:val="es-ES"/>
        </w:rPr>
        <w:t>que las características en cuanto a antena, propagación de la señal, detección del objetivo y gran anchura de banda necesaria de los radares para lograr sus funciones son óptimas en ciertas bandas de frecuencia;</w:t>
      </w:r>
    </w:p>
    <w:p w:rsidR="008E096B" w:rsidRPr="004A3AA5" w:rsidRDefault="008E096B" w:rsidP="008E096B">
      <w:pPr>
        <w:rPr>
          <w:lang w:val="es-ES"/>
        </w:rPr>
      </w:pPr>
      <w:r w:rsidRPr="00552DF0">
        <w:rPr>
          <w:i/>
          <w:iCs/>
          <w:lang w:val="es-ES"/>
        </w:rPr>
        <w:t>b)</w:t>
      </w:r>
      <w:r w:rsidRPr="004A3AA5">
        <w:rPr>
          <w:lang w:val="es-ES"/>
        </w:rPr>
        <w:tab/>
        <w:t xml:space="preserve">que las características técnicas de los radares que funcionan en el servicio de </w:t>
      </w:r>
      <w:proofErr w:type="spellStart"/>
      <w:r w:rsidRPr="004A3AA5">
        <w:rPr>
          <w:lang w:val="es-ES"/>
        </w:rPr>
        <w:t>radiodeterminación</w:t>
      </w:r>
      <w:proofErr w:type="spellEnd"/>
      <w:r w:rsidRPr="004A3AA5">
        <w:rPr>
          <w:lang w:val="es-ES"/>
        </w:rPr>
        <w:t xml:space="preserve"> vienen determinadas por la misión del sistema y varían ampliamente incluso dentro de una banda</w:t>
      </w:r>
      <w:r>
        <w:rPr>
          <w:lang w:val="es-ES"/>
        </w:rPr>
        <w:t xml:space="preserve"> de frecuencias</w:t>
      </w:r>
      <w:r w:rsidRPr="004A3AA5">
        <w:rPr>
          <w:lang w:val="es-ES"/>
        </w:rPr>
        <w:t>;</w:t>
      </w:r>
    </w:p>
    <w:p w:rsidR="008E096B" w:rsidRPr="004A3AA5" w:rsidRDefault="008E096B" w:rsidP="008E096B">
      <w:pPr>
        <w:rPr>
          <w:lang w:val="es-ES"/>
        </w:rPr>
      </w:pPr>
      <w:r w:rsidRPr="00552DF0">
        <w:rPr>
          <w:i/>
          <w:iCs/>
          <w:lang w:val="es-ES"/>
        </w:rPr>
        <w:t>c)</w:t>
      </w:r>
      <w:r w:rsidRPr="004A3AA5">
        <w:rPr>
          <w:lang w:val="es-ES"/>
        </w:rPr>
        <w:tab/>
        <w:t xml:space="preserve">que el servicio de radionavegación es un servicio de seguridad, tal como se especifica en el número </w:t>
      </w:r>
      <w:r w:rsidRPr="00B9034B">
        <w:rPr>
          <w:b/>
          <w:bCs/>
          <w:lang w:val="es-ES"/>
        </w:rPr>
        <w:t>4.10</w:t>
      </w:r>
      <w:r w:rsidRPr="004A3AA5">
        <w:rPr>
          <w:lang w:val="es-ES"/>
        </w:rPr>
        <w:t xml:space="preserve"> del</w:t>
      </w:r>
      <w:r>
        <w:rPr>
          <w:lang w:val="es-ES"/>
        </w:rPr>
        <w:t xml:space="preserve"> Reglamento de Radiocomunicaciones (</w:t>
      </w:r>
      <w:r w:rsidRPr="004A3AA5">
        <w:rPr>
          <w:lang w:val="es-ES"/>
        </w:rPr>
        <w:t>RR</w:t>
      </w:r>
      <w:r>
        <w:rPr>
          <w:lang w:val="es-ES"/>
        </w:rPr>
        <w:t>)</w:t>
      </w:r>
      <w:r w:rsidRPr="004A3AA5">
        <w:rPr>
          <w:lang w:val="es-ES"/>
        </w:rPr>
        <w:t>, y no puede aceptarse el que se le cause interferencia perjudicial;</w:t>
      </w:r>
    </w:p>
    <w:p w:rsidR="008E096B" w:rsidRPr="004A3AA5" w:rsidRDefault="008E096B" w:rsidP="008E096B">
      <w:pPr>
        <w:rPr>
          <w:lang w:val="es-ES"/>
        </w:rPr>
      </w:pPr>
      <w:r w:rsidRPr="00552DF0">
        <w:rPr>
          <w:i/>
          <w:iCs/>
          <w:lang w:val="es-ES"/>
        </w:rPr>
        <w:t>d)</w:t>
      </w:r>
      <w:r w:rsidRPr="004A3AA5">
        <w:rPr>
          <w:lang w:val="es-ES"/>
        </w:rPr>
        <w:tab/>
        <w:t>que desde la CAMR-79 se han eliminado o degradado atribuciones considerables de espectro (equivalente a unos 1 GHz) a la radiolocalización y la radionavegación;</w:t>
      </w:r>
    </w:p>
    <w:p w:rsidR="008E096B" w:rsidRPr="004A3AA5" w:rsidRDefault="008E096B" w:rsidP="008E096B">
      <w:pPr>
        <w:rPr>
          <w:lang w:val="es-ES"/>
        </w:rPr>
      </w:pPr>
      <w:r w:rsidRPr="00552DF0">
        <w:rPr>
          <w:i/>
          <w:iCs/>
          <w:lang w:val="es-ES"/>
        </w:rPr>
        <w:t>e)</w:t>
      </w:r>
      <w:r w:rsidRPr="004A3AA5">
        <w:rPr>
          <w:lang w:val="es-ES"/>
        </w:rPr>
        <w:tab/>
        <w:t>que algun</w:t>
      </w:r>
      <w:r>
        <w:rPr>
          <w:lang w:val="es-ES"/>
        </w:rPr>
        <w:t>a</w:t>
      </w:r>
      <w:r w:rsidRPr="004A3AA5">
        <w:rPr>
          <w:lang w:val="es-ES"/>
        </w:rPr>
        <w:t xml:space="preserve">s </w:t>
      </w:r>
      <w:r>
        <w:rPr>
          <w:lang w:val="es-ES"/>
        </w:rPr>
        <w:t>Comisiones de Estudio de Radiocomunicaciones</w:t>
      </w:r>
      <w:r w:rsidRPr="004A3AA5">
        <w:rPr>
          <w:lang w:val="es-ES"/>
        </w:rPr>
        <w:t xml:space="preserve"> están considerando la posibilidad de introducir nuevos tipos de sistemas (por ejemplo, el acceso fijo inalámbrico y los sistemas fijos y móviles de gran densidad) o servicios en las bandas </w:t>
      </w:r>
      <w:r>
        <w:rPr>
          <w:lang w:val="es-ES"/>
        </w:rPr>
        <w:t xml:space="preserve">de frecuencias </w:t>
      </w:r>
      <w:r w:rsidRPr="004A3AA5">
        <w:rPr>
          <w:lang w:val="es-ES"/>
        </w:rPr>
        <w:t xml:space="preserve">comprendidas entre 420 MHz y 34 GHz utilizadas por los radares del servicio de </w:t>
      </w:r>
      <w:proofErr w:type="spellStart"/>
      <w:r w:rsidRPr="004A3AA5">
        <w:rPr>
          <w:lang w:val="es-ES"/>
        </w:rPr>
        <w:t>radiodeterminación</w:t>
      </w:r>
      <w:proofErr w:type="spellEnd"/>
      <w:r w:rsidRPr="004A3AA5">
        <w:rPr>
          <w:lang w:val="es-ES"/>
        </w:rPr>
        <w:t>;</w:t>
      </w:r>
    </w:p>
    <w:p w:rsidR="008E096B" w:rsidRPr="004A3AA5" w:rsidRDefault="008E096B" w:rsidP="008E096B">
      <w:pPr>
        <w:rPr>
          <w:lang w:val="es-ES"/>
        </w:rPr>
      </w:pPr>
      <w:r w:rsidRPr="00552DF0">
        <w:rPr>
          <w:i/>
          <w:iCs/>
          <w:lang w:val="es-ES"/>
        </w:rPr>
        <w:t>f)</w:t>
      </w:r>
      <w:r w:rsidRPr="004A3AA5">
        <w:rPr>
          <w:lang w:val="es-ES"/>
        </w:rPr>
        <w:tab/>
        <w:t xml:space="preserve">que se requieren características técnicas y operacionales representativas de los sistemas que funcionan en las bandas </w:t>
      </w:r>
      <w:r>
        <w:rPr>
          <w:lang w:val="es-ES"/>
        </w:rPr>
        <w:t xml:space="preserve">de frecuencias </w:t>
      </w:r>
      <w:r w:rsidRPr="004A3AA5">
        <w:rPr>
          <w:lang w:val="es-ES"/>
        </w:rPr>
        <w:t xml:space="preserve">atribuidas al servicio de </w:t>
      </w:r>
      <w:proofErr w:type="spellStart"/>
      <w:r w:rsidRPr="004A3AA5">
        <w:rPr>
          <w:lang w:val="es-ES"/>
        </w:rPr>
        <w:t>radiodeterminación</w:t>
      </w:r>
      <w:proofErr w:type="spellEnd"/>
      <w:r w:rsidRPr="004A3AA5">
        <w:rPr>
          <w:lang w:val="es-ES"/>
        </w:rPr>
        <w:t xml:space="preserve"> a fin de determinar la viabilidad de la introducción de nuevos tipos de sistemas;</w:t>
      </w:r>
    </w:p>
    <w:p w:rsidR="008E096B" w:rsidRPr="004A3AA5" w:rsidRDefault="008E096B" w:rsidP="008E096B">
      <w:pPr>
        <w:rPr>
          <w:lang w:val="es-ES"/>
        </w:rPr>
      </w:pPr>
      <w:r w:rsidRPr="00552DF0">
        <w:rPr>
          <w:i/>
          <w:iCs/>
          <w:lang w:val="es-ES"/>
        </w:rPr>
        <w:lastRenderedPageBreak/>
        <w:t>g)</w:t>
      </w:r>
      <w:r w:rsidRPr="004A3AA5">
        <w:rPr>
          <w:lang w:val="es-ES"/>
        </w:rPr>
        <w:tab/>
        <w:t xml:space="preserve">que se necesitan procedimientos y metodologías para analizar la compatibilidad entre los radares que funcionan en el servicio de </w:t>
      </w:r>
      <w:proofErr w:type="spellStart"/>
      <w:r w:rsidRPr="004A3AA5">
        <w:rPr>
          <w:lang w:val="es-ES"/>
        </w:rPr>
        <w:t>radiodeterminación</w:t>
      </w:r>
      <w:proofErr w:type="spellEnd"/>
      <w:r w:rsidRPr="004A3AA5">
        <w:rPr>
          <w:lang w:val="es-ES"/>
        </w:rPr>
        <w:t xml:space="preserve"> y los sistemas de otros servicios;</w:t>
      </w:r>
    </w:p>
    <w:p w:rsidR="008E096B" w:rsidRPr="004A3AA5" w:rsidRDefault="008E096B" w:rsidP="008E096B">
      <w:pPr>
        <w:rPr>
          <w:lang w:val="es-ES"/>
        </w:rPr>
      </w:pPr>
      <w:r w:rsidRPr="00552DF0">
        <w:rPr>
          <w:i/>
          <w:iCs/>
          <w:lang w:val="es-ES"/>
        </w:rPr>
        <w:t>h)</w:t>
      </w:r>
      <w:r w:rsidRPr="004A3AA5">
        <w:rPr>
          <w:lang w:val="es-ES"/>
        </w:rPr>
        <w:tab/>
        <w:t>que la banda de frecuencias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400 MHz está atribuida al servicio de radiolocalización a título primario en las tres Regiones;</w:t>
      </w:r>
    </w:p>
    <w:p w:rsidR="008E096B" w:rsidRPr="004A3AA5" w:rsidRDefault="008E096B" w:rsidP="008E096B">
      <w:pPr>
        <w:rPr>
          <w:lang w:val="es-ES"/>
        </w:rPr>
      </w:pPr>
      <w:r>
        <w:rPr>
          <w:i/>
          <w:iCs/>
          <w:lang w:val="es-ES"/>
        </w:rPr>
        <w:t>i</w:t>
      </w:r>
      <w:r w:rsidRPr="00552DF0">
        <w:rPr>
          <w:i/>
          <w:iCs/>
          <w:lang w:val="es-ES"/>
        </w:rPr>
        <w:t>)</w:t>
      </w:r>
      <w:r w:rsidRPr="004A3AA5">
        <w:rPr>
          <w:lang w:val="es-ES"/>
        </w:rPr>
        <w:tab/>
        <w:t>que la banda de frecuencias 3</w:t>
      </w:r>
      <w:r w:rsidRPr="004A3AA5">
        <w:rPr>
          <w:rFonts w:ascii="Tms Rmn" w:hAnsi="Tms Rmn"/>
          <w:sz w:val="12"/>
          <w:lang w:val="es-ES"/>
        </w:rPr>
        <w:t> </w:t>
      </w:r>
      <w:r w:rsidRPr="004A3AA5">
        <w:rPr>
          <w:lang w:val="es-ES"/>
        </w:rPr>
        <w:t>400-3</w:t>
      </w:r>
      <w:r w:rsidRPr="004A3AA5">
        <w:rPr>
          <w:rFonts w:ascii="Tms Rmn" w:hAnsi="Tms Rmn"/>
          <w:sz w:val="12"/>
          <w:lang w:val="es-ES"/>
        </w:rPr>
        <w:t> </w:t>
      </w:r>
      <w:r w:rsidRPr="004A3AA5">
        <w:rPr>
          <w:lang w:val="es-ES"/>
        </w:rPr>
        <w:t>600 MHz está atribuida al servicio de radiolocalización a título secundario en la Región 1;</w:t>
      </w:r>
    </w:p>
    <w:p w:rsidR="008E096B" w:rsidRPr="004A3AA5" w:rsidRDefault="008E096B" w:rsidP="008E096B">
      <w:pPr>
        <w:rPr>
          <w:lang w:val="es-ES"/>
        </w:rPr>
      </w:pPr>
      <w:r>
        <w:rPr>
          <w:i/>
          <w:iCs/>
          <w:lang w:val="es-ES"/>
        </w:rPr>
        <w:t>j</w:t>
      </w:r>
      <w:r w:rsidRPr="00552DF0">
        <w:rPr>
          <w:i/>
          <w:iCs/>
          <w:lang w:val="es-ES"/>
        </w:rPr>
        <w:t>)</w:t>
      </w:r>
      <w:r w:rsidRPr="004A3AA5">
        <w:rPr>
          <w:lang w:val="es-ES"/>
        </w:rPr>
        <w:tab/>
        <w:t>que la banda de frecuencias 3</w:t>
      </w:r>
      <w:r w:rsidRPr="004A3AA5">
        <w:rPr>
          <w:rFonts w:ascii="Tms Rmn" w:hAnsi="Tms Rmn"/>
          <w:sz w:val="12"/>
          <w:lang w:val="es-ES"/>
        </w:rPr>
        <w:t> </w:t>
      </w:r>
      <w:r w:rsidRPr="004A3AA5">
        <w:rPr>
          <w:lang w:val="es-ES"/>
        </w:rPr>
        <w:t>400-3</w:t>
      </w:r>
      <w:r w:rsidRPr="004A3AA5">
        <w:rPr>
          <w:rFonts w:ascii="Tms Rmn" w:hAnsi="Tms Rmn"/>
          <w:sz w:val="12"/>
          <w:lang w:val="es-ES"/>
        </w:rPr>
        <w:t> </w:t>
      </w:r>
      <w:r w:rsidRPr="004A3AA5">
        <w:rPr>
          <w:lang w:val="es-ES"/>
        </w:rPr>
        <w:t>600 MHz está atribuida al servicio de radiolocalización a título primario en las Regiones 2 y 3;</w:t>
      </w:r>
    </w:p>
    <w:p w:rsidR="008E096B" w:rsidRPr="004A3AA5" w:rsidRDefault="008E096B" w:rsidP="008E096B">
      <w:pPr>
        <w:rPr>
          <w:lang w:val="es-ES"/>
        </w:rPr>
      </w:pPr>
      <w:r>
        <w:rPr>
          <w:i/>
          <w:iCs/>
          <w:lang w:val="es-ES"/>
        </w:rPr>
        <w:t>k</w:t>
      </w:r>
      <w:r w:rsidRPr="00552DF0">
        <w:rPr>
          <w:i/>
          <w:iCs/>
          <w:lang w:val="es-ES"/>
        </w:rPr>
        <w:t>)</w:t>
      </w:r>
      <w:r w:rsidRPr="004A3AA5">
        <w:rPr>
          <w:lang w:val="es-ES"/>
        </w:rPr>
        <w:tab/>
        <w:t>que la banda de frecuencias 3</w:t>
      </w:r>
      <w:r w:rsidRPr="004A3AA5">
        <w:rPr>
          <w:rFonts w:ascii="Tms Rmn" w:hAnsi="Tms Rmn"/>
          <w:sz w:val="12"/>
          <w:lang w:val="es-ES"/>
        </w:rPr>
        <w:t> </w:t>
      </w:r>
      <w:r w:rsidRPr="004A3AA5">
        <w:rPr>
          <w:lang w:val="es-ES"/>
        </w:rPr>
        <w:t>600-3</w:t>
      </w:r>
      <w:r w:rsidRPr="004A3AA5">
        <w:rPr>
          <w:rFonts w:ascii="Tms Rmn" w:hAnsi="Tms Rmn"/>
          <w:sz w:val="12"/>
          <w:lang w:val="es-ES"/>
        </w:rPr>
        <w:t> </w:t>
      </w:r>
      <w:r w:rsidRPr="004A3AA5">
        <w:rPr>
          <w:lang w:val="es-ES"/>
        </w:rPr>
        <w:t>700 MHz está atribuida al servicio de radiolocalización a título secundario en las Regiones 2 y 3;</w:t>
      </w:r>
    </w:p>
    <w:p w:rsidR="008E096B" w:rsidRDefault="008E096B" w:rsidP="008E096B">
      <w:pPr>
        <w:rPr>
          <w:lang w:val="es-ES"/>
        </w:rPr>
      </w:pPr>
      <w:r>
        <w:rPr>
          <w:i/>
          <w:iCs/>
          <w:lang w:val="es-ES"/>
        </w:rPr>
        <w:t>l</w:t>
      </w:r>
      <w:r w:rsidRPr="00552DF0">
        <w:rPr>
          <w:i/>
          <w:iCs/>
          <w:lang w:val="es-ES"/>
        </w:rPr>
        <w:t>)</w:t>
      </w:r>
      <w:r w:rsidRPr="004A3AA5">
        <w:rPr>
          <w:lang w:val="es-ES"/>
        </w:rPr>
        <w:tab/>
        <w:t>que la banda de frecuencias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300 MHz está además atribuida al servicio de radionavegación a título primario en los países mencionados en el número </w:t>
      </w:r>
      <w:r w:rsidRPr="00B9034B">
        <w:rPr>
          <w:b/>
          <w:bCs/>
          <w:lang w:val="es-ES"/>
        </w:rPr>
        <w:t>5.428</w:t>
      </w:r>
      <w:r w:rsidRPr="004A3AA5">
        <w:rPr>
          <w:lang w:val="es-ES"/>
        </w:rPr>
        <w:t xml:space="preserve"> del RR,</w:t>
      </w:r>
    </w:p>
    <w:p w:rsidR="008E096B" w:rsidRPr="008E096B" w:rsidRDefault="008E096B" w:rsidP="008E096B">
      <w:pPr>
        <w:pStyle w:val="Call"/>
        <w:rPr>
          <w:lang w:val="es-ES_tradnl"/>
        </w:rPr>
      </w:pPr>
      <w:r w:rsidRPr="008E096B">
        <w:rPr>
          <w:lang w:val="es-ES_tradnl"/>
        </w:rPr>
        <w:t>reconociendo</w:t>
      </w:r>
    </w:p>
    <w:p w:rsidR="008E096B" w:rsidRPr="001C22B4" w:rsidRDefault="008E096B" w:rsidP="008E096B">
      <w:pPr>
        <w:rPr>
          <w:lang w:val="es-ES"/>
        </w:rPr>
      </w:pPr>
      <w:r w:rsidRPr="00552DF0">
        <w:rPr>
          <w:i/>
          <w:iCs/>
          <w:lang w:val="es-ES"/>
        </w:rPr>
        <w:t>a)</w:t>
      </w:r>
      <w:r>
        <w:rPr>
          <w:lang w:val="es-ES"/>
        </w:rPr>
        <w:tab/>
        <w:t xml:space="preserve">que en el número </w:t>
      </w:r>
      <w:r w:rsidRPr="00B9034B">
        <w:rPr>
          <w:b/>
          <w:bCs/>
          <w:lang w:val="es-ES"/>
        </w:rPr>
        <w:t>5.433</w:t>
      </w:r>
      <w:r>
        <w:rPr>
          <w:lang w:val="es-ES"/>
        </w:rPr>
        <w:t xml:space="preserve"> del RR se estipula que en las Regiones 2 y 3, la banda de frecuencias 3 400- 3 600 MHz se atribuye al servicio de radiolocalización a título primario. Sin embargo, se insta a todas las administraciones que explotan sistemas de radiolocalización en esta banda de frecuencias a que cesen de hacerlo antes de 1985. A partir de este momento, las administraciones deberán tomar todas las medidas prácticamente posibles para proteger el servicio fijo por satélite, sin imponerse a este último servicio condiciones en materia de coordinación,</w:t>
      </w:r>
    </w:p>
    <w:p w:rsidR="008E096B" w:rsidRPr="008E096B" w:rsidRDefault="008E096B" w:rsidP="008E096B">
      <w:pPr>
        <w:pStyle w:val="Call"/>
        <w:rPr>
          <w:lang w:val="es-ES_tradnl"/>
        </w:rPr>
      </w:pPr>
      <w:r w:rsidRPr="008E096B">
        <w:rPr>
          <w:lang w:val="es-ES_tradnl"/>
        </w:rPr>
        <w:t>recomienda</w:t>
      </w:r>
    </w:p>
    <w:p w:rsidR="008E096B" w:rsidRPr="004A3AA5" w:rsidRDefault="008E096B" w:rsidP="008E096B">
      <w:pPr>
        <w:rPr>
          <w:lang w:val="es-ES"/>
        </w:rPr>
      </w:pPr>
      <w:r w:rsidRPr="004A3AA5">
        <w:rPr>
          <w:b/>
          <w:bCs/>
          <w:lang w:val="es-ES"/>
        </w:rPr>
        <w:t>1</w:t>
      </w:r>
      <w:r w:rsidRPr="004A3AA5">
        <w:rPr>
          <w:lang w:val="es-ES"/>
        </w:rPr>
        <w:tab/>
        <w:t xml:space="preserve">que se consideren las características técnicas y operacionales de los radares de radiolocalización descritas en el Anexo 1, representativas de los que funcionan en la </w:t>
      </w:r>
      <w:r>
        <w:rPr>
          <w:lang w:val="es-ES"/>
        </w:rPr>
        <w:t>gama</w:t>
      </w:r>
      <w:r w:rsidRPr="004A3AA5">
        <w:rPr>
          <w:lang w:val="es-ES"/>
        </w:rPr>
        <w:t xml:space="preserve"> de frecuencias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700 MHz;</w:t>
      </w:r>
    </w:p>
    <w:p w:rsidR="008E096B" w:rsidRPr="004A3AA5" w:rsidRDefault="008E096B" w:rsidP="008E096B">
      <w:pPr>
        <w:rPr>
          <w:lang w:val="es-ES"/>
        </w:rPr>
      </w:pPr>
      <w:r w:rsidRPr="004A3AA5">
        <w:rPr>
          <w:b/>
          <w:bCs/>
          <w:lang w:val="es-ES"/>
        </w:rPr>
        <w:t>2</w:t>
      </w:r>
      <w:r w:rsidRPr="004A3AA5">
        <w:rPr>
          <w:lang w:val="es-ES"/>
        </w:rPr>
        <w:tab/>
        <w:t>que se emplee la Recomendación UIT</w:t>
      </w:r>
      <w:r w:rsidRPr="004A3AA5">
        <w:rPr>
          <w:lang w:val="es-ES"/>
        </w:rPr>
        <w:noBreakHyphen/>
        <w:t xml:space="preserve">R M.1461 como guía en el análisis de compatibilidad entre los radares que funcionan en el servicio de </w:t>
      </w:r>
      <w:proofErr w:type="spellStart"/>
      <w:r w:rsidRPr="004A3AA5">
        <w:rPr>
          <w:lang w:val="es-ES"/>
        </w:rPr>
        <w:t>radiodeterminación</w:t>
      </w:r>
      <w:proofErr w:type="spellEnd"/>
      <w:r w:rsidRPr="004A3AA5">
        <w:rPr>
          <w:lang w:val="es-ES"/>
        </w:rPr>
        <w:t xml:space="preserve"> con los sistemas de otros servicios;</w:t>
      </w:r>
    </w:p>
    <w:p w:rsidR="008E096B" w:rsidRDefault="008E096B" w:rsidP="008E096B">
      <w:pPr>
        <w:rPr>
          <w:lang w:val="es-ES"/>
        </w:rPr>
      </w:pPr>
      <w:r w:rsidRPr="004A3AA5">
        <w:rPr>
          <w:b/>
          <w:bCs/>
          <w:lang w:val="es-ES"/>
        </w:rPr>
        <w:t>3</w:t>
      </w:r>
      <w:r w:rsidRPr="004A3AA5">
        <w:rPr>
          <w:lang w:val="es-ES"/>
        </w:rPr>
        <w:tab/>
        <w:t xml:space="preserve">que se utilicen los criterios de relación entre la potencia de la señal interferente y el nivel de potencia de ruido en el receptor de radar, </w:t>
      </w:r>
      <w:r w:rsidRPr="004A3AA5">
        <w:rPr>
          <w:i/>
          <w:iCs/>
          <w:lang w:val="es-ES"/>
        </w:rPr>
        <w:t>I</w:t>
      </w:r>
      <w:r w:rsidRPr="004A3AA5">
        <w:rPr>
          <w:lang w:val="es-ES"/>
        </w:rPr>
        <w:t>/</w:t>
      </w:r>
      <w:r w:rsidRPr="004A3AA5">
        <w:rPr>
          <w:i/>
          <w:iCs/>
          <w:lang w:val="es-ES"/>
        </w:rPr>
        <w:t>N</w:t>
      </w:r>
      <w:r w:rsidRPr="004A3AA5">
        <w:rPr>
          <w:lang w:val="es-ES"/>
        </w:rPr>
        <w:t>, de –</w:t>
      </w:r>
      <w:r w:rsidRPr="004A3AA5">
        <w:rPr>
          <w:rFonts w:ascii="Tms Rmn" w:hAnsi="Tms Rmn"/>
          <w:sz w:val="4"/>
          <w:lang w:val="es-ES"/>
        </w:rPr>
        <w:t> </w:t>
      </w:r>
      <w:r w:rsidRPr="004A3AA5">
        <w:rPr>
          <w:lang w:val="es-ES"/>
        </w:rPr>
        <w:t>6 dB como nivel de protección requerido para los sistemas de radiolocalización y que esta cifra represente el nivel de protección neto si hay múltiples fuentes interferentes presentes.</w:t>
      </w:r>
    </w:p>
    <w:p w:rsidR="00F06747" w:rsidRDefault="00F06747" w:rsidP="008E096B">
      <w:pPr>
        <w:rPr>
          <w:lang w:val="es-ES"/>
        </w:rPr>
      </w:pPr>
    </w:p>
    <w:p w:rsidR="008E096B" w:rsidRPr="008E096B" w:rsidRDefault="008E096B" w:rsidP="008E096B">
      <w:pPr>
        <w:pStyle w:val="AnnexNoTitle"/>
        <w:rPr>
          <w:lang w:val="es-ES_tradnl"/>
        </w:rPr>
      </w:pPr>
      <w:r w:rsidRPr="008E096B">
        <w:rPr>
          <w:lang w:val="es-ES_tradnl"/>
        </w:rPr>
        <w:t>Anexo 1</w:t>
      </w:r>
      <w:r w:rsidRPr="008E096B">
        <w:rPr>
          <w:lang w:val="es-ES_tradnl"/>
        </w:rPr>
        <w:br/>
      </w:r>
      <w:r w:rsidRPr="008E096B">
        <w:rPr>
          <w:lang w:val="es-ES_tradnl"/>
        </w:rPr>
        <w:br/>
        <w:t xml:space="preserve">Características técnicas y operativas de los radares de radiolocalización </w:t>
      </w:r>
      <w:r w:rsidRPr="008E096B">
        <w:rPr>
          <w:lang w:val="es-ES_tradnl"/>
        </w:rPr>
        <w:br/>
        <w:t>que funcionan en la gama de frecuencias 3 100-3 700 MHz</w:t>
      </w:r>
    </w:p>
    <w:p w:rsidR="008E096B" w:rsidRPr="004A3AA5" w:rsidRDefault="008E096B" w:rsidP="008E096B">
      <w:pPr>
        <w:pStyle w:val="Heading1"/>
        <w:rPr>
          <w:lang w:val="es-ES"/>
        </w:rPr>
      </w:pPr>
      <w:r w:rsidRPr="004A3AA5">
        <w:rPr>
          <w:lang w:val="es-ES"/>
        </w:rPr>
        <w:t>1</w:t>
      </w:r>
      <w:r w:rsidRPr="004A3AA5">
        <w:rPr>
          <w:lang w:val="es-ES"/>
        </w:rPr>
        <w:tab/>
        <w:t>Introducción</w:t>
      </w:r>
    </w:p>
    <w:p w:rsidR="008E096B" w:rsidRPr="00E34FE1" w:rsidRDefault="008E096B" w:rsidP="008E096B">
      <w:pPr>
        <w:rPr>
          <w:lang w:val="es-ES"/>
        </w:rPr>
      </w:pPr>
      <w:r w:rsidRPr="004A3AA5">
        <w:rPr>
          <w:lang w:val="es-ES"/>
        </w:rPr>
        <w:t xml:space="preserve">En el Cuadro 1 se presentan las características de los radares de radiolocalización que funcionan en la </w:t>
      </w:r>
      <w:r>
        <w:rPr>
          <w:lang w:val="es-ES"/>
        </w:rPr>
        <w:t>gama</w:t>
      </w:r>
      <w:r w:rsidRPr="004A3AA5">
        <w:rPr>
          <w:lang w:val="es-ES"/>
        </w:rPr>
        <w:t xml:space="preserve"> de frecuencias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700 MHz, las cuales se examinan a continuación.</w:t>
      </w:r>
    </w:p>
    <w:p w:rsidR="008E096B" w:rsidRPr="00552DF0" w:rsidRDefault="008E096B" w:rsidP="008E096B">
      <w:pPr>
        <w:rPr>
          <w:lang w:val="es-ES_tradnl"/>
        </w:rPr>
        <w:sectPr w:rsidR="008E096B" w:rsidRPr="00552DF0" w:rsidSect="00864BF9">
          <w:headerReference w:type="even" r:id="rId12"/>
          <w:headerReference w:type="default" r:id="rId13"/>
          <w:footerReference w:type="even" r:id="rId14"/>
          <w:footerReference w:type="default" r:id="rId15"/>
          <w:pgSz w:w="11907" w:h="16834" w:code="9"/>
          <w:pgMar w:top="1418" w:right="1134" w:bottom="1134" w:left="1134" w:header="720" w:footer="482" w:gutter="0"/>
          <w:pgNumType w:start="1"/>
          <w:cols w:space="720"/>
          <w:docGrid w:linePitch="326"/>
        </w:sectPr>
      </w:pPr>
    </w:p>
    <w:p w:rsidR="008E096B" w:rsidRPr="00497FE1" w:rsidRDefault="008E096B" w:rsidP="00CB6E4F">
      <w:pPr>
        <w:pStyle w:val="TableNo"/>
        <w:rPr>
          <w:lang w:val="es-ES_tradnl"/>
        </w:rPr>
      </w:pPr>
      <w:r w:rsidRPr="00497FE1">
        <w:rPr>
          <w:lang w:val="es-ES_tradnl"/>
        </w:rPr>
        <w:lastRenderedPageBreak/>
        <w:t>CUADRO 1</w:t>
      </w:r>
    </w:p>
    <w:p w:rsidR="008E096B" w:rsidRPr="00497FE1" w:rsidRDefault="008E096B" w:rsidP="008E096B">
      <w:pPr>
        <w:pStyle w:val="Tabletitle"/>
        <w:rPr>
          <w:lang w:val="es-ES_tradnl"/>
        </w:rPr>
      </w:pPr>
      <w:r w:rsidRPr="00497FE1">
        <w:rPr>
          <w:lang w:val="es-ES_tradnl"/>
        </w:rPr>
        <w:t xml:space="preserve">Cuadro de características de los sistemas de radiolocalización </w:t>
      </w:r>
      <w:r w:rsidRPr="00497FE1">
        <w:rPr>
          <w:lang w:val="es-ES_tradnl"/>
        </w:rPr>
        <w:br/>
        <w:t>que funcionan en la gama de frecuencias 3 100-3 700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089"/>
        <w:gridCol w:w="1688"/>
        <w:gridCol w:w="1829"/>
        <w:gridCol w:w="2174"/>
        <w:gridCol w:w="1395"/>
        <w:gridCol w:w="1395"/>
        <w:gridCol w:w="1395"/>
        <w:gridCol w:w="1346"/>
      </w:tblGrid>
      <w:tr w:rsidR="008E096B" w:rsidRPr="00CB6E4F" w:rsidTr="00CB6E4F">
        <w:trPr>
          <w:jc w:val="center"/>
        </w:trPr>
        <w:tc>
          <w:tcPr>
            <w:tcW w:w="2148" w:type="dxa"/>
            <w:vMerge w:val="restart"/>
            <w:vAlign w:val="center"/>
          </w:tcPr>
          <w:p w:rsidR="008E096B" w:rsidRPr="00CB6E4F" w:rsidRDefault="008E096B" w:rsidP="00AD5F8C">
            <w:pPr>
              <w:pStyle w:val="Tablehead"/>
              <w:rPr>
                <w:sz w:val="20"/>
                <w:lang w:val="es-ES"/>
              </w:rPr>
            </w:pPr>
            <w:r w:rsidRPr="00CB6E4F">
              <w:rPr>
                <w:sz w:val="20"/>
                <w:lang w:val="es-ES"/>
              </w:rPr>
              <w:t>Parámetros</w:t>
            </w:r>
          </w:p>
        </w:tc>
        <w:tc>
          <w:tcPr>
            <w:tcW w:w="1089" w:type="dxa"/>
            <w:vMerge w:val="restart"/>
            <w:vAlign w:val="center"/>
          </w:tcPr>
          <w:p w:rsidR="008E096B" w:rsidRPr="00CB6E4F" w:rsidRDefault="008E096B" w:rsidP="00AD5F8C">
            <w:pPr>
              <w:pStyle w:val="Tablehead"/>
              <w:rPr>
                <w:sz w:val="20"/>
                <w:lang w:val="es-ES"/>
              </w:rPr>
            </w:pPr>
            <w:r w:rsidRPr="00CB6E4F">
              <w:rPr>
                <w:sz w:val="20"/>
                <w:lang w:val="es-ES"/>
              </w:rPr>
              <w:t>Unidades</w:t>
            </w:r>
          </w:p>
        </w:tc>
        <w:tc>
          <w:tcPr>
            <w:tcW w:w="3517" w:type="dxa"/>
            <w:gridSpan w:val="2"/>
            <w:vAlign w:val="center"/>
          </w:tcPr>
          <w:p w:rsidR="008E096B" w:rsidRPr="00CB6E4F" w:rsidRDefault="008E096B" w:rsidP="00AD5F8C">
            <w:pPr>
              <w:pStyle w:val="Tablehead"/>
              <w:rPr>
                <w:sz w:val="20"/>
                <w:lang w:val="es-ES"/>
              </w:rPr>
            </w:pPr>
            <w:r w:rsidRPr="00CB6E4F">
              <w:rPr>
                <w:sz w:val="20"/>
                <w:lang w:val="es-ES"/>
              </w:rPr>
              <w:t>Sistemas de tierra</w:t>
            </w:r>
          </w:p>
        </w:tc>
        <w:tc>
          <w:tcPr>
            <w:tcW w:w="6359" w:type="dxa"/>
            <w:gridSpan w:val="4"/>
            <w:vAlign w:val="center"/>
          </w:tcPr>
          <w:p w:rsidR="008E096B" w:rsidRPr="00CB6E4F" w:rsidRDefault="008E096B" w:rsidP="00AD5F8C">
            <w:pPr>
              <w:pStyle w:val="Tablehead"/>
              <w:rPr>
                <w:sz w:val="20"/>
                <w:lang w:val="es-ES"/>
              </w:rPr>
            </w:pPr>
            <w:r w:rsidRPr="00CB6E4F">
              <w:rPr>
                <w:sz w:val="20"/>
                <w:lang w:val="es-ES"/>
              </w:rPr>
              <w:t>Sistemas de barco</w:t>
            </w:r>
          </w:p>
        </w:tc>
        <w:tc>
          <w:tcPr>
            <w:tcW w:w="1346" w:type="dxa"/>
          </w:tcPr>
          <w:p w:rsidR="008E096B" w:rsidRPr="00CB6E4F" w:rsidRDefault="008E096B" w:rsidP="00AD5F8C">
            <w:pPr>
              <w:pStyle w:val="Tablehead"/>
              <w:rPr>
                <w:sz w:val="20"/>
                <w:lang w:val="es-ES"/>
              </w:rPr>
            </w:pPr>
            <w:r w:rsidRPr="00CB6E4F">
              <w:rPr>
                <w:sz w:val="20"/>
                <w:lang w:val="es-ES"/>
              </w:rPr>
              <w:t xml:space="preserve">Sistema </w:t>
            </w:r>
            <w:r w:rsidRPr="00CB6E4F">
              <w:rPr>
                <w:sz w:val="20"/>
                <w:lang w:val="es-ES"/>
              </w:rPr>
              <w:br/>
              <w:t>de aeronave</w:t>
            </w:r>
          </w:p>
        </w:tc>
      </w:tr>
      <w:tr w:rsidR="008E096B" w:rsidRPr="00CB6E4F" w:rsidTr="00CB6E4F">
        <w:trPr>
          <w:jc w:val="center"/>
        </w:trPr>
        <w:tc>
          <w:tcPr>
            <w:tcW w:w="2148" w:type="dxa"/>
            <w:vMerge/>
          </w:tcPr>
          <w:p w:rsidR="008E096B" w:rsidRPr="00CB6E4F" w:rsidRDefault="008E096B" w:rsidP="00AD5F8C">
            <w:pPr>
              <w:pStyle w:val="Tablehead"/>
              <w:rPr>
                <w:sz w:val="20"/>
                <w:lang w:val="es-ES"/>
              </w:rPr>
            </w:pPr>
          </w:p>
        </w:tc>
        <w:tc>
          <w:tcPr>
            <w:tcW w:w="1089" w:type="dxa"/>
            <w:vMerge/>
          </w:tcPr>
          <w:p w:rsidR="008E096B" w:rsidRPr="00CB6E4F" w:rsidRDefault="008E096B" w:rsidP="00AD5F8C">
            <w:pPr>
              <w:pStyle w:val="Tablehead"/>
              <w:rPr>
                <w:sz w:val="20"/>
                <w:lang w:val="es-ES"/>
              </w:rPr>
            </w:pPr>
          </w:p>
        </w:tc>
        <w:tc>
          <w:tcPr>
            <w:tcW w:w="1688" w:type="dxa"/>
          </w:tcPr>
          <w:p w:rsidR="008E096B" w:rsidRPr="00CB6E4F" w:rsidRDefault="008E096B" w:rsidP="00AD5F8C">
            <w:pPr>
              <w:pStyle w:val="Tablehead"/>
              <w:rPr>
                <w:sz w:val="20"/>
                <w:lang w:val="es-ES"/>
              </w:rPr>
            </w:pPr>
            <w:r w:rsidRPr="00CB6E4F">
              <w:rPr>
                <w:sz w:val="20"/>
                <w:lang w:val="es-ES"/>
              </w:rPr>
              <w:t>A</w:t>
            </w:r>
          </w:p>
        </w:tc>
        <w:tc>
          <w:tcPr>
            <w:tcW w:w="1829" w:type="dxa"/>
          </w:tcPr>
          <w:p w:rsidR="008E096B" w:rsidRPr="00CB6E4F" w:rsidRDefault="008E096B" w:rsidP="00AD5F8C">
            <w:pPr>
              <w:pStyle w:val="Tablehead"/>
              <w:rPr>
                <w:sz w:val="20"/>
                <w:lang w:val="es-ES"/>
              </w:rPr>
            </w:pPr>
            <w:r w:rsidRPr="00CB6E4F">
              <w:rPr>
                <w:sz w:val="20"/>
                <w:lang w:val="es-ES"/>
              </w:rPr>
              <w:t>B</w:t>
            </w:r>
          </w:p>
        </w:tc>
        <w:tc>
          <w:tcPr>
            <w:tcW w:w="2174" w:type="dxa"/>
          </w:tcPr>
          <w:p w:rsidR="008E096B" w:rsidRPr="00CB6E4F" w:rsidRDefault="008E096B" w:rsidP="00AD5F8C">
            <w:pPr>
              <w:pStyle w:val="Tablehead"/>
              <w:rPr>
                <w:sz w:val="20"/>
                <w:lang w:val="es-ES"/>
              </w:rPr>
            </w:pPr>
            <w:r w:rsidRPr="00CB6E4F">
              <w:rPr>
                <w:sz w:val="20"/>
                <w:lang w:val="es-ES"/>
              </w:rPr>
              <w:t>A</w:t>
            </w:r>
          </w:p>
        </w:tc>
        <w:tc>
          <w:tcPr>
            <w:tcW w:w="1395" w:type="dxa"/>
          </w:tcPr>
          <w:p w:rsidR="008E096B" w:rsidRPr="00CB6E4F" w:rsidRDefault="008E096B" w:rsidP="00AD5F8C">
            <w:pPr>
              <w:pStyle w:val="Tablehead"/>
              <w:rPr>
                <w:sz w:val="20"/>
                <w:lang w:val="es-ES"/>
              </w:rPr>
            </w:pPr>
            <w:r w:rsidRPr="00CB6E4F">
              <w:rPr>
                <w:sz w:val="20"/>
                <w:lang w:val="es-ES"/>
              </w:rPr>
              <w:t>B</w:t>
            </w:r>
          </w:p>
        </w:tc>
        <w:tc>
          <w:tcPr>
            <w:tcW w:w="1395" w:type="dxa"/>
          </w:tcPr>
          <w:p w:rsidR="008E096B" w:rsidRPr="00CB6E4F" w:rsidRDefault="008E096B" w:rsidP="00AD5F8C">
            <w:pPr>
              <w:pStyle w:val="Tablehead"/>
              <w:rPr>
                <w:sz w:val="20"/>
                <w:lang w:val="es-ES"/>
              </w:rPr>
            </w:pPr>
            <w:r w:rsidRPr="00CB6E4F">
              <w:rPr>
                <w:sz w:val="20"/>
                <w:lang w:val="es-ES"/>
              </w:rPr>
              <w:t>C</w:t>
            </w:r>
          </w:p>
        </w:tc>
        <w:tc>
          <w:tcPr>
            <w:tcW w:w="1395" w:type="dxa"/>
          </w:tcPr>
          <w:p w:rsidR="008E096B" w:rsidRPr="00CB6E4F" w:rsidRDefault="008E096B" w:rsidP="00AD5F8C">
            <w:pPr>
              <w:pStyle w:val="Tablehead"/>
              <w:rPr>
                <w:sz w:val="20"/>
                <w:lang w:val="es-ES"/>
              </w:rPr>
            </w:pPr>
            <w:r w:rsidRPr="00CB6E4F">
              <w:rPr>
                <w:sz w:val="20"/>
                <w:lang w:val="es-ES"/>
              </w:rPr>
              <w:t>D</w:t>
            </w:r>
          </w:p>
        </w:tc>
        <w:tc>
          <w:tcPr>
            <w:tcW w:w="1346" w:type="dxa"/>
          </w:tcPr>
          <w:p w:rsidR="008E096B" w:rsidRPr="00CB6E4F" w:rsidRDefault="008E096B" w:rsidP="00AD5F8C">
            <w:pPr>
              <w:pStyle w:val="Tablehead"/>
              <w:rPr>
                <w:sz w:val="20"/>
                <w:lang w:val="es-ES"/>
              </w:rPr>
            </w:pPr>
            <w:r w:rsidRPr="00CB6E4F">
              <w:rPr>
                <w:sz w:val="20"/>
                <w:lang w:val="es-ES"/>
              </w:rPr>
              <w:t>A</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Utilización</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 xml:space="preserve">Búsqueda en </w:t>
            </w:r>
            <w:r w:rsidRPr="00CB6E4F">
              <w:rPr>
                <w:sz w:val="20"/>
                <w:lang w:val="es-ES"/>
              </w:rPr>
              <w:br/>
              <w:t xml:space="preserve">la superficie </w:t>
            </w:r>
            <w:r w:rsidRPr="00CB6E4F">
              <w:rPr>
                <w:sz w:val="20"/>
                <w:lang w:val="es-ES"/>
              </w:rPr>
              <w:br/>
              <w:t>y en el aire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 xml:space="preserve">Búsqueda en </w:t>
            </w:r>
            <w:r w:rsidRPr="00CB6E4F">
              <w:rPr>
                <w:sz w:val="20"/>
                <w:lang w:val="es-ES"/>
              </w:rPr>
              <w:br/>
              <w:t>la superficie</w:t>
            </w:r>
          </w:p>
        </w:tc>
        <w:tc>
          <w:tcPr>
            <w:tcW w:w="6359" w:type="dxa"/>
            <w:gridSpan w:val="4"/>
            <w:vAlign w:val="center"/>
          </w:tcPr>
          <w:p w:rsidR="008E096B" w:rsidRPr="00CB6E4F" w:rsidRDefault="008E096B" w:rsidP="00AD5F8C">
            <w:pPr>
              <w:pStyle w:val="Tabletext"/>
              <w:jc w:val="center"/>
              <w:rPr>
                <w:sz w:val="20"/>
                <w:lang w:val="es-ES"/>
              </w:rPr>
            </w:pPr>
            <w:r w:rsidRPr="00CB6E4F">
              <w:rPr>
                <w:sz w:val="20"/>
                <w:lang w:val="es-ES"/>
              </w:rPr>
              <w:t>Búsqueda en la superficie y en el aire</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 xml:space="preserve">Búsqueda en </w:t>
            </w:r>
            <w:r w:rsidRPr="00CB6E4F">
              <w:rPr>
                <w:sz w:val="20"/>
                <w:lang w:val="es-ES"/>
              </w:rPr>
              <w:br/>
              <w:t xml:space="preserve">la superficie </w:t>
            </w:r>
            <w:r w:rsidRPr="00CB6E4F">
              <w:rPr>
                <w:sz w:val="20"/>
                <w:lang w:val="es-ES"/>
              </w:rPr>
              <w:br/>
              <w:t>y en el aire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Modulación</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P0N/Q3N</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P0N</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P0N</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Q7N</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P0N/Q7N</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Q7N</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Q7N</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Gama de sintonización</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GHz</w:t>
            </w:r>
          </w:p>
        </w:tc>
        <w:tc>
          <w:tcPr>
            <w:tcW w:w="3517" w:type="dxa"/>
            <w:gridSpan w:val="2"/>
            <w:vAlign w:val="center"/>
          </w:tcPr>
          <w:p w:rsidR="008E096B" w:rsidRPr="00CB6E4F" w:rsidRDefault="008E096B" w:rsidP="00AD5F8C">
            <w:pPr>
              <w:pStyle w:val="Tabletext"/>
              <w:jc w:val="center"/>
              <w:rPr>
                <w:sz w:val="20"/>
                <w:lang w:val="es-ES"/>
              </w:rPr>
            </w:pPr>
            <w:r w:rsidRPr="00CB6E4F">
              <w:rPr>
                <w:sz w:val="20"/>
                <w:lang w:val="es-ES"/>
              </w:rPr>
              <w:t>3,1-3,7</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3,5-3,7</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3,1-3,5</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3,1-3,5</w:t>
            </w:r>
          </w:p>
        </w:tc>
        <w:tc>
          <w:tcPr>
            <w:tcW w:w="1395" w:type="dxa"/>
            <w:vAlign w:val="center"/>
          </w:tcPr>
          <w:p w:rsidR="008E096B" w:rsidRPr="00CB6E4F" w:rsidRDefault="008E096B" w:rsidP="00AD5F8C">
            <w:pPr>
              <w:pStyle w:val="Tabletext"/>
              <w:jc w:val="center"/>
              <w:rPr>
                <w:sz w:val="20"/>
                <w:lang w:val="es-ES"/>
              </w:rPr>
            </w:pPr>
          </w:p>
        </w:tc>
        <w:tc>
          <w:tcPr>
            <w:tcW w:w="1346" w:type="dxa"/>
            <w:vAlign w:val="center"/>
          </w:tcPr>
          <w:p w:rsidR="008E096B" w:rsidRPr="00CB6E4F" w:rsidRDefault="008E096B" w:rsidP="00AD5F8C">
            <w:pPr>
              <w:pStyle w:val="Tabletext"/>
              <w:jc w:val="center"/>
              <w:rPr>
                <w:sz w:val="20"/>
                <w:lang w:val="es-ES"/>
              </w:rPr>
            </w:pPr>
            <w:r w:rsidRPr="00CB6E4F">
              <w:rPr>
                <w:sz w:val="20"/>
                <w:lang w:val="es-ES"/>
              </w:rPr>
              <w:t>3,1-3,7</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Potencia del transmisor entregada a la antena (valor de cresta)</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kW</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640</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1 000</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1 000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4 000-6 400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60-200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4-90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1 000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Anchura de impulsos</w:t>
            </w:r>
          </w:p>
        </w:tc>
        <w:tc>
          <w:tcPr>
            <w:tcW w:w="1089" w:type="dxa"/>
            <w:vAlign w:val="center"/>
          </w:tcPr>
          <w:p w:rsidR="008E096B" w:rsidRPr="00CB6E4F" w:rsidRDefault="008E096B" w:rsidP="00AD5F8C">
            <w:pPr>
              <w:pStyle w:val="Tabletext"/>
              <w:jc w:val="center"/>
              <w:rPr>
                <w:sz w:val="20"/>
                <w:lang w:val="es-ES"/>
              </w:rPr>
            </w:pPr>
            <w:r w:rsidRPr="00CB6E4F">
              <w:rPr>
                <w:rFonts w:ascii="Symbol" w:hAnsi="Symbol"/>
                <w:sz w:val="20"/>
              </w:rPr>
              <w:t></w:t>
            </w:r>
            <w:r w:rsidRPr="00CB6E4F">
              <w:rPr>
                <w:sz w:val="20"/>
                <w:lang w:val="es-ES"/>
              </w:rPr>
              <w:t>s</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160-1 000</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1,0-15</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0,25, 0,6</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6,4-51,2</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0,1-1 000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0,1-100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1,25</w:t>
            </w:r>
            <w:r w:rsidRPr="00CB6E4F">
              <w:rPr>
                <w:sz w:val="20"/>
                <w:vertAlign w:val="superscript"/>
                <w:lang w:val="es-ES"/>
              </w:rPr>
              <w:t>(1)</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Frecuencia de repetición</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kHz</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0,020-2</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0,536</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1,125</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0,152-6,0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0,3-10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0,5-10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2</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Relación de compresión</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48 000</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64-512</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Hasta 20 000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Hasta 400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250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Tipo de compresión</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CPFSK</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Ciclo de trabajo</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2-32</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0,005-0,8</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0,28, 0,67</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0,8-2,0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Max. 20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Max. 20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5</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Anchura de banda del transmisor (–3 dB)</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MHz</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25/300</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2</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4, 16,6</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4</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25</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3,15</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&gt; 30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Ganancia de la antena</w:t>
            </w:r>
          </w:p>
        </w:tc>
        <w:tc>
          <w:tcPr>
            <w:tcW w:w="1089" w:type="dxa"/>
            <w:vAlign w:val="center"/>
          </w:tcPr>
          <w:p w:rsidR="008E096B" w:rsidRPr="00CB6E4F" w:rsidRDefault="008E096B" w:rsidP="00AD5F8C">
            <w:pPr>
              <w:pStyle w:val="Tabletext"/>
              <w:jc w:val="center"/>
              <w:rPr>
                <w:sz w:val="20"/>
                <w:lang w:val="es-ES"/>
              </w:rPr>
            </w:pPr>
            <w:proofErr w:type="spellStart"/>
            <w:r w:rsidRPr="00CB6E4F">
              <w:rPr>
                <w:sz w:val="20"/>
                <w:lang w:val="es-ES"/>
              </w:rPr>
              <w:t>dBi</w:t>
            </w:r>
            <w:proofErr w:type="spellEnd"/>
          </w:p>
        </w:tc>
        <w:tc>
          <w:tcPr>
            <w:tcW w:w="1688" w:type="dxa"/>
            <w:vAlign w:val="center"/>
          </w:tcPr>
          <w:p w:rsidR="008E096B" w:rsidRPr="00CB6E4F" w:rsidRDefault="008E096B" w:rsidP="00AD5F8C">
            <w:pPr>
              <w:pStyle w:val="Tabletext"/>
              <w:jc w:val="center"/>
              <w:rPr>
                <w:sz w:val="20"/>
                <w:lang w:val="es-ES"/>
              </w:rPr>
            </w:pPr>
            <w:r w:rsidRPr="00CB6E4F">
              <w:rPr>
                <w:sz w:val="20"/>
                <w:lang w:val="es-ES"/>
              </w:rPr>
              <w:t>39</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40</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32</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42</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Hasta 40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Hasta 40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40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Tipo de antena</w:t>
            </w:r>
          </w:p>
        </w:tc>
        <w:tc>
          <w:tcPr>
            <w:tcW w:w="1089" w:type="dxa"/>
            <w:vAlign w:val="center"/>
          </w:tcPr>
          <w:p w:rsidR="008E096B" w:rsidRPr="00CB6E4F" w:rsidRDefault="008E096B" w:rsidP="00AD5F8C">
            <w:pPr>
              <w:pStyle w:val="Tabletext"/>
              <w:jc w:val="center"/>
              <w:rPr>
                <w:sz w:val="20"/>
                <w:lang w:val="es-ES"/>
              </w:rPr>
            </w:pPr>
          </w:p>
        </w:tc>
        <w:tc>
          <w:tcPr>
            <w:tcW w:w="3517" w:type="dxa"/>
            <w:gridSpan w:val="2"/>
            <w:vAlign w:val="center"/>
          </w:tcPr>
          <w:p w:rsidR="008E096B" w:rsidRPr="00CB6E4F" w:rsidRDefault="008E096B" w:rsidP="00AD5F8C">
            <w:pPr>
              <w:pStyle w:val="Tabletext"/>
              <w:jc w:val="center"/>
              <w:rPr>
                <w:sz w:val="20"/>
                <w:lang w:val="es-ES"/>
              </w:rPr>
            </w:pPr>
            <w:r w:rsidRPr="00CB6E4F">
              <w:rPr>
                <w:sz w:val="20"/>
                <w:lang w:val="es-ES"/>
              </w:rPr>
              <w:t>Parabólica</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Parabólica</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PA</w:t>
            </w:r>
          </w:p>
        </w:tc>
        <w:tc>
          <w:tcPr>
            <w:tcW w:w="1395" w:type="dxa"/>
            <w:vAlign w:val="center"/>
          </w:tcPr>
          <w:p w:rsidR="008E096B" w:rsidRPr="00CB6E4F" w:rsidRDefault="008E096B" w:rsidP="00AD5F8C">
            <w:pPr>
              <w:pStyle w:val="Tabletext"/>
              <w:jc w:val="center"/>
              <w:rPr>
                <w:sz w:val="20"/>
                <w:lang w:val="es-ES"/>
              </w:rPr>
            </w:pPr>
          </w:p>
        </w:tc>
        <w:tc>
          <w:tcPr>
            <w:tcW w:w="1395" w:type="dxa"/>
            <w:vAlign w:val="center"/>
          </w:tcPr>
          <w:p w:rsidR="008E096B" w:rsidRPr="00CB6E4F" w:rsidRDefault="008E096B" w:rsidP="00AD5F8C">
            <w:pPr>
              <w:pStyle w:val="Tabletext"/>
              <w:jc w:val="center"/>
              <w:rPr>
                <w:sz w:val="20"/>
                <w:lang w:val="es-ES"/>
              </w:rPr>
            </w:pPr>
          </w:p>
        </w:tc>
        <w:tc>
          <w:tcPr>
            <w:tcW w:w="1346" w:type="dxa"/>
            <w:vAlign w:val="center"/>
          </w:tcPr>
          <w:p w:rsidR="008E096B" w:rsidRPr="00CB6E4F" w:rsidRDefault="008E096B" w:rsidP="00AD5F8C">
            <w:pPr>
              <w:pStyle w:val="Tabletext"/>
              <w:jc w:val="center"/>
              <w:rPr>
                <w:sz w:val="20"/>
                <w:lang w:val="es-ES"/>
              </w:rPr>
            </w:pPr>
            <w:r w:rsidRPr="00CB6E4F">
              <w:rPr>
                <w:sz w:val="20"/>
                <w:lang w:val="es-ES"/>
              </w:rPr>
              <w:t>-SWA</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Abertura del haz (H,V)</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grados</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1,72</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1,05, 2,2</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1,75, 4,4, csc</w:t>
            </w:r>
            <w:r w:rsidRPr="00CB6E4F">
              <w:rPr>
                <w:sz w:val="20"/>
                <w:vertAlign w:val="superscript"/>
                <w:lang w:val="es-ES"/>
              </w:rPr>
              <w:t>2</w:t>
            </w:r>
            <w:r w:rsidRPr="00CB6E4F">
              <w:rPr>
                <w:sz w:val="20"/>
                <w:lang w:val="es-ES"/>
              </w:rPr>
              <w:t xml:space="preserve"> a 30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1,7, 1,7</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1,1-5, 1,1-5</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1,5-6, 4-20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1,2, 6,0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Tipo de exploración vertical</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Aleatoria</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bl>
    <w:p w:rsidR="003B292A" w:rsidRDefault="003B292A" w:rsidP="00CB6E4F">
      <w:pPr>
        <w:pStyle w:val="TableNo"/>
        <w:spacing w:before="240"/>
        <w:rPr>
          <w:lang w:val="es-ES_tradnl"/>
        </w:rPr>
      </w:pPr>
      <w:r w:rsidRPr="00497FE1">
        <w:rPr>
          <w:lang w:val="es-ES_tradnl"/>
        </w:rPr>
        <w:lastRenderedPageBreak/>
        <w:t>CUADRO 1</w:t>
      </w:r>
      <w:r>
        <w:rPr>
          <w:lang w:val="es-ES_tradnl"/>
        </w:rPr>
        <w:t xml:space="preserve"> (</w:t>
      </w:r>
      <w:r>
        <w:rPr>
          <w:i/>
          <w:iCs/>
          <w:lang w:val="es-ES_tradnl"/>
        </w:rPr>
        <w:t>cont.</w:t>
      </w:r>
      <w:r>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089"/>
        <w:gridCol w:w="1688"/>
        <w:gridCol w:w="1829"/>
        <w:gridCol w:w="2174"/>
        <w:gridCol w:w="1395"/>
        <w:gridCol w:w="1395"/>
        <w:gridCol w:w="1395"/>
        <w:gridCol w:w="1346"/>
      </w:tblGrid>
      <w:tr w:rsidR="00BF3DFE" w:rsidRPr="00CB6E4F" w:rsidTr="00CB6E4F">
        <w:trPr>
          <w:jc w:val="center"/>
        </w:trPr>
        <w:tc>
          <w:tcPr>
            <w:tcW w:w="2148" w:type="dxa"/>
            <w:vMerge w:val="restart"/>
            <w:vAlign w:val="center"/>
          </w:tcPr>
          <w:p w:rsidR="00BF3DFE" w:rsidRPr="00CB6E4F" w:rsidRDefault="00BF3DFE" w:rsidP="00AD5F8C">
            <w:pPr>
              <w:pStyle w:val="Tablehead"/>
              <w:rPr>
                <w:sz w:val="20"/>
                <w:lang w:val="es-ES"/>
              </w:rPr>
            </w:pPr>
            <w:r w:rsidRPr="00CB6E4F">
              <w:rPr>
                <w:sz w:val="20"/>
                <w:lang w:val="es-ES"/>
              </w:rPr>
              <w:t>Parámetros</w:t>
            </w:r>
          </w:p>
        </w:tc>
        <w:tc>
          <w:tcPr>
            <w:tcW w:w="1089" w:type="dxa"/>
            <w:vMerge w:val="restart"/>
            <w:vAlign w:val="center"/>
          </w:tcPr>
          <w:p w:rsidR="00BF3DFE" w:rsidRPr="00CB6E4F" w:rsidRDefault="00BF3DFE" w:rsidP="00AD5F8C">
            <w:pPr>
              <w:pStyle w:val="Tablehead"/>
              <w:rPr>
                <w:sz w:val="20"/>
                <w:lang w:val="es-ES"/>
              </w:rPr>
            </w:pPr>
            <w:r w:rsidRPr="00CB6E4F">
              <w:rPr>
                <w:sz w:val="20"/>
                <w:lang w:val="es-ES"/>
              </w:rPr>
              <w:t>Unidades</w:t>
            </w:r>
          </w:p>
        </w:tc>
        <w:tc>
          <w:tcPr>
            <w:tcW w:w="3517" w:type="dxa"/>
            <w:gridSpan w:val="2"/>
            <w:vAlign w:val="center"/>
          </w:tcPr>
          <w:p w:rsidR="00BF3DFE" w:rsidRPr="00CB6E4F" w:rsidRDefault="00BF3DFE" w:rsidP="00AD5F8C">
            <w:pPr>
              <w:pStyle w:val="Tablehead"/>
              <w:rPr>
                <w:sz w:val="20"/>
                <w:lang w:val="es-ES"/>
              </w:rPr>
            </w:pPr>
            <w:r w:rsidRPr="00CB6E4F">
              <w:rPr>
                <w:sz w:val="20"/>
                <w:lang w:val="es-ES"/>
              </w:rPr>
              <w:t>Sistemas de tierra</w:t>
            </w:r>
          </w:p>
        </w:tc>
        <w:tc>
          <w:tcPr>
            <w:tcW w:w="6359" w:type="dxa"/>
            <w:gridSpan w:val="4"/>
            <w:vAlign w:val="center"/>
          </w:tcPr>
          <w:p w:rsidR="00BF3DFE" w:rsidRPr="00CB6E4F" w:rsidRDefault="00BF3DFE" w:rsidP="00AD5F8C">
            <w:pPr>
              <w:pStyle w:val="Tablehead"/>
              <w:rPr>
                <w:sz w:val="20"/>
                <w:lang w:val="es-ES"/>
              </w:rPr>
            </w:pPr>
            <w:r w:rsidRPr="00CB6E4F">
              <w:rPr>
                <w:sz w:val="20"/>
                <w:lang w:val="es-ES"/>
              </w:rPr>
              <w:t>Sistemas de barco</w:t>
            </w:r>
          </w:p>
        </w:tc>
        <w:tc>
          <w:tcPr>
            <w:tcW w:w="1346" w:type="dxa"/>
          </w:tcPr>
          <w:p w:rsidR="00BF3DFE" w:rsidRPr="00CB6E4F" w:rsidRDefault="00BF3DFE" w:rsidP="00AD5F8C">
            <w:pPr>
              <w:pStyle w:val="Tablehead"/>
              <w:rPr>
                <w:sz w:val="20"/>
                <w:lang w:val="es-ES"/>
              </w:rPr>
            </w:pPr>
            <w:r w:rsidRPr="00CB6E4F">
              <w:rPr>
                <w:sz w:val="20"/>
                <w:lang w:val="es-ES"/>
              </w:rPr>
              <w:t xml:space="preserve">Sistema </w:t>
            </w:r>
            <w:r w:rsidRPr="00CB6E4F">
              <w:rPr>
                <w:sz w:val="20"/>
                <w:lang w:val="es-ES"/>
              </w:rPr>
              <w:br/>
              <w:t>de aeronave</w:t>
            </w:r>
          </w:p>
        </w:tc>
      </w:tr>
      <w:tr w:rsidR="00BF3DFE" w:rsidRPr="00CB6E4F" w:rsidTr="00CB6E4F">
        <w:trPr>
          <w:jc w:val="center"/>
        </w:trPr>
        <w:tc>
          <w:tcPr>
            <w:tcW w:w="2148" w:type="dxa"/>
            <w:vMerge/>
          </w:tcPr>
          <w:p w:rsidR="00BF3DFE" w:rsidRPr="00CB6E4F" w:rsidRDefault="00BF3DFE" w:rsidP="00AD5F8C">
            <w:pPr>
              <w:pStyle w:val="Tablehead"/>
              <w:rPr>
                <w:sz w:val="20"/>
                <w:lang w:val="es-ES"/>
              </w:rPr>
            </w:pPr>
          </w:p>
        </w:tc>
        <w:tc>
          <w:tcPr>
            <w:tcW w:w="1089" w:type="dxa"/>
            <w:vMerge/>
          </w:tcPr>
          <w:p w:rsidR="00BF3DFE" w:rsidRPr="00CB6E4F" w:rsidRDefault="00BF3DFE" w:rsidP="00AD5F8C">
            <w:pPr>
              <w:pStyle w:val="Tablehead"/>
              <w:rPr>
                <w:sz w:val="20"/>
                <w:lang w:val="es-ES"/>
              </w:rPr>
            </w:pPr>
          </w:p>
        </w:tc>
        <w:tc>
          <w:tcPr>
            <w:tcW w:w="1688" w:type="dxa"/>
          </w:tcPr>
          <w:p w:rsidR="00BF3DFE" w:rsidRPr="00CB6E4F" w:rsidRDefault="00BF3DFE" w:rsidP="00AD5F8C">
            <w:pPr>
              <w:pStyle w:val="Tablehead"/>
              <w:rPr>
                <w:sz w:val="20"/>
                <w:lang w:val="es-ES"/>
              </w:rPr>
            </w:pPr>
            <w:r w:rsidRPr="00CB6E4F">
              <w:rPr>
                <w:sz w:val="20"/>
                <w:lang w:val="es-ES"/>
              </w:rPr>
              <w:t>A</w:t>
            </w:r>
          </w:p>
        </w:tc>
        <w:tc>
          <w:tcPr>
            <w:tcW w:w="1829" w:type="dxa"/>
          </w:tcPr>
          <w:p w:rsidR="00BF3DFE" w:rsidRPr="00CB6E4F" w:rsidRDefault="00BF3DFE" w:rsidP="00AD5F8C">
            <w:pPr>
              <w:pStyle w:val="Tablehead"/>
              <w:rPr>
                <w:sz w:val="20"/>
                <w:lang w:val="es-ES"/>
              </w:rPr>
            </w:pPr>
            <w:r w:rsidRPr="00CB6E4F">
              <w:rPr>
                <w:sz w:val="20"/>
                <w:lang w:val="es-ES"/>
              </w:rPr>
              <w:t>B</w:t>
            </w:r>
          </w:p>
        </w:tc>
        <w:tc>
          <w:tcPr>
            <w:tcW w:w="2174" w:type="dxa"/>
          </w:tcPr>
          <w:p w:rsidR="00BF3DFE" w:rsidRPr="00CB6E4F" w:rsidRDefault="00BF3DFE" w:rsidP="00AD5F8C">
            <w:pPr>
              <w:pStyle w:val="Tablehead"/>
              <w:rPr>
                <w:sz w:val="20"/>
                <w:lang w:val="es-ES"/>
              </w:rPr>
            </w:pPr>
            <w:r w:rsidRPr="00CB6E4F">
              <w:rPr>
                <w:sz w:val="20"/>
                <w:lang w:val="es-ES"/>
              </w:rPr>
              <w:t>A</w:t>
            </w:r>
          </w:p>
        </w:tc>
        <w:tc>
          <w:tcPr>
            <w:tcW w:w="1395" w:type="dxa"/>
          </w:tcPr>
          <w:p w:rsidR="00BF3DFE" w:rsidRPr="00CB6E4F" w:rsidRDefault="00BF3DFE" w:rsidP="00AD5F8C">
            <w:pPr>
              <w:pStyle w:val="Tablehead"/>
              <w:rPr>
                <w:sz w:val="20"/>
                <w:lang w:val="es-ES"/>
              </w:rPr>
            </w:pPr>
            <w:r w:rsidRPr="00CB6E4F">
              <w:rPr>
                <w:sz w:val="20"/>
                <w:lang w:val="es-ES"/>
              </w:rPr>
              <w:t>B</w:t>
            </w:r>
          </w:p>
        </w:tc>
        <w:tc>
          <w:tcPr>
            <w:tcW w:w="1395" w:type="dxa"/>
          </w:tcPr>
          <w:p w:rsidR="00BF3DFE" w:rsidRPr="00CB6E4F" w:rsidRDefault="00BF3DFE" w:rsidP="00AD5F8C">
            <w:pPr>
              <w:pStyle w:val="Tablehead"/>
              <w:rPr>
                <w:sz w:val="20"/>
                <w:lang w:val="es-ES"/>
              </w:rPr>
            </w:pPr>
            <w:r w:rsidRPr="00CB6E4F">
              <w:rPr>
                <w:sz w:val="20"/>
                <w:lang w:val="es-ES"/>
              </w:rPr>
              <w:t>C</w:t>
            </w:r>
          </w:p>
        </w:tc>
        <w:tc>
          <w:tcPr>
            <w:tcW w:w="1395" w:type="dxa"/>
          </w:tcPr>
          <w:p w:rsidR="00BF3DFE" w:rsidRPr="00CB6E4F" w:rsidRDefault="00BF3DFE" w:rsidP="00AD5F8C">
            <w:pPr>
              <w:pStyle w:val="Tablehead"/>
              <w:rPr>
                <w:sz w:val="20"/>
                <w:lang w:val="es-ES"/>
              </w:rPr>
            </w:pPr>
            <w:r w:rsidRPr="00CB6E4F">
              <w:rPr>
                <w:sz w:val="20"/>
                <w:lang w:val="es-ES"/>
              </w:rPr>
              <w:t>D</w:t>
            </w:r>
          </w:p>
        </w:tc>
        <w:tc>
          <w:tcPr>
            <w:tcW w:w="1346" w:type="dxa"/>
          </w:tcPr>
          <w:p w:rsidR="00BF3DFE" w:rsidRPr="00CB6E4F" w:rsidRDefault="00BF3DFE" w:rsidP="00AD5F8C">
            <w:pPr>
              <w:pStyle w:val="Tablehead"/>
              <w:rPr>
                <w:sz w:val="20"/>
                <w:lang w:val="es-ES"/>
              </w:rPr>
            </w:pPr>
            <w:r w:rsidRPr="00CB6E4F">
              <w:rPr>
                <w:sz w:val="20"/>
                <w:lang w:val="es-ES"/>
              </w:rPr>
              <w:t>A</w:t>
            </w:r>
          </w:p>
        </w:tc>
      </w:tr>
      <w:tr w:rsidR="00CB6E4F" w:rsidRPr="00CB6E4F" w:rsidTr="003D726E">
        <w:trPr>
          <w:jc w:val="center"/>
        </w:trPr>
        <w:tc>
          <w:tcPr>
            <w:tcW w:w="2148" w:type="dxa"/>
          </w:tcPr>
          <w:p w:rsidR="00CB6E4F" w:rsidRPr="00CB6E4F" w:rsidRDefault="00CB6E4F" w:rsidP="00AD5F8C">
            <w:pPr>
              <w:pStyle w:val="Tabletext"/>
              <w:jc w:val="left"/>
              <w:rPr>
                <w:sz w:val="20"/>
                <w:lang w:val="es-ES"/>
              </w:rPr>
            </w:pPr>
            <w:r w:rsidRPr="00CB6E4F">
              <w:rPr>
                <w:sz w:val="20"/>
                <w:lang w:val="es-ES"/>
              </w:rPr>
              <w:t>Máxima exploración vertical</w:t>
            </w:r>
          </w:p>
        </w:tc>
        <w:tc>
          <w:tcPr>
            <w:tcW w:w="1089" w:type="dxa"/>
            <w:vAlign w:val="center"/>
          </w:tcPr>
          <w:p w:rsidR="00CB6E4F" w:rsidRPr="00CB6E4F" w:rsidRDefault="00CB6E4F" w:rsidP="00AD5F8C">
            <w:pPr>
              <w:pStyle w:val="Tabletext"/>
              <w:jc w:val="center"/>
              <w:rPr>
                <w:sz w:val="20"/>
                <w:lang w:val="es-ES"/>
              </w:rPr>
            </w:pPr>
            <w:r w:rsidRPr="00CB6E4F">
              <w:rPr>
                <w:sz w:val="20"/>
                <w:lang w:val="es-ES"/>
              </w:rPr>
              <w:t>grados</w:t>
            </w:r>
          </w:p>
        </w:tc>
        <w:tc>
          <w:tcPr>
            <w:tcW w:w="1688" w:type="dxa"/>
            <w:vAlign w:val="center"/>
          </w:tcPr>
          <w:p w:rsidR="00CB6E4F" w:rsidRPr="00CB6E4F" w:rsidRDefault="00CB6E4F" w:rsidP="00AD5F8C">
            <w:pPr>
              <w:pStyle w:val="Tabletext"/>
              <w:jc w:val="center"/>
              <w:rPr>
                <w:sz w:val="20"/>
                <w:lang w:val="es-ES"/>
              </w:rPr>
            </w:pPr>
            <w:r w:rsidRPr="00CB6E4F">
              <w:rPr>
                <w:sz w:val="20"/>
                <w:lang w:val="es-ES"/>
              </w:rPr>
              <w:t>93,5</w:t>
            </w:r>
          </w:p>
        </w:tc>
        <w:tc>
          <w:tcPr>
            <w:tcW w:w="1829" w:type="dxa"/>
            <w:vAlign w:val="center"/>
          </w:tcPr>
          <w:p w:rsidR="00CB6E4F" w:rsidRPr="00CB6E4F" w:rsidRDefault="00CB6E4F" w:rsidP="00AD5F8C">
            <w:pPr>
              <w:pStyle w:val="Tabletext"/>
              <w:jc w:val="center"/>
              <w:rPr>
                <w:sz w:val="20"/>
                <w:lang w:val="es-ES"/>
              </w:rPr>
            </w:pPr>
            <w:r w:rsidRPr="00CB6E4F">
              <w:rPr>
                <w:sz w:val="20"/>
                <w:lang w:val="es-ES"/>
              </w:rPr>
              <w:t>No aplicable</w:t>
            </w:r>
          </w:p>
        </w:tc>
        <w:tc>
          <w:tcPr>
            <w:tcW w:w="2174" w:type="dxa"/>
            <w:vAlign w:val="center"/>
          </w:tcPr>
          <w:p w:rsidR="00CB6E4F" w:rsidRPr="00CB6E4F" w:rsidRDefault="00CB6E4F" w:rsidP="00AD5F8C">
            <w:pPr>
              <w:pStyle w:val="Tabletext"/>
              <w:jc w:val="center"/>
              <w:rPr>
                <w:sz w:val="20"/>
                <w:lang w:val="es-ES"/>
              </w:rPr>
            </w:pPr>
            <w:r w:rsidRPr="00CB6E4F">
              <w:rPr>
                <w:sz w:val="20"/>
                <w:lang w:val="es-ES"/>
              </w:rPr>
              <w:t>No aplicable</w:t>
            </w:r>
          </w:p>
        </w:tc>
        <w:tc>
          <w:tcPr>
            <w:tcW w:w="1395" w:type="dxa"/>
            <w:vAlign w:val="center"/>
          </w:tcPr>
          <w:p w:rsidR="00CB6E4F" w:rsidRPr="00CB6E4F" w:rsidRDefault="00CB6E4F" w:rsidP="00AD5F8C">
            <w:pPr>
              <w:pStyle w:val="Tabletext"/>
              <w:jc w:val="center"/>
              <w:rPr>
                <w:sz w:val="20"/>
                <w:lang w:val="es-ES"/>
              </w:rPr>
            </w:pPr>
            <w:r w:rsidRPr="00CB6E4F">
              <w:rPr>
                <w:sz w:val="20"/>
                <w:lang w:val="es-ES"/>
              </w:rPr>
              <w:t>90</w:t>
            </w:r>
          </w:p>
        </w:tc>
        <w:tc>
          <w:tcPr>
            <w:tcW w:w="1395" w:type="dxa"/>
            <w:vAlign w:val="center"/>
          </w:tcPr>
          <w:p w:rsidR="00CB6E4F" w:rsidRPr="00CB6E4F" w:rsidRDefault="00CB6E4F" w:rsidP="00AD5F8C">
            <w:pPr>
              <w:pStyle w:val="Tabletext"/>
              <w:jc w:val="center"/>
              <w:rPr>
                <w:sz w:val="20"/>
                <w:lang w:val="es-ES"/>
              </w:rPr>
            </w:pPr>
            <w:r w:rsidRPr="00CB6E4F">
              <w:rPr>
                <w:sz w:val="20"/>
                <w:lang w:val="es-ES"/>
              </w:rPr>
              <w:t>90</w:t>
            </w:r>
          </w:p>
        </w:tc>
        <w:tc>
          <w:tcPr>
            <w:tcW w:w="1395" w:type="dxa"/>
            <w:vAlign w:val="center"/>
          </w:tcPr>
          <w:p w:rsidR="00CB6E4F" w:rsidRPr="00CB6E4F" w:rsidRDefault="00CB6E4F" w:rsidP="00AD5F8C">
            <w:pPr>
              <w:pStyle w:val="Tabletext"/>
              <w:jc w:val="center"/>
              <w:rPr>
                <w:sz w:val="20"/>
                <w:lang w:val="es-ES"/>
              </w:rPr>
            </w:pPr>
            <w:r w:rsidRPr="00CB6E4F">
              <w:rPr>
                <w:sz w:val="20"/>
                <w:lang w:val="es-ES"/>
              </w:rPr>
              <w:t>90</w:t>
            </w:r>
          </w:p>
        </w:tc>
        <w:tc>
          <w:tcPr>
            <w:tcW w:w="1346" w:type="dxa"/>
            <w:vAlign w:val="center"/>
          </w:tcPr>
          <w:p w:rsidR="00CB6E4F" w:rsidRPr="00CB6E4F" w:rsidRDefault="00CB6E4F" w:rsidP="00AD5F8C">
            <w:pPr>
              <w:pStyle w:val="Tabletext"/>
              <w:jc w:val="center"/>
              <w:rPr>
                <w:sz w:val="20"/>
                <w:lang w:val="es-ES"/>
              </w:rPr>
            </w:pPr>
            <w:r w:rsidRPr="00CB6E4F">
              <w:rPr>
                <w:rFonts w:ascii="Symbol" w:hAnsi="Symbol"/>
                <w:sz w:val="20"/>
              </w:rPr>
              <w:t></w:t>
            </w:r>
            <w:r w:rsidRPr="00CB6E4F">
              <w:rPr>
                <w:sz w:val="20"/>
                <w:lang w:val="es-ES"/>
              </w:rPr>
              <w:t>60</w:t>
            </w:r>
          </w:p>
        </w:tc>
      </w:tr>
      <w:tr w:rsidR="00CB6E4F" w:rsidRPr="00CB6E4F" w:rsidTr="003D726E">
        <w:trPr>
          <w:jc w:val="center"/>
        </w:trPr>
        <w:tc>
          <w:tcPr>
            <w:tcW w:w="2148" w:type="dxa"/>
          </w:tcPr>
          <w:p w:rsidR="00CB6E4F" w:rsidRPr="00CB6E4F" w:rsidRDefault="00CB6E4F" w:rsidP="00AD5F8C">
            <w:pPr>
              <w:pStyle w:val="Tabletext"/>
              <w:jc w:val="left"/>
              <w:rPr>
                <w:sz w:val="20"/>
                <w:lang w:val="es-ES"/>
              </w:rPr>
            </w:pPr>
            <w:r w:rsidRPr="00CB6E4F">
              <w:rPr>
                <w:sz w:val="20"/>
                <w:lang w:val="es-ES"/>
              </w:rPr>
              <w:t>Velocidad de exploración vertical</w:t>
            </w:r>
          </w:p>
        </w:tc>
        <w:tc>
          <w:tcPr>
            <w:tcW w:w="1089" w:type="dxa"/>
            <w:vAlign w:val="center"/>
          </w:tcPr>
          <w:p w:rsidR="00CB6E4F" w:rsidRPr="00CB6E4F" w:rsidRDefault="00CB6E4F" w:rsidP="00AD5F8C">
            <w:pPr>
              <w:pStyle w:val="Tabletext"/>
              <w:jc w:val="center"/>
              <w:rPr>
                <w:sz w:val="20"/>
                <w:lang w:val="es-ES"/>
              </w:rPr>
            </w:pPr>
            <w:r w:rsidRPr="00CB6E4F">
              <w:rPr>
                <w:sz w:val="20"/>
                <w:lang w:val="es-ES"/>
              </w:rPr>
              <w:t>grados/s</w:t>
            </w:r>
          </w:p>
        </w:tc>
        <w:tc>
          <w:tcPr>
            <w:tcW w:w="1688" w:type="dxa"/>
            <w:vAlign w:val="center"/>
          </w:tcPr>
          <w:p w:rsidR="00CB6E4F" w:rsidRPr="00CB6E4F" w:rsidRDefault="00CB6E4F" w:rsidP="00AD5F8C">
            <w:pPr>
              <w:pStyle w:val="Tabletext"/>
              <w:jc w:val="center"/>
              <w:rPr>
                <w:sz w:val="20"/>
                <w:lang w:val="es-ES"/>
              </w:rPr>
            </w:pPr>
            <w:r w:rsidRPr="00CB6E4F">
              <w:rPr>
                <w:sz w:val="20"/>
                <w:lang w:val="es-ES"/>
              </w:rPr>
              <w:t>15</w:t>
            </w:r>
          </w:p>
        </w:tc>
        <w:tc>
          <w:tcPr>
            <w:tcW w:w="1829" w:type="dxa"/>
            <w:vAlign w:val="center"/>
          </w:tcPr>
          <w:p w:rsidR="00CB6E4F" w:rsidRPr="00CB6E4F" w:rsidRDefault="00CB6E4F" w:rsidP="00AD5F8C">
            <w:pPr>
              <w:pStyle w:val="Tabletext"/>
              <w:jc w:val="center"/>
              <w:rPr>
                <w:sz w:val="20"/>
                <w:lang w:val="es-ES"/>
              </w:rPr>
            </w:pPr>
            <w:r w:rsidRPr="00CB6E4F">
              <w:rPr>
                <w:sz w:val="20"/>
                <w:lang w:val="es-ES"/>
              </w:rPr>
              <w:t>No aplicable</w:t>
            </w:r>
          </w:p>
        </w:tc>
        <w:tc>
          <w:tcPr>
            <w:tcW w:w="3569" w:type="dxa"/>
            <w:gridSpan w:val="2"/>
            <w:vAlign w:val="center"/>
          </w:tcPr>
          <w:p w:rsidR="00CB6E4F" w:rsidRPr="00CB6E4F" w:rsidRDefault="00CB6E4F" w:rsidP="00AD5F8C">
            <w:pPr>
              <w:pStyle w:val="Tabletext"/>
              <w:jc w:val="center"/>
              <w:rPr>
                <w:sz w:val="20"/>
                <w:lang w:val="es-ES"/>
              </w:rPr>
            </w:pPr>
            <w:r w:rsidRPr="00CB6E4F">
              <w:rPr>
                <w:sz w:val="20"/>
                <w:lang w:val="es-ES"/>
              </w:rPr>
              <w:t>No aplicable</w:t>
            </w:r>
          </w:p>
        </w:tc>
        <w:tc>
          <w:tcPr>
            <w:tcW w:w="1395" w:type="dxa"/>
            <w:vAlign w:val="center"/>
          </w:tcPr>
          <w:p w:rsidR="00CB6E4F" w:rsidRPr="00CB6E4F" w:rsidRDefault="00CB6E4F" w:rsidP="00AD5F8C">
            <w:pPr>
              <w:pStyle w:val="Tabletext"/>
              <w:jc w:val="center"/>
              <w:rPr>
                <w:sz w:val="20"/>
                <w:lang w:val="es-ES"/>
              </w:rPr>
            </w:pPr>
            <w:r w:rsidRPr="00CB6E4F">
              <w:rPr>
                <w:sz w:val="20"/>
                <w:lang w:val="es-ES"/>
              </w:rPr>
              <w:t>Instantánea</w:t>
            </w:r>
          </w:p>
        </w:tc>
        <w:tc>
          <w:tcPr>
            <w:tcW w:w="1395" w:type="dxa"/>
            <w:vAlign w:val="center"/>
          </w:tcPr>
          <w:p w:rsidR="00CB6E4F" w:rsidRPr="00CB6E4F" w:rsidRDefault="00CB6E4F" w:rsidP="00AD5F8C">
            <w:pPr>
              <w:pStyle w:val="Tabletext"/>
              <w:jc w:val="center"/>
              <w:rPr>
                <w:sz w:val="20"/>
                <w:lang w:val="es-ES"/>
              </w:rPr>
            </w:pPr>
          </w:p>
        </w:tc>
        <w:tc>
          <w:tcPr>
            <w:tcW w:w="1346" w:type="dxa"/>
            <w:vAlign w:val="center"/>
          </w:tcPr>
          <w:p w:rsidR="00CB6E4F" w:rsidRPr="00CB6E4F" w:rsidRDefault="00CB6E4F"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Tipo de exploración horizontal</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Giratoria</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Giratoria</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Aleatoria</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Continua</w:t>
            </w:r>
            <w:r w:rsidRPr="00CB6E4F">
              <w:rPr>
                <w:sz w:val="20"/>
                <w:lang w:val="es-ES"/>
              </w:rPr>
              <w:br/>
              <w:t>360 + sector</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Continua</w:t>
            </w:r>
            <w:r w:rsidRPr="00CB6E4F">
              <w:rPr>
                <w:sz w:val="20"/>
                <w:lang w:val="es-ES"/>
              </w:rPr>
              <w:br/>
              <w:t>360 + sector</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Giratoria</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Máxima exploración horizontal</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grados</w:t>
            </w:r>
          </w:p>
        </w:tc>
        <w:tc>
          <w:tcPr>
            <w:tcW w:w="3517" w:type="dxa"/>
            <w:gridSpan w:val="2"/>
            <w:vAlign w:val="center"/>
          </w:tcPr>
          <w:p w:rsidR="008E096B" w:rsidRPr="00CB6E4F" w:rsidRDefault="008E096B" w:rsidP="00AD5F8C">
            <w:pPr>
              <w:pStyle w:val="Tabletext"/>
              <w:jc w:val="center"/>
              <w:rPr>
                <w:sz w:val="20"/>
                <w:lang w:val="es-ES"/>
              </w:rPr>
            </w:pPr>
            <w:r w:rsidRPr="00CB6E4F">
              <w:rPr>
                <w:sz w:val="20"/>
                <w:lang w:val="es-ES"/>
              </w:rPr>
              <w:t>360</w:t>
            </w:r>
          </w:p>
        </w:tc>
        <w:tc>
          <w:tcPr>
            <w:tcW w:w="4964" w:type="dxa"/>
            <w:gridSpan w:val="3"/>
            <w:vAlign w:val="center"/>
          </w:tcPr>
          <w:p w:rsidR="008E096B" w:rsidRPr="00CB6E4F" w:rsidRDefault="008E096B" w:rsidP="00AD5F8C">
            <w:pPr>
              <w:pStyle w:val="Tabletext"/>
              <w:jc w:val="center"/>
              <w:rPr>
                <w:sz w:val="20"/>
                <w:lang w:val="es-ES"/>
              </w:rPr>
            </w:pPr>
            <w:r w:rsidRPr="00CB6E4F">
              <w:rPr>
                <w:sz w:val="20"/>
                <w:lang w:val="es-ES"/>
              </w:rPr>
              <w:t>360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360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360</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Velocidad de exploración horizontal</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grados/s</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15</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25,7</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24</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30-360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50-180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36</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Polarización</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RHCP</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V</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H</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V</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V</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Sensibilidad del receptor</w:t>
            </w:r>
          </w:p>
        </w:tc>
        <w:tc>
          <w:tcPr>
            <w:tcW w:w="1089" w:type="dxa"/>
            <w:vAlign w:val="center"/>
          </w:tcPr>
          <w:p w:rsidR="008E096B" w:rsidRPr="00CB6E4F" w:rsidRDefault="008E096B" w:rsidP="00AD5F8C">
            <w:pPr>
              <w:pStyle w:val="Tabletext"/>
              <w:jc w:val="center"/>
              <w:rPr>
                <w:sz w:val="20"/>
                <w:lang w:val="es-ES"/>
              </w:rPr>
            </w:pPr>
            <w:proofErr w:type="spellStart"/>
            <w:r w:rsidRPr="00CB6E4F">
              <w:rPr>
                <w:sz w:val="20"/>
                <w:lang w:val="es-ES"/>
              </w:rPr>
              <w:t>dBm</w:t>
            </w:r>
            <w:proofErr w:type="spellEnd"/>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–112</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–112</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 xml:space="preserve">Criterios de </w:t>
            </w:r>
            <w:r w:rsidRPr="00CB6E4F">
              <w:rPr>
                <w:i/>
                <w:iCs/>
                <w:sz w:val="20"/>
                <w:lang w:val="es-ES"/>
              </w:rPr>
              <w:t>S/N</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dB</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aplicable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0</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14</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Factor de ruido del receptor</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dB</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3,1</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4,0</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4,8</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5,0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1,5</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1,5</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3</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Anchura de banda del receptor en RF (</w:t>
            </w:r>
            <w:r w:rsidRPr="00CB6E4F">
              <w:rPr>
                <w:sz w:val="20"/>
                <w:lang w:val="es-ES"/>
              </w:rPr>
              <w:noBreakHyphen/>
              <w:t>3 dB)</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MHz</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2,0</w:t>
            </w:r>
          </w:p>
        </w:tc>
        <w:tc>
          <w:tcPr>
            <w:tcW w:w="3569" w:type="dxa"/>
            <w:gridSpan w:val="2"/>
            <w:vAlign w:val="center"/>
          </w:tcPr>
          <w:p w:rsidR="008E096B" w:rsidRPr="00CB6E4F" w:rsidRDefault="008E096B" w:rsidP="00AD5F8C">
            <w:pPr>
              <w:pStyle w:val="Tabletext"/>
              <w:jc w:val="center"/>
              <w:rPr>
                <w:sz w:val="20"/>
                <w:lang w:val="es-ES"/>
              </w:rPr>
            </w:pPr>
            <w:r w:rsidRPr="00CB6E4F">
              <w:rPr>
                <w:sz w:val="20"/>
                <w:lang w:val="es-ES"/>
              </w:rPr>
              <w:t>No disponible</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400</w:t>
            </w:r>
          </w:p>
        </w:tc>
        <w:tc>
          <w:tcPr>
            <w:tcW w:w="1395" w:type="dxa"/>
            <w:vAlign w:val="center"/>
          </w:tcPr>
          <w:p w:rsidR="008E096B" w:rsidRPr="00CB6E4F" w:rsidRDefault="008E096B" w:rsidP="00AD5F8C">
            <w:pPr>
              <w:pStyle w:val="Tabletext"/>
              <w:jc w:val="center"/>
              <w:rPr>
                <w:sz w:val="20"/>
                <w:lang w:val="es-ES"/>
              </w:rPr>
            </w:pPr>
          </w:p>
        </w:tc>
        <w:tc>
          <w:tcPr>
            <w:tcW w:w="1346" w:type="dxa"/>
            <w:vAlign w:val="center"/>
          </w:tcPr>
          <w:p w:rsidR="008E096B" w:rsidRPr="00CB6E4F" w:rsidRDefault="008E096B" w:rsidP="00AD5F8C">
            <w:pPr>
              <w:pStyle w:val="Tabletext"/>
              <w:jc w:val="center"/>
              <w:rPr>
                <w:sz w:val="20"/>
                <w:lang w:val="es-ES"/>
              </w:rPr>
            </w:pPr>
            <w:r w:rsidRPr="00CB6E4F">
              <w:rPr>
                <w:sz w:val="20"/>
                <w:lang w:val="es-ES"/>
              </w:rPr>
              <w:t>No disponible</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Anchura de banda del receptor en FI (</w:t>
            </w:r>
            <w:r w:rsidRPr="00CB6E4F">
              <w:rPr>
                <w:sz w:val="20"/>
                <w:lang w:val="es-ES"/>
              </w:rPr>
              <w:noBreakHyphen/>
              <w:t>3 dB)</w:t>
            </w:r>
          </w:p>
        </w:tc>
        <w:tc>
          <w:tcPr>
            <w:tcW w:w="1089" w:type="dxa"/>
            <w:vAlign w:val="center"/>
          </w:tcPr>
          <w:p w:rsidR="008E096B" w:rsidRPr="00CB6E4F" w:rsidRDefault="008E096B" w:rsidP="00AD5F8C">
            <w:pPr>
              <w:pStyle w:val="Tabletext"/>
              <w:jc w:val="center"/>
              <w:rPr>
                <w:sz w:val="20"/>
                <w:lang w:val="es-ES"/>
              </w:rPr>
            </w:pPr>
            <w:r w:rsidRPr="00CB6E4F">
              <w:rPr>
                <w:sz w:val="20"/>
                <w:lang w:val="es-ES"/>
              </w:rPr>
              <w:t>MHz</w:t>
            </w:r>
          </w:p>
        </w:tc>
        <w:tc>
          <w:tcPr>
            <w:tcW w:w="1688" w:type="dxa"/>
            <w:vAlign w:val="center"/>
          </w:tcPr>
          <w:p w:rsidR="008E096B" w:rsidRPr="00CB6E4F" w:rsidRDefault="008E096B" w:rsidP="00AD5F8C">
            <w:pPr>
              <w:pStyle w:val="Tabletext"/>
              <w:jc w:val="center"/>
              <w:rPr>
                <w:sz w:val="20"/>
                <w:lang w:val="es-ES"/>
              </w:rPr>
            </w:pPr>
            <w:r w:rsidRPr="00CB6E4F">
              <w:rPr>
                <w:sz w:val="20"/>
                <w:lang w:val="es-ES"/>
              </w:rPr>
              <w:t>380</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0,67</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8</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10-30</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2-20</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1</w:t>
            </w:r>
          </w:p>
        </w:tc>
      </w:tr>
      <w:tr w:rsidR="008E096B" w:rsidRPr="00CB6E4F" w:rsidTr="003D726E">
        <w:trPr>
          <w:jc w:val="center"/>
        </w:trPr>
        <w:tc>
          <w:tcPr>
            <w:tcW w:w="2148" w:type="dxa"/>
          </w:tcPr>
          <w:p w:rsidR="008E096B" w:rsidRPr="00CB6E4F" w:rsidRDefault="008E096B" w:rsidP="00AD5F8C">
            <w:pPr>
              <w:pStyle w:val="Tabletext"/>
              <w:jc w:val="left"/>
              <w:rPr>
                <w:sz w:val="20"/>
                <w:lang w:val="es-ES"/>
              </w:rPr>
            </w:pPr>
            <w:r w:rsidRPr="00CB6E4F">
              <w:rPr>
                <w:sz w:val="20"/>
                <w:lang w:val="es-ES"/>
              </w:rPr>
              <w:t xml:space="preserve">Zona de actuación del </w:t>
            </w:r>
            <w:r w:rsidRPr="00CB6E4F">
              <w:rPr>
                <w:sz w:val="20"/>
                <w:lang w:val="es-ES"/>
              </w:rPr>
              <w:br/>
              <w:t xml:space="preserve">sistema </w:t>
            </w:r>
          </w:p>
        </w:tc>
        <w:tc>
          <w:tcPr>
            <w:tcW w:w="1089" w:type="dxa"/>
            <w:vAlign w:val="center"/>
          </w:tcPr>
          <w:p w:rsidR="008E096B" w:rsidRPr="00CB6E4F" w:rsidRDefault="008E096B" w:rsidP="00AD5F8C">
            <w:pPr>
              <w:pStyle w:val="Tabletext"/>
              <w:jc w:val="center"/>
              <w:rPr>
                <w:sz w:val="20"/>
                <w:lang w:val="es-ES"/>
              </w:rPr>
            </w:pPr>
          </w:p>
        </w:tc>
        <w:tc>
          <w:tcPr>
            <w:tcW w:w="1688"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1829"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2174"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1395" w:type="dxa"/>
            <w:vAlign w:val="center"/>
          </w:tcPr>
          <w:p w:rsidR="008E096B" w:rsidRPr="00CB6E4F" w:rsidRDefault="008E096B" w:rsidP="00AD5F8C">
            <w:pPr>
              <w:pStyle w:val="Tabletext"/>
              <w:jc w:val="center"/>
              <w:rPr>
                <w:sz w:val="20"/>
                <w:lang w:val="es-ES"/>
              </w:rPr>
            </w:pPr>
            <w:r w:rsidRPr="00CB6E4F">
              <w:rPr>
                <w:sz w:val="20"/>
                <w:lang w:val="es-ES"/>
              </w:rPr>
              <w:t>Mundial</w:t>
            </w:r>
          </w:p>
        </w:tc>
        <w:tc>
          <w:tcPr>
            <w:tcW w:w="1346" w:type="dxa"/>
            <w:vAlign w:val="center"/>
          </w:tcPr>
          <w:p w:rsidR="008E096B" w:rsidRPr="00CB6E4F" w:rsidRDefault="008E096B" w:rsidP="00AD5F8C">
            <w:pPr>
              <w:pStyle w:val="Tabletext"/>
              <w:jc w:val="center"/>
              <w:rPr>
                <w:sz w:val="20"/>
                <w:lang w:val="es-ES"/>
              </w:rPr>
            </w:pPr>
            <w:r w:rsidRPr="00CB6E4F">
              <w:rPr>
                <w:sz w:val="20"/>
                <w:lang w:val="es-ES"/>
              </w:rPr>
              <w:t>Mundial</w:t>
            </w:r>
          </w:p>
        </w:tc>
      </w:tr>
      <w:tr w:rsidR="008E096B" w:rsidRPr="00CB6E4F" w:rsidTr="00CB6E4F">
        <w:trPr>
          <w:jc w:val="center"/>
        </w:trPr>
        <w:tc>
          <w:tcPr>
            <w:tcW w:w="14459" w:type="dxa"/>
            <w:gridSpan w:val="9"/>
            <w:tcBorders>
              <w:left w:val="nil"/>
              <w:bottom w:val="nil"/>
              <w:right w:val="nil"/>
            </w:tcBorders>
          </w:tcPr>
          <w:p w:rsidR="008E096B" w:rsidRPr="00CB6E4F" w:rsidRDefault="008E096B" w:rsidP="00CB6E4F">
            <w:pPr>
              <w:pStyle w:val="Tablelegend"/>
              <w:tabs>
                <w:tab w:val="clear" w:pos="567"/>
                <w:tab w:val="left" w:pos="738"/>
              </w:tabs>
              <w:spacing w:before="40"/>
              <w:rPr>
                <w:sz w:val="20"/>
                <w:lang w:val="es-ES"/>
              </w:rPr>
            </w:pPr>
            <w:r w:rsidRPr="00CB6E4F">
              <w:rPr>
                <w:sz w:val="20"/>
                <w:vertAlign w:val="superscript"/>
                <w:lang w:val="es-ES"/>
              </w:rPr>
              <w:t>(1)</w:t>
            </w:r>
            <w:r w:rsidRPr="00CB6E4F">
              <w:rPr>
                <w:sz w:val="20"/>
                <w:lang w:val="es-ES"/>
              </w:rPr>
              <w:tab/>
            </w:r>
            <w:r w:rsidRPr="00CB6E4F">
              <w:rPr>
                <w:sz w:val="20"/>
                <w:lang w:val="es-ES"/>
              </w:rPr>
              <w:tab/>
              <w:t xml:space="preserve">100 </w:t>
            </w:r>
            <w:proofErr w:type="spellStart"/>
            <w:r w:rsidRPr="00CB6E4F">
              <w:rPr>
                <w:sz w:val="20"/>
                <w:lang w:val="es-ES"/>
              </w:rPr>
              <w:t>ns</w:t>
            </w:r>
            <w:proofErr w:type="spellEnd"/>
            <w:r w:rsidRPr="00CB6E4F">
              <w:rPr>
                <w:sz w:val="20"/>
                <w:lang w:val="es-ES"/>
              </w:rPr>
              <w:t xml:space="preserve"> comprimidos.</w:t>
            </w:r>
          </w:p>
          <w:p w:rsidR="008E096B" w:rsidRPr="00CB6E4F" w:rsidRDefault="008E096B" w:rsidP="00CB6E4F">
            <w:pPr>
              <w:pStyle w:val="Tablelegend"/>
              <w:tabs>
                <w:tab w:val="clear" w:pos="567"/>
                <w:tab w:val="clear" w:pos="1418"/>
                <w:tab w:val="left" w:pos="738"/>
                <w:tab w:val="left" w:pos="1447"/>
              </w:tabs>
              <w:spacing w:before="40"/>
              <w:rPr>
                <w:sz w:val="20"/>
                <w:lang w:val="es-ES"/>
              </w:rPr>
            </w:pPr>
            <w:r w:rsidRPr="00CB6E4F">
              <w:rPr>
                <w:sz w:val="20"/>
                <w:lang w:val="es-ES"/>
              </w:rPr>
              <w:t>CPFSK:</w:t>
            </w:r>
            <w:r w:rsidRPr="00CB6E4F">
              <w:rPr>
                <w:sz w:val="20"/>
                <w:lang w:val="es-ES"/>
              </w:rPr>
              <w:tab/>
              <w:t>MDF con fase continua</w:t>
            </w:r>
          </w:p>
          <w:p w:rsidR="008E096B" w:rsidRPr="00CB6E4F" w:rsidRDefault="008E096B" w:rsidP="00CB6E4F">
            <w:pPr>
              <w:pStyle w:val="Tablelegend"/>
              <w:tabs>
                <w:tab w:val="clear" w:pos="284"/>
                <w:tab w:val="clear" w:pos="567"/>
                <w:tab w:val="clear" w:pos="851"/>
                <w:tab w:val="clear" w:pos="1134"/>
                <w:tab w:val="clear" w:pos="1701"/>
                <w:tab w:val="left" w:pos="738"/>
                <w:tab w:val="left" w:pos="1163"/>
                <w:tab w:val="left" w:pos="1588"/>
              </w:tabs>
              <w:spacing w:before="40"/>
              <w:rPr>
                <w:sz w:val="20"/>
                <w:lang w:val="es-ES"/>
              </w:rPr>
            </w:pPr>
            <w:r w:rsidRPr="00CB6E4F">
              <w:rPr>
                <w:sz w:val="20"/>
                <w:lang w:val="es-ES"/>
              </w:rPr>
              <w:t>PA:</w:t>
            </w:r>
            <w:r w:rsidRPr="00CB6E4F">
              <w:rPr>
                <w:sz w:val="20"/>
                <w:lang w:val="es-ES"/>
              </w:rPr>
              <w:tab/>
            </w:r>
            <w:r w:rsidRPr="00CB6E4F">
              <w:rPr>
                <w:sz w:val="20"/>
                <w:lang w:val="es-ES"/>
              </w:rPr>
              <w:tab/>
              <w:t>Elementos radiales en fase</w:t>
            </w:r>
          </w:p>
          <w:p w:rsidR="008E096B" w:rsidRPr="00CB6E4F" w:rsidRDefault="008E096B" w:rsidP="00CB6E4F">
            <w:pPr>
              <w:pStyle w:val="Tablelegend"/>
              <w:tabs>
                <w:tab w:val="clear" w:pos="567"/>
                <w:tab w:val="left" w:pos="738"/>
              </w:tabs>
              <w:spacing w:before="40"/>
              <w:rPr>
                <w:sz w:val="20"/>
                <w:lang w:val="es-ES"/>
              </w:rPr>
            </w:pPr>
            <w:r w:rsidRPr="00CB6E4F">
              <w:rPr>
                <w:sz w:val="20"/>
                <w:lang w:val="es-ES"/>
              </w:rPr>
              <w:t>SWA:</w:t>
            </w:r>
            <w:r w:rsidRPr="00CB6E4F">
              <w:rPr>
                <w:sz w:val="20"/>
                <w:lang w:val="es-ES"/>
              </w:rPr>
              <w:tab/>
              <w:t xml:space="preserve">Elementos radiantes de </w:t>
            </w:r>
            <w:proofErr w:type="spellStart"/>
            <w:r w:rsidRPr="00CB6E4F">
              <w:rPr>
                <w:sz w:val="20"/>
                <w:lang w:val="es-ES"/>
              </w:rPr>
              <w:t>guiaondas</w:t>
            </w:r>
            <w:proofErr w:type="spellEnd"/>
            <w:r w:rsidRPr="00CB6E4F">
              <w:rPr>
                <w:sz w:val="20"/>
                <w:lang w:val="es-ES"/>
              </w:rPr>
              <w:t xml:space="preserve"> </w:t>
            </w:r>
            <w:proofErr w:type="spellStart"/>
            <w:r w:rsidRPr="00CB6E4F">
              <w:rPr>
                <w:sz w:val="20"/>
                <w:lang w:val="es-ES"/>
              </w:rPr>
              <w:t>ranurado</w:t>
            </w:r>
            <w:proofErr w:type="spellEnd"/>
          </w:p>
        </w:tc>
      </w:tr>
    </w:tbl>
    <w:p w:rsidR="008E096B" w:rsidRDefault="008E096B" w:rsidP="008E096B">
      <w:pPr>
        <w:rPr>
          <w:lang w:val="es-ES_tradnl"/>
        </w:rPr>
      </w:pPr>
    </w:p>
    <w:p w:rsidR="008E096B" w:rsidRPr="006B74FE" w:rsidRDefault="008E096B" w:rsidP="008E096B">
      <w:pPr>
        <w:rPr>
          <w:lang w:val="es-ES_tradnl"/>
        </w:rPr>
        <w:sectPr w:rsidR="008E096B" w:rsidRPr="006B74FE" w:rsidSect="00F72446">
          <w:headerReference w:type="even" r:id="rId16"/>
          <w:headerReference w:type="default" r:id="rId17"/>
          <w:footerReference w:type="even" r:id="rId18"/>
          <w:footerReference w:type="default" r:id="rId19"/>
          <w:pgSz w:w="16834" w:h="11907" w:orient="landscape" w:code="9"/>
          <w:pgMar w:top="1418" w:right="1134" w:bottom="1418" w:left="1134" w:header="720" w:footer="720" w:gutter="0"/>
          <w:cols w:space="720"/>
          <w:docGrid w:linePitch="326"/>
        </w:sectPr>
      </w:pPr>
    </w:p>
    <w:p w:rsidR="008E096B" w:rsidRPr="002C6505" w:rsidRDefault="008E096B" w:rsidP="008E096B">
      <w:pPr>
        <w:pStyle w:val="Heading1"/>
        <w:rPr>
          <w:lang w:val="es-ES_tradnl"/>
        </w:rPr>
      </w:pPr>
      <w:r w:rsidRPr="002C6505">
        <w:rPr>
          <w:lang w:val="es-ES_tradnl"/>
        </w:rPr>
        <w:lastRenderedPageBreak/>
        <w:t>2</w:t>
      </w:r>
      <w:r w:rsidRPr="002C6505">
        <w:rPr>
          <w:lang w:val="es-ES_tradnl"/>
        </w:rPr>
        <w:tab/>
        <w:t>Características técnicas</w:t>
      </w:r>
    </w:p>
    <w:p w:rsidR="008E096B" w:rsidRPr="004A3AA5" w:rsidRDefault="008E096B" w:rsidP="008E096B">
      <w:pPr>
        <w:rPr>
          <w:lang w:val="es-ES"/>
        </w:rPr>
      </w:pPr>
      <w:r w:rsidRPr="004A3AA5">
        <w:rPr>
          <w:lang w:val="es-ES"/>
        </w:rPr>
        <w:t xml:space="preserve">La </w:t>
      </w:r>
      <w:r>
        <w:rPr>
          <w:lang w:val="es-ES"/>
        </w:rPr>
        <w:t>gama de frecuencias</w:t>
      </w:r>
      <w:r w:rsidRPr="004A3AA5">
        <w:rPr>
          <w:lang w:val="es-ES"/>
        </w:rPr>
        <w:t xml:space="preserve">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 xml:space="preserve">700 MHz es utilizada por radares instalados en tierra, en barcos y en aeronaves. Por lo general, predominan los radares móviles en barcos y aeronaves, mientras que los sistemas fijos de tierra se utilizan en campos de lanzamiento y con frecuencia están instalados a bordo de globos cautivos dedicados a tareas de vigilancia de superficie terrestre o en zonas costeras. Sus funciones son la búsqueda de aeronaves que vuelan tanto cerca de la superficie terrestre como a gran altitud, la vigilancia en el mar, el seguimiento de aeronaves y la instrumentación de campos de lanzamiento polivalentes. Se utilizan tanto señales no moduladas como con modulación angular por impulsos y la potencia típica del transmisor de cresta va de 500 kW a </w:t>
      </w:r>
      <w:r>
        <w:rPr>
          <w:lang w:val="es-ES"/>
        </w:rPr>
        <w:t>6 400</w:t>
      </w:r>
      <w:r w:rsidRPr="004A3AA5">
        <w:rPr>
          <w:lang w:val="es-ES"/>
        </w:rPr>
        <w:t xml:space="preserve"> </w:t>
      </w:r>
      <w:r>
        <w:rPr>
          <w:lang w:val="es-ES"/>
        </w:rPr>
        <w:t>k</w:t>
      </w:r>
      <w:r w:rsidRPr="004A3AA5">
        <w:rPr>
          <w:lang w:val="es-ES"/>
        </w:rPr>
        <w:t xml:space="preserve">W. Se emplean ciclos de trabajo bajos para las funciones de radar de búsqueda con valores típicos inferiores al 1%. El factor de ruido del receptor oscila normalmente entre 3,1 dB y 16 dB. En el Cuadro 1 se exponen las características representativas de </w:t>
      </w:r>
      <w:r>
        <w:rPr>
          <w:lang w:val="es-ES"/>
        </w:rPr>
        <w:t>dos</w:t>
      </w:r>
      <w:r w:rsidRPr="004A3AA5">
        <w:rPr>
          <w:lang w:val="es-ES"/>
        </w:rPr>
        <w:t xml:space="preserve"> sistemas de radar en tierra, </w:t>
      </w:r>
      <w:r>
        <w:rPr>
          <w:lang w:val="es-ES"/>
        </w:rPr>
        <w:t>dos</w:t>
      </w:r>
      <w:r w:rsidRPr="004A3AA5">
        <w:rPr>
          <w:lang w:val="es-ES"/>
        </w:rPr>
        <w:t xml:space="preserve"> sistema</w:t>
      </w:r>
      <w:r>
        <w:rPr>
          <w:lang w:val="es-ES"/>
        </w:rPr>
        <w:t>s</w:t>
      </w:r>
      <w:r w:rsidRPr="004A3AA5">
        <w:rPr>
          <w:lang w:val="es-ES"/>
        </w:rPr>
        <w:t xml:space="preserve"> para barco y </w:t>
      </w:r>
      <w:r>
        <w:rPr>
          <w:lang w:val="es-ES"/>
        </w:rPr>
        <w:t>uno</w:t>
      </w:r>
      <w:r w:rsidRPr="004A3AA5">
        <w:rPr>
          <w:lang w:val="es-ES"/>
        </w:rPr>
        <w:t xml:space="preserve"> para aeronave que funcionan en la </w:t>
      </w:r>
      <w:r>
        <w:rPr>
          <w:lang w:val="es-ES"/>
        </w:rPr>
        <w:t>gama de frecuencias</w:t>
      </w:r>
      <w:r w:rsidRPr="004A3AA5">
        <w:rPr>
          <w:lang w:val="es-ES"/>
        </w:rPr>
        <w:t xml:space="preserve"> de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700 MHz.</w:t>
      </w:r>
    </w:p>
    <w:p w:rsidR="008E096B" w:rsidRPr="004A3AA5" w:rsidRDefault="008E096B" w:rsidP="008E096B">
      <w:pPr>
        <w:pStyle w:val="Heading2"/>
        <w:rPr>
          <w:lang w:val="es-ES"/>
        </w:rPr>
      </w:pPr>
      <w:r w:rsidRPr="004A3AA5">
        <w:rPr>
          <w:lang w:val="es-ES"/>
        </w:rPr>
        <w:t>2.1</w:t>
      </w:r>
      <w:r w:rsidRPr="004A3AA5">
        <w:rPr>
          <w:lang w:val="es-ES"/>
        </w:rPr>
        <w:tab/>
        <w:t>Radares de tierra</w:t>
      </w:r>
    </w:p>
    <w:p w:rsidR="008E096B" w:rsidRPr="004A3AA5" w:rsidRDefault="008E096B" w:rsidP="008E096B">
      <w:pPr>
        <w:pStyle w:val="Heading3"/>
        <w:rPr>
          <w:lang w:val="es-ES"/>
        </w:rPr>
      </w:pPr>
      <w:r w:rsidRPr="004A3AA5">
        <w:rPr>
          <w:lang w:val="es-ES"/>
        </w:rPr>
        <w:t>2.1.1</w:t>
      </w:r>
      <w:r w:rsidRPr="004A3AA5">
        <w:rPr>
          <w:lang w:val="es-ES"/>
        </w:rPr>
        <w:tab/>
        <w:t>Funcionamiento de los radares de tierra</w:t>
      </w:r>
    </w:p>
    <w:p w:rsidR="008E096B" w:rsidRDefault="008E096B" w:rsidP="008E096B">
      <w:pPr>
        <w:rPr>
          <w:lang w:val="es-ES"/>
        </w:rPr>
      </w:pPr>
      <w:r w:rsidRPr="004A3AA5">
        <w:rPr>
          <w:lang w:val="es-ES"/>
        </w:rPr>
        <w:t xml:space="preserve">Los radares de tierra que funcionan en la </w:t>
      </w:r>
      <w:r>
        <w:rPr>
          <w:lang w:val="es-ES"/>
        </w:rPr>
        <w:t>gama de frecuencias</w:t>
      </w:r>
      <w:r w:rsidRPr="004A3AA5">
        <w:rPr>
          <w:lang w:val="es-ES"/>
        </w:rPr>
        <w:t xml:space="preserve">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700 MHz se emplean normalmente para operaciones de prueba dentro y fuera de los campos de lanzamiento. Muchos de estos radares son móviles, en el sentido de que a menudo se instalan en vehículos que permiten su desplazamiento para las funciones de búsqueda y seguimiento de aeronaves en trayectos de vuelo amplios. Otros están instalados en ubicaciones fijas en los campos de lanzamiento, donde realizan asimismo funciones de búsqueda y seguimiento.</w:t>
      </w:r>
    </w:p>
    <w:p w:rsidR="008E096B" w:rsidRPr="004A3AA5" w:rsidRDefault="008E096B" w:rsidP="001B2C28">
      <w:pPr>
        <w:rPr>
          <w:lang w:val="es-ES"/>
        </w:rPr>
      </w:pPr>
      <w:r w:rsidRPr="004A3AA5">
        <w:rPr>
          <w:lang w:val="es-ES"/>
        </w:rPr>
        <w:t>El Sistema terrestre B del Cuadro 1, está instalado en un globo cautivo a 4</w:t>
      </w:r>
      <w:r w:rsidRPr="004A3AA5">
        <w:rPr>
          <w:rFonts w:ascii="Tms Rmn" w:hAnsi="Tms Rmn"/>
          <w:sz w:val="12"/>
          <w:lang w:val="es-ES"/>
        </w:rPr>
        <w:t> </w:t>
      </w:r>
      <w:r w:rsidRPr="004A3AA5">
        <w:rPr>
          <w:lang w:val="es-ES"/>
        </w:rPr>
        <w:t>600 m de altitud para realizar la vigilancia de una amplia zona de hasta 275 km. El Sistema terrestre A descrito en el Cuadro</w:t>
      </w:r>
      <w:r>
        <w:rPr>
          <w:lang w:val="es-ES"/>
        </w:rPr>
        <w:t> </w:t>
      </w:r>
      <w:r w:rsidRPr="004A3AA5">
        <w:rPr>
          <w:lang w:val="es-ES"/>
        </w:rPr>
        <w:t>1 funciona principalmente durante el día en condiciones meteorológicas favorables para el vuelo, y ocasionalmente durante la noche, mientras que los radares instalados en globos cautivos funcionan constantemente.</w:t>
      </w:r>
    </w:p>
    <w:p w:rsidR="008E096B" w:rsidRPr="004A3AA5" w:rsidRDefault="008E096B" w:rsidP="008E096B">
      <w:pPr>
        <w:pStyle w:val="Heading3"/>
        <w:rPr>
          <w:lang w:val="es-ES"/>
        </w:rPr>
      </w:pPr>
      <w:r w:rsidRPr="004A3AA5">
        <w:rPr>
          <w:lang w:val="es-ES"/>
        </w:rPr>
        <w:t>2.1.2</w:t>
      </w:r>
      <w:r w:rsidRPr="004A3AA5">
        <w:rPr>
          <w:lang w:val="es-ES"/>
        </w:rPr>
        <w:tab/>
        <w:t>Transmisor</w:t>
      </w:r>
    </w:p>
    <w:p w:rsidR="008E096B" w:rsidRPr="004A3AA5" w:rsidRDefault="008E096B" w:rsidP="008E096B">
      <w:pPr>
        <w:rPr>
          <w:lang w:val="es-ES"/>
        </w:rPr>
      </w:pPr>
      <w:r w:rsidRPr="004A3AA5">
        <w:rPr>
          <w:lang w:val="es-ES"/>
        </w:rPr>
        <w:t xml:space="preserve">Los transmisores son ajustables y han de funcionar en cualquier parte dentro de la </w:t>
      </w:r>
      <w:r>
        <w:rPr>
          <w:lang w:val="es-ES"/>
        </w:rPr>
        <w:t>gama de frecuencias</w:t>
      </w:r>
      <w:r w:rsidRPr="004A3AA5">
        <w:rPr>
          <w:lang w:val="es-ES"/>
        </w:rPr>
        <w:t xml:space="preserve">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 xml:space="preserve">700 MHz. Se utilizan impulsos no modulados y señales </w:t>
      </w:r>
      <w:proofErr w:type="spellStart"/>
      <w:r w:rsidRPr="004A3AA5">
        <w:rPr>
          <w:lang w:val="es-ES"/>
        </w:rPr>
        <w:t>monocanal</w:t>
      </w:r>
      <w:proofErr w:type="spellEnd"/>
      <w:r w:rsidRPr="004A3AA5">
        <w:rPr>
          <w:lang w:val="es-ES"/>
        </w:rPr>
        <w:t xml:space="preserve"> y multicanal con modulación angular.</w:t>
      </w:r>
    </w:p>
    <w:p w:rsidR="008E096B" w:rsidRPr="004A3AA5" w:rsidRDefault="008E096B" w:rsidP="008E096B">
      <w:pPr>
        <w:pStyle w:val="Heading3"/>
        <w:rPr>
          <w:lang w:val="es-ES"/>
        </w:rPr>
      </w:pPr>
      <w:r w:rsidRPr="004A3AA5">
        <w:rPr>
          <w:lang w:val="es-ES"/>
        </w:rPr>
        <w:t>2.1.3</w:t>
      </w:r>
      <w:r w:rsidRPr="004A3AA5">
        <w:rPr>
          <w:lang w:val="es-ES"/>
        </w:rPr>
        <w:tab/>
        <w:t>Receptor</w:t>
      </w:r>
    </w:p>
    <w:p w:rsidR="008E096B" w:rsidRPr="004A3AA5" w:rsidRDefault="008E096B" w:rsidP="008E096B">
      <w:pPr>
        <w:rPr>
          <w:lang w:val="es-ES"/>
        </w:rPr>
      </w:pPr>
      <w:r w:rsidRPr="004A3AA5">
        <w:rPr>
          <w:lang w:val="es-ES"/>
        </w:rPr>
        <w:t>Muchos de los receptores de los radares de los campos de lanzamiento tienen circuitos especiales de control para la correlación entre los datos de vídeo y de otro tipo aplicados a las diferentes pantallas, las consolas de operador y los dispositivos de grabación. Los datos de vídeo recibidos por el radar situado en el globo cautivo se retransmiten a las instalaciones de operador de tierra tanto por radiocomunicaciones (servicio fijo) como por cable.</w:t>
      </w:r>
    </w:p>
    <w:p w:rsidR="008E096B" w:rsidRPr="004A3AA5" w:rsidRDefault="008E096B" w:rsidP="008E096B">
      <w:pPr>
        <w:pStyle w:val="Heading3"/>
        <w:rPr>
          <w:lang w:val="es-ES"/>
        </w:rPr>
      </w:pPr>
      <w:r w:rsidRPr="004A3AA5">
        <w:rPr>
          <w:lang w:val="es-ES"/>
        </w:rPr>
        <w:t>2.1.4</w:t>
      </w:r>
      <w:r w:rsidRPr="004A3AA5">
        <w:rPr>
          <w:lang w:val="es-ES"/>
        </w:rPr>
        <w:tab/>
        <w:t>Antena</w:t>
      </w:r>
    </w:p>
    <w:p w:rsidR="008E096B" w:rsidRPr="004A3AA5" w:rsidRDefault="008E096B" w:rsidP="008E096B">
      <w:pPr>
        <w:rPr>
          <w:lang w:val="es-ES"/>
        </w:rPr>
      </w:pPr>
      <w:r w:rsidRPr="004A3AA5">
        <w:rPr>
          <w:lang w:val="es-ES"/>
        </w:rPr>
        <w:t xml:space="preserve">Las antenas se diseñan para las funciones especiales que se realizan en los campos de lanzamiento, pero funcionan con una ganancia de haz principal de hasta 40 </w:t>
      </w:r>
      <w:proofErr w:type="spellStart"/>
      <w:r w:rsidRPr="004A3AA5">
        <w:rPr>
          <w:lang w:val="es-ES"/>
        </w:rPr>
        <w:t>dBi</w:t>
      </w:r>
      <w:proofErr w:type="spellEnd"/>
      <w:r w:rsidRPr="004A3AA5">
        <w:rPr>
          <w:lang w:val="es-ES"/>
        </w:rPr>
        <w:t>, se orientan electrónicamente y suelen estar dirigidas hacia el cielo en direcciones aleatorias, lo que aumenta la posibilidad de iluminar objetos voladores espaciales y recibir energía de ellos. Los radares situados en globos cautivos dirigen sus antenas hacia puntos situados algunos grados por encima del horizonte.</w:t>
      </w:r>
    </w:p>
    <w:p w:rsidR="008E096B" w:rsidRPr="004A3AA5" w:rsidRDefault="008E096B" w:rsidP="008E096B">
      <w:pPr>
        <w:pStyle w:val="Heading2"/>
        <w:rPr>
          <w:lang w:val="es-ES"/>
        </w:rPr>
      </w:pPr>
      <w:r w:rsidRPr="004A3AA5">
        <w:rPr>
          <w:lang w:val="es-ES"/>
        </w:rPr>
        <w:lastRenderedPageBreak/>
        <w:t>2.2</w:t>
      </w:r>
      <w:r w:rsidRPr="004A3AA5">
        <w:rPr>
          <w:lang w:val="es-ES"/>
        </w:rPr>
        <w:tab/>
        <w:t>Radares a bordo de barcos</w:t>
      </w:r>
    </w:p>
    <w:p w:rsidR="008E096B" w:rsidRPr="004A3AA5" w:rsidRDefault="008E096B" w:rsidP="008E096B">
      <w:pPr>
        <w:pStyle w:val="Heading3"/>
        <w:rPr>
          <w:lang w:val="es-ES"/>
        </w:rPr>
      </w:pPr>
      <w:r w:rsidRPr="004A3AA5">
        <w:rPr>
          <w:lang w:val="es-ES"/>
        </w:rPr>
        <w:t>2.2.1</w:t>
      </w:r>
      <w:r w:rsidRPr="004A3AA5">
        <w:rPr>
          <w:lang w:val="es-ES"/>
        </w:rPr>
        <w:tab/>
        <w:t>Funcionamiento en barcos</w:t>
      </w:r>
    </w:p>
    <w:p w:rsidR="008E096B" w:rsidRPr="004A3AA5" w:rsidRDefault="008E096B" w:rsidP="008E096B">
      <w:pPr>
        <w:rPr>
          <w:lang w:val="es-ES"/>
        </w:rPr>
      </w:pPr>
      <w:r w:rsidRPr="004A3AA5">
        <w:rPr>
          <w:lang w:val="es-ES"/>
        </w:rPr>
        <w:t xml:space="preserve">En el Cuadro 1 se describen </w:t>
      </w:r>
      <w:r>
        <w:rPr>
          <w:lang w:val="es-ES"/>
        </w:rPr>
        <w:t>cuatro</w:t>
      </w:r>
      <w:r w:rsidRPr="004A3AA5">
        <w:rPr>
          <w:lang w:val="es-ES"/>
        </w:rPr>
        <w:t xml:space="preserve"> tipos representativos de radares a bordo de barcos que funcionan en la </w:t>
      </w:r>
      <w:r>
        <w:rPr>
          <w:lang w:val="es-ES"/>
        </w:rPr>
        <w:t>gama de frecuencias</w:t>
      </w:r>
      <w:r w:rsidRPr="004A3AA5">
        <w:rPr>
          <w:lang w:val="es-ES"/>
        </w:rPr>
        <w:t xml:space="preserve"> de 3,</w:t>
      </w:r>
      <w:r>
        <w:rPr>
          <w:lang w:val="es-ES"/>
        </w:rPr>
        <w:t>1</w:t>
      </w:r>
      <w:r w:rsidRPr="004A3AA5">
        <w:rPr>
          <w:lang w:val="es-ES"/>
        </w:rPr>
        <w:noBreakHyphen/>
        <w:t>3,</w:t>
      </w:r>
      <w:r>
        <w:rPr>
          <w:lang w:val="es-ES"/>
        </w:rPr>
        <w:t>7</w:t>
      </w:r>
      <w:r w:rsidRPr="004A3AA5">
        <w:rPr>
          <w:lang w:val="es-ES"/>
        </w:rPr>
        <w:t xml:space="preserve"> GHz, denominados Sistema de barco A </w:t>
      </w:r>
      <w:r>
        <w:rPr>
          <w:lang w:val="es-ES"/>
        </w:rPr>
        <w:t>hasta</w:t>
      </w:r>
      <w:r w:rsidRPr="004A3AA5">
        <w:rPr>
          <w:lang w:val="es-ES"/>
        </w:rPr>
        <w:t xml:space="preserve"> Sistema de barco</w:t>
      </w:r>
      <w:r>
        <w:rPr>
          <w:lang w:val="es-ES"/>
        </w:rPr>
        <w:t> D</w:t>
      </w:r>
      <w:r w:rsidRPr="004A3AA5">
        <w:rPr>
          <w:lang w:val="es-ES"/>
        </w:rPr>
        <w:t>. El Sistema A se utiliza como sistema primario de control del tráfico aéreo comercial. El Sistema</w:t>
      </w:r>
      <w:r>
        <w:rPr>
          <w:lang w:val="es-ES"/>
        </w:rPr>
        <w:t> </w:t>
      </w:r>
      <w:r w:rsidRPr="004A3AA5">
        <w:rPr>
          <w:lang w:val="es-ES"/>
        </w:rPr>
        <w:t>B es un radar multifuncional instalado a bordo de naves de escolta. Las zonas de funcionamiento de estos radares de barco están en litorales y en alta mar. Estos radares funcionan normalmente durante las 24 h del día. Cuando realizan funciones de escolta de otros barcos, no es extraño encontrar hasta 10 de estos radares funcionando simultáneamente. Además de los sistemas a bordo de barcos, existen sistemas fijos en tierra que se utilizan para entrenamiento y pruebas. Además, las tareas de mantenimiento y comprobación de rutina obligan a explotar estos radares ocasionalmente en ciertas zonas portuarias. Los barcos equipados con el sistema A van acompañados casi siempre por un barco equipado con Sistema B como mínimo.</w:t>
      </w:r>
    </w:p>
    <w:p w:rsidR="008E096B" w:rsidRPr="004A3AA5" w:rsidRDefault="008E096B" w:rsidP="008E096B">
      <w:pPr>
        <w:pStyle w:val="Heading3"/>
        <w:rPr>
          <w:lang w:val="es-ES"/>
        </w:rPr>
      </w:pPr>
      <w:r w:rsidRPr="004A3AA5">
        <w:rPr>
          <w:lang w:val="es-ES"/>
        </w:rPr>
        <w:t>2.2.2</w:t>
      </w:r>
      <w:r w:rsidRPr="004A3AA5">
        <w:rPr>
          <w:lang w:val="es-ES"/>
        </w:rPr>
        <w:tab/>
        <w:t>Transmisor</w:t>
      </w:r>
    </w:p>
    <w:p w:rsidR="008E096B" w:rsidRPr="004A3AA5" w:rsidRDefault="008E096B" w:rsidP="008E096B">
      <w:pPr>
        <w:rPr>
          <w:lang w:val="es-ES"/>
        </w:rPr>
      </w:pPr>
      <w:r w:rsidRPr="004A3AA5">
        <w:rPr>
          <w:lang w:val="es-ES"/>
        </w:rPr>
        <w:t>El Sistema A transmite en la banda de</w:t>
      </w:r>
      <w:r>
        <w:rPr>
          <w:lang w:val="es-ES"/>
        </w:rPr>
        <w:t xml:space="preserve"> frecuencias</w:t>
      </w:r>
      <w:r w:rsidRPr="004A3AA5">
        <w:rPr>
          <w:lang w:val="es-ES"/>
        </w:rPr>
        <w:t xml:space="preserve"> 3</w:t>
      </w:r>
      <w:r w:rsidRPr="004A3AA5">
        <w:rPr>
          <w:rFonts w:ascii="Tms Rmn" w:hAnsi="Tms Rmn"/>
          <w:sz w:val="12"/>
          <w:lang w:val="es-ES"/>
        </w:rPr>
        <w:t> </w:t>
      </w:r>
      <w:r w:rsidRPr="004A3AA5">
        <w:rPr>
          <w:lang w:val="es-ES"/>
        </w:rPr>
        <w:t>500-3</w:t>
      </w:r>
      <w:r w:rsidRPr="004A3AA5">
        <w:rPr>
          <w:rFonts w:ascii="Tms Rmn" w:hAnsi="Tms Rmn"/>
          <w:sz w:val="12"/>
          <w:lang w:val="es-ES"/>
        </w:rPr>
        <w:t> </w:t>
      </w:r>
      <w:r w:rsidRPr="004A3AA5">
        <w:rPr>
          <w:lang w:val="es-ES"/>
        </w:rPr>
        <w:t xml:space="preserve">700 MHz con una potencia de cresta de </w:t>
      </w:r>
      <w:r>
        <w:rPr>
          <w:lang w:val="es-ES"/>
        </w:rPr>
        <w:t>1 000 </w:t>
      </w:r>
      <w:r w:rsidRPr="004A3AA5">
        <w:rPr>
          <w:lang w:val="es-ES"/>
        </w:rPr>
        <w:t xml:space="preserve">kW. El Sistema B transmite en la </w:t>
      </w:r>
      <w:r>
        <w:rPr>
          <w:lang w:val="es-ES"/>
        </w:rPr>
        <w:t>gama</w:t>
      </w:r>
      <w:r w:rsidRPr="004A3AA5">
        <w:rPr>
          <w:lang w:val="es-ES"/>
        </w:rPr>
        <w:t xml:space="preserve"> de </w:t>
      </w:r>
      <w:r>
        <w:rPr>
          <w:lang w:val="es-ES"/>
        </w:rPr>
        <w:t xml:space="preserve">frecuencias </w:t>
      </w:r>
      <w:r w:rsidRPr="004A3AA5">
        <w:rPr>
          <w:lang w:val="es-ES"/>
        </w:rPr>
        <w:t>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 xml:space="preserve">500 MHz con una potencia de cresta de </w:t>
      </w:r>
      <w:r>
        <w:rPr>
          <w:lang w:val="es-ES"/>
        </w:rPr>
        <w:t>6,</w:t>
      </w:r>
      <w:r w:rsidRPr="004A3AA5">
        <w:rPr>
          <w:lang w:val="es-ES"/>
        </w:rPr>
        <w:t>4 MW y utiliza una combinación de modulación de fase y de saltos de frecuencia. Las emisiones cambian de frecuencia en más de 10 bandas</w:t>
      </w:r>
      <w:r>
        <w:rPr>
          <w:lang w:val="es-ES"/>
        </w:rPr>
        <w:t xml:space="preserve"> de frecuencias</w:t>
      </w:r>
      <w:r w:rsidRPr="004A3AA5">
        <w:rPr>
          <w:lang w:val="es-ES"/>
        </w:rPr>
        <w:t>, de 40 MHz de anchura cada una, denominadas banda</w:t>
      </w:r>
      <w:r>
        <w:rPr>
          <w:lang w:val="es-ES"/>
        </w:rPr>
        <w:t xml:space="preserve"> de frecuencias</w:t>
      </w:r>
      <w:r w:rsidRPr="004A3AA5">
        <w:rPr>
          <w:lang w:val="es-ES"/>
        </w:rPr>
        <w:t xml:space="preserve"> 1 a banda </w:t>
      </w:r>
      <w:r>
        <w:rPr>
          <w:lang w:val="es-ES"/>
        </w:rPr>
        <w:t xml:space="preserve">de frecuencias </w:t>
      </w:r>
      <w:r w:rsidRPr="004A3AA5">
        <w:rPr>
          <w:lang w:val="es-ES"/>
        </w:rPr>
        <w:t>10. La secuencia de anchuras de impulso variables es aleatoria.</w:t>
      </w:r>
    </w:p>
    <w:p w:rsidR="008E096B" w:rsidRPr="004A3AA5" w:rsidRDefault="008E096B" w:rsidP="008E096B">
      <w:pPr>
        <w:pStyle w:val="Heading3"/>
        <w:rPr>
          <w:lang w:val="es-ES"/>
        </w:rPr>
      </w:pPr>
      <w:r w:rsidRPr="004A3AA5">
        <w:rPr>
          <w:lang w:val="es-ES"/>
        </w:rPr>
        <w:t>2.2.3</w:t>
      </w:r>
      <w:r w:rsidRPr="004A3AA5">
        <w:rPr>
          <w:lang w:val="es-ES"/>
        </w:rPr>
        <w:tab/>
        <w:t>Receptor</w:t>
      </w:r>
    </w:p>
    <w:p w:rsidR="008E096B" w:rsidRPr="004A3AA5" w:rsidRDefault="008E096B" w:rsidP="008E096B">
      <w:pPr>
        <w:rPr>
          <w:lang w:val="es-ES"/>
        </w:rPr>
      </w:pPr>
      <w:r w:rsidRPr="004A3AA5">
        <w:rPr>
          <w:lang w:val="es-ES"/>
        </w:rPr>
        <w:t>Los receptores del Sistema A se describen en el Cuadro 1 y tienen las características habituales de los sistemas de control del tráfico aéreo para reducción de objetivo falso de ecos parásitos, indicación de blancos móviles, selección de corto/largo alcance y alimentación de vídeo para</w:t>
      </w:r>
      <w:r>
        <w:rPr>
          <w:lang w:val="es-ES"/>
        </w:rPr>
        <w:t xml:space="preserve"> el indicador de posición planificada (PPI)</w:t>
      </w:r>
      <w:r w:rsidRPr="004A3AA5">
        <w:rPr>
          <w:lang w:val="es-ES"/>
        </w:rPr>
        <w:t xml:space="preserve">; su gama de sintonía es la misma que la del transmisor. El receptor del Sistema B funciona en la </w:t>
      </w:r>
      <w:r>
        <w:rPr>
          <w:lang w:val="es-ES"/>
        </w:rPr>
        <w:t>gama de frecuencias</w:t>
      </w:r>
      <w:r w:rsidRPr="004A3AA5">
        <w:rPr>
          <w:lang w:val="es-ES"/>
        </w:rPr>
        <w:t xml:space="preserve"> 3</w:t>
      </w:r>
      <w:r w:rsidRPr="004A3AA5">
        <w:rPr>
          <w:rFonts w:ascii="Tms Rmn" w:hAnsi="Tms Rmn"/>
          <w:sz w:val="12"/>
          <w:lang w:val="es-ES"/>
        </w:rPr>
        <w:t> </w:t>
      </w:r>
      <w:r w:rsidRPr="004A3AA5">
        <w:rPr>
          <w:lang w:val="es-ES"/>
        </w:rPr>
        <w:t>100-3</w:t>
      </w:r>
      <w:r w:rsidRPr="004A3AA5">
        <w:rPr>
          <w:rFonts w:ascii="Tms Rmn" w:hAnsi="Tms Rmn"/>
          <w:sz w:val="12"/>
          <w:lang w:val="es-ES"/>
        </w:rPr>
        <w:t> </w:t>
      </w:r>
      <w:r w:rsidRPr="004A3AA5">
        <w:rPr>
          <w:lang w:val="es-ES"/>
        </w:rPr>
        <w:t>500 MHz. No se dispone de las características del receptor, pero se supone que se trata de receptores modernos que requieren bastante ganancia en procesamiento para detectar objetos múltiples y variados en zonas extensas, en condiciones de ecos intensos y de meteorología adversa.</w:t>
      </w:r>
    </w:p>
    <w:p w:rsidR="008E096B" w:rsidRPr="004A3AA5" w:rsidRDefault="008E096B" w:rsidP="008E096B">
      <w:pPr>
        <w:pStyle w:val="Heading3"/>
        <w:rPr>
          <w:lang w:val="es-ES"/>
        </w:rPr>
      </w:pPr>
      <w:r w:rsidRPr="004A3AA5">
        <w:rPr>
          <w:lang w:val="es-ES"/>
        </w:rPr>
        <w:t>2.2.4</w:t>
      </w:r>
      <w:r w:rsidRPr="004A3AA5">
        <w:rPr>
          <w:lang w:val="es-ES"/>
        </w:rPr>
        <w:tab/>
        <w:t>Antena</w:t>
      </w:r>
    </w:p>
    <w:p w:rsidR="008E096B" w:rsidRPr="004A3AA5" w:rsidRDefault="008E096B" w:rsidP="008E096B">
      <w:pPr>
        <w:rPr>
          <w:lang w:val="es-ES"/>
        </w:rPr>
      </w:pPr>
      <w:r w:rsidRPr="004A3AA5">
        <w:rPr>
          <w:lang w:val="es-ES"/>
        </w:rPr>
        <w:t>El Sistema A utiliza una antena de reflector de rotación mecánica con una anchura de haz en acimut de 1,</w:t>
      </w:r>
      <w:r>
        <w:rPr>
          <w:lang w:val="es-ES"/>
        </w:rPr>
        <w:t>7</w:t>
      </w:r>
      <w:r w:rsidRPr="004A3AA5">
        <w:rPr>
          <w:lang w:val="es-ES"/>
        </w:rPr>
        <w:t>5</w:t>
      </w:r>
      <w:r>
        <w:rPr>
          <w:rFonts w:ascii="Symbol" w:hAnsi="Symbol"/>
        </w:rPr>
        <w:t></w:t>
      </w:r>
      <w:r w:rsidRPr="004A3AA5">
        <w:rPr>
          <w:lang w:val="es-ES"/>
        </w:rPr>
        <w:t xml:space="preserve"> y un haz </w:t>
      </w:r>
      <w:r>
        <w:rPr>
          <w:lang w:val="es-ES"/>
        </w:rPr>
        <w:t>csc</w:t>
      </w:r>
      <w:r w:rsidRPr="00CA6253">
        <w:rPr>
          <w:szCs w:val="24"/>
          <w:vertAlign w:val="superscript"/>
          <w:lang w:val="es-ES"/>
        </w:rPr>
        <w:t>2</w:t>
      </w:r>
      <w:r w:rsidRPr="004A3AA5">
        <w:rPr>
          <w:lang w:val="es-ES"/>
        </w:rPr>
        <w:t xml:space="preserve"> en elevación de</w:t>
      </w:r>
      <w:r>
        <w:rPr>
          <w:lang w:val="es-ES"/>
        </w:rPr>
        <w:t xml:space="preserve"> 4,4</w:t>
      </w:r>
      <w:r>
        <w:rPr>
          <w:rFonts w:ascii="Symbol" w:hAnsi="Symbol"/>
        </w:rPr>
        <w:t></w:t>
      </w:r>
      <w:r w:rsidRPr="004A3AA5">
        <w:rPr>
          <w:lang w:val="es-ES"/>
        </w:rPr>
        <w:t xml:space="preserve"> a</w:t>
      </w:r>
      <w:r>
        <w:rPr>
          <w:lang w:val="es-ES"/>
        </w:rPr>
        <w:t xml:space="preserve"> 30</w:t>
      </w:r>
      <w:r>
        <w:rPr>
          <w:rFonts w:ascii="Symbol" w:hAnsi="Symbol"/>
        </w:rPr>
        <w:t></w:t>
      </w:r>
      <w:r w:rsidRPr="004A3AA5">
        <w:rPr>
          <w:lang w:val="es-ES"/>
        </w:rPr>
        <w:t xml:space="preserve"> con una ganancia de haz principal de 32 </w:t>
      </w:r>
      <w:proofErr w:type="spellStart"/>
      <w:r w:rsidRPr="004A3AA5">
        <w:rPr>
          <w:lang w:val="es-ES"/>
        </w:rPr>
        <w:t>dBi</w:t>
      </w:r>
      <w:proofErr w:type="spellEnd"/>
      <w:r w:rsidRPr="004A3AA5">
        <w:rPr>
          <w:lang w:val="es-ES"/>
        </w:rPr>
        <w:t>. La altura nominal de la antena es de 46 m sobre el nivel medio del m</w:t>
      </w:r>
      <w:r w:rsidR="00FA349C">
        <w:rPr>
          <w:lang w:val="es-ES"/>
        </w:rPr>
        <w:t>ar. El Sistema B utiliza cuatro </w:t>
      </w:r>
      <w:r w:rsidRPr="004A3AA5">
        <w:rPr>
          <w:lang w:val="es-ES"/>
        </w:rPr>
        <w:t>sistemas de antena planos de elementos radiantes en fase orientados electrónicamente para proporcionar una cobertura de 360</w:t>
      </w:r>
      <w:r w:rsidRPr="004A3AA5">
        <w:rPr>
          <w:vertAlign w:val="superscript"/>
          <w:lang w:val="es-ES"/>
        </w:rPr>
        <w:t>o</w:t>
      </w:r>
      <w:r w:rsidRPr="004A3AA5">
        <w:rPr>
          <w:lang w:val="es-ES"/>
        </w:rPr>
        <w:t xml:space="preserve"> con una ganancia de haz principal de 42 </w:t>
      </w:r>
      <w:proofErr w:type="spellStart"/>
      <w:r w:rsidRPr="004A3AA5">
        <w:rPr>
          <w:lang w:val="es-ES"/>
        </w:rPr>
        <w:t>dBi</w:t>
      </w:r>
      <w:proofErr w:type="spellEnd"/>
      <w:r w:rsidRPr="004A3AA5">
        <w:rPr>
          <w:lang w:val="es-ES"/>
        </w:rPr>
        <w:t>. La altura nominal de la antena del radar B es de 20 m sobre el nivel medio del mar.</w:t>
      </w:r>
    </w:p>
    <w:p w:rsidR="008E096B" w:rsidRPr="004A3AA5" w:rsidRDefault="008E096B" w:rsidP="008E096B">
      <w:pPr>
        <w:pStyle w:val="Heading2"/>
        <w:rPr>
          <w:lang w:val="es-ES"/>
        </w:rPr>
      </w:pPr>
      <w:r w:rsidRPr="004A3AA5">
        <w:rPr>
          <w:lang w:val="es-ES"/>
        </w:rPr>
        <w:t>2.3</w:t>
      </w:r>
      <w:r w:rsidRPr="004A3AA5">
        <w:rPr>
          <w:lang w:val="es-ES"/>
        </w:rPr>
        <w:tab/>
        <w:t>Radar a bordo de aeronaves</w:t>
      </w:r>
    </w:p>
    <w:p w:rsidR="008E096B" w:rsidRPr="004A3AA5" w:rsidRDefault="008E096B" w:rsidP="008E096B">
      <w:pPr>
        <w:rPr>
          <w:lang w:val="es-ES"/>
        </w:rPr>
      </w:pPr>
      <w:r w:rsidRPr="004A3AA5">
        <w:rPr>
          <w:lang w:val="es-ES"/>
        </w:rPr>
        <w:t xml:space="preserve">Los radares a bordo de aeronaves que se encuentran en esta banda </w:t>
      </w:r>
      <w:r>
        <w:rPr>
          <w:lang w:val="es-ES"/>
        </w:rPr>
        <w:t xml:space="preserve">de frecuencias </w:t>
      </w:r>
      <w:r w:rsidRPr="004A3AA5">
        <w:rPr>
          <w:lang w:val="es-ES"/>
        </w:rPr>
        <w:t xml:space="preserve">aprovechan las propiedades del espectro en esta longitud de onda para funciones de vigilancia, seguimiento del blanco y control del tráfico aéreo en zonas amplias. Las características espectrales para los radares típicos a bordo de aeronaves que funcionan en esta banda </w:t>
      </w:r>
      <w:r>
        <w:rPr>
          <w:lang w:val="es-ES"/>
        </w:rPr>
        <w:t xml:space="preserve">de frecuencias </w:t>
      </w:r>
      <w:r w:rsidRPr="004A3AA5">
        <w:rPr>
          <w:lang w:val="es-ES"/>
        </w:rPr>
        <w:t xml:space="preserve">se describen en el Cuadro 1. Este sistema consiste en un radar multifuncional de elementos radiantes en fase que se instala en aeronaves de vigilancia pertenecientes a una serie de administraciones. La antena de este sistema es un sistema amplio de elementos radiantes de </w:t>
      </w:r>
      <w:proofErr w:type="spellStart"/>
      <w:r w:rsidRPr="004A3AA5">
        <w:rPr>
          <w:lang w:val="es-ES"/>
        </w:rPr>
        <w:t>gu</w:t>
      </w:r>
      <w:r>
        <w:rPr>
          <w:lang w:val="es-ES"/>
        </w:rPr>
        <w:t>í</w:t>
      </w:r>
      <w:r w:rsidRPr="004A3AA5">
        <w:rPr>
          <w:lang w:val="es-ES"/>
        </w:rPr>
        <w:t>aonda</w:t>
      </w:r>
      <w:proofErr w:type="spellEnd"/>
      <w:r w:rsidRPr="004A3AA5">
        <w:rPr>
          <w:lang w:val="es-ES"/>
        </w:rPr>
        <w:t xml:space="preserve"> </w:t>
      </w:r>
      <w:proofErr w:type="spellStart"/>
      <w:r w:rsidRPr="004A3AA5">
        <w:rPr>
          <w:lang w:val="es-ES"/>
        </w:rPr>
        <w:t>ranurados</w:t>
      </w:r>
      <w:proofErr w:type="spellEnd"/>
      <w:r w:rsidRPr="004A3AA5">
        <w:rPr>
          <w:lang w:val="es-ES"/>
        </w:rPr>
        <w:t xml:space="preserve"> mon</w:t>
      </w:r>
      <w:r w:rsidR="00FA349C">
        <w:rPr>
          <w:lang w:val="es-ES"/>
        </w:rPr>
        <w:t>tada encima del fuselaje. Da 40 </w:t>
      </w:r>
      <w:proofErr w:type="spellStart"/>
      <w:r w:rsidRPr="004A3AA5">
        <w:rPr>
          <w:lang w:val="es-ES"/>
        </w:rPr>
        <w:t>dBi</w:t>
      </w:r>
      <w:proofErr w:type="spellEnd"/>
      <w:r w:rsidRPr="004A3AA5">
        <w:rPr>
          <w:lang w:val="es-ES"/>
        </w:rPr>
        <w:t xml:space="preserve"> de ganancia de haz principal y se ha estimado su ganancia de lóbulo lateral en –10 </w:t>
      </w:r>
      <w:proofErr w:type="spellStart"/>
      <w:r w:rsidRPr="004A3AA5">
        <w:rPr>
          <w:lang w:val="es-ES"/>
        </w:rPr>
        <w:t>dBi</w:t>
      </w:r>
      <w:proofErr w:type="spellEnd"/>
      <w:r w:rsidRPr="004A3AA5">
        <w:rPr>
          <w:lang w:val="es-ES"/>
        </w:rPr>
        <w:t xml:space="preserve">. Las </w:t>
      </w:r>
      <w:r w:rsidRPr="004A3AA5">
        <w:rPr>
          <w:lang w:val="es-ES"/>
        </w:rPr>
        <w:lastRenderedPageBreak/>
        <w:t>aeronaves que llevan estos radares pueden llevar a cabo operaciones a nivel mundial. Además de sus funciones de vigilancia aérea y de control del tráfico aéreo pueden también incorporar un modo de vigilancia marítima. Este sistema de aeronave funciona normalmente a unos 9</w:t>
      </w:r>
      <w:r w:rsidRPr="004A3AA5">
        <w:rPr>
          <w:rFonts w:ascii="Tms Rmn" w:hAnsi="Tms Rmn"/>
          <w:sz w:val="12"/>
          <w:lang w:val="es-ES"/>
        </w:rPr>
        <w:t> </w:t>
      </w:r>
      <w:r w:rsidRPr="004A3AA5">
        <w:rPr>
          <w:lang w:val="es-ES"/>
        </w:rPr>
        <w:t>000 m de altitud y puede mantenerse en funcionamiento hasta 12 h</w:t>
      </w:r>
      <w:r>
        <w:rPr>
          <w:lang w:val="es-ES"/>
        </w:rPr>
        <w:t>oras</w:t>
      </w:r>
      <w:r w:rsidRPr="004A3AA5">
        <w:rPr>
          <w:lang w:val="es-ES"/>
        </w:rPr>
        <w:t xml:space="preserve"> seguidas, dependiendo de la disponibilidad de tripulación. En algunas situaciones se mantiene una vigilancia constante durante 24 h</w:t>
      </w:r>
      <w:r>
        <w:rPr>
          <w:lang w:val="es-ES"/>
        </w:rPr>
        <w:t>oras</w:t>
      </w:r>
      <w:r w:rsidRPr="004A3AA5">
        <w:rPr>
          <w:lang w:val="es-ES"/>
        </w:rPr>
        <w:t xml:space="preserve"> al día gracias al repostaje.</w:t>
      </w:r>
    </w:p>
    <w:p w:rsidR="008E096B" w:rsidRPr="004A3AA5" w:rsidRDefault="008E096B" w:rsidP="008E096B">
      <w:pPr>
        <w:pStyle w:val="Heading1"/>
        <w:rPr>
          <w:lang w:val="es-ES"/>
        </w:rPr>
      </w:pPr>
      <w:r w:rsidRPr="004A3AA5">
        <w:rPr>
          <w:lang w:val="es-ES"/>
        </w:rPr>
        <w:t>3</w:t>
      </w:r>
      <w:r w:rsidRPr="004A3AA5">
        <w:rPr>
          <w:lang w:val="es-ES"/>
        </w:rPr>
        <w:tab/>
        <w:t>Criterios de protección</w:t>
      </w:r>
    </w:p>
    <w:p w:rsidR="008E096B" w:rsidRDefault="008E096B" w:rsidP="008E096B">
      <w:pPr>
        <w:rPr>
          <w:lang w:val="es-ES"/>
        </w:rPr>
      </w:pPr>
      <w:r>
        <w:rPr>
          <w:lang w:val="es-ES"/>
        </w:rPr>
        <w:t>Los radares se ven afectados de manera fundamentalmente diferente por los distintos tipos de señales indeseadas y la diferencia es especialmente acusada entre los efectos de una señal de energía continua similar al ruido y la ocasionada por impulsos.</w:t>
      </w:r>
    </w:p>
    <w:p w:rsidR="008E096B" w:rsidRDefault="008E096B" w:rsidP="008E096B">
      <w:pPr>
        <w:rPr>
          <w:lang w:val="es-ES"/>
        </w:rPr>
      </w:pPr>
      <w:r w:rsidRPr="000977A3">
        <w:rPr>
          <w:lang w:val="es-ES"/>
        </w:rPr>
        <w:t xml:space="preserve">Los sistemas que utilizan compresión de impulsos tienen su ancho de banda FI concordada con el impulso </w:t>
      </w:r>
      <w:r>
        <w:rPr>
          <w:lang w:val="es-ES"/>
        </w:rPr>
        <w:t>comprimido</w:t>
      </w:r>
      <w:r w:rsidRPr="000977A3">
        <w:rPr>
          <w:lang w:val="es-ES"/>
        </w:rPr>
        <w:t xml:space="preserve"> y actúan como filtros adaptados para la degradación mínima de la relación </w:t>
      </w:r>
      <w:r w:rsidRPr="00DE317C">
        <w:rPr>
          <w:i/>
          <w:iCs/>
          <w:lang w:val="es-ES"/>
        </w:rPr>
        <w:t>S/N</w:t>
      </w:r>
      <w:r w:rsidRPr="000977A3">
        <w:rPr>
          <w:lang w:val="es-ES"/>
        </w:rPr>
        <w:t>.</w:t>
      </w:r>
      <w:r>
        <w:rPr>
          <w:lang w:val="es-ES"/>
        </w:rPr>
        <w:t xml:space="preserve"> Los filtros de compresión de impulsos pueden estar parcialmente ajustados a, y por tanto incrementar el efecto de, la interferencia de tipo similar al ruido. En tal caso, puede que una relación </w:t>
      </w:r>
      <w:r w:rsidRPr="00435D5E">
        <w:rPr>
          <w:i/>
          <w:iCs/>
          <w:lang w:val="es-ES"/>
        </w:rPr>
        <w:t>I/N</w:t>
      </w:r>
      <w:r>
        <w:rPr>
          <w:lang w:val="es-ES"/>
        </w:rPr>
        <w:t xml:space="preserve"> de </w:t>
      </w:r>
      <w:r w:rsidRPr="00435D5E">
        <w:rPr>
          <w:lang w:val="es-ES"/>
        </w:rPr>
        <w:t>–</w:t>
      </w:r>
      <w:r>
        <w:rPr>
          <w:lang w:val="es-ES"/>
        </w:rPr>
        <w:t>6 dB no sea adecuada, y puede que sean necesarios nuevos estudios o mediciones de compatibilidad para evaluar la interferencia en términos de la repercusión operativa en la calidad de servicio del radar.</w:t>
      </w:r>
    </w:p>
    <w:p w:rsidR="008E096B" w:rsidRDefault="008E096B" w:rsidP="008E096B">
      <w:pPr>
        <w:rPr>
          <w:lang w:val="es-ES"/>
        </w:rPr>
      </w:pPr>
      <w:r>
        <w:rPr>
          <w:lang w:val="es-ES"/>
        </w:rPr>
        <w:t xml:space="preserve">La interferencia causada por una onda continua de tipo similar al ruido produce un efecto de desensibilización en los radares de </w:t>
      </w:r>
      <w:proofErr w:type="spellStart"/>
      <w:r>
        <w:rPr>
          <w:lang w:val="es-ES"/>
        </w:rPr>
        <w:t>radiodeterminación</w:t>
      </w:r>
      <w:proofErr w:type="spellEnd"/>
      <w:r>
        <w:rPr>
          <w:lang w:val="es-ES"/>
        </w:rPr>
        <w:t xml:space="preserve">, efecto que es predecible y depende de la intensidad. En todo sector acimutal por el que llegue dicha interferencia, su densidad espectral de potencia puede simplemente sumarse a la densidad espectral de potencia del ruido térmico del sistema radar, en una aproximación razonable. Sea </w:t>
      </w:r>
      <w:r w:rsidRPr="007D740D">
        <w:rPr>
          <w:i/>
          <w:lang w:val="es-ES"/>
        </w:rPr>
        <w:t>N</w:t>
      </w:r>
      <w:r>
        <w:rPr>
          <w:lang w:val="es-ES"/>
        </w:rPr>
        <w:t xml:space="preserve"> la densidad espectral de potencia del ruido en el sistema radar en ausencia de interferencia y sea </w:t>
      </w:r>
      <w:r w:rsidRPr="007D740D">
        <w:rPr>
          <w:i/>
          <w:lang w:val="es-ES"/>
        </w:rPr>
        <w:t>I</w:t>
      </w:r>
      <w:r>
        <w:rPr>
          <w:lang w:val="es-ES"/>
        </w:rPr>
        <w:t xml:space="preserve"> la interferencia de tipo ruido; la densidad espectral de potencia de ruido efectiva resultante es sencillamente la suma </w:t>
      </w:r>
      <w:r w:rsidRPr="007D740D">
        <w:rPr>
          <w:i/>
          <w:lang w:val="es-ES"/>
        </w:rPr>
        <w:t>I</w:t>
      </w:r>
      <w:r>
        <w:rPr>
          <w:i/>
          <w:lang w:val="es-ES"/>
        </w:rPr>
        <w:t> </w:t>
      </w:r>
      <w:r w:rsidRPr="007D740D">
        <w:rPr>
          <w:i/>
          <w:lang w:val="es-ES"/>
        </w:rPr>
        <w:t>+</w:t>
      </w:r>
      <w:r>
        <w:rPr>
          <w:i/>
          <w:lang w:val="es-ES"/>
        </w:rPr>
        <w:t> </w:t>
      </w:r>
      <w:r w:rsidRPr="007D740D">
        <w:rPr>
          <w:i/>
          <w:lang w:val="es-ES"/>
        </w:rPr>
        <w:t>N</w:t>
      </w:r>
      <w:r>
        <w:rPr>
          <w:lang w:val="es-ES"/>
        </w:rPr>
        <w:t>.</w:t>
      </w:r>
    </w:p>
    <w:p w:rsidR="008E096B" w:rsidRDefault="008E096B" w:rsidP="008E096B">
      <w:pPr>
        <w:rPr>
          <w:lang w:val="es-ES"/>
        </w:rPr>
      </w:pPr>
      <w:r>
        <w:rPr>
          <w:lang w:val="es-ES"/>
        </w:rPr>
        <w:t xml:space="preserve">Los criterios de protección de radares establecidos tradicionalmente por el UIT-R se basan en penalizaciones acarreadas para mantener la relación señal-ruido que retorna del objetivo en presencia de interferencia, lo que exige que la potencia de la señal que retorna del objetivo se aumente proporcionalmente al aumento de la potencia de ruido, es decir, de </w:t>
      </w:r>
      <w:r w:rsidRPr="007D740D">
        <w:rPr>
          <w:i/>
          <w:lang w:val="es-ES"/>
        </w:rPr>
        <w:t>N</w:t>
      </w:r>
      <w:r>
        <w:rPr>
          <w:lang w:val="es-ES"/>
        </w:rPr>
        <w:t xml:space="preserve"> a </w:t>
      </w:r>
      <w:r w:rsidRPr="007D740D">
        <w:rPr>
          <w:i/>
          <w:lang w:val="es-ES"/>
        </w:rPr>
        <w:t>I</w:t>
      </w:r>
      <w:r>
        <w:rPr>
          <w:i/>
          <w:lang w:val="es-ES"/>
        </w:rPr>
        <w:t> </w:t>
      </w:r>
      <w:r w:rsidRPr="007D740D">
        <w:rPr>
          <w:i/>
          <w:lang w:val="es-ES"/>
        </w:rPr>
        <w:t>+</w:t>
      </w:r>
      <w:r>
        <w:rPr>
          <w:i/>
          <w:lang w:val="es-ES"/>
        </w:rPr>
        <w:t> </w:t>
      </w:r>
      <w:r w:rsidRPr="007D740D">
        <w:rPr>
          <w:i/>
          <w:lang w:val="es-ES"/>
        </w:rPr>
        <w:t>N</w:t>
      </w:r>
      <w:r>
        <w:rPr>
          <w:lang w:val="es-ES"/>
        </w:rPr>
        <w:t>. Esto sólo puede lograrse si se aceptan una reducción del alcance máximo para determinados objetivos, sacrificando así la observación de objetivos pequeños, o se modifica el radar para aumentar su potencia de transmisión o su producto potencia-apertura. (En los radares modernos, el ruido en el sistema receptor está generalmente cerca del mínimo irreducible y el procesamiento de la señal es en general casi óptimo.)</w:t>
      </w:r>
    </w:p>
    <w:p w:rsidR="008E096B" w:rsidRDefault="008E096B" w:rsidP="008E096B">
      <w:pPr>
        <w:rPr>
          <w:lang w:val="es-ES"/>
        </w:rPr>
      </w:pPr>
      <w:r>
        <w:rPr>
          <w:lang w:val="es-ES"/>
        </w:rPr>
        <w:t xml:space="preserve">Estas penalidades varían dependiendo de la función del radar y de la naturaleza de sus objetivos. Para la mayoría de los sistemas radar, un aumento en el nivel de ruido efectivo de 1 dB produciría una degradación del funcionamiento superior al máximo tolerable. En el caso de un objetivo discreto que tenga una determinada sección transversal (RCS) media o mediana, este aumento reduciría el alcance de detección en un 6% aproximadamente con independencia de las características de fluctuación RCS que pueda presentar el objetivo. Este efecto se debe a que el alcance que puede obtenerse en el espacio libre es proporcional a la raíz 4 de la relación de potencia señal-ruido (SNR) resultante, según la ecuación de alcance del radar más conocida. Un aumento de 1 dB de la potencia de ruido efectiva corresponde a un factor de 1,26 de la potencia, de modo que si no se compensa equivaldría a una reducción del alcance en el espacio libre desde un determinado </w:t>
      </w:r>
      <w:r w:rsidR="009D70BD">
        <w:rPr>
          <w:lang w:val="es-ES"/>
        </w:rPr>
        <w:t>objetivo discreto por un factor </w:t>
      </w:r>
      <w:r>
        <w:rPr>
          <w:lang w:val="es-ES"/>
        </w:rPr>
        <w:t>1/((1,26)</w:t>
      </w:r>
      <w:r w:rsidRPr="00D133EB">
        <w:rPr>
          <w:szCs w:val="24"/>
          <w:vertAlign w:val="superscript"/>
          <w:lang w:val="es-ES"/>
        </w:rPr>
        <w:t>1/4</w:t>
      </w:r>
      <w:r>
        <w:rPr>
          <w:lang w:val="es-ES"/>
        </w:rPr>
        <w:t xml:space="preserve">) </w:t>
      </w:r>
      <w:proofErr w:type="spellStart"/>
      <w:r>
        <w:rPr>
          <w:lang w:val="es-ES"/>
        </w:rPr>
        <w:t>ó</w:t>
      </w:r>
      <w:proofErr w:type="spellEnd"/>
      <w:r>
        <w:rPr>
          <w:lang w:val="es-ES"/>
        </w:rPr>
        <w:t xml:space="preserve"> 1/1,06; es decir, una reducción de la capacidad de alcance de un 6% aproximadamente. En la ecuación del alcance, la SNR también es directamente proporcional a la potencia del transmisor, al producto potencia-apertura (para el caso de radares de vigilancia) y a la sección transversal del radar. Otra posibilidad de compensar el aumento de 1 dB de la potencia de ruido efectiva es renunciar a la detección de todos los objetivos salvo los que su sección transversal sea 1,26 veces mayor que el objetivo de tamaño mínimo que podría detectarse en el régimen libre de </w:t>
      </w:r>
      <w:r>
        <w:rPr>
          <w:lang w:val="es-ES"/>
        </w:rPr>
        <w:lastRenderedPageBreak/>
        <w:t>interferencias o bien aumentar la potencia de transmisión del radar o su producto potencia-apertura por un 26%. Cualquiera de estas alternativas está en el límite de aceptabilidad para la mayoría de las misiones de radar y las modificaciones del sistema podrían resultar costosas, impracticables o imposibles, especialmente en los radares móviles. En el caso de objetivos discretos, estas penalizaciones de funcionamiento rigen para una determinada probabilidad de detección y tasa de falsas alarmas y cualesquiera características de fluctuación del objetivo.</w:t>
      </w:r>
    </w:p>
    <w:p w:rsidR="008E096B" w:rsidRPr="00DA4B9D" w:rsidRDefault="008E096B" w:rsidP="008E096B">
      <w:pPr>
        <w:rPr>
          <w:lang w:val="es-ES_tradnl"/>
        </w:rPr>
      </w:pPr>
    </w:p>
    <w:p w:rsidR="008E096B" w:rsidRDefault="008E096B" w:rsidP="008E096B">
      <w:pPr>
        <w:jc w:val="center"/>
      </w:pPr>
      <w:r>
        <w:t>______________</w:t>
      </w:r>
    </w:p>
    <w:p w:rsidR="008E096B" w:rsidRDefault="008E096B" w:rsidP="008E096B">
      <w:pPr>
        <w:rPr>
          <w:lang w:val="es-ES_tradnl"/>
        </w:rPr>
      </w:pPr>
    </w:p>
    <w:p w:rsidR="00A6617B" w:rsidRPr="00A6617B" w:rsidRDefault="00A6617B" w:rsidP="00242AEE">
      <w:pPr>
        <w:pStyle w:val="HeadingSum"/>
      </w:pPr>
    </w:p>
    <w:sectPr w:rsidR="00A6617B" w:rsidRPr="00A6617B" w:rsidSect="00173A4A">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6B" w:rsidRDefault="008E096B">
      <w:r>
        <w:separator/>
      </w:r>
    </w:p>
  </w:endnote>
  <w:endnote w:type="continuationSeparator" w:id="0">
    <w:p w:rsidR="008E096B" w:rsidRDefault="008E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Pr="00EA18B8" w:rsidRDefault="008E096B" w:rsidP="00EA1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Pr="00EA18B8" w:rsidRDefault="008E096B" w:rsidP="00EA18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Pr="00EA18B8" w:rsidRDefault="008E096B" w:rsidP="00EA18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Pr="00EA18B8" w:rsidRDefault="008E096B" w:rsidP="00EA1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6B" w:rsidRDefault="008E096B">
      <w:r>
        <w:separator/>
      </w:r>
    </w:p>
  </w:footnote>
  <w:footnote w:type="continuationSeparator" w:id="0">
    <w:p w:rsidR="008E096B" w:rsidRDefault="008E0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71D93">
      <w:fldChar w:fldCharType="begin"/>
    </w:r>
    <w:r w:rsidR="00771D93">
      <w:instrText xml:space="preserve"> DOCPROPERTY "Header" \* MERGEFORMAT </w:instrText>
    </w:r>
    <w:r w:rsidR="00771D93">
      <w:fldChar w:fldCharType="separate"/>
    </w:r>
    <w:r w:rsidR="00771D93" w:rsidRPr="00771D93">
      <w:rPr>
        <w:b/>
        <w:bCs/>
      </w:rPr>
      <w:t xml:space="preserve">Rec. </w:t>
    </w:r>
    <w:r w:rsidR="00771D93">
      <w:rPr>
        <w:b/>
        <w:bCs/>
      </w:rPr>
      <w:fldChar w:fldCharType="end"/>
    </w:r>
    <w:r>
      <w:rPr>
        <w:b/>
        <w:bCs/>
      </w:rPr>
      <w:t xml:space="preserve"> </w:t>
    </w:r>
    <w:r>
      <w:rPr>
        <w:b/>
        <w:bCs/>
      </w:rPr>
      <w:fldChar w:fldCharType="begin"/>
    </w:r>
    <w:r>
      <w:rPr>
        <w:b/>
        <w:bCs/>
      </w:rPr>
      <w:instrText>styleref href</w:instrText>
    </w:r>
    <w:r>
      <w:rPr>
        <w:b/>
        <w:bCs/>
      </w:rPr>
      <w:fldChar w:fldCharType="separate"/>
    </w:r>
    <w:r w:rsidR="00771D93">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1D93">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rsidP="00CB1354">
    <w:pPr>
      <w:ind w:right="360" w:firstLine="360"/>
    </w:pPr>
    <w:r>
      <w:rPr>
        <w:noProof/>
        <w:lang w:val="en-US" w:eastAsia="zh-CN"/>
      </w:rPr>
      <w:drawing>
        <wp:anchor distT="0" distB="0" distL="114300" distR="114300" simplePos="0" relativeHeight="251659264" behindDoc="1" locked="0" layoutInCell="1" allowOverlap="1" wp14:anchorId="4EB35FB5" wp14:editId="526B8CA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71D93">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771D93" w:rsidRPr="00771D93">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71D93">
      <w:rPr>
        <w:b/>
        <w:bCs/>
        <w:noProof/>
      </w:rPr>
      <w:t>UIT-R  M.1465-2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r>
      <w:tab/>
    </w:r>
    <w:r>
      <w:fldChar w:fldCharType="begin"/>
    </w:r>
    <w:r>
      <w:instrText xml:space="preserve"> DOCPROPERTY "Header" \* MERGEFORMAT </w:instrText>
    </w:r>
    <w:r>
      <w:fldChar w:fldCharType="separate"/>
    </w:r>
    <w:r w:rsidR="00771D93" w:rsidRPr="00771D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1D93">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Pr="006B74FE" w:rsidRDefault="008E096B" w:rsidP="006B74FE">
    <w:pPr>
      <w:pStyle w:val="Header"/>
      <w:jc w:val="left"/>
      <w:rPr>
        <w:lang w:val="fr-CH"/>
      </w:rPr>
    </w:pPr>
    <w:r>
      <w:rPr>
        <w:rStyle w:val="PageNumber"/>
        <w:b/>
        <w:bCs/>
      </w:rPr>
      <w:fldChar w:fldCharType="begin"/>
    </w:r>
    <w:r w:rsidRPr="005F65A3">
      <w:rPr>
        <w:rStyle w:val="PageNumber"/>
        <w:b/>
        <w:bCs/>
        <w:lang w:val="fr-CH"/>
      </w:rPr>
      <w:instrText xml:space="preserve"> PAGE </w:instrText>
    </w:r>
    <w:r>
      <w:rPr>
        <w:rStyle w:val="PageNumber"/>
        <w:b/>
        <w:bCs/>
      </w:rPr>
      <w:fldChar w:fldCharType="separate"/>
    </w:r>
    <w:r w:rsidR="00771D93">
      <w:rPr>
        <w:rStyle w:val="PageNumber"/>
        <w:b/>
        <w:bCs/>
        <w:noProof/>
        <w:lang w:val="fr-CH"/>
      </w:rPr>
      <w:t>2</w:t>
    </w:r>
    <w:r>
      <w:rPr>
        <w:rStyle w:val="PageNumber"/>
        <w:b/>
        <w:bCs/>
      </w:rPr>
      <w:fldChar w:fldCharType="end"/>
    </w:r>
    <w:r w:rsidRPr="005F65A3">
      <w:rPr>
        <w:lang w:val="fr-CH"/>
      </w:rPr>
      <w:tab/>
    </w:r>
    <w:r>
      <w:rPr>
        <w:b/>
        <w:bCs/>
      </w:rPr>
      <w:fldChar w:fldCharType="begin"/>
    </w:r>
    <w:r w:rsidRPr="005F65A3">
      <w:rPr>
        <w:b/>
        <w:bCs/>
        <w:lang w:val="fr-CH"/>
      </w:rPr>
      <w:instrText xml:space="preserve"> DOCPROPERTY "Header" \* MERGEFORMAT </w:instrText>
    </w:r>
    <w:r>
      <w:rPr>
        <w:b/>
        <w:bCs/>
      </w:rPr>
      <w:fldChar w:fldCharType="separate"/>
    </w:r>
    <w:r w:rsidR="00771D93">
      <w:rPr>
        <w:b/>
        <w:bCs/>
        <w:lang w:val="fr-CH"/>
      </w:rPr>
      <w:t xml:space="preserve">Rec. </w:t>
    </w:r>
    <w:r>
      <w:rPr>
        <w:b/>
        <w:bCs/>
      </w:rPr>
      <w:fldChar w:fldCharType="end"/>
    </w:r>
    <w:r>
      <w:rPr>
        <w:b/>
        <w:bCs/>
      </w:rPr>
      <w:t xml:space="preserve"> </w:t>
    </w:r>
    <w:r>
      <w:rPr>
        <w:b/>
        <w:bCs/>
      </w:rPr>
      <w:fldChar w:fldCharType="begin"/>
    </w:r>
    <w:r w:rsidRPr="005F65A3">
      <w:rPr>
        <w:b/>
        <w:bCs/>
        <w:lang w:val="fr-CH"/>
      </w:rPr>
      <w:instrText>styleref href</w:instrText>
    </w:r>
    <w:r>
      <w:rPr>
        <w:b/>
        <w:bCs/>
      </w:rPr>
      <w:fldChar w:fldCharType="separate"/>
    </w:r>
    <w:r w:rsidR="00771D93">
      <w:rPr>
        <w:b/>
        <w:bCs/>
        <w:noProof/>
      </w:rPr>
      <w:t>UIT-R  M.1465-2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pPr>
      <w:pStyle w:val="Header"/>
    </w:pPr>
    <w:r>
      <w:tab/>
    </w:r>
    <w:r>
      <w:rPr>
        <w:b/>
        <w:bCs/>
      </w:rPr>
      <w:fldChar w:fldCharType="begin"/>
    </w:r>
    <w:r>
      <w:rPr>
        <w:b/>
        <w:bCs/>
      </w:rPr>
      <w:instrText xml:space="preserve"> DOCPROPERTY "Header" \* MERGEFORMAT </w:instrText>
    </w:r>
    <w:r>
      <w:rPr>
        <w:b/>
        <w:bCs/>
      </w:rPr>
      <w:fldChar w:fldCharType="separate"/>
    </w:r>
    <w:r w:rsidR="00771D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1D93">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1D9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rsidP="006B74FE">
    <w:pPr>
      <w:pStyle w:val="Header"/>
      <w:tabs>
        <w:tab w:val="clear" w:pos="4848"/>
        <w:tab w:val="center" w:pos="727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1D93">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71D9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71D93">
      <w:rPr>
        <w:b/>
        <w:bCs/>
        <w:noProof/>
      </w:rPr>
      <w:t>UIT-R  M.1465-2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6B" w:rsidRDefault="008E096B" w:rsidP="005F65A3">
    <w:pPr>
      <w:pStyle w:val="Header"/>
      <w:tabs>
        <w:tab w:val="clear" w:pos="4848"/>
        <w:tab w:val="clear" w:pos="9696"/>
        <w:tab w:val="center" w:pos="7230"/>
        <w:tab w:val="right" w:pos="14459"/>
      </w:tabs>
    </w:pPr>
    <w:r>
      <w:tab/>
    </w:r>
    <w:r>
      <w:rPr>
        <w:b/>
        <w:bCs/>
      </w:rPr>
      <w:fldChar w:fldCharType="begin"/>
    </w:r>
    <w:r>
      <w:rPr>
        <w:b/>
        <w:bCs/>
      </w:rPr>
      <w:instrText xml:space="preserve"> DOCPROPERTY "Header" \* MERGEFORMAT </w:instrText>
    </w:r>
    <w:r>
      <w:rPr>
        <w:b/>
        <w:bCs/>
      </w:rPr>
      <w:fldChar w:fldCharType="separate"/>
    </w:r>
    <w:r w:rsidR="00771D9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1D93">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1D93">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1D93">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71D93" w:rsidRPr="00771D9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1D93">
      <w:rPr>
        <w:b/>
        <w:bCs/>
        <w:noProof/>
      </w:rPr>
      <w:t>UIT-R  M.1465-2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6B"/>
    <w:rsid w:val="000C1880"/>
    <w:rsid w:val="00173A4A"/>
    <w:rsid w:val="001B2C28"/>
    <w:rsid w:val="001C5679"/>
    <w:rsid w:val="00217EBF"/>
    <w:rsid w:val="00242AEE"/>
    <w:rsid w:val="00293800"/>
    <w:rsid w:val="002D76C4"/>
    <w:rsid w:val="003B292A"/>
    <w:rsid w:val="003D726E"/>
    <w:rsid w:val="003F3CDD"/>
    <w:rsid w:val="004014E8"/>
    <w:rsid w:val="004C6AE7"/>
    <w:rsid w:val="00516DE5"/>
    <w:rsid w:val="0052529D"/>
    <w:rsid w:val="00526014"/>
    <w:rsid w:val="00575672"/>
    <w:rsid w:val="00607D68"/>
    <w:rsid w:val="007468DA"/>
    <w:rsid w:val="00771D93"/>
    <w:rsid w:val="00864BF9"/>
    <w:rsid w:val="008E096B"/>
    <w:rsid w:val="00922F08"/>
    <w:rsid w:val="009C0E4E"/>
    <w:rsid w:val="009D70BD"/>
    <w:rsid w:val="009E00A8"/>
    <w:rsid w:val="00A6617B"/>
    <w:rsid w:val="00A9685B"/>
    <w:rsid w:val="00AB0DC8"/>
    <w:rsid w:val="00B44E24"/>
    <w:rsid w:val="00BB5C71"/>
    <w:rsid w:val="00BF3DFE"/>
    <w:rsid w:val="00C66BDE"/>
    <w:rsid w:val="00CB6E4F"/>
    <w:rsid w:val="00DF4176"/>
    <w:rsid w:val="00E11861"/>
    <w:rsid w:val="00EA18B8"/>
    <w:rsid w:val="00EA59FF"/>
    <w:rsid w:val="00F06747"/>
    <w:rsid w:val="00FA34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3EA897-530C-49F7-A8CF-DED1A0DBC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8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93800"/>
    <w:pPr>
      <w:keepNext/>
      <w:keepLines/>
      <w:spacing w:before="480"/>
      <w:ind w:left="794" w:hanging="794"/>
      <w:outlineLvl w:val="0"/>
    </w:pPr>
    <w:rPr>
      <w:b/>
    </w:rPr>
  </w:style>
  <w:style w:type="paragraph" w:styleId="Heading2">
    <w:name w:val="heading 2"/>
    <w:basedOn w:val="Heading1"/>
    <w:next w:val="Normal"/>
    <w:qFormat/>
    <w:rsid w:val="00293800"/>
    <w:pPr>
      <w:spacing w:before="320"/>
      <w:outlineLvl w:val="1"/>
    </w:pPr>
  </w:style>
  <w:style w:type="paragraph" w:styleId="Heading3">
    <w:name w:val="heading 3"/>
    <w:basedOn w:val="Heading1"/>
    <w:next w:val="Normal"/>
    <w:qFormat/>
    <w:rsid w:val="00293800"/>
    <w:pPr>
      <w:spacing w:before="200"/>
      <w:outlineLvl w:val="2"/>
    </w:pPr>
  </w:style>
  <w:style w:type="paragraph" w:styleId="Heading4">
    <w:name w:val="heading 4"/>
    <w:basedOn w:val="Heading3"/>
    <w:next w:val="Normal"/>
    <w:qFormat/>
    <w:rsid w:val="00293800"/>
    <w:pPr>
      <w:tabs>
        <w:tab w:val="clear" w:pos="794"/>
        <w:tab w:val="left" w:pos="992"/>
      </w:tabs>
      <w:ind w:left="992" w:hanging="992"/>
      <w:outlineLvl w:val="3"/>
    </w:pPr>
  </w:style>
  <w:style w:type="paragraph" w:styleId="Heading5">
    <w:name w:val="heading 5"/>
    <w:basedOn w:val="Heading4"/>
    <w:next w:val="Normal"/>
    <w:qFormat/>
    <w:rsid w:val="00293800"/>
    <w:pPr>
      <w:outlineLvl w:val="4"/>
    </w:pPr>
  </w:style>
  <w:style w:type="paragraph" w:styleId="Heading6">
    <w:name w:val="heading 6"/>
    <w:basedOn w:val="Heading4"/>
    <w:next w:val="Normal"/>
    <w:qFormat/>
    <w:rsid w:val="00293800"/>
    <w:pPr>
      <w:tabs>
        <w:tab w:val="clear" w:pos="992"/>
        <w:tab w:val="clear" w:pos="1191"/>
      </w:tabs>
      <w:ind w:left="1588" w:hanging="1588"/>
      <w:outlineLvl w:val="5"/>
    </w:pPr>
  </w:style>
  <w:style w:type="paragraph" w:styleId="Heading7">
    <w:name w:val="heading 7"/>
    <w:basedOn w:val="Heading6"/>
    <w:next w:val="Normal"/>
    <w:qFormat/>
    <w:rsid w:val="00293800"/>
    <w:pPr>
      <w:outlineLvl w:val="6"/>
    </w:pPr>
  </w:style>
  <w:style w:type="paragraph" w:styleId="Heading8">
    <w:name w:val="heading 8"/>
    <w:basedOn w:val="Heading6"/>
    <w:next w:val="Normal"/>
    <w:qFormat/>
    <w:rsid w:val="00293800"/>
    <w:pPr>
      <w:outlineLvl w:val="7"/>
    </w:pPr>
  </w:style>
  <w:style w:type="paragraph" w:styleId="Heading9">
    <w:name w:val="heading 9"/>
    <w:basedOn w:val="Heading6"/>
    <w:next w:val="Normal"/>
    <w:qFormat/>
    <w:rsid w:val="00293800"/>
    <w:pPr>
      <w:jc w:val="left"/>
      <w:outlineLvl w:val="8"/>
    </w:pPr>
  </w:style>
  <w:style w:type="character" w:default="1" w:styleId="DefaultParagraphFont">
    <w:name w:val="Default Paragraph Font"/>
    <w:uiPriority w:val="1"/>
    <w:semiHidden/>
    <w:unhideWhenUsed/>
    <w:rsid w:val="0029380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3800"/>
  </w:style>
  <w:style w:type="paragraph" w:styleId="Header">
    <w:name w:val="header"/>
    <w:basedOn w:val="Normal"/>
    <w:link w:val="HeaderChar"/>
    <w:rsid w:val="0029380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9380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93800"/>
  </w:style>
  <w:style w:type="paragraph" w:customStyle="1" w:styleId="Headingb">
    <w:name w:val="Heading_b"/>
    <w:basedOn w:val="Heading3"/>
    <w:next w:val="Normal"/>
    <w:rsid w:val="00293800"/>
    <w:pPr>
      <w:spacing w:before="160"/>
      <w:ind w:left="0" w:firstLine="0"/>
      <w:outlineLvl w:val="9"/>
    </w:pPr>
  </w:style>
  <w:style w:type="paragraph" w:customStyle="1" w:styleId="Headingi">
    <w:name w:val="Heading_i"/>
    <w:basedOn w:val="Heading3"/>
    <w:next w:val="Normal"/>
    <w:rsid w:val="00293800"/>
    <w:pPr>
      <w:spacing w:before="160"/>
      <w:ind w:left="0" w:firstLine="0"/>
    </w:pPr>
    <w:rPr>
      <w:b w:val="0"/>
      <w:i/>
    </w:rPr>
  </w:style>
  <w:style w:type="character" w:customStyle="1" w:styleId="href">
    <w:name w:val="href"/>
    <w:basedOn w:val="DefaultParagraphFont"/>
    <w:rsid w:val="00293800"/>
  </w:style>
  <w:style w:type="paragraph" w:customStyle="1" w:styleId="enumlev1">
    <w:name w:val="enumlev1"/>
    <w:basedOn w:val="Normal"/>
    <w:rsid w:val="00293800"/>
    <w:pPr>
      <w:spacing w:before="80"/>
      <w:ind w:left="794" w:hanging="794"/>
    </w:pPr>
  </w:style>
  <w:style w:type="paragraph" w:customStyle="1" w:styleId="enumlev2">
    <w:name w:val="enumlev2"/>
    <w:basedOn w:val="enumlev1"/>
    <w:rsid w:val="00293800"/>
    <w:pPr>
      <w:ind w:left="1191" w:hanging="397"/>
    </w:pPr>
  </w:style>
  <w:style w:type="paragraph" w:customStyle="1" w:styleId="enumlev3">
    <w:name w:val="enumlev3"/>
    <w:basedOn w:val="enumlev2"/>
    <w:rsid w:val="00293800"/>
    <w:pPr>
      <w:ind w:left="1588"/>
    </w:pPr>
  </w:style>
  <w:style w:type="paragraph" w:customStyle="1" w:styleId="Normalaftertitle">
    <w:name w:val="Normal_after_title"/>
    <w:basedOn w:val="Normal"/>
    <w:next w:val="Normal"/>
    <w:rsid w:val="00293800"/>
    <w:pPr>
      <w:spacing w:before="320"/>
    </w:pPr>
  </w:style>
  <w:style w:type="paragraph" w:customStyle="1" w:styleId="Note">
    <w:name w:val="Note"/>
    <w:basedOn w:val="Normal"/>
    <w:rsid w:val="0029380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9380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C6AE7"/>
    <w:pPr>
      <w:spacing w:before="240"/>
    </w:pPr>
    <w:rPr>
      <w:sz w:val="22"/>
      <w:lang w:val="es-ES_tradnl"/>
    </w:rPr>
  </w:style>
  <w:style w:type="paragraph" w:customStyle="1" w:styleId="Recref">
    <w:name w:val="Rec_ref"/>
    <w:basedOn w:val="Normal"/>
    <w:next w:val="Recdate"/>
    <w:rsid w:val="00293800"/>
    <w:pPr>
      <w:jc w:val="center"/>
    </w:pPr>
  </w:style>
  <w:style w:type="paragraph" w:customStyle="1" w:styleId="Recdate">
    <w:name w:val="Rec_date"/>
    <w:basedOn w:val="Recref"/>
    <w:next w:val="Normalaftertitle"/>
    <w:rsid w:val="00293800"/>
    <w:pPr>
      <w:jc w:val="right"/>
    </w:pPr>
  </w:style>
  <w:style w:type="paragraph" w:customStyle="1" w:styleId="AnnexNoTitle">
    <w:name w:val="Annex_NoTitle"/>
    <w:basedOn w:val="Normal"/>
    <w:next w:val="Normalaftertitle"/>
    <w:rsid w:val="00293800"/>
    <w:pPr>
      <w:keepNext/>
      <w:keepLines/>
      <w:spacing w:before="480" w:after="80"/>
      <w:jc w:val="center"/>
    </w:pPr>
    <w:rPr>
      <w:b/>
      <w:sz w:val="28"/>
    </w:rPr>
  </w:style>
  <w:style w:type="paragraph" w:customStyle="1" w:styleId="AppendixNoTitle">
    <w:name w:val="Appendix_NoTitle"/>
    <w:basedOn w:val="AnnexNoTitle"/>
    <w:next w:val="Normal"/>
    <w:rsid w:val="00293800"/>
  </w:style>
  <w:style w:type="paragraph" w:customStyle="1" w:styleId="Tablefin">
    <w:name w:val="Table_fin"/>
    <w:basedOn w:val="Normal"/>
    <w:next w:val="Normal"/>
    <w:rsid w:val="00293800"/>
    <w:pPr>
      <w:spacing w:before="0"/>
    </w:pPr>
    <w:rPr>
      <w:sz w:val="20"/>
      <w:lang w:val="en-GB"/>
    </w:rPr>
  </w:style>
  <w:style w:type="paragraph" w:customStyle="1" w:styleId="Tablehead">
    <w:name w:val="Table_head"/>
    <w:basedOn w:val="Normal"/>
    <w:next w:val="Normal"/>
    <w:link w:val="TableheadChar"/>
    <w:rsid w:val="0029380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938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93800"/>
    <w:pPr>
      <w:keepNext/>
      <w:spacing w:before="360" w:after="120"/>
      <w:jc w:val="center"/>
    </w:pPr>
  </w:style>
  <w:style w:type="paragraph" w:customStyle="1" w:styleId="Tabletext">
    <w:name w:val="Table_text"/>
    <w:basedOn w:val="Normal"/>
    <w:link w:val="TabletextChar"/>
    <w:rsid w:val="002938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93800"/>
    <w:pPr>
      <w:tabs>
        <w:tab w:val="clear" w:pos="1191"/>
        <w:tab w:val="clear" w:pos="1588"/>
        <w:tab w:val="clear" w:pos="1985"/>
        <w:tab w:val="center" w:pos="4820"/>
        <w:tab w:val="right" w:pos="9639"/>
      </w:tabs>
    </w:pPr>
  </w:style>
  <w:style w:type="paragraph" w:customStyle="1" w:styleId="Equationlegend">
    <w:name w:val="Equation_legend"/>
    <w:basedOn w:val="NormalIndent"/>
    <w:rsid w:val="0029380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3800"/>
    <w:pPr>
      <w:ind w:left="794"/>
    </w:pPr>
  </w:style>
  <w:style w:type="paragraph" w:customStyle="1" w:styleId="Figurelegend">
    <w:name w:val="Figure_legend"/>
    <w:basedOn w:val="Normal"/>
    <w:rsid w:val="0029380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93800"/>
    <w:pPr>
      <w:keepNext/>
      <w:keepLines/>
      <w:spacing w:before="480" w:after="80"/>
      <w:jc w:val="center"/>
    </w:pPr>
    <w:rPr>
      <w:caps/>
      <w:sz w:val="18"/>
    </w:rPr>
  </w:style>
  <w:style w:type="paragraph" w:customStyle="1" w:styleId="tocpart">
    <w:name w:val="tocpart"/>
    <w:basedOn w:val="Normal"/>
    <w:rsid w:val="0029380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3800"/>
    <w:pPr>
      <w:keepNext/>
      <w:keepLines/>
      <w:spacing w:before="480"/>
      <w:jc w:val="center"/>
    </w:pPr>
    <w:rPr>
      <w:sz w:val="28"/>
    </w:rPr>
  </w:style>
  <w:style w:type="paragraph" w:customStyle="1" w:styleId="Arttitle">
    <w:name w:val="Art_title"/>
    <w:basedOn w:val="Normal"/>
    <w:next w:val="Normalaftertitle"/>
    <w:rsid w:val="00293800"/>
    <w:pPr>
      <w:keepNext/>
      <w:keepLines/>
      <w:spacing w:before="240"/>
      <w:jc w:val="center"/>
    </w:pPr>
    <w:rPr>
      <w:b/>
      <w:sz w:val="28"/>
    </w:rPr>
  </w:style>
  <w:style w:type="paragraph" w:customStyle="1" w:styleId="Blanc">
    <w:name w:val="Blanc"/>
    <w:basedOn w:val="Normal"/>
    <w:next w:val="Tabletext"/>
    <w:rsid w:val="0029380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380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93800"/>
    <w:pPr>
      <w:keepNext/>
      <w:keepLines/>
      <w:spacing w:before="160"/>
      <w:ind w:left="794"/>
    </w:pPr>
    <w:rPr>
      <w:i/>
    </w:rPr>
  </w:style>
  <w:style w:type="paragraph" w:customStyle="1" w:styleId="ChapNo">
    <w:name w:val="Chap_No"/>
    <w:basedOn w:val="ArtNo"/>
    <w:next w:val="Chaptitle"/>
    <w:rsid w:val="00293800"/>
    <w:rPr>
      <w:b/>
    </w:rPr>
  </w:style>
  <w:style w:type="paragraph" w:customStyle="1" w:styleId="Chaptitle">
    <w:name w:val="Chap_title"/>
    <w:basedOn w:val="Arttitle"/>
    <w:next w:val="Normalaftertitle"/>
    <w:rsid w:val="00293800"/>
  </w:style>
  <w:style w:type="character" w:styleId="FootnoteReference">
    <w:name w:val="footnote reference"/>
    <w:basedOn w:val="DefaultParagraphFont"/>
    <w:semiHidden/>
    <w:rsid w:val="00293800"/>
    <w:rPr>
      <w:position w:val="6"/>
      <w:sz w:val="18"/>
    </w:rPr>
  </w:style>
  <w:style w:type="paragraph" w:styleId="FootnoteText">
    <w:name w:val="footnote text"/>
    <w:basedOn w:val="Normal"/>
    <w:semiHidden/>
    <w:rsid w:val="00293800"/>
    <w:pPr>
      <w:keepLines/>
      <w:tabs>
        <w:tab w:val="left" w:pos="255"/>
      </w:tabs>
      <w:ind w:left="255" w:hanging="255"/>
    </w:pPr>
    <w:rPr>
      <w:sz w:val="22"/>
    </w:rPr>
  </w:style>
  <w:style w:type="paragraph" w:styleId="Index1">
    <w:name w:val="index 1"/>
    <w:basedOn w:val="Normal"/>
    <w:next w:val="Normal"/>
    <w:semiHidden/>
    <w:rsid w:val="00293800"/>
  </w:style>
  <w:style w:type="paragraph" w:styleId="Index2">
    <w:name w:val="index 2"/>
    <w:basedOn w:val="Normal"/>
    <w:next w:val="Normal"/>
    <w:semiHidden/>
    <w:rsid w:val="00293800"/>
    <w:pPr>
      <w:ind w:left="283"/>
    </w:pPr>
  </w:style>
  <w:style w:type="paragraph" w:styleId="Index3">
    <w:name w:val="index 3"/>
    <w:basedOn w:val="Normal"/>
    <w:next w:val="Normal"/>
    <w:semiHidden/>
    <w:rsid w:val="00293800"/>
    <w:pPr>
      <w:ind w:left="566"/>
    </w:pPr>
  </w:style>
  <w:style w:type="paragraph" w:styleId="IndexHeading">
    <w:name w:val="index heading"/>
    <w:basedOn w:val="Normal"/>
    <w:next w:val="Index1"/>
    <w:semiHidden/>
    <w:rsid w:val="00293800"/>
  </w:style>
  <w:style w:type="paragraph" w:customStyle="1" w:styleId="Line">
    <w:name w:val="Line"/>
    <w:basedOn w:val="Normal"/>
    <w:next w:val="Normal"/>
    <w:rsid w:val="0029380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380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3800"/>
  </w:style>
  <w:style w:type="paragraph" w:customStyle="1" w:styleId="Partref">
    <w:name w:val="Part_ref"/>
    <w:basedOn w:val="Normal"/>
    <w:next w:val="Normal"/>
    <w:rsid w:val="00293800"/>
    <w:pPr>
      <w:keepNext/>
      <w:keepLines/>
      <w:spacing w:after="280"/>
      <w:jc w:val="center"/>
    </w:pPr>
  </w:style>
  <w:style w:type="paragraph" w:customStyle="1" w:styleId="Parttitle">
    <w:name w:val="Part_title"/>
    <w:basedOn w:val="Normal"/>
    <w:next w:val="Normalaftertitle"/>
    <w:rsid w:val="0029380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3800"/>
  </w:style>
  <w:style w:type="paragraph" w:customStyle="1" w:styleId="QuestionNo">
    <w:name w:val="Question_No"/>
    <w:basedOn w:val="RecNo"/>
    <w:next w:val="Normal"/>
    <w:rsid w:val="00293800"/>
  </w:style>
  <w:style w:type="paragraph" w:customStyle="1" w:styleId="Questionref">
    <w:name w:val="Question_ref"/>
    <w:basedOn w:val="Recref"/>
    <w:next w:val="Questiondate"/>
    <w:rsid w:val="00293800"/>
  </w:style>
  <w:style w:type="paragraph" w:customStyle="1" w:styleId="Questiontitle">
    <w:name w:val="Question_title"/>
    <w:basedOn w:val="Normal"/>
    <w:next w:val="Questionref"/>
    <w:rsid w:val="00293800"/>
  </w:style>
  <w:style w:type="paragraph" w:customStyle="1" w:styleId="Reftext">
    <w:name w:val="Ref_text"/>
    <w:basedOn w:val="Normal"/>
    <w:rsid w:val="00293800"/>
    <w:pPr>
      <w:ind w:left="794" w:hanging="794"/>
    </w:pPr>
    <w:rPr>
      <w:sz w:val="22"/>
    </w:rPr>
  </w:style>
  <w:style w:type="paragraph" w:customStyle="1" w:styleId="Reftitle">
    <w:name w:val="Ref_title"/>
    <w:basedOn w:val="Normal"/>
    <w:next w:val="Reftext"/>
    <w:rsid w:val="0029380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3800"/>
  </w:style>
  <w:style w:type="paragraph" w:customStyle="1" w:styleId="RepNo">
    <w:name w:val="Rep_No"/>
    <w:basedOn w:val="RecNo"/>
    <w:next w:val="Reptitle"/>
    <w:rsid w:val="00293800"/>
  </w:style>
  <w:style w:type="paragraph" w:customStyle="1" w:styleId="Repref">
    <w:name w:val="Rep_ref"/>
    <w:basedOn w:val="Recref"/>
    <w:next w:val="Repdate"/>
    <w:rsid w:val="00293800"/>
  </w:style>
  <w:style w:type="paragraph" w:customStyle="1" w:styleId="Reptitle">
    <w:name w:val="Rep_title"/>
    <w:basedOn w:val="Rectitle"/>
    <w:next w:val="Repref"/>
    <w:rsid w:val="00293800"/>
  </w:style>
  <w:style w:type="paragraph" w:customStyle="1" w:styleId="Resdate">
    <w:name w:val="Res_date"/>
    <w:basedOn w:val="Recdate"/>
    <w:next w:val="Normalaftertitle"/>
    <w:rsid w:val="00293800"/>
  </w:style>
  <w:style w:type="paragraph" w:customStyle="1" w:styleId="ResNo">
    <w:name w:val="Res_No"/>
    <w:basedOn w:val="RecNo"/>
    <w:next w:val="Restitle"/>
    <w:rsid w:val="00293800"/>
  </w:style>
  <w:style w:type="paragraph" w:customStyle="1" w:styleId="Resref">
    <w:name w:val="Res_ref"/>
    <w:basedOn w:val="Recref"/>
    <w:next w:val="Resdate"/>
    <w:rsid w:val="00293800"/>
  </w:style>
  <w:style w:type="paragraph" w:customStyle="1" w:styleId="Restitle">
    <w:name w:val="Res_title"/>
    <w:basedOn w:val="Normal"/>
    <w:next w:val="Resref"/>
    <w:rsid w:val="00293800"/>
    <w:pPr>
      <w:spacing w:before="240"/>
      <w:jc w:val="center"/>
    </w:pPr>
    <w:rPr>
      <w:b/>
      <w:sz w:val="28"/>
    </w:rPr>
  </w:style>
  <w:style w:type="paragraph" w:customStyle="1" w:styleId="SectionNo">
    <w:name w:val="Section_No"/>
    <w:basedOn w:val="Normal"/>
    <w:next w:val="Normal"/>
    <w:rsid w:val="00293800"/>
  </w:style>
  <w:style w:type="paragraph" w:customStyle="1" w:styleId="Sectiontitle">
    <w:name w:val="Section_title"/>
    <w:basedOn w:val="Normal"/>
    <w:next w:val="Normalaftertitle"/>
    <w:rsid w:val="0029380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3800"/>
    <w:pPr>
      <w:tabs>
        <w:tab w:val="clear" w:pos="794"/>
        <w:tab w:val="clear" w:pos="1191"/>
        <w:tab w:val="clear" w:pos="1588"/>
        <w:tab w:val="clear" w:pos="1985"/>
        <w:tab w:val="right" w:pos="9611"/>
      </w:tabs>
    </w:pPr>
    <w:rPr>
      <w:i/>
    </w:rPr>
  </w:style>
  <w:style w:type="paragraph" w:styleId="TOC1">
    <w:name w:val="toc 1"/>
    <w:basedOn w:val="Normal"/>
    <w:semiHidden/>
    <w:rsid w:val="0029380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93800"/>
    <w:pPr>
      <w:tabs>
        <w:tab w:val="clear" w:pos="567"/>
        <w:tab w:val="left" w:pos="1276"/>
      </w:tabs>
      <w:spacing w:before="160"/>
      <w:ind w:left="1276" w:hanging="709"/>
    </w:pPr>
  </w:style>
  <w:style w:type="paragraph" w:styleId="TOC3">
    <w:name w:val="toc 3"/>
    <w:basedOn w:val="TOC2"/>
    <w:semiHidden/>
    <w:rsid w:val="00293800"/>
    <w:pPr>
      <w:tabs>
        <w:tab w:val="clear" w:pos="1276"/>
        <w:tab w:val="left" w:pos="2155"/>
      </w:tabs>
      <w:ind w:left="2155" w:hanging="879"/>
    </w:pPr>
  </w:style>
  <w:style w:type="paragraph" w:styleId="TOC4">
    <w:name w:val="toc 4"/>
    <w:basedOn w:val="TOC3"/>
    <w:semiHidden/>
    <w:rsid w:val="00293800"/>
    <w:pPr>
      <w:tabs>
        <w:tab w:val="left" w:pos="3261"/>
      </w:tabs>
      <w:spacing w:before="80"/>
      <w:ind w:left="3261" w:hanging="993"/>
    </w:pPr>
  </w:style>
  <w:style w:type="paragraph" w:styleId="TOC5">
    <w:name w:val="toc 5"/>
    <w:basedOn w:val="TOC4"/>
    <w:semiHidden/>
    <w:rsid w:val="00293800"/>
  </w:style>
  <w:style w:type="paragraph" w:styleId="TOC6">
    <w:name w:val="toc 6"/>
    <w:basedOn w:val="TOC4"/>
    <w:semiHidden/>
    <w:rsid w:val="00293800"/>
  </w:style>
  <w:style w:type="paragraph" w:styleId="TOC7">
    <w:name w:val="toc 7"/>
    <w:basedOn w:val="TOC4"/>
    <w:semiHidden/>
    <w:rsid w:val="00293800"/>
  </w:style>
  <w:style w:type="paragraph" w:styleId="TOC8">
    <w:name w:val="toc 8"/>
    <w:basedOn w:val="TOC4"/>
    <w:semiHidden/>
    <w:rsid w:val="00293800"/>
  </w:style>
  <w:style w:type="paragraph" w:customStyle="1" w:styleId="Rectitle">
    <w:name w:val="Rec_title"/>
    <w:basedOn w:val="Normal"/>
    <w:next w:val="Recref"/>
    <w:rsid w:val="00293800"/>
    <w:pPr>
      <w:keepNext/>
      <w:keepLines/>
      <w:spacing w:before="240"/>
      <w:jc w:val="center"/>
    </w:pPr>
    <w:rPr>
      <w:b/>
      <w:sz w:val="28"/>
    </w:rPr>
  </w:style>
  <w:style w:type="paragraph" w:customStyle="1" w:styleId="Annexref">
    <w:name w:val="Annex_ref"/>
    <w:basedOn w:val="Normal"/>
    <w:next w:val="Normalaftertitle"/>
    <w:rsid w:val="00293800"/>
    <w:pPr>
      <w:keepNext/>
      <w:keepLines/>
      <w:spacing w:after="280"/>
      <w:jc w:val="center"/>
    </w:pPr>
  </w:style>
  <w:style w:type="paragraph" w:customStyle="1" w:styleId="Appendixref">
    <w:name w:val="Appendix_ref"/>
    <w:basedOn w:val="Annexref"/>
    <w:next w:val="Normalaftertitle"/>
    <w:rsid w:val="00293800"/>
  </w:style>
  <w:style w:type="paragraph" w:customStyle="1" w:styleId="Figuretitle">
    <w:name w:val="Figure_title"/>
    <w:basedOn w:val="Normal"/>
    <w:next w:val="Figure"/>
    <w:rsid w:val="0029380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93800"/>
    <w:pPr>
      <w:keepNext/>
      <w:spacing w:before="0" w:after="120"/>
      <w:jc w:val="center"/>
    </w:pPr>
    <w:rPr>
      <w:b/>
    </w:rPr>
  </w:style>
  <w:style w:type="paragraph" w:customStyle="1" w:styleId="Summary">
    <w:name w:val="Summary"/>
    <w:basedOn w:val="Normal"/>
    <w:next w:val="Normalaftertitle"/>
    <w:autoRedefine/>
    <w:rsid w:val="00293800"/>
    <w:pPr>
      <w:spacing w:after="480"/>
    </w:pPr>
    <w:rPr>
      <w:sz w:val="22"/>
      <w:lang w:val="es-ES_tradnl"/>
    </w:rPr>
  </w:style>
  <w:style w:type="paragraph" w:customStyle="1" w:styleId="TableLegendNote">
    <w:name w:val="Table_Legend_Note"/>
    <w:basedOn w:val="Tablelegend"/>
    <w:next w:val="Tablelegend"/>
    <w:rsid w:val="00293800"/>
    <w:pPr>
      <w:ind w:left="-85" w:firstLine="0"/>
    </w:pPr>
    <w:rPr>
      <w:lang w:val="en-US"/>
    </w:rPr>
  </w:style>
  <w:style w:type="paragraph" w:customStyle="1" w:styleId="Figure">
    <w:name w:val="Figure"/>
    <w:basedOn w:val="FigureNo"/>
    <w:next w:val="Normal"/>
    <w:rsid w:val="00293800"/>
    <w:pPr>
      <w:keepNext w:val="0"/>
      <w:spacing w:before="0" w:after="240"/>
    </w:pPr>
  </w:style>
  <w:style w:type="character" w:styleId="Hyperlink">
    <w:name w:val="Hyperlink"/>
    <w:basedOn w:val="DefaultParagraphFont"/>
    <w:uiPriority w:val="99"/>
    <w:rsid w:val="008E096B"/>
    <w:rPr>
      <w:color w:val="0000FF"/>
      <w:u w:val="single"/>
    </w:rPr>
  </w:style>
  <w:style w:type="character" w:customStyle="1" w:styleId="TableheadChar">
    <w:name w:val="Table_head Char"/>
    <w:basedOn w:val="DefaultParagraphFont"/>
    <w:link w:val="Tablehead"/>
    <w:locked/>
    <w:rsid w:val="008E096B"/>
    <w:rPr>
      <w:b/>
      <w:sz w:val="22"/>
      <w:lang w:val="fr-FR" w:eastAsia="en-US"/>
    </w:rPr>
  </w:style>
  <w:style w:type="character" w:customStyle="1" w:styleId="TabletextChar">
    <w:name w:val="Table_text Char"/>
    <w:basedOn w:val="DefaultParagraphFont"/>
    <w:link w:val="Tabletext"/>
    <w:locked/>
    <w:rsid w:val="008E096B"/>
    <w:rPr>
      <w:sz w:val="22"/>
      <w:lang w:val="fr-FR" w:eastAsia="en-US"/>
    </w:rPr>
  </w:style>
  <w:style w:type="character" w:customStyle="1" w:styleId="Heading1Char">
    <w:name w:val="Heading 1 Char"/>
    <w:basedOn w:val="DefaultParagraphFont"/>
    <w:link w:val="Heading1"/>
    <w:rsid w:val="008E096B"/>
    <w:rPr>
      <w:b/>
      <w:sz w:val="24"/>
      <w:lang w:val="fr-FR" w:eastAsia="en-US"/>
    </w:rPr>
  </w:style>
  <w:style w:type="character" w:customStyle="1" w:styleId="HeaderChar">
    <w:name w:val="Header Char"/>
    <w:basedOn w:val="DefaultParagraphFont"/>
    <w:link w:val="Header"/>
    <w:rsid w:val="008E096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0.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66</TotalTime>
  <Pages>10</Pages>
  <Words>3604</Words>
  <Characters>19076</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30</cp:revision>
  <cp:lastPrinted>2016-05-10T12:49:00Z</cp:lastPrinted>
  <dcterms:created xsi:type="dcterms:W3CDTF">2016-05-10T11:31:00Z</dcterms:created>
  <dcterms:modified xsi:type="dcterms:W3CDTF">2016-05-10T12:55:00Z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