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A43D7" w:rsidRPr="00D11A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1462-1</w:t>
            </w:r>
          </w:p>
          <w:p w:rsidR="00FE79FE" w:rsidRPr="00225DDD" w:rsidRDefault="00FE79FE" w:rsidP="00EA3AD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EA3A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EA3A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AA43D7" w:rsidRPr="0027442C">
        <w:tc>
          <w:tcPr>
            <w:tcW w:w="10089" w:type="dxa"/>
          </w:tcPr>
          <w:p w:rsidR="00AA43D7" w:rsidRPr="00D11A74" w:rsidRDefault="00AA43D7" w:rsidP="00AA43D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A43D7" w:rsidRPr="00D11A74" w:rsidRDefault="00AA43D7" w:rsidP="00AA43D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11A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Характеристика и критерии защиты радаров, работающих в радиолокационной службе</w:t>
            </w:r>
            <w:r w:rsidRPr="00D11A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диапазоне частот 420–450 МГц</w:t>
            </w:r>
          </w:p>
        </w:tc>
      </w:tr>
      <w:tr w:rsidR="00AA43D7" w:rsidRPr="0027442C">
        <w:tc>
          <w:tcPr>
            <w:tcW w:w="10089" w:type="dxa"/>
          </w:tcPr>
          <w:p w:rsidR="00AA43D7" w:rsidRPr="00131900" w:rsidRDefault="00AA43D7" w:rsidP="00AA43D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A43D7" w:rsidRPr="00131900" w:rsidRDefault="00AA43D7" w:rsidP="00AA43D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A43D7" w:rsidRPr="00131900" w:rsidRDefault="00AA43D7" w:rsidP="00AA43D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A43D7" w:rsidRPr="00131900" w:rsidRDefault="00AA43D7" w:rsidP="00AA43D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AA43D7" w:rsidRPr="0071378F" w:rsidRDefault="00AA43D7" w:rsidP="00AA43D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A43D7" w:rsidRPr="00A83C2A" w:rsidRDefault="00AA43D7" w:rsidP="00AA43D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A43D7" w:rsidRPr="00131900" w:rsidRDefault="00AA43D7" w:rsidP="00AA43D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Всемирные и региональные конференции радиосв</w:t>
      </w:r>
      <w:bookmarkStart w:id="1" w:name="_GoBack"/>
      <w:bookmarkEnd w:id="1"/>
      <w:r w:rsidRPr="00854998">
        <w:rPr>
          <w:sz w:val="20"/>
          <w:lang w:val="ru-RU"/>
        </w:rPr>
        <w:t xml:space="preserve">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ED5EAE">
        <w:fldChar w:fldCharType="begin"/>
      </w:r>
      <w:r w:rsidR="00ED5EAE">
        <w:instrText xml:space="preserve"> HYPERLINK "http://www.itu.int/ITU-R/go/patents/en" </w:instrText>
      </w:r>
      <w:r w:rsidR="00ED5EAE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ED5EAE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2" w:name="iiannee"/>
      <w:bookmarkEnd w:id="2"/>
      <w:r w:rsidRPr="001A5DF7">
        <w:rPr>
          <w:sz w:val="20"/>
          <w:lang w:val="ru-RU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Default="00C906E6" w:rsidP="003804DC">
      <w:pPr>
        <w:pStyle w:val="RecNo"/>
        <w:spacing w:before="0"/>
        <w:rPr>
          <w:rStyle w:val="href"/>
          <w:szCs w:val="26"/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AA43D7" w:rsidRPr="00D11A74">
        <w:rPr>
          <w:rStyle w:val="href"/>
          <w:szCs w:val="26"/>
          <w:lang w:val="ru-RU"/>
        </w:rPr>
        <w:t>1462-1</w:t>
      </w:r>
    </w:p>
    <w:p w:rsidR="00AA43D7" w:rsidRPr="00D11A74" w:rsidRDefault="00AA43D7" w:rsidP="00AA43D7">
      <w:pPr>
        <w:pStyle w:val="Rectitle"/>
        <w:rPr>
          <w:szCs w:val="26"/>
          <w:lang w:val="ru-RU"/>
        </w:rPr>
      </w:pPr>
      <w:r w:rsidRPr="00D11A74">
        <w:rPr>
          <w:szCs w:val="26"/>
          <w:lang w:val="ru-RU"/>
        </w:rPr>
        <w:t>Характеристики и критерии защиты радаров, работающих</w:t>
      </w:r>
      <w:r w:rsidRPr="00D11A74">
        <w:rPr>
          <w:szCs w:val="26"/>
          <w:lang w:val="ru-RU"/>
        </w:rPr>
        <w:br/>
        <w:t xml:space="preserve">в радиолокационной службе в </w:t>
      </w:r>
      <w:r>
        <w:rPr>
          <w:szCs w:val="26"/>
          <w:lang w:val="ru-RU"/>
        </w:rPr>
        <w:t>диапазоне</w:t>
      </w:r>
      <w:r w:rsidRPr="00D11A74">
        <w:rPr>
          <w:szCs w:val="26"/>
          <w:lang w:val="ru-RU"/>
        </w:rPr>
        <w:t xml:space="preserve"> частот 420–450 МГц</w:t>
      </w:r>
    </w:p>
    <w:p w:rsidR="00AA43D7" w:rsidRPr="00D11A74" w:rsidRDefault="00AA43D7" w:rsidP="00AA43D7">
      <w:pPr>
        <w:pStyle w:val="Recdate"/>
        <w:rPr>
          <w:sz w:val="20"/>
          <w:lang w:val="ru-RU"/>
        </w:rPr>
      </w:pPr>
      <w:r w:rsidRPr="00D11A74">
        <w:rPr>
          <w:lang w:val="ru-RU"/>
        </w:rPr>
        <w:t>(2000-2019)</w:t>
      </w:r>
    </w:p>
    <w:p w:rsidR="00AA43D7" w:rsidRPr="00D11A74" w:rsidRDefault="00AA43D7" w:rsidP="00AA43D7">
      <w:pPr>
        <w:pStyle w:val="HeadingSum"/>
        <w:rPr>
          <w:szCs w:val="22"/>
          <w:lang w:val="ru-RU"/>
        </w:rPr>
      </w:pPr>
      <w:r w:rsidRPr="00D11A74">
        <w:rPr>
          <w:lang w:val="ru-RU"/>
        </w:rPr>
        <w:t>Сфера применения</w:t>
      </w:r>
    </w:p>
    <w:p w:rsidR="00AA43D7" w:rsidRPr="00D11A74" w:rsidRDefault="00AA43D7" w:rsidP="00AA43D7">
      <w:pPr>
        <w:pStyle w:val="Summary"/>
        <w:rPr>
          <w:lang w:val="ru-RU"/>
        </w:rPr>
      </w:pPr>
      <w:r w:rsidRPr="00D11A74">
        <w:rPr>
          <w:lang w:val="ru-RU"/>
        </w:rPr>
        <w:t>В настоящей Рекомендации приведены технические и эксплуатационные характеристики радиолокационных систем, работающих в диапазоне частот 420–450 МГц. Эти параметры предназначены для использования в качестве ориентира при анализе совместимости радар</w:t>
      </w:r>
      <w:r>
        <w:rPr>
          <w:lang w:val="ru-RU"/>
        </w:rPr>
        <w:t>ов</w:t>
      </w:r>
      <w:r w:rsidRPr="00D11A74">
        <w:rPr>
          <w:lang w:val="ru-RU"/>
        </w:rPr>
        <w:t>, работающи</w:t>
      </w:r>
      <w:r>
        <w:rPr>
          <w:lang w:val="ru-RU"/>
        </w:rPr>
        <w:t>х</w:t>
      </w:r>
      <w:r w:rsidRPr="00D11A74">
        <w:rPr>
          <w:lang w:val="ru-RU"/>
        </w:rPr>
        <w:t xml:space="preserve"> в службе радиоопределения, и систем других служб.</w:t>
      </w:r>
    </w:p>
    <w:p w:rsidR="00AA43D7" w:rsidRPr="00D11A74" w:rsidRDefault="00AA43D7" w:rsidP="00AA43D7">
      <w:pPr>
        <w:pStyle w:val="Headingb"/>
        <w:rPr>
          <w:lang w:val="ru-RU"/>
        </w:rPr>
      </w:pPr>
      <w:r w:rsidRPr="00D11A74">
        <w:rPr>
          <w:lang w:val="ru-RU"/>
        </w:rPr>
        <w:t>Ключевые слова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>Радар, характеристики, критерии защиты</w:t>
      </w:r>
    </w:p>
    <w:p w:rsidR="00AA43D7" w:rsidRPr="00D11A74" w:rsidRDefault="00AA43D7" w:rsidP="00AA43D7">
      <w:pPr>
        <w:pStyle w:val="Headingb"/>
        <w:rPr>
          <w:lang w:val="ru-RU"/>
        </w:rPr>
      </w:pPr>
      <w:r w:rsidRPr="00D11A74">
        <w:rPr>
          <w:lang w:val="ru-RU"/>
        </w:rPr>
        <w:t>Сокращения/глоссарий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94"/>
        <w:gridCol w:w="4559"/>
        <w:gridCol w:w="851"/>
        <w:gridCol w:w="3685"/>
      </w:tblGrid>
      <w:tr w:rsidR="00AA43D7" w:rsidRPr="00D11A74" w:rsidTr="003675F3">
        <w:tc>
          <w:tcPr>
            <w:tcW w:w="794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IF</w:t>
            </w:r>
          </w:p>
        </w:tc>
        <w:tc>
          <w:tcPr>
            <w:tcW w:w="4559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Intermediate Frequency</w:t>
            </w:r>
          </w:p>
        </w:tc>
        <w:tc>
          <w:tcPr>
            <w:tcW w:w="851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ПЧ</w:t>
            </w:r>
          </w:p>
        </w:tc>
        <w:tc>
          <w:tcPr>
            <w:tcW w:w="3685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Промежуточная частота</w:t>
            </w:r>
          </w:p>
        </w:tc>
      </w:tr>
      <w:tr w:rsidR="00AA43D7" w:rsidRPr="00D11A74" w:rsidTr="003675F3">
        <w:tc>
          <w:tcPr>
            <w:tcW w:w="794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5F6576">
              <w:rPr>
                <w:i/>
                <w:lang w:val="ru-RU"/>
              </w:rPr>
              <w:t>I</w:t>
            </w:r>
            <w:r w:rsidRPr="00D11A74">
              <w:rPr>
                <w:lang w:val="ru-RU"/>
              </w:rPr>
              <w:t>/</w:t>
            </w:r>
            <w:r w:rsidRPr="005F6576">
              <w:rPr>
                <w:i/>
                <w:lang w:val="ru-RU"/>
              </w:rPr>
              <w:t>N</w:t>
            </w:r>
          </w:p>
        </w:tc>
        <w:tc>
          <w:tcPr>
            <w:tcW w:w="4559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Interfering to noise ratio</w:t>
            </w:r>
          </w:p>
        </w:tc>
        <w:tc>
          <w:tcPr>
            <w:tcW w:w="851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</w:p>
        </w:tc>
        <w:tc>
          <w:tcPr>
            <w:tcW w:w="3685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Отношение мешающий сигнал/шум</w:t>
            </w:r>
          </w:p>
        </w:tc>
      </w:tr>
      <w:tr w:rsidR="00AA43D7" w:rsidRPr="00D11A74" w:rsidTr="003675F3">
        <w:tc>
          <w:tcPr>
            <w:tcW w:w="794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RF</w:t>
            </w:r>
          </w:p>
        </w:tc>
        <w:tc>
          <w:tcPr>
            <w:tcW w:w="4559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Radio Frequency</w:t>
            </w:r>
          </w:p>
        </w:tc>
        <w:tc>
          <w:tcPr>
            <w:tcW w:w="851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РЧ</w:t>
            </w:r>
          </w:p>
        </w:tc>
        <w:tc>
          <w:tcPr>
            <w:tcW w:w="3685" w:type="dxa"/>
          </w:tcPr>
          <w:p w:rsidR="00AA43D7" w:rsidRPr="00D11A74" w:rsidRDefault="00AA43D7" w:rsidP="003675F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D11A74">
              <w:rPr>
                <w:lang w:val="ru-RU"/>
              </w:rPr>
              <w:t>Радиочастота</w:t>
            </w:r>
          </w:p>
        </w:tc>
      </w:tr>
    </w:tbl>
    <w:p w:rsidR="00AA43D7" w:rsidRPr="00D11A74" w:rsidRDefault="00AA43D7" w:rsidP="00AA43D7">
      <w:pPr>
        <w:pStyle w:val="Headingb"/>
        <w:rPr>
          <w:lang w:val="ru-RU"/>
        </w:rPr>
      </w:pPr>
      <w:r w:rsidRPr="00D11A74">
        <w:rPr>
          <w:lang w:val="ru-RU"/>
        </w:rPr>
        <w:t>Соответствующие Рекомендации и Отчеты МСЭ</w:t>
      </w:r>
    </w:p>
    <w:p w:rsidR="00AA43D7" w:rsidRPr="00ED5EAE" w:rsidRDefault="00AA43D7" w:rsidP="00AA43D7">
      <w:pPr>
        <w:pStyle w:val="Reftext"/>
        <w:rPr>
          <w:bCs/>
          <w:sz w:val="20"/>
          <w:szCs w:val="24"/>
          <w:lang w:val="ru-RU"/>
        </w:rPr>
      </w:pPr>
      <w:r w:rsidRPr="00ED5EAE">
        <w:rPr>
          <w:sz w:val="20"/>
          <w:lang w:val="ru-RU"/>
        </w:rPr>
        <w:t>Рекомендация </w:t>
      </w:r>
      <w:hyperlink r:id="rId13" w:history="1">
        <w:r w:rsidRPr="00ED5EAE">
          <w:rPr>
            <w:rStyle w:val="Hyperlink"/>
            <w:color w:val="auto"/>
            <w:sz w:val="20"/>
            <w:u w:val="none"/>
            <w:lang w:val="ru-RU"/>
          </w:rPr>
          <w:t>МСЭ-</w:t>
        </w:r>
        <w:r w:rsidRPr="00ED5EAE">
          <w:rPr>
            <w:rStyle w:val="Hyperlink"/>
            <w:color w:val="auto"/>
            <w:sz w:val="20"/>
            <w:u w:val="none"/>
            <w:lang w:val="en-GB"/>
          </w:rPr>
          <w:t>R</w:t>
        </w:r>
        <w:r w:rsidRPr="00ED5EAE">
          <w:rPr>
            <w:rStyle w:val="Hyperlink"/>
            <w:color w:val="auto"/>
            <w:sz w:val="20"/>
            <w:u w:val="none"/>
            <w:lang w:val="ru-RU"/>
          </w:rPr>
          <w:t> </w:t>
        </w:r>
        <w:r w:rsidRPr="00ED5EAE">
          <w:rPr>
            <w:rStyle w:val="Hyperlink"/>
            <w:color w:val="auto"/>
            <w:sz w:val="20"/>
            <w:u w:val="none"/>
            <w:lang w:val="en-GB"/>
          </w:rPr>
          <w:t>M</w:t>
        </w:r>
        <w:r w:rsidRPr="00ED5EAE">
          <w:rPr>
            <w:rStyle w:val="Hyperlink"/>
            <w:color w:val="auto"/>
            <w:sz w:val="20"/>
            <w:u w:val="none"/>
            <w:lang w:val="ru-RU"/>
          </w:rPr>
          <w:t>.1372</w:t>
        </w:r>
      </w:hyperlink>
      <w:r w:rsidRPr="00ED5EAE">
        <w:rPr>
          <w:sz w:val="20"/>
          <w:lang w:val="ru-RU"/>
        </w:rPr>
        <w:t> – Эффективное использование радиочастотного спектра радиолокационными станциями службы радиоопределения</w:t>
      </w:r>
    </w:p>
    <w:p w:rsidR="00AA43D7" w:rsidRPr="007535C2" w:rsidRDefault="00AA43D7" w:rsidP="00AA43D7">
      <w:pPr>
        <w:pStyle w:val="Reftext"/>
        <w:rPr>
          <w:bCs/>
          <w:sz w:val="16"/>
          <w:szCs w:val="24"/>
          <w:lang w:val="ru-RU"/>
        </w:rPr>
      </w:pPr>
      <w:r w:rsidRPr="00ED5EAE">
        <w:rPr>
          <w:sz w:val="20"/>
          <w:lang w:val="ru-RU"/>
        </w:rPr>
        <w:t>Рекомендация</w:t>
      </w:r>
      <w:r w:rsidRPr="00ED5EAE">
        <w:rPr>
          <w:i/>
          <w:iCs/>
          <w:sz w:val="20"/>
          <w:lang w:val="ru-RU"/>
        </w:rPr>
        <w:t> </w:t>
      </w:r>
      <w:hyperlink r:id="rId14" w:history="1">
        <w:r w:rsidRPr="00ED5EAE">
          <w:rPr>
            <w:rStyle w:val="Hyperlink"/>
            <w:color w:val="auto"/>
            <w:sz w:val="20"/>
            <w:szCs w:val="24"/>
            <w:u w:val="none"/>
            <w:lang w:val="ru-RU"/>
          </w:rPr>
          <w:t>МСЭ-</w:t>
        </w:r>
        <w:r w:rsidRPr="00ED5EAE">
          <w:rPr>
            <w:rStyle w:val="Hyperlink"/>
            <w:color w:val="auto"/>
            <w:sz w:val="20"/>
            <w:szCs w:val="24"/>
            <w:u w:val="none"/>
            <w:lang w:val="en-GB"/>
          </w:rPr>
          <w:t>R</w:t>
        </w:r>
        <w:r w:rsidRPr="00ED5EAE">
          <w:rPr>
            <w:rStyle w:val="Hyperlink"/>
            <w:color w:val="auto"/>
            <w:sz w:val="20"/>
            <w:u w:val="none"/>
            <w:lang w:val="ru-RU"/>
          </w:rPr>
          <w:t> </w:t>
        </w:r>
        <w:r w:rsidRPr="00ED5EAE">
          <w:rPr>
            <w:rStyle w:val="Hyperlink"/>
            <w:color w:val="auto"/>
            <w:sz w:val="20"/>
            <w:u w:val="none"/>
            <w:lang w:val="en-GB"/>
          </w:rPr>
          <w:t>M</w:t>
        </w:r>
        <w:r w:rsidRPr="00ED5EAE">
          <w:rPr>
            <w:rStyle w:val="Hyperlink"/>
            <w:color w:val="auto"/>
            <w:sz w:val="20"/>
            <w:u w:val="none"/>
            <w:lang w:val="ru-RU"/>
          </w:rPr>
          <w:t>.1461</w:t>
        </w:r>
      </w:hyperlink>
      <w:r w:rsidRPr="00ED5EAE">
        <w:rPr>
          <w:sz w:val="20"/>
          <w:lang w:val="ru-RU"/>
        </w:rPr>
        <w:t> – Процедуры определения потенциальных помех между радарами, работающими в службе радиоопределения</w:t>
      </w:r>
      <w:r w:rsidRPr="007535C2">
        <w:rPr>
          <w:sz w:val="20"/>
          <w:lang w:val="ru-RU"/>
        </w:rPr>
        <w:t>, и системами в других службах</w:t>
      </w:r>
    </w:p>
    <w:p w:rsidR="00AA43D7" w:rsidRPr="00D11A74" w:rsidRDefault="00AA43D7" w:rsidP="00AA43D7">
      <w:pPr>
        <w:pStyle w:val="Normalaftertitle0"/>
        <w:rPr>
          <w:lang w:val="ru-RU"/>
        </w:rPr>
      </w:pPr>
      <w:r w:rsidRPr="00D11A74">
        <w:rPr>
          <w:lang w:val="ru-RU"/>
        </w:rPr>
        <w:t>Ассамблея радиосвязи МСЭ,</w:t>
      </w:r>
    </w:p>
    <w:p w:rsidR="00AA43D7" w:rsidRPr="00D11A74" w:rsidRDefault="00AA43D7" w:rsidP="00AA43D7">
      <w:pPr>
        <w:pStyle w:val="Call"/>
        <w:rPr>
          <w:lang w:val="ru-RU"/>
        </w:rPr>
      </w:pPr>
      <w:r w:rsidRPr="00D11A74">
        <w:rPr>
          <w:lang w:val="ru-RU"/>
        </w:rPr>
        <w:t>учитывая,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i/>
          <w:iCs/>
          <w:lang w:val="ru-RU"/>
        </w:rPr>
        <w:t>a)</w:t>
      </w:r>
      <w:r w:rsidRPr="00D11A74">
        <w:rPr>
          <w:lang w:val="ru-RU"/>
        </w:rPr>
        <w:tab/>
        <w:t>что в некоторых полосах частот характеристики радаров, относящиеся к антенне, распространению сигнала, обнаружению цели и большой необходимой ширине полосы, требуемые для выполнения ими своих функций, являются оптимальными;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i/>
          <w:lang w:val="ru-RU"/>
        </w:rPr>
        <w:t>b)</w:t>
      </w:r>
      <w:r w:rsidRPr="00D11A74">
        <w:rPr>
          <w:lang w:val="ru-RU"/>
        </w:rPr>
        <w:tab/>
        <w:t>что технические характеристики радаров, работающих в службе радиоопределения, зависят от назначения системы и широко варьируются даже в пределах одной полосы частот;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i/>
          <w:lang w:val="ru-RU"/>
        </w:rPr>
        <w:t>c)</w:t>
      </w:r>
      <w:r w:rsidRPr="00D11A74">
        <w:rPr>
          <w:lang w:val="ru-RU"/>
        </w:rPr>
        <w:tab/>
        <w:t xml:space="preserve">что в определенных полосах частот характеристики распространения сигнала и обнаружения цели, </w:t>
      </w:r>
      <w:r>
        <w:rPr>
          <w:lang w:val="ru-RU"/>
        </w:rPr>
        <w:t>требуемые</w:t>
      </w:r>
      <w:r w:rsidRPr="00D11A74">
        <w:rPr>
          <w:lang w:val="ru-RU"/>
        </w:rPr>
        <w:t xml:space="preserve"> для </w:t>
      </w:r>
      <w:r>
        <w:rPr>
          <w:lang w:val="ru-RU"/>
        </w:rPr>
        <w:t>выполнения</w:t>
      </w:r>
      <w:r w:rsidRPr="00D11A74">
        <w:rPr>
          <w:lang w:val="ru-RU"/>
        </w:rPr>
        <w:t xml:space="preserve"> этих функций, являются оптимальными и что полоса 420–450 МГц особенно </w:t>
      </w:r>
      <w:r>
        <w:rPr>
          <w:lang w:val="ru-RU"/>
        </w:rPr>
        <w:t>пригодны</w:t>
      </w:r>
      <w:r w:rsidRPr="00D11A74">
        <w:rPr>
          <w:lang w:val="ru-RU"/>
        </w:rPr>
        <w:t xml:space="preserve"> для идентификации, отслеживания и каталогизации объектов наземными радарами на очень больших расстояниях (например, в космосе),</w:t>
      </w:r>
    </w:p>
    <w:p w:rsidR="00AA43D7" w:rsidRPr="00D11A74" w:rsidRDefault="00AA43D7" w:rsidP="00AA43D7">
      <w:pPr>
        <w:pStyle w:val="Call"/>
        <w:rPr>
          <w:lang w:val="ru-RU"/>
        </w:rPr>
      </w:pPr>
      <w:r w:rsidRPr="00D11A74">
        <w:rPr>
          <w:lang w:val="ru-RU"/>
        </w:rPr>
        <w:t>признавая,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i/>
          <w:iCs/>
          <w:lang w:val="ru-RU"/>
        </w:rPr>
        <w:t>a)</w:t>
      </w:r>
      <w:r w:rsidRPr="00D11A74">
        <w:rPr>
          <w:lang w:val="ru-RU"/>
        </w:rPr>
        <w:tab/>
        <w:t>что полосы частот в диапазоне 420–450 МГц или их участки распределены на всемирной основе фиксированной, радиолокационной и любительской службам, спутниковой службе исследования Земли (активной) и подвижным службам, за исключением воздушной подвижной службы;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i/>
          <w:iCs/>
          <w:lang w:val="ru-RU"/>
        </w:rPr>
        <w:t>b)</w:t>
      </w:r>
      <w:r w:rsidRPr="00D11A74">
        <w:rPr>
          <w:lang w:val="ru-RU"/>
        </w:rPr>
        <w:tab/>
        <w:t>что в диапазоне частот 420–450 МГц име</w:t>
      </w:r>
      <w:r>
        <w:rPr>
          <w:lang w:val="ru-RU"/>
        </w:rPr>
        <w:t>е</w:t>
      </w:r>
      <w:r w:rsidRPr="00D11A74">
        <w:rPr>
          <w:lang w:val="ru-RU"/>
        </w:rPr>
        <w:t xml:space="preserve">тся </w:t>
      </w:r>
      <w:r>
        <w:rPr>
          <w:lang w:val="ru-RU"/>
        </w:rPr>
        <w:t>ряд</w:t>
      </w:r>
      <w:r w:rsidRPr="00D11A74">
        <w:rPr>
          <w:lang w:val="ru-RU"/>
        </w:rPr>
        <w:t xml:space="preserve"> други</w:t>
      </w:r>
      <w:r>
        <w:rPr>
          <w:lang w:val="ru-RU"/>
        </w:rPr>
        <w:t>х</w:t>
      </w:r>
      <w:r w:rsidRPr="00D11A74">
        <w:rPr>
          <w:lang w:val="ru-RU"/>
        </w:rPr>
        <w:t xml:space="preserve"> распределени</w:t>
      </w:r>
      <w:r>
        <w:rPr>
          <w:lang w:val="ru-RU"/>
        </w:rPr>
        <w:t>й</w:t>
      </w:r>
      <w:r w:rsidRPr="00D11A74">
        <w:rPr>
          <w:lang w:val="ru-RU"/>
        </w:rPr>
        <w:t xml:space="preserve">, </w:t>
      </w:r>
      <w:r>
        <w:rPr>
          <w:lang w:val="ru-RU"/>
        </w:rPr>
        <w:t xml:space="preserve">которые </w:t>
      </w:r>
      <w:r w:rsidRPr="00D11A74">
        <w:rPr>
          <w:lang w:val="ru-RU"/>
        </w:rPr>
        <w:t>произведен</w:t>
      </w:r>
      <w:r>
        <w:rPr>
          <w:lang w:val="ru-RU"/>
        </w:rPr>
        <w:t>ы</w:t>
      </w:r>
      <w:r w:rsidRPr="00D11A74">
        <w:rPr>
          <w:lang w:val="ru-RU"/>
        </w:rPr>
        <w:t xml:space="preserve"> посредством примечаний к Таблице распределения частот,</w:t>
      </w:r>
    </w:p>
    <w:p w:rsidR="00AA43D7" w:rsidRPr="00D11A74" w:rsidRDefault="00AA43D7" w:rsidP="00AA43D7">
      <w:pPr>
        <w:pStyle w:val="Call"/>
        <w:rPr>
          <w:lang w:val="ru-RU"/>
        </w:rPr>
      </w:pPr>
      <w:r w:rsidRPr="00D11A74">
        <w:rPr>
          <w:lang w:val="ru-RU"/>
        </w:rPr>
        <w:lastRenderedPageBreak/>
        <w:t>отмечая,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 xml:space="preserve">что в случае распределения </w:t>
      </w:r>
      <w:r>
        <w:rPr>
          <w:lang w:val="ru-RU"/>
        </w:rPr>
        <w:t xml:space="preserve">полос </w:t>
      </w:r>
      <w:r w:rsidRPr="00D11A74">
        <w:rPr>
          <w:lang w:val="ru-RU"/>
        </w:rPr>
        <w:t xml:space="preserve">частот радиолокационной службе на вторичной основе может возникнуть необходимость в применении методов ослабления </w:t>
      </w:r>
      <w:r>
        <w:rPr>
          <w:lang w:val="ru-RU"/>
        </w:rPr>
        <w:t xml:space="preserve">влияния </w:t>
      </w:r>
      <w:r w:rsidRPr="00D11A74">
        <w:rPr>
          <w:lang w:val="ru-RU"/>
        </w:rPr>
        <w:t xml:space="preserve">помех или </w:t>
      </w:r>
      <w:r>
        <w:rPr>
          <w:lang w:val="ru-RU"/>
        </w:rPr>
        <w:t xml:space="preserve">принятии </w:t>
      </w:r>
      <w:r w:rsidRPr="00D11A74">
        <w:rPr>
          <w:lang w:val="ru-RU"/>
        </w:rPr>
        <w:t>эксплуатационных мер для защиты служб, которым эти полосы распределены на первичной основе</w:t>
      </w:r>
      <w:r>
        <w:rPr>
          <w:lang w:val="ru-RU"/>
        </w:rPr>
        <w:t>,</w:t>
      </w:r>
    </w:p>
    <w:p w:rsidR="00AA43D7" w:rsidRPr="00D11A74" w:rsidRDefault="00AA43D7" w:rsidP="00AA43D7">
      <w:pPr>
        <w:pStyle w:val="Call"/>
        <w:rPr>
          <w:lang w:val="ru-RU"/>
        </w:rPr>
      </w:pPr>
      <w:r w:rsidRPr="00D11A74">
        <w:rPr>
          <w:lang w:val="ru-RU"/>
        </w:rPr>
        <w:t>рекомендует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b/>
          <w:bCs/>
          <w:lang w:val="ru-RU"/>
        </w:rPr>
        <w:t>1</w:t>
      </w:r>
      <w:r w:rsidRPr="00D11A74">
        <w:rPr>
          <w:lang w:val="ru-RU"/>
        </w:rPr>
        <w:tab/>
        <w:t xml:space="preserve">считать </w:t>
      </w:r>
      <w:r>
        <w:rPr>
          <w:lang w:val="ru-RU"/>
        </w:rPr>
        <w:t>определенные</w:t>
      </w:r>
      <w:r w:rsidRPr="00D11A74">
        <w:rPr>
          <w:lang w:val="ru-RU"/>
        </w:rPr>
        <w:t xml:space="preserve"> в Приложении 1технические и эксплуатационные характеристики радиолокационных систем типовыми для таких систем, работающих в диапазоне частот 420–450 МГц;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b/>
          <w:bCs/>
          <w:lang w:val="ru-RU"/>
        </w:rPr>
        <w:t>2</w:t>
      </w:r>
      <w:r w:rsidRPr="00D11A74">
        <w:rPr>
          <w:lang w:val="ru-RU"/>
        </w:rPr>
        <w:tab/>
        <w:t>использовать Рекомендацию МСЭ-R M.1461 в качестве руководства при анализе совместимости радар</w:t>
      </w:r>
      <w:r>
        <w:rPr>
          <w:lang w:val="ru-RU"/>
        </w:rPr>
        <w:t>ов</w:t>
      </w:r>
      <w:r w:rsidRPr="00D11A74">
        <w:rPr>
          <w:lang w:val="ru-RU"/>
        </w:rPr>
        <w:t>, работающи</w:t>
      </w:r>
      <w:r>
        <w:rPr>
          <w:lang w:val="ru-RU"/>
        </w:rPr>
        <w:t>х</w:t>
      </w:r>
      <w:r w:rsidRPr="00D11A74">
        <w:rPr>
          <w:lang w:val="ru-RU"/>
        </w:rPr>
        <w:t xml:space="preserve"> в службе радиоопределения, и систем других служб;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b/>
          <w:bCs/>
          <w:lang w:val="ru-RU"/>
        </w:rPr>
        <w:t>3</w:t>
      </w:r>
      <w:r w:rsidRPr="00D11A74">
        <w:rPr>
          <w:lang w:val="ru-RU"/>
        </w:rPr>
        <w:tab/>
        <w:t>использовать значение отношения уровня мощности мешающего сигнала к уровню мощности шума приемника радара (</w:t>
      </w:r>
      <w:r w:rsidRPr="00D11A74">
        <w:rPr>
          <w:i/>
          <w:lang w:val="ru-RU"/>
        </w:rPr>
        <w:t>I</w:t>
      </w:r>
      <w:r w:rsidRPr="00D11A74">
        <w:rPr>
          <w:lang w:val="ru-RU"/>
        </w:rPr>
        <w:t>/</w:t>
      </w:r>
      <w:r w:rsidRPr="00D11A74">
        <w:rPr>
          <w:i/>
          <w:lang w:val="ru-RU"/>
        </w:rPr>
        <w:t>N</w:t>
      </w:r>
      <w:r w:rsidRPr="00D11A74">
        <w:rPr>
          <w:lang w:val="ru-RU"/>
        </w:rPr>
        <w:t xml:space="preserve">), равное –6 дБ, в качестве требуемого уровня защиты для указанных радиолокационных систем и рассматривать это значение </w:t>
      </w:r>
      <w:r w:rsidRPr="00D11A74">
        <w:rPr>
          <w:i/>
          <w:lang w:val="ru-RU"/>
        </w:rPr>
        <w:t>I</w:t>
      </w:r>
      <w:r w:rsidRPr="00D11A74">
        <w:rPr>
          <w:lang w:val="ru-RU"/>
        </w:rPr>
        <w:t>/</w:t>
      </w:r>
      <w:r w:rsidRPr="00D11A74">
        <w:rPr>
          <w:i/>
          <w:lang w:val="ru-RU"/>
        </w:rPr>
        <w:t>N</w:t>
      </w:r>
      <w:r w:rsidRPr="00D11A74">
        <w:rPr>
          <w:lang w:val="ru-RU"/>
        </w:rPr>
        <w:t xml:space="preserve"> как общий уровень защиты при наличии нескольких источников помех (см. Примечание 1)</w:t>
      </w:r>
      <w:r>
        <w:rPr>
          <w:lang w:val="ru-RU"/>
        </w:rPr>
        <w:t>;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b/>
          <w:bCs/>
          <w:lang w:val="ru-RU"/>
        </w:rPr>
        <w:t>4</w:t>
      </w:r>
      <w:r w:rsidRPr="00D11A74">
        <w:rPr>
          <w:lang w:val="ru-RU"/>
        </w:rPr>
        <w:tab/>
        <w:t xml:space="preserve">считать </w:t>
      </w:r>
      <w:r>
        <w:rPr>
          <w:lang w:val="ru-RU"/>
        </w:rPr>
        <w:t>следующее</w:t>
      </w:r>
      <w:r w:rsidRPr="00D11A74">
        <w:rPr>
          <w:lang w:val="ru-RU"/>
        </w:rPr>
        <w:t xml:space="preserve"> ниже Примечание частью настоящей Рекомендации.</w:t>
      </w:r>
    </w:p>
    <w:p w:rsidR="00AA43D7" w:rsidRPr="00D11A74" w:rsidRDefault="00AA43D7" w:rsidP="00AA43D7">
      <w:pPr>
        <w:pStyle w:val="Note"/>
        <w:rPr>
          <w:lang w:val="ru-RU"/>
        </w:rPr>
      </w:pPr>
      <w:r w:rsidRPr="00D11A74">
        <w:rPr>
          <w:lang w:val="ru-RU"/>
        </w:rPr>
        <w:t xml:space="preserve">ПРИМЕЧАНИЕ 1. – Критерий защиты, приведенный в пункте 3 раздела </w:t>
      </w:r>
      <w:r w:rsidRPr="00D11A74">
        <w:rPr>
          <w:i/>
          <w:lang w:val="ru-RU"/>
        </w:rPr>
        <w:t>рекомендует</w:t>
      </w:r>
      <w:r w:rsidRPr="00D11A74">
        <w:rPr>
          <w:lang w:val="ru-RU"/>
        </w:rPr>
        <w:t xml:space="preserve">, не должен применяться к радарам слежения за космическими объектами, описанным в Приложении 1. Эти радары характеризуются очень высокой чувствительностью, и для них недопустимо </w:t>
      </w:r>
      <w:r>
        <w:rPr>
          <w:lang w:val="ru-RU"/>
        </w:rPr>
        <w:t>итогов</w:t>
      </w:r>
      <w:r w:rsidRPr="00D11A74">
        <w:rPr>
          <w:lang w:val="ru-RU"/>
        </w:rPr>
        <w:t xml:space="preserve"> снижение дальности обнаружения на 6% (соответствующее уменьшению объема пространства обзора на 19%). Требуется проведение специальных исследований совместимости с этими радарами.</w:t>
      </w:r>
    </w:p>
    <w:p w:rsidR="00AA43D7" w:rsidRPr="00D11A74" w:rsidRDefault="00AA43D7" w:rsidP="00AA43D7">
      <w:pPr>
        <w:pStyle w:val="Note"/>
        <w:rPr>
          <w:lang w:val="ru-RU"/>
        </w:rPr>
      </w:pPr>
    </w:p>
    <w:p w:rsidR="00AA43D7" w:rsidRPr="00D11A74" w:rsidRDefault="00AA43D7" w:rsidP="00AA43D7">
      <w:pPr>
        <w:pStyle w:val="Note"/>
        <w:rPr>
          <w:lang w:val="ru-RU"/>
        </w:rPr>
      </w:pPr>
    </w:p>
    <w:p w:rsidR="00AA43D7" w:rsidRPr="00D11A74" w:rsidRDefault="00AA43D7" w:rsidP="00AA43D7">
      <w:pPr>
        <w:pStyle w:val="AnnexNoTitle"/>
        <w:rPr>
          <w:szCs w:val="26"/>
          <w:lang w:val="ru-RU"/>
        </w:rPr>
      </w:pPr>
      <w:r w:rsidRPr="00D11A74">
        <w:rPr>
          <w:szCs w:val="26"/>
          <w:lang w:val="ru-RU"/>
        </w:rPr>
        <w:t>Приложение 1</w:t>
      </w:r>
      <w:r w:rsidRPr="00D11A74">
        <w:rPr>
          <w:szCs w:val="26"/>
          <w:lang w:val="ru-RU"/>
        </w:rPr>
        <w:br/>
      </w:r>
      <w:r w:rsidRPr="00D11A74">
        <w:rPr>
          <w:lang w:val="ru-RU"/>
        </w:rPr>
        <w:br/>
      </w:r>
      <w:r w:rsidRPr="00D11A74">
        <w:rPr>
          <w:szCs w:val="26"/>
          <w:lang w:val="ru-RU"/>
        </w:rPr>
        <w:t>Технические и эксплуатационные характеристики</w:t>
      </w:r>
      <w:r w:rsidRPr="00D11A74">
        <w:rPr>
          <w:szCs w:val="26"/>
          <w:lang w:val="ru-RU"/>
        </w:rPr>
        <w:br/>
        <w:t>радиолокационных систем, работающих в диапазоне частот 420–450 МГц</w:t>
      </w:r>
    </w:p>
    <w:p w:rsidR="00AA43D7" w:rsidRPr="00D11A74" w:rsidRDefault="00AA43D7" w:rsidP="00AA43D7">
      <w:pPr>
        <w:pStyle w:val="Heading1"/>
        <w:rPr>
          <w:lang w:val="ru-RU"/>
        </w:rPr>
      </w:pPr>
      <w:r w:rsidRPr="00D11A74">
        <w:rPr>
          <w:lang w:val="ru-RU"/>
        </w:rPr>
        <w:t>1</w:t>
      </w:r>
      <w:r w:rsidRPr="00D11A74">
        <w:rPr>
          <w:lang w:val="ru-RU"/>
        </w:rPr>
        <w:tab/>
        <w:t>Введение</w:t>
      </w:r>
    </w:p>
    <w:p w:rsidR="00AA43D7" w:rsidRPr="00D11A74" w:rsidRDefault="00AA43D7" w:rsidP="00AA43D7">
      <w:pPr>
        <w:rPr>
          <w:lang w:val="ru-RU"/>
        </w:rPr>
      </w:pPr>
      <w:r>
        <w:rPr>
          <w:lang w:val="ru-RU"/>
        </w:rPr>
        <w:t>В</w:t>
      </w:r>
      <w:r w:rsidRPr="00D11A74">
        <w:rPr>
          <w:lang w:val="ru-RU"/>
        </w:rPr>
        <w:t xml:space="preserve"> диапазоне частот 420–450 МГц работают </w:t>
      </w:r>
      <w:r>
        <w:rPr>
          <w:lang w:val="ru-RU"/>
        </w:rPr>
        <w:t>м</w:t>
      </w:r>
      <w:r w:rsidRPr="00D11A74">
        <w:rPr>
          <w:lang w:val="ru-RU"/>
        </w:rPr>
        <w:t xml:space="preserve">ощные авиационные, судовые и наземные радары. </w:t>
      </w:r>
      <w:r>
        <w:rPr>
          <w:lang w:val="ru-RU"/>
        </w:rPr>
        <w:t>В </w:t>
      </w:r>
      <w:r w:rsidRPr="00D11A74">
        <w:rPr>
          <w:lang w:val="ru-RU"/>
        </w:rPr>
        <w:t xml:space="preserve">следующих </w:t>
      </w:r>
      <w:r>
        <w:rPr>
          <w:lang w:val="ru-RU"/>
        </w:rPr>
        <w:t xml:space="preserve">далее </w:t>
      </w:r>
      <w:r w:rsidRPr="00D11A74">
        <w:rPr>
          <w:lang w:val="ru-RU"/>
        </w:rPr>
        <w:t>разделах</w:t>
      </w:r>
      <w:r>
        <w:rPr>
          <w:lang w:val="ru-RU"/>
        </w:rPr>
        <w:t xml:space="preserve"> определены</w:t>
      </w:r>
      <w:r w:rsidRPr="00D11A74">
        <w:rPr>
          <w:lang w:val="ru-RU"/>
        </w:rPr>
        <w:t xml:space="preserve"> </w:t>
      </w:r>
      <w:r>
        <w:rPr>
          <w:lang w:val="ru-RU"/>
        </w:rPr>
        <w:t xml:space="preserve">их </w:t>
      </w:r>
      <w:r w:rsidRPr="00D11A74">
        <w:rPr>
          <w:lang w:val="ru-RU"/>
        </w:rPr>
        <w:t>эксплуатационные и технические характеристики.</w:t>
      </w:r>
    </w:p>
    <w:p w:rsidR="00AA43D7" w:rsidRPr="00D11A74" w:rsidRDefault="00AA43D7" w:rsidP="00AA43D7">
      <w:pPr>
        <w:pStyle w:val="Heading1"/>
        <w:rPr>
          <w:lang w:val="ru-RU"/>
        </w:rPr>
      </w:pPr>
      <w:r w:rsidRPr="00D11A74">
        <w:rPr>
          <w:lang w:val="ru-RU"/>
        </w:rPr>
        <w:t>2</w:t>
      </w:r>
      <w:r w:rsidRPr="00D11A74">
        <w:rPr>
          <w:lang w:val="ru-RU"/>
        </w:rPr>
        <w:tab/>
        <w:t>Характеристики радаров, работающих в диапазоне частот 420–450 МГц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 xml:space="preserve">Ниже </w:t>
      </w:r>
      <w:r>
        <w:rPr>
          <w:lang w:val="ru-RU"/>
        </w:rPr>
        <w:t>приведены</w:t>
      </w:r>
      <w:r w:rsidRPr="00D11A74">
        <w:rPr>
          <w:lang w:val="ru-RU"/>
        </w:rPr>
        <w:t xml:space="preserve"> типовые характеристики радиолокационных систем, работающих в диапазоне частот 420–450 МГц. Представленной в настоящем Приложении информации достаточно для выполнения общих расчетов в целях оценки совместимости эти</w:t>
      </w:r>
      <w:r>
        <w:rPr>
          <w:lang w:val="ru-RU"/>
        </w:rPr>
        <w:t>х</w:t>
      </w:r>
      <w:r w:rsidRPr="00D11A74">
        <w:rPr>
          <w:lang w:val="ru-RU"/>
        </w:rPr>
        <w:t xml:space="preserve"> радар</w:t>
      </w:r>
      <w:r>
        <w:rPr>
          <w:lang w:val="ru-RU"/>
        </w:rPr>
        <w:t>ов</w:t>
      </w:r>
      <w:r w:rsidRPr="00D11A74">
        <w:rPr>
          <w:lang w:val="ru-RU"/>
        </w:rPr>
        <w:t xml:space="preserve"> и други</w:t>
      </w:r>
      <w:r>
        <w:rPr>
          <w:lang w:val="ru-RU"/>
        </w:rPr>
        <w:t>х</w:t>
      </w:r>
      <w:r w:rsidRPr="00D11A74">
        <w:rPr>
          <w:lang w:val="ru-RU"/>
        </w:rPr>
        <w:t xml:space="preserve"> систем.</w:t>
      </w:r>
    </w:p>
    <w:p w:rsidR="00AA43D7" w:rsidRPr="00D11A74" w:rsidRDefault="00AA43D7" w:rsidP="00AA43D7">
      <w:pPr>
        <w:pStyle w:val="Heading2"/>
        <w:rPr>
          <w:lang w:val="ru-RU"/>
        </w:rPr>
      </w:pPr>
      <w:r w:rsidRPr="00D11A74">
        <w:rPr>
          <w:lang w:val="ru-RU"/>
        </w:rPr>
        <w:t>2.1</w:t>
      </w:r>
      <w:r w:rsidRPr="00D11A74">
        <w:rPr>
          <w:lang w:val="ru-RU"/>
        </w:rPr>
        <w:tab/>
        <w:t>Наземные радары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 xml:space="preserve">Полоса частот 420–450 МГц </w:t>
      </w:r>
      <w:r>
        <w:rPr>
          <w:lang w:val="ru-RU"/>
        </w:rPr>
        <w:t>обеспечивает</w:t>
      </w:r>
      <w:r w:rsidRPr="00D11A74">
        <w:rPr>
          <w:lang w:val="ru-RU"/>
        </w:rPr>
        <w:t xml:space="preserve"> уникальны</w:t>
      </w:r>
      <w:r>
        <w:rPr>
          <w:lang w:val="ru-RU"/>
        </w:rPr>
        <w:t>е</w:t>
      </w:r>
      <w:r w:rsidRPr="00D11A74">
        <w:rPr>
          <w:lang w:val="ru-RU"/>
        </w:rPr>
        <w:t xml:space="preserve"> характеристики, которые идеально подходят для обнаружения, идентификации и слежения за объектами на больших расстояниях. 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 xml:space="preserve">Радары типа A </w:t>
      </w:r>
      <w:r>
        <w:rPr>
          <w:lang w:val="ru-RU"/>
        </w:rPr>
        <w:t>осуществляют</w:t>
      </w:r>
      <w:r w:rsidRPr="00D11A74">
        <w:rPr>
          <w:lang w:val="ru-RU"/>
        </w:rPr>
        <w:t xml:space="preserve"> отслеживание и каталогизацию космических объектов при выходной мощности передатчи</w:t>
      </w:r>
      <w:r>
        <w:rPr>
          <w:lang w:val="ru-RU"/>
        </w:rPr>
        <w:t>ка до 5 МВт и высоком усилении</w:t>
      </w:r>
      <w:r w:rsidRPr="00D11A74">
        <w:rPr>
          <w:lang w:val="ru-RU"/>
        </w:rPr>
        <w:t xml:space="preserve"> антенны. Эти радары работают </w:t>
      </w:r>
      <w:r>
        <w:rPr>
          <w:lang w:val="ru-RU"/>
        </w:rPr>
        <w:t>непрерывно –</w:t>
      </w:r>
      <w:r w:rsidRPr="00D11A74">
        <w:rPr>
          <w:lang w:val="ru-RU"/>
        </w:rPr>
        <w:t xml:space="preserve"> круглосуточно и круглогодично. </w:t>
      </w:r>
      <w:r>
        <w:rPr>
          <w:lang w:val="ru-RU"/>
        </w:rPr>
        <w:t>"Рубеж"</w:t>
      </w:r>
      <w:r w:rsidRPr="00D11A74">
        <w:rPr>
          <w:lang w:val="ru-RU"/>
        </w:rPr>
        <w:t xml:space="preserve"> </w:t>
      </w:r>
      <w:r>
        <w:rPr>
          <w:lang w:val="ru-RU"/>
        </w:rPr>
        <w:t xml:space="preserve">их радиолокационного обнаружения </w:t>
      </w:r>
      <w:r w:rsidRPr="00D11A74">
        <w:rPr>
          <w:lang w:val="ru-RU"/>
        </w:rPr>
        <w:t>ограничен диапазоном от приблизительно 3</w:t>
      </w:r>
      <w:r w:rsidR="00ED5EAE">
        <w:rPr>
          <w:rFonts w:ascii="Symbol" w:hAnsi="Symbol"/>
        </w:rPr>
        <w:sym w:font="Symbol" w:char="F0B0"/>
      </w:r>
      <w:r w:rsidRPr="00D11A74">
        <w:rPr>
          <w:lang w:val="ru-RU"/>
        </w:rPr>
        <w:t xml:space="preserve"> до 60</w:t>
      </w:r>
      <w:r w:rsidR="00ED5EAE">
        <w:rPr>
          <w:rFonts w:ascii="Symbol" w:hAnsi="Symbol"/>
        </w:rPr>
        <w:t></w:t>
      </w:r>
      <w:r w:rsidRPr="00D11A74">
        <w:rPr>
          <w:lang w:val="ru-RU"/>
        </w:rPr>
        <w:t xml:space="preserve"> по углу места в пределах секторов шириной 120</w:t>
      </w:r>
      <w:r w:rsidRPr="00D11A74">
        <w:rPr>
          <w:rFonts w:ascii="Symbol" w:hAnsi="Symbol"/>
          <w:lang w:val="ru-RU"/>
        </w:rPr>
        <w:t></w:t>
      </w:r>
      <w:r w:rsidRPr="00D11A74">
        <w:rPr>
          <w:lang w:val="ru-RU"/>
        </w:rPr>
        <w:t xml:space="preserve"> по азимуту. Приемники радаров этого типа обладают очень высокой чувствительностью для регистрации отраженных сигналов от внеатмосферных и космических объектов. Число таких наземных радаров невелико, что обусловлено их специальным назначением и необходимыми конструктивными особенностями (например, антенной решеткой очень большого размера), </w:t>
      </w:r>
      <w:r>
        <w:rPr>
          <w:lang w:val="ru-RU"/>
        </w:rPr>
        <w:t>а</w:t>
      </w:r>
      <w:r w:rsidRPr="00D11A74">
        <w:rPr>
          <w:lang w:val="ru-RU"/>
        </w:rPr>
        <w:t xml:space="preserve"> их высок</w:t>
      </w:r>
      <w:r>
        <w:rPr>
          <w:lang w:val="ru-RU"/>
        </w:rPr>
        <w:t>ая</w:t>
      </w:r>
      <w:r w:rsidRPr="00D11A74">
        <w:rPr>
          <w:lang w:val="ru-RU"/>
        </w:rPr>
        <w:t xml:space="preserve"> чувствительност</w:t>
      </w:r>
      <w:r>
        <w:rPr>
          <w:lang w:val="ru-RU"/>
        </w:rPr>
        <w:t>ь</w:t>
      </w:r>
      <w:r w:rsidRPr="00D11A74">
        <w:rPr>
          <w:lang w:val="ru-RU"/>
        </w:rPr>
        <w:t xml:space="preserve"> и </w:t>
      </w:r>
      <w:r w:rsidRPr="00D11A74">
        <w:rPr>
          <w:lang w:val="ru-RU"/>
        </w:rPr>
        <w:lastRenderedPageBreak/>
        <w:t>выполняем</w:t>
      </w:r>
      <w:r>
        <w:rPr>
          <w:lang w:val="ru-RU"/>
        </w:rPr>
        <w:t>ая</w:t>
      </w:r>
      <w:r w:rsidRPr="00D11A74">
        <w:rPr>
          <w:lang w:val="ru-RU"/>
        </w:rPr>
        <w:t xml:space="preserve"> ими функци</w:t>
      </w:r>
      <w:r>
        <w:rPr>
          <w:lang w:val="ru-RU"/>
        </w:rPr>
        <w:t>я обусловливает для</w:t>
      </w:r>
      <w:r w:rsidRPr="00D11A74">
        <w:rPr>
          <w:lang w:val="ru-RU"/>
        </w:rPr>
        <w:t xml:space="preserve"> эти</w:t>
      </w:r>
      <w:r>
        <w:rPr>
          <w:lang w:val="ru-RU"/>
        </w:rPr>
        <w:t>х</w:t>
      </w:r>
      <w:r w:rsidRPr="00D11A74">
        <w:rPr>
          <w:lang w:val="ru-RU"/>
        </w:rPr>
        <w:t xml:space="preserve"> радар</w:t>
      </w:r>
      <w:r>
        <w:rPr>
          <w:lang w:val="ru-RU"/>
        </w:rPr>
        <w:t>ов</w:t>
      </w:r>
      <w:r w:rsidRPr="00D11A74">
        <w:rPr>
          <w:lang w:val="ru-RU"/>
        </w:rPr>
        <w:t xml:space="preserve"> особо</w:t>
      </w:r>
      <w:r>
        <w:rPr>
          <w:lang w:val="ru-RU"/>
        </w:rPr>
        <w:t>е признание</w:t>
      </w:r>
      <w:r w:rsidRPr="00D11A74">
        <w:rPr>
          <w:lang w:val="ru-RU"/>
        </w:rPr>
        <w:t xml:space="preserve"> и защит</w:t>
      </w:r>
      <w:r>
        <w:rPr>
          <w:lang w:val="ru-RU"/>
        </w:rPr>
        <w:t>у</w:t>
      </w:r>
      <w:r w:rsidRPr="00D11A74">
        <w:rPr>
          <w:lang w:val="ru-RU"/>
        </w:rPr>
        <w:t>. В таблице 1 приведены характеристики этих радаров, а в таблице 2 – места расположения многих из них.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>Радар типа B – это система для обзора и слежения на больших высотах. Такие радары бывают как стационарными, так и транспортируемыми.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>Радар типа C представляет собой транспортируемую систему для поиска движущихся объектов на земной поверхности и в воздухе на малых расстояниях от местонахождения радара.</w:t>
      </w:r>
    </w:p>
    <w:p w:rsidR="00AA43D7" w:rsidRPr="00D11A74" w:rsidRDefault="00AA43D7" w:rsidP="00AA43D7">
      <w:pPr>
        <w:pStyle w:val="TableNo"/>
        <w:rPr>
          <w:lang w:val="ru-RU"/>
        </w:rPr>
      </w:pPr>
      <w:r w:rsidRPr="00D11A74">
        <w:rPr>
          <w:lang w:val="ru-RU"/>
        </w:rPr>
        <w:t>ТАБЛИЦА 1</w:t>
      </w:r>
    </w:p>
    <w:p w:rsidR="00AA43D7" w:rsidRPr="00D11A74" w:rsidRDefault="00AA43D7" w:rsidP="00AA43D7">
      <w:pPr>
        <w:pStyle w:val="Tabletitle"/>
        <w:rPr>
          <w:lang w:val="ru-RU"/>
        </w:rPr>
      </w:pPr>
      <w:r w:rsidRPr="00D11A74">
        <w:rPr>
          <w:lang w:val="ru-RU"/>
        </w:rPr>
        <w:t xml:space="preserve">Характеристики наземных радаров, работающих в </w:t>
      </w:r>
      <w:r>
        <w:rPr>
          <w:lang w:val="ru-RU"/>
        </w:rPr>
        <w:t>диапазоне</w:t>
      </w:r>
      <w:r w:rsidRPr="00D11A74">
        <w:rPr>
          <w:lang w:val="ru-RU"/>
        </w:rPr>
        <w:t xml:space="preserve"> частот 420–450 МГц</w:t>
      </w:r>
    </w:p>
    <w:tbl>
      <w:tblPr>
        <w:tblW w:w="93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0"/>
        <w:gridCol w:w="1985"/>
        <w:gridCol w:w="2126"/>
        <w:gridCol w:w="2410"/>
      </w:tblGrid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Параметр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C</w:t>
            </w:r>
          </w:p>
        </w:tc>
      </w:tr>
      <w:tr w:rsidR="00AA43D7" w:rsidRPr="00AB6270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Применение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Слежение за космическими объектами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Обзор на больших высотах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Поиск наземных</w:t>
            </w:r>
            <w:r w:rsidRPr="00D11A74">
              <w:rPr>
                <w:lang w:val="ru-RU"/>
              </w:rPr>
              <w:br/>
              <w:t>и воздушных объектов</w:t>
            </w:r>
          </w:p>
        </w:tc>
      </w:tr>
      <w:tr w:rsidR="00AA43D7" w:rsidRPr="00AB6270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Зона развертывания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По всему миру,</w:t>
            </w:r>
            <w:r w:rsidRPr="00D11A74">
              <w:rPr>
                <w:lang w:val="ru-RU"/>
              </w:rPr>
              <w:br/>
              <w:t>стационарный</w:t>
            </w:r>
            <w:r w:rsidRPr="00D11A74">
              <w:rPr>
                <w:lang w:val="ru-RU"/>
              </w:rPr>
              <w:br/>
              <w:t>вариант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По всему миру,</w:t>
            </w:r>
            <w:r w:rsidRPr="00D11A74">
              <w:rPr>
                <w:lang w:val="ru-RU"/>
              </w:rPr>
              <w:br/>
              <w:t>стационарный</w:t>
            </w:r>
            <w:r w:rsidRPr="00D11A74">
              <w:rPr>
                <w:lang w:val="ru-RU"/>
              </w:rPr>
              <w:br/>
              <w:t>и транспортируемый варианты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По всему миру,</w:t>
            </w:r>
            <w:r w:rsidRPr="00D11A74">
              <w:rPr>
                <w:lang w:val="ru-RU"/>
              </w:rPr>
              <w:br/>
              <w:t>стационарный</w:t>
            </w:r>
            <w:r w:rsidRPr="00D11A74">
              <w:rPr>
                <w:lang w:val="ru-RU"/>
              </w:rPr>
              <w:br/>
              <w:t>и транспортируемый варианты</w:t>
            </w:r>
          </w:p>
        </w:tc>
      </w:tr>
      <w:tr w:rsidR="00AA43D7" w:rsidRPr="00EC236D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Тип настройки;</w:t>
            </w:r>
            <w:r w:rsidRPr="00D11A74">
              <w:rPr>
                <w:lang w:val="ru-RU"/>
              </w:rPr>
              <w:br/>
              <w:t>диапазон частот (МГц)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Быстрая перестройка частоты</w:t>
            </w:r>
            <w:r w:rsidRPr="00D11A74">
              <w:rPr>
                <w:lang w:val="ru-RU"/>
              </w:rPr>
              <w:t>;</w:t>
            </w:r>
          </w:p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420–450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Быстрая </w:t>
            </w:r>
            <w:r>
              <w:rPr>
                <w:lang w:val="ru-RU"/>
              </w:rPr>
              <w:br/>
              <w:t xml:space="preserve">перестройка </w:t>
            </w:r>
            <w:r>
              <w:rPr>
                <w:lang w:val="ru-RU"/>
              </w:rPr>
              <w:br/>
              <w:t>частоты</w:t>
            </w:r>
            <w:r w:rsidRPr="00D11A74">
              <w:rPr>
                <w:lang w:val="ru-RU"/>
              </w:rPr>
              <w:t>;</w:t>
            </w:r>
          </w:p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420–450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Быстрая </w:t>
            </w:r>
            <w:r>
              <w:rPr>
                <w:lang w:val="ru-RU"/>
              </w:rPr>
              <w:br/>
              <w:t xml:space="preserve">перестройка </w:t>
            </w:r>
            <w:r>
              <w:rPr>
                <w:lang w:val="ru-RU"/>
              </w:rPr>
              <w:br/>
              <w:t>частоты</w:t>
            </w:r>
            <w:r w:rsidRPr="00D11A74">
              <w:rPr>
                <w:lang w:val="ru-RU"/>
              </w:rPr>
              <w:t>;</w:t>
            </w:r>
          </w:p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420–450</w:t>
            </w:r>
          </w:p>
        </w:tc>
      </w:tr>
      <w:tr w:rsidR="00AA43D7" w:rsidRPr="00EC236D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Пиковая выходная мощность радиосигнала (МВт)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1–5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0,3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0,01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Поляризация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Круговая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Круговая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Линейная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Длительность импульса (мс)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0,25; 0,5; 1; 2; 4; 8; 16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0,01–16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0,001–1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Коэффициент заполнения</w:t>
            </w:r>
            <w:r w:rsidRPr="00D11A74">
              <w:rPr>
                <w:lang w:val="ru-RU"/>
              </w:rPr>
              <w:br/>
              <w:t>(средний) (%)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1–25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1–10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Частотная модуляция импульсов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 xml:space="preserve">Поиск: </w:t>
            </w:r>
            <w:r w:rsidRPr="00D11A74">
              <w:rPr>
                <w:lang w:val="ru-RU"/>
              </w:rPr>
              <w:br/>
              <w:t>ЛЧМ 100–350 кГц Слежение:</w:t>
            </w:r>
            <w:r w:rsidRPr="00D11A74">
              <w:rPr>
                <w:lang w:val="ru-RU"/>
              </w:rPr>
              <w:br/>
              <w:t>ЛЧМ 1 или 5 МГц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ЛЧМ 2 МГц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ЛЧМ 1 или 0,3 МГц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Частота повторения импульсов (Гц)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До 41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15–400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100–3 000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Тип антенны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Плоская антенная</w:t>
            </w:r>
            <w:r w:rsidRPr="00D11A74">
              <w:rPr>
                <w:lang w:val="ru-RU"/>
              </w:rPr>
              <w:br/>
              <w:t>решетка;</w:t>
            </w:r>
            <w:r w:rsidRPr="00D11A74">
              <w:rPr>
                <w:lang w:val="ru-RU"/>
              </w:rPr>
              <w:br/>
              <w:t>диаметр 22 м</w:t>
            </w:r>
            <w:r w:rsidRPr="00D11A74">
              <w:rPr>
                <w:lang w:val="ru-RU"/>
              </w:rPr>
              <w:br/>
              <w:t>и более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Фазированная</w:t>
            </w:r>
            <w:r w:rsidRPr="00D11A74">
              <w:rPr>
                <w:lang w:val="ru-RU"/>
              </w:rPr>
              <w:br/>
              <w:t>антенная решетка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Фазированная</w:t>
            </w:r>
            <w:r w:rsidRPr="00D11A74">
              <w:rPr>
                <w:lang w:val="ru-RU"/>
              </w:rPr>
              <w:br/>
              <w:t>антенная решетка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Высота радара над землей (м)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5–20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5–10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D11A74">
              <w:rPr>
                <w:lang w:val="ru-RU"/>
              </w:rPr>
              <w:t>силени</w:t>
            </w:r>
            <w:r>
              <w:rPr>
                <w:lang w:val="ru-RU"/>
              </w:rPr>
              <w:t>е</w:t>
            </w:r>
            <w:r w:rsidRPr="00D11A74">
              <w:rPr>
                <w:lang w:val="ru-RU"/>
              </w:rPr>
              <w:t xml:space="preserve"> антенны (дБи)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38,5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28–40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Область сканирования антенны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Угол места 3</w:t>
            </w:r>
            <w:r w:rsidRPr="00D11A74">
              <w:rPr>
                <w:rFonts w:ascii="Symbol" w:hAnsi="Symbol"/>
                <w:lang w:val="ru-RU"/>
              </w:rPr>
              <w:t></w:t>
            </w:r>
            <w:r w:rsidRPr="00D11A74">
              <w:rPr>
                <w:lang w:val="ru-RU"/>
              </w:rPr>
              <w:t>–85</w:t>
            </w:r>
            <w:r w:rsidRPr="00D11A74">
              <w:rPr>
                <w:rFonts w:ascii="Symbol" w:hAnsi="Symbol"/>
                <w:lang w:val="ru-RU"/>
              </w:rPr>
              <w:t></w:t>
            </w:r>
            <w:r w:rsidRPr="00D11A74">
              <w:rPr>
                <w:lang w:val="ru-RU"/>
              </w:rPr>
              <w:t xml:space="preserve">; азимут </w:t>
            </w:r>
            <w:r w:rsidRPr="00D11A74">
              <w:rPr>
                <w:rFonts w:ascii="Symbol" w:hAnsi="Symbol"/>
                <w:lang w:val="ru-RU"/>
              </w:rPr>
              <w:sym w:font="Symbol" w:char="F0B1"/>
            </w:r>
            <w:r w:rsidRPr="00D11A74">
              <w:rPr>
                <w:lang w:val="ru-RU"/>
              </w:rPr>
              <w:t>60</w:t>
            </w:r>
            <w:r w:rsidRPr="00D11A74">
              <w:rPr>
                <w:rFonts w:ascii="Symbol" w:hAnsi="Symbol"/>
                <w:lang w:val="ru-RU"/>
              </w:rPr>
              <w:t></w:t>
            </w:r>
            <w:r w:rsidRPr="00D11A74">
              <w:rPr>
                <w:lang w:val="ru-RU"/>
              </w:rPr>
              <w:t xml:space="preserve"> на каждую из двух плоских антенных решеток при сканировании</w:t>
            </w:r>
            <w:r w:rsidRPr="00D11A74">
              <w:rPr>
                <w:lang w:val="ru-RU"/>
              </w:rPr>
              <w:br/>
              <w:t>по азимуту (240</w:t>
            </w:r>
            <w:r w:rsidRPr="00D11A74">
              <w:rPr>
                <w:rFonts w:ascii="Symbol" w:hAnsi="Symbol"/>
                <w:lang w:val="ru-RU"/>
              </w:rPr>
              <w:t></w:t>
            </w:r>
            <w:r w:rsidRPr="00D11A74">
              <w:rPr>
                <w:rFonts w:ascii="Symbol" w:hAnsi="Symbol"/>
                <w:lang w:val="ru-RU"/>
              </w:rPr>
              <w:t>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 xml:space="preserve">Азимут: сектор </w:t>
            </w:r>
            <w:r w:rsidRPr="00D11A74">
              <w:rPr>
                <w:rFonts w:ascii="Symbol" w:hAnsi="Symbol"/>
                <w:lang w:val="ru-RU"/>
              </w:rPr>
              <w:sym w:font="Symbol" w:char="F0B1"/>
            </w:r>
            <w:r w:rsidRPr="00D11A74">
              <w:rPr>
                <w:lang w:val="ru-RU"/>
              </w:rPr>
              <w:t>60</w:t>
            </w:r>
            <w:r w:rsidRPr="00D11A74">
              <w:rPr>
                <w:rFonts w:ascii="Symbol" w:hAnsi="Symbol"/>
                <w:lang w:val="ru-RU"/>
              </w:rPr>
              <w:t></w:t>
            </w:r>
            <w:r w:rsidRPr="00D11A74">
              <w:rPr>
                <w:rFonts w:ascii="Symbol" w:hAnsi="Symbol"/>
                <w:lang w:val="ru-RU"/>
              </w:rPr>
              <w:t></w:t>
            </w:r>
            <w:r w:rsidRPr="00D11A74">
              <w:rPr>
                <w:rFonts w:ascii="Symbol" w:hAnsi="Symbol"/>
                <w:lang w:val="ru-RU"/>
              </w:rPr>
              <w:br/>
            </w:r>
            <w:r w:rsidRPr="00D11A74">
              <w:rPr>
                <w:lang w:val="ru-RU"/>
              </w:rPr>
              <w:t>с вращением</w:t>
            </w:r>
            <w:r w:rsidRPr="00D11A74">
              <w:rPr>
                <w:lang w:val="ru-RU"/>
              </w:rPr>
              <w:br/>
              <w:t>или случайными режимами</w:t>
            </w:r>
            <w:r w:rsidRPr="00D11A74">
              <w:rPr>
                <w:lang w:val="ru-RU"/>
              </w:rPr>
              <w:br/>
              <w:t>Угол места 3</w:t>
            </w:r>
            <w:r w:rsidRPr="00D11A74">
              <w:rPr>
                <w:rFonts w:ascii="Symbol" w:hAnsi="Symbol"/>
                <w:lang w:val="ru-RU"/>
              </w:rPr>
              <w:t></w:t>
            </w:r>
            <w:r w:rsidRPr="00D11A74">
              <w:rPr>
                <w:lang w:val="ru-RU"/>
              </w:rPr>
              <w:t>–85</w:t>
            </w:r>
            <w:r w:rsidRPr="00D11A74">
              <w:rPr>
                <w:rFonts w:ascii="Symbol" w:hAnsi="Symbol"/>
                <w:lang w:val="ru-RU"/>
              </w:rPr>
              <w:t>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Всенаправленное (360°) сканирование по азимуту</w:t>
            </w:r>
          </w:p>
        </w:tc>
      </w:tr>
    </w:tbl>
    <w:p w:rsidR="00AA43D7" w:rsidRPr="00D11A74" w:rsidRDefault="00AA43D7" w:rsidP="00AA43D7">
      <w:pPr>
        <w:rPr>
          <w:lang w:val="ru-RU"/>
        </w:rPr>
      </w:pPr>
    </w:p>
    <w:p w:rsidR="00AA43D7" w:rsidRPr="00D11A74" w:rsidRDefault="00AA43D7" w:rsidP="00AA43D7">
      <w:pPr>
        <w:rPr>
          <w:lang w:val="ru-RU"/>
        </w:rPr>
      </w:pPr>
    </w:p>
    <w:p w:rsidR="00AA43D7" w:rsidRPr="00D11A74" w:rsidRDefault="00AA43D7" w:rsidP="00AA43D7">
      <w:pPr>
        <w:pStyle w:val="TableNo"/>
        <w:rPr>
          <w:lang w:val="ru-RU"/>
        </w:rPr>
      </w:pPr>
      <w:r w:rsidRPr="00D11A74">
        <w:rPr>
          <w:lang w:val="ru-RU"/>
        </w:rPr>
        <w:lastRenderedPageBreak/>
        <w:t>ТАБЛИЦА 1 (</w:t>
      </w:r>
      <w:r w:rsidRPr="00D11A74">
        <w:rPr>
          <w:i/>
          <w:iCs/>
          <w:lang w:val="ru-RU"/>
        </w:rPr>
        <w:t>окончание</w:t>
      </w:r>
      <w:r w:rsidRPr="00D11A74">
        <w:rPr>
          <w:lang w:val="ru-RU"/>
        </w:rPr>
        <w:t>)</w:t>
      </w:r>
    </w:p>
    <w:tbl>
      <w:tblPr>
        <w:tblW w:w="93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0"/>
        <w:gridCol w:w="13"/>
        <w:gridCol w:w="1972"/>
        <w:gridCol w:w="2126"/>
        <w:gridCol w:w="2410"/>
      </w:tblGrid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Параметр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C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Ширина луча антенны по азимуту (градусы)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2,2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1,8 (тип.)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80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Ширина луча антенны по углу места (градусы)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2,2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1,8 (тип.)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60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Шумовая температура приемника (K)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sym w:font="Symbol" w:char="F0A3"/>
            </w:r>
            <w:r w:rsidRPr="00D11A74">
              <w:rPr>
                <w:lang w:val="ru-RU"/>
              </w:rPr>
              <w:t xml:space="preserve"> 450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sym w:font="Symbol" w:char="F0A3"/>
            </w:r>
            <w:r w:rsidRPr="00D11A74">
              <w:rPr>
                <w:lang w:val="ru-RU"/>
              </w:rPr>
              <w:t xml:space="preserve"> 435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sym w:font="Symbol" w:char="F0A3"/>
            </w:r>
            <w:r w:rsidRPr="00D11A74">
              <w:rPr>
                <w:lang w:val="ru-RU"/>
              </w:rPr>
              <w:t xml:space="preserve"> 435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Коэффициент шума (дБ)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sym w:font="Symbol" w:char="F0A3"/>
            </w:r>
            <w:r w:rsidRPr="00D11A74">
              <w:rPr>
                <w:lang w:val="ru-RU"/>
              </w:rPr>
              <w:t xml:space="preserve"> 2,5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sym w:font="Symbol" w:char="F0A3"/>
            </w:r>
            <w:r w:rsidRPr="00D11A74">
              <w:rPr>
                <w:lang w:val="ru-RU"/>
              </w:rPr>
              <w:t xml:space="preserve"> 2,5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 xml:space="preserve">Ширина полосы приемника </w:t>
            </w:r>
            <w:r>
              <w:rPr>
                <w:lang w:val="ru-RU"/>
              </w:rPr>
              <w:t xml:space="preserve">по </w:t>
            </w:r>
            <w:r w:rsidRPr="00D11A74">
              <w:rPr>
                <w:lang w:val="ru-RU"/>
              </w:rPr>
              <w:t>РЧ (МГц)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Ширина полосы приемника по ПЧ (МГц)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 или 5</w:t>
            </w:r>
            <w:r w:rsidRPr="00D11A74">
              <w:rPr>
                <w:lang w:val="ru-RU"/>
              </w:rPr>
              <w:br/>
              <w:t>(см. ширину полосы ЛЧМ)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 или 0,3</w:t>
            </w:r>
          </w:p>
        </w:tc>
      </w:tr>
    </w:tbl>
    <w:p w:rsidR="00AA43D7" w:rsidRPr="00D11A74" w:rsidRDefault="00AA43D7" w:rsidP="00AA43D7">
      <w:pPr>
        <w:pStyle w:val="Tablefin"/>
        <w:rPr>
          <w:lang w:val="ru-RU"/>
        </w:rPr>
      </w:pPr>
    </w:p>
    <w:p w:rsidR="00AA43D7" w:rsidRPr="00D11A74" w:rsidRDefault="00AA43D7" w:rsidP="00AA43D7">
      <w:pPr>
        <w:pStyle w:val="TableNo"/>
        <w:rPr>
          <w:lang w:val="ru-RU"/>
        </w:rPr>
      </w:pPr>
      <w:r w:rsidRPr="00D11A74">
        <w:rPr>
          <w:lang w:val="ru-RU"/>
        </w:rPr>
        <w:t>ТАБЛИЦА 2</w:t>
      </w:r>
    </w:p>
    <w:p w:rsidR="00AA43D7" w:rsidRPr="00D11A74" w:rsidRDefault="00AA43D7" w:rsidP="00AA43D7">
      <w:pPr>
        <w:pStyle w:val="Tabletitle"/>
        <w:rPr>
          <w:lang w:val="ru-RU"/>
        </w:rPr>
      </w:pPr>
      <w:r w:rsidRPr="00D11A74">
        <w:rPr>
          <w:lang w:val="ru-RU"/>
        </w:rPr>
        <w:t>Местоположение радаров слежения за космическими объектами,</w:t>
      </w:r>
      <w:r w:rsidRPr="00D11A74">
        <w:rPr>
          <w:lang w:val="ru-RU"/>
        </w:rPr>
        <w:br/>
        <w:t>работающи</w:t>
      </w:r>
      <w:r>
        <w:rPr>
          <w:lang w:val="ru-RU"/>
        </w:rPr>
        <w:t>х</w:t>
      </w:r>
      <w:r w:rsidRPr="00D11A74">
        <w:rPr>
          <w:lang w:val="ru-RU"/>
        </w:rPr>
        <w:t xml:space="preserve"> в диапазоне частот 420–450 МГц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19"/>
        <w:gridCol w:w="2410"/>
        <w:gridCol w:w="2410"/>
      </w:tblGrid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Местоположение радара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Широта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Долгота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Массачусетс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41,8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70,5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Техас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31,0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100,6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Калифорния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39,1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121,5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Джорджия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32,6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83,6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Флорида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30,6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86,2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Северная Дакота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48,7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97,9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Штат Аляска (США)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64,3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149,2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Туле (Гренландия)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76,6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68,3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rPr>
                <w:lang w:val="ru-RU"/>
              </w:rPr>
            </w:pPr>
            <w:r w:rsidRPr="00D11A74">
              <w:rPr>
                <w:lang w:val="ru-RU"/>
              </w:rPr>
              <w:t>Файлингдейлс-Мур (Соединенное Королевство)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54,5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с. ш.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4,0</w:t>
            </w:r>
            <w:r w:rsidRPr="00D11A74">
              <w:rPr>
                <w:rFonts w:ascii="Symbol" w:hAnsi="Symbol"/>
                <w:lang w:val="ru-RU"/>
              </w:rPr>
              <w:t></w:t>
            </w:r>
            <w:r>
              <w:rPr>
                <w:rFonts w:ascii="Symbol" w:hAnsi="Symbol"/>
                <w:lang w:val="ru-RU"/>
              </w:rPr>
              <w:t></w:t>
            </w:r>
            <w:r w:rsidRPr="00D11A74">
              <w:rPr>
                <w:lang w:val="ru-RU"/>
              </w:rPr>
              <w:t>з. д.</w:t>
            </w:r>
          </w:p>
        </w:tc>
      </w:tr>
    </w:tbl>
    <w:p w:rsidR="00AA43D7" w:rsidRPr="00D11A74" w:rsidRDefault="00AA43D7" w:rsidP="00AA43D7">
      <w:pPr>
        <w:pStyle w:val="Heading2"/>
        <w:ind w:left="0" w:firstLine="0"/>
        <w:rPr>
          <w:lang w:val="ru-RU"/>
        </w:rPr>
      </w:pPr>
      <w:r w:rsidRPr="00D11A74">
        <w:rPr>
          <w:lang w:val="ru-RU"/>
        </w:rPr>
        <w:t>2.2</w:t>
      </w:r>
      <w:r w:rsidRPr="00D11A74">
        <w:rPr>
          <w:lang w:val="ru-RU"/>
        </w:rPr>
        <w:tab/>
        <w:t>Авиационные радары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 xml:space="preserve">Три нижние полосы частот радиолокации (420–450 МГц, 1215–1400 МГц и 3100-3700 МГц) имели, имеют и впредь будут иметь важнейшее значение для разработки и эксплуатации авиационных обзорных радиолокационных систем. Эти системы работают по всему миру и, оказавшись в намеченном районе работы, могут работать в </w:t>
      </w:r>
      <w:r>
        <w:rPr>
          <w:lang w:val="ru-RU"/>
        </w:rPr>
        <w:t>т</w:t>
      </w:r>
      <w:r w:rsidRPr="00D11A74">
        <w:rPr>
          <w:lang w:val="ru-RU"/>
        </w:rPr>
        <w:t xml:space="preserve">ечение продолжительных периодов времени (от нескольких часов до нескольких дней). Обнаружение объектов, их захват и слежение за ними на больших расстояниях являются важнейшими функциями управления воздушным движением и наблюдения за ним. Дальность действия наземных радаров сильно ограничена радиолокационным горизонтом, поэтому развертывание радаров большой дальности действия на воздушных судах – великолепный способ расширить возможности отдельного радара. Как и в наземных радиолокаторах обзора воздушного пространства, в авиационных радарах применяется круговое сканирование по азимуту и сканирование в заданном диапазоне по углу места либо электронным способом, либо путем использования относительно широкого луча по углу места. Радар такого типа работает как </w:t>
      </w:r>
      <w:r>
        <w:rPr>
          <w:lang w:val="ru-RU"/>
        </w:rPr>
        <w:t>на этапе</w:t>
      </w:r>
      <w:r w:rsidRPr="00D11A74">
        <w:rPr>
          <w:lang w:val="ru-RU"/>
        </w:rPr>
        <w:t xml:space="preserve"> набора высоты воздушным судном (и его снижения), так и на высотах </w:t>
      </w:r>
      <w:r>
        <w:rPr>
          <w:lang w:val="ru-RU"/>
        </w:rPr>
        <w:t>полета</w:t>
      </w:r>
      <w:r w:rsidRPr="00D11A74">
        <w:rPr>
          <w:lang w:val="ru-RU"/>
        </w:rPr>
        <w:t>; потолок высоты для воздушных судов составляет около 9 км. В таблице 3 приведены характеристики типовой авиационной радиолокационной системы, работающей в полосе частот 420–450 МГц.</w:t>
      </w:r>
    </w:p>
    <w:p w:rsidR="00AA43D7" w:rsidRPr="00D11A74" w:rsidRDefault="00AA43D7" w:rsidP="00AA43D7">
      <w:pPr>
        <w:pStyle w:val="TableNo"/>
        <w:rPr>
          <w:lang w:val="ru-RU"/>
        </w:rPr>
      </w:pPr>
      <w:r w:rsidRPr="00D11A74">
        <w:rPr>
          <w:lang w:val="ru-RU"/>
        </w:rPr>
        <w:lastRenderedPageBreak/>
        <w:t>ТАБЛИЦА 3</w:t>
      </w:r>
    </w:p>
    <w:p w:rsidR="00AA43D7" w:rsidRPr="00D11A74" w:rsidRDefault="00AA43D7" w:rsidP="00AA43D7">
      <w:pPr>
        <w:pStyle w:val="Tabletitle"/>
        <w:rPr>
          <w:lang w:val="ru-RU"/>
        </w:rPr>
      </w:pPr>
      <w:r w:rsidRPr="00D11A74">
        <w:rPr>
          <w:lang w:val="ru-RU"/>
        </w:rPr>
        <w:t>Характеристики авиационных радаров, работающих в диапазоне частот 420–450 МГц</w:t>
      </w:r>
    </w:p>
    <w:tbl>
      <w:tblPr>
        <w:tblW w:w="932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092"/>
        <w:gridCol w:w="3543"/>
      </w:tblGrid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Параметр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Радар типа 2</w:t>
            </w:r>
          </w:p>
        </w:tc>
      </w:tr>
      <w:tr w:rsidR="00AA43D7" w:rsidRPr="004D08C0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Тип настройки;</w:t>
            </w:r>
            <w:r w:rsidRPr="00D11A74">
              <w:rPr>
                <w:lang w:val="ru-RU"/>
              </w:rPr>
              <w:br/>
              <w:t>диапазон частот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Ф</w:t>
            </w:r>
            <w:r w:rsidRPr="00D11A74">
              <w:rPr>
                <w:lang w:val="ru-RU"/>
              </w:rPr>
              <w:t>иксированн</w:t>
            </w:r>
            <w:r>
              <w:rPr>
                <w:lang w:val="ru-RU"/>
              </w:rPr>
              <w:t>ая</w:t>
            </w:r>
            <w:r w:rsidRPr="00D11A74">
              <w:rPr>
                <w:lang w:val="ru-RU"/>
              </w:rPr>
              <w:t xml:space="preserve"> частот</w:t>
            </w:r>
            <w:r>
              <w:rPr>
                <w:lang w:val="ru-RU"/>
              </w:rPr>
              <w:t>а</w:t>
            </w:r>
            <w:r w:rsidRPr="00D11A74">
              <w:rPr>
                <w:lang w:val="ru-RU"/>
              </w:rPr>
              <w:t xml:space="preserve"> или быстр</w:t>
            </w:r>
            <w:r>
              <w:rPr>
                <w:lang w:val="ru-RU"/>
              </w:rPr>
              <w:t>ая</w:t>
            </w:r>
            <w:r w:rsidRPr="00D11A74">
              <w:rPr>
                <w:lang w:val="ru-RU"/>
              </w:rPr>
              <w:t xml:space="preserve"> перестройк</w:t>
            </w:r>
            <w:r>
              <w:rPr>
                <w:lang w:val="ru-RU"/>
              </w:rPr>
              <w:t>а</w:t>
            </w:r>
            <w:r w:rsidRPr="00D11A74">
              <w:rPr>
                <w:lang w:val="ru-RU"/>
              </w:rPr>
              <w:br/>
              <w:t>частоты</w:t>
            </w:r>
            <w:r>
              <w:rPr>
                <w:lang w:val="ru-RU"/>
              </w:rPr>
              <w:t>;</w:t>
            </w:r>
            <w:r w:rsidRPr="00D11A74">
              <w:rPr>
                <w:lang w:val="ru-RU"/>
              </w:rPr>
              <w:t xml:space="preserve"> 420–450 МГц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Быстрая перестройка частоты;</w:t>
            </w:r>
            <w:r w:rsidRPr="00D11A74"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 w:rsidRPr="00D11A74">
              <w:rPr>
                <w:lang w:val="ru-RU"/>
              </w:rPr>
              <w:t>420–450 МГц</w:t>
            </w:r>
          </w:p>
        </w:tc>
      </w:tr>
      <w:tr w:rsidR="00AA43D7" w:rsidRPr="00EC236D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Пиковая выходная мощность радиосигнала (МВт)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2,5</w:t>
            </w:r>
          </w:p>
        </w:tc>
      </w:tr>
      <w:tr w:rsidR="00AA43D7" w:rsidRPr="00EC236D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Поляризация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Горизонтальная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Горизонтальная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Длительность импульса (мкс)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1, 2, 4, 8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30, 35, 100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Модуляция импульсов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Немодулированные импульсы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ЛЧМ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Частота повторения импульсов (кГц)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0,1–2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До 3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Тип антенны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 xml:space="preserve">Директорная антенна </w:t>
            </w:r>
            <w:r w:rsidRPr="00D11A74">
              <w:rPr>
                <w:lang w:val="ru-RU"/>
              </w:rPr>
              <w:br/>
              <w:t>или плоская антенная решетка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Линейная антенная решетка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Усиление антенны </w:t>
            </w:r>
            <w:r w:rsidRPr="00D11A74">
              <w:rPr>
                <w:lang w:val="ru-RU"/>
              </w:rPr>
              <w:t>(дБи)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19</w:t>
            </w:r>
          </w:p>
        </w:tc>
      </w:tr>
      <w:tr w:rsidR="00AA43D7" w:rsidRPr="00AB6270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Область сканирования антенны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 xml:space="preserve">Угол места 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1"/>
            </w:r>
            <w:r w:rsidRPr="00D11A74">
              <w:rPr>
                <w:lang w:val="ru-RU"/>
              </w:rPr>
              <w:t>60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  <w:r w:rsidRPr="00D11A74">
              <w:rPr>
                <w:lang w:val="ru-RU"/>
              </w:rPr>
              <w:t xml:space="preserve"> </w:t>
            </w:r>
            <w:r>
              <w:rPr>
                <w:lang w:val="ru-RU"/>
              </w:rPr>
              <w:br/>
            </w:r>
            <w:r w:rsidRPr="00D11A74">
              <w:rPr>
                <w:lang w:val="ru-RU"/>
              </w:rPr>
              <w:t>(с механическим позиционированием или электронным сканированием);</w:t>
            </w:r>
            <w:r w:rsidRPr="00D11A74">
              <w:rPr>
                <w:lang w:val="ru-RU"/>
              </w:rPr>
              <w:br/>
              <w:t>азимут 360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  <w:r w:rsidRPr="00D11A74">
              <w:rPr>
                <w:lang w:val="ru-RU"/>
              </w:rPr>
              <w:t xml:space="preserve"> при 3–7 об</w:t>
            </w:r>
            <w:r>
              <w:rPr>
                <w:lang w:val="ru-RU"/>
              </w:rPr>
              <w:t>.</w:t>
            </w:r>
            <w:r w:rsidRPr="00D11A74">
              <w:rPr>
                <w:lang w:val="ru-RU"/>
              </w:rPr>
              <w:t>/мин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rFonts w:ascii="Symbol" w:hAnsi="Symbol"/>
                <w:lang w:val="ru-RU"/>
              </w:rPr>
            </w:pPr>
            <w:r w:rsidRPr="00D11A74">
              <w:rPr>
                <w:lang w:val="ru-RU"/>
              </w:rPr>
              <w:t xml:space="preserve">Угол места: фиксированный диапазон 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1"/>
            </w:r>
            <w:r w:rsidRPr="00D11A74">
              <w:rPr>
                <w:lang w:val="ru-RU"/>
              </w:rPr>
              <w:t>45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  <w:r w:rsidRPr="00D11A74">
              <w:rPr>
                <w:lang w:val="ru-RU"/>
              </w:rPr>
              <w:t xml:space="preserve"> (с электронным сканированием, механически неподвижное крепление);</w:t>
            </w:r>
            <w:r w:rsidRPr="00D11A74">
              <w:rPr>
                <w:lang w:val="ru-RU"/>
              </w:rPr>
              <w:br/>
              <w:t>азимут 360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Ширина луча антенны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Угол места 6</w:t>
            </w:r>
            <w:r>
              <w:rPr>
                <w:lang w:val="ru-RU"/>
              </w:rPr>
              <w:sym w:font="Symbol" w:char="F0B0"/>
            </w:r>
            <w:r w:rsidRPr="00D11A74">
              <w:rPr>
                <w:lang w:val="ru-RU"/>
              </w:rPr>
              <w:t>–20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  <w:r w:rsidRPr="00D11A74">
              <w:rPr>
                <w:lang w:val="ru-RU"/>
              </w:rPr>
              <w:br/>
              <w:t>(в зависимости от типа сканирования); азимут 6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Угол места до 60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  <w:r w:rsidRPr="00D11A74">
              <w:rPr>
                <w:rFonts w:ascii="Symbol" w:hAnsi="Symbol"/>
                <w:szCs w:val="22"/>
                <w:lang w:val="ru-RU"/>
              </w:rPr>
              <w:t></w:t>
            </w:r>
            <w:r w:rsidRPr="00D11A74">
              <w:rPr>
                <w:lang w:val="ru-RU"/>
              </w:rPr>
              <w:br/>
              <w:t>азимут 7</w:t>
            </w:r>
            <w:r w:rsidRPr="00D11A74">
              <w:rPr>
                <w:rFonts w:ascii="Symbol" w:hAnsi="Symbol"/>
                <w:szCs w:val="22"/>
                <w:lang w:val="ru-RU"/>
              </w:rPr>
              <w:sym w:font="Symbol" w:char="F0B0"/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rFonts w:ascii="Symbol" w:hAnsi="Symbol"/>
                <w:lang w:val="ru-RU"/>
              </w:rPr>
            </w:pPr>
            <w:r w:rsidRPr="00D11A74">
              <w:rPr>
                <w:lang w:val="ru-RU"/>
              </w:rPr>
              <w:t>Коэффициент шума приемника (дБ)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 xml:space="preserve">Ширина полосы приемника </w:t>
            </w:r>
            <w:r>
              <w:rPr>
                <w:lang w:val="ru-RU"/>
              </w:rPr>
              <w:t xml:space="preserve">по ПЧ </w:t>
            </w:r>
            <w:r w:rsidRPr="00D11A74">
              <w:rPr>
                <w:lang w:val="ru-RU"/>
              </w:rPr>
              <w:t>(МГц)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33</w:t>
            </w:r>
          </w:p>
        </w:tc>
      </w:tr>
    </w:tbl>
    <w:p w:rsidR="00AA43D7" w:rsidRPr="00D11A74" w:rsidRDefault="00AA43D7" w:rsidP="00AA43D7">
      <w:pPr>
        <w:pStyle w:val="Heading2"/>
        <w:rPr>
          <w:lang w:val="ru-RU"/>
        </w:rPr>
      </w:pPr>
      <w:r w:rsidRPr="00D11A74">
        <w:rPr>
          <w:lang w:val="ru-RU"/>
        </w:rPr>
        <w:t>2.3</w:t>
      </w:r>
      <w:r w:rsidRPr="00D11A74">
        <w:rPr>
          <w:lang w:val="ru-RU"/>
        </w:rPr>
        <w:tab/>
        <w:t>Судовые радары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>Судовые обзорные радары также работают в диапазоне частот 420–450 МГц. Обычно они эксплуатируются в открытом море, хотя следует также предполагать возможность их работы в прибрежных водах и в морских портах. Подобно другим обзорным радарам системы этого типа осуществляют сканирование на 360</w:t>
      </w:r>
      <w:r w:rsidRPr="00D11A74">
        <w:rPr>
          <w:rFonts w:ascii="Symbol" w:hAnsi="Symbol"/>
          <w:szCs w:val="24"/>
          <w:lang w:val="ru-RU"/>
        </w:rPr>
        <w:sym w:font="Symbol" w:char="F0B0"/>
      </w:r>
      <w:r w:rsidRPr="00D11A74">
        <w:rPr>
          <w:lang w:val="ru-RU"/>
        </w:rPr>
        <w:t xml:space="preserve"> по азимуту и работают в непрерывном режиме. В таблице 4 приведены характеристики типового судового радара, работающего в диапазоне частот 420–450 МГц.</w:t>
      </w:r>
    </w:p>
    <w:p w:rsidR="00AA43D7" w:rsidRPr="00D11A74" w:rsidRDefault="00AA43D7" w:rsidP="00AA43D7">
      <w:pPr>
        <w:pStyle w:val="TableNo"/>
        <w:rPr>
          <w:lang w:val="ru-RU"/>
        </w:rPr>
      </w:pPr>
      <w:r w:rsidRPr="00D11A74">
        <w:rPr>
          <w:lang w:val="ru-RU"/>
        </w:rPr>
        <w:br w:type="page"/>
      </w:r>
    </w:p>
    <w:p w:rsidR="00AA43D7" w:rsidRPr="00D11A74" w:rsidRDefault="00AA43D7" w:rsidP="00AA43D7">
      <w:pPr>
        <w:pStyle w:val="TableNo"/>
        <w:rPr>
          <w:lang w:val="ru-RU"/>
        </w:rPr>
      </w:pPr>
      <w:r w:rsidRPr="00D11A74">
        <w:rPr>
          <w:lang w:val="ru-RU"/>
        </w:rPr>
        <w:lastRenderedPageBreak/>
        <w:t>ТАБЛИЦА 4</w:t>
      </w:r>
    </w:p>
    <w:p w:rsidR="00AA43D7" w:rsidRPr="00D11A74" w:rsidRDefault="00AA43D7" w:rsidP="00AA43D7">
      <w:pPr>
        <w:pStyle w:val="Tabletitle"/>
        <w:rPr>
          <w:lang w:val="ru-RU"/>
        </w:rPr>
      </w:pPr>
      <w:r w:rsidRPr="00D11A74">
        <w:rPr>
          <w:lang w:val="ru-RU"/>
        </w:rPr>
        <w:t>Характеристики судовых радаров, работающих в диапазоне частот 420–450 МГц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3"/>
        <w:gridCol w:w="6326"/>
      </w:tblGrid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Параметр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head"/>
              <w:rPr>
                <w:lang w:val="ru-RU"/>
              </w:rPr>
            </w:pPr>
            <w:r w:rsidRPr="00D11A74">
              <w:rPr>
                <w:lang w:val="ru-RU"/>
              </w:rPr>
              <w:t>Значение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Тип настройки; диапазон частот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Ф</w:t>
            </w:r>
            <w:r w:rsidRPr="00D11A74">
              <w:rPr>
                <w:lang w:val="ru-RU"/>
              </w:rPr>
              <w:t>иксированны</w:t>
            </w:r>
            <w:r>
              <w:rPr>
                <w:lang w:val="ru-RU"/>
              </w:rPr>
              <w:t>е</w:t>
            </w:r>
            <w:r w:rsidRPr="00D11A74">
              <w:rPr>
                <w:lang w:val="ru-RU"/>
              </w:rPr>
              <w:t xml:space="preserve"> частот</w:t>
            </w:r>
            <w:r>
              <w:rPr>
                <w:lang w:val="ru-RU"/>
              </w:rPr>
              <w:t>ы</w:t>
            </w:r>
            <w:r w:rsidRPr="00D11A74">
              <w:rPr>
                <w:lang w:val="ru-RU"/>
              </w:rPr>
              <w:t>; 420–450 МГц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Пиковая выходная мощность радиосигнала (МВт)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2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Модуляция импульсов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Немодулированные импульсы</w:t>
            </w:r>
          </w:p>
        </w:tc>
      </w:tr>
      <w:tr w:rsidR="00AA43D7" w:rsidRPr="00AB6270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Усиление антенны </w:t>
            </w:r>
            <w:r w:rsidRPr="00D11A74">
              <w:rPr>
                <w:lang w:val="ru-RU"/>
              </w:rPr>
              <w:t>(дБи)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 xml:space="preserve">30 (главный лепесток) </w:t>
            </w:r>
            <w:r w:rsidRPr="00D11A74">
              <w:rPr>
                <w:lang w:val="ru-RU"/>
              </w:rPr>
              <w:br/>
            </w:r>
            <w:r w:rsidRPr="00D11A74">
              <w:rPr>
                <w:lang w:val="ru-RU"/>
              </w:rPr>
              <w:tab/>
              <w:t>0 (медиана бокового лепестка)</w:t>
            </w:r>
          </w:p>
        </w:tc>
      </w:tr>
      <w:tr w:rsidR="00AA43D7" w:rsidRPr="00AB6270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Кривая уровней мощности радиоизлучения передатчика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985"/>
                <w:tab w:val="clear" w:pos="2268"/>
                <w:tab w:val="clear" w:pos="2552"/>
                <w:tab w:val="clear" w:pos="2835"/>
              </w:tabs>
              <w:rPr>
                <w:lang w:val="ru-RU"/>
              </w:rPr>
            </w:pPr>
            <w:r w:rsidRPr="00D11A74">
              <w:rPr>
                <w:lang w:val="ru-RU"/>
              </w:rPr>
              <w:tab/>
              <w:t>−3 дБ</w:t>
            </w:r>
            <w:r w:rsidRPr="00D11A74">
              <w:rPr>
                <w:lang w:val="ru-RU"/>
              </w:rPr>
              <w:tab/>
              <w:t>2 МГц</w:t>
            </w:r>
            <w:r w:rsidRPr="00D11A74">
              <w:rPr>
                <w:lang w:val="ru-RU"/>
              </w:rPr>
              <w:br/>
            </w:r>
            <w:r w:rsidRPr="00D11A74">
              <w:rPr>
                <w:lang w:val="ru-RU"/>
              </w:rPr>
              <w:tab/>
              <w:t>−20 дБ</w:t>
            </w:r>
            <w:r w:rsidRPr="00D11A74">
              <w:rPr>
                <w:lang w:val="ru-RU"/>
              </w:rPr>
              <w:tab/>
              <w:t>3 МГц</w:t>
            </w:r>
            <w:r w:rsidRPr="00D11A74">
              <w:rPr>
                <w:lang w:val="ru-RU"/>
              </w:rPr>
              <w:br/>
            </w:r>
            <w:r w:rsidRPr="00D11A74">
              <w:rPr>
                <w:lang w:val="ru-RU"/>
              </w:rPr>
              <w:tab/>
              <w:t>−70 дБ</w:t>
            </w:r>
            <w:r w:rsidRPr="00D11A74">
              <w:rPr>
                <w:lang w:val="ru-RU"/>
              </w:rPr>
              <w:tab/>
              <w:t>20 МГц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 xml:space="preserve">Избирательность тракта ПЧ приемника 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985"/>
                <w:tab w:val="clear" w:pos="2268"/>
                <w:tab w:val="clear" w:pos="2552"/>
                <w:tab w:val="clear" w:pos="2835"/>
              </w:tabs>
              <w:rPr>
                <w:lang w:val="ru-RU"/>
              </w:rPr>
            </w:pPr>
            <w:r w:rsidRPr="00D11A74">
              <w:rPr>
                <w:lang w:val="ru-RU"/>
              </w:rPr>
              <w:tab/>
              <w:t>−3 дБ</w:t>
            </w:r>
            <w:r w:rsidRPr="00D11A74">
              <w:rPr>
                <w:lang w:val="ru-RU"/>
              </w:rPr>
              <w:tab/>
              <w:t>2 МГц</w:t>
            </w:r>
            <w:r w:rsidRPr="00D11A74">
              <w:rPr>
                <w:lang w:val="ru-RU"/>
              </w:rPr>
              <w:br/>
            </w:r>
            <w:r w:rsidRPr="00D11A74">
              <w:rPr>
                <w:lang w:val="ru-RU"/>
              </w:rPr>
              <w:tab/>
              <w:t>−103 дБ</w:t>
            </w:r>
            <w:r w:rsidRPr="00D11A74">
              <w:rPr>
                <w:lang w:val="ru-RU"/>
              </w:rPr>
              <w:tab/>
              <w:t>20 МГц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Уровень шума приемника (дБВт)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−136</w:t>
            </w:r>
          </w:p>
        </w:tc>
      </w:tr>
      <w:tr w:rsidR="00AA43D7" w:rsidRPr="00D11A74" w:rsidTr="003675F3">
        <w:trPr>
          <w:cantSplit/>
          <w:jc w:val="center"/>
        </w:trPr>
        <w:tc>
          <w:tcPr>
            <w:tcW w:w="3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886C73">
            <w:pPr>
              <w:pStyle w:val="Tabletext"/>
              <w:jc w:val="left"/>
              <w:rPr>
                <w:lang w:val="ru-RU"/>
              </w:rPr>
            </w:pPr>
            <w:r w:rsidRPr="00D11A74">
              <w:rPr>
                <w:lang w:val="ru-RU"/>
              </w:rPr>
              <w:t>Тип антенны</w:t>
            </w:r>
          </w:p>
        </w:tc>
        <w:tc>
          <w:tcPr>
            <w:tcW w:w="6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A43D7" w:rsidRPr="00D11A74" w:rsidRDefault="00AA43D7" w:rsidP="003675F3">
            <w:pPr>
              <w:pStyle w:val="Tabletext"/>
              <w:jc w:val="center"/>
              <w:rPr>
                <w:lang w:val="ru-RU"/>
              </w:rPr>
            </w:pPr>
            <w:r w:rsidRPr="00D11A74">
              <w:rPr>
                <w:lang w:val="ru-RU"/>
              </w:rPr>
              <w:t>Параболический отражатель</w:t>
            </w:r>
          </w:p>
        </w:tc>
      </w:tr>
    </w:tbl>
    <w:p w:rsidR="00AA43D7" w:rsidRPr="00D11A74" w:rsidRDefault="00AA43D7" w:rsidP="00AA43D7">
      <w:pPr>
        <w:pStyle w:val="Heading1"/>
        <w:spacing w:before="360"/>
        <w:rPr>
          <w:lang w:val="ru-RU"/>
        </w:rPr>
      </w:pPr>
      <w:r w:rsidRPr="00D11A74">
        <w:rPr>
          <w:lang w:val="ru-RU"/>
        </w:rPr>
        <w:t>3</w:t>
      </w:r>
      <w:r w:rsidRPr="00D11A74">
        <w:rPr>
          <w:lang w:val="ru-RU"/>
        </w:rPr>
        <w:tab/>
        <w:t>Критерии защиты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 xml:space="preserve">Степень снижения чувствительности радаров радиоопределения под влиянием помех от других служб в виде модуляции непрерывным или шумоподобным сигналом прогнозируемо связана с интенсивностью этих помех. В пределах любого азимутального сектора, в котором возникает такого рода помеха, ее спектральную плотность мощности можно в пределах разумной точности аппроксимации просто приплюсовать к спектральной плотности мощности теплового шума приемника радара. Если обозначить спектральную плотность мощности шума приемника радара в отсутствие помех как </w:t>
      </w:r>
      <w:r w:rsidRPr="00D11A74">
        <w:rPr>
          <w:i/>
          <w:lang w:val="ru-RU"/>
        </w:rPr>
        <w:t>N</w:t>
      </w:r>
      <w:r w:rsidRPr="00D11A74">
        <w:rPr>
          <w:sz w:val="20"/>
          <w:vertAlign w:val="subscript"/>
          <w:lang w:val="ru-RU"/>
        </w:rPr>
        <w:t>0</w:t>
      </w:r>
      <w:r w:rsidRPr="00D11A74">
        <w:rPr>
          <w:lang w:val="ru-RU"/>
        </w:rPr>
        <w:t xml:space="preserve">, а спектральную плотность мощности шумоподобной помехи как </w:t>
      </w:r>
      <w:r w:rsidRPr="00D11A74">
        <w:rPr>
          <w:i/>
          <w:lang w:val="ru-RU"/>
        </w:rPr>
        <w:t>I</w:t>
      </w:r>
      <w:r w:rsidRPr="00D11A74">
        <w:rPr>
          <w:sz w:val="20"/>
          <w:vertAlign w:val="subscript"/>
          <w:lang w:val="ru-RU"/>
        </w:rPr>
        <w:t>0</w:t>
      </w:r>
      <w:r w:rsidRPr="00D11A74">
        <w:rPr>
          <w:lang w:val="ru-RU"/>
        </w:rPr>
        <w:t xml:space="preserve">, то результирующая эффективная спектральная плотность мощности шума будет равна просто </w:t>
      </w:r>
      <w:r w:rsidRPr="00D11A74">
        <w:rPr>
          <w:i/>
          <w:lang w:val="ru-RU"/>
        </w:rPr>
        <w:t>I</w:t>
      </w:r>
      <w:r w:rsidRPr="00D11A74">
        <w:rPr>
          <w:sz w:val="20"/>
          <w:vertAlign w:val="subscript"/>
          <w:lang w:val="ru-RU"/>
        </w:rPr>
        <w:t>0</w:t>
      </w:r>
      <w:r w:rsidRPr="00D11A74">
        <w:rPr>
          <w:lang w:val="ru-RU"/>
        </w:rPr>
        <w:t> </w:t>
      </w:r>
      <w:r w:rsidRPr="00D11A74">
        <w:rPr>
          <w:rFonts w:ascii="Symbol" w:hAnsi="Symbol"/>
          <w:lang w:val="ru-RU"/>
        </w:rPr>
        <w:t></w:t>
      </w:r>
      <w:r w:rsidRPr="00D11A74">
        <w:rPr>
          <w:lang w:val="ru-RU"/>
        </w:rPr>
        <w:t> </w:t>
      </w:r>
      <w:r w:rsidRPr="00D11A74">
        <w:rPr>
          <w:i/>
          <w:lang w:val="ru-RU"/>
        </w:rPr>
        <w:t>N</w:t>
      </w:r>
      <w:r w:rsidRPr="00D11A74">
        <w:rPr>
          <w:sz w:val="20"/>
          <w:vertAlign w:val="subscript"/>
          <w:lang w:val="ru-RU"/>
        </w:rPr>
        <w:t>0</w:t>
      </w:r>
      <w:r w:rsidRPr="00D11A74">
        <w:rPr>
          <w:lang w:val="ru-RU"/>
        </w:rPr>
        <w:t>. Увеличение этого значения примерно на 1 дБ будет сопровождаться существенным ухудшением характеристик, эквивалентным снижению дальности обнаружения приблизительно на 6</w:t>
      </w:r>
      <w:r w:rsidRPr="00D11A74">
        <w:rPr>
          <w:rFonts w:ascii="Symbol" w:hAnsi="Symbol"/>
          <w:lang w:val="ru-RU"/>
        </w:rPr>
        <w:t></w:t>
      </w:r>
      <w:r w:rsidRPr="00D11A74">
        <w:rPr>
          <w:lang w:val="ru-RU"/>
        </w:rPr>
        <w:t>. Такое увеличение соответствует значению отношения</w:t>
      </w:r>
      <w:r>
        <w:rPr>
          <w:lang w:val="ru-RU"/>
        </w:rPr>
        <w:t xml:space="preserve"> (</w:t>
      </w:r>
      <w:r w:rsidRPr="00457D1A">
        <w:rPr>
          <w:i/>
          <w:lang w:val="en-US"/>
        </w:rPr>
        <w:t>I</w:t>
      </w:r>
      <w:r>
        <w:rPr>
          <w:lang w:val="en-US"/>
        </w:rPr>
        <w:t> </w:t>
      </w:r>
      <w:r w:rsidRPr="007535C2">
        <w:rPr>
          <w:lang w:val="ru-RU"/>
        </w:rPr>
        <w:t>+</w:t>
      </w:r>
      <w:r>
        <w:rPr>
          <w:lang w:val="en-US"/>
        </w:rPr>
        <w:t> </w:t>
      </w:r>
      <w:r w:rsidRPr="00457D1A">
        <w:rPr>
          <w:i/>
          <w:lang w:val="en-US"/>
        </w:rPr>
        <w:t>N</w:t>
      </w:r>
      <w:r w:rsidRPr="007535C2">
        <w:rPr>
          <w:lang w:val="ru-RU"/>
        </w:rPr>
        <w:t>)/</w:t>
      </w:r>
      <w:r w:rsidRPr="00457D1A">
        <w:rPr>
          <w:i/>
          <w:lang w:val="en-US"/>
        </w:rPr>
        <w:t>N</w:t>
      </w:r>
      <w:r w:rsidRPr="00D11A74">
        <w:rPr>
          <w:lang w:val="ru-RU"/>
        </w:rPr>
        <w:t xml:space="preserve">, равному 1,26, или значению </w:t>
      </w:r>
      <w:r w:rsidRPr="00D11A74">
        <w:rPr>
          <w:i/>
          <w:lang w:val="ru-RU"/>
        </w:rPr>
        <w:t>I</w:t>
      </w:r>
      <w:r w:rsidRPr="00D11A74">
        <w:rPr>
          <w:lang w:val="ru-RU"/>
        </w:rPr>
        <w:t>/</w:t>
      </w:r>
      <w:r w:rsidRPr="00D11A74">
        <w:rPr>
          <w:i/>
          <w:lang w:val="ru-RU"/>
        </w:rPr>
        <w:t>N</w:t>
      </w:r>
      <w:r w:rsidRPr="00D11A74">
        <w:rPr>
          <w:lang w:val="ru-RU"/>
        </w:rPr>
        <w:t xml:space="preserve">, приблизительно равному –6 дБ. Данное значение отражает суммарное воздействие нескольких источников помех, если таковые имеются; допустимое значение </w:t>
      </w:r>
      <w:r w:rsidRPr="00D11A74">
        <w:rPr>
          <w:i/>
          <w:lang w:val="ru-RU"/>
        </w:rPr>
        <w:t>I</w:t>
      </w:r>
      <w:r w:rsidRPr="00D11A74">
        <w:rPr>
          <w:lang w:val="ru-RU"/>
        </w:rPr>
        <w:t>/</w:t>
      </w:r>
      <w:r w:rsidRPr="00D11A74">
        <w:rPr>
          <w:i/>
          <w:lang w:val="ru-RU"/>
        </w:rPr>
        <w:t>N</w:t>
      </w:r>
      <w:r w:rsidRPr="00D11A74">
        <w:rPr>
          <w:lang w:val="ru-RU"/>
        </w:rPr>
        <w:t xml:space="preserve"> для любого отдельного источника помех зависит от количества источников и их геометрических характеристик и должно определяться в ходе анализа конкретного сценария. Если бы на большинстве направлений по азимут</w:t>
      </w:r>
      <w:r>
        <w:rPr>
          <w:lang w:val="ru-RU"/>
        </w:rPr>
        <w:t>у</w:t>
      </w:r>
      <w:r w:rsidRPr="00D11A74">
        <w:rPr>
          <w:lang w:val="ru-RU"/>
        </w:rPr>
        <w:t xml:space="preserve"> принимались помехи в форме непрерывного сигнала, пришлось бы поддерживать более низкий уровень </w:t>
      </w:r>
      <w:r w:rsidRPr="00D11A74">
        <w:rPr>
          <w:i/>
          <w:lang w:val="ru-RU"/>
        </w:rPr>
        <w:t>I</w:t>
      </w:r>
      <w:r w:rsidRPr="00D11A74">
        <w:rPr>
          <w:lang w:val="ru-RU"/>
        </w:rPr>
        <w:t>/</w:t>
      </w:r>
      <w:r w:rsidRPr="00D11A74">
        <w:rPr>
          <w:i/>
          <w:lang w:val="ru-RU"/>
        </w:rPr>
        <w:t>N</w:t>
      </w:r>
      <w:r w:rsidRPr="00D11A74">
        <w:rPr>
          <w:lang w:val="ru-RU"/>
        </w:rPr>
        <w:t>.</w:t>
      </w:r>
    </w:p>
    <w:p w:rsidR="00AA43D7" w:rsidRPr="00D11A74" w:rsidRDefault="00AA43D7" w:rsidP="00AA43D7">
      <w:pPr>
        <w:rPr>
          <w:lang w:val="ru-RU"/>
        </w:rPr>
      </w:pPr>
      <w:r w:rsidRPr="00D11A74">
        <w:rPr>
          <w:lang w:val="ru-RU"/>
        </w:rPr>
        <w:t>Фактор суммирования может быть весьма существенным для некоторых систем связи, в которых может быть развернуто большое число станций.</w:t>
      </w:r>
    </w:p>
    <w:p w:rsidR="00AA43D7" w:rsidRDefault="00AA43D7" w:rsidP="00AA43D7">
      <w:pPr>
        <w:rPr>
          <w:spacing w:val="-2"/>
          <w:lang w:val="ru-RU"/>
        </w:rPr>
      </w:pPr>
      <w:r w:rsidRPr="00AB6270">
        <w:rPr>
          <w:spacing w:val="-2"/>
          <w:lang w:val="ru-RU"/>
        </w:rPr>
        <w:t>Влияние импульсных помех количественно оценить сложнее, и оно строго зависит от конструкции и режима работы приемника/процессора. В частности, нередко влияние импульсных помех заданного уровня существенно зависит от дифференциального выигрыша при обработке отраженного от реальной цели сигнала, который имеет вид синхронизированных импульсов, и импульсных помех, имеющих обычно асинхронный характер. Такое снижение чувствительности может вызвать ухудшение характеристик в нескольких различных формах. Его оценка будет целью анализа взаимодействий между конкретными типами радаров. В целом можно предположить, что подавлению импульсных помех с низким коэффициентом заполнения, в особенности от нескольких изолированных источников, может поспособствовать целый ряд свойств радаров радиоопределения. Методы подавления импульсных помех с низким коэффициентом заполнения описаны в Рекомендации МСЭ</w:t>
      </w:r>
      <w:r w:rsidRPr="00AB6270">
        <w:rPr>
          <w:spacing w:val="-2"/>
          <w:lang w:val="ru-RU"/>
        </w:rPr>
        <w:noBreakHyphen/>
        <w:t>R M.1372 "</w:t>
      </w:r>
      <w:r w:rsidRPr="00AB6270">
        <w:rPr>
          <w:spacing w:val="-2"/>
          <w:sz w:val="20"/>
          <w:lang w:val="ru-RU"/>
        </w:rPr>
        <w:t>Эффективное использование радиочастотного спектра радиолокационными станциями службы радиоопределения</w:t>
      </w:r>
      <w:r w:rsidRPr="00AB6270">
        <w:rPr>
          <w:spacing w:val="-2"/>
          <w:lang w:val="ru-RU"/>
        </w:rPr>
        <w:t>".</w:t>
      </w:r>
    </w:p>
    <w:p w:rsidR="00886C73" w:rsidRPr="00AB6270" w:rsidRDefault="00886C73" w:rsidP="00AA43D7">
      <w:pPr>
        <w:rPr>
          <w:spacing w:val="-2"/>
          <w:lang w:val="ru-RU"/>
        </w:rPr>
      </w:pPr>
    </w:p>
    <w:p w:rsidR="00AA43D7" w:rsidRPr="00D11A74" w:rsidRDefault="00AA43D7" w:rsidP="00AA43D7">
      <w:pPr>
        <w:pStyle w:val="Line"/>
        <w:rPr>
          <w:sz w:val="16"/>
          <w:szCs w:val="16"/>
          <w:lang w:val="ru-RU"/>
        </w:rPr>
      </w:pPr>
    </w:p>
    <w:sectPr w:rsidR="00AA43D7" w:rsidRPr="00D11A74" w:rsidSect="00AA43D7">
      <w:headerReference w:type="even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149D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149DD">
      <w:rPr>
        <w:b/>
        <w:bCs/>
        <w:noProof/>
        <w:szCs w:val="22"/>
        <w:lang w:val="en-US"/>
      </w:rPr>
      <w:t>МСЭ-R  M.1462-1</w:t>
    </w:r>
    <w:r w:rsidR="00A149DD">
      <w:rPr>
        <w:b/>
        <w:bCs/>
        <w:noProof/>
        <w:szCs w:val="22"/>
        <w:lang w:val="en-US"/>
      </w:rPr>
      <w:cr/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AA43D7" w:rsidRDefault="00AA43D7" w:rsidP="00AA43D7">
    <w:pPr>
      <w:pStyle w:val="Header"/>
    </w:pPr>
    <w:r w:rsidRPr="0032099C">
      <w:tab/>
    </w:r>
    <w:r w:rsidRPr="0032099C">
      <w:rPr>
        <w:b/>
        <w:lang w:val="ru-RU"/>
      </w:rPr>
      <w:t>Рек.  МСЭ-</w:t>
    </w:r>
    <w:r w:rsidRPr="0032099C">
      <w:rPr>
        <w:b/>
        <w:lang w:val="en-US"/>
      </w:rPr>
      <w:t>R  M.1462-1</w:t>
    </w:r>
    <w:r w:rsidRPr="0032099C">
      <w:tab/>
    </w:r>
    <w:r w:rsidRPr="0032099C">
      <w:rPr>
        <w:rStyle w:val="PageNumber"/>
        <w:b/>
        <w:bCs/>
      </w:rPr>
      <w:fldChar w:fldCharType="begin"/>
    </w:r>
    <w:r w:rsidRPr="0032099C">
      <w:rPr>
        <w:rStyle w:val="PageNumber"/>
        <w:b/>
        <w:bCs/>
      </w:rPr>
      <w:instrText xml:space="preserve"> PAGE </w:instrText>
    </w:r>
    <w:r w:rsidRPr="0032099C">
      <w:rPr>
        <w:rStyle w:val="PageNumber"/>
        <w:b/>
        <w:bCs/>
      </w:rPr>
      <w:fldChar w:fldCharType="separate"/>
    </w:r>
    <w:r w:rsidR="00A149DD">
      <w:rPr>
        <w:rStyle w:val="PageNumber"/>
        <w:b/>
        <w:bCs/>
        <w:noProof/>
      </w:rPr>
      <w:t>5</w:t>
    </w:r>
    <w:r w:rsidRPr="0032099C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D3" w:rsidRPr="00D60894" w:rsidRDefault="00EA3AD3" w:rsidP="00EA3AD3">
    <w:pPr>
      <w:pStyle w:val="Header"/>
      <w:tabs>
        <w:tab w:val="clear" w:pos="4848"/>
        <w:tab w:val="clear" w:pos="9696"/>
        <w:tab w:val="center" w:pos="4820"/>
      </w:tabs>
      <w:jc w:val="left"/>
    </w:pPr>
    <w:r w:rsidRPr="00E4735A">
      <w:rPr>
        <w:rStyle w:val="PageNumber"/>
        <w:b/>
        <w:bCs/>
        <w:szCs w:val="22"/>
      </w:rPr>
      <w:fldChar w:fldCharType="begin"/>
    </w:r>
    <w:r w:rsidRPr="00E4735A">
      <w:rPr>
        <w:rStyle w:val="PageNumber"/>
        <w:b/>
        <w:bCs/>
        <w:szCs w:val="22"/>
        <w:lang w:val="en-US"/>
      </w:rPr>
      <w:instrText xml:space="preserve"> PAGE </w:instrText>
    </w:r>
    <w:r w:rsidRPr="00E4735A">
      <w:rPr>
        <w:rStyle w:val="PageNumber"/>
        <w:b/>
        <w:bCs/>
        <w:szCs w:val="22"/>
      </w:rPr>
      <w:fldChar w:fldCharType="separate"/>
    </w:r>
    <w:r w:rsidR="00A149DD">
      <w:rPr>
        <w:rStyle w:val="PageNumber"/>
        <w:b/>
        <w:bCs/>
        <w:noProof/>
        <w:szCs w:val="22"/>
        <w:lang w:val="en-US"/>
      </w:rPr>
      <w:t>6</w:t>
    </w:r>
    <w:r w:rsidRPr="00E4735A">
      <w:rPr>
        <w:rStyle w:val="PageNumber"/>
        <w:b/>
        <w:bCs/>
        <w:szCs w:val="22"/>
      </w:rPr>
      <w:fldChar w:fldCharType="end"/>
    </w:r>
    <w:r w:rsidRPr="00E4735A">
      <w:rPr>
        <w:szCs w:val="22"/>
        <w:lang w:val="en-US"/>
      </w:rPr>
      <w:tab/>
    </w:r>
    <w:r w:rsidRPr="00553C5F">
      <w:rPr>
        <w:b/>
        <w:szCs w:val="22"/>
        <w:lang w:val="ru-RU"/>
      </w:rPr>
      <w:t>Рек</w:t>
    </w:r>
    <w:r w:rsidRPr="003544AB">
      <w:rPr>
        <w:b/>
        <w:szCs w:val="22"/>
      </w:rPr>
      <w:t xml:space="preserve">.  </w:t>
    </w:r>
    <w:r>
      <w:rPr>
        <w:b/>
        <w:szCs w:val="22"/>
        <w:lang w:val="ru-RU"/>
      </w:rPr>
      <w:t>МСЭ</w:t>
    </w:r>
    <w:r w:rsidRPr="003544AB">
      <w:rPr>
        <w:b/>
        <w:szCs w:val="22"/>
      </w:rPr>
      <w:t xml:space="preserve">-R  </w:t>
    </w:r>
    <w:r>
      <w:rPr>
        <w:b/>
        <w:szCs w:val="22"/>
      </w:rPr>
      <w:t>M.1849-2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3D7" w:rsidRPr="0032099C" w:rsidRDefault="00AA43D7" w:rsidP="00AA43D7">
    <w:pPr>
      <w:pStyle w:val="Header"/>
    </w:pPr>
    <w:r w:rsidRPr="0032099C">
      <w:tab/>
    </w:r>
    <w:r w:rsidRPr="0032099C">
      <w:rPr>
        <w:b/>
        <w:lang w:val="ru-RU"/>
      </w:rPr>
      <w:t>Рек.  МСЭ-</w:t>
    </w:r>
    <w:r w:rsidRPr="0032099C">
      <w:rPr>
        <w:b/>
        <w:lang w:val="en-US"/>
      </w:rPr>
      <w:t>R  M.1462-1</w:t>
    </w:r>
    <w:r w:rsidRPr="0032099C">
      <w:tab/>
    </w:r>
    <w:r w:rsidRPr="0032099C">
      <w:rPr>
        <w:rStyle w:val="PageNumber"/>
        <w:b/>
        <w:bCs/>
      </w:rPr>
      <w:fldChar w:fldCharType="begin"/>
    </w:r>
    <w:r w:rsidRPr="0032099C">
      <w:rPr>
        <w:rStyle w:val="PageNumber"/>
        <w:b/>
        <w:bCs/>
      </w:rPr>
      <w:instrText xml:space="preserve"> PAGE </w:instrText>
    </w:r>
    <w:r w:rsidRPr="0032099C">
      <w:rPr>
        <w:rStyle w:val="PageNumber"/>
        <w:b/>
        <w:bCs/>
      </w:rPr>
      <w:fldChar w:fldCharType="separate"/>
    </w:r>
    <w:r w:rsidR="00A149DD">
      <w:rPr>
        <w:rStyle w:val="PageNumber"/>
        <w:b/>
        <w:bCs/>
        <w:noProof/>
      </w:rPr>
      <w:t>1</w:t>
    </w:r>
    <w:r w:rsidRPr="0032099C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1A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01A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C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6F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1EA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C2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9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45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C4972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4E52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86C73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149DD"/>
    <w:rsid w:val="00A25DEC"/>
    <w:rsid w:val="00A31928"/>
    <w:rsid w:val="00A62A14"/>
    <w:rsid w:val="00A6617B"/>
    <w:rsid w:val="00A71FE5"/>
    <w:rsid w:val="00A83C2A"/>
    <w:rsid w:val="00A971A1"/>
    <w:rsid w:val="00AA3AD8"/>
    <w:rsid w:val="00AA43D7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A3AD3"/>
    <w:rsid w:val="00EB0890"/>
    <w:rsid w:val="00EB713A"/>
    <w:rsid w:val="00EB7C57"/>
    <w:rsid w:val="00ED2695"/>
    <w:rsid w:val="00ED5EAE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ader odd,header odd1,header odd2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uiPriority w:val="99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aliases w:val="encabezado Char,header odd Char,header odd1 Char,header odd2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FootnoteReferenceComplex8pt">
    <w:name w:val="Footnote Reference + (Complex) 8 pt"/>
    <w:basedOn w:val="FootnoteReference"/>
    <w:rsid w:val="00EA3AD3"/>
    <w:rPr>
      <w:rFonts w:ascii="Times New Roman" w:hAnsi="Times New Roman"/>
      <w:position w:val="6"/>
      <w:sz w:val="16"/>
      <w:szCs w:val="16"/>
    </w:rPr>
  </w:style>
  <w:style w:type="paragraph" w:styleId="ListBullet">
    <w:name w:val="List Bullet"/>
    <w:basedOn w:val="Normal"/>
    <w:autoRedefine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EA3AD3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EA3AD3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EA3AD3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EA3AD3"/>
    <w:rPr>
      <w:b/>
      <w:bCs/>
      <w:sz w:val="24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EA3AD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AD3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AD3"/>
    <w:pPr>
      <w:jc w:val="left"/>
      <w:textAlignment w:val="auto"/>
    </w:pPr>
    <w:rPr>
      <w:b/>
      <w:bCs/>
      <w:sz w:val="24"/>
    </w:rPr>
  </w:style>
  <w:style w:type="character" w:customStyle="1" w:styleId="CommentSubjectChar1">
    <w:name w:val="Comment Subject Char1"/>
    <w:basedOn w:val="CommentTextChar"/>
    <w:semiHidden/>
    <w:rsid w:val="00EA3AD3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EA3AD3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EA3AD3"/>
    <w:pPr>
      <w:textAlignment w:val="auto"/>
    </w:pPr>
    <w:rPr>
      <w:sz w:val="24"/>
      <w:lang w:val="en-GB"/>
    </w:rPr>
  </w:style>
  <w:style w:type="character" w:customStyle="1" w:styleId="StyleTextCarLatinItalic">
    <w:name w:val="Style Text Car + (Latin) Italic"/>
    <w:basedOn w:val="TextCar"/>
    <w:rsid w:val="00EA3AD3"/>
    <w:rPr>
      <w:i/>
      <w:iCs w:val="0"/>
      <w:sz w:val="24"/>
      <w:lang w:val="en-GB" w:eastAsia="en-US"/>
    </w:rPr>
  </w:style>
  <w:style w:type="paragraph" w:customStyle="1" w:styleId="Texte">
    <w:name w:val="Texte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character" w:customStyle="1" w:styleId="EquationChar">
    <w:name w:val="Equation Char"/>
    <w:basedOn w:val="DefaultParagraphFont"/>
    <w:rsid w:val="00EA3AD3"/>
    <w:rPr>
      <w:sz w:val="24"/>
      <w:lang w:val="fr-FR" w:eastAsia="en-US" w:bidi="ar-SA"/>
    </w:rPr>
  </w:style>
  <w:style w:type="paragraph" w:styleId="NormalWeb">
    <w:name w:val="Normal (Web)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EA3AD3"/>
    <w:rPr>
      <w:color w:val="808080"/>
    </w:rPr>
  </w:style>
  <w:style w:type="table" w:styleId="TableGrid">
    <w:name w:val="Table Grid"/>
    <w:basedOn w:val="TableNormal"/>
    <w:uiPriority w:val="99"/>
    <w:rsid w:val="00EA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A3AD3"/>
    <w:rPr>
      <w:color w:val="800080" w:themeColor="followedHyperlink"/>
      <w:u w:val="single"/>
    </w:rPr>
  </w:style>
  <w:style w:type="character" w:customStyle="1" w:styleId="TableNoChar">
    <w:name w:val="Table_No Char"/>
    <w:basedOn w:val="DefaultParagraphFont"/>
    <w:locked/>
    <w:rsid w:val="00AA43D7"/>
    <w:rPr>
      <w:sz w:val="24"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AA43D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tu.int/rec/R-REC-M.1372/e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rec/R-REC-M.1462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053F2-FCCC-44C5-9A21-93EF3D9B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8</Pages>
  <Words>2292</Words>
  <Characters>14676</Characters>
  <Application>Microsoft Office Word</Application>
  <DocSecurity>0</DocSecurity>
  <Lines>698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16837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2019-08-06T10:50:00Z</cp:lastPrinted>
  <dcterms:created xsi:type="dcterms:W3CDTF">2019-08-06T10:43:00Z</dcterms:created>
  <dcterms:modified xsi:type="dcterms:W3CDTF">2019-08-06T11:07:00Z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