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697F2E"/>
    <w:p w:rsidR="00697F2E" w:rsidRPr="00575CB8" w:rsidRDefault="00697F2E" w:rsidP="00697F2E">
      <w:pPr>
        <w:rPr>
          <w:lang w:val="en-US"/>
        </w:rPr>
      </w:pPr>
    </w:p>
    <w:p w:rsidR="00697F2E" w:rsidRDefault="00697F2E" w:rsidP="00697F2E"/>
    <w:p w:rsidR="00697F2E" w:rsidRDefault="00697F2E" w:rsidP="00697F2E"/>
    <w:p w:rsidR="00697F2E" w:rsidRDefault="00697F2E" w:rsidP="00697F2E"/>
    <w:p w:rsidR="00697F2E" w:rsidRDefault="00697F2E" w:rsidP="00697F2E"/>
    <w:p w:rsidR="00697F2E" w:rsidRDefault="00697F2E" w:rsidP="00697F2E"/>
    <w:p w:rsidR="00697F2E" w:rsidRDefault="00697F2E" w:rsidP="00697F2E"/>
    <w:p w:rsidR="00697F2E" w:rsidRDefault="00697F2E" w:rsidP="00697F2E"/>
    <w:p w:rsidR="00697F2E" w:rsidRDefault="00697F2E" w:rsidP="00697F2E"/>
    <w:p w:rsidR="00697F2E" w:rsidRDefault="00697F2E" w:rsidP="00697F2E"/>
    <w:tbl>
      <w:tblPr>
        <w:tblW w:w="10089" w:type="dxa"/>
        <w:tblLook w:val="01E0" w:firstRow="1" w:lastRow="1" w:firstColumn="1" w:lastColumn="1" w:noHBand="0" w:noVBand="0"/>
      </w:tblPr>
      <w:tblGrid>
        <w:gridCol w:w="10089"/>
      </w:tblGrid>
      <w:tr w:rsidR="00697F2E" w:rsidRPr="00A1552B" w:rsidTr="00C40439">
        <w:tc>
          <w:tcPr>
            <w:tcW w:w="10089" w:type="dxa"/>
          </w:tcPr>
          <w:p w:rsidR="00697F2E" w:rsidRPr="00A07AEB" w:rsidRDefault="00697F2E" w:rsidP="00C40439">
            <w:pPr>
              <w:spacing w:before="380" w:line="280" w:lineRule="exact"/>
              <w:jc w:val="right"/>
              <w:rPr>
                <w:rFonts w:ascii="Tahoma" w:hAnsi="Tahoma" w:cs="Tahoma"/>
                <w:b/>
                <w:bCs/>
                <w:iCs/>
                <w:color w:val="243285"/>
                <w:sz w:val="32"/>
                <w:szCs w:val="32"/>
                <w:lang w:val="en-US"/>
              </w:rPr>
            </w:pPr>
          </w:p>
          <w:p w:rsidR="00697F2E" w:rsidRPr="00A07AEB" w:rsidRDefault="00697F2E" w:rsidP="00C40439">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Pr="009C375A">
              <w:rPr>
                <w:rFonts w:ascii="Tahoma" w:hAnsi="Tahoma" w:cs="Tahoma"/>
                <w:b/>
                <w:bCs/>
                <w:iCs/>
                <w:color w:val="243285"/>
                <w:sz w:val="36"/>
                <w:szCs w:val="36"/>
                <w:lang w:val="es-ES_tradnl"/>
              </w:rPr>
              <w:t>M.</w:t>
            </w:r>
            <w:r>
              <w:rPr>
                <w:rFonts w:ascii="Tahoma" w:hAnsi="Tahoma" w:cs="Tahoma"/>
                <w:b/>
                <w:bCs/>
                <w:iCs/>
                <w:color w:val="243285"/>
                <w:sz w:val="36"/>
                <w:szCs w:val="36"/>
                <w:lang w:val="es-ES_tradnl"/>
              </w:rPr>
              <w:t>1461-2</w:t>
            </w:r>
          </w:p>
          <w:p w:rsidR="00697F2E" w:rsidRPr="00A07AEB" w:rsidRDefault="00697F2E" w:rsidP="00697F2E">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01</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2018</w:t>
            </w:r>
            <w:r w:rsidRPr="00A07AEB">
              <w:rPr>
                <w:rFonts w:ascii="Tahoma" w:hAnsi="Tahoma" w:cs="Tahoma"/>
                <w:b/>
                <w:bCs/>
                <w:iCs/>
                <w:color w:val="243285"/>
                <w:szCs w:val="24"/>
                <w:lang w:val="es-ES_tradnl"/>
              </w:rPr>
              <w:t>)</w:t>
            </w:r>
          </w:p>
        </w:tc>
      </w:tr>
      <w:tr w:rsidR="00697F2E" w:rsidRPr="00F06832" w:rsidTr="00C40439">
        <w:tc>
          <w:tcPr>
            <w:tcW w:w="10089" w:type="dxa"/>
          </w:tcPr>
          <w:p w:rsidR="00697F2E" w:rsidRPr="0010336F" w:rsidRDefault="00697F2E" w:rsidP="00C40439">
            <w:pPr>
              <w:spacing w:before="80" w:line="500" w:lineRule="exact"/>
              <w:jc w:val="right"/>
              <w:rPr>
                <w:rFonts w:ascii="Tahoma" w:hAnsi="Tahoma" w:cs="Tahoma"/>
                <w:b/>
                <w:bCs/>
                <w:iCs/>
                <w:color w:val="243285"/>
                <w:sz w:val="44"/>
                <w:szCs w:val="44"/>
                <w:lang w:val="es-ES_tradnl"/>
              </w:rPr>
            </w:pPr>
          </w:p>
          <w:p w:rsidR="00697F2E" w:rsidRPr="0010336F" w:rsidRDefault="00697F2E" w:rsidP="00C40439">
            <w:pPr>
              <w:spacing w:before="80" w:line="500" w:lineRule="exact"/>
              <w:jc w:val="right"/>
              <w:rPr>
                <w:rFonts w:ascii="Tahoma" w:hAnsi="Tahoma" w:cs="Tahoma"/>
                <w:b/>
                <w:bCs/>
                <w:iCs/>
                <w:color w:val="243285"/>
                <w:sz w:val="44"/>
                <w:szCs w:val="44"/>
                <w:lang w:val="es-ES_tradnl"/>
              </w:rPr>
            </w:pPr>
          </w:p>
          <w:p w:rsidR="00697F2E" w:rsidRDefault="00697F2E" w:rsidP="00697F2E">
            <w:pPr>
              <w:spacing w:before="80" w:line="500" w:lineRule="exact"/>
              <w:jc w:val="right"/>
              <w:rPr>
                <w:rFonts w:ascii="Tahoma" w:hAnsi="Tahoma" w:cs="Tahoma"/>
                <w:b/>
                <w:bCs/>
                <w:color w:val="243285"/>
                <w:sz w:val="44"/>
                <w:szCs w:val="44"/>
                <w:lang w:val="es-ES_tradnl"/>
              </w:rPr>
            </w:pPr>
            <w:r>
              <w:rPr>
                <w:rFonts w:ascii="Tahoma" w:hAnsi="Tahoma" w:cs="Tahoma"/>
                <w:b/>
                <w:bCs/>
                <w:iCs/>
                <w:color w:val="243285"/>
                <w:sz w:val="44"/>
                <w:szCs w:val="44"/>
                <w:lang w:val="es-ES_tradnl"/>
              </w:rPr>
              <w:t>Procedimientos para determinar</w:t>
            </w:r>
            <w:r>
              <w:rPr>
                <w:rFonts w:ascii="Tahoma" w:hAnsi="Tahoma" w:cs="Tahoma"/>
                <w:b/>
                <w:bCs/>
                <w:iCs/>
                <w:color w:val="243285"/>
                <w:sz w:val="44"/>
                <w:szCs w:val="44"/>
                <w:lang w:val="es-ES_tradnl"/>
              </w:rPr>
              <w:br/>
              <w:t>la posibilidad de interferencia</w:t>
            </w:r>
            <w:r>
              <w:rPr>
                <w:rFonts w:ascii="Tahoma" w:hAnsi="Tahoma" w:cs="Tahoma"/>
                <w:b/>
                <w:bCs/>
                <w:iCs/>
                <w:color w:val="243285"/>
                <w:sz w:val="44"/>
                <w:szCs w:val="44"/>
                <w:lang w:val="es-ES_tradnl"/>
              </w:rPr>
              <w:br/>
              <w:t>entre radares que funcionan en</w:t>
            </w:r>
            <w:r>
              <w:rPr>
                <w:rFonts w:ascii="Tahoma" w:hAnsi="Tahoma" w:cs="Tahoma"/>
                <w:b/>
                <w:bCs/>
                <w:iCs/>
                <w:color w:val="243285"/>
                <w:sz w:val="44"/>
                <w:szCs w:val="44"/>
                <w:lang w:val="es-ES_tradnl"/>
              </w:rPr>
              <w:br/>
              <w:t>el servicio de radiodeterminación</w:t>
            </w:r>
            <w:r>
              <w:rPr>
                <w:rFonts w:ascii="Tahoma" w:hAnsi="Tahoma" w:cs="Tahoma"/>
                <w:b/>
                <w:bCs/>
                <w:iCs/>
                <w:color w:val="243285"/>
                <w:sz w:val="44"/>
                <w:szCs w:val="44"/>
                <w:lang w:val="es-ES_tradnl"/>
              </w:rPr>
              <w:br/>
              <w:t>y sistemas de otros servicios</w:t>
            </w:r>
            <w:r>
              <w:rPr>
                <w:rFonts w:ascii="Tahoma" w:hAnsi="Tahoma" w:cs="Tahoma"/>
                <w:b/>
                <w:bCs/>
                <w:color w:val="243285"/>
                <w:sz w:val="44"/>
                <w:szCs w:val="44"/>
                <w:lang w:val="es-ES_tradnl"/>
              </w:rPr>
              <w:t xml:space="preserve"> </w:t>
            </w:r>
          </w:p>
          <w:p w:rsidR="00697F2E" w:rsidRPr="00A07AEB" w:rsidRDefault="00697F2E" w:rsidP="00C40439">
            <w:pPr>
              <w:spacing w:before="80" w:line="500" w:lineRule="exact"/>
              <w:jc w:val="right"/>
              <w:rPr>
                <w:rFonts w:ascii="Tahoma" w:hAnsi="Tahoma" w:cs="Tahoma"/>
                <w:b/>
                <w:bCs/>
                <w:iCs/>
                <w:color w:val="243285"/>
                <w:sz w:val="44"/>
                <w:szCs w:val="44"/>
                <w:lang w:val="es-ES_tradnl"/>
              </w:rPr>
            </w:pPr>
          </w:p>
        </w:tc>
      </w:tr>
      <w:tr w:rsidR="00697F2E" w:rsidRPr="00F06832" w:rsidTr="00C40439">
        <w:tc>
          <w:tcPr>
            <w:tcW w:w="10089" w:type="dxa"/>
          </w:tcPr>
          <w:p w:rsidR="00697F2E" w:rsidRDefault="00697F2E" w:rsidP="00C40439">
            <w:pPr>
              <w:spacing w:before="80" w:line="280" w:lineRule="exact"/>
              <w:ind w:right="640"/>
              <w:rPr>
                <w:rFonts w:ascii="Tahoma" w:hAnsi="Tahoma" w:cs="Tahoma"/>
                <w:b/>
                <w:bCs/>
                <w:iCs/>
                <w:color w:val="243285"/>
                <w:sz w:val="32"/>
                <w:szCs w:val="32"/>
                <w:lang w:val="es-ES_tradnl"/>
              </w:rPr>
            </w:pPr>
          </w:p>
          <w:p w:rsidR="00697F2E" w:rsidRPr="00A07AEB" w:rsidRDefault="00697F2E" w:rsidP="00C40439">
            <w:pPr>
              <w:spacing w:before="80" w:line="280" w:lineRule="exact"/>
              <w:ind w:right="640"/>
              <w:rPr>
                <w:rFonts w:ascii="Tahoma" w:hAnsi="Tahoma" w:cs="Tahoma"/>
                <w:b/>
                <w:bCs/>
                <w:iCs/>
                <w:color w:val="243285"/>
                <w:sz w:val="32"/>
                <w:szCs w:val="32"/>
                <w:lang w:val="es-ES_tradnl"/>
              </w:rPr>
            </w:pPr>
          </w:p>
          <w:p w:rsidR="00697F2E" w:rsidRPr="00A07AEB" w:rsidRDefault="00697F2E" w:rsidP="00C40439">
            <w:pPr>
              <w:spacing w:before="80" w:line="280" w:lineRule="exact"/>
              <w:ind w:right="640"/>
              <w:rPr>
                <w:rFonts w:ascii="Tahoma" w:hAnsi="Tahoma" w:cs="Tahoma"/>
                <w:b/>
                <w:bCs/>
                <w:iCs/>
                <w:color w:val="243285"/>
                <w:sz w:val="32"/>
                <w:szCs w:val="32"/>
                <w:lang w:val="es-ES_tradnl"/>
              </w:rPr>
            </w:pPr>
          </w:p>
          <w:p w:rsidR="00697F2E" w:rsidRPr="00A07AEB" w:rsidRDefault="00697F2E" w:rsidP="00C40439">
            <w:pPr>
              <w:spacing w:before="80" w:after="180" w:line="360" w:lineRule="exact"/>
              <w:ind w:right="720"/>
              <w:rPr>
                <w:rFonts w:ascii="Tahoma" w:hAnsi="Tahoma" w:cs="Tahoma"/>
                <w:b/>
                <w:bCs/>
                <w:iCs/>
                <w:color w:val="243285"/>
                <w:sz w:val="36"/>
                <w:szCs w:val="36"/>
                <w:lang w:val="es-ES_tradnl"/>
              </w:rPr>
            </w:pPr>
          </w:p>
          <w:p w:rsidR="00697F2E" w:rsidRPr="00A07AEB" w:rsidRDefault="00697F2E" w:rsidP="00C40439">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697F2E" w:rsidRPr="00A07AEB" w:rsidRDefault="00697F2E" w:rsidP="00C40439">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697F2E" w:rsidRPr="0026666F" w:rsidRDefault="00697F2E" w:rsidP="00697F2E">
      <w:pPr>
        <w:spacing w:before="80"/>
        <w:rPr>
          <w:i/>
          <w:sz w:val="22"/>
          <w:lang w:val="es-ES_tradnl"/>
        </w:rPr>
      </w:pPr>
    </w:p>
    <w:p w:rsidR="00697F2E" w:rsidRPr="0026666F" w:rsidRDefault="00697F2E" w:rsidP="00697F2E">
      <w:pPr>
        <w:spacing w:before="80"/>
        <w:rPr>
          <w:i/>
          <w:sz w:val="22"/>
          <w:lang w:val="es-ES_tradnl"/>
        </w:rPr>
      </w:pPr>
    </w:p>
    <w:p w:rsidR="00697F2E" w:rsidRPr="0026666F" w:rsidRDefault="00697F2E" w:rsidP="00697F2E">
      <w:pPr>
        <w:spacing w:before="80"/>
        <w:rPr>
          <w:i/>
          <w:sz w:val="22"/>
          <w:lang w:val="es-ES_tradnl"/>
        </w:rPr>
      </w:pPr>
    </w:p>
    <w:p w:rsidR="00697F2E" w:rsidRPr="0026666F" w:rsidRDefault="00697F2E" w:rsidP="00697F2E">
      <w:pPr>
        <w:pStyle w:val="Equation"/>
        <w:tabs>
          <w:tab w:val="clear" w:pos="4820"/>
          <w:tab w:val="clear" w:pos="9639"/>
          <w:tab w:val="left" w:pos="1191"/>
          <w:tab w:val="left" w:pos="1588"/>
          <w:tab w:val="left" w:pos="1985"/>
        </w:tabs>
        <w:rPr>
          <w:rFonts w:ascii="Palatino Linotype" w:hAnsi="Palatino Linotype"/>
          <w:lang w:val="es-ES_tradnl"/>
        </w:rPr>
        <w:sectPr w:rsidR="00697F2E" w:rsidRPr="0026666F">
          <w:headerReference w:type="even" r:id="rId6"/>
          <w:headerReference w:type="default" r:id="rId7"/>
          <w:pgSz w:w="11907" w:h="16840" w:code="9"/>
          <w:pgMar w:top="1089" w:right="1089" w:bottom="284" w:left="1089" w:header="567" w:footer="284" w:gutter="0"/>
          <w:pgNumType w:start="1"/>
          <w:cols w:space="720"/>
        </w:sectPr>
      </w:pPr>
    </w:p>
    <w:p w:rsidR="00697F2E" w:rsidRPr="006C718C" w:rsidRDefault="00697F2E" w:rsidP="00697F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rsidR="00697F2E" w:rsidRPr="006C718C" w:rsidRDefault="00697F2E" w:rsidP="00697F2E">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97F2E" w:rsidRPr="006C718C" w:rsidRDefault="00697F2E" w:rsidP="00697F2E">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97F2E" w:rsidRPr="00021E8A" w:rsidRDefault="00697F2E" w:rsidP="00697F2E">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697F2E" w:rsidRPr="00021E8A" w:rsidRDefault="00697F2E" w:rsidP="00697F2E">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697F2E" w:rsidRPr="007C36CA" w:rsidRDefault="00697F2E" w:rsidP="00697F2E">
      <w:pPr>
        <w:spacing w:before="0"/>
        <w:jc w:val="center"/>
        <w:rPr>
          <w:sz w:val="22"/>
          <w:lang w:val="es-ES_tradnl"/>
        </w:rPr>
      </w:pPr>
    </w:p>
    <w:p w:rsidR="00697F2E" w:rsidRPr="007C36CA" w:rsidRDefault="00697F2E" w:rsidP="00697F2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97F2E" w:rsidRPr="00F06832" w:rsidTr="00C40439">
        <w:tc>
          <w:tcPr>
            <w:tcW w:w="9360" w:type="dxa"/>
            <w:gridSpan w:val="2"/>
          </w:tcPr>
          <w:p w:rsidR="00697F2E" w:rsidRPr="00021E8A" w:rsidRDefault="00697F2E" w:rsidP="00C4043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697F2E" w:rsidRPr="00763D08" w:rsidRDefault="00697F2E" w:rsidP="00C404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Pr>
                  <w:rStyle w:val="Hyperlink"/>
                  <w:b w:val="0"/>
                  <w:bCs/>
                  <w:sz w:val="18"/>
                  <w:szCs w:val="18"/>
                  <w:lang w:val="es-ES_tradnl"/>
                </w:rPr>
                <w:t>http://www.itu.int/publ/R-REC/es</w:t>
              </w:r>
            </w:hyperlink>
            <w:r w:rsidRPr="00763D08">
              <w:rPr>
                <w:b w:val="0"/>
                <w:bCs/>
                <w:sz w:val="18"/>
                <w:szCs w:val="18"/>
                <w:lang w:val="es-ES_tradnl"/>
              </w:rPr>
              <w:t>)</w:t>
            </w:r>
          </w:p>
        </w:tc>
      </w:tr>
      <w:tr w:rsidR="00697F2E" w:rsidRPr="00036EE3" w:rsidTr="00C40439">
        <w:tc>
          <w:tcPr>
            <w:tcW w:w="1140" w:type="dxa"/>
          </w:tcPr>
          <w:p w:rsidR="00697F2E" w:rsidRPr="00036EE3" w:rsidRDefault="00697F2E" w:rsidP="00C40439">
            <w:pPr>
              <w:spacing w:before="180" w:after="100"/>
              <w:ind w:left="57"/>
              <w:rPr>
                <w:b/>
                <w:bCs/>
                <w:sz w:val="20"/>
                <w:lang w:val="en-US"/>
              </w:rPr>
            </w:pPr>
            <w:r w:rsidRPr="00036EE3">
              <w:rPr>
                <w:b/>
                <w:bCs/>
                <w:sz w:val="20"/>
                <w:lang w:val="en-US"/>
              </w:rPr>
              <w:t>Series</w:t>
            </w:r>
          </w:p>
        </w:tc>
        <w:tc>
          <w:tcPr>
            <w:tcW w:w="8220" w:type="dxa"/>
          </w:tcPr>
          <w:p w:rsidR="00697F2E" w:rsidRPr="00036EE3" w:rsidRDefault="00697F2E" w:rsidP="00C404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97F2E" w:rsidRPr="00036EE3" w:rsidTr="00C40439">
        <w:tc>
          <w:tcPr>
            <w:tcW w:w="1140" w:type="dxa"/>
          </w:tcPr>
          <w:p w:rsidR="00697F2E" w:rsidRPr="00036EE3" w:rsidRDefault="00697F2E" w:rsidP="00C40439">
            <w:pPr>
              <w:spacing w:before="30" w:after="30"/>
              <w:ind w:left="57"/>
              <w:jc w:val="left"/>
              <w:rPr>
                <w:b/>
                <w:bCs/>
                <w:sz w:val="20"/>
                <w:lang w:val="en-US"/>
              </w:rPr>
            </w:pPr>
            <w:r w:rsidRPr="00036EE3">
              <w:rPr>
                <w:b/>
                <w:bCs/>
                <w:sz w:val="20"/>
                <w:lang w:val="en-US"/>
              </w:rPr>
              <w:t>BO</w:t>
            </w:r>
          </w:p>
        </w:tc>
        <w:tc>
          <w:tcPr>
            <w:tcW w:w="8220" w:type="dxa"/>
          </w:tcPr>
          <w:p w:rsidR="00697F2E" w:rsidRPr="00021E8A" w:rsidRDefault="00697F2E" w:rsidP="00C404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697F2E" w:rsidRPr="00F06832" w:rsidTr="00C40439">
        <w:tc>
          <w:tcPr>
            <w:tcW w:w="1140" w:type="dxa"/>
          </w:tcPr>
          <w:p w:rsidR="00697F2E" w:rsidRPr="00036EE3" w:rsidRDefault="00697F2E" w:rsidP="00C40439">
            <w:pPr>
              <w:spacing w:before="30" w:after="30"/>
              <w:ind w:left="57"/>
              <w:jc w:val="left"/>
              <w:rPr>
                <w:b/>
                <w:bCs/>
                <w:sz w:val="20"/>
                <w:lang w:val="en-US"/>
              </w:rPr>
            </w:pPr>
            <w:r w:rsidRPr="00036EE3">
              <w:rPr>
                <w:b/>
                <w:bCs/>
                <w:sz w:val="20"/>
                <w:lang w:val="en-US"/>
              </w:rPr>
              <w:t>BR</w:t>
            </w:r>
          </w:p>
        </w:tc>
        <w:tc>
          <w:tcPr>
            <w:tcW w:w="8220" w:type="dxa"/>
          </w:tcPr>
          <w:p w:rsidR="00697F2E" w:rsidRPr="00021E8A" w:rsidRDefault="00697F2E" w:rsidP="00C404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697F2E" w:rsidRPr="00036EE3" w:rsidTr="00C40439">
        <w:tc>
          <w:tcPr>
            <w:tcW w:w="1140" w:type="dxa"/>
          </w:tcPr>
          <w:p w:rsidR="00697F2E" w:rsidRPr="00036EE3" w:rsidRDefault="00697F2E" w:rsidP="00C40439">
            <w:pPr>
              <w:spacing w:before="30" w:after="30"/>
              <w:ind w:left="57"/>
              <w:jc w:val="left"/>
              <w:rPr>
                <w:b/>
                <w:bCs/>
                <w:sz w:val="20"/>
                <w:lang w:val="en-US"/>
              </w:rPr>
            </w:pPr>
            <w:r w:rsidRPr="00036EE3">
              <w:rPr>
                <w:b/>
                <w:bCs/>
                <w:sz w:val="20"/>
                <w:lang w:val="en-US"/>
              </w:rPr>
              <w:t>BS</w:t>
            </w:r>
          </w:p>
        </w:tc>
        <w:tc>
          <w:tcPr>
            <w:tcW w:w="8220" w:type="dxa"/>
          </w:tcPr>
          <w:p w:rsidR="00697F2E" w:rsidRPr="00021E8A" w:rsidRDefault="00697F2E" w:rsidP="00C404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97F2E" w:rsidRPr="00ED2695" w:rsidTr="00C40439">
        <w:tc>
          <w:tcPr>
            <w:tcW w:w="1140" w:type="dxa"/>
            <w:shd w:val="clear" w:color="auto" w:fill="auto"/>
          </w:tcPr>
          <w:p w:rsidR="00697F2E" w:rsidRPr="00ED2695" w:rsidRDefault="00697F2E" w:rsidP="00C40439">
            <w:pPr>
              <w:spacing w:before="30" w:after="30"/>
              <w:ind w:left="57"/>
              <w:jc w:val="left"/>
              <w:rPr>
                <w:b/>
                <w:bCs/>
                <w:sz w:val="20"/>
                <w:lang w:val="en-US"/>
              </w:rPr>
            </w:pPr>
            <w:r w:rsidRPr="00ED2695">
              <w:rPr>
                <w:b/>
                <w:bCs/>
                <w:sz w:val="20"/>
                <w:lang w:val="en-US"/>
              </w:rPr>
              <w:t>BT</w:t>
            </w:r>
          </w:p>
        </w:tc>
        <w:tc>
          <w:tcPr>
            <w:tcW w:w="8220" w:type="dxa"/>
            <w:shd w:val="clear" w:color="auto" w:fill="auto"/>
          </w:tcPr>
          <w:p w:rsidR="00697F2E" w:rsidRPr="00021E8A" w:rsidRDefault="00697F2E" w:rsidP="00C404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697F2E" w:rsidRPr="00036EE3" w:rsidTr="00C40439">
        <w:tc>
          <w:tcPr>
            <w:tcW w:w="1140" w:type="dxa"/>
            <w:shd w:val="clear" w:color="auto" w:fill="auto"/>
          </w:tcPr>
          <w:p w:rsidR="00697F2E" w:rsidRPr="00036EE3" w:rsidRDefault="00697F2E" w:rsidP="00C40439">
            <w:pPr>
              <w:spacing w:before="30" w:after="30"/>
              <w:ind w:left="57"/>
              <w:jc w:val="left"/>
              <w:rPr>
                <w:b/>
                <w:bCs/>
                <w:sz w:val="20"/>
                <w:lang w:val="fr-CH"/>
              </w:rPr>
            </w:pPr>
            <w:r w:rsidRPr="00036EE3">
              <w:rPr>
                <w:b/>
                <w:bCs/>
                <w:sz w:val="20"/>
                <w:lang w:val="fr-CH"/>
              </w:rPr>
              <w:t>F</w:t>
            </w:r>
          </w:p>
        </w:tc>
        <w:tc>
          <w:tcPr>
            <w:tcW w:w="8220" w:type="dxa"/>
            <w:shd w:val="clear" w:color="auto" w:fill="auto"/>
          </w:tcPr>
          <w:p w:rsidR="00697F2E" w:rsidRPr="00021E8A" w:rsidRDefault="00697F2E" w:rsidP="00C404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697F2E" w:rsidRPr="00F06832" w:rsidTr="00C40439">
        <w:tc>
          <w:tcPr>
            <w:tcW w:w="1140" w:type="dxa"/>
            <w:shd w:val="clear" w:color="auto" w:fill="F3F3F3"/>
          </w:tcPr>
          <w:p w:rsidR="00697F2E" w:rsidRPr="001240BC" w:rsidRDefault="00697F2E" w:rsidP="00C40439">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697F2E" w:rsidRPr="001240BC" w:rsidRDefault="00697F2E" w:rsidP="00C404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697F2E" w:rsidRPr="00F06832" w:rsidTr="00C40439">
        <w:tc>
          <w:tcPr>
            <w:tcW w:w="1140" w:type="dxa"/>
          </w:tcPr>
          <w:p w:rsidR="00697F2E" w:rsidRPr="00036EE3" w:rsidRDefault="00697F2E" w:rsidP="00C40439">
            <w:pPr>
              <w:spacing w:before="30" w:after="30"/>
              <w:ind w:left="57"/>
              <w:jc w:val="left"/>
              <w:rPr>
                <w:b/>
                <w:bCs/>
                <w:sz w:val="20"/>
                <w:lang w:val="fr-CH"/>
              </w:rPr>
            </w:pPr>
            <w:r w:rsidRPr="00036EE3">
              <w:rPr>
                <w:b/>
                <w:bCs/>
                <w:sz w:val="20"/>
                <w:lang w:val="fr-CH"/>
              </w:rPr>
              <w:t>P</w:t>
            </w:r>
          </w:p>
        </w:tc>
        <w:tc>
          <w:tcPr>
            <w:tcW w:w="8220" w:type="dxa"/>
          </w:tcPr>
          <w:p w:rsidR="00697F2E" w:rsidRPr="00021E8A" w:rsidRDefault="00697F2E" w:rsidP="00C40439">
            <w:pPr>
              <w:spacing w:before="30" w:after="30"/>
              <w:jc w:val="left"/>
              <w:rPr>
                <w:bCs/>
                <w:sz w:val="20"/>
                <w:lang w:val="es-ES_tradnl"/>
              </w:rPr>
            </w:pPr>
            <w:r w:rsidRPr="00021E8A">
              <w:rPr>
                <w:bCs/>
                <w:sz w:val="20"/>
                <w:lang w:val="es-ES_tradnl"/>
              </w:rPr>
              <w:t>Propagación de las ondas radioeléctricas</w:t>
            </w:r>
          </w:p>
        </w:tc>
      </w:tr>
      <w:tr w:rsidR="00697F2E" w:rsidRPr="00036EE3" w:rsidTr="00C40439">
        <w:tc>
          <w:tcPr>
            <w:tcW w:w="1140" w:type="dxa"/>
          </w:tcPr>
          <w:p w:rsidR="00697F2E" w:rsidRPr="00036EE3" w:rsidRDefault="00697F2E" w:rsidP="00C40439">
            <w:pPr>
              <w:spacing w:before="30" w:after="30"/>
              <w:ind w:left="57"/>
              <w:jc w:val="left"/>
              <w:rPr>
                <w:b/>
                <w:bCs/>
                <w:sz w:val="20"/>
                <w:lang w:val="en-US"/>
              </w:rPr>
            </w:pPr>
            <w:r w:rsidRPr="00036EE3">
              <w:rPr>
                <w:b/>
                <w:bCs/>
                <w:sz w:val="20"/>
                <w:lang w:val="en-US"/>
              </w:rPr>
              <w:t>RA</w:t>
            </w:r>
          </w:p>
        </w:tc>
        <w:tc>
          <w:tcPr>
            <w:tcW w:w="8220" w:type="dxa"/>
          </w:tcPr>
          <w:p w:rsidR="00697F2E" w:rsidRPr="00021E8A" w:rsidRDefault="00697F2E" w:rsidP="00C404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697F2E" w:rsidRPr="00F06832" w:rsidTr="00C40439">
        <w:tc>
          <w:tcPr>
            <w:tcW w:w="1140" w:type="dxa"/>
          </w:tcPr>
          <w:p w:rsidR="00697F2E" w:rsidRPr="00036EE3" w:rsidRDefault="00697F2E" w:rsidP="00C40439">
            <w:pPr>
              <w:spacing w:before="30" w:after="30"/>
              <w:ind w:left="57"/>
              <w:jc w:val="left"/>
              <w:rPr>
                <w:b/>
                <w:bCs/>
                <w:sz w:val="20"/>
                <w:lang w:val="en-US"/>
              </w:rPr>
            </w:pPr>
            <w:r w:rsidRPr="00036EE3">
              <w:rPr>
                <w:b/>
                <w:bCs/>
                <w:sz w:val="20"/>
                <w:lang w:val="en-US"/>
              </w:rPr>
              <w:t>RS</w:t>
            </w:r>
          </w:p>
        </w:tc>
        <w:tc>
          <w:tcPr>
            <w:tcW w:w="8220" w:type="dxa"/>
          </w:tcPr>
          <w:p w:rsidR="00697F2E" w:rsidRPr="00021E8A" w:rsidRDefault="00697F2E" w:rsidP="00C404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697F2E" w:rsidRPr="00036EE3" w:rsidTr="00C40439">
        <w:tc>
          <w:tcPr>
            <w:tcW w:w="1140" w:type="dxa"/>
          </w:tcPr>
          <w:p w:rsidR="00697F2E" w:rsidRPr="00036EE3" w:rsidRDefault="00697F2E" w:rsidP="00C40439">
            <w:pPr>
              <w:spacing w:before="30" w:after="30"/>
              <w:ind w:left="57"/>
              <w:jc w:val="left"/>
              <w:rPr>
                <w:b/>
                <w:bCs/>
                <w:sz w:val="20"/>
                <w:lang w:val="en-US"/>
              </w:rPr>
            </w:pPr>
            <w:r w:rsidRPr="00036EE3">
              <w:rPr>
                <w:b/>
                <w:bCs/>
                <w:sz w:val="20"/>
                <w:lang w:val="en-US"/>
              </w:rPr>
              <w:t>S</w:t>
            </w:r>
          </w:p>
        </w:tc>
        <w:tc>
          <w:tcPr>
            <w:tcW w:w="8220" w:type="dxa"/>
          </w:tcPr>
          <w:p w:rsidR="00697F2E" w:rsidRPr="00021E8A" w:rsidRDefault="00697F2E" w:rsidP="00C40439">
            <w:pPr>
              <w:spacing w:before="30" w:after="30"/>
              <w:jc w:val="left"/>
              <w:rPr>
                <w:bCs/>
                <w:sz w:val="20"/>
                <w:lang w:val="en-US"/>
              </w:rPr>
            </w:pPr>
            <w:r w:rsidRPr="00021E8A">
              <w:rPr>
                <w:bCs/>
                <w:sz w:val="20"/>
              </w:rPr>
              <w:t>Servicio fijo por satélite</w:t>
            </w:r>
          </w:p>
        </w:tc>
      </w:tr>
      <w:tr w:rsidR="00697F2E" w:rsidRPr="00036EE3" w:rsidTr="00C40439">
        <w:tc>
          <w:tcPr>
            <w:tcW w:w="1140" w:type="dxa"/>
          </w:tcPr>
          <w:p w:rsidR="00697F2E" w:rsidRPr="00036EE3" w:rsidRDefault="00697F2E" w:rsidP="00C40439">
            <w:pPr>
              <w:spacing w:before="30" w:after="30"/>
              <w:ind w:left="57"/>
              <w:jc w:val="left"/>
              <w:rPr>
                <w:b/>
                <w:bCs/>
                <w:sz w:val="20"/>
                <w:lang w:val="en-US"/>
              </w:rPr>
            </w:pPr>
            <w:r w:rsidRPr="00036EE3">
              <w:rPr>
                <w:b/>
                <w:bCs/>
                <w:sz w:val="20"/>
                <w:lang w:val="en-US"/>
              </w:rPr>
              <w:t>SA</w:t>
            </w:r>
          </w:p>
        </w:tc>
        <w:tc>
          <w:tcPr>
            <w:tcW w:w="8220" w:type="dxa"/>
          </w:tcPr>
          <w:p w:rsidR="00697F2E" w:rsidRPr="00021E8A" w:rsidRDefault="00697F2E" w:rsidP="00C40439">
            <w:pPr>
              <w:spacing w:before="30" w:after="30"/>
              <w:jc w:val="left"/>
              <w:rPr>
                <w:bCs/>
                <w:sz w:val="20"/>
                <w:lang w:val="en-US"/>
              </w:rPr>
            </w:pPr>
            <w:r w:rsidRPr="00021E8A">
              <w:rPr>
                <w:bCs/>
                <w:sz w:val="20"/>
              </w:rPr>
              <w:t>Aplicaciones espaciales y meteorología</w:t>
            </w:r>
          </w:p>
        </w:tc>
      </w:tr>
      <w:tr w:rsidR="00697F2E" w:rsidRPr="00F06832" w:rsidTr="00C40439">
        <w:tc>
          <w:tcPr>
            <w:tcW w:w="1140" w:type="dxa"/>
          </w:tcPr>
          <w:p w:rsidR="00697F2E" w:rsidRPr="00036EE3" w:rsidRDefault="00697F2E" w:rsidP="00C40439">
            <w:pPr>
              <w:spacing w:before="30" w:after="30"/>
              <w:ind w:left="57"/>
              <w:jc w:val="left"/>
              <w:rPr>
                <w:b/>
                <w:bCs/>
                <w:sz w:val="20"/>
                <w:lang w:val="en-US"/>
              </w:rPr>
            </w:pPr>
            <w:r w:rsidRPr="00036EE3">
              <w:rPr>
                <w:b/>
                <w:bCs/>
                <w:sz w:val="20"/>
                <w:lang w:val="en-US"/>
              </w:rPr>
              <w:t>SF</w:t>
            </w:r>
          </w:p>
        </w:tc>
        <w:tc>
          <w:tcPr>
            <w:tcW w:w="8220" w:type="dxa"/>
          </w:tcPr>
          <w:p w:rsidR="00697F2E" w:rsidRPr="00021E8A" w:rsidRDefault="00697F2E" w:rsidP="00C4043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97F2E" w:rsidRPr="00036EE3" w:rsidTr="00C40439">
        <w:tc>
          <w:tcPr>
            <w:tcW w:w="1140" w:type="dxa"/>
            <w:shd w:val="clear" w:color="auto" w:fill="auto"/>
          </w:tcPr>
          <w:p w:rsidR="00697F2E" w:rsidRPr="001240BC" w:rsidRDefault="00697F2E" w:rsidP="00C40439">
            <w:pPr>
              <w:spacing w:before="30" w:after="30"/>
              <w:ind w:left="57"/>
              <w:jc w:val="left"/>
              <w:rPr>
                <w:b/>
                <w:bCs/>
                <w:sz w:val="20"/>
                <w:lang w:val="en-US"/>
              </w:rPr>
            </w:pPr>
            <w:r w:rsidRPr="001240BC">
              <w:rPr>
                <w:b/>
                <w:bCs/>
                <w:sz w:val="20"/>
                <w:lang w:val="en-US"/>
              </w:rPr>
              <w:t>SM</w:t>
            </w:r>
          </w:p>
        </w:tc>
        <w:tc>
          <w:tcPr>
            <w:tcW w:w="8220" w:type="dxa"/>
            <w:shd w:val="clear" w:color="auto" w:fill="auto"/>
          </w:tcPr>
          <w:p w:rsidR="00697F2E" w:rsidRPr="001240BC" w:rsidRDefault="00697F2E" w:rsidP="00C40439">
            <w:pPr>
              <w:spacing w:before="30" w:after="30"/>
              <w:jc w:val="left"/>
              <w:rPr>
                <w:sz w:val="20"/>
                <w:lang w:val="en-US"/>
              </w:rPr>
            </w:pPr>
            <w:r w:rsidRPr="001240BC">
              <w:rPr>
                <w:sz w:val="20"/>
              </w:rPr>
              <w:t>Gestión del espectro</w:t>
            </w:r>
          </w:p>
        </w:tc>
      </w:tr>
      <w:tr w:rsidR="00697F2E" w:rsidRPr="00036EE3" w:rsidTr="00C40439">
        <w:tc>
          <w:tcPr>
            <w:tcW w:w="1140" w:type="dxa"/>
          </w:tcPr>
          <w:p w:rsidR="00697F2E" w:rsidRPr="00036EE3" w:rsidRDefault="00697F2E" w:rsidP="00C40439">
            <w:pPr>
              <w:spacing w:before="30" w:after="30"/>
              <w:ind w:left="57"/>
              <w:jc w:val="left"/>
              <w:rPr>
                <w:b/>
                <w:bCs/>
                <w:sz w:val="20"/>
                <w:lang w:val="en-US"/>
              </w:rPr>
            </w:pPr>
            <w:r w:rsidRPr="00036EE3">
              <w:rPr>
                <w:b/>
                <w:bCs/>
                <w:sz w:val="20"/>
                <w:lang w:val="en-US"/>
              </w:rPr>
              <w:t>SNG</w:t>
            </w:r>
          </w:p>
        </w:tc>
        <w:tc>
          <w:tcPr>
            <w:tcW w:w="8220" w:type="dxa"/>
          </w:tcPr>
          <w:p w:rsidR="00697F2E" w:rsidRPr="00021E8A" w:rsidRDefault="00697F2E" w:rsidP="00C40439">
            <w:pPr>
              <w:spacing w:before="30" w:after="30"/>
              <w:jc w:val="left"/>
              <w:rPr>
                <w:bCs/>
                <w:sz w:val="20"/>
                <w:lang w:val="en-US"/>
              </w:rPr>
            </w:pPr>
            <w:r w:rsidRPr="00021E8A">
              <w:rPr>
                <w:bCs/>
                <w:sz w:val="20"/>
              </w:rPr>
              <w:t>Periodismo electrónico por satélite</w:t>
            </w:r>
          </w:p>
        </w:tc>
      </w:tr>
      <w:tr w:rsidR="00697F2E" w:rsidRPr="00F06832" w:rsidTr="00C40439">
        <w:tc>
          <w:tcPr>
            <w:tcW w:w="1140" w:type="dxa"/>
          </w:tcPr>
          <w:p w:rsidR="00697F2E" w:rsidRPr="00036EE3" w:rsidRDefault="00697F2E" w:rsidP="00C40439">
            <w:pPr>
              <w:spacing w:before="30" w:after="30"/>
              <w:ind w:left="57"/>
              <w:jc w:val="left"/>
              <w:rPr>
                <w:b/>
                <w:bCs/>
                <w:sz w:val="20"/>
                <w:lang w:val="en-US"/>
              </w:rPr>
            </w:pPr>
            <w:r w:rsidRPr="00036EE3">
              <w:rPr>
                <w:b/>
                <w:bCs/>
                <w:sz w:val="20"/>
                <w:lang w:val="en-US"/>
              </w:rPr>
              <w:t>TF</w:t>
            </w:r>
          </w:p>
        </w:tc>
        <w:tc>
          <w:tcPr>
            <w:tcW w:w="8220" w:type="dxa"/>
          </w:tcPr>
          <w:p w:rsidR="00697F2E" w:rsidRPr="00021E8A" w:rsidRDefault="00697F2E" w:rsidP="00C40439">
            <w:pPr>
              <w:spacing w:before="30" w:after="30"/>
              <w:jc w:val="left"/>
              <w:rPr>
                <w:bCs/>
                <w:sz w:val="20"/>
                <w:lang w:val="es-ES_tradnl"/>
              </w:rPr>
            </w:pPr>
            <w:r w:rsidRPr="00021E8A">
              <w:rPr>
                <w:bCs/>
                <w:sz w:val="20"/>
                <w:lang w:val="es-ES_tradnl"/>
              </w:rPr>
              <w:t>Emisiones de frecuencias patrón y señales horarias</w:t>
            </w:r>
          </w:p>
        </w:tc>
      </w:tr>
      <w:tr w:rsidR="00697F2E" w:rsidRPr="00036EE3" w:rsidTr="00C40439">
        <w:tc>
          <w:tcPr>
            <w:tcW w:w="1140" w:type="dxa"/>
          </w:tcPr>
          <w:p w:rsidR="00697F2E" w:rsidRPr="00036EE3" w:rsidRDefault="00697F2E" w:rsidP="00C40439">
            <w:pPr>
              <w:spacing w:before="30" w:after="30"/>
              <w:ind w:left="57"/>
              <w:jc w:val="left"/>
              <w:rPr>
                <w:b/>
                <w:bCs/>
                <w:sz w:val="20"/>
                <w:lang w:val="en-US"/>
              </w:rPr>
            </w:pPr>
            <w:r w:rsidRPr="00036EE3">
              <w:rPr>
                <w:b/>
                <w:bCs/>
                <w:sz w:val="20"/>
                <w:lang w:val="en-US"/>
              </w:rPr>
              <w:t>V</w:t>
            </w:r>
          </w:p>
        </w:tc>
        <w:tc>
          <w:tcPr>
            <w:tcW w:w="8220" w:type="dxa"/>
          </w:tcPr>
          <w:p w:rsidR="00697F2E" w:rsidRPr="00021E8A" w:rsidRDefault="00697F2E" w:rsidP="00C40439">
            <w:pPr>
              <w:spacing w:before="30" w:after="140"/>
              <w:jc w:val="left"/>
              <w:rPr>
                <w:bCs/>
                <w:sz w:val="20"/>
                <w:lang w:val="en-US"/>
              </w:rPr>
            </w:pPr>
            <w:r w:rsidRPr="00021E8A">
              <w:rPr>
                <w:bCs/>
                <w:sz w:val="20"/>
              </w:rPr>
              <w:t>Vocabulario y cuestiones afines</w:t>
            </w:r>
          </w:p>
        </w:tc>
      </w:tr>
    </w:tbl>
    <w:p w:rsidR="00697F2E" w:rsidRPr="00036EE3" w:rsidRDefault="00697F2E" w:rsidP="00697F2E">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7F2E" w:rsidTr="00C40439">
        <w:tc>
          <w:tcPr>
            <w:tcW w:w="720" w:type="dxa"/>
          </w:tcPr>
          <w:p w:rsidR="00697F2E" w:rsidRDefault="00697F2E" w:rsidP="00C40439">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97F2E" w:rsidRPr="00F06832" w:rsidTr="00C40439">
        <w:tc>
          <w:tcPr>
            <w:tcW w:w="9360" w:type="dxa"/>
          </w:tcPr>
          <w:p w:rsidR="00697F2E" w:rsidRPr="00A07AEB" w:rsidRDefault="00697F2E" w:rsidP="00C40439">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697F2E" w:rsidRPr="00763D08" w:rsidRDefault="00697F2E" w:rsidP="00697F2E">
      <w:pPr>
        <w:spacing w:before="0"/>
        <w:jc w:val="center"/>
        <w:rPr>
          <w:sz w:val="22"/>
          <w:lang w:val="es-ES_tradnl"/>
        </w:rPr>
      </w:pPr>
    </w:p>
    <w:p w:rsidR="00697F2E" w:rsidRPr="00763D08" w:rsidRDefault="00697F2E" w:rsidP="00697F2E">
      <w:pPr>
        <w:spacing w:before="60"/>
        <w:jc w:val="right"/>
        <w:rPr>
          <w:i/>
          <w:iCs/>
          <w:sz w:val="20"/>
          <w:lang w:val="es-ES_tradnl"/>
        </w:rPr>
      </w:pPr>
      <w:r w:rsidRPr="00763D08">
        <w:rPr>
          <w:i/>
          <w:iCs/>
          <w:sz w:val="20"/>
          <w:lang w:val="es-ES_tradnl"/>
        </w:rPr>
        <w:t>Publicación electrónica</w:t>
      </w:r>
    </w:p>
    <w:p w:rsidR="00697F2E" w:rsidRPr="00763D08" w:rsidRDefault="00697F2E" w:rsidP="00697F2E">
      <w:pPr>
        <w:spacing w:before="0" w:after="40"/>
        <w:jc w:val="right"/>
        <w:rPr>
          <w:sz w:val="20"/>
          <w:lang w:val="es-ES_tradnl"/>
        </w:rPr>
      </w:pPr>
      <w:r w:rsidRPr="00763D08">
        <w:rPr>
          <w:sz w:val="20"/>
          <w:lang w:val="es-ES_tradnl"/>
        </w:rPr>
        <w:t>Ginebra, 20</w:t>
      </w:r>
      <w:r>
        <w:rPr>
          <w:sz w:val="20"/>
          <w:lang w:val="es-ES_tradnl"/>
        </w:rPr>
        <w:t>18</w:t>
      </w:r>
    </w:p>
    <w:p w:rsidR="00697F2E" w:rsidRPr="00763D08" w:rsidRDefault="00697F2E" w:rsidP="00697F2E">
      <w:pPr>
        <w:spacing w:before="0"/>
        <w:jc w:val="center"/>
        <w:rPr>
          <w:sz w:val="22"/>
          <w:lang w:val="es-ES_tradnl"/>
        </w:rPr>
      </w:pPr>
    </w:p>
    <w:p w:rsidR="00697F2E" w:rsidRPr="00763D08" w:rsidRDefault="00697F2E" w:rsidP="00F06832">
      <w:pPr>
        <w:spacing w:after="12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18</w:t>
      </w:r>
    </w:p>
    <w:p w:rsidR="00697F2E" w:rsidRPr="006C718C" w:rsidRDefault="00697F2E" w:rsidP="00697F2E">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97F2E" w:rsidRPr="006C718C" w:rsidRDefault="00697F2E" w:rsidP="00697F2E">
      <w:pPr>
        <w:spacing w:before="160"/>
        <w:rPr>
          <w:i/>
          <w:sz w:val="20"/>
          <w:highlight w:val="yellow"/>
          <w:lang w:val="es-ES_tradnl"/>
        </w:rPr>
        <w:sectPr w:rsidR="00697F2E" w:rsidRPr="006C718C" w:rsidSect="00CB1354">
          <w:headerReference w:type="even" r:id="rId10"/>
          <w:headerReference w:type="default" r:id="rId11"/>
          <w:pgSz w:w="11907" w:h="16834" w:code="9"/>
          <w:pgMar w:top="1418" w:right="1134" w:bottom="1134" w:left="1134" w:header="720" w:footer="482" w:gutter="0"/>
          <w:pgNumType w:fmt="lowerRoman" w:start="2"/>
          <w:cols w:space="720"/>
        </w:sectPr>
      </w:pPr>
    </w:p>
    <w:p w:rsidR="00697F2E" w:rsidRPr="0010336F" w:rsidRDefault="00697F2E" w:rsidP="00697F2E">
      <w:pPr>
        <w:pStyle w:val="RecNo"/>
        <w:spacing w:before="0"/>
        <w:rPr>
          <w:lang w:val="es-ES_tradnl"/>
        </w:rPr>
      </w:pPr>
      <w:bookmarkStart w:id="2" w:name="irecnoe"/>
      <w:bookmarkEnd w:id="2"/>
      <w:r w:rsidRPr="00763D08">
        <w:rPr>
          <w:lang w:val="es-ES_tradnl"/>
        </w:rPr>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Pr>
          <w:rStyle w:val="href"/>
          <w:lang w:val="es-ES"/>
        </w:rPr>
        <w:t>1461-2</w:t>
      </w:r>
      <w:r>
        <w:rPr>
          <w:rStyle w:val="FootnoteReference"/>
          <w:lang w:val="es-ES"/>
        </w:rPr>
        <w:footnoteReference w:customMarkFollows="1" w:id="1"/>
        <w:t>*</w:t>
      </w:r>
    </w:p>
    <w:p w:rsidR="00697F2E" w:rsidRDefault="00697F2E" w:rsidP="00697F2E">
      <w:pPr>
        <w:pStyle w:val="Rectitle"/>
        <w:rPr>
          <w:lang w:val="es-ES"/>
        </w:rPr>
      </w:pPr>
      <w:r>
        <w:rPr>
          <w:lang w:val="es-ES"/>
        </w:rPr>
        <w:t>Procedimientos para determinar la pos</w:t>
      </w:r>
      <w:r w:rsidR="00F06832">
        <w:rPr>
          <w:lang w:val="es-ES"/>
        </w:rPr>
        <w:t>ibilidad de interferencia entre</w:t>
      </w:r>
      <w:r>
        <w:rPr>
          <w:lang w:val="es-ES"/>
        </w:rPr>
        <w:br/>
        <w:t>radares que funcionan en el servicio de radiodeterminación</w:t>
      </w:r>
      <w:r>
        <w:rPr>
          <w:lang w:val="es-ES"/>
        </w:rPr>
        <w:br/>
        <w:t>y sistemas de otros servicios</w:t>
      </w:r>
    </w:p>
    <w:p w:rsidR="00697F2E" w:rsidRDefault="00697F2E" w:rsidP="00697F2E">
      <w:pPr>
        <w:pStyle w:val="Recref"/>
        <w:rPr>
          <w:lang w:val="es-ES"/>
        </w:rPr>
      </w:pPr>
      <w:r>
        <w:rPr>
          <w:lang w:val="es-ES"/>
        </w:rPr>
        <w:t>(Cuestión UIT-R 226/5)</w:t>
      </w:r>
    </w:p>
    <w:p w:rsidR="00697F2E" w:rsidRPr="00392E7E" w:rsidRDefault="00697F2E" w:rsidP="00697F2E">
      <w:pPr>
        <w:pStyle w:val="Recdate"/>
        <w:rPr>
          <w:lang w:val="es-ES_tradnl"/>
        </w:rPr>
      </w:pPr>
      <w:r w:rsidRPr="00392E7E">
        <w:rPr>
          <w:lang w:val="es-ES_tradnl"/>
        </w:rPr>
        <w:t>(2000-2003</w:t>
      </w:r>
      <w:r>
        <w:rPr>
          <w:lang w:val="es-ES_tradnl"/>
        </w:rPr>
        <w:t>-2018</w:t>
      </w:r>
      <w:r w:rsidRPr="00392E7E">
        <w:rPr>
          <w:lang w:val="es-ES_tradnl"/>
        </w:rPr>
        <w:t>)</w:t>
      </w:r>
    </w:p>
    <w:p w:rsidR="00697F2E" w:rsidRDefault="00697F2E" w:rsidP="00697F2E">
      <w:pPr>
        <w:pStyle w:val="HeadingSum"/>
      </w:pPr>
      <w:r>
        <w:t>Cometido</w:t>
      </w:r>
    </w:p>
    <w:p w:rsidR="00697F2E" w:rsidRDefault="00697F2E" w:rsidP="005D59A5">
      <w:pPr>
        <w:pStyle w:val="Summary"/>
      </w:pPr>
      <w:r>
        <w:t>La presente Recomendación proporciona orientación y procedimientos para determinar la posibilidad de interferencia entre radares que funcionan en el servicio de radiodeterminación y sistemas de otros servicios.</w:t>
      </w:r>
    </w:p>
    <w:p w:rsidR="00697F2E" w:rsidRPr="00727498" w:rsidRDefault="00697F2E" w:rsidP="00460272">
      <w:pPr>
        <w:pStyle w:val="Headingb"/>
        <w:rPr>
          <w:lang w:val="es-ES"/>
        </w:rPr>
      </w:pPr>
      <w:r w:rsidRPr="00727498">
        <w:rPr>
          <w:lang w:val="es-ES"/>
        </w:rPr>
        <w:t>Palabras clave</w:t>
      </w:r>
    </w:p>
    <w:p w:rsidR="00697F2E" w:rsidRPr="00727498" w:rsidRDefault="005D59A5" w:rsidP="005D59A5">
      <w:pPr>
        <w:rPr>
          <w:lang w:val="es-ES"/>
        </w:rPr>
      </w:pPr>
      <w:r w:rsidRPr="00727498">
        <w:rPr>
          <w:lang w:val="es-ES"/>
        </w:rPr>
        <w:t>Criterios de protecci</w:t>
      </w:r>
      <w:r>
        <w:rPr>
          <w:lang w:val="es-ES"/>
        </w:rPr>
        <w:t>ó</w:t>
      </w:r>
      <w:r w:rsidRPr="00727498">
        <w:rPr>
          <w:lang w:val="es-ES"/>
        </w:rPr>
        <w:t>n</w:t>
      </w:r>
      <w:r>
        <w:rPr>
          <w:lang w:val="es-ES"/>
        </w:rPr>
        <w:t>,</w:t>
      </w:r>
      <w:r w:rsidRPr="00727498">
        <w:rPr>
          <w:lang w:val="es-ES"/>
        </w:rPr>
        <w:t xml:space="preserve"> interferencia, </w:t>
      </w:r>
      <w:r w:rsidR="00697F2E" w:rsidRPr="00727498">
        <w:rPr>
          <w:lang w:val="es-ES"/>
        </w:rPr>
        <w:t xml:space="preserve">procedimiento, </w:t>
      </w:r>
      <w:r>
        <w:rPr>
          <w:lang w:val="es-ES"/>
        </w:rPr>
        <w:t>Radar</w:t>
      </w:r>
    </w:p>
    <w:p w:rsidR="00697F2E" w:rsidRPr="00727498" w:rsidRDefault="00697F2E" w:rsidP="00697F2E">
      <w:pPr>
        <w:pStyle w:val="Headingb"/>
        <w:rPr>
          <w:lang w:val="es-ES"/>
        </w:rPr>
      </w:pPr>
      <w:r w:rsidRPr="00727498">
        <w:rPr>
          <w:lang w:val="es-ES"/>
        </w:rPr>
        <w:t>Siglas/Glosario</w:t>
      </w:r>
    </w:p>
    <w:p w:rsidR="00697F2E" w:rsidRPr="00727498" w:rsidRDefault="00697F2E" w:rsidP="00697F2E">
      <w:pPr>
        <w:tabs>
          <w:tab w:val="clear" w:pos="794"/>
          <w:tab w:val="left" w:pos="993"/>
        </w:tabs>
        <w:rPr>
          <w:lang w:val="es-ES"/>
        </w:rPr>
      </w:pPr>
      <w:r w:rsidRPr="00727498">
        <w:rPr>
          <w:lang w:val="es-ES"/>
        </w:rPr>
        <w:t>CW:</w:t>
      </w:r>
      <w:r w:rsidRPr="00727498">
        <w:rPr>
          <w:lang w:val="es-ES"/>
        </w:rPr>
        <w:tab/>
        <w:t>Onda continua</w:t>
      </w:r>
    </w:p>
    <w:p w:rsidR="00697F2E" w:rsidRPr="00727498" w:rsidRDefault="00697F2E" w:rsidP="00697F2E">
      <w:pPr>
        <w:tabs>
          <w:tab w:val="clear" w:pos="794"/>
          <w:tab w:val="left" w:pos="993"/>
        </w:tabs>
        <w:rPr>
          <w:lang w:val="es-ES"/>
        </w:rPr>
      </w:pPr>
      <w:r w:rsidRPr="00727498">
        <w:rPr>
          <w:lang w:val="es-ES"/>
        </w:rPr>
        <w:t>FDR:</w:t>
      </w:r>
      <w:r w:rsidRPr="00727498">
        <w:rPr>
          <w:lang w:val="es-ES"/>
        </w:rPr>
        <w:tab/>
        <w:t>Rechazo en función de la frecuencia</w:t>
      </w:r>
    </w:p>
    <w:p w:rsidR="00697F2E" w:rsidRPr="00727498" w:rsidRDefault="00697F2E" w:rsidP="00697F2E">
      <w:pPr>
        <w:tabs>
          <w:tab w:val="clear" w:pos="794"/>
          <w:tab w:val="left" w:pos="993"/>
        </w:tabs>
        <w:rPr>
          <w:lang w:val="es-ES"/>
        </w:rPr>
      </w:pPr>
      <w:r w:rsidRPr="00727498">
        <w:rPr>
          <w:lang w:val="es-ES"/>
        </w:rPr>
        <w:t>LNA:</w:t>
      </w:r>
      <w:r w:rsidRPr="00727498">
        <w:rPr>
          <w:lang w:val="es-ES"/>
        </w:rPr>
        <w:tab/>
        <w:t>Amplificador de bajo ruido</w:t>
      </w:r>
    </w:p>
    <w:p w:rsidR="00697F2E" w:rsidRPr="00727498" w:rsidRDefault="00697F2E" w:rsidP="00697F2E">
      <w:pPr>
        <w:tabs>
          <w:tab w:val="clear" w:pos="794"/>
          <w:tab w:val="left" w:pos="993"/>
        </w:tabs>
        <w:rPr>
          <w:lang w:val="es-ES"/>
        </w:rPr>
      </w:pPr>
      <w:r w:rsidRPr="00727498">
        <w:rPr>
          <w:lang w:val="es-ES"/>
        </w:rPr>
        <w:t>MDP-2:</w:t>
      </w:r>
      <w:r>
        <w:rPr>
          <w:lang w:val="es-ES"/>
        </w:rPr>
        <w:tab/>
      </w:r>
      <w:r w:rsidRPr="00727498">
        <w:rPr>
          <w:lang w:val="es-ES"/>
        </w:rPr>
        <w:t>Modulación por desplazamiento de fase binaria</w:t>
      </w:r>
    </w:p>
    <w:p w:rsidR="00697F2E" w:rsidRPr="00727498" w:rsidRDefault="00697F2E" w:rsidP="00697F2E">
      <w:pPr>
        <w:tabs>
          <w:tab w:val="clear" w:pos="794"/>
          <w:tab w:val="left" w:pos="993"/>
        </w:tabs>
        <w:rPr>
          <w:lang w:val="es-ES"/>
        </w:rPr>
      </w:pPr>
      <w:r w:rsidRPr="00727498">
        <w:rPr>
          <w:lang w:val="es-ES"/>
        </w:rPr>
        <w:t>MDP-4:</w:t>
      </w:r>
      <w:r>
        <w:rPr>
          <w:lang w:val="es-ES"/>
        </w:rPr>
        <w:tab/>
      </w:r>
      <w:r w:rsidRPr="00727498">
        <w:rPr>
          <w:lang w:val="es-ES"/>
        </w:rPr>
        <w:t>Modulación por desplazamiento de fase en cuadratura</w:t>
      </w:r>
    </w:p>
    <w:p w:rsidR="00697F2E" w:rsidRPr="00727498" w:rsidRDefault="00697F2E" w:rsidP="00697F2E">
      <w:pPr>
        <w:tabs>
          <w:tab w:val="clear" w:pos="794"/>
          <w:tab w:val="left" w:pos="993"/>
        </w:tabs>
        <w:rPr>
          <w:lang w:val="es-ES"/>
        </w:rPr>
      </w:pPr>
      <w:r w:rsidRPr="00727498">
        <w:rPr>
          <w:lang w:val="es-ES"/>
        </w:rPr>
        <w:t>OFR:</w:t>
      </w:r>
      <w:r w:rsidRPr="00727498">
        <w:rPr>
          <w:lang w:val="es-ES"/>
        </w:rPr>
        <w:tab/>
        <w:t>Rechazo fuera de frecuencia</w:t>
      </w:r>
    </w:p>
    <w:p w:rsidR="00697F2E" w:rsidRDefault="00697F2E" w:rsidP="00697F2E">
      <w:pPr>
        <w:tabs>
          <w:tab w:val="clear" w:pos="794"/>
          <w:tab w:val="left" w:pos="993"/>
        </w:tabs>
        <w:rPr>
          <w:lang w:val="es-ES"/>
        </w:rPr>
      </w:pPr>
      <w:r w:rsidRPr="00727498">
        <w:rPr>
          <w:lang w:val="es-ES"/>
        </w:rPr>
        <w:t>OTR:</w:t>
      </w:r>
      <w:r w:rsidRPr="00727498">
        <w:rPr>
          <w:lang w:val="es-ES"/>
        </w:rPr>
        <w:tab/>
        <w:t>Rechazo en sintonía</w:t>
      </w:r>
    </w:p>
    <w:p w:rsidR="005D59A5" w:rsidRPr="000D3D07" w:rsidRDefault="005D59A5" w:rsidP="005D59A5">
      <w:pPr>
        <w:pStyle w:val="Blanc"/>
        <w:rPr>
          <w:lang w:val="es-ES_tradnl"/>
        </w:rPr>
      </w:pPr>
    </w:p>
    <w:p w:rsidR="00697F2E" w:rsidRDefault="00697F2E" w:rsidP="00697F2E">
      <w:pPr>
        <w:pStyle w:val="Normalaftertitle"/>
        <w:rPr>
          <w:lang w:val="es-ES"/>
        </w:rPr>
      </w:pPr>
      <w:r>
        <w:rPr>
          <w:lang w:val="es-ES"/>
        </w:rPr>
        <w:t>La Asamblea de Radiocomunicaciones de la UIT,</w:t>
      </w:r>
    </w:p>
    <w:p w:rsidR="00697F2E" w:rsidRDefault="00697F2E" w:rsidP="00697F2E">
      <w:pPr>
        <w:pStyle w:val="Call"/>
        <w:rPr>
          <w:lang w:val="es-ES"/>
        </w:rPr>
      </w:pPr>
      <w:r>
        <w:rPr>
          <w:lang w:val="es-ES"/>
        </w:rPr>
        <w:t>considerando</w:t>
      </w:r>
    </w:p>
    <w:p w:rsidR="00697F2E" w:rsidRDefault="00697F2E" w:rsidP="00697F2E">
      <w:pPr>
        <w:rPr>
          <w:lang w:val="es-ES"/>
        </w:rPr>
      </w:pPr>
      <w:r w:rsidRPr="00CD3528">
        <w:rPr>
          <w:i/>
          <w:iCs/>
          <w:lang w:val="es-ES"/>
        </w:rPr>
        <w:t>a)</w:t>
      </w:r>
      <w:r>
        <w:rPr>
          <w:lang w:val="es-ES"/>
        </w:rPr>
        <w:tab/>
        <w:t>que en algunas bandas de frecuencias son óptimas las características de las antenas, de la propagación de las señales, de la detección del blanco y del gran ancho de banda necesario de los radares para cumplir sus funciones;</w:t>
      </w:r>
    </w:p>
    <w:p w:rsidR="00697F2E" w:rsidRDefault="00697F2E" w:rsidP="00697F2E">
      <w:pPr>
        <w:rPr>
          <w:lang w:val="es-ES"/>
        </w:rPr>
      </w:pPr>
      <w:r w:rsidRPr="00CD3528">
        <w:rPr>
          <w:i/>
          <w:iCs/>
          <w:lang w:val="es-ES"/>
        </w:rPr>
        <w:t>b)</w:t>
      </w:r>
      <w:r>
        <w:rPr>
          <w:lang w:val="es-ES"/>
        </w:rPr>
        <w:tab/>
        <w:t>que las características técnicas de los radares del servicio de radiodeterminación están determinadas por la misión del sistema y son muy variables incluso dentro de una banda de frecuencias;</w:t>
      </w:r>
    </w:p>
    <w:p w:rsidR="00697F2E" w:rsidRDefault="00697F2E" w:rsidP="00697F2E">
      <w:pPr>
        <w:rPr>
          <w:lang w:val="es-ES"/>
        </w:rPr>
      </w:pPr>
      <w:r w:rsidRPr="00CD3528">
        <w:rPr>
          <w:i/>
          <w:iCs/>
          <w:lang w:val="es-ES"/>
        </w:rPr>
        <w:t>c)</w:t>
      </w:r>
      <w:r>
        <w:rPr>
          <w:lang w:val="es-ES"/>
        </w:rPr>
        <w:tab/>
        <w:t>que el servicio de radionavegación es un servicio de seguridad según se especifica en el número 4.10 del Reglamento de Radiocomunicaciones (RR) y que no se pueden aceptar interferencias perjudiciales;</w:t>
      </w:r>
    </w:p>
    <w:p w:rsidR="00697F2E" w:rsidRDefault="00697F2E" w:rsidP="005D59A5">
      <w:pPr>
        <w:rPr>
          <w:lang w:val="es-ES"/>
        </w:rPr>
      </w:pPr>
      <w:r>
        <w:rPr>
          <w:i/>
          <w:iCs/>
          <w:lang w:val="es-ES"/>
        </w:rPr>
        <w:t>d</w:t>
      </w:r>
      <w:r w:rsidRPr="00CD3528">
        <w:rPr>
          <w:i/>
          <w:iCs/>
          <w:lang w:val="es-ES"/>
        </w:rPr>
        <w:t>)</w:t>
      </w:r>
      <w:r>
        <w:rPr>
          <w:lang w:val="es-ES"/>
        </w:rPr>
        <w:tab/>
        <w:t>que algunas comisiones técnicas del UIT</w:t>
      </w:r>
      <w:r>
        <w:rPr>
          <w:lang w:val="es-ES"/>
        </w:rPr>
        <w:noBreakHyphen/>
        <w:t>R están considerando la posibilidad de introducir nuevos tipos de sistemas (por ejemplo, sistemas de acceso inalámbrico fijos y sistemas de alta densidad fijos y móviles) o de servicios en bandas de frecuencias entre 420 MHz y 34 GHz utilizadas por radares del servicio de radiodeterminación;</w:t>
      </w:r>
    </w:p>
    <w:p w:rsidR="00697F2E" w:rsidRDefault="00697F2E" w:rsidP="00697F2E">
      <w:pPr>
        <w:rPr>
          <w:lang w:val="es-ES"/>
        </w:rPr>
      </w:pPr>
      <w:r>
        <w:rPr>
          <w:i/>
          <w:iCs/>
          <w:lang w:val="es-ES"/>
        </w:rPr>
        <w:t>e</w:t>
      </w:r>
      <w:r w:rsidRPr="00CD3528">
        <w:rPr>
          <w:i/>
          <w:iCs/>
          <w:lang w:val="es-ES"/>
        </w:rPr>
        <w:t>)</w:t>
      </w:r>
      <w:r>
        <w:rPr>
          <w:lang w:val="es-ES"/>
        </w:rPr>
        <w:tab/>
        <w:t>que se precisan características técnicas y de explotación representativas de sistemas que funcionan en las bandas de frecuencias atribuidas al servicio de radiodeterminación, para determinar la viabilidad de introducir nuevos tipos de sistemas;</w:t>
      </w:r>
    </w:p>
    <w:p w:rsidR="00697F2E" w:rsidRDefault="00697F2E" w:rsidP="00697F2E">
      <w:pPr>
        <w:rPr>
          <w:lang w:val="es-ES"/>
        </w:rPr>
      </w:pPr>
      <w:r>
        <w:rPr>
          <w:i/>
          <w:iCs/>
          <w:lang w:val="es-ES"/>
        </w:rPr>
        <w:t>f</w:t>
      </w:r>
      <w:r w:rsidRPr="00CD3528">
        <w:rPr>
          <w:i/>
          <w:iCs/>
          <w:lang w:val="es-ES"/>
        </w:rPr>
        <w:t>)</w:t>
      </w:r>
      <w:r>
        <w:rPr>
          <w:lang w:val="es-ES"/>
        </w:rPr>
        <w:tab/>
        <w:t>que se precisan procedimientos y metodologías para analizar la compatibilidad entre radares del servicio de radiodeterminación y sistemas de otros servicios,</w:t>
      </w:r>
    </w:p>
    <w:p w:rsidR="00697F2E" w:rsidRPr="00392E7E" w:rsidRDefault="00697F2E" w:rsidP="00697F2E">
      <w:pPr>
        <w:pStyle w:val="Call"/>
        <w:rPr>
          <w:lang w:val="es-ES_tradnl"/>
        </w:rPr>
      </w:pPr>
      <w:r>
        <w:rPr>
          <w:lang w:val="es-ES"/>
        </w:rPr>
        <w:t>recomienda</w:t>
      </w:r>
    </w:p>
    <w:p w:rsidR="00697F2E" w:rsidRDefault="00697F2E" w:rsidP="00697F2E">
      <w:pPr>
        <w:rPr>
          <w:lang w:val="es-ES"/>
        </w:rPr>
      </w:pPr>
      <w:r>
        <w:rPr>
          <w:b/>
          <w:bCs/>
          <w:lang w:val="es-ES"/>
        </w:rPr>
        <w:t>1</w:t>
      </w:r>
      <w:r>
        <w:rPr>
          <w:lang w:val="es-ES"/>
        </w:rPr>
        <w:tab/>
        <w:t>que, los procedimientos del Anexo 1 se utilicen de orientación para determinar la posibilidad de interferencia entre radares del servicio de radiodeterminación y sistemas de otros servicios;</w:t>
      </w:r>
    </w:p>
    <w:p w:rsidR="00697F2E" w:rsidRDefault="00697F2E" w:rsidP="00697F2E">
      <w:pPr>
        <w:rPr>
          <w:lang w:val="es-ES"/>
        </w:rPr>
      </w:pPr>
      <w:r>
        <w:rPr>
          <w:b/>
          <w:bCs/>
          <w:lang w:val="es-ES"/>
        </w:rPr>
        <w:t>2</w:t>
      </w:r>
      <w:r>
        <w:rPr>
          <w:lang w:val="es-ES"/>
        </w:rPr>
        <w:tab/>
        <w:t>que las características de los radares incluidas en las Recomendaciones UIT</w:t>
      </w:r>
      <w:r>
        <w:rPr>
          <w:lang w:val="es-ES"/>
        </w:rPr>
        <w:noBreakHyphen/>
        <w:t>R pertinentes sean utilizadas para la banda de frecuencias en estudio.</w:t>
      </w:r>
    </w:p>
    <w:p w:rsidR="00697F2E" w:rsidRDefault="00697F2E" w:rsidP="00697F2E">
      <w:pPr>
        <w:rPr>
          <w:lang w:val="es-ES"/>
        </w:rPr>
      </w:pPr>
    </w:p>
    <w:p w:rsidR="005D59A5" w:rsidRDefault="005D59A5" w:rsidP="00697F2E">
      <w:pPr>
        <w:rPr>
          <w:lang w:val="es-ES"/>
        </w:rPr>
      </w:pPr>
    </w:p>
    <w:p w:rsidR="005D59A5" w:rsidRDefault="005D59A5" w:rsidP="00697F2E">
      <w:pPr>
        <w:rPr>
          <w:lang w:val="es-ES"/>
        </w:rPr>
      </w:pPr>
    </w:p>
    <w:p w:rsidR="00697F2E" w:rsidRPr="00392E7E" w:rsidRDefault="00697F2E" w:rsidP="00697F2E">
      <w:pPr>
        <w:pStyle w:val="AnnexNoTitle"/>
        <w:rPr>
          <w:lang w:val="es-ES_tradnl"/>
        </w:rPr>
      </w:pPr>
      <w:r>
        <w:rPr>
          <w:lang w:val="es-ES"/>
        </w:rPr>
        <w:t>Anexo 1</w:t>
      </w:r>
      <w:r>
        <w:rPr>
          <w:lang w:val="es-ES"/>
        </w:rPr>
        <w:br/>
      </w:r>
      <w:r>
        <w:rPr>
          <w:lang w:val="es-ES"/>
        </w:rPr>
        <w:br/>
        <w:t xml:space="preserve">Procedimientos para determinar la posibilidad de interferencia </w:t>
      </w:r>
      <w:r>
        <w:rPr>
          <w:lang w:val="es-ES"/>
        </w:rPr>
        <w:br/>
        <w:t>entre radares del servicio</w:t>
      </w:r>
      <w:bookmarkStart w:id="3" w:name="_GoBack"/>
      <w:bookmarkEnd w:id="3"/>
      <w:r>
        <w:rPr>
          <w:lang w:val="es-ES"/>
        </w:rPr>
        <w:t xml:space="preserve"> de radiodeterminación</w:t>
      </w:r>
      <w:r>
        <w:rPr>
          <w:lang w:val="es-ES"/>
        </w:rPr>
        <w:br/>
        <w:t>y sistemas de otros servicios</w:t>
      </w:r>
    </w:p>
    <w:p w:rsidR="00697F2E" w:rsidRDefault="00697F2E" w:rsidP="00697F2E">
      <w:pPr>
        <w:pStyle w:val="Heading1"/>
        <w:rPr>
          <w:lang w:val="es-ES"/>
        </w:rPr>
      </w:pPr>
      <w:r>
        <w:rPr>
          <w:lang w:val="es-ES"/>
        </w:rPr>
        <w:t>1</w:t>
      </w:r>
      <w:r>
        <w:rPr>
          <w:lang w:val="es-ES"/>
        </w:rPr>
        <w:tab/>
        <w:t>Introducción</w:t>
      </w:r>
    </w:p>
    <w:p w:rsidR="00697F2E" w:rsidRDefault="00697F2E" w:rsidP="006461D1">
      <w:pPr>
        <w:rPr>
          <w:lang w:val="es-ES"/>
        </w:rPr>
      </w:pPr>
      <w:r>
        <w:rPr>
          <w:lang w:val="es-ES"/>
        </w:rPr>
        <w:t>Se han desarrollado procedimientos de análisis. Debido a la elevada potencia de salida del transmisor (de 50 kW a varios MW) y a la alta ganancia de antena (de 30 a</w:t>
      </w:r>
      <w:r w:rsidR="006461D1">
        <w:rPr>
          <w:lang w:val="es-ES"/>
        </w:rPr>
        <w:t xml:space="preserve"> </w:t>
      </w:r>
      <w:r>
        <w:rPr>
          <w:lang w:val="es-ES"/>
        </w:rPr>
        <w:t>45 dBi) de los radares del servicio de radiodeterminación (en adelante indicados simplemente como radares), la compatibilidad entre radares y sistemas de otros servicios se determina fundamentalmente analizando los efectos de las emisiones provenientes de radares en los dispositivos de recepción de otros servicios. Por tanto, este procedimiento de análisis trata en primer lugar de los métodos para evaluar la posibilidad de interferencia proveniente de los radares. Además, se trata brevemente la posible desensibilización de los receptores de radar producida por emisiones de otros servicios provenientes de sistemas de onda continua modulada.</w:t>
      </w:r>
    </w:p>
    <w:p w:rsidR="00697F2E" w:rsidRDefault="00697F2E" w:rsidP="00697F2E">
      <w:pPr>
        <w:rPr>
          <w:lang w:val="es-ES"/>
        </w:rPr>
      </w:pPr>
      <w:r>
        <w:rPr>
          <w:lang w:val="es-ES"/>
        </w:rPr>
        <w:t>Por la naturaleza de las misiones de los radares, muchos son móviles y no se pueden restringir a determinadas zonas de operación. Asimismo, la misión de los radares requiere a menudo agilidad de frecuencia y utilizan la totalidad de la banda atribuida. Pero cuando esté previsto que los radares funcionen en determinadas zonas cerca de otros sistemas, se puede considerar la posibilidad de interferencia utilizando los procedimientos incluidos en esta Recomendación.</w:t>
      </w:r>
    </w:p>
    <w:p w:rsidR="00697F2E" w:rsidRDefault="00697F2E" w:rsidP="00697F2E">
      <w:pPr>
        <w:pStyle w:val="Heading1"/>
        <w:rPr>
          <w:lang w:val="es-ES"/>
        </w:rPr>
      </w:pPr>
      <w:r>
        <w:rPr>
          <w:lang w:val="es-ES"/>
        </w:rPr>
        <w:t>2</w:t>
      </w:r>
      <w:r>
        <w:rPr>
          <w:lang w:val="es-ES"/>
        </w:rPr>
        <w:tab/>
        <w:t>Interferencia producida por los radares en sistemas de otros servicios</w:t>
      </w:r>
    </w:p>
    <w:p w:rsidR="00697F2E" w:rsidRDefault="00697F2E" w:rsidP="00697F2E">
      <w:pPr>
        <w:rPr>
          <w:lang w:val="es-ES"/>
        </w:rPr>
      </w:pPr>
      <w:r>
        <w:rPr>
          <w:lang w:val="es-ES"/>
        </w:rPr>
        <w:t>Investigaciones de diversos casos de interferencia han identificado dos mecanismos principales de acoplamiento de interferencia electromagnética entre sistemas de radares de alta potencia y otros servicios. Estos mecanismos de acoplamiento de interferencia son la sobrecarga a la entrada del receptor y las emisiones del transmisor del radar acopladas en la banda de paso de FI del receptor. A continuación se tratan ambos mecanismos de interferencia.</w:t>
      </w:r>
    </w:p>
    <w:p w:rsidR="00697F2E" w:rsidRDefault="00697F2E" w:rsidP="00697F2E">
      <w:pPr>
        <w:pStyle w:val="Heading2"/>
        <w:rPr>
          <w:lang w:val="es-ES"/>
        </w:rPr>
      </w:pPr>
      <w:r>
        <w:rPr>
          <w:lang w:val="es-ES"/>
        </w:rPr>
        <w:t>2.1</w:t>
      </w:r>
      <w:r>
        <w:rPr>
          <w:lang w:val="es-ES"/>
        </w:rPr>
        <w:tab/>
        <w:t>Sobrecarga en la etapa de entrada del receptor</w:t>
      </w:r>
    </w:p>
    <w:p w:rsidR="00697F2E" w:rsidRDefault="00697F2E" w:rsidP="00697F2E">
      <w:pPr>
        <w:rPr>
          <w:lang w:val="es-ES"/>
        </w:rPr>
      </w:pPr>
      <w:r>
        <w:rPr>
          <w:lang w:val="es-ES"/>
        </w:rPr>
        <w:t>Este mecanismo de interferencia se produce cuando la energía proveniente de la frecuencia fundamental (emisiones necesarias) de una señal no deseada satura la etapa de entrada del receptor interferido (amplificador de bajo nivel de ruido (ABR) en algunos sistemas), dando como resultado una compresión de la ganancia de la señal deseada suficiente como para degradar las prestaciones del receptor. La sobrecarga de la etapa de entrada del receptor es normalmente el resultado de una selectividad RF inadecuada en la etapa de entrada del receptor interferido.</w:t>
      </w:r>
    </w:p>
    <w:p w:rsidR="00697F2E" w:rsidRDefault="00697F2E" w:rsidP="00697F2E">
      <w:pPr>
        <w:pStyle w:val="Heading3"/>
        <w:rPr>
          <w:lang w:val="es-ES"/>
        </w:rPr>
      </w:pPr>
      <w:r>
        <w:rPr>
          <w:lang w:val="es-ES"/>
        </w:rPr>
        <w:t>2.1.1</w:t>
      </w:r>
      <w:r>
        <w:rPr>
          <w:lang w:val="es-ES"/>
        </w:rPr>
        <w:tab/>
        <w:t>Evaluación de la posibilidad de sobrecarga en la etapa de entrada del receptor</w:t>
      </w:r>
    </w:p>
    <w:p w:rsidR="00697F2E" w:rsidRDefault="00697F2E" w:rsidP="00697F2E">
      <w:pPr>
        <w:rPr>
          <w:lang w:val="es-ES"/>
        </w:rPr>
      </w:pPr>
      <w:r>
        <w:rPr>
          <w:lang w:val="es-ES"/>
        </w:rPr>
        <w:t xml:space="preserve">El valor umbral de entrada para el que aparece la sobrecarga de la etapa de entrada del receptor es una función del nivel de </w:t>
      </w:r>
      <w:r w:rsidR="006461D1">
        <w:rPr>
          <w:lang w:val="es-ES"/>
        </w:rPr>
        <w:t>1 dB</w:t>
      </w:r>
      <w:r>
        <w:rPr>
          <w:lang w:val="es-ES"/>
        </w:rPr>
        <w:t xml:space="preserve"> de compresión de ganancia (saturación) y de la ganancia de la etapa de entrada del receptor o del ABR. Concretamente:</w:t>
      </w:r>
    </w:p>
    <w:p w:rsidR="00697F2E" w:rsidRPr="00392E7E" w:rsidRDefault="00697F2E" w:rsidP="00F06832">
      <w:pPr>
        <w:pStyle w:val="Equation"/>
        <w:rPr>
          <w:lang w:val="es-ES_tradnl"/>
        </w:rPr>
      </w:pPr>
      <w:r w:rsidRPr="00392E7E">
        <w:rPr>
          <w:lang w:val="es-ES_tradnl"/>
        </w:rPr>
        <w:tab/>
      </w:r>
      <w:r w:rsidRPr="00392E7E">
        <w:rPr>
          <w:lang w:val="es-ES_tradnl"/>
        </w:rPr>
        <w:tab/>
      </w:r>
      <w:r w:rsidRPr="00392E7E">
        <w:rPr>
          <w:i/>
          <w:iCs/>
          <w:lang w:val="es-ES_tradnl"/>
        </w:rPr>
        <w:t>T</w:t>
      </w:r>
      <w:r w:rsidRPr="00392E7E">
        <w:rPr>
          <w:lang w:val="es-ES_tradnl"/>
        </w:rPr>
        <w:t xml:space="preserve"> </w:t>
      </w:r>
      <w:r w:rsidR="00F06832">
        <w:t>=</w:t>
      </w:r>
      <w:r w:rsidRPr="00392E7E">
        <w:rPr>
          <w:lang w:val="es-ES_tradnl"/>
        </w:rPr>
        <w:t xml:space="preserve"> </w:t>
      </w:r>
      <w:r w:rsidRPr="00392E7E">
        <w:rPr>
          <w:i/>
          <w:iCs/>
          <w:lang w:val="es-ES_tradnl"/>
        </w:rPr>
        <w:t>C</w:t>
      </w:r>
      <w:r w:rsidRPr="00392E7E">
        <w:rPr>
          <w:lang w:val="es-ES_tradnl"/>
        </w:rPr>
        <w:t xml:space="preserve"> – </w:t>
      </w:r>
      <w:r w:rsidRPr="00392E7E">
        <w:rPr>
          <w:i/>
          <w:iCs/>
          <w:lang w:val="es-ES_tradnl"/>
        </w:rPr>
        <w:t>G</w:t>
      </w:r>
      <w:r w:rsidRPr="00392E7E">
        <w:rPr>
          <w:lang w:val="es-ES_tradnl"/>
        </w:rPr>
        <w:tab/>
        <w:t>(1)</w:t>
      </w:r>
    </w:p>
    <w:p w:rsidR="00697F2E" w:rsidRDefault="00697F2E" w:rsidP="00697F2E">
      <w:pPr>
        <w:rPr>
          <w:lang w:val="es-ES"/>
        </w:rPr>
      </w:pPr>
      <w:r>
        <w:rPr>
          <w:lang w:val="es-ES"/>
        </w:rPr>
        <w:t>donde:</w:t>
      </w:r>
    </w:p>
    <w:p w:rsidR="00697F2E" w:rsidRDefault="00697F2E" w:rsidP="00697F2E">
      <w:pPr>
        <w:pStyle w:val="Equationlegend"/>
        <w:rPr>
          <w:lang w:val="es-ES"/>
        </w:rPr>
      </w:pPr>
      <w:r>
        <w:rPr>
          <w:lang w:val="es-ES"/>
        </w:rPr>
        <w:tab/>
      </w:r>
      <w:r>
        <w:rPr>
          <w:i/>
          <w:iCs/>
          <w:lang w:val="es-ES"/>
        </w:rPr>
        <w:t>T</w:t>
      </w:r>
      <w:r>
        <w:rPr>
          <w:lang w:val="es-ES"/>
        </w:rPr>
        <w:t>:</w:t>
      </w:r>
      <w:r>
        <w:rPr>
          <w:lang w:val="es-ES"/>
        </w:rPr>
        <w:tab/>
        <w:t>valor umbral de entrada para el que aparece sobrecarga en la etapa de entrada del receptor (dBm)</w:t>
      </w:r>
    </w:p>
    <w:p w:rsidR="00697F2E" w:rsidRDefault="00697F2E" w:rsidP="00C872B8">
      <w:pPr>
        <w:pStyle w:val="Equationlegend"/>
        <w:rPr>
          <w:lang w:val="es-ES"/>
        </w:rPr>
      </w:pPr>
      <w:r>
        <w:rPr>
          <w:lang w:val="es-ES"/>
        </w:rPr>
        <w:tab/>
      </w:r>
      <w:r>
        <w:rPr>
          <w:i/>
          <w:iCs/>
          <w:lang w:val="es-ES"/>
        </w:rPr>
        <w:t>C</w:t>
      </w:r>
      <w:r w:rsidR="00444721">
        <w:rPr>
          <w:lang w:val="es-ES"/>
        </w:rPr>
        <w:t>:</w:t>
      </w:r>
      <w:r w:rsidR="00444721">
        <w:rPr>
          <w:lang w:val="es-ES"/>
        </w:rPr>
        <w:tab/>
        <w:t xml:space="preserve">nivel para </w:t>
      </w:r>
      <w:r w:rsidR="006461D1">
        <w:rPr>
          <w:lang w:val="es-ES"/>
        </w:rPr>
        <w:t>1 dB</w:t>
      </w:r>
      <w:r>
        <w:rPr>
          <w:lang w:val="es-ES"/>
        </w:rPr>
        <w:t xml:space="preserve"> de compresión de ganancia (saturación) de la etapa de entrada del receptor o del ABR (dBm)</w:t>
      </w:r>
    </w:p>
    <w:p w:rsidR="00697F2E" w:rsidRDefault="00697F2E" w:rsidP="00C872B8">
      <w:pPr>
        <w:pStyle w:val="Equationlegend"/>
        <w:rPr>
          <w:lang w:val="es-ES"/>
        </w:rPr>
      </w:pPr>
      <w:r>
        <w:rPr>
          <w:lang w:val="es-ES"/>
        </w:rPr>
        <w:tab/>
      </w:r>
      <w:r>
        <w:rPr>
          <w:i/>
          <w:iCs/>
          <w:lang w:val="es-ES"/>
        </w:rPr>
        <w:t>G</w:t>
      </w:r>
      <w:r>
        <w:rPr>
          <w:lang w:val="es-ES"/>
        </w:rPr>
        <w:t>:</w:t>
      </w:r>
      <w:r>
        <w:rPr>
          <w:lang w:val="es-ES"/>
        </w:rPr>
        <w:tab/>
        <w:t>ganancia en la etapa de entrada del receptor o del ABR en la frecuencia fundamental del radar (dB).</w:t>
      </w:r>
    </w:p>
    <w:p w:rsidR="00697F2E" w:rsidRDefault="00697F2E" w:rsidP="00A73A0B">
      <w:pPr>
        <w:rPr>
          <w:lang w:val="es-ES"/>
        </w:rPr>
      </w:pPr>
      <w:r>
        <w:rPr>
          <w:lang w:val="es-ES"/>
        </w:rPr>
        <w:t>Por ejemplo, si los receptores utilizan ABR con ganancias de 50 a 65</w:t>
      </w:r>
      <w:r w:rsidR="006461D1">
        <w:rPr>
          <w:lang w:val="es-ES"/>
        </w:rPr>
        <w:t> dB</w:t>
      </w:r>
      <w:r>
        <w:rPr>
          <w:lang w:val="es-ES"/>
        </w:rPr>
        <w:t xml:space="preserve"> y tienen un nivel de compresión a </w:t>
      </w:r>
      <w:r w:rsidR="006461D1">
        <w:rPr>
          <w:lang w:val="es-ES"/>
        </w:rPr>
        <w:t>1 dB</w:t>
      </w:r>
      <w:r>
        <w:rPr>
          <w:lang w:val="es-ES"/>
        </w:rPr>
        <w:t xml:space="preserve"> de salida de </w:t>
      </w:r>
      <w:r w:rsidR="00A73A0B">
        <w:rPr>
          <w:lang w:val="es-ES"/>
        </w:rPr>
        <w:t>+</w:t>
      </w:r>
      <w:r>
        <w:rPr>
          <w:lang w:val="es-ES"/>
        </w:rPr>
        <w:t>10</w:t>
      </w:r>
      <w:r w:rsidR="006461D1">
        <w:rPr>
          <w:lang w:val="es-ES"/>
        </w:rPr>
        <w:t> dB</w:t>
      </w:r>
      <w:r>
        <w:rPr>
          <w:lang w:val="es-ES"/>
        </w:rPr>
        <w:t xml:space="preserve">m, la gama de valores para </w:t>
      </w:r>
      <w:r>
        <w:rPr>
          <w:i/>
          <w:iCs/>
          <w:lang w:val="es-ES"/>
        </w:rPr>
        <w:t>T</w:t>
      </w:r>
      <w:r>
        <w:rPr>
          <w:lang w:val="es-ES"/>
        </w:rPr>
        <w:t xml:space="preserve"> es de –55 dBm a –40</w:t>
      </w:r>
      <w:r w:rsidR="006461D1">
        <w:rPr>
          <w:lang w:val="es-ES"/>
        </w:rPr>
        <w:t> dB</w:t>
      </w:r>
      <w:r>
        <w:rPr>
          <w:lang w:val="es-ES"/>
        </w:rPr>
        <w:t>m, en función de la ganancia del ABR.</w:t>
      </w:r>
    </w:p>
    <w:p w:rsidR="00697F2E" w:rsidRDefault="00697F2E" w:rsidP="00697F2E">
      <w:pPr>
        <w:rPr>
          <w:lang w:val="es-ES"/>
        </w:rPr>
      </w:pPr>
      <w:r>
        <w:rPr>
          <w:lang w:val="es-ES"/>
        </w:rPr>
        <w:t>La posibilidad de interferencia producida por sobrecarga de la etapa de entrada del receptor existirá siempre que:</w:t>
      </w:r>
    </w:p>
    <w:p w:rsidR="00697F2E" w:rsidRPr="00392E7E" w:rsidRDefault="00697F2E" w:rsidP="00F06832">
      <w:pPr>
        <w:pStyle w:val="Equation"/>
        <w:rPr>
          <w:lang w:val="es-ES_tradnl"/>
        </w:rPr>
      </w:pPr>
      <w:r w:rsidRPr="00392E7E">
        <w:rPr>
          <w:lang w:val="es-ES_tradnl"/>
        </w:rPr>
        <w:tab/>
      </w:r>
      <w:r w:rsidRPr="00392E7E">
        <w:rPr>
          <w:lang w:val="es-ES_tradnl"/>
        </w:rPr>
        <w:tab/>
      </w:r>
      <w:r w:rsidR="00F06832" w:rsidRPr="00F06832">
        <w:rPr>
          <w:i/>
          <w:iCs/>
          <w:lang w:val="es-ES_tradnl"/>
        </w:rPr>
        <w:t>IT</w:t>
      </w:r>
      <w:r w:rsidR="00F06832">
        <w:rPr>
          <w:lang w:val="es-ES_tradnl"/>
        </w:rPr>
        <w:t xml:space="preserve"> = </w:t>
      </w:r>
      <w:r w:rsidR="00F06832" w:rsidRPr="00F06832">
        <w:rPr>
          <w:i/>
          <w:iCs/>
          <w:lang w:val="es-ES_tradnl"/>
        </w:rPr>
        <w:t>T</w:t>
      </w:r>
      <w:r w:rsidR="00F06832">
        <w:rPr>
          <w:lang w:val="es-ES_tradnl"/>
        </w:rPr>
        <w:t xml:space="preserve"> – </w:t>
      </w:r>
      <w:r w:rsidR="00F06832">
        <w:rPr>
          <w:i/>
          <w:iCs/>
          <w:lang w:val="es-ES_tradnl"/>
        </w:rPr>
        <w:t>FDR</w:t>
      </w:r>
      <w:r w:rsidR="00F06832" w:rsidRPr="00F06832">
        <w:rPr>
          <w:i/>
          <w:iCs/>
          <w:vertAlign w:val="subscript"/>
          <w:lang w:val="es-ES_tradnl"/>
        </w:rPr>
        <w:t>RF</w:t>
      </w:r>
      <w:r w:rsidRPr="00392E7E">
        <w:rPr>
          <w:lang w:val="es-ES_tradnl"/>
        </w:rPr>
        <w:tab/>
        <w:t>(2)</w:t>
      </w:r>
    </w:p>
    <w:p w:rsidR="00697F2E" w:rsidRPr="00392E7E" w:rsidRDefault="00697F2E" w:rsidP="00697F2E">
      <w:pPr>
        <w:rPr>
          <w:lang w:val="es-ES_tradnl"/>
        </w:rPr>
      </w:pPr>
      <w:r w:rsidRPr="00392E7E">
        <w:rPr>
          <w:lang w:val="es-ES_tradnl"/>
        </w:rPr>
        <w:t>donde:</w:t>
      </w:r>
    </w:p>
    <w:p w:rsidR="00697F2E" w:rsidRDefault="00697F2E" w:rsidP="00C872B8">
      <w:pPr>
        <w:pStyle w:val="Equationlegend"/>
        <w:rPr>
          <w:lang w:val="es-ES"/>
        </w:rPr>
      </w:pPr>
      <w:r w:rsidRPr="00392E7E">
        <w:rPr>
          <w:lang w:val="es-ES_tradnl"/>
        </w:rPr>
        <w:tab/>
      </w:r>
      <w:r>
        <w:rPr>
          <w:i/>
          <w:iCs/>
          <w:lang w:val="es-ES"/>
        </w:rPr>
        <w:t>I</w:t>
      </w:r>
      <w:r w:rsidRPr="00392E7E">
        <w:rPr>
          <w:i/>
          <w:iCs/>
          <w:vertAlign w:val="subscript"/>
          <w:lang w:val="es-ES_tradnl"/>
        </w:rPr>
        <w:t>T</w:t>
      </w:r>
      <w:r>
        <w:rPr>
          <w:lang w:val="es-ES"/>
        </w:rPr>
        <w:t>:</w:t>
      </w:r>
      <w:r>
        <w:rPr>
          <w:lang w:val="es-ES"/>
        </w:rPr>
        <w:tab/>
        <w:t>nivel de cresta de la señal radar a la salida de la antena o a la entrada del receptor que produce sobrecarga en la etapa de entrada del receptor (dBm)</w:t>
      </w:r>
    </w:p>
    <w:p w:rsidR="00697F2E" w:rsidRDefault="00697F2E" w:rsidP="00697F2E">
      <w:pPr>
        <w:pStyle w:val="Equationlegend"/>
        <w:rPr>
          <w:lang w:val="es-ES"/>
        </w:rPr>
      </w:pPr>
      <w:r>
        <w:rPr>
          <w:lang w:val="es-ES"/>
        </w:rPr>
        <w:tab/>
      </w:r>
      <w:r>
        <w:rPr>
          <w:i/>
          <w:iCs/>
          <w:lang w:val="es-ES"/>
        </w:rPr>
        <w:t>T</w:t>
      </w:r>
      <w:r>
        <w:rPr>
          <w:lang w:val="es-ES"/>
        </w:rPr>
        <w:t>:</w:t>
      </w:r>
      <w:r>
        <w:rPr>
          <w:lang w:val="es-ES"/>
        </w:rPr>
        <w:tab/>
        <w:t>valor umbral de entrada para el que aparece sobrecarga en la etapa de entrada del receptor (dBm)</w:t>
      </w:r>
    </w:p>
    <w:p w:rsidR="00697F2E" w:rsidRDefault="00697F2E" w:rsidP="00C872B8">
      <w:pPr>
        <w:pStyle w:val="Equationlegend"/>
        <w:rPr>
          <w:lang w:val="es-ES"/>
        </w:rPr>
      </w:pPr>
      <w:r>
        <w:rPr>
          <w:lang w:val="es-ES"/>
        </w:rPr>
        <w:tab/>
      </w:r>
      <w:r>
        <w:rPr>
          <w:i/>
          <w:iCs/>
          <w:lang w:val="es-ES"/>
        </w:rPr>
        <w:t>FDR</w:t>
      </w:r>
      <w:r w:rsidRPr="00392E7E">
        <w:rPr>
          <w:i/>
          <w:iCs/>
          <w:vertAlign w:val="subscript"/>
          <w:lang w:val="es-ES_tradnl"/>
        </w:rPr>
        <w:t>RF</w:t>
      </w:r>
      <w:r>
        <w:rPr>
          <w:lang w:val="es-ES"/>
        </w:rPr>
        <w:t>:</w:t>
      </w:r>
      <w:r>
        <w:rPr>
          <w:lang w:val="es-ES"/>
        </w:rPr>
        <w:tab/>
        <w:t>rechazo en función de la frecuencia (FDR) fundamental del radar proveniente de cualquier selectividad RF anterior al amplificador de RF del receptor (ABR) o inherente al propio amplificador de RF (ABR).</w:t>
      </w:r>
    </w:p>
    <w:p w:rsidR="00697F2E" w:rsidRDefault="00697F2E" w:rsidP="00697F2E">
      <w:pPr>
        <w:rPr>
          <w:lang w:val="es-ES"/>
        </w:rPr>
      </w:pPr>
      <w:r>
        <w:rPr>
          <w:lang w:val="es-ES"/>
        </w:rPr>
        <w:t>Se puede utilizar la ecuación (3) para determinar si es probable la sobrecarga de la etapa de entrada del receptor cuando los radares funcionan a determinadas distancias de otras estaciones y están separados en frecuencia por un cierto valor:</w:t>
      </w:r>
    </w:p>
    <w:p w:rsidR="00697F2E" w:rsidRPr="00F06832" w:rsidRDefault="00F06832" w:rsidP="00F06832">
      <w:pPr>
        <w:pStyle w:val="Equation"/>
        <w:rPr>
          <w:lang w:val="en-US"/>
        </w:rPr>
      </w:pPr>
      <w:r w:rsidRPr="00F06832">
        <w:rPr>
          <w:lang w:val="en-US"/>
        </w:rPr>
        <w:tab/>
      </w:r>
      <w:r w:rsidR="00697F2E" w:rsidRPr="00392E7E">
        <w:rPr>
          <w:lang w:val="es-ES_tradnl"/>
        </w:rPr>
        <w:tab/>
      </w:r>
      <w:r w:rsidRPr="00F06832">
        <w:rPr>
          <w:i/>
          <w:iCs/>
          <w:lang w:val="en-US"/>
        </w:rPr>
        <w:t>I</w:t>
      </w:r>
      <w:r w:rsidRPr="00F06832">
        <w:rPr>
          <w:lang w:val="en-US"/>
        </w:rPr>
        <w:t xml:space="preserve"> = </w:t>
      </w:r>
      <w:r w:rsidRPr="00F06832">
        <w:rPr>
          <w:i/>
          <w:iCs/>
          <w:lang w:val="en-US"/>
        </w:rPr>
        <w:t>P</w:t>
      </w:r>
      <w:r w:rsidRPr="00F06832">
        <w:rPr>
          <w:i/>
          <w:iCs/>
          <w:vertAlign w:val="subscript"/>
          <w:lang w:val="en-US"/>
        </w:rPr>
        <w:t>T</w:t>
      </w:r>
      <w:r w:rsidRPr="00F06832">
        <w:rPr>
          <w:lang w:val="en-US"/>
        </w:rPr>
        <w:t xml:space="preserve"> + </w:t>
      </w:r>
      <w:r>
        <w:rPr>
          <w:i/>
          <w:iCs/>
          <w:lang w:val="en-US"/>
        </w:rPr>
        <w:t>G</w:t>
      </w:r>
      <w:r w:rsidRPr="00F06832">
        <w:rPr>
          <w:i/>
          <w:iCs/>
          <w:vertAlign w:val="subscript"/>
          <w:lang w:val="en-US"/>
        </w:rPr>
        <w:t>T</w:t>
      </w:r>
      <w:r w:rsidRPr="00F06832">
        <w:rPr>
          <w:lang w:val="en-US"/>
        </w:rPr>
        <w:t xml:space="preserve"> </w:t>
      </w:r>
      <w:r>
        <w:rPr>
          <w:lang w:val="en-US"/>
        </w:rPr>
        <w:t xml:space="preserve">+ </w:t>
      </w:r>
      <w:r>
        <w:rPr>
          <w:i/>
          <w:iCs/>
          <w:lang w:val="en-US"/>
        </w:rPr>
        <w:t>G</w:t>
      </w:r>
      <w:r w:rsidRPr="00F06832">
        <w:rPr>
          <w:i/>
          <w:iCs/>
          <w:vertAlign w:val="subscript"/>
          <w:lang w:val="en-US"/>
        </w:rPr>
        <w:t>R</w:t>
      </w:r>
      <w:r w:rsidRPr="00F06832">
        <w:rPr>
          <w:lang w:val="en-US"/>
        </w:rPr>
        <w:t xml:space="preserve"> </w:t>
      </w:r>
      <w:r>
        <w:rPr>
          <w:lang w:val="en-US"/>
        </w:rPr>
        <w:t xml:space="preserve">– </w:t>
      </w:r>
      <w:r>
        <w:rPr>
          <w:i/>
          <w:iCs/>
          <w:lang w:val="en-US"/>
        </w:rPr>
        <w:t>L</w:t>
      </w:r>
      <w:r w:rsidRPr="00F06832">
        <w:rPr>
          <w:i/>
          <w:iCs/>
          <w:vertAlign w:val="subscript"/>
          <w:lang w:val="en-US"/>
        </w:rPr>
        <w:t>T</w:t>
      </w:r>
      <w:r w:rsidRPr="00F06832">
        <w:rPr>
          <w:lang w:val="en-US"/>
        </w:rPr>
        <w:t xml:space="preserve"> </w:t>
      </w:r>
      <w:r>
        <w:rPr>
          <w:lang w:val="en-US"/>
        </w:rPr>
        <w:t>–</w:t>
      </w:r>
      <w:r>
        <w:rPr>
          <w:i/>
          <w:iCs/>
          <w:lang w:val="en-US"/>
        </w:rPr>
        <w:t>L</w:t>
      </w:r>
      <w:r>
        <w:rPr>
          <w:i/>
          <w:iCs/>
          <w:vertAlign w:val="subscript"/>
          <w:lang w:val="en-US"/>
        </w:rPr>
        <w:t>R</w:t>
      </w:r>
      <w:r w:rsidRPr="00F06832">
        <w:rPr>
          <w:lang w:val="en-US"/>
        </w:rPr>
        <w:t xml:space="preserve"> </w:t>
      </w:r>
      <w:r>
        <w:rPr>
          <w:lang w:val="en-US"/>
        </w:rPr>
        <w:t xml:space="preserve">– </w:t>
      </w:r>
      <w:r>
        <w:rPr>
          <w:i/>
          <w:iCs/>
          <w:lang w:val="en-US"/>
        </w:rPr>
        <w:t>L</w:t>
      </w:r>
      <w:r>
        <w:rPr>
          <w:i/>
          <w:iCs/>
          <w:vertAlign w:val="subscript"/>
          <w:lang w:val="en-US"/>
        </w:rPr>
        <w:t>P</w:t>
      </w:r>
      <w:r w:rsidR="00697F2E" w:rsidRPr="00F06832">
        <w:rPr>
          <w:lang w:val="en-US"/>
        </w:rPr>
        <w:tab/>
      </w:r>
      <w:r w:rsidR="00697F2E">
        <w:rPr>
          <w:lang w:val="sv-SE"/>
        </w:rPr>
        <w:t>(3)</w:t>
      </w:r>
    </w:p>
    <w:p w:rsidR="00697F2E" w:rsidRPr="00F06832" w:rsidRDefault="00697F2E" w:rsidP="00697F2E">
      <w:pPr>
        <w:rPr>
          <w:lang w:val="en-US"/>
        </w:rPr>
      </w:pPr>
      <w:r w:rsidRPr="00F06832">
        <w:rPr>
          <w:lang w:val="en-US"/>
        </w:rPr>
        <w:t>donde:</w:t>
      </w:r>
    </w:p>
    <w:p w:rsidR="00697F2E" w:rsidRDefault="00697F2E" w:rsidP="00697F2E">
      <w:pPr>
        <w:pStyle w:val="Equationlegend"/>
        <w:rPr>
          <w:lang w:val="es-ES"/>
        </w:rPr>
      </w:pPr>
      <w:r w:rsidRPr="00F06832">
        <w:tab/>
      </w:r>
      <w:r>
        <w:rPr>
          <w:i/>
          <w:iCs/>
          <w:lang w:val="es-ES"/>
        </w:rPr>
        <w:t>I</w:t>
      </w:r>
      <w:r>
        <w:rPr>
          <w:lang w:val="es-ES"/>
        </w:rPr>
        <w:t>:</w:t>
      </w:r>
      <w:r>
        <w:rPr>
          <w:lang w:val="es-ES"/>
        </w:rPr>
        <w:tab/>
        <w:t>potencia de cresta de los impulsos radar, a la frecuencia fundamental del radar, a la salida de la antena receptora o a la entrada del receptor (dBm)</w:t>
      </w:r>
    </w:p>
    <w:p w:rsidR="00697F2E" w:rsidRDefault="00697F2E" w:rsidP="00C872B8">
      <w:pPr>
        <w:pStyle w:val="Equationlegend"/>
        <w:rPr>
          <w:lang w:val="es-ES"/>
        </w:rPr>
      </w:pPr>
      <w:r>
        <w:rPr>
          <w:lang w:val="es-ES"/>
        </w:rPr>
        <w:tab/>
      </w:r>
      <w:r>
        <w:rPr>
          <w:i/>
          <w:iCs/>
          <w:lang w:val="es-ES"/>
        </w:rPr>
        <w:t>P</w:t>
      </w:r>
      <w:r>
        <w:rPr>
          <w:i/>
          <w:iCs/>
          <w:vertAlign w:val="subscript"/>
          <w:lang w:val="es-ES"/>
        </w:rPr>
        <w:t>T</w:t>
      </w:r>
      <w:r>
        <w:rPr>
          <w:lang w:val="es-ES"/>
        </w:rPr>
        <w:t>:</w:t>
      </w:r>
      <w:r>
        <w:rPr>
          <w:lang w:val="es-ES"/>
        </w:rPr>
        <w:tab/>
        <w:t>potencia de cresta del transmisor del radar (dBm)</w:t>
      </w:r>
    </w:p>
    <w:p w:rsidR="00697F2E" w:rsidRDefault="00697F2E" w:rsidP="00C872B8">
      <w:pPr>
        <w:pStyle w:val="Equationlegend"/>
        <w:rPr>
          <w:lang w:val="es-ES"/>
        </w:rPr>
      </w:pPr>
      <w:r>
        <w:rPr>
          <w:lang w:val="es-ES"/>
        </w:rPr>
        <w:tab/>
      </w:r>
      <w:r>
        <w:rPr>
          <w:i/>
          <w:iCs/>
          <w:lang w:val="es-ES"/>
        </w:rPr>
        <w:t>G</w:t>
      </w:r>
      <w:r w:rsidRPr="00392E7E">
        <w:rPr>
          <w:i/>
          <w:iCs/>
          <w:vertAlign w:val="subscript"/>
          <w:lang w:val="es-ES_tradnl"/>
        </w:rPr>
        <w:t>T</w:t>
      </w:r>
      <w:r>
        <w:rPr>
          <w:lang w:val="es-ES"/>
        </w:rPr>
        <w:t>:</w:t>
      </w:r>
      <w:r>
        <w:rPr>
          <w:lang w:val="es-ES"/>
        </w:rPr>
        <w:tab/>
        <w:t>ganancia del haz principal de la antena del radar (véase la Nota 1) (dBi)</w:t>
      </w:r>
    </w:p>
    <w:p w:rsidR="00697F2E" w:rsidRDefault="00697F2E" w:rsidP="00C872B8">
      <w:pPr>
        <w:pStyle w:val="Equationlegend"/>
        <w:rPr>
          <w:lang w:val="es-ES"/>
        </w:rPr>
      </w:pPr>
      <w:r>
        <w:rPr>
          <w:lang w:val="es-ES"/>
        </w:rPr>
        <w:tab/>
      </w:r>
      <w:r>
        <w:rPr>
          <w:i/>
          <w:iCs/>
          <w:lang w:val="es-ES"/>
        </w:rPr>
        <w:t>G</w:t>
      </w:r>
      <w:r w:rsidRPr="00392E7E">
        <w:rPr>
          <w:i/>
          <w:iCs/>
          <w:vertAlign w:val="subscript"/>
          <w:lang w:val="es-ES_tradnl"/>
        </w:rPr>
        <w:t>R</w:t>
      </w:r>
      <w:r>
        <w:rPr>
          <w:lang w:val="es-ES"/>
        </w:rPr>
        <w:t>:</w:t>
      </w:r>
      <w:r>
        <w:rPr>
          <w:lang w:val="es-ES"/>
        </w:rPr>
        <w:tab/>
        <w:t>ganancia de la antena del receptor en la dirección de la estación de radar sometida a análisis (dBi)</w:t>
      </w:r>
    </w:p>
    <w:p w:rsidR="00697F2E" w:rsidRDefault="00697F2E" w:rsidP="00C872B8">
      <w:pPr>
        <w:pStyle w:val="Equationlegend"/>
        <w:rPr>
          <w:lang w:val="es-ES"/>
        </w:rPr>
      </w:pPr>
      <w:r>
        <w:rPr>
          <w:lang w:val="es-ES"/>
        </w:rPr>
        <w:tab/>
      </w:r>
      <w:r>
        <w:rPr>
          <w:i/>
          <w:iCs/>
          <w:lang w:val="es-ES"/>
        </w:rPr>
        <w:t>L</w:t>
      </w:r>
      <w:r w:rsidRPr="00392E7E">
        <w:rPr>
          <w:i/>
          <w:iCs/>
          <w:vertAlign w:val="subscript"/>
          <w:lang w:val="es-ES_tradnl"/>
        </w:rPr>
        <w:t>T</w:t>
      </w:r>
      <w:r>
        <w:rPr>
          <w:lang w:val="es-ES"/>
        </w:rPr>
        <w:t>:</w:t>
      </w:r>
      <w:r>
        <w:rPr>
          <w:lang w:val="es-ES"/>
        </w:rPr>
        <w:tab/>
        <w:t>pérdidas de inserción en el transmisor de la es</w:t>
      </w:r>
      <w:r w:rsidR="00530591">
        <w:rPr>
          <w:lang w:val="es-ES"/>
        </w:rPr>
        <w:t xml:space="preserve">tación de radar (dB) (se supone </w:t>
      </w:r>
      <w:r>
        <w:rPr>
          <w:lang w:val="es-ES"/>
        </w:rPr>
        <w:t>2 dB)</w:t>
      </w:r>
    </w:p>
    <w:p w:rsidR="00697F2E" w:rsidRDefault="00697F2E" w:rsidP="00C872B8">
      <w:pPr>
        <w:pStyle w:val="Equationlegend"/>
        <w:rPr>
          <w:lang w:val="es-ES"/>
        </w:rPr>
      </w:pPr>
      <w:r>
        <w:rPr>
          <w:lang w:val="es-ES"/>
        </w:rPr>
        <w:tab/>
      </w:r>
      <w:r>
        <w:rPr>
          <w:i/>
          <w:iCs/>
          <w:lang w:val="es-ES"/>
        </w:rPr>
        <w:t>L</w:t>
      </w:r>
      <w:r w:rsidRPr="00392E7E">
        <w:rPr>
          <w:i/>
          <w:iCs/>
          <w:vertAlign w:val="subscript"/>
          <w:lang w:val="es-ES_tradnl"/>
        </w:rPr>
        <w:t>R</w:t>
      </w:r>
      <w:r>
        <w:rPr>
          <w:lang w:val="es-ES"/>
        </w:rPr>
        <w:t>:</w:t>
      </w:r>
      <w:r>
        <w:rPr>
          <w:lang w:val="es-ES"/>
        </w:rPr>
        <w:tab/>
        <w:t>pérdidas de inserción en el receptor interferido (dB)</w:t>
      </w:r>
    </w:p>
    <w:p w:rsidR="00697F2E" w:rsidRDefault="00697F2E" w:rsidP="00C872B8">
      <w:pPr>
        <w:pStyle w:val="Equationlegend"/>
        <w:rPr>
          <w:lang w:val="es-ES"/>
        </w:rPr>
      </w:pPr>
      <w:r>
        <w:rPr>
          <w:lang w:val="es-ES"/>
        </w:rPr>
        <w:tab/>
      </w:r>
      <w:r>
        <w:rPr>
          <w:i/>
          <w:iCs/>
          <w:lang w:val="es-ES"/>
        </w:rPr>
        <w:t>L</w:t>
      </w:r>
      <w:r w:rsidRPr="00392E7E">
        <w:rPr>
          <w:i/>
          <w:iCs/>
          <w:vertAlign w:val="subscript"/>
          <w:lang w:val="es-ES_tradnl"/>
        </w:rPr>
        <w:t>P</w:t>
      </w:r>
      <w:r>
        <w:rPr>
          <w:lang w:val="es-ES"/>
        </w:rPr>
        <w:t>:</w:t>
      </w:r>
      <w:r>
        <w:rPr>
          <w:lang w:val="es-ES"/>
        </w:rPr>
        <w:tab/>
        <w:t>pérdidas en el trayecto de propagación entre las antenas transmisora y receptora (dB).</w:t>
      </w:r>
    </w:p>
    <w:p w:rsidR="00697F2E" w:rsidRDefault="00697F2E" w:rsidP="00697F2E">
      <w:pPr>
        <w:rPr>
          <w:lang w:val="es-ES"/>
        </w:rPr>
      </w:pPr>
      <w:r>
        <w:rPr>
          <w:lang w:val="es-ES"/>
        </w:rPr>
        <w:t xml:space="preserve">Al determinar las pérdidas en el trayecto de propagación, se utilizarán modelos de propagación adecuados y un posible acoplamiento indirecto teniendo en cuenta las alturas de las antenas y el terreno, cuando sea necesario. Si la potencia de cresta calculada de los impulsos de radar, a la frecuencia fundamental, </w:t>
      </w:r>
      <w:r>
        <w:rPr>
          <w:i/>
          <w:iCs/>
          <w:lang w:val="es-ES"/>
        </w:rPr>
        <w:t>I</w:t>
      </w:r>
      <w:r>
        <w:rPr>
          <w:lang w:val="es-ES"/>
        </w:rPr>
        <w:t xml:space="preserve">, supera el valor umbral en el que aparece sobrecarga en la etapa de entrada del receptor, </w:t>
      </w:r>
      <w:r>
        <w:rPr>
          <w:i/>
          <w:iCs/>
          <w:lang w:val="es-ES"/>
        </w:rPr>
        <w:t>I</w:t>
      </w:r>
      <w:r w:rsidRPr="00392E7E">
        <w:rPr>
          <w:i/>
          <w:iCs/>
          <w:vertAlign w:val="subscript"/>
          <w:lang w:val="es-ES_tradnl"/>
        </w:rPr>
        <w:t>T</w:t>
      </w:r>
      <w:r>
        <w:rPr>
          <w:lang w:val="es-ES"/>
        </w:rPr>
        <w:t>, es necesario tomar medidas para asegurar la compatibilidad.</w:t>
      </w:r>
    </w:p>
    <w:p w:rsidR="00697F2E" w:rsidRDefault="00697F2E" w:rsidP="00697F2E">
      <w:pPr>
        <w:pStyle w:val="Note"/>
        <w:rPr>
          <w:lang w:val="es-ES"/>
        </w:rPr>
      </w:pPr>
      <w:r>
        <w:rPr>
          <w:lang w:val="es-ES"/>
        </w:rPr>
        <w:t>NOTA 1 – Se han documentado casos de interferencia de emisiones transmitidas por radares que producen sobrecarga en la etapa de entrada del receptor por acoplamiento en el haz principal del radar. Por lo tanto, se recomienda que se utilice la ganancia en el haz principal del radar para evaluar la máxima posibilidad de interferencia producida por la sobrecarga de la etapa de entrada del receptor.</w:t>
      </w:r>
    </w:p>
    <w:p w:rsidR="00697F2E" w:rsidRDefault="00697F2E" w:rsidP="00697F2E">
      <w:pPr>
        <w:pStyle w:val="Heading2"/>
        <w:rPr>
          <w:lang w:val="es-ES"/>
        </w:rPr>
      </w:pPr>
      <w:r>
        <w:rPr>
          <w:lang w:val="es-ES"/>
        </w:rPr>
        <w:t>2.2</w:t>
      </w:r>
      <w:r>
        <w:rPr>
          <w:lang w:val="es-ES"/>
        </w:rPr>
        <w:tab/>
        <w:t>Acoplamiento producido por la emisión del transmisor del radar</w:t>
      </w:r>
    </w:p>
    <w:p w:rsidR="00697F2E" w:rsidRDefault="00697F2E" w:rsidP="00697F2E">
      <w:pPr>
        <w:rPr>
          <w:lang w:val="es-ES"/>
        </w:rPr>
      </w:pPr>
      <w:r>
        <w:rPr>
          <w:lang w:val="es-ES"/>
        </w:rPr>
        <w:t>Este mecanismo de interferencia se produce cuando parte de la energía emitida por el transmisor del radar está en la banda de paso de FI del receptor. Esta energía pasa entonces a través de la cadena receptora con poca o ninguna atenuación. Cuando los niveles de emisión del radar en la banda de paso del receptor son altas en relación con el nivel de señal deseado, puede producirse degradación de las prestaciones del receptor.</w:t>
      </w:r>
    </w:p>
    <w:p w:rsidR="00697F2E" w:rsidRDefault="00697F2E" w:rsidP="00697F2E">
      <w:pPr>
        <w:pStyle w:val="Heading3"/>
        <w:rPr>
          <w:lang w:val="es-ES"/>
        </w:rPr>
      </w:pPr>
      <w:r>
        <w:rPr>
          <w:lang w:val="es-ES"/>
        </w:rPr>
        <w:t>2.2.1</w:t>
      </w:r>
      <w:r>
        <w:rPr>
          <w:lang w:val="es-ES"/>
        </w:rPr>
        <w:tab/>
        <w:t>Evaluación de la posibilidad de interferencia para emisiones del transmisor del radar</w:t>
      </w:r>
    </w:p>
    <w:p w:rsidR="00697F2E" w:rsidRDefault="00697F2E" w:rsidP="00697F2E">
      <w:pPr>
        <w:rPr>
          <w:lang w:val="es-ES"/>
        </w:rPr>
      </w:pPr>
      <w:r>
        <w:rPr>
          <w:lang w:val="es-ES"/>
        </w:rPr>
        <w:t xml:space="preserve">El paso inicial para evaluar la compatibilidad consiste en la determinación del nivel de señal en el que empiezan a degradarse las prestaciones del receptor, </w:t>
      </w:r>
      <w:r>
        <w:rPr>
          <w:i/>
          <w:iCs/>
          <w:lang w:val="es-ES"/>
        </w:rPr>
        <w:t>I</w:t>
      </w:r>
      <w:r w:rsidRPr="00392E7E">
        <w:rPr>
          <w:i/>
          <w:iCs/>
          <w:vertAlign w:val="subscript"/>
          <w:lang w:val="es-ES_tradnl"/>
        </w:rPr>
        <w:t>T</w:t>
      </w:r>
      <w:r>
        <w:rPr>
          <w:lang w:val="es-ES"/>
        </w:rPr>
        <w:t>.</w:t>
      </w:r>
    </w:p>
    <w:p w:rsidR="00697F2E" w:rsidRDefault="00697F2E" w:rsidP="00E5799D">
      <w:pPr>
        <w:pStyle w:val="Equation"/>
        <w:rPr>
          <w:lang w:val="sv-SE"/>
        </w:rPr>
      </w:pPr>
      <w:r w:rsidRPr="00392E7E">
        <w:rPr>
          <w:lang w:val="es-ES_tradnl"/>
        </w:rPr>
        <w:tab/>
      </w:r>
      <w:r w:rsidRPr="00392E7E">
        <w:rPr>
          <w:lang w:val="es-ES_tradnl"/>
        </w:rPr>
        <w:tab/>
      </w:r>
      <w:r>
        <w:rPr>
          <w:i/>
          <w:iCs/>
          <w:lang w:val="sv-SE"/>
        </w:rPr>
        <w:t>I</w:t>
      </w:r>
      <w:r w:rsidRPr="00F06832">
        <w:rPr>
          <w:i/>
          <w:iCs/>
          <w:sz w:val="28"/>
          <w:vertAlign w:val="subscript"/>
          <w:lang w:val="en-US"/>
        </w:rPr>
        <w:t>T</w:t>
      </w:r>
      <w:r>
        <w:rPr>
          <w:lang w:val="sv-SE"/>
        </w:rPr>
        <w:t xml:space="preserve"> </w:t>
      </w:r>
      <w:r w:rsidR="00E5799D">
        <w:rPr>
          <w:lang w:val="sv-SE"/>
        </w:rPr>
        <w:t>=</w:t>
      </w:r>
      <w:r>
        <w:rPr>
          <w:lang w:val="sv-SE"/>
        </w:rPr>
        <w:t xml:space="preserve"> </w:t>
      </w:r>
      <w:r>
        <w:rPr>
          <w:i/>
          <w:iCs/>
          <w:lang w:val="sv-SE"/>
        </w:rPr>
        <w:t>I</w:t>
      </w:r>
      <w:r>
        <w:rPr>
          <w:lang w:val="sv-SE"/>
        </w:rPr>
        <w:t>/</w:t>
      </w:r>
      <w:r>
        <w:rPr>
          <w:i/>
          <w:iCs/>
          <w:lang w:val="sv-SE"/>
        </w:rPr>
        <w:t>N</w:t>
      </w:r>
      <w:r>
        <w:rPr>
          <w:lang w:val="sv-SE"/>
        </w:rPr>
        <w:t xml:space="preserve"> </w:t>
      </w:r>
      <w:r w:rsidR="00E5799D">
        <w:rPr>
          <w:lang w:val="sv-SE"/>
        </w:rPr>
        <w:t>+</w:t>
      </w:r>
      <w:r>
        <w:rPr>
          <w:lang w:val="sv-SE"/>
        </w:rPr>
        <w:t xml:space="preserve"> </w:t>
      </w:r>
      <w:r>
        <w:rPr>
          <w:i/>
          <w:iCs/>
          <w:lang w:val="sv-SE"/>
        </w:rPr>
        <w:t>N</w:t>
      </w:r>
      <w:r>
        <w:rPr>
          <w:lang w:val="sv-SE"/>
        </w:rPr>
        <w:tab/>
        <w:t>(4)</w:t>
      </w:r>
    </w:p>
    <w:p w:rsidR="00697F2E" w:rsidRPr="00F06832" w:rsidRDefault="00697F2E" w:rsidP="00697F2E">
      <w:pPr>
        <w:rPr>
          <w:lang w:val="en-US"/>
        </w:rPr>
      </w:pPr>
      <w:r w:rsidRPr="00F06832">
        <w:rPr>
          <w:lang w:val="en-US"/>
        </w:rPr>
        <w:t>donde:</w:t>
      </w:r>
    </w:p>
    <w:p w:rsidR="00697F2E" w:rsidRDefault="00697F2E" w:rsidP="00C872B8">
      <w:pPr>
        <w:pStyle w:val="Equationlegend"/>
        <w:rPr>
          <w:lang w:val="es-ES"/>
        </w:rPr>
      </w:pPr>
      <w:r w:rsidRPr="00F06832">
        <w:tab/>
      </w:r>
      <w:r>
        <w:rPr>
          <w:i/>
          <w:iCs/>
          <w:lang w:val="es-ES"/>
        </w:rPr>
        <w:t>I</w:t>
      </w:r>
      <w:r>
        <w:rPr>
          <w:lang w:val="es-ES"/>
        </w:rPr>
        <w:t>/</w:t>
      </w:r>
      <w:r>
        <w:rPr>
          <w:i/>
          <w:iCs/>
          <w:lang w:val="es-ES"/>
        </w:rPr>
        <w:t>N</w:t>
      </w:r>
      <w:r>
        <w:rPr>
          <w:lang w:val="es-ES"/>
        </w:rPr>
        <w:t>:</w:t>
      </w:r>
      <w:r>
        <w:rPr>
          <w:lang w:val="es-ES"/>
        </w:rPr>
        <w:tab/>
        <w:t xml:space="preserve">relación interferencia/ruido a la entrada del detector (salida de FI) necesaria para mantener un criterio de calidad aceptable (dB) </w:t>
      </w:r>
    </w:p>
    <w:p w:rsidR="00697F2E" w:rsidRDefault="00697F2E" w:rsidP="00E5799D">
      <w:pPr>
        <w:pStyle w:val="Equationlegend"/>
        <w:jc w:val="left"/>
        <w:rPr>
          <w:lang w:val="es-ES"/>
        </w:rPr>
      </w:pPr>
      <w:r>
        <w:rPr>
          <w:lang w:val="es-ES"/>
        </w:rPr>
        <w:tab/>
      </w:r>
      <w:r>
        <w:rPr>
          <w:i/>
          <w:iCs/>
          <w:lang w:val="es-ES"/>
        </w:rPr>
        <w:t>N</w:t>
      </w:r>
      <w:r>
        <w:rPr>
          <w:lang w:val="es-ES"/>
        </w:rPr>
        <w:t>:</w:t>
      </w:r>
      <w:r>
        <w:rPr>
          <w:lang w:val="es-ES"/>
        </w:rPr>
        <w:tab/>
        <w:t>nivel de ruido inherente al receptor (dBm)</w:t>
      </w:r>
      <w:r>
        <w:rPr>
          <w:lang w:val="es-ES"/>
        </w:rPr>
        <w:br/>
        <w:t>(</w:t>
      </w:r>
      <w:r>
        <w:rPr>
          <w:i/>
          <w:iCs/>
          <w:lang w:val="es-ES"/>
        </w:rPr>
        <w:t>N</w:t>
      </w:r>
      <w:r>
        <w:rPr>
          <w:lang w:val="es-ES"/>
        </w:rPr>
        <w:t xml:space="preserve"> = –144 dBm </w:t>
      </w:r>
      <w:r w:rsidR="00E5799D">
        <w:rPr>
          <w:lang w:val="es-ES"/>
        </w:rPr>
        <w:t>+</w:t>
      </w:r>
      <w:r>
        <w:rPr>
          <w:lang w:val="es-ES"/>
        </w:rPr>
        <w:t xml:space="preserve"> 10 log </w:t>
      </w:r>
      <w:r>
        <w:rPr>
          <w:i/>
          <w:iCs/>
          <w:lang w:val="es-ES"/>
        </w:rPr>
        <w:t>B</w:t>
      </w:r>
      <w:r>
        <w:rPr>
          <w:i/>
          <w:iCs/>
          <w:position w:val="-4"/>
          <w:sz w:val="16"/>
          <w:lang w:val="es-ES"/>
        </w:rPr>
        <w:t>IF</w:t>
      </w:r>
      <w:r>
        <w:rPr>
          <w:lang w:val="es-ES"/>
        </w:rPr>
        <w:t xml:space="preserve"> (kHz) </w:t>
      </w:r>
      <w:r w:rsidR="00E5799D">
        <w:rPr>
          <w:lang w:val="es-ES"/>
        </w:rPr>
        <w:t>+</w:t>
      </w:r>
      <w:r>
        <w:rPr>
          <w:lang w:val="es-ES"/>
        </w:rPr>
        <w:t xml:space="preserve"> </w:t>
      </w:r>
      <w:r>
        <w:rPr>
          <w:i/>
          <w:iCs/>
          <w:lang w:val="es-ES"/>
        </w:rPr>
        <w:t>NF</w:t>
      </w:r>
      <w:r>
        <w:rPr>
          <w:lang w:val="es-ES"/>
        </w:rPr>
        <w:t xml:space="preserve"> </w:t>
      </w:r>
    </w:p>
    <w:p w:rsidR="00697F2E" w:rsidRDefault="00697F2E" w:rsidP="00697F2E">
      <w:pPr>
        <w:pStyle w:val="Equationlegend"/>
        <w:rPr>
          <w:lang w:val="es-ES"/>
        </w:rPr>
      </w:pPr>
      <w:r>
        <w:rPr>
          <w:lang w:val="es-ES"/>
        </w:rPr>
        <w:tab/>
      </w:r>
      <w:r>
        <w:rPr>
          <w:lang w:val="es-ES"/>
        </w:rPr>
        <w:tab/>
        <w:t>o</w:t>
      </w:r>
    </w:p>
    <w:p w:rsidR="00697F2E" w:rsidRPr="00A73A0B" w:rsidRDefault="00697F2E" w:rsidP="00A73A0B">
      <w:pPr>
        <w:pStyle w:val="Equationlegend"/>
        <w:rPr>
          <w:lang w:val="fr-CH"/>
        </w:rPr>
      </w:pPr>
      <w:r>
        <w:rPr>
          <w:lang w:val="es-ES"/>
        </w:rPr>
        <w:tab/>
      </w:r>
      <w:r>
        <w:rPr>
          <w:lang w:val="es-ES"/>
        </w:rPr>
        <w:tab/>
      </w:r>
      <w:r w:rsidRPr="00A73A0B">
        <w:rPr>
          <w:i/>
          <w:iCs/>
          <w:lang w:val="fr-CH"/>
        </w:rPr>
        <w:t>N</w:t>
      </w:r>
      <w:r w:rsidRPr="00A73A0B">
        <w:rPr>
          <w:lang w:val="fr-CH"/>
        </w:rPr>
        <w:t xml:space="preserve"> = –168,6 dBm </w:t>
      </w:r>
      <w:r w:rsidR="00A73A0B" w:rsidRPr="00A73A0B">
        <w:rPr>
          <w:lang w:val="fr-CH"/>
        </w:rPr>
        <w:t>+</w:t>
      </w:r>
      <w:r w:rsidRPr="00A73A0B">
        <w:rPr>
          <w:lang w:val="fr-CH"/>
        </w:rPr>
        <w:t xml:space="preserve"> 10 log </w:t>
      </w:r>
      <w:r w:rsidRPr="00A73A0B">
        <w:rPr>
          <w:i/>
          <w:iCs/>
          <w:lang w:val="fr-CH"/>
        </w:rPr>
        <w:t>B</w:t>
      </w:r>
      <w:r w:rsidRPr="00A73A0B">
        <w:rPr>
          <w:i/>
          <w:iCs/>
          <w:position w:val="-4"/>
          <w:sz w:val="16"/>
          <w:lang w:val="fr-CH"/>
        </w:rPr>
        <w:t>IF</w:t>
      </w:r>
      <w:r w:rsidRPr="00A73A0B">
        <w:rPr>
          <w:lang w:val="fr-CH"/>
        </w:rPr>
        <w:t xml:space="preserve"> (kHz) </w:t>
      </w:r>
      <w:r w:rsidR="00A73A0B" w:rsidRPr="00A73A0B">
        <w:rPr>
          <w:lang w:val="fr-CH"/>
        </w:rPr>
        <w:t>+</w:t>
      </w:r>
      <w:r w:rsidRPr="00A73A0B">
        <w:rPr>
          <w:lang w:val="fr-CH"/>
        </w:rPr>
        <w:t>10 log </w:t>
      </w:r>
      <w:r w:rsidRPr="00A73A0B">
        <w:rPr>
          <w:i/>
          <w:iCs/>
          <w:lang w:val="fr-CH"/>
        </w:rPr>
        <w:t>T</w:t>
      </w:r>
      <w:r w:rsidRPr="00A73A0B">
        <w:rPr>
          <w:lang w:val="fr-CH"/>
        </w:rPr>
        <w:t>)</w:t>
      </w:r>
    </w:p>
    <w:p w:rsidR="00697F2E" w:rsidRDefault="00697F2E" w:rsidP="00697F2E">
      <w:pPr>
        <w:pStyle w:val="Equationlegend"/>
        <w:rPr>
          <w:lang w:val="es-ES"/>
        </w:rPr>
      </w:pPr>
      <w:r w:rsidRPr="00A73A0B">
        <w:rPr>
          <w:lang w:val="fr-CH"/>
        </w:rPr>
        <w:tab/>
      </w:r>
      <w:r w:rsidRPr="00A73A0B">
        <w:rPr>
          <w:lang w:val="fr-CH"/>
        </w:rPr>
        <w:tab/>
      </w:r>
      <w:r>
        <w:rPr>
          <w:lang w:val="es-ES"/>
        </w:rPr>
        <w:t>donde:</w:t>
      </w:r>
    </w:p>
    <w:p w:rsidR="00697F2E" w:rsidRDefault="00697F2E" w:rsidP="00C872B8">
      <w:pPr>
        <w:pStyle w:val="Equationlegend"/>
        <w:rPr>
          <w:lang w:val="es-ES"/>
        </w:rPr>
      </w:pPr>
      <w:r>
        <w:rPr>
          <w:lang w:val="es-ES"/>
        </w:rPr>
        <w:tab/>
      </w:r>
      <w:r>
        <w:rPr>
          <w:lang w:val="es-ES"/>
        </w:rPr>
        <w:tab/>
      </w:r>
      <w:r>
        <w:rPr>
          <w:lang w:val="es-ES"/>
        </w:rPr>
        <w:tab/>
      </w:r>
      <w:r>
        <w:rPr>
          <w:i/>
          <w:iCs/>
          <w:lang w:val="es-ES"/>
        </w:rPr>
        <w:t>B</w:t>
      </w:r>
      <w:r>
        <w:rPr>
          <w:i/>
          <w:iCs/>
          <w:vertAlign w:val="subscript"/>
          <w:lang w:val="es-ES"/>
        </w:rPr>
        <w:t>IF</w:t>
      </w:r>
      <w:r>
        <w:rPr>
          <w:lang w:val="es-ES"/>
        </w:rPr>
        <w:t>:</w:t>
      </w:r>
      <w:r>
        <w:rPr>
          <w:lang w:val="es-ES"/>
        </w:rPr>
        <w:tab/>
        <w:t>ancho de banda FI del receptor (kHz)</w:t>
      </w:r>
    </w:p>
    <w:p w:rsidR="00697F2E" w:rsidRDefault="00697F2E" w:rsidP="00C872B8">
      <w:pPr>
        <w:pStyle w:val="Equationlegend"/>
        <w:rPr>
          <w:lang w:val="es-ES"/>
        </w:rPr>
      </w:pPr>
      <w:r>
        <w:rPr>
          <w:lang w:val="es-ES"/>
        </w:rPr>
        <w:tab/>
      </w:r>
      <w:r>
        <w:rPr>
          <w:lang w:val="es-ES"/>
        </w:rPr>
        <w:tab/>
      </w:r>
      <w:r>
        <w:rPr>
          <w:lang w:val="es-ES"/>
        </w:rPr>
        <w:tab/>
      </w:r>
      <w:r w:rsidRPr="00392E7E">
        <w:rPr>
          <w:i/>
          <w:iCs/>
          <w:lang w:val="es-ES_tradnl"/>
        </w:rPr>
        <w:t>NF</w:t>
      </w:r>
      <w:r w:rsidRPr="00392E7E">
        <w:rPr>
          <w:lang w:val="es-ES_tradnl"/>
        </w:rPr>
        <w:t>:</w:t>
      </w:r>
      <w:r w:rsidRPr="00392E7E">
        <w:rPr>
          <w:lang w:val="es-ES_tradnl"/>
        </w:rPr>
        <w:tab/>
        <w:t>factor de ruido del receptor (dB)</w:t>
      </w:r>
    </w:p>
    <w:p w:rsidR="00697F2E" w:rsidRDefault="00697F2E" w:rsidP="00C872B8">
      <w:pPr>
        <w:pStyle w:val="Equationlegend"/>
        <w:rPr>
          <w:lang w:val="es-ES"/>
        </w:rPr>
      </w:pPr>
      <w:r>
        <w:rPr>
          <w:lang w:val="es-ES"/>
        </w:rPr>
        <w:tab/>
      </w:r>
      <w:r>
        <w:rPr>
          <w:lang w:val="es-ES"/>
        </w:rPr>
        <w:tab/>
      </w:r>
      <w:r>
        <w:rPr>
          <w:lang w:val="es-ES"/>
        </w:rPr>
        <w:tab/>
      </w:r>
      <w:r>
        <w:rPr>
          <w:i/>
          <w:iCs/>
          <w:lang w:val="es-ES"/>
        </w:rPr>
        <w:t>T</w:t>
      </w:r>
      <w:r>
        <w:rPr>
          <w:lang w:val="es-ES"/>
        </w:rPr>
        <w:t>:</w:t>
      </w:r>
      <w:r>
        <w:rPr>
          <w:lang w:val="es-ES"/>
        </w:rPr>
        <w:tab/>
        <w:t>temperatura de ruido del sistema (K).</w:t>
      </w:r>
    </w:p>
    <w:p w:rsidR="00697F2E" w:rsidRDefault="00697F2E" w:rsidP="00697F2E">
      <w:pPr>
        <w:rPr>
          <w:lang w:val="es-ES"/>
        </w:rPr>
      </w:pPr>
      <w:r>
        <w:rPr>
          <w:lang w:val="es-ES"/>
        </w:rPr>
        <w:t xml:space="preserve">Asimismo, el nivel de señal en el que un receptor se empieza a degradar, </w:t>
      </w:r>
      <w:r>
        <w:rPr>
          <w:i/>
          <w:iCs/>
          <w:lang w:val="es-ES"/>
        </w:rPr>
        <w:t>I</w:t>
      </w:r>
      <w:r>
        <w:rPr>
          <w:i/>
          <w:iCs/>
          <w:position w:val="-4"/>
          <w:sz w:val="16"/>
          <w:lang w:val="es-ES"/>
        </w:rPr>
        <w:t>T</w:t>
      </w:r>
      <w:r>
        <w:rPr>
          <w:lang w:val="es-ES"/>
        </w:rPr>
        <w:t>, se puede calcular utilizando la ecuación (5):</w:t>
      </w:r>
    </w:p>
    <w:p w:rsidR="00697F2E" w:rsidRDefault="00697F2E" w:rsidP="00A73A0B">
      <w:pPr>
        <w:pStyle w:val="Equation"/>
        <w:rPr>
          <w:lang w:val="en-US"/>
        </w:rPr>
      </w:pPr>
      <w:r w:rsidRPr="00392E7E">
        <w:rPr>
          <w:lang w:val="es-ES_tradnl"/>
        </w:rPr>
        <w:tab/>
      </w:r>
      <w:r w:rsidRPr="00392E7E">
        <w:rPr>
          <w:lang w:val="es-ES_tradnl"/>
        </w:rPr>
        <w:tab/>
      </w:r>
      <w:r>
        <w:rPr>
          <w:i/>
          <w:iCs/>
          <w:lang w:val="en-US"/>
        </w:rPr>
        <w:t>I</w:t>
      </w:r>
      <w:r>
        <w:rPr>
          <w:i/>
          <w:iCs/>
          <w:sz w:val="28"/>
          <w:vertAlign w:val="subscript"/>
          <w:lang w:val="en-US"/>
        </w:rPr>
        <w:t>T</w:t>
      </w:r>
      <w:r>
        <w:rPr>
          <w:lang w:val="en-US"/>
        </w:rPr>
        <w:t xml:space="preserve"> </w:t>
      </w:r>
      <w:r w:rsidR="00A73A0B" w:rsidRPr="00A73A0B">
        <w:t>=</w:t>
      </w:r>
      <w:r>
        <w:rPr>
          <w:lang w:val="en-US"/>
        </w:rPr>
        <w:t xml:space="preserve"> </w:t>
      </w:r>
      <w:r>
        <w:rPr>
          <w:i/>
          <w:iCs/>
          <w:lang w:val="en-US"/>
        </w:rPr>
        <w:t>C</w:t>
      </w:r>
      <w:r>
        <w:rPr>
          <w:lang w:val="en-US"/>
        </w:rPr>
        <w:t xml:space="preserve"> – (</w:t>
      </w:r>
      <w:r>
        <w:rPr>
          <w:i/>
          <w:iCs/>
          <w:lang w:val="en-US"/>
        </w:rPr>
        <w:t>C</w:t>
      </w:r>
      <w:r>
        <w:rPr>
          <w:lang w:val="en-US"/>
        </w:rPr>
        <w:t>/</w:t>
      </w:r>
      <w:r>
        <w:rPr>
          <w:i/>
          <w:iCs/>
          <w:lang w:val="en-US"/>
        </w:rPr>
        <w:t>I</w:t>
      </w:r>
      <w:r>
        <w:rPr>
          <w:lang w:val="en-US"/>
        </w:rPr>
        <w:t>)</w:t>
      </w:r>
      <w:r>
        <w:rPr>
          <w:lang w:val="en-US"/>
        </w:rPr>
        <w:tab/>
        <w:t>(5)</w:t>
      </w:r>
    </w:p>
    <w:p w:rsidR="00697F2E" w:rsidRPr="00F06832" w:rsidRDefault="00697F2E" w:rsidP="00697F2E">
      <w:pPr>
        <w:keepNext/>
        <w:keepLines/>
        <w:rPr>
          <w:lang w:val="en-US"/>
        </w:rPr>
      </w:pPr>
      <w:r w:rsidRPr="00F06832">
        <w:rPr>
          <w:lang w:val="en-US"/>
        </w:rPr>
        <w:t>donde:</w:t>
      </w:r>
    </w:p>
    <w:p w:rsidR="00697F2E" w:rsidRDefault="00697F2E" w:rsidP="00C872B8">
      <w:pPr>
        <w:pStyle w:val="Equationlegend"/>
        <w:rPr>
          <w:lang w:val="es-ES"/>
        </w:rPr>
      </w:pPr>
      <w:r w:rsidRPr="00F06832">
        <w:tab/>
      </w:r>
      <w:r>
        <w:rPr>
          <w:i/>
          <w:iCs/>
          <w:lang w:val="es-ES"/>
        </w:rPr>
        <w:t>C</w:t>
      </w:r>
      <w:r>
        <w:rPr>
          <w:lang w:val="es-ES"/>
        </w:rPr>
        <w:t>:</w:t>
      </w:r>
      <w:r>
        <w:rPr>
          <w:lang w:val="es-ES"/>
        </w:rPr>
        <w:tab/>
        <w:t xml:space="preserve">nivel de señal de la portadora deseada a la salida de la antena (entrada </w:t>
      </w:r>
      <w:r>
        <w:rPr>
          <w:lang w:val="es-ES"/>
        </w:rPr>
        <w:br/>
        <w:t>del receptor) (dBm)</w:t>
      </w:r>
    </w:p>
    <w:p w:rsidR="00697F2E" w:rsidRDefault="00697F2E" w:rsidP="00697F2E">
      <w:pPr>
        <w:pStyle w:val="Equationlegend"/>
        <w:rPr>
          <w:lang w:val="es-ES"/>
        </w:rPr>
      </w:pPr>
      <w:r>
        <w:rPr>
          <w:lang w:val="es-ES"/>
        </w:rPr>
        <w:tab/>
      </w:r>
      <w:r>
        <w:rPr>
          <w:i/>
          <w:iCs/>
          <w:lang w:val="es-ES"/>
        </w:rPr>
        <w:t>C</w:t>
      </w:r>
      <w:r>
        <w:rPr>
          <w:lang w:val="es-ES"/>
        </w:rPr>
        <w:t>/</w:t>
      </w:r>
      <w:r>
        <w:rPr>
          <w:i/>
          <w:iCs/>
          <w:lang w:val="es-ES"/>
        </w:rPr>
        <w:t>I</w:t>
      </w:r>
      <w:r>
        <w:rPr>
          <w:lang w:val="es-ES"/>
        </w:rPr>
        <w:t>:</w:t>
      </w:r>
      <w:r>
        <w:rPr>
          <w:lang w:val="es-ES"/>
        </w:rPr>
        <w:tab/>
        <w:t>relación portadora/interferencia a la entrada del predetector (salida de FI) necesaria para mantener un criterio aceptable de calidad (dB).</w:t>
      </w:r>
    </w:p>
    <w:p w:rsidR="00697F2E" w:rsidRDefault="00697F2E" w:rsidP="00697F2E">
      <w:pPr>
        <w:rPr>
          <w:lang w:val="es-ES"/>
        </w:rPr>
      </w:pPr>
      <w:r>
        <w:rPr>
          <w:lang w:val="es-ES"/>
        </w:rPr>
        <w:t>Se puede utilizar la ecuación (6) para determinar si es probable la interferencia de emisiones del transmisor del radar cuando los radares funcionan a determinadas distancias de otras estaciones y se encuentran separados en frecuencia por ciertos valores.</w:t>
      </w:r>
    </w:p>
    <w:p w:rsidR="00530591" w:rsidRPr="00392E7E" w:rsidRDefault="00530591" w:rsidP="00530591">
      <w:pPr>
        <w:pStyle w:val="Blanc"/>
        <w:rPr>
          <w:lang w:val="es-ES_tradnl"/>
        </w:rPr>
      </w:pPr>
    </w:p>
    <w:p w:rsidR="00697F2E" w:rsidRDefault="00697F2E" w:rsidP="00697F2E">
      <w:pPr>
        <w:pStyle w:val="Equation"/>
        <w:rPr>
          <w:lang w:val="sv-SE"/>
        </w:rPr>
      </w:pPr>
      <w:r w:rsidRPr="00392E7E">
        <w:rPr>
          <w:lang w:val="es-ES_tradnl"/>
        </w:rPr>
        <w:tab/>
      </w:r>
      <w:r w:rsidRPr="00392E7E">
        <w:rPr>
          <w:lang w:val="es-ES_tradnl"/>
        </w:rPr>
        <w:tab/>
      </w:r>
      <w:r>
        <w:rPr>
          <w:i/>
          <w:iCs/>
          <w:lang w:val="sv-SE"/>
        </w:rPr>
        <w:t>I</w:t>
      </w:r>
      <w:r>
        <w:rPr>
          <w:lang w:val="sv-SE"/>
        </w:rPr>
        <w:t xml:space="preserve"> </w:t>
      </w:r>
      <w:r>
        <w:sym w:font="Symbol" w:char="F03D"/>
      </w:r>
      <w:r>
        <w:rPr>
          <w:lang w:val="sv-SE"/>
        </w:rPr>
        <w:t xml:space="preserve"> </w:t>
      </w:r>
      <w:r>
        <w:rPr>
          <w:i/>
          <w:iCs/>
          <w:spacing w:val="-20"/>
          <w:lang w:val="sv-SE"/>
        </w:rPr>
        <w:t>P</w:t>
      </w:r>
      <w:r>
        <w:rPr>
          <w:i/>
          <w:iCs/>
          <w:spacing w:val="-20"/>
          <w:sz w:val="28"/>
          <w:vertAlign w:val="subscript"/>
          <w:lang w:val="en-US"/>
        </w:rPr>
        <w:t>T</w:t>
      </w:r>
      <w:r>
        <w:rPr>
          <w:lang w:val="sv-SE"/>
        </w:rPr>
        <w:t xml:space="preserve"> </w:t>
      </w:r>
      <w:r>
        <w:sym w:font="Symbol" w:char="F02B"/>
      </w:r>
      <w:r>
        <w:rPr>
          <w:lang w:val="sv-SE"/>
        </w:rPr>
        <w:t xml:space="preserve"> </w:t>
      </w:r>
      <w:r>
        <w:rPr>
          <w:i/>
          <w:iCs/>
          <w:lang w:val="sv-SE"/>
        </w:rPr>
        <w:t>G</w:t>
      </w:r>
      <w:r>
        <w:rPr>
          <w:i/>
          <w:iCs/>
          <w:sz w:val="28"/>
          <w:vertAlign w:val="subscript"/>
          <w:lang w:val="en-US"/>
        </w:rPr>
        <w:t>T</w:t>
      </w:r>
      <w:r>
        <w:rPr>
          <w:lang w:val="sv-SE"/>
        </w:rPr>
        <w:t xml:space="preserve"> </w:t>
      </w:r>
      <w:r>
        <w:sym w:font="Symbol" w:char="F02B"/>
      </w:r>
      <w:r>
        <w:rPr>
          <w:lang w:val="en-US"/>
        </w:rPr>
        <w:t xml:space="preserve"> </w:t>
      </w:r>
      <w:r>
        <w:rPr>
          <w:i/>
          <w:iCs/>
          <w:lang w:val="sv-SE"/>
        </w:rPr>
        <w:t>G</w:t>
      </w:r>
      <w:r>
        <w:rPr>
          <w:i/>
          <w:iCs/>
          <w:sz w:val="28"/>
          <w:vertAlign w:val="subscript"/>
          <w:lang w:val="en-US"/>
        </w:rPr>
        <w:t>R</w:t>
      </w:r>
      <w:r>
        <w:rPr>
          <w:lang w:val="sv-SE"/>
        </w:rPr>
        <w:t xml:space="preserve"> – </w:t>
      </w:r>
      <w:r>
        <w:rPr>
          <w:i/>
          <w:iCs/>
          <w:lang w:val="sv-SE"/>
        </w:rPr>
        <w:t>L</w:t>
      </w:r>
      <w:r>
        <w:rPr>
          <w:i/>
          <w:iCs/>
          <w:sz w:val="28"/>
          <w:vertAlign w:val="subscript"/>
          <w:lang w:val="en-US"/>
        </w:rPr>
        <w:t>T</w:t>
      </w:r>
      <w:r>
        <w:rPr>
          <w:lang w:val="sv-SE"/>
        </w:rPr>
        <w:t xml:space="preserve"> – </w:t>
      </w:r>
      <w:r>
        <w:rPr>
          <w:i/>
          <w:iCs/>
          <w:lang w:val="sv-SE"/>
        </w:rPr>
        <w:t>L</w:t>
      </w:r>
      <w:r>
        <w:rPr>
          <w:i/>
          <w:iCs/>
          <w:sz w:val="28"/>
          <w:vertAlign w:val="subscript"/>
          <w:lang w:val="en-US"/>
        </w:rPr>
        <w:t>R</w:t>
      </w:r>
      <w:r>
        <w:rPr>
          <w:lang w:val="sv-SE"/>
        </w:rPr>
        <w:t xml:space="preserve"> – </w:t>
      </w:r>
      <w:r>
        <w:rPr>
          <w:i/>
          <w:iCs/>
          <w:lang w:val="sv-SE"/>
        </w:rPr>
        <w:t>L</w:t>
      </w:r>
      <w:r>
        <w:rPr>
          <w:i/>
          <w:iCs/>
          <w:sz w:val="28"/>
          <w:vertAlign w:val="subscript"/>
          <w:lang w:val="en-US"/>
        </w:rPr>
        <w:t>P</w:t>
      </w:r>
      <w:r>
        <w:rPr>
          <w:lang w:val="sv-SE"/>
        </w:rPr>
        <w:t xml:space="preserve"> – </w:t>
      </w:r>
      <w:r>
        <w:rPr>
          <w:i/>
          <w:iCs/>
          <w:lang w:val="sv-SE"/>
        </w:rPr>
        <w:t>FDR</w:t>
      </w:r>
      <w:r>
        <w:rPr>
          <w:i/>
          <w:iCs/>
          <w:sz w:val="28"/>
          <w:vertAlign w:val="subscript"/>
          <w:lang w:val="en-US"/>
        </w:rPr>
        <w:t>IF</w:t>
      </w:r>
      <w:r>
        <w:rPr>
          <w:lang w:val="sv-SE"/>
        </w:rPr>
        <w:tab/>
        <w:t>(6)</w:t>
      </w:r>
    </w:p>
    <w:p w:rsidR="00530591" w:rsidRPr="000D3D07" w:rsidRDefault="00530591" w:rsidP="00530591">
      <w:pPr>
        <w:pStyle w:val="Blanc"/>
        <w:rPr>
          <w:lang w:val="en-US"/>
        </w:rPr>
      </w:pPr>
    </w:p>
    <w:p w:rsidR="00697F2E" w:rsidRDefault="00697F2E" w:rsidP="00697F2E">
      <w:pPr>
        <w:rPr>
          <w:lang w:val="es-ES"/>
        </w:rPr>
      </w:pPr>
      <w:r>
        <w:rPr>
          <w:lang w:val="es-ES"/>
        </w:rPr>
        <w:t>donde:</w:t>
      </w:r>
    </w:p>
    <w:p w:rsidR="00697F2E" w:rsidRDefault="00697F2E" w:rsidP="00697F2E">
      <w:pPr>
        <w:pStyle w:val="Equationlegend"/>
        <w:rPr>
          <w:lang w:val="es-ES"/>
        </w:rPr>
      </w:pPr>
      <w:r>
        <w:rPr>
          <w:lang w:val="es-ES"/>
        </w:rPr>
        <w:tab/>
      </w:r>
      <w:r>
        <w:rPr>
          <w:i/>
          <w:iCs/>
          <w:lang w:val="es-ES"/>
        </w:rPr>
        <w:t>I</w:t>
      </w:r>
      <w:r w:rsidR="00C872B8" w:rsidRPr="000D3D07">
        <w:rPr>
          <w:lang w:val="es-ES_tradnl"/>
        </w:rPr>
        <w:t>:</w:t>
      </w:r>
      <w:r>
        <w:rPr>
          <w:lang w:val="es-ES"/>
        </w:rPr>
        <w:tab/>
        <w:t>potencia de cresta de los impulsos del radar a la entrada del receptor (dBm)</w:t>
      </w:r>
    </w:p>
    <w:p w:rsidR="00697F2E" w:rsidRDefault="00697F2E" w:rsidP="00697F2E">
      <w:pPr>
        <w:pStyle w:val="Equationlegend"/>
        <w:rPr>
          <w:lang w:val="es-ES"/>
        </w:rPr>
      </w:pPr>
      <w:r>
        <w:rPr>
          <w:lang w:val="es-ES"/>
        </w:rPr>
        <w:tab/>
      </w:r>
      <w:r>
        <w:rPr>
          <w:i/>
          <w:iCs/>
          <w:lang w:val="es-ES"/>
        </w:rPr>
        <w:t>P</w:t>
      </w:r>
      <w:r w:rsidRPr="00392E7E">
        <w:rPr>
          <w:i/>
          <w:iCs/>
          <w:vertAlign w:val="subscript"/>
          <w:lang w:val="es-ES_tradnl"/>
        </w:rPr>
        <w:t>T</w:t>
      </w:r>
      <w:r w:rsidR="00C872B8" w:rsidRPr="000D3D07">
        <w:rPr>
          <w:lang w:val="es-ES_tradnl"/>
        </w:rPr>
        <w:t>:</w:t>
      </w:r>
      <w:r>
        <w:rPr>
          <w:lang w:val="es-ES"/>
        </w:rPr>
        <w:tab/>
        <w:t>potencia de cresta del transmisor del radar sometido a análisis (dBm)</w:t>
      </w:r>
    </w:p>
    <w:p w:rsidR="00697F2E" w:rsidRDefault="00697F2E" w:rsidP="00C872B8">
      <w:pPr>
        <w:pStyle w:val="Equationlegend"/>
        <w:rPr>
          <w:lang w:val="es-ES"/>
        </w:rPr>
      </w:pPr>
      <w:r>
        <w:rPr>
          <w:lang w:val="es-ES"/>
        </w:rPr>
        <w:tab/>
      </w:r>
      <w:r>
        <w:rPr>
          <w:i/>
          <w:iCs/>
          <w:lang w:val="es-ES"/>
        </w:rPr>
        <w:t>G</w:t>
      </w:r>
      <w:r w:rsidRPr="00392E7E">
        <w:rPr>
          <w:i/>
          <w:iCs/>
          <w:vertAlign w:val="subscript"/>
          <w:lang w:val="es-ES_tradnl"/>
        </w:rPr>
        <w:t>T</w:t>
      </w:r>
      <w:r>
        <w:rPr>
          <w:lang w:val="es-ES"/>
        </w:rPr>
        <w:t>:</w:t>
      </w:r>
      <w:r>
        <w:rPr>
          <w:lang w:val="es-ES"/>
        </w:rPr>
        <w:tab/>
        <w:t>ganancia del haz principal de la antena del radar sometido a análisis (véase la Nota 2) (dBi)</w:t>
      </w:r>
    </w:p>
    <w:p w:rsidR="00697F2E" w:rsidRDefault="00697F2E" w:rsidP="00C872B8">
      <w:pPr>
        <w:pStyle w:val="Equationlegend"/>
        <w:rPr>
          <w:lang w:val="es-ES"/>
        </w:rPr>
      </w:pPr>
      <w:r>
        <w:rPr>
          <w:lang w:val="es-ES"/>
        </w:rPr>
        <w:tab/>
      </w:r>
      <w:r>
        <w:rPr>
          <w:i/>
          <w:iCs/>
          <w:lang w:val="es-ES"/>
        </w:rPr>
        <w:t>G</w:t>
      </w:r>
      <w:r w:rsidRPr="00392E7E">
        <w:rPr>
          <w:i/>
          <w:iCs/>
          <w:vertAlign w:val="subscript"/>
          <w:lang w:val="es-ES_tradnl"/>
        </w:rPr>
        <w:t>R</w:t>
      </w:r>
      <w:r>
        <w:rPr>
          <w:lang w:val="es-ES"/>
        </w:rPr>
        <w:t>:</w:t>
      </w:r>
      <w:r>
        <w:rPr>
          <w:lang w:val="es-ES"/>
        </w:rPr>
        <w:tab/>
        <w:t>ganancia de la antena del receptor en la dirección de la estación de radar sometida a análisis (dBi)</w:t>
      </w:r>
    </w:p>
    <w:p w:rsidR="00697F2E" w:rsidRDefault="00697F2E" w:rsidP="00C872B8">
      <w:pPr>
        <w:pStyle w:val="Equationlegend"/>
        <w:rPr>
          <w:lang w:val="es-ES"/>
        </w:rPr>
      </w:pPr>
      <w:r>
        <w:rPr>
          <w:lang w:val="es-ES"/>
        </w:rPr>
        <w:tab/>
      </w:r>
      <w:r>
        <w:rPr>
          <w:i/>
          <w:iCs/>
          <w:lang w:val="es-ES"/>
        </w:rPr>
        <w:t>L</w:t>
      </w:r>
      <w:r w:rsidRPr="00392E7E">
        <w:rPr>
          <w:i/>
          <w:iCs/>
          <w:vertAlign w:val="subscript"/>
          <w:lang w:val="es-ES_tradnl"/>
        </w:rPr>
        <w:t>T</w:t>
      </w:r>
      <w:r>
        <w:rPr>
          <w:lang w:val="es-ES"/>
        </w:rPr>
        <w:t>:</w:t>
      </w:r>
      <w:r>
        <w:rPr>
          <w:lang w:val="es-ES"/>
        </w:rPr>
        <w:tab/>
        <w:t>pérdidas de inserción en el transmisor de la estación de radar (dB)</w:t>
      </w:r>
    </w:p>
    <w:p w:rsidR="00697F2E" w:rsidRDefault="00697F2E" w:rsidP="00C872B8">
      <w:pPr>
        <w:pStyle w:val="Equationlegend"/>
        <w:rPr>
          <w:lang w:val="es-ES"/>
        </w:rPr>
      </w:pPr>
      <w:r>
        <w:rPr>
          <w:lang w:val="es-ES"/>
        </w:rPr>
        <w:tab/>
      </w:r>
      <w:r>
        <w:rPr>
          <w:i/>
          <w:iCs/>
          <w:lang w:val="es-ES"/>
        </w:rPr>
        <w:t>L</w:t>
      </w:r>
      <w:r w:rsidRPr="00392E7E">
        <w:rPr>
          <w:i/>
          <w:iCs/>
          <w:vertAlign w:val="subscript"/>
          <w:lang w:val="es-ES_tradnl"/>
        </w:rPr>
        <w:t>R</w:t>
      </w:r>
      <w:r>
        <w:rPr>
          <w:lang w:val="es-ES"/>
        </w:rPr>
        <w:t>:</w:t>
      </w:r>
      <w:r>
        <w:rPr>
          <w:lang w:val="es-ES"/>
        </w:rPr>
        <w:tab/>
        <w:t>pérdidas de inserción en el receptor interferido (dB)</w:t>
      </w:r>
    </w:p>
    <w:p w:rsidR="00697F2E" w:rsidRDefault="00697F2E" w:rsidP="006461D1">
      <w:pPr>
        <w:pStyle w:val="Equationlegend"/>
        <w:rPr>
          <w:lang w:val="es-ES"/>
        </w:rPr>
      </w:pPr>
      <w:r>
        <w:rPr>
          <w:lang w:val="es-ES"/>
        </w:rPr>
        <w:tab/>
      </w:r>
      <w:r>
        <w:rPr>
          <w:i/>
          <w:iCs/>
          <w:lang w:val="es-ES"/>
        </w:rPr>
        <w:t>L</w:t>
      </w:r>
      <w:r w:rsidRPr="00392E7E">
        <w:rPr>
          <w:i/>
          <w:iCs/>
          <w:vertAlign w:val="subscript"/>
          <w:lang w:val="es-ES_tradnl"/>
        </w:rPr>
        <w:t>P</w:t>
      </w:r>
      <w:r>
        <w:rPr>
          <w:lang w:val="es-ES"/>
        </w:rPr>
        <w:t>:</w:t>
      </w:r>
      <w:r>
        <w:rPr>
          <w:lang w:val="es-ES"/>
        </w:rPr>
        <w:tab/>
        <w:t>pérdidas en el trayecto de propagación entre las antenas transmisora y receptora</w:t>
      </w:r>
      <w:r w:rsidR="006461D1">
        <w:rPr>
          <w:lang w:val="es-ES"/>
        </w:rPr>
        <w:t xml:space="preserve"> </w:t>
      </w:r>
      <w:r>
        <w:rPr>
          <w:lang w:val="es-ES"/>
        </w:rPr>
        <w:t>(dB)</w:t>
      </w:r>
    </w:p>
    <w:p w:rsidR="00697F2E" w:rsidRDefault="00697F2E" w:rsidP="00C872B8">
      <w:pPr>
        <w:pStyle w:val="Equationlegend"/>
        <w:rPr>
          <w:lang w:val="es-ES"/>
        </w:rPr>
      </w:pPr>
      <w:r>
        <w:rPr>
          <w:lang w:val="es-ES"/>
        </w:rPr>
        <w:tab/>
      </w:r>
      <w:r>
        <w:rPr>
          <w:i/>
          <w:iCs/>
          <w:lang w:val="es-ES"/>
        </w:rPr>
        <w:t>FDR</w:t>
      </w:r>
      <w:r w:rsidRPr="00392E7E">
        <w:rPr>
          <w:i/>
          <w:iCs/>
          <w:vertAlign w:val="subscript"/>
          <w:lang w:val="es-ES_tradnl"/>
        </w:rPr>
        <w:t>IF</w:t>
      </w:r>
      <w:r>
        <w:rPr>
          <w:lang w:val="es-ES"/>
        </w:rPr>
        <w:t>:</w:t>
      </w:r>
      <w:r>
        <w:rPr>
          <w:lang w:val="es-ES"/>
        </w:rPr>
        <w:tab/>
        <w:t>rechazo dependiente de la frecuencia producido por la curva de selectividad de FI del receptor en el espectro emitido por el transmisor no deseado (dB).</w:t>
      </w:r>
    </w:p>
    <w:p w:rsidR="00697F2E" w:rsidRPr="00392E7E" w:rsidRDefault="00697F2E" w:rsidP="00697F2E">
      <w:pPr>
        <w:pStyle w:val="Note"/>
        <w:rPr>
          <w:lang w:val="es-ES_tradnl"/>
        </w:rPr>
      </w:pPr>
      <w:r>
        <w:rPr>
          <w:lang w:val="es-ES"/>
        </w:rPr>
        <w:t>NOTA 2 </w:t>
      </w:r>
      <w:r>
        <w:rPr>
          <w:lang w:val="es-ES"/>
        </w:rPr>
        <w:sym w:font="Symbol" w:char="F02D"/>
      </w:r>
      <w:r>
        <w:rPr>
          <w:lang w:val="es-ES"/>
        </w:rPr>
        <w:t> Se han documentado casos de interferencia para emisiones del transmisor del radar que causan degradación del receptor por acoplamiento del haz principal del radar. Por tanto, se recomienda utilizar la ganancia del haz principal del radar para evaluar el potencial máximo de la interferencia producida por emisiones del transmisor de radar en la banda de paso de FI del receptor.</w:t>
      </w:r>
    </w:p>
    <w:p w:rsidR="00697F2E" w:rsidRDefault="00697F2E" w:rsidP="00697F2E">
      <w:pPr>
        <w:rPr>
          <w:lang w:val="es-ES"/>
        </w:rPr>
      </w:pPr>
      <w:r>
        <w:rPr>
          <w:lang w:val="es-ES"/>
        </w:rPr>
        <w:t>El valor FDR que se debe utilizar en la ecuación (6) se puede determinar a partir de la Recomendación UIT</w:t>
      </w:r>
      <w:r>
        <w:rPr>
          <w:lang w:val="es-ES"/>
        </w:rPr>
        <w:noBreakHyphen/>
        <w:t xml:space="preserve">R SM.337. El FDR puede constar de dos términos, el rechazo en sintonía (OTR, </w:t>
      </w:r>
      <w:r>
        <w:rPr>
          <w:i/>
          <w:lang w:val="es-ES"/>
        </w:rPr>
        <w:t>on</w:t>
      </w:r>
      <w:r>
        <w:rPr>
          <w:i/>
          <w:lang w:val="es-ES"/>
        </w:rPr>
        <w:noBreakHyphen/>
        <w:t>tune rejection</w:t>
      </w:r>
      <w:r>
        <w:rPr>
          <w:lang w:val="es-ES"/>
        </w:rPr>
        <w:t xml:space="preserve">) y el rechazo fuera de frecuencia (OFR, </w:t>
      </w:r>
      <w:r>
        <w:rPr>
          <w:i/>
          <w:lang w:val="es-ES"/>
        </w:rPr>
        <w:t>off</w:t>
      </w:r>
      <w:r>
        <w:rPr>
          <w:i/>
          <w:lang w:val="es-ES"/>
        </w:rPr>
        <w:noBreakHyphen/>
        <w:t>frequency rejection</w:t>
      </w:r>
      <w:r>
        <w:rPr>
          <w:lang w:val="es-ES"/>
        </w:rPr>
        <w:t>), es decir, el rechazo adicional que se produce cuando el radar y el receptor no están en sintonía.</w:t>
      </w:r>
    </w:p>
    <w:p w:rsidR="003E2085" w:rsidRPr="00392E7E" w:rsidRDefault="003E2085" w:rsidP="003E2085">
      <w:pPr>
        <w:pStyle w:val="Blanc"/>
        <w:rPr>
          <w:lang w:val="es-ES_tradnl"/>
        </w:rPr>
      </w:pPr>
    </w:p>
    <w:p w:rsidR="00697F2E" w:rsidRPr="003A1F43" w:rsidRDefault="00697F2E" w:rsidP="003A1F43">
      <w:pPr>
        <w:pStyle w:val="Equation"/>
        <w:rPr>
          <w:lang w:val="en-US"/>
        </w:rPr>
      </w:pPr>
      <w:r w:rsidRPr="00392E7E">
        <w:rPr>
          <w:lang w:val="es-ES_tradnl"/>
        </w:rPr>
        <w:tab/>
      </w:r>
      <w:r w:rsidRPr="00392E7E">
        <w:rPr>
          <w:lang w:val="es-ES_tradnl"/>
        </w:rPr>
        <w:tab/>
      </w:r>
      <w:r w:rsidR="003A1F43" w:rsidRPr="003A1F43">
        <w:rPr>
          <w:i/>
          <w:iCs/>
          <w:lang w:val="en-US"/>
        </w:rPr>
        <w:t>FDR</w:t>
      </w:r>
      <w:r w:rsidR="003A1F43" w:rsidRPr="003A1F43">
        <w:rPr>
          <w:i/>
          <w:iCs/>
          <w:vertAlign w:val="subscript"/>
          <w:lang w:val="en-US"/>
        </w:rPr>
        <w:t>IF</w:t>
      </w:r>
      <w:r w:rsidR="003A1F43">
        <w:rPr>
          <w:i/>
          <w:iCs/>
          <w:sz w:val="12"/>
          <w:szCs w:val="12"/>
          <w:lang w:val="en-US"/>
        </w:rPr>
        <w:t> </w:t>
      </w:r>
      <w:r w:rsidR="003A1F43" w:rsidRPr="003A1F43">
        <w:rPr>
          <w:lang w:val="en-US"/>
        </w:rPr>
        <w:t>(</w:t>
      </w:r>
      <w:r w:rsidR="003A1F43">
        <w:rPr>
          <w:lang w:val="es-ES_tradnl"/>
        </w:rPr>
        <w:sym w:font="Symbol" w:char="F044"/>
      </w:r>
      <w:r w:rsidR="003A1F43" w:rsidRPr="003A1F43">
        <w:rPr>
          <w:i/>
          <w:iCs/>
          <w:lang w:val="en-US"/>
        </w:rPr>
        <w:t>f</w:t>
      </w:r>
      <w:r w:rsidR="003A1F43">
        <w:rPr>
          <w:i/>
          <w:iCs/>
          <w:lang w:val="en-US"/>
        </w:rPr>
        <w:t> </w:t>
      </w:r>
      <w:r w:rsidR="003A1F43" w:rsidRPr="003A1F43">
        <w:rPr>
          <w:lang w:val="en-US"/>
        </w:rPr>
        <w:t xml:space="preserve">) = </w:t>
      </w:r>
      <w:r w:rsidR="003A1F43" w:rsidRPr="003A1F43">
        <w:rPr>
          <w:i/>
          <w:iCs/>
          <w:lang w:val="en-US"/>
        </w:rPr>
        <w:t>OTR</w:t>
      </w:r>
      <w:r w:rsidR="003A1F43" w:rsidRPr="003A1F43">
        <w:rPr>
          <w:lang w:val="en-US"/>
        </w:rPr>
        <w:t xml:space="preserve"> + </w:t>
      </w:r>
      <w:r w:rsidR="003A1F43" w:rsidRPr="003A1F43">
        <w:rPr>
          <w:i/>
          <w:iCs/>
          <w:lang w:val="en-US"/>
        </w:rPr>
        <w:t>OFR</w:t>
      </w:r>
      <w:r w:rsidR="003A1F43">
        <w:rPr>
          <w:i/>
          <w:iCs/>
          <w:sz w:val="12"/>
          <w:szCs w:val="12"/>
          <w:lang w:val="en-US"/>
        </w:rPr>
        <w:t> </w:t>
      </w:r>
      <w:r w:rsidR="003A1F43" w:rsidRPr="003A1F43">
        <w:rPr>
          <w:lang w:val="en-US"/>
        </w:rPr>
        <w:t>(</w:t>
      </w:r>
      <w:r w:rsidR="003A1F43">
        <w:rPr>
          <w:lang w:val="es-ES_tradnl"/>
        </w:rPr>
        <w:sym w:font="Symbol" w:char="F044"/>
      </w:r>
      <w:r w:rsidR="003A1F43" w:rsidRPr="003A1F43">
        <w:rPr>
          <w:i/>
          <w:iCs/>
          <w:lang w:val="en-US"/>
        </w:rPr>
        <w:t>f</w:t>
      </w:r>
      <w:r w:rsidR="003A1F43" w:rsidRPr="003A1F43">
        <w:rPr>
          <w:lang w:val="en-US"/>
        </w:rPr>
        <w:t> )</w:t>
      </w:r>
      <w:r w:rsidRPr="003A1F43">
        <w:rPr>
          <w:lang w:val="en-US"/>
        </w:rPr>
        <w:tab/>
        <w:t>(7)</w:t>
      </w:r>
    </w:p>
    <w:p w:rsidR="003E2085" w:rsidRPr="003A1F43" w:rsidRDefault="003E2085" w:rsidP="003E2085">
      <w:pPr>
        <w:pStyle w:val="Blanc"/>
        <w:rPr>
          <w:lang w:val="en-US"/>
        </w:rPr>
      </w:pPr>
    </w:p>
    <w:p w:rsidR="00697F2E" w:rsidRDefault="00697F2E" w:rsidP="00697F2E">
      <w:pPr>
        <w:rPr>
          <w:lang w:val="es-ES"/>
        </w:rPr>
      </w:pPr>
      <w:r>
        <w:rPr>
          <w:lang w:val="es-ES"/>
        </w:rPr>
        <w:t>Para onda continua y señales de impulsos codificados en fase, el factor de rechazo en sintonía viene dado por:</w:t>
      </w:r>
    </w:p>
    <w:p w:rsidR="003E2085" w:rsidRPr="00392E7E" w:rsidRDefault="003E2085" w:rsidP="003E2085">
      <w:pPr>
        <w:pStyle w:val="Blanc"/>
        <w:rPr>
          <w:lang w:val="es-ES_tradnl"/>
        </w:rPr>
      </w:pPr>
    </w:p>
    <w:p w:rsidR="00697F2E" w:rsidRDefault="00697F2E" w:rsidP="00697F2E">
      <w:pPr>
        <w:pStyle w:val="Equation"/>
        <w:tabs>
          <w:tab w:val="left" w:pos="3402"/>
          <w:tab w:val="left" w:pos="5670"/>
        </w:tabs>
        <w:rPr>
          <w:lang w:val="es-ES"/>
        </w:rPr>
      </w:pPr>
      <w:r w:rsidRPr="00392E7E">
        <w:rPr>
          <w:lang w:val="es-ES_tradnl"/>
        </w:rPr>
        <w:tab/>
      </w:r>
      <w:r w:rsidRPr="00392E7E">
        <w:rPr>
          <w:lang w:val="es-ES_tradnl"/>
        </w:rPr>
        <w:tab/>
      </w:r>
      <w:r>
        <w:rPr>
          <w:i/>
          <w:iCs/>
          <w:lang w:val="es-ES"/>
        </w:rPr>
        <w:t>OTR</w:t>
      </w:r>
      <w:r>
        <w:rPr>
          <w:lang w:val="es-ES"/>
        </w:rPr>
        <w:t xml:space="preserve"> </w:t>
      </w:r>
      <w:r>
        <w:sym w:font="Symbol" w:char="F03D"/>
      </w:r>
      <w:r>
        <w:rPr>
          <w:lang w:val="es-ES"/>
        </w:rPr>
        <w:t xml:space="preserve"> 0</w:t>
      </w:r>
      <w:r>
        <w:rPr>
          <w:lang w:val="es-ES"/>
        </w:rPr>
        <w:tab/>
      </w:r>
      <w:r>
        <w:rPr>
          <w:lang w:val="es-ES"/>
        </w:rPr>
        <w:tab/>
        <w:t xml:space="preserve">para </w:t>
      </w:r>
      <w:r>
        <w:rPr>
          <w:i/>
          <w:iCs/>
          <w:lang w:val="es-ES"/>
        </w:rPr>
        <w:t>B</w:t>
      </w:r>
      <w:r>
        <w:rPr>
          <w:i/>
          <w:iCs/>
          <w:sz w:val="28"/>
          <w:vertAlign w:val="subscript"/>
          <w:lang w:val="es-ES"/>
        </w:rPr>
        <w:t>R</w:t>
      </w:r>
      <w:r>
        <w:rPr>
          <w:lang w:val="es-ES"/>
        </w:rPr>
        <w:t xml:space="preserve"> </w:t>
      </w:r>
      <w:r>
        <w:sym w:font="Symbol" w:char="F0B3"/>
      </w:r>
      <w:r>
        <w:rPr>
          <w:lang w:val="es-ES"/>
        </w:rPr>
        <w:t xml:space="preserve"> </w:t>
      </w:r>
      <w:r>
        <w:rPr>
          <w:i/>
          <w:iCs/>
          <w:lang w:val="es-ES"/>
        </w:rPr>
        <w:t>B</w:t>
      </w:r>
      <w:r>
        <w:rPr>
          <w:i/>
          <w:iCs/>
          <w:sz w:val="28"/>
          <w:vertAlign w:val="subscript"/>
          <w:lang w:val="es-ES"/>
        </w:rPr>
        <w:t>T</w:t>
      </w:r>
      <w:r>
        <w:rPr>
          <w:lang w:val="es-ES"/>
        </w:rPr>
        <w:tab/>
        <w:t>(8)</w:t>
      </w:r>
    </w:p>
    <w:p w:rsidR="00697F2E" w:rsidRDefault="00697F2E" w:rsidP="00EE23B8">
      <w:pPr>
        <w:pStyle w:val="Equation"/>
        <w:tabs>
          <w:tab w:val="left" w:pos="2693"/>
          <w:tab w:val="left" w:pos="5670"/>
        </w:tabs>
        <w:rPr>
          <w:lang w:val="es-ES"/>
        </w:rPr>
      </w:pPr>
      <w:r>
        <w:rPr>
          <w:lang w:val="es-ES"/>
        </w:rPr>
        <w:tab/>
      </w:r>
      <w:r>
        <w:rPr>
          <w:lang w:val="es-ES"/>
        </w:rPr>
        <w:tab/>
      </w:r>
      <w:r>
        <w:rPr>
          <w:i/>
          <w:iCs/>
          <w:lang w:val="es-ES"/>
        </w:rPr>
        <w:t>OTR</w:t>
      </w:r>
      <w:r>
        <w:rPr>
          <w:lang w:val="es-ES"/>
        </w:rPr>
        <w:t xml:space="preserve"> = 20 log (</w:t>
      </w:r>
      <w:r>
        <w:rPr>
          <w:i/>
          <w:iCs/>
          <w:lang w:val="es-ES"/>
        </w:rPr>
        <w:t>B</w:t>
      </w:r>
      <w:r>
        <w:rPr>
          <w:i/>
          <w:iCs/>
          <w:sz w:val="28"/>
          <w:vertAlign w:val="subscript"/>
          <w:lang w:val="es-ES"/>
        </w:rPr>
        <w:t>T</w:t>
      </w:r>
      <w:r w:rsidRPr="00EE23B8">
        <w:t>/</w:t>
      </w:r>
      <w:r>
        <w:rPr>
          <w:i/>
          <w:iCs/>
          <w:lang w:val="es-ES"/>
        </w:rPr>
        <w:t>B</w:t>
      </w:r>
      <w:r>
        <w:rPr>
          <w:i/>
          <w:iCs/>
          <w:sz w:val="28"/>
          <w:vertAlign w:val="subscript"/>
          <w:lang w:val="es-ES"/>
        </w:rPr>
        <w:t>R</w:t>
      </w:r>
      <w:r>
        <w:rPr>
          <w:lang w:val="es-ES"/>
        </w:rPr>
        <w:t>)</w:t>
      </w:r>
      <w:r>
        <w:rPr>
          <w:lang w:val="es-ES"/>
        </w:rPr>
        <w:tab/>
        <w:t xml:space="preserve">para </w:t>
      </w:r>
      <w:r>
        <w:rPr>
          <w:i/>
          <w:iCs/>
          <w:lang w:val="es-ES"/>
        </w:rPr>
        <w:t>B</w:t>
      </w:r>
      <w:r>
        <w:rPr>
          <w:i/>
          <w:iCs/>
          <w:sz w:val="28"/>
          <w:vertAlign w:val="subscript"/>
          <w:lang w:val="es-ES"/>
        </w:rPr>
        <w:t>R</w:t>
      </w:r>
      <w:r>
        <w:rPr>
          <w:lang w:val="es-ES"/>
        </w:rPr>
        <w:t xml:space="preserve"> </w:t>
      </w:r>
      <w:r>
        <w:sym w:font="Symbol" w:char="F03C"/>
      </w:r>
      <w:r>
        <w:rPr>
          <w:lang w:val="es-ES"/>
        </w:rPr>
        <w:t xml:space="preserve"> </w:t>
      </w:r>
      <w:r>
        <w:rPr>
          <w:i/>
          <w:iCs/>
          <w:lang w:val="es-ES"/>
        </w:rPr>
        <w:t>B</w:t>
      </w:r>
      <w:r>
        <w:rPr>
          <w:i/>
          <w:iCs/>
          <w:sz w:val="28"/>
          <w:vertAlign w:val="subscript"/>
          <w:lang w:val="es-ES"/>
        </w:rPr>
        <w:t>T</w:t>
      </w:r>
      <w:r>
        <w:rPr>
          <w:lang w:val="es-ES"/>
        </w:rPr>
        <w:tab/>
        <w:t>(9)</w:t>
      </w:r>
    </w:p>
    <w:p w:rsidR="00530591" w:rsidRPr="00392E7E" w:rsidRDefault="00530591" w:rsidP="00530591">
      <w:pPr>
        <w:pStyle w:val="Blanc"/>
        <w:rPr>
          <w:lang w:val="es-ES_tradnl"/>
        </w:rPr>
      </w:pPr>
    </w:p>
    <w:p w:rsidR="00697F2E" w:rsidRDefault="00697F2E" w:rsidP="00697F2E">
      <w:pPr>
        <w:rPr>
          <w:lang w:val="es-ES"/>
        </w:rPr>
      </w:pPr>
      <w:r>
        <w:rPr>
          <w:lang w:val="es-ES"/>
        </w:rPr>
        <w:t>donde:</w:t>
      </w:r>
    </w:p>
    <w:p w:rsidR="00697F2E" w:rsidRDefault="00697F2E" w:rsidP="00C872B8">
      <w:pPr>
        <w:pStyle w:val="Equationlegend"/>
        <w:rPr>
          <w:lang w:val="es-ES"/>
        </w:rPr>
      </w:pPr>
      <w:r>
        <w:rPr>
          <w:lang w:val="es-ES"/>
        </w:rPr>
        <w:tab/>
      </w:r>
      <w:r>
        <w:rPr>
          <w:i/>
          <w:iCs/>
          <w:lang w:val="es-ES"/>
        </w:rPr>
        <w:t>B</w:t>
      </w:r>
      <w:r w:rsidRPr="00392E7E">
        <w:rPr>
          <w:i/>
          <w:iCs/>
          <w:vertAlign w:val="subscript"/>
          <w:lang w:val="es-ES_tradnl"/>
        </w:rPr>
        <w:t>R</w:t>
      </w:r>
      <w:r>
        <w:rPr>
          <w:lang w:val="es-ES"/>
        </w:rPr>
        <w:t>:</w:t>
      </w:r>
      <w:r>
        <w:rPr>
          <w:lang w:val="es-ES"/>
        </w:rPr>
        <w:tab/>
        <w:t>ancho de banda a 3 dB del receptor (Hz)</w:t>
      </w:r>
    </w:p>
    <w:p w:rsidR="00697F2E" w:rsidRDefault="00697F2E" w:rsidP="00697F2E">
      <w:pPr>
        <w:pStyle w:val="Equationlegend"/>
        <w:rPr>
          <w:lang w:val="es-ES"/>
        </w:rPr>
      </w:pPr>
      <w:r>
        <w:rPr>
          <w:lang w:val="es-ES"/>
        </w:rPr>
        <w:tab/>
      </w:r>
      <w:r>
        <w:rPr>
          <w:i/>
          <w:iCs/>
          <w:lang w:val="es-ES"/>
        </w:rPr>
        <w:t>B</w:t>
      </w:r>
      <w:r w:rsidRPr="00392E7E">
        <w:rPr>
          <w:i/>
          <w:iCs/>
          <w:vertAlign w:val="subscript"/>
          <w:lang w:val="es-ES_tradnl"/>
        </w:rPr>
        <w:t>T</w:t>
      </w:r>
      <w:r>
        <w:rPr>
          <w:lang w:val="es-ES"/>
        </w:rPr>
        <w:t>:</w:t>
      </w:r>
      <w:r>
        <w:rPr>
          <w:lang w:val="es-ES"/>
        </w:rPr>
        <w:tab/>
        <w:t>ancho de banda a 3 dB del transmisor (Hz).</w:t>
      </w:r>
    </w:p>
    <w:p w:rsidR="00697F2E" w:rsidRDefault="00697F2E" w:rsidP="003E2085">
      <w:pPr>
        <w:keepNext/>
        <w:keepLines/>
        <w:rPr>
          <w:lang w:val="es-ES"/>
        </w:rPr>
      </w:pPr>
      <w:r>
        <w:rPr>
          <w:lang w:val="es-ES"/>
        </w:rPr>
        <w:t>Para señales de impulsos modulados en frecuencia (</w:t>
      </w:r>
      <w:r>
        <w:rPr>
          <w:i/>
          <w:lang w:val="es-ES"/>
        </w:rPr>
        <w:t>chirped pulsed signals</w:t>
      </w:r>
      <w:r>
        <w:rPr>
          <w:lang w:val="es-ES"/>
        </w:rPr>
        <w:t>), el factor de rechazo en sintonía viene dado por:</w:t>
      </w:r>
    </w:p>
    <w:p w:rsidR="00697F2E" w:rsidRDefault="00697F2E" w:rsidP="00EE23B8">
      <w:pPr>
        <w:pStyle w:val="Equation"/>
        <w:tabs>
          <w:tab w:val="left" w:pos="3402"/>
          <w:tab w:val="left" w:pos="5670"/>
        </w:tabs>
        <w:rPr>
          <w:lang w:val="es-ES"/>
        </w:rPr>
      </w:pPr>
      <w:r>
        <w:rPr>
          <w:lang w:val="es-ES"/>
        </w:rPr>
        <w:tab/>
      </w:r>
      <w:r>
        <w:rPr>
          <w:lang w:val="es-ES"/>
        </w:rPr>
        <w:tab/>
      </w:r>
      <w:r>
        <w:rPr>
          <w:i/>
          <w:iCs/>
          <w:lang w:val="es-ES"/>
        </w:rPr>
        <w:t>OTR</w:t>
      </w:r>
      <w:r>
        <w:rPr>
          <w:lang w:val="es-ES"/>
        </w:rPr>
        <w:t xml:space="preserve"> </w:t>
      </w:r>
      <w:r>
        <w:rPr>
          <w:lang w:val="es-ES"/>
        </w:rPr>
        <w:sym w:font="Symbol" w:char="F03D"/>
      </w:r>
      <w:r>
        <w:rPr>
          <w:lang w:val="es-ES"/>
        </w:rPr>
        <w:t xml:space="preserve"> 0</w:t>
      </w:r>
      <w:r>
        <w:rPr>
          <w:lang w:val="es-ES"/>
        </w:rPr>
        <w:tab/>
      </w:r>
      <w:r>
        <w:rPr>
          <w:lang w:val="es-ES"/>
        </w:rPr>
        <w:tab/>
        <w:t xml:space="preserve">para </w:t>
      </w:r>
      <w:r w:rsidR="00EE23B8">
        <w:rPr>
          <w:lang w:val="es-ES"/>
        </w:rPr>
        <w:t xml:space="preserve">   </w:t>
      </w:r>
      <w:r>
        <w:rPr>
          <w:i/>
          <w:iCs/>
          <w:lang w:val="es-ES"/>
        </w:rPr>
        <w:t>B</w:t>
      </w:r>
      <w:r>
        <w:rPr>
          <w:i/>
          <w:iCs/>
          <w:sz w:val="28"/>
          <w:vertAlign w:val="subscript"/>
          <w:lang w:val="es-ES"/>
        </w:rPr>
        <w:t>C</w:t>
      </w:r>
      <w:r>
        <w:rPr>
          <w:lang w:val="es-ES"/>
        </w:rPr>
        <w:t>/(</w:t>
      </w:r>
      <w:r>
        <w:rPr>
          <w:i/>
          <w:iCs/>
          <w:lang w:val="es-ES"/>
        </w:rPr>
        <w:t>B</w:t>
      </w:r>
      <w:r>
        <w:rPr>
          <w:i/>
          <w:iCs/>
          <w:sz w:val="28"/>
          <w:vertAlign w:val="subscript"/>
          <w:lang w:val="es-ES"/>
        </w:rPr>
        <w:t>R</w:t>
      </w:r>
      <w:r>
        <w:rPr>
          <w:sz w:val="28"/>
          <w:vertAlign w:val="superscript"/>
          <w:lang w:val="es-ES"/>
        </w:rPr>
        <w:t>2</w:t>
      </w:r>
      <w:r>
        <w:rPr>
          <w:lang w:val="es-ES"/>
        </w:rPr>
        <w:t xml:space="preserve"> </w:t>
      </w:r>
      <w:r>
        <w:rPr>
          <w:i/>
          <w:iCs/>
          <w:lang w:val="es-ES"/>
        </w:rPr>
        <w:t>T</w:t>
      </w:r>
      <w:r>
        <w:rPr>
          <w:lang w:val="es-ES"/>
        </w:rPr>
        <w:t xml:space="preserve">) </w:t>
      </w:r>
      <w:r>
        <w:rPr>
          <w:lang w:val="es-ES"/>
        </w:rPr>
        <w:sym w:font="Symbol" w:char="F0A3"/>
      </w:r>
      <w:r>
        <w:rPr>
          <w:lang w:val="es-ES"/>
        </w:rPr>
        <w:t xml:space="preserve"> 1</w:t>
      </w:r>
      <w:r>
        <w:rPr>
          <w:lang w:val="es-ES"/>
        </w:rPr>
        <w:tab/>
        <w:t>(10)</w:t>
      </w:r>
    </w:p>
    <w:p w:rsidR="00697F2E" w:rsidRDefault="00697F2E" w:rsidP="00EE23B8">
      <w:pPr>
        <w:pStyle w:val="Equation"/>
        <w:tabs>
          <w:tab w:val="left" w:pos="2693"/>
          <w:tab w:val="left" w:pos="5670"/>
        </w:tabs>
        <w:rPr>
          <w:lang w:val="fr-CH"/>
        </w:rPr>
      </w:pPr>
      <w:r>
        <w:rPr>
          <w:lang w:val="es-ES"/>
        </w:rPr>
        <w:tab/>
      </w:r>
      <w:r>
        <w:rPr>
          <w:lang w:val="es-ES"/>
        </w:rPr>
        <w:tab/>
      </w:r>
      <w:r>
        <w:rPr>
          <w:i/>
          <w:iCs/>
          <w:lang w:val="fr-CH"/>
        </w:rPr>
        <w:t>OTR</w:t>
      </w:r>
      <w:r>
        <w:rPr>
          <w:lang w:val="fr-CH"/>
        </w:rPr>
        <w:t xml:space="preserve"> </w:t>
      </w:r>
      <w:r>
        <w:rPr>
          <w:lang w:val="es-ES"/>
        </w:rPr>
        <w:sym w:font="Symbol" w:char="F03D"/>
      </w:r>
      <w:r>
        <w:rPr>
          <w:lang w:val="fr-CH"/>
        </w:rPr>
        <w:t xml:space="preserve"> 10 log (</w:t>
      </w:r>
      <w:r>
        <w:rPr>
          <w:i/>
          <w:iCs/>
          <w:lang w:val="fr-CH"/>
        </w:rPr>
        <w:t>B</w:t>
      </w:r>
      <w:r w:rsidRPr="00265846">
        <w:rPr>
          <w:i/>
          <w:iCs/>
          <w:sz w:val="28"/>
          <w:vertAlign w:val="subscript"/>
        </w:rPr>
        <w:t>C</w:t>
      </w:r>
      <w:r w:rsidR="00EE23B8">
        <w:rPr>
          <w:lang w:val="fr-CH"/>
        </w:rPr>
        <w:t>/</w:t>
      </w:r>
      <w:r>
        <w:rPr>
          <w:lang w:val="fr-CH"/>
        </w:rPr>
        <w:t>(</w:t>
      </w:r>
      <w:r>
        <w:rPr>
          <w:i/>
          <w:iCs/>
          <w:lang w:val="fr-CH"/>
        </w:rPr>
        <w:t>B</w:t>
      </w:r>
      <w:r w:rsidRPr="00265846">
        <w:rPr>
          <w:i/>
          <w:iCs/>
          <w:sz w:val="28"/>
          <w:vertAlign w:val="subscript"/>
        </w:rPr>
        <w:t>R</w:t>
      </w:r>
      <w:r w:rsidRPr="00265846">
        <w:rPr>
          <w:sz w:val="28"/>
          <w:vertAlign w:val="superscript"/>
        </w:rPr>
        <w:t>2</w:t>
      </w:r>
      <w:r>
        <w:rPr>
          <w:lang w:val="fr-CH"/>
        </w:rPr>
        <w:t xml:space="preserve"> </w:t>
      </w:r>
      <w:r>
        <w:rPr>
          <w:i/>
          <w:iCs/>
          <w:lang w:val="fr-CH"/>
        </w:rPr>
        <w:t>T</w:t>
      </w:r>
      <w:r>
        <w:rPr>
          <w:lang w:val="fr-CH"/>
        </w:rPr>
        <w:t>))</w:t>
      </w:r>
      <w:r>
        <w:rPr>
          <w:lang w:val="fr-CH"/>
        </w:rPr>
        <w:tab/>
        <w:t xml:space="preserve">para </w:t>
      </w:r>
      <w:r w:rsidR="00EE23B8">
        <w:rPr>
          <w:lang w:val="fr-CH"/>
        </w:rPr>
        <w:t xml:space="preserve">   </w:t>
      </w:r>
      <w:r>
        <w:rPr>
          <w:i/>
          <w:iCs/>
          <w:lang w:val="fr-CH"/>
        </w:rPr>
        <w:t>B</w:t>
      </w:r>
      <w:r>
        <w:rPr>
          <w:i/>
          <w:iCs/>
          <w:sz w:val="28"/>
          <w:vertAlign w:val="subscript"/>
          <w:lang w:val="fr-CH"/>
        </w:rPr>
        <w:t>C</w:t>
      </w:r>
      <w:r>
        <w:rPr>
          <w:lang w:val="fr-CH"/>
        </w:rPr>
        <w:t>/(</w:t>
      </w:r>
      <w:r>
        <w:rPr>
          <w:i/>
          <w:iCs/>
          <w:lang w:val="fr-CH"/>
        </w:rPr>
        <w:t>B</w:t>
      </w:r>
      <w:r>
        <w:rPr>
          <w:i/>
          <w:iCs/>
          <w:sz w:val="28"/>
          <w:vertAlign w:val="subscript"/>
          <w:lang w:val="fr-CH"/>
        </w:rPr>
        <w:t>R</w:t>
      </w:r>
      <w:r>
        <w:rPr>
          <w:sz w:val="28"/>
          <w:vertAlign w:val="superscript"/>
          <w:lang w:val="fr-CH"/>
        </w:rPr>
        <w:t>2</w:t>
      </w:r>
      <w:r>
        <w:rPr>
          <w:lang w:val="fr-CH"/>
        </w:rPr>
        <w:t xml:space="preserve"> </w:t>
      </w:r>
      <w:r>
        <w:rPr>
          <w:i/>
          <w:iCs/>
          <w:lang w:val="fr-CH"/>
        </w:rPr>
        <w:t>T</w:t>
      </w:r>
      <w:r>
        <w:rPr>
          <w:lang w:val="fr-CH"/>
        </w:rPr>
        <w:t xml:space="preserve">) </w:t>
      </w:r>
      <w:r>
        <w:rPr>
          <w:lang w:val="es-ES"/>
        </w:rPr>
        <w:sym w:font="Symbol" w:char="F03E"/>
      </w:r>
      <w:r>
        <w:rPr>
          <w:lang w:val="fr-CH"/>
        </w:rPr>
        <w:t xml:space="preserve"> 1</w:t>
      </w:r>
      <w:r>
        <w:rPr>
          <w:lang w:val="fr-CH"/>
        </w:rPr>
        <w:tab/>
        <w:t>(11)</w:t>
      </w:r>
    </w:p>
    <w:p w:rsidR="00697F2E" w:rsidRDefault="00697F2E" w:rsidP="003E2085">
      <w:pPr>
        <w:spacing w:before="0"/>
        <w:rPr>
          <w:lang w:val="es-ES"/>
        </w:rPr>
      </w:pPr>
      <w:r>
        <w:rPr>
          <w:lang w:val="es-ES"/>
        </w:rPr>
        <w:t>donde:</w:t>
      </w:r>
    </w:p>
    <w:p w:rsidR="00697F2E" w:rsidRDefault="00697F2E" w:rsidP="00C872B8">
      <w:pPr>
        <w:pStyle w:val="Equationlegend"/>
        <w:rPr>
          <w:lang w:val="es-ES"/>
        </w:rPr>
      </w:pPr>
      <w:r>
        <w:rPr>
          <w:lang w:val="es-ES"/>
        </w:rPr>
        <w:tab/>
      </w:r>
      <w:r>
        <w:rPr>
          <w:i/>
          <w:iCs/>
          <w:lang w:val="es-ES"/>
        </w:rPr>
        <w:t>T</w:t>
      </w:r>
      <w:r>
        <w:rPr>
          <w:lang w:val="es-ES"/>
        </w:rPr>
        <w:t>:</w:t>
      </w:r>
      <w:r>
        <w:rPr>
          <w:lang w:val="es-ES"/>
        </w:rPr>
        <w:tab/>
        <w:t>ancho del impulso modulado en frecuencia (s)</w:t>
      </w:r>
    </w:p>
    <w:p w:rsidR="00697F2E" w:rsidRDefault="00697F2E" w:rsidP="00C872B8">
      <w:pPr>
        <w:pStyle w:val="Equationlegend"/>
        <w:rPr>
          <w:lang w:val="es-ES"/>
        </w:rPr>
      </w:pPr>
      <w:r>
        <w:rPr>
          <w:lang w:val="es-ES"/>
        </w:rPr>
        <w:tab/>
      </w:r>
      <w:r>
        <w:rPr>
          <w:i/>
          <w:iCs/>
          <w:lang w:val="es-ES"/>
        </w:rPr>
        <w:t>B</w:t>
      </w:r>
      <w:r w:rsidRPr="00392E7E">
        <w:rPr>
          <w:i/>
          <w:iCs/>
          <w:vertAlign w:val="subscript"/>
          <w:lang w:val="es-ES_tradnl"/>
        </w:rPr>
        <w:t>C</w:t>
      </w:r>
      <w:r>
        <w:rPr>
          <w:lang w:val="es-ES"/>
        </w:rPr>
        <w:t>:</w:t>
      </w:r>
      <w:r>
        <w:rPr>
          <w:lang w:val="es-ES"/>
        </w:rPr>
        <w:tab/>
        <w:t>ancho de banda del transmisor modulado en frecuencia para la ancho del impulso, </w:t>
      </w:r>
      <w:r>
        <w:rPr>
          <w:i/>
          <w:iCs/>
          <w:lang w:val="es-ES"/>
        </w:rPr>
        <w:t>T</w:t>
      </w:r>
      <w:r>
        <w:rPr>
          <w:lang w:val="es-ES"/>
        </w:rPr>
        <w:t xml:space="preserve"> (Hz).</w:t>
      </w:r>
    </w:p>
    <w:p w:rsidR="00697F2E" w:rsidRDefault="00697F2E" w:rsidP="00A73A0B">
      <w:pPr>
        <w:rPr>
          <w:lang w:val="es-ES"/>
        </w:rPr>
      </w:pPr>
      <w:r>
        <w:rPr>
          <w:lang w:val="es-ES"/>
        </w:rPr>
        <w:t>El cálculo del rechazo fuera de frecuencia, OFR, necesita las características de la respuesta de FI del receptor y del espectro emitido por el transmisor de radar. El UIT</w:t>
      </w:r>
      <w:r>
        <w:rPr>
          <w:lang w:val="es-ES"/>
        </w:rPr>
        <w:noBreakHyphen/>
        <w:t>R ha indicado métodos para calcular las características del espectro de emisión para radares de impulsos de onda continua y modulados en frecuencia. Si no se dispone de información sobre las características de los tiempos de subida y de bajada del transmisor del radar, se calculará la envolvente de emisión del radar para tiempos nominales de subida y de bajada de 0,1</w:t>
      </w:r>
      <w:r w:rsidR="006461D1">
        <w:rPr>
          <w:lang w:val="es-ES"/>
        </w:rPr>
        <w:t> </w:t>
      </w:r>
      <w:r w:rsidR="00A73A0B">
        <w:rPr>
          <w:lang w:val="es-ES"/>
        </w:rPr>
        <w:sym w:font="Symbol" w:char="F06D"/>
      </w:r>
      <w:r>
        <w:rPr>
          <w:lang w:val="es-ES"/>
        </w:rPr>
        <w:t>s. Los niveles de emisiones no esenciales provenientes de transmisores de radar dependen del dispositivo de salida del transmisor. En la Recomendación UIT</w:t>
      </w:r>
      <w:r>
        <w:rPr>
          <w:lang w:val="es-ES"/>
        </w:rPr>
        <w:noBreakHyphen/>
        <w:t>R M.1314 se incluyen niveles de emisiones no esenciales representativas para diversos dispositivos de salida del radar. Puesto que muchos radares tienen potencias de transmisión y ganancias de antena elevadas, se pueden necesitar grandes separaciones de frecuencia y bandas de guarda para asegurar la compatibilidad.</w:t>
      </w:r>
    </w:p>
    <w:p w:rsidR="00697F2E" w:rsidRDefault="00697F2E" w:rsidP="00697F2E">
      <w:pPr>
        <w:rPr>
          <w:lang w:val="es-ES"/>
        </w:rPr>
      </w:pPr>
      <w:r>
        <w:rPr>
          <w:lang w:val="es-ES"/>
        </w:rPr>
        <w:t xml:space="preserve">Al determinar las pérdidas en el trayecto de propagación, se utilizarán modelos de propagación adecuados y posibles acoplamientos indirectos, teniendo en cuenta las alturas de antena y el terreno, cuando sea necesario. Si la potencia de cresta calculada de los impulsos del radar, a la entrada del receptor, </w:t>
      </w:r>
      <w:r>
        <w:rPr>
          <w:i/>
          <w:iCs/>
          <w:lang w:val="es-ES"/>
        </w:rPr>
        <w:t>I</w:t>
      </w:r>
      <w:r>
        <w:rPr>
          <w:lang w:val="es-ES"/>
        </w:rPr>
        <w:t xml:space="preserve">, superan el valor umbral en el que se degradan las características del receptor, </w:t>
      </w:r>
      <w:r>
        <w:rPr>
          <w:i/>
          <w:iCs/>
          <w:lang w:val="es-ES"/>
        </w:rPr>
        <w:t>I</w:t>
      </w:r>
      <w:r>
        <w:rPr>
          <w:i/>
          <w:iCs/>
          <w:position w:val="-4"/>
          <w:sz w:val="16"/>
          <w:lang w:val="es-ES"/>
        </w:rPr>
        <w:t>T</w:t>
      </w:r>
      <w:r>
        <w:rPr>
          <w:lang w:val="es-ES"/>
        </w:rPr>
        <w:t>, deberán tomarse medidas para asegurar la compatibilidad.</w:t>
      </w:r>
    </w:p>
    <w:p w:rsidR="00697F2E" w:rsidRDefault="00697F2E" w:rsidP="003E2085">
      <w:pPr>
        <w:pStyle w:val="Heading1"/>
        <w:rPr>
          <w:lang w:val="es-ES"/>
        </w:rPr>
      </w:pPr>
      <w:r>
        <w:rPr>
          <w:lang w:val="es-ES"/>
        </w:rPr>
        <w:t>3</w:t>
      </w:r>
      <w:r>
        <w:rPr>
          <w:lang w:val="es-ES"/>
        </w:rPr>
        <w:tab/>
        <w:t>Interferencia a radares proveniente de sistemas de otros servicios</w:t>
      </w:r>
    </w:p>
    <w:p w:rsidR="00697F2E" w:rsidRDefault="00697F2E" w:rsidP="00697F2E">
      <w:pPr>
        <w:pStyle w:val="Headingb"/>
        <w:rPr>
          <w:lang w:val="es-ES"/>
        </w:rPr>
      </w:pPr>
      <w:r>
        <w:rPr>
          <w:lang w:val="es-ES"/>
        </w:rPr>
        <w:t>Introducción</w:t>
      </w:r>
    </w:p>
    <w:p w:rsidR="00697F2E" w:rsidRDefault="00697F2E" w:rsidP="00697F2E">
      <w:pPr>
        <w:rPr>
          <w:lang w:val="es-ES"/>
        </w:rPr>
      </w:pPr>
      <w:r>
        <w:rPr>
          <w:lang w:val="es-ES"/>
        </w:rPr>
        <w:t>Existen dos mecanismos primarios de interferencia por acoplamiento electromagnético entre el sistema de radar y las señales interferentes de otros servicios. El primer mecanismo es causado por la sobrecarga de la etapa de entrada que causa saturación, y la generación de productos de intermodulación. El segundo son las emisiones interferentes dentro de la banda de paso de FI del receptor, que produce la desensibilización y degradación del funcionamiento y reduce la calidad global de la salida de datos del radar.</w:t>
      </w:r>
    </w:p>
    <w:p w:rsidR="00697F2E" w:rsidRDefault="00697F2E" w:rsidP="00697F2E">
      <w:pPr>
        <w:pStyle w:val="Heading2"/>
        <w:rPr>
          <w:lang w:val="es-ES"/>
        </w:rPr>
      </w:pPr>
      <w:r>
        <w:rPr>
          <w:lang w:val="es-ES"/>
        </w:rPr>
        <w:t>3.1</w:t>
      </w:r>
      <w:r>
        <w:rPr>
          <w:lang w:val="es-ES"/>
        </w:rPr>
        <w:tab/>
        <w:t>Sobrecarga de la etapa de entrada del receptor</w:t>
      </w:r>
    </w:p>
    <w:p w:rsidR="00697F2E" w:rsidRDefault="00697F2E" w:rsidP="00697F2E">
      <w:pPr>
        <w:pStyle w:val="Heading3"/>
        <w:rPr>
          <w:lang w:val="es-ES"/>
        </w:rPr>
      </w:pPr>
      <w:r>
        <w:rPr>
          <w:lang w:val="es-ES"/>
        </w:rPr>
        <w:t>3.1.1</w:t>
      </w:r>
      <w:r>
        <w:rPr>
          <w:lang w:val="es-ES"/>
        </w:rPr>
        <w:tab/>
        <w:t>Saturación de la etapa de entrada</w:t>
      </w:r>
    </w:p>
    <w:p w:rsidR="00697F2E" w:rsidRDefault="00697F2E" w:rsidP="006461D1">
      <w:pPr>
        <w:rPr>
          <w:lang w:val="es-ES"/>
        </w:rPr>
      </w:pPr>
      <w:r>
        <w:rPr>
          <w:lang w:val="es-ES"/>
        </w:rPr>
        <w:t xml:space="preserve">Este mecanismo de interferencia se produce cuando la energía de una señal no deseada satura el ABR de la etapa de entrada el receptor del radar provocando la compresión de ganancia de la señal deseada, lo que es suficiente para degradar el funcionamiento de los receptores de umbral de entrada en el cual se produce la sobrecarga de la etapa de entrada determinado por el nivel de </w:t>
      </w:r>
      <w:r w:rsidR="006461D1">
        <w:rPr>
          <w:lang w:val="es-ES"/>
        </w:rPr>
        <w:t>1 dB</w:t>
      </w:r>
      <w:r>
        <w:rPr>
          <w:lang w:val="es-ES"/>
        </w:rPr>
        <w:t xml:space="preserve"> de compresión de ganancia (saturación) y la ganancia de la etapa de entrada del receptor. En el caso de un receptor de radar con un ancho de banda de RF de la etapa de entrada, </w:t>
      </w:r>
      <w:r>
        <w:rPr>
          <w:i/>
          <w:iCs/>
          <w:lang w:val="es-ES"/>
        </w:rPr>
        <w:t>B</w:t>
      </w:r>
      <w:r>
        <w:rPr>
          <w:i/>
          <w:iCs/>
          <w:vertAlign w:val="subscript"/>
          <w:lang w:val="es-ES"/>
        </w:rPr>
        <w:t>RF</w:t>
      </w:r>
      <w:r>
        <w:rPr>
          <w:lang w:val="es-ES"/>
        </w:rPr>
        <w:t xml:space="preserve">, y </w:t>
      </w:r>
      <w:r w:rsidR="006461D1">
        <w:rPr>
          <w:lang w:val="es-ES"/>
        </w:rPr>
        <w:t>1 dB</w:t>
      </w:r>
      <w:r>
        <w:rPr>
          <w:lang w:val="es-ES"/>
        </w:rPr>
        <w:t xml:space="preserve"> de potencia de compresión, </w:t>
      </w:r>
      <w:r>
        <w:rPr>
          <w:i/>
          <w:iCs/>
          <w:lang w:val="es-ES"/>
        </w:rPr>
        <w:t>P</w:t>
      </w:r>
      <w:r w:rsidR="006461D1">
        <w:rPr>
          <w:vertAlign w:val="subscript"/>
          <w:lang w:val="es-ES"/>
        </w:rPr>
        <w:t>1 dB</w:t>
      </w:r>
      <w:r>
        <w:rPr>
          <w:vertAlign w:val="subscript"/>
          <w:lang w:val="es-ES"/>
        </w:rPr>
        <w:t xml:space="preserve"> </w:t>
      </w:r>
      <w:r>
        <w:rPr>
          <w:lang w:val="es-ES"/>
        </w:rPr>
        <w:t xml:space="preserve">(dBm) la potencia de interferencia total dentro de </w:t>
      </w:r>
      <w:r>
        <w:rPr>
          <w:i/>
          <w:iCs/>
          <w:lang w:val="es-ES"/>
        </w:rPr>
        <w:t>B</w:t>
      </w:r>
      <w:r>
        <w:rPr>
          <w:i/>
          <w:iCs/>
          <w:vertAlign w:val="subscript"/>
          <w:lang w:val="es-ES"/>
        </w:rPr>
        <w:t>RF</w:t>
      </w:r>
      <w:r>
        <w:rPr>
          <w:lang w:val="es-ES"/>
        </w:rPr>
        <w:t xml:space="preserve"> que entra al receptor del radar no debe exceder de:</w:t>
      </w:r>
    </w:p>
    <w:p w:rsidR="00697F2E" w:rsidRDefault="00697F2E" w:rsidP="003E2085">
      <w:pPr>
        <w:pStyle w:val="Equation"/>
        <w:rPr>
          <w:lang w:val="en-US"/>
        </w:rPr>
      </w:pPr>
      <w:r>
        <w:rPr>
          <w:lang w:val="es-ES"/>
        </w:rPr>
        <w:tab/>
      </w:r>
      <w:r>
        <w:rPr>
          <w:lang w:val="es-ES"/>
        </w:rPr>
        <w:tab/>
      </w:r>
      <w:r>
        <w:rPr>
          <w:i/>
          <w:iCs/>
          <w:lang w:val="en-US"/>
        </w:rPr>
        <w:t>P</w:t>
      </w:r>
      <w:r>
        <w:rPr>
          <w:i/>
          <w:iCs/>
          <w:sz w:val="28"/>
          <w:vertAlign w:val="subscript"/>
          <w:lang w:val="en-US"/>
        </w:rPr>
        <w:t>I, RF</w:t>
      </w:r>
      <w:r w:rsidRPr="004F27EF">
        <w:rPr>
          <w:i/>
          <w:iCs/>
          <w:sz w:val="12"/>
          <w:szCs w:val="12"/>
          <w:vertAlign w:val="subscript"/>
          <w:lang w:val="en-US"/>
        </w:rPr>
        <w:t xml:space="preserve"> </w:t>
      </w:r>
      <w:r>
        <w:rPr>
          <w:i/>
          <w:iCs/>
          <w:sz w:val="28"/>
          <w:vertAlign w:val="subscript"/>
          <w:lang w:val="en-US"/>
        </w:rPr>
        <w:t>máx</w:t>
      </w:r>
      <w:r>
        <w:rPr>
          <w:lang w:val="en-US"/>
        </w:rPr>
        <w:t xml:space="preserve"> = </w:t>
      </w:r>
      <w:r>
        <w:rPr>
          <w:i/>
          <w:iCs/>
          <w:lang w:val="en-US"/>
        </w:rPr>
        <w:t>P</w:t>
      </w:r>
      <w:r w:rsidR="006461D1">
        <w:rPr>
          <w:sz w:val="28"/>
          <w:vertAlign w:val="subscript"/>
          <w:lang w:val="en-US"/>
        </w:rPr>
        <w:t>1 dB</w:t>
      </w:r>
      <w:r>
        <w:rPr>
          <w:lang w:val="en-US"/>
        </w:rPr>
        <w:t xml:space="preserve"> + </w:t>
      </w:r>
      <w:r>
        <w:rPr>
          <w:i/>
          <w:iCs/>
          <w:lang w:val="en-US"/>
        </w:rPr>
        <w:t>k</w:t>
      </w:r>
      <w:r>
        <w:rPr>
          <w:i/>
          <w:iCs/>
          <w:sz w:val="28"/>
          <w:vertAlign w:val="subscript"/>
          <w:lang w:val="en-US"/>
        </w:rPr>
        <w:t>sat</w:t>
      </w:r>
      <w:r>
        <w:rPr>
          <w:lang w:val="en-US"/>
        </w:rPr>
        <w:t xml:space="preserve"> = </w:t>
      </w:r>
      <w:r>
        <w:rPr>
          <w:i/>
          <w:iCs/>
          <w:lang w:val="en-US"/>
        </w:rPr>
        <w:t>C</w:t>
      </w:r>
      <w:r>
        <w:rPr>
          <w:lang w:val="en-US"/>
        </w:rPr>
        <w:t xml:space="preserve"> – </w:t>
      </w:r>
      <w:r>
        <w:rPr>
          <w:i/>
          <w:iCs/>
          <w:lang w:val="en-US"/>
        </w:rPr>
        <w:t>G</w:t>
      </w:r>
      <w:r>
        <w:rPr>
          <w:lang w:val="en-US"/>
        </w:rPr>
        <w:t xml:space="preserve"> + </w:t>
      </w:r>
      <w:r>
        <w:rPr>
          <w:i/>
          <w:iCs/>
          <w:lang w:val="en-US"/>
        </w:rPr>
        <w:t>k</w:t>
      </w:r>
      <w:r>
        <w:rPr>
          <w:i/>
          <w:iCs/>
          <w:sz w:val="28"/>
          <w:vertAlign w:val="subscript"/>
          <w:lang w:val="en-US"/>
        </w:rPr>
        <w:t>sat</w:t>
      </w:r>
      <w:r>
        <w:rPr>
          <w:lang w:val="en-US"/>
        </w:rPr>
        <w:t>                dBm</w:t>
      </w:r>
      <w:r>
        <w:rPr>
          <w:lang w:val="en-US"/>
        </w:rPr>
        <w:tab/>
        <w:t>(12)</w:t>
      </w:r>
    </w:p>
    <w:p w:rsidR="00697F2E" w:rsidRDefault="00697F2E" w:rsidP="00697F2E">
      <w:pPr>
        <w:keepNext/>
        <w:rPr>
          <w:lang w:val="es-ES"/>
        </w:rPr>
      </w:pPr>
      <w:r>
        <w:rPr>
          <w:lang w:val="es-ES"/>
        </w:rPr>
        <w:t>donde:</w:t>
      </w:r>
    </w:p>
    <w:p w:rsidR="00697F2E" w:rsidRDefault="00697F2E" w:rsidP="004F27EF">
      <w:pPr>
        <w:pStyle w:val="Equationlegend"/>
        <w:rPr>
          <w:lang w:val="es-ES"/>
        </w:rPr>
      </w:pPr>
      <w:r>
        <w:rPr>
          <w:lang w:val="es-ES"/>
        </w:rPr>
        <w:tab/>
      </w:r>
      <w:r>
        <w:rPr>
          <w:i/>
          <w:iCs/>
          <w:lang w:val="es-ES"/>
        </w:rPr>
        <w:t>P</w:t>
      </w:r>
      <w:r>
        <w:rPr>
          <w:i/>
          <w:iCs/>
          <w:vertAlign w:val="subscript"/>
          <w:lang w:val="es-ES"/>
        </w:rPr>
        <w:t>I, RF</w:t>
      </w:r>
      <w:r w:rsidR="004F27EF" w:rsidRPr="004F27EF">
        <w:rPr>
          <w:i/>
          <w:iCs/>
          <w:sz w:val="12"/>
          <w:szCs w:val="12"/>
          <w:vertAlign w:val="subscript"/>
          <w:lang w:val="es-ES"/>
        </w:rPr>
        <w:t xml:space="preserve"> </w:t>
      </w:r>
      <w:r>
        <w:rPr>
          <w:i/>
          <w:iCs/>
          <w:vertAlign w:val="subscript"/>
          <w:lang w:val="es-ES"/>
        </w:rPr>
        <w:t>máx</w:t>
      </w:r>
      <w:r>
        <w:rPr>
          <w:lang w:val="es-ES"/>
        </w:rPr>
        <w:t>:</w:t>
      </w:r>
      <w:r>
        <w:rPr>
          <w:lang w:val="es-ES"/>
        </w:rPr>
        <w:tab/>
        <w:t>potencia de interferencia total máxima admitida dentro del ancho de banda de RF (dBm)</w:t>
      </w:r>
    </w:p>
    <w:p w:rsidR="00697F2E" w:rsidRDefault="00697F2E" w:rsidP="00697F2E">
      <w:pPr>
        <w:pStyle w:val="Equationlegend"/>
        <w:rPr>
          <w:lang w:val="es-ES"/>
        </w:rPr>
      </w:pPr>
      <w:r>
        <w:rPr>
          <w:lang w:val="es-ES"/>
        </w:rPr>
        <w:tab/>
      </w:r>
      <w:r>
        <w:rPr>
          <w:i/>
          <w:iCs/>
          <w:lang w:val="es-ES"/>
        </w:rPr>
        <w:t>k</w:t>
      </w:r>
      <w:r>
        <w:rPr>
          <w:i/>
          <w:iCs/>
          <w:vertAlign w:val="subscript"/>
          <w:lang w:val="es-ES"/>
        </w:rPr>
        <w:t>sat</w:t>
      </w:r>
      <w:r>
        <w:rPr>
          <w:lang w:val="es-ES"/>
        </w:rPr>
        <w:t>:</w:t>
      </w:r>
      <w:r>
        <w:rPr>
          <w:lang w:val="es-ES"/>
        </w:rPr>
        <w:tab/>
        <w:t>margen de saturación (dB), que ha de ser determinado individualmente para cada radar y tipo de interferencia (</w:t>
      </w:r>
      <w:r>
        <w:rPr>
          <w:i/>
          <w:iCs/>
          <w:lang w:val="es-ES"/>
        </w:rPr>
        <w:t>k</w:t>
      </w:r>
      <w:r>
        <w:rPr>
          <w:i/>
          <w:iCs/>
          <w:vertAlign w:val="subscript"/>
          <w:lang w:val="es-ES"/>
        </w:rPr>
        <w:t>sat</w:t>
      </w:r>
      <w:r>
        <w:rPr>
          <w:lang w:val="es-ES"/>
        </w:rPr>
        <w:t xml:space="preserve"> es generalmente negativo)</w:t>
      </w:r>
    </w:p>
    <w:p w:rsidR="00697F2E" w:rsidRDefault="00697F2E" w:rsidP="00697F2E">
      <w:pPr>
        <w:pStyle w:val="Equationlegend"/>
        <w:rPr>
          <w:lang w:val="es-ES"/>
        </w:rPr>
      </w:pPr>
      <w:r>
        <w:rPr>
          <w:lang w:val="es-ES"/>
        </w:rPr>
        <w:tab/>
      </w:r>
      <w:r>
        <w:rPr>
          <w:i/>
          <w:iCs/>
          <w:lang w:val="es-ES"/>
        </w:rPr>
        <w:t>P</w:t>
      </w:r>
      <w:r w:rsidR="006461D1">
        <w:rPr>
          <w:vertAlign w:val="subscript"/>
          <w:lang w:val="es-ES"/>
        </w:rPr>
        <w:t>1 dB</w:t>
      </w:r>
      <w:r>
        <w:rPr>
          <w:lang w:val="es-ES"/>
        </w:rPr>
        <w:t>:</w:t>
      </w:r>
      <w:r>
        <w:rPr>
          <w:lang w:val="es-ES"/>
        </w:rPr>
        <w:tab/>
        <w:t xml:space="preserve">se define como el punto de compresión a </w:t>
      </w:r>
      <w:r w:rsidR="006461D1">
        <w:rPr>
          <w:lang w:val="es-ES"/>
        </w:rPr>
        <w:t>1 dB</w:t>
      </w:r>
      <w:r>
        <w:rPr>
          <w:lang w:val="es-ES"/>
        </w:rPr>
        <w:t xml:space="preserve"> de potencia de entrada (dBm), es decir, cuando la ganancia de toda la cadena del receptor ha disminuido en </w:t>
      </w:r>
      <w:r w:rsidR="006461D1">
        <w:rPr>
          <w:lang w:val="es-ES"/>
        </w:rPr>
        <w:t>1 dB</w:t>
      </w:r>
    </w:p>
    <w:p w:rsidR="00697F2E" w:rsidRDefault="00697F2E" w:rsidP="00697F2E">
      <w:pPr>
        <w:pStyle w:val="Equationlegend"/>
        <w:rPr>
          <w:lang w:val="es-ES"/>
        </w:rPr>
      </w:pPr>
      <w:r>
        <w:rPr>
          <w:lang w:val="es-ES"/>
        </w:rPr>
        <w:tab/>
      </w:r>
      <w:r>
        <w:rPr>
          <w:i/>
          <w:lang w:val="es-ES"/>
        </w:rPr>
        <w:t>C</w:t>
      </w:r>
      <w:r>
        <w:rPr>
          <w:iCs/>
          <w:lang w:val="es-ES"/>
        </w:rPr>
        <w:t>:</w:t>
      </w:r>
      <w:r>
        <w:rPr>
          <w:lang w:val="es-ES"/>
        </w:rPr>
        <w:tab/>
        <w:t xml:space="preserve">nivel a </w:t>
      </w:r>
      <w:r w:rsidR="006461D1">
        <w:rPr>
          <w:lang w:val="es-ES"/>
        </w:rPr>
        <w:t>1 dB</w:t>
      </w:r>
      <w:r>
        <w:rPr>
          <w:lang w:val="es-ES"/>
        </w:rPr>
        <w:t xml:space="preserve"> de compresión de ganancia (saturación) de la etapa de entrada del receptor o del o ABR (dBm)</w:t>
      </w:r>
    </w:p>
    <w:p w:rsidR="00697F2E" w:rsidRDefault="00697F2E" w:rsidP="00697F2E">
      <w:pPr>
        <w:pStyle w:val="Equationlegend"/>
        <w:rPr>
          <w:lang w:val="es-ES"/>
        </w:rPr>
      </w:pPr>
      <w:r>
        <w:rPr>
          <w:lang w:val="es-ES"/>
        </w:rPr>
        <w:tab/>
      </w:r>
      <w:r>
        <w:rPr>
          <w:i/>
          <w:lang w:val="es-ES"/>
        </w:rPr>
        <w:t>G</w:t>
      </w:r>
      <w:r>
        <w:rPr>
          <w:iCs/>
          <w:lang w:val="es-ES"/>
        </w:rPr>
        <w:t>:</w:t>
      </w:r>
      <w:r>
        <w:rPr>
          <w:lang w:val="es-ES"/>
        </w:rPr>
        <w:tab/>
        <w:t>ganancia en la etapa de entrada del receptor en la frecuencia fundamental de la fuente de interferencia potencial (dB).</w:t>
      </w:r>
    </w:p>
    <w:p w:rsidR="00697F2E" w:rsidRDefault="00697F2E" w:rsidP="004F27EF">
      <w:pPr>
        <w:rPr>
          <w:lang w:val="es-ES"/>
        </w:rPr>
      </w:pPr>
      <w:r>
        <w:rPr>
          <w:lang w:val="es-ES"/>
        </w:rPr>
        <w:t>Por ejemplo, si los receptores usan ABR con ganancia de 60</w:t>
      </w:r>
      <w:r w:rsidR="006461D1">
        <w:rPr>
          <w:lang w:val="es-ES"/>
        </w:rPr>
        <w:t> </w:t>
      </w:r>
      <w:r>
        <w:rPr>
          <w:lang w:val="es-ES"/>
        </w:rPr>
        <w:t>dB y tienen un nivel de compresión a </w:t>
      </w:r>
      <w:r w:rsidR="006461D1">
        <w:rPr>
          <w:lang w:val="es-ES"/>
        </w:rPr>
        <w:t>1 dB</w:t>
      </w:r>
      <w:r>
        <w:rPr>
          <w:lang w:val="es-ES"/>
        </w:rPr>
        <w:t xml:space="preserve"> de salida de +10 dBm, el valor para </w:t>
      </w:r>
      <w:r>
        <w:rPr>
          <w:i/>
          <w:iCs/>
          <w:lang w:val="es-ES"/>
        </w:rPr>
        <w:t>P</w:t>
      </w:r>
      <w:r w:rsidR="006461D1">
        <w:rPr>
          <w:vertAlign w:val="subscript"/>
          <w:lang w:val="es-ES"/>
        </w:rPr>
        <w:t>1 dB</w:t>
      </w:r>
      <w:r>
        <w:rPr>
          <w:lang w:val="es-ES"/>
        </w:rPr>
        <w:t xml:space="preserve"> es 10 </w:t>
      </w:r>
      <w:r w:rsidR="004F27EF">
        <w:rPr>
          <w:lang w:val="es-ES"/>
        </w:rPr>
        <w:t xml:space="preserve">– </w:t>
      </w:r>
      <w:r>
        <w:rPr>
          <w:lang w:val="es-ES"/>
        </w:rPr>
        <w:t xml:space="preserve">60 </w:t>
      </w:r>
      <w:r w:rsidR="004F27EF" w:rsidRPr="004F27EF">
        <w:rPr>
          <w:lang w:val="es-ES_tradnl"/>
        </w:rPr>
        <w:t>=</w:t>
      </w:r>
      <w:r>
        <w:rPr>
          <w:lang w:val="es-ES"/>
        </w:rPr>
        <w:t xml:space="preserve"> </w:t>
      </w:r>
      <w:r w:rsidR="004F27EF">
        <w:rPr>
          <w:lang w:val="es-ES"/>
        </w:rPr>
        <w:t>–</w:t>
      </w:r>
      <w:r>
        <w:rPr>
          <w:lang w:val="es-ES"/>
        </w:rPr>
        <w:t>50 dBm.</w:t>
      </w:r>
    </w:p>
    <w:p w:rsidR="00697F2E" w:rsidRDefault="00697F2E" w:rsidP="00697F2E">
      <w:pPr>
        <w:rPr>
          <w:lang w:val="es-ES"/>
        </w:rPr>
      </w:pPr>
      <w:r>
        <w:rPr>
          <w:lang w:val="es-ES"/>
        </w:rPr>
        <w:t>Es esencial cumplir la ecuación (12) para evitar que el receptor llegue al nivel de saturación o próximo a éste, y mantener así la gama dinámica suficiente para la propia señal de eco del radar. Además, la fracción de potencia de interferencia que cae en la ancho de banda FI del receptor del radar debe satisfacer también los requisitos establecidos en las Recomendaciones de la UIT.</w:t>
      </w:r>
    </w:p>
    <w:p w:rsidR="00697F2E" w:rsidRDefault="00697F2E" w:rsidP="00697F2E">
      <w:pPr>
        <w:rPr>
          <w:lang w:val="es-ES"/>
        </w:rPr>
      </w:pPr>
      <w:r>
        <w:rPr>
          <w:lang w:val="es-ES"/>
        </w:rPr>
        <w:t>La posibilidad de interferencia producida por sobrecarga de la etapa de entrada del receptor existirá siempre que:</w:t>
      </w:r>
    </w:p>
    <w:p w:rsidR="00697F2E" w:rsidRPr="004F27EF" w:rsidRDefault="00697F2E" w:rsidP="004F27EF">
      <w:pPr>
        <w:pStyle w:val="Equation"/>
        <w:rPr>
          <w:rFonts w:ascii="Arial" w:hAnsi="Arial" w:cs="Arial"/>
          <w:i/>
          <w:iCs/>
          <w:lang w:val="en-US"/>
        </w:rPr>
      </w:pPr>
      <w:r w:rsidRPr="00392E7E">
        <w:rPr>
          <w:lang w:val="es-ES_tradnl"/>
        </w:rPr>
        <w:tab/>
      </w:r>
      <w:r w:rsidRPr="00392E7E">
        <w:rPr>
          <w:lang w:val="es-ES_tradnl"/>
        </w:rPr>
        <w:tab/>
      </w:r>
      <w:r w:rsidR="004F27EF" w:rsidRPr="004F27EF">
        <w:rPr>
          <w:i/>
          <w:lang w:val="en-US"/>
        </w:rPr>
        <w:t>I</w:t>
      </w:r>
      <w:r w:rsidR="004F27EF" w:rsidRPr="004F27EF">
        <w:rPr>
          <w:i/>
          <w:iCs/>
          <w:vertAlign w:val="subscript"/>
          <w:lang w:val="en-US"/>
        </w:rPr>
        <w:t>T</w:t>
      </w:r>
      <w:r w:rsidR="004F27EF" w:rsidRPr="004F27EF">
        <w:rPr>
          <w:lang w:val="en-US"/>
        </w:rPr>
        <w:t xml:space="preserve"> </w:t>
      </w:r>
      <w:r w:rsidR="004F27EF">
        <w:rPr>
          <w:lang w:val="en-US"/>
        </w:rPr>
        <w:t xml:space="preserve">&gt; </w:t>
      </w:r>
      <w:r w:rsidR="004F27EF" w:rsidRPr="004F27EF">
        <w:rPr>
          <w:i/>
          <w:iCs/>
          <w:lang w:val="en-US"/>
        </w:rPr>
        <w:t>P</w:t>
      </w:r>
      <w:r w:rsidR="004F27EF" w:rsidRPr="004F27EF">
        <w:rPr>
          <w:i/>
          <w:iCs/>
          <w:vertAlign w:val="subscript"/>
          <w:lang w:val="en-US"/>
        </w:rPr>
        <w:t>I, RF</w:t>
      </w:r>
      <w:r w:rsidR="004F27EF" w:rsidRPr="004F27EF">
        <w:rPr>
          <w:i/>
          <w:iCs/>
          <w:sz w:val="12"/>
          <w:szCs w:val="12"/>
          <w:vertAlign w:val="subscript"/>
          <w:lang w:val="en-US"/>
        </w:rPr>
        <w:t xml:space="preserve"> </w:t>
      </w:r>
      <w:r w:rsidR="004F27EF" w:rsidRPr="004F27EF">
        <w:rPr>
          <w:i/>
          <w:iCs/>
          <w:vertAlign w:val="subscript"/>
          <w:lang w:val="en-US"/>
        </w:rPr>
        <w:t>máx</w:t>
      </w:r>
      <w:r w:rsidR="004F27EF">
        <w:rPr>
          <w:lang w:val="en-US"/>
        </w:rPr>
        <w:t xml:space="preserve"> </w:t>
      </w:r>
      <w:r w:rsidR="004F27EF" w:rsidRPr="004F27EF">
        <w:rPr>
          <w:lang w:val="en-US"/>
        </w:rPr>
        <w:t xml:space="preserve">– </w:t>
      </w:r>
      <w:r w:rsidR="004F27EF" w:rsidRPr="003A1F43">
        <w:rPr>
          <w:i/>
          <w:iCs/>
          <w:lang w:val="en-US"/>
        </w:rPr>
        <w:t>FDR</w:t>
      </w:r>
      <w:r w:rsidR="004F27EF">
        <w:rPr>
          <w:i/>
          <w:iCs/>
          <w:vertAlign w:val="subscript"/>
          <w:lang w:val="en-US"/>
        </w:rPr>
        <w:t>RF</w:t>
      </w:r>
      <w:r w:rsidRPr="004F27EF">
        <w:rPr>
          <w:lang w:val="en-US"/>
        </w:rPr>
        <w:tab/>
        <w:t>(13)</w:t>
      </w:r>
    </w:p>
    <w:p w:rsidR="00697F2E" w:rsidRDefault="00697F2E" w:rsidP="00697F2E">
      <w:pPr>
        <w:rPr>
          <w:lang w:val="es-ES"/>
        </w:rPr>
      </w:pPr>
      <w:r>
        <w:rPr>
          <w:lang w:val="es-ES"/>
        </w:rPr>
        <w:t>donde:</w:t>
      </w:r>
    </w:p>
    <w:p w:rsidR="00697F2E" w:rsidRDefault="00697F2E" w:rsidP="00697F2E">
      <w:pPr>
        <w:pStyle w:val="Equationlegend"/>
        <w:rPr>
          <w:lang w:val="es-ES"/>
        </w:rPr>
      </w:pPr>
      <w:r>
        <w:rPr>
          <w:lang w:val="es-ES"/>
        </w:rPr>
        <w:tab/>
      </w:r>
      <w:r>
        <w:rPr>
          <w:i/>
          <w:lang w:val="es-ES"/>
        </w:rPr>
        <w:t>I</w:t>
      </w:r>
      <w:r w:rsidRPr="00392E7E">
        <w:rPr>
          <w:i/>
          <w:iCs/>
          <w:vertAlign w:val="subscript"/>
          <w:lang w:val="es-ES_tradnl"/>
        </w:rPr>
        <w:t>T</w:t>
      </w:r>
      <w:r>
        <w:rPr>
          <w:lang w:val="es-ES"/>
        </w:rPr>
        <w:t>:</w:t>
      </w:r>
      <w:r>
        <w:rPr>
          <w:lang w:val="es-ES"/>
        </w:rPr>
        <w:tab/>
        <w:t>nivel de la señal de interferencia a la entrada del receptor que causa sobrecarga de la unidad (dBm)</w:t>
      </w:r>
    </w:p>
    <w:p w:rsidR="00697F2E" w:rsidRDefault="00697F2E" w:rsidP="00697F2E">
      <w:pPr>
        <w:pStyle w:val="Equationlegend"/>
        <w:rPr>
          <w:lang w:val="es-ES"/>
        </w:rPr>
      </w:pPr>
      <w:r>
        <w:rPr>
          <w:lang w:val="es-ES"/>
        </w:rPr>
        <w:tab/>
      </w:r>
      <w:r>
        <w:rPr>
          <w:i/>
          <w:lang w:val="es-ES"/>
        </w:rPr>
        <w:t>FDR</w:t>
      </w:r>
      <w:r w:rsidRPr="00392E7E">
        <w:rPr>
          <w:i/>
          <w:iCs/>
          <w:vertAlign w:val="subscript"/>
          <w:lang w:val="es-ES_tradnl"/>
        </w:rPr>
        <w:t>RF</w:t>
      </w:r>
      <w:r>
        <w:rPr>
          <w:lang w:val="es-ES"/>
        </w:rPr>
        <w:t>:</w:t>
      </w:r>
      <w:r>
        <w:rPr>
          <w:lang w:val="es-ES"/>
        </w:rPr>
        <w:tab/>
        <w:t>rechazo dependiente de la frecuencia de la fuente de interferencia producido por cualquier selectividad de RF anterior al amplificador (ABR) RF del receptor o que pueda ser inherente al propio amplificador RF.</w:t>
      </w:r>
    </w:p>
    <w:p w:rsidR="00697F2E" w:rsidRDefault="00697F2E" w:rsidP="00697F2E">
      <w:pPr>
        <w:rPr>
          <w:lang w:val="es-ES"/>
        </w:rPr>
      </w:pPr>
      <w:r>
        <w:rPr>
          <w:lang w:val="es-ES"/>
        </w:rPr>
        <w:t xml:space="preserve">La potencia de interferencia recibida, combinada en toda la ancho de banda RF, no debe ser superior al nivel que causa potencia de salida de ese elemento particular en la cadena del receptor que va primero en saturación para retener una separación suficiente por debajo del punto de compresión de </w:t>
      </w:r>
      <w:r w:rsidR="006461D1">
        <w:rPr>
          <w:lang w:val="es-ES"/>
        </w:rPr>
        <w:t>1 dB</w:t>
      </w:r>
      <w:r>
        <w:rPr>
          <w:lang w:val="es-ES"/>
        </w:rPr>
        <w:t xml:space="preserve">. Esto es para limitar la reducción de la gama dinámica y evitar productos de intermodulación de tercer orden que rebasen la </w:t>
      </w:r>
      <w:r>
        <w:rPr>
          <w:i/>
          <w:iCs/>
          <w:lang w:val="es-ES"/>
        </w:rPr>
        <w:t>I</w:t>
      </w:r>
      <w:r>
        <w:rPr>
          <w:lang w:val="es-ES"/>
        </w:rPr>
        <w:t>/</w:t>
      </w:r>
      <w:r>
        <w:rPr>
          <w:i/>
          <w:iCs/>
          <w:lang w:val="es-ES"/>
        </w:rPr>
        <w:t>N</w:t>
      </w:r>
      <w:r>
        <w:rPr>
          <w:lang w:val="es-ES"/>
        </w:rPr>
        <w:t xml:space="preserve"> aceptable en la ancho de banda FI del receptor.</w:t>
      </w:r>
    </w:p>
    <w:p w:rsidR="00697F2E" w:rsidRDefault="00697F2E" w:rsidP="00697F2E">
      <w:pPr>
        <w:rPr>
          <w:lang w:val="es-ES"/>
        </w:rPr>
      </w:pPr>
      <w:r>
        <w:rPr>
          <w:lang w:val="es-ES"/>
        </w:rPr>
        <w:t>La ecuación (13) se puede utilizar para determinar el nivel de la señal de interferencia a la entrada de la primera etapa del amplificador de la cadena del receptor cuando las fuentes de interferencia funcionan a una determinada distancia de otras estaciones y están separadas en frecuencia por ciertos valores, pero están dentro del ancho de banda RF del receptor:</w:t>
      </w:r>
    </w:p>
    <w:p w:rsidR="00697F2E" w:rsidRDefault="00697F2E" w:rsidP="00697F2E">
      <w:pPr>
        <w:pStyle w:val="Equation"/>
        <w:rPr>
          <w:lang w:val="sv-SE"/>
        </w:rPr>
      </w:pPr>
      <w:r w:rsidRPr="00392E7E">
        <w:rPr>
          <w:lang w:val="es-ES_tradnl"/>
        </w:rPr>
        <w:tab/>
      </w:r>
      <w:r w:rsidRPr="00392E7E">
        <w:rPr>
          <w:lang w:val="es-ES_tradnl"/>
        </w:rPr>
        <w:tab/>
      </w:r>
      <w:r>
        <w:rPr>
          <w:i/>
          <w:iCs/>
          <w:lang w:val="sv-SE"/>
        </w:rPr>
        <w:t>I</w:t>
      </w:r>
      <w:r>
        <w:rPr>
          <w:lang w:val="sv-SE"/>
        </w:rPr>
        <w:t xml:space="preserve"> = </w:t>
      </w:r>
      <w:r>
        <w:rPr>
          <w:i/>
          <w:iCs/>
          <w:spacing w:val="-20"/>
          <w:lang w:val="sv-SE"/>
        </w:rPr>
        <w:t>P</w:t>
      </w:r>
      <w:r>
        <w:rPr>
          <w:i/>
          <w:iCs/>
          <w:spacing w:val="-20"/>
          <w:sz w:val="28"/>
          <w:szCs w:val="28"/>
          <w:vertAlign w:val="subscript"/>
          <w:lang w:val="en-US"/>
        </w:rPr>
        <w:t>T</w:t>
      </w:r>
      <w:r>
        <w:rPr>
          <w:lang w:val="sv-SE"/>
        </w:rPr>
        <w:t xml:space="preserve"> + </w:t>
      </w:r>
      <w:r>
        <w:rPr>
          <w:i/>
          <w:iCs/>
          <w:lang w:val="sv-SE"/>
        </w:rPr>
        <w:t>G</w:t>
      </w:r>
      <w:r>
        <w:rPr>
          <w:i/>
          <w:iCs/>
          <w:sz w:val="28"/>
          <w:szCs w:val="28"/>
          <w:vertAlign w:val="subscript"/>
          <w:lang w:val="en-US"/>
        </w:rPr>
        <w:t>T</w:t>
      </w:r>
      <w:r>
        <w:rPr>
          <w:lang w:val="sv-SE"/>
        </w:rPr>
        <w:t xml:space="preserve"> + </w:t>
      </w:r>
      <w:r>
        <w:rPr>
          <w:i/>
          <w:iCs/>
          <w:lang w:val="sv-SE"/>
        </w:rPr>
        <w:t>G</w:t>
      </w:r>
      <w:r>
        <w:rPr>
          <w:i/>
          <w:iCs/>
          <w:sz w:val="28"/>
          <w:szCs w:val="28"/>
          <w:vertAlign w:val="subscript"/>
          <w:lang w:val="en-US"/>
        </w:rPr>
        <w:t>R</w:t>
      </w:r>
      <w:r>
        <w:rPr>
          <w:lang w:val="sv-SE"/>
        </w:rPr>
        <w:t xml:space="preserve"> – </w:t>
      </w:r>
      <w:r>
        <w:rPr>
          <w:i/>
          <w:iCs/>
          <w:lang w:val="sv-SE"/>
        </w:rPr>
        <w:t>L</w:t>
      </w:r>
      <w:r>
        <w:rPr>
          <w:i/>
          <w:iCs/>
          <w:sz w:val="28"/>
          <w:szCs w:val="28"/>
          <w:vertAlign w:val="subscript"/>
          <w:lang w:val="sv-SE"/>
        </w:rPr>
        <w:t>t</w:t>
      </w:r>
      <w:r>
        <w:rPr>
          <w:lang w:val="sv-SE"/>
        </w:rPr>
        <w:t xml:space="preserve"> – </w:t>
      </w:r>
      <w:r>
        <w:rPr>
          <w:i/>
          <w:iCs/>
          <w:lang w:val="sv-SE"/>
        </w:rPr>
        <w:t>L</w:t>
      </w:r>
      <w:r>
        <w:rPr>
          <w:i/>
          <w:iCs/>
          <w:sz w:val="28"/>
          <w:szCs w:val="28"/>
          <w:vertAlign w:val="subscript"/>
          <w:lang w:val="en-US"/>
        </w:rPr>
        <w:t>R</w:t>
      </w:r>
      <w:r>
        <w:rPr>
          <w:lang w:val="sv-SE"/>
        </w:rPr>
        <w:t xml:space="preserve"> – </w:t>
      </w:r>
      <w:r>
        <w:rPr>
          <w:i/>
          <w:iCs/>
          <w:lang w:val="sv-SE"/>
        </w:rPr>
        <w:t>L</w:t>
      </w:r>
      <w:r>
        <w:rPr>
          <w:i/>
          <w:iCs/>
          <w:sz w:val="28"/>
          <w:szCs w:val="28"/>
          <w:vertAlign w:val="subscript"/>
          <w:lang w:val="en-US"/>
        </w:rPr>
        <w:t>P</w:t>
      </w:r>
      <w:r>
        <w:rPr>
          <w:lang w:val="sv-SE"/>
        </w:rPr>
        <w:tab/>
        <w:t>(14)</w:t>
      </w:r>
    </w:p>
    <w:p w:rsidR="00697F2E" w:rsidRDefault="00697F2E" w:rsidP="00697F2E">
      <w:pPr>
        <w:rPr>
          <w:lang w:val="es-ES"/>
        </w:rPr>
      </w:pPr>
      <w:r>
        <w:rPr>
          <w:lang w:val="es-ES"/>
        </w:rPr>
        <w:t>donde:</w:t>
      </w:r>
    </w:p>
    <w:p w:rsidR="00697F2E" w:rsidRDefault="00697F2E" w:rsidP="00697F2E">
      <w:pPr>
        <w:pStyle w:val="Equationlegend"/>
        <w:rPr>
          <w:lang w:val="es-ES"/>
        </w:rPr>
      </w:pPr>
      <w:r>
        <w:rPr>
          <w:lang w:val="es-ES"/>
        </w:rPr>
        <w:tab/>
      </w:r>
      <w:r>
        <w:rPr>
          <w:i/>
          <w:lang w:val="es-ES"/>
        </w:rPr>
        <w:t>I</w:t>
      </w:r>
      <w:r>
        <w:rPr>
          <w:lang w:val="es-ES"/>
        </w:rPr>
        <w:t>:</w:t>
      </w:r>
      <w:r>
        <w:rPr>
          <w:lang w:val="es-ES"/>
        </w:rPr>
        <w:tab/>
        <w:t>potencia de cresta de la señal de interferencia a la entrada del receptor (dBm)</w:t>
      </w:r>
    </w:p>
    <w:p w:rsidR="00697F2E" w:rsidRDefault="00697F2E" w:rsidP="00697F2E">
      <w:pPr>
        <w:pStyle w:val="Equationlegend"/>
        <w:rPr>
          <w:lang w:val="es-ES"/>
        </w:rPr>
      </w:pPr>
      <w:r>
        <w:rPr>
          <w:lang w:val="es-ES"/>
        </w:rPr>
        <w:tab/>
      </w:r>
      <w:r>
        <w:rPr>
          <w:i/>
          <w:lang w:val="es-ES"/>
        </w:rPr>
        <w:t>P</w:t>
      </w:r>
      <w:r w:rsidRPr="00392E7E">
        <w:rPr>
          <w:i/>
          <w:iCs/>
          <w:vertAlign w:val="subscript"/>
          <w:lang w:val="es-ES_tradnl"/>
        </w:rPr>
        <w:t>T</w:t>
      </w:r>
      <w:r>
        <w:rPr>
          <w:lang w:val="es-ES"/>
        </w:rPr>
        <w:t>:</w:t>
      </w:r>
      <w:r>
        <w:rPr>
          <w:lang w:val="es-ES"/>
        </w:rPr>
        <w:tab/>
        <w:t>potencia de cresta del transmisor fuente de interferencia (dBm)</w:t>
      </w:r>
    </w:p>
    <w:p w:rsidR="00697F2E" w:rsidRDefault="00697F2E" w:rsidP="00697F2E">
      <w:pPr>
        <w:pStyle w:val="Equationlegend"/>
        <w:rPr>
          <w:lang w:val="es-ES"/>
        </w:rPr>
      </w:pPr>
      <w:r>
        <w:rPr>
          <w:lang w:val="es-ES"/>
        </w:rPr>
        <w:tab/>
      </w:r>
      <w:r>
        <w:rPr>
          <w:i/>
          <w:lang w:val="es-ES"/>
        </w:rPr>
        <w:t>G</w:t>
      </w:r>
      <w:r w:rsidRPr="00392E7E">
        <w:rPr>
          <w:i/>
          <w:iCs/>
          <w:vertAlign w:val="subscript"/>
          <w:lang w:val="es-ES_tradnl"/>
        </w:rPr>
        <w:t>T</w:t>
      </w:r>
      <w:r>
        <w:rPr>
          <w:lang w:val="es-ES"/>
        </w:rPr>
        <w:t>:</w:t>
      </w:r>
      <w:r>
        <w:rPr>
          <w:lang w:val="es-ES"/>
        </w:rPr>
        <w:tab/>
        <w:t>ganancia de la antena de la fuente de interferencia en la dirección del radar analizado (dBi)</w:t>
      </w:r>
    </w:p>
    <w:p w:rsidR="00697F2E" w:rsidRDefault="00697F2E" w:rsidP="00697F2E">
      <w:pPr>
        <w:pStyle w:val="Equationlegend"/>
        <w:rPr>
          <w:lang w:val="es-ES"/>
        </w:rPr>
      </w:pPr>
      <w:r>
        <w:rPr>
          <w:lang w:val="es-ES"/>
        </w:rPr>
        <w:tab/>
      </w:r>
      <w:r>
        <w:rPr>
          <w:i/>
          <w:lang w:val="es-ES"/>
        </w:rPr>
        <w:t>G</w:t>
      </w:r>
      <w:r w:rsidRPr="00392E7E">
        <w:rPr>
          <w:i/>
          <w:iCs/>
          <w:vertAlign w:val="subscript"/>
          <w:lang w:val="es-ES_tradnl"/>
        </w:rPr>
        <w:t>R</w:t>
      </w:r>
      <w:r>
        <w:rPr>
          <w:lang w:val="es-ES"/>
        </w:rPr>
        <w:t>:</w:t>
      </w:r>
      <w:r>
        <w:rPr>
          <w:lang w:val="es-ES"/>
        </w:rPr>
        <w:tab/>
        <w:t>ganancia de la antena del receptor en la dirección de la fuente de interferencia (dBi)</w:t>
      </w:r>
    </w:p>
    <w:p w:rsidR="00697F2E" w:rsidRDefault="00697F2E" w:rsidP="00697F2E">
      <w:pPr>
        <w:pStyle w:val="Equationlegend"/>
        <w:rPr>
          <w:lang w:val="es-ES"/>
        </w:rPr>
      </w:pPr>
      <w:r>
        <w:rPr>
          <w:lang w:val="es-ES"/>
        </w:rPr>
        <w:tab/>
      </w:r>
      <w:r>
        <w:rPr>
          <w:i/>
          <w:lang w:val="sv-SE"/>
        </w:rPr>
        <w:t>L</w:t>
      </w:r>
      <w:r>
        <w:rPr>
          <w:i/>
          <w:vertAlign w:val="subscript"/>
          <w:lang w:val="sv-SE"/>
        </w:rPr>
        <w:t>t</w:t>
      </w:r>
      <w:r>
        <w:rPr>
          <w:lang w:val="es-ES"/>
        </w:rPr>
        <w:t xml:space="preserve">: </w:t>
      </w:r>
      <w:r>
        <w:rPr>
          <w:lang w:val="es-ES"/>
        </w:rPr>
        <w:tab/>
        <w:t xml:space="preserve">pérdida de inserción en el transmisor (dB) </w:t>
      </w:r>
    </w:p>
    <w:p w:rsidR="00697F2E" w:rsidRDefault="00697F2E" w:rsidP="00697F2E">
      <w:pPr>
        <w:pStyle w:val="Equationlegend"/>
        <w:rPr>
          <w:lang w:val="es-ES"/>
        </w:rPr>
      </w:pPr>
      <w:r>
        <w:rPr>
          <w:lang w:val="es-ES"/>
        </w:rPr>
        <w:tab/>
      </w:r>
      <w:r>
        <w:rPr>
          <w:i/>
          <w:lang w:val="es-ES"/>
        </w:rPr>
        <w:t>L</w:t>
      </w:r>
      <w:r w:rsidRPr="00392E7E">
        <w:rPr>
          <w:i/>
          <w:iCs/>
          <w:vertAlign w:val="subscript"/>
          <w:lang w:val="es-ES_tradnl"/>
        </w:rPr>
        <w:t>R</w:t>
      </w:r>
      <w:r>
        <w:rPr>
          <w:lang w:val="es-ES"/>
        </w:rPr>
        <w:t>:</w:t>
      </w:r>
      <w:r>
        <w:rPr>
          <w:lang w:val="es-ES"/>
        </w:rPr>
        <w:tab/>
        <w:t>pérdida de inserción en el receptor del radar (dB)</w:t>
      </w:r>
    </w:p>
    <w:p w:rsidR="00697F2E" w:rsidRDefault="00697F2E" w:rsidP="00697F2E">
      <w:pPr>
        <w:pStyle w:val="Equationlegend"/>
        <w:rPr>
          <w:lang w:val="es-ES"/>
        </w:rPr>
      </w:pPr>
      <w:r>
        <w:rPr>
          <w:lang w:val="es-ES"/>
        </w:rPr>
        <w:tab/>
      </w:r>
      <w:r>
        <w:rPr>
          <w:i/>
          <w:lang w:val="es-ES"/>
        </w:rPr>
        <w:t>L</w:t>
      </w:r>
      <w:r w:rsidRPr="00392E7E">
        <w:rPr>
          <w:i/>
          <w:iCs/>
          <w:vertAlign w:val="subscript"/>
          <w:lang w:val="es-ES_tradnl"/>
        </w:rPr>
        <w:t>P</w:t>
      </w:r>
      <w:r>
        <w:rPr>
          <w:lang w:val="es-ES"/>
        </w:rPr>
        <w:t>:</w:t>
      </w:r>
      <w:r>
        <w:rPr>
          <w:lang w:val="es-ES"/>
        </w:rPr>
        <w:tab/>
        <w:t>pérdida de trayecto de propagación entre las antenas transmisora y receptora (dB).</w:t>
      </w:r>
    </w:p>
    <w:p w:rsidR="00697F2E" w:rsidRDefault="00697F2E" w:rsidP="006461D1">
      <w:pPr>
        <w:rPr>
          <w:lang w:val="es-ES"/>
        </w:rPr>
      </w:pPr>
      <w:r>
        <w:rPr>
          <w:lang w:val="es-ES"/>
        </w:rPr>
        <w:t>Para determinar la pérdida por trayecto de propagación se utilizarán modelos de propagación apropiados y el posible acoplamiento indirecto, teniendo en cuenta las alturas de antena y el terreno cuando proceda (véase el §</w:t>
      </w:r>
      <w:r w:rsidR="006461D1">
        <w:rPr>
          <w:lang w:val="es-ES"/>
        </w:rPr>
        <w:t> </w:t>
      </w:r>
      <w:r>
        <w:rPr>
          <w:lang w:val="es-ES"/>
        </w:rPr>
        <w:t xml:space="preserve">3.3). Si la potencia calculada de las fuentes de interferencia combinadas rebasa el umbral en el cual se produce la sobrecarga de la etapa de entrada del receptor, </w:t>
      </w:r>
      <w:r>
        <w:rPr>
          <w:i/>
          <w:lang w:val="es-ES"/>
        </w:rPr>
        <w:t>I</w:t>
      </w:r>
      <w:r w:rsidRPr="00392E7E">
        <w:rPr>
          <w:i/>
          <w:iCs/>
          <w:vertAlign w:val="subscript"/>
          <w:lang w:val="es-ES_tradnl"/>
        </w:rPr>
        <w:t>T</w:t>
      </w:r>
      <w:r>
        <w:rPr>
          <w:lang w:val="es-ES"/>
        </w:rPr>
        <w:t>, se han de tomar las medidas necesarias para asegurar la compatibilidad.</w:t>
      </w:r>
    </w:p>
    <w:p w:rsidR="00697F2E" w:rsidRDefault="00697F2E" w:rsidP="00697F2E">
      <w:pPr>
        <w:pStyle w:val="Heading3"/>
        <w:rPr>
          <w:lang w:val="es-ES"/>
        </w:rPr>
      </w:pPr>
      <w:r>
        <w:rPr>
          <w:lang w:val="es-ES"/>
        </w:rPr>
        <w:t>3.1.2</w:t>
      </w:r>
      <w:r>
        <w:rPr>
          <w:lang w:val="es-ES"/>
        </w:rPr>
        <w:tab/>
        <w:t>Intermodulación</w:t>
      </w:r>
    </w:p>
    <w:p w:rsidR="00697F2E" w:rsidRDefault="00697F2E" w:rsidP="00697F2E">
      <w:pPr>
        <w:rPr>
          <w:lang w:val="es-ES"/>
        </w:rPr>
      </w:pPr>
      <w:r>
        <w:rPr>
          <w:lang w:val="es-ES"/>
        </w:rPr>
        <w:t xml:space="preserve">Para un receptor de radar con un gran ancho de banda de etapa de entrada de RF, </w:t>
      </w:r>
      <w:r>
        <w:rPr>
          <w:i/>
          <w:iCs/>
          <w:lang w:val="es-ES"/>
        </w:rPr>
        <w:t>B</w:t>
      </w:r>
      <w:r>
        <w:rPr>
          <w:i/>
          <w:iCs/>
          <w:vertAlign w:val="subscript"/>
          <w:lang w:val="es-ES"/>
        </w:rPr>
        <w:t>RF</w:t>
      </w:r>
      <w:r>
        <w:rPr>
          <w:lang w:val="es-ES"/>
        </w:rPr>
        <w:t xml:space="preserve"> (definido en el § 3.1.1) y con un ancho de banda FI que suele ser mucho menor, habrá que tener en cuenta el mecanismo de intermodulación de tercer orden, con el efecto de transferir energía de señal de fuera del ancho de banda FI (pero dentro del ancho de banda RF) a dentro del ancho de banda FI.</w:t>
      </w:r>
    </w:p>
    <w:p w:rsidR="00697F2E" w:rsidRDefault="00697F2E" w:rsidP="004F27EF">
      <w:pPr>
        <w:rPr>
          <w:lang w:val="es-ES"/>
        </w:rPr>
      </w:pPr>
      <w:r>
        <w:rPr>
          <w:lang w:val="es-ES"/>
        </w:rPr>
        <w:t xml:space="preserve">Cualquier par de portadoras en las frecuencias («tonos») </w:t>
      </w:r>
      <w:r>
        <w:rPr>
          <w:i/>
          <w:iCs/>
          <w:lang w:val="es-ES"/>
        </w:rPr>
        <w:t>f</w:t>
      </w:r>
      <w:r>
        <w:rPr>
          <w:vertAlign w:val="subscript"/>
          <w:lang w:val="es-ES"/>
        </w:rPr>
        <w:t>1</w:t>
      </w:r>
      <w:r>
        <w:rPr>
          <w:lang w:val="es-ES"/>
        </w:rPr>
        <w:t xml:space="preserve"> y </w:t>
      </w:r>
      <w:r>
        <w:rPr>
          <w:i/>
          <w:iCs/>
          <w:lang w:val="es-ES"/>
        </w:rPr>
        <w:t>f</w:t>
      </w:r>
      <w:r>
        <w:rPr>
          <w:vertAlign w:val="subscript"/>
          <w:lang w:val="es-ES"/>
        </w:rPr>
        <w:t>2</w:t>
      </w:r>
      <w:r>
        <w:rPr>
          <w:lang w:val="es-ES"/>
        </w:rPr>
        <w:t xml:space="preserve"> pueden producir productos de tercer orden o </w:t>
      </w:r>
      <w:r>
        <w:rPr>
          <w:i/>
          <w:iCs/>
          <w:lang w:val="es-ES"/>
        </w:rPr>
        <w:t>f</w:t>
      </w:r>
      <w:r>
        <w:rPr>
          <w:vertAlign w:val="subscript"/>
          <w:lang w:val="es-ES"/>
        </w:rPr>
        <w:t>3</w:t>
      </w:r>
      <w:r w:rsidR="006461D1">
        <w:rPr>
          <w:lang w:val="es-ES"/>
        </w:rPr>
        <w:t> </w:t>
      </w:r>
      <w:r>
        <w:rPr>
          <w:lang w:val="es-ES"/>
        </w:rPr>
        <w:t>=</w:t>
      </w:r>
      <w:r w:rsidR="006461D1">
        <w:rPr>
          <w:lang w:val="es-ES"/>
        </w:rPr>
        <w:t> </w:t>
      </w:r>
      <w:r>
        <w:rPr>
          <w:lang w:val="es-ES"/>
        </w:rPr>
        <w:t>2</w:t>
      </w:r>
      <w:r w:rsidR="004F27EF">
        <w:rPr>
          <w:lang w:val="es-ES"/>
        </w:rPr>
        <w:t> * </w:t>
      </w:r>
      <w:r>
        <w:rPr>
          <w:i/>
          <w:iCs/>
          <w:lang w:val="es-ES"/>
        </w:rPr>
        <w:t>f</w:t>
      </w:r>
      <w:r>
        <w:rPr>
          <w:vertAlign w:val="subscript"/>
          <w:lang w:val="es-ES"/>
        </w:rPr>
        <w:t>1</w:t>
      </w:r>
      <w:r w:rsidR="006461D1">
        <w:rPr>
          <w:lang w:val="es-ES"/>
        </w:rPr>
        <w:t> </w:t>
      </w:r>
      <w:r w:rsidR="006461D1" w:rsidRPr="006461D1">
        <w:rPr>
          <w:lang w:val="es-ES_tradnl"/>
        </w:rPr>
        <w:t>–</w:t>
      </w:r>
      <w:r w:rsidR="006461D1">
        <w:rPr>
          <w:lang w:val="es-ES"/>
        </w:rPr>
        <w:t> </w:t>
      </w:r>
      <w:r>
        <w:rPr>
          <w:i/>
          <w:iCs/>
          <w:lang w:val="es-ES"/>
        </w:rPr>
        <w:t>f</w:t>
      </w:r>
      <w:r>
        <w:rPr>
          <w:vertAlign w:val="subscript"/>
          <w:lang w:val="es-ES"/>
        </w:rPr>
        <w:t>2</w:t>
      </w:r>
      <w:r>
        <w:rPr>
          <w:lang w:val="es-ES"/>
        </w:rPr>
        <w:t>, o</w:t>
      </w:r>
      <w:r>
        <w:rPr>
          <w:i/>
          <w:iCs/>
          <w:lang w:val="es-ES"/>
        </w:rPr>
        <w:t xml:space="preserve"> f</w:t>
      </w:r>
      <w:r>
        <w:rPr>
          <w:vertAlign w:val="subscript"/>
          <w:lang w:val="es-ES"/>
        </w:rPr>
        <w:t>3</w:t>
      </w:r>
      <w:r w:rsidR="006461D1">
        <w:rPr>
          <w:lang w:val="es-ES"/>
        </w:rPr>
        <w:t> </w:t>
      </w:r>
      <w:r>
        <w:rPr>
          <w:lang w:val="es-ES"/>
        </w:rPr>
        <w:t>=</w:t>
      </w:r>
      <w:r w:rsidR="006461D1">
        <w:rPr>
          <w:lang w:val="es-ES"/>
        </w:rPr>
        <w:t> </w:t>
      </w:r>
      <w:r>
        <w:rPr>
          <w:lang w:val="es-ES"/>
        </w:rPr>
        <w:t>2</w:t>
      </w:r>
      <w:r w:rsidR="004F27EF">
        <w:rPr>
          <w:lang w:val="es-ES"/>
        </w:rPr>
        <w:t> </w:t>
      </w:r>
      <w:r>
        <w:rPr>
          <w:lang w:val="es-ES"/>
        </w:rPr>
        <w:t>*</w:t>
      </w:r>
      <w:r w:rsidR="004F27EF">
        <w:rPr>
          <w:lang w:val="es-ES"/>
        </w:rPr>
        <w:t> </w:t>
      </w:r>
      <w:r>
        <w:rPr>
          <w:i/>
          <w:iCs/>
          <w:lang w:val="es-ES"/>
        </w:rPr>
        <w:t>f</w:t>
      </w:r>
      <w:r>
        <w:rPr>
          <w:vertAlign w:val="subscript"/>
          <w:lang w:val="es-ES"/>
        </w:rPr>
        <w:t>2</w:t>
      </w:r>
      <w:r w:rsidR="004F27EF">
        <w:rPr>
          <w:lang w:val="es-ES"/>
        </w:rPr>
        <w:t> </w:t>
      </w:r>
      <w:r w:rsidR="004F27EF" w:rsidRPr="006461D1">
        <w:rPr>
          <w:lang w:val="es-ES_tradnl"/>
        </w:rPr>
        <w:t>–</w:t>
      </w:r>
      <w:r w:rsidR="004F27EF">
        <w:rPr>
          <w:lang w:val="es-ES"/>
        </w:rPr>
        <w:t> </w:t>
      </w:r>
      <w:r>
        <w:rPr>
          <w:i/>
          <w:iCs/>
          <w:lang w:val="es-ES"/>
        </w:rPr>
        <w:t>f</w:t>
      </w:r>
      <w:r>
        <w:rPr>
          <w:vertAlign w:val="subscript"/>
          <w:lang w:val="es-ES"/>
        </w:rPr>
        <w:t>1</w:t>
      </w:r>
      <w:r>
        <w:rPr>
          <w:lang w:val="es-ES"/>
        </w:rPr>
        <w:t xml:space="preserve">. Cuando </w:t>
      </w:r>
      <w:r>
        <w:rPr>
          <w:i/>
          <w:iCs/>
          <w:lang w:val="es-ES"/>
        </w:rPr>
        <w:t>f</w:t>
      </w:r>
      <w:r>
        <w:rPr>
          <w:vertAlign w:val="subscript"/>
          <w:lang w:val="es-ES"/>
        </w:rPr>
        <w:t>3</w:t>
      </w:r>
      <w:r>
        <w:rPr>
          <w:lang w:val="es-ES"/>
        </w:rPr>
        <w:t xml:space="preserve"> está dentro del ancho de banda FI, se genera potencia de interferencia en sintonía, que es amplificada y procesada por las secciones de</w:t>
      </w:r>
      <w:r w:rsidR="006461D1">
        <w:rPr>
          <w:lang w:val="es-ES"/>
        </w:rPr>
        <w:t xml:space="preserve"> </w:t>
      </w:r>
      <w:r>
        <w:rPr>
          <w:lang w:val="es-ES"/>
        </w:rPr>
        <w:t>FI y de banda de base de los receptores de radar.</w:t>
      </w:r>
    </w:p>
    <w:p w:rsidR="00697F2E" w:rsidRDefault="00697F2E" w:rsidP="004F27EF">
      <w:pPr>
        <w:rPr>
          <w:lang w:val="es-ES"/>
        </w:rPr>
      </w:pPr>
      <w:r>
        <w:rPr>
          <w:lang w:val="es-ES"/>
        </w:rPr>
        <w:t>Los efectos de intermodulación aumentan significativamente con el nivel de potencia de un solo tono. Un aumento de 10</w:t>
      </w:r>
      <w:r w:rsidR="004F27EF">
        <w:rPr>
          <w:lang w:val="es-ES"/>
        </w:rPr>
        <w:t> </w:t>
      </w:r>
      <w:r>
        <w:rPr>
          <w:lang w:val="es-ES"/>
        </w:rPr>
        <w:t>dB de potencia de un solo tono causa un aumento de 30</w:t>
      </w:r>
      <w:r w:rsidR="006461D1">
        <w:rPr>
          <w:lang w:val="es-ES"/>
        </w:rPr>
        <w:t> </w:t>
      </w:r>
      <w:r>
        <w:rPr>
          <w:lang w:val="es-ES"/>
        </w:rPr>
        <w:t>dB de potencia de productos de intermodulación. El punto (teórico) donde la potencia de productos de intermodulación de tercer orden comienza a rebasar la potencia de un solo tono amplificada se denomina punto de intercepción de salida de tercer orden (IP3</w:t>
      </w:r>
      <w:r>
        <w:rPr>
          <w:i/>
          <w:iCs/>
          <w:vertAlign w:val="subscript"/>
          <w:lang w:val="es-ES"/>
        </w:rPr>
        <w:t>out</w:t>
      </w:r>
      <w:r>
        <w:rPr>
          <w:lang w:val="es-ES"/>
        </w:rPr>
        <w:t>). Para amplificadores ABR RF, como los utilizados en las etapas de entrada de los radares, IP3</w:t>
      </w:r>
      <w:r>
        <w:rPr>
          <w:i/>
          <w:iCs/>
          <w:vertAlign w:val="subscript"/>
          <w:lang w:val="es-ES"/>
        </w:rPr>
        <w:t>out</w:t>
      </w:r>
      <w:r>
        <w:rPr>
          <w:lang w:val="es-ES"/>
        </w:rPr>
        <w:t xml:space="preserve"> está 10 a 15</w:t>
      </w:r>
      <w:r w:rsidR="006461D1">
        <w:rPr>
          <w:lang w:val="es-ES"/>
        </w:rPr>
        <w:t> dB</w:t>
      </w:r>
      <w:r>
        <w:rPr>
          <w:lang w:val="es-ES"/>
        </w:rPr>
        <w:t xml:space="preserve"> por encima de la potencia de compresión a </w:t>
      </w:r>
      <w:r w:rsidR="006461D1">
        <w:rPr>
          <w:lang w:val="es-ES"/>
        </w:rPr>
        <w:t>1 dB</w:t>
      </w:r>
      <w:r>
        <w:rPr>
          <w:lang w:val="es-ES"/>
        </w:rPr>
        <w:t xml:space="preserve"> de salida, </w:t>
      </w:r>
      <w:r>
        <w:rPr>
          <w:i/>
          <w:iCs/>
          <w:lang w:val="es-ES"/>
        </w:rPr>
        <w:t>P</w:t>
      </w:r>
      <w:r w:rsidR="006461D1">
        <w:rPr>
          <w:vertAlign w:val="subscript"/>
          <w:lang w:val="es-ES"/>
        </w:rPr>
        <w:t>1 dB</w:t>
      </w:r>
      <w:r>
        <w:rPr>
          <w:vertAlign w:val="subscript"/>
          <w:lang w:val="es-ES"/>
        </w:rPr>
        <w:t>,</w:t>
      </w:r>
      <w:r>
        <w:rPr>
          <w:i/>
          <w:iCs/>
          <w:vertAlign w:val="subscript"/>
          <w:lang w:val="es-ES"/>
        </w:rPr>
        <w:t>out</w:t>
      </w:r>
      <w:r>
        <w:rPr>
          <w:lang w:val="es-ES"/>
        </w:rPr>
        <w:t>.</w:t>
      </w:r>
    </w:p>
    <w:p w:rsidR="00697F2E" w:rsidRDefault="00697F2E" w:rsidP="004F27EF">
      <w:pPr>
        <w:rPr>
          <w:lang w:val="es-ES"/>
        </w:rPr>
      </w:pPr>
      <w:r>
        <w:rPr>
          <w:lang w:val="es-ES"/>
        </w:rPr>
        <w:t>En el caso de múltiples señales portadora, el fenómeno de intermodulación hasta el 5</w:t>
      </w:r>
      <w:r w:rsidR="004F27EF">
        <w:rPr>
          <w:lang w:val="es-ES"/>
        </w:rPr>
        <w:t>º </w:t>
      </w:r>
      <w:r>
        <w:rPr>
          <w:lang w:val="es-ES"/>
        </w:rPr>
        <w:t>orden es una fuente de interferencia que cabría tomar en consideración.</w:t>
      </w:r>
    </w:p>
    <w:p w:rsidR="00697F2E" w:rsidRDefault="00697F2E" w:rsidP="00697F2E">
      <w:pPr>
        <w:rPr>
          <w:lang w:val="es-ES"/>
        </w:rPr>
      </w:pPr>
      <w:r>
        <w:rPr>
          <w:lang w:val="es-ES"/>
        </w:rPr>
        <w:t xml:space="preserve">La potencia de interferencia que corresponde con productos de intermodulación de tercer orden de fuera a dentro del ancho de banda FI ha de ser tratada como interferencia en sintonía, es decir, debe estar en combinación con la potencia de interferencia que entra directamente en el ancho de banda FI y satisface los requisitos establecidos para la relación </w:t>
      </w:r>
      <w:r>
        <w:rPr>
          <w:i/>
          <w:iCs/>
          <w:lang w:val="es-ES"/>
        </w:rPr>
        <w:t>I</w:t>
      </w:r>
      <w:r>
        <w:rPr>
          <w:lang w:val="es-ES"/>
        </w:rPr>
        <w:t>/</w:t>
      </w:r>
      <w:r>
        <w:rPr>
          <w:i/>
          <w:iCs/>
          <w:lang w:val="es-ES"/>
        </w:rPr>
        <w:t>N</w:t>
      </w:r>
      <w:r>
        <w:rPr>
          <w:lang w:val="es-ES"/>
        </w:rPr>
        <w:t xml:space="preserve"> en la Recomendación UIT-R pertinente.</w:t>
      </w:r>
    </w:p>
    <w:p w:rsidR="00697F2E" w:rsidRDefault="00697F2E" w:rsidP="00697F2E">
      <w:pPr>
        <w:pStyle w:val="Heading2"/>
        <w:rPr>
          <w:lang w:val="es-ES"/>
        </w:rPr>
      </w:pPr>
      <w:r>
        <w:rPr>
          <w:lang w:val="es-ES"/>
        </w:rPr>
        <w:t>3.2</w:t>
      </w:r>
      <w:r>
        <w:rPr>
          <w:lang w:val="es-ES"/>
        </w:rPr>
        <w:tab/>
        <w:t>Degradación de la sensibilidad</w:t>
      </w:r>
    </w:p>
    <w:p w:rsidR="00697F2E" w:rsidRDefault="00697F2E" w:rsidP="00697F2E">
      <w:pPr>
        <w:rPr>
          <w:lang w:val="es-ES"/>
        </w:rPr>
      </w:pPr>
      <w:r>
        <w:rPr>
          <w:lang w:val="es-ES"/>
        </w:rPr>
        <w:t>El efecto de desensibilización en radares de radiodeterminación de otros servicios producido por una modulación de onda continua o de tipo ruido está probablemente relacionado con su intensidad. En cualquiera de los sectores de acimut de los que proviene este tipo de interferencia, su densidad espectral de potencia puede, con una aproximación razonable, simplemente sumarse a la densidad espectral de potencia del ruido térmico del receptor de radar.</w:t>
      </w:r>
    </w:p>
    <w:p w:rsidR="00697F2E" w:rsidRDefault="00697F2E" w:rsidP="00697F2E">
      <w:pPr>
        <w:rPr>
          <w:lang w:val="es-ES"/>
        </w:rPr>
      </w:pPr>
      <w:r>
        <w:rPr>
          <w:lang w:val="es-ES"/>
        </w:rPr>
        <w:t xml:space="preserve">El paso inicial para evaluar la compatibilidad consiste en la determinación del nivel de señal en el que empiezan a degradarse las prestaciones del receptor del radar, </w:t>
      </w:r>
      <w:r>
        <w:rPr>
          <w:i/>
          <w:iCs/>
          <w:lang w:val="es-ES"/>
        </w:rPr>
        <w:t>I</w:t>
      </w:r>
      <w:r w:rsidRPr="00392E7E">
        <w:rPr>
          <w:i/>
          <w:iCs/>
          <w:vertAlign w:val="subscript"/>
          <w:lang w:val="es-ES_tradnl"/>
        </w:rPr>
        <w:t>T</w:t>
      </w:r>
      <w:r>
        <w:rPr>
          <w:lang w:val="es-ES"/>
        </w:rPr>
        <w:t>.</w:t>
      </w:r>
    </w:p>
    <w:p w:rsidR="00697F2E" w:rsidRDefault="00697F2E" w:rsidP="00697F2E">
      <w:pPr>
        <w:pStyle w:val="Equation"/>
        <w:rPr>
          <w:lang w:val="sv-SE"/>
        </w:rPr>
      </w:pPr>
      <w:r w:rsidRPr="00392E7E">
        <w:rPr>
          <w:lang w:val="es-ES_tradnl"/>
        </w:rPr>
        <w:tab/>
      </w:r>
      <w:r w:rsidRPr="00392E7E">
        <w:rPr>
          <w:lang w:val="es-ES_tradnl"/>
        </w:rPr>
        <w:tab/>
      </w:r>
      <w:r>
        <w:rPr>
          <w:i/>
          <w:iCs/>
          <w:lang w:val="sv-SE"/>
        </w:rPr>
        <w:t>I</w:t>
      </w:r>
      <w:r w:rsidRPr="00F06832">
        <w:rPr>
          <w:i/>
          <w:iCs/>
          <w:sz w:val="28"/>
          <w:szCs w:val="28"/>
          <w:vertAlign w:val="subscript"/>
          <w:lang w:val="en-US"/>
        </w:rPr>
        <w:t>T</w:t>
      </w:r>
      <w:r>
        <w:rPr>
          <w:lang w:val="sv-SE"/>
        </w:rPr>
        <w:t xml:space="preserve"> </w:t>
      </w:r>
      <w:r>
        <w:sym w:font="Symbol" w:char="F03D"/>
      </w:r>
      <w:r>
        <w:rPr>
          <w:lang w:val="sv-SE"/>
        </w:rPr>
        <w:t xml:space="preserve"> </w:t>
      </w:r>
      <w:r>
        <w:rPr>
          <w:i/>
          <w:iCs/>
          <w:lang w:val="sv-SE"/>
        </w:rPr>
        <w:t>I</w:t>
      </w:r>
      <w:r>
        <w:rPr>
          <w:lang w:val="sv-SE"/>
        </w:rPr>
        <w:t>/</w:t>
      </w:r>
      <w:r>
        <w:rPr>
          <w:i/>
          <w:iCs/>
          <w:lang w:val="sv-SE"/>
        </w:rPr>
        <w:t>N</w:t>
      </w:r>
      <w:r>
        <w:rPr>
          <w:lang w:val="sv-SE"/>
        </w:rPr>
        <w:t xml:space="preserve"> </w:t>
      </w:r>
      <w:r>
        <w:sym w:font="Symbol" w:char="F02B"/>
      </w:r>
      <w:r>
        <w:rPr>
          <w:lang w:val="sv-SE"/>
        </w:rPr>
        <w:t xml:space="preserve"> </w:t>
      </w:r>
      <w:r>
        <w:rPr>
          <w:i/>
          <w:iCs/>
          <w:lang w:val="sv-SE"/>
        </w:rPr>
        <w:t>N</w:t>
      </w:r>
      <w:r>
        <w:rPr>
          <w:lang w:val="sv-SE"/>
        </w:rPr>
        <w:tab/>
        <w:t>(15)</w:t>
      </w:r>
    </w:p>
    <w:p w:rsidR="00697F2E" w:rsidRPr="00F06832" w:rsidRDefault="00697F2E" w:rsidP="004F27EF">
      <w:pPr>
        <w:rPr>
          <w:lang w:val="en-US"/>
        </w:rPr>
      </w:pPr>
      <w:r w:rsidRPr="00F06832">
        <w:rPr>
          <w:lang w:val="en-US"/>
        </w:rPr>
        <w:t>siendo:</w:t>
      </w:r>
    </w:p>
    <w:p w:rsidR="00697F2E" w:rsidRDefault="00697F2E" w:rsidP="004F27EF">
      <w:pPr>
        <w:pStyle w:val="Equationlegend"/>
        <w:rPr>
          <w:lang w:val="es-ES"/>
        </w:rPr>
      </w:pPr>
      <w:r w:rsidRPr="00F06832">
        <w:tab/>
      </w:r>
      <w:r>
        <w:rPr>
          <w:i/>
          <w:iCs/>
          <w:lang w:val="es-ES"/>
        </w:rPr>
        <w:t>I</w:t>
      </w:r>
      <w:r>
        <w:rPr>
          <w:lang w:val="es-ES"/>
        </w:rPr>
        <w:t>/</w:t>
      </w:r>
      <w:r>
        <w:rPr>
          <w:i/>
          <w:iCs/>
          <w:lang w:val="es-ES"/>
        </w:rPr>
        <w:t>N</w:t>
      </w:r>
      <w:r>
        <w:rPr>
          <w:lang w:val="es-ES"/>
        </w:rPr>
        <w:t>:</w:t>
      </w:r>
      <w:r>
        <w:rPr>
          <w:lang w:val="es-ES"/>
        </w:rPr>
        <w:tab/>
        <w:t>relación interferencia/ruido a la entrada del detector (salida de</w:t>
      </w:r>
      <w:r w:rsidR="004F27EF">
        <w:rPr>
          <w:lang w:val="es-ES"/>
        </w:rPr>
        <w:t xml:space="preserve"> </w:t>
      </w:r>
      <w:r>
        <w:rPr>
          <w:lang w:val="es-ES"/>
        </w:rPr>
        <w:t>FI) necesaria para mantener un criterio de calidad aceptable (dB)</w:t>
      </w:r>
    </w:p>
    <w:p w:rsidR="00697F2E" w:rsidRDefault="00697F2E" w:rsidP="00697F2E">
      <w:pPr>
        <w:pStyle w:val="Equationlegend"/>
        <w:rPr>
          <w:lang w:val="es-ES"/>
        </w:rPr>
      </w:pPr>
      <w:r>
        <w:rPr>
          <w:lang w:val="es-ES"/>
        </w:rPr>
        <w:tab/>
      </w:r>
      <w:r>
        <w:rPr>
          <w:i/>
          <w:iCs/>
          <w:lang w:val="es-ES"/>
        </w:rPr>
        <w:t>N</w:t>
      </w:r>
      <w:r>
        <w:rPr>
          <w:lang w:val="es-ES"/>
        </w:rPr>
        <w:t>:</w:t>
      </w:r>
      <w:r>
        <w:rPr>
          <w:lang w:val="es-ES"/>
        </w:rPr>
        <w:tab/>
        <w:t>nivel de ruido inherente al receptor (dBm)</w:t>
      </w:r>
    </w:p>
    <w:p w:rsidR="00697F2E" w:rsidRPr="00265846" w:rsidRDefault="00697F2E" w:rsidP="004F27EF">
      <w:pPr>
        <w:pStyle w:val="Equationlegend"/>
      </w:pPr>
      <w:r>
        <w:rPr>
          <w:lang w:val="es-ES"/>
        </w:rPr>
        <w:tab/>
      </w:r>
      <w:r>
        <w:rPr>
          <w:lang w:val="es-ES"/>
        </w:rPr>
        <w:tab/>
      </w:r>
      <w:r w:rsidRPr="00265846">
        <w:rPr>
          <w:i/>
          <w:iCs/>
        </w:rPr>
        <w:t>N</w:t>
      </w:r>
      <w:r w:rsidRPr="004F27EF">
        <w:t> </w:t>
      </w:r>
      <w:r w:rsidR="004F27EF">
        <w:t>=</w:t>
      </w:r>
      <w:r w:rsidRPr="00265846">
        <w:t xml:space="preserve"> –114 dBm </w:t>
      </w:r>
      <w:r w:rsidR="004F27EF">
        <w:t>+</w:t>
      </w:r>
      <w:r w:rsidRPr="00265846">
        <w:t xml:space="preserve"> 10 log </w:t>
      </w:r>
      <w:r w:rsidRPr="00265846">
        <w:rPr>
          <w:i/>
          <w:iCs/>
        </w:rPr>
        <w:t>B</w:t>
      </w:r>
      <w:r w:rsidRPr="00265846">
        <w:rPr>
          <w:i/>
          <w:iCs/>
          <w:vertAlign w:val="subscript"/>
        </w:rPr>
        <w:t>IF</w:t>
      </w:r>
      <w:r w:rsidRPr="00265846">
        <w:t xml:space="preserve"> (MHz) </w:t>
      </w:r>
      <w:r w:rsidR="004F27EF">
        <w:t xml:space="preserve">+ </w:t>
      </w:r>
      <w:r w:rsidRPr="00265846">
        <w:rPr>
          <w:i/>
          <w:iCs/>
        </w:rPr>
        <w:t>NF</w:t>
      </w:r>
    </w:p>
    <w:p w:rsidR="00697F2E" w:rsidRDefault="00697F2E" w:rsidP="00697F2E">
      <w:pPr>
        <w:pStyle w:val="Equationlegend"/>
        <w:rPr>
          <w:lang w:val="es-ES"/>
        </w:rPr>
      </w:pPr>
      <w:r w:rsidRPr="00265846">
        <w:tab/>
      </w:r>
      <w:r w:rsidRPr="00265846">
        <w:tab/>
      </w:r>
      <w:r>
        <w:rPr>
          <w:lang w:val="es-ES"/>
        </w:rPr>
        <w:t>donde:</w:t>
      </w:r>
    </w:p>
    <w:p w:rsidR="00697F2E" w:rsidRDefault="00697F2E" w:rsidP="00C872B8">
      <w:pPr>
        <w:pStyle w:val="Equationlegend"/>
        <w:rPr>
          <w:lang w:val="es-ES"/>
        </w:rPr>
      </w:pPr>
      <w:r>
        <w:rPr>
          <w:lang w:val="es-ES"/>
        </w:rPr>
        <w:tab/>
      </w:r>
      <w:r>
        <w:rPr>
          <w:lang w:val="es-ES"/>
        </w:rPr>
        <w:tab/>
      </w:r>
      <w:r>
        <w:rPr>
          <w:lang w:val="es-ES"/>
        </w:rPr>
        <w:tab/>
      </w:r>
      <w:r>
        <w:rPr>
          <w:i/>
          <w:iCs/>
          <w:lang w:val="es-ES"/>
        </w:rPr>
        <w:t>B</w:t>
      </w:r>
      <w:r>
        <w:rPr>
          <w:i/>
          <w:iCs/>
          <w:vertAlign w:val="subscript"/>
          <w:lang w:val="es-ES"/>
        </w:rPr>
        <w:t>IF</w:t>
      </w:r>
      <w:r>
        <w:rPr>
          <w:lang w:val="es-ES"/>
        </w:rPr>
        <w:t>:</w:t>
      </w:r>
      <w:r>
        <w:rPr>
          <w:lang w:val="es-ES"/>
        </w:rPr>
        <w:tab/>
        <w:t>ancho de banda FI del receptor MHz)</w:t>
      </w:r>
    </w:p>
    <w:p w:rsidR="00697F2E" w:rsidRDefault="00697F2E" w:rsidP="00697F2E">
      <w:pPr>
        <w:pStyle w:val="Equationlegend"/>
        <w:rPr>
          <w:lang w:val="es-ES"/>
        </w:rPr>
      </w:pPr>
      <w:r>
        <w:rPr>
          <w:lang w:val="es-ES"/>
        </w:rPr>
        <w:tab/>
      </w:r>
      <w:r>
        <w:rPr>
          <w:lang w:val="es-ES"/>
        </w:rPr>
        <w:tab/>
      </w:r>
      <w:r>
        <w:rPr>
          <w:lang w:val="es-ES"/>
        </w:rPr>
        <w:tab/>
      </w:r>
      <w:r>
        <w:rPr>
          <w:i/>
          <w:iCs/>
          <w:lang w:val="es-ES"/>
        </w:rPr>
        <w:t>NF</w:t>
      </w:r>
      <w:r>
        <w:rPr>
          <w:lang w:val="es-ES"/>
        </w:rPr>
        <w:t>:</w:t>
      </w:r>
      <w:r>
        <w:rPr>
          <w:lang w:val="es-ES"/>
        </w:rPr>
        <w:tab/>
        <w:t>factor de ruido del receptor (dB).</w:t>
      </w:r>
    </w:p>
    <w:p w:rsidR="00697F2E" w:rsidRDefault="00697F2E" w:rsidP="00697F2E">
      <w:pPr>
        <w:rPr>
          <w:lang w:val="es-ES"/>
        </w:rPr>
      </w:pPr>
      <w:r>
        <w:rPr>
          <w:lang w:val="es-ES"/>
        </w:rPr>
        <w:t>Se puede utilizar la ecuación (15) para determinar si sistemas de otros servicios pueden funcionar a determinadas distancias de los radares, separados en frecuencia por una cierta cantidad.</w:t>
      </w:r>
    </w:p>
    <w:p w:rsidR="00697F2E" w:rsidRDefault="00697F2E" w:rsidP="004F27EF">
      <w:pPr>
        <w:pStyle w:val="Equation"/>
        <w:rPr>
          <w:lang w:val="en-US"/>
        </w:rPr>
      </w:pPr>
      <w:r w:rsidRPr="00392E7E">
        <w:rPr>
          <w:lang w:val="es-ES_tradnl"/>
        </w:rPr>
        <w:tab/>
      </w:r>
      <w:r w:rsidRPr="00392E7E">
        <w:rPr>
          <w:lang w:val="es-ES_tradnl"/>
        </w:rPr>
        <w:tab/>
      </w:r>
      <w:r>
        <w:rPr>
          <w:i/>
          <w:iCs/>
          <w:lang w:val="en-US"/>
        </w:rPr>
        <w:t>I</w:t>
      </w:r>
      <w:r>
        <w:rPr>
          <w:lang w:val="en-US"/>
        </w:rPr>
        <w:t xml:space="preserve"> </w:t>
      </w:r>
      <w:r>
        <w:rPr>
          <w:lang w:val="fr-CH"/>
        </w:rPr>
        <w:sym w:font="Symbol" w:char="F03D"/>
      </w:r>
      <w:r>
        <w:rPr>
          <w:lang w:val="en-US"/>
        </w:rPr>
        <w:t xml:space="preserve"> </w:t>
      </w:r>
      <w:r>
        <w:rPr>
          <w:i/>
          <w:iCs/>
          <w:spacing w:val="-20"/>
          <w:lang w:val="en-US"/>
        </w:rPr>
        <w:t>P</w:t>
      </w:r>
      <w:r>
        <w:rPr>
          <w:i/>
          <w:iCs/>
          <w:spacing w:val="-20"/>
          <w:sz w:val="28"/>
          <w:szCs w:val="28"/>
          <w:vertAlign w:val="subscript"/>
          <w:lang w:val="en-US"/>
        </w:rPr>
        <w:t>T</w:t>
      </w:r>
      <w:r>
        <w:rPr>
          <w:lang w:val="en-US"/>
        </w:rPr>
        <w:t> </w:t>
      </w:r>
      <w:r w:rsidR="004F27EF">
        <w:rPr>
          <w:lang w:val="en-US"/>
        </w:rPr>
        <w:t>+</w:t>
      </w:r>
      <w:r>
        <w:rPr>
          <w:lang w:val="en-US"/>
        </w:rPr>
        <w:t xml:space="preserve"> </w:t>
      </w:r>
      <w:r>
        <w:rPr>
          <w:i/>
          <w:iCs/>
          <w:lang w:val="en-US"/>
        </w:rPr>
        <w:t>G</w:t>
      </w:r>
      <w:r>
        <w:rPr>
          <w:i/>
          <w:iCs/>
          <w:sz w:val="28"/>
          <w:szCs w:val="28"/>
          <w:vertAlign w:val="subscript"/>
          <w:lang w:val="en-US"/>
        </w:rPr>
        <w:t>T</w:t>
      </w:r>
      <w:r>
        <w:rPr>
          <w:lang w:val="en-US"/>
        </w:rPr>
        <w:t xml:space="preserve"> </w:t>
      </w:r>
      <w:r w:rsidR="004F27EF">
        <w:rPr>
          <w:lang w:val="en-US"/>
        </w:rPr>
        <w:t>+</w:t>
      </w:r>
      <w:r>
        <w:rPr>
          <w:lang w:val="en-US"/>
        </w:rPr>
        <w:t xml:space="preserve"> </w:t>
      </w:r>
      <w:r>
        <w:rPr>
          <w:i/>
          <w:iCs/>
          <w:lang w:val="en-US"/>
        </w:rPr>
        <w:t>G</w:t>
      </w:r>
      <w:r>
        <w:rPr>
          <w:i/>
          <w:iCs/>
          <w:sz w:val="28"/>
          <w:szCs w:val="28"/>
          <w:vertAlign w:val="subscript"/>
          <w:lang w:val="en-US"/>
        </w:rPr>
        <w:t>R</w:t>
      </w:r>
      <w:r>
        <w:rPr>
          <w:lang w:val="en-US"/>
        </w:rPr>
        <w:t xml:space="preserve"> – </w:t>
      </w:r>
      <w:r>
        <w:rPr>
          <w:i/>
          <w:iCs/>
          <w:lang w:val="en-US"/>
        </w:rPr>
        <w:t>L</w:t>
      </w:r>
      <w:r>
        <w:rPr>
          <w:i/>
          <w:iCs/>
          <w:sz w:val="28"/>
          <w:szCs w:val="28"/>
          <w:vertAlign w:val="subscript"/>
          <w:lang w:val="en-US"/>
        </w:rPr>
        <w:t>T</w:t>
      </w:r>
      <w:r>
        <w:rPr>
          <w:lang w:val="en-US"/>
        </w:rPr>
        <w:t xml:space="preserve"> – </w:t>
      </w:r>
      <w:r>
        <w:rPr>
          <w:i/>
          <w:iCs/>
          <w:lang w:val="en-US"/>
        </w:rPr>
        <w:t>L</w:t>
      </w:r>
      <w:r>
        <w:rPr>
          <w:i/>
          <w:iCs/>
          <w:sz w:val="28"/>
          <w:szCs w:val="28"/>
          <w:vertAlign w:val="subscript"/>
          <w:lang w:val="en-US"/>
        </w:rPr>
        <w:t>R</w:t>
      </w:r>
      <w:r>
        <w:rPr>
          <w:lang w:val="en-US"/>
        </w:rPr>
        <w:t xml:space="preserve"> – </w:t>
      </w:r>
      <w:r>
        <w:rPr>
          <w:i/>
          <w:iCs/>
          <w:lang w:val="en-US"/>
        </w:rPr>
        <w:t>L</w:t>
      </w:r>
      <w:r>
        <w:rPr>
          <w:i/>
          <w:iCs/>
          <w:sz w:val="28"/>
          <w:szCs w:val="28"/>
          <w:vertAlign w:val="subscript"/>
          <w:lang w:val="en-US"/>
        </w:rPr>
        <w:t>P</w:t>
      </w:r>
      <w:r>
        <w:rPr>
          <w:lang w:val="en-US"/>
        </w:rPr>
        <w:t xml:space="preserve"> – </w:t>
      </w:r>
      <w:r>
        <w:rPr>
          <w:i/>
          <w:iCs/>
          <w:lang w:val="en-US"/>
        </w:rPr>
        <w:t>FDR</w:t>
      </w:r>
      <w:r>
        <w:rPr>
          <w:i/>
          <w:iCs/>
          <w:sz w:val="28"/>
          <w:szCs w:val="28"/>
          <w:vertAlign w:val="subscript"/>
          <w:lang w:val="en-US"/>
        </w:rPr>
        <w:t>IF</w:t>
      </w:r>
      <w:r>
        <w:rPr>
          <w:lang w:val="en-US"/>
        </w:rPr>
        <w:tab/>
        <w:t>(16)</w:t>
      </w:r>
    </w:p>
    <w:p w:rsidR="00697F2E" w:rsidRDefault="00697F2E" w:rsidP="00697F2E">
      <w:pPr>
        <w:rPr>
          <w:lang w:val="es-ES"/>
        </w:rPr>
      </w:pPr>
      <w:r>
        <w:rPr>
          <w:lang w:val="es-ES"/>
        </w:rPr>
        <w:t>donde:</w:t>
      </w:r>
    </w:p>
    <w:p w:rsidR="00697F2E" w:rsidRDefault="00697F2E" w:rsidP="002A7259">
      <w:pPr>
        <w:pStyle w:val="Equationlegend"/>
        <w:rPr>
          <w:lang w:val="es-ES"/>
        </w:rPr>
      </w:pPr>
      <w:r>
        <w:rPr>
          <w:lang w:val="es-ES"/>
        </w:rPr>
        <w:tab/>
      </w:r>
      <w:r>
        <w:rPr>
          <w:i/>
          <w:iCs/>
          <w:lang w:val="es-ES"/>
        </w:rPr>
        <w:t>I</w:t>
      </w:r>
      <w:r w:rsidR="00C872B8" w:rsidRPr="002A7259">
        <w:rPr>
          <w:lang w:val="es-ES_tradnl"/>
        </w:rPr>
        <w:t>:</w:t>
      </w:r>
      <w:r>
        <w:rPr>
          <w:lang w:val="es-ES"/>
        </w:rPr>
        <w:tab/>
        <w:t>potencia de cresta de la señal no deseada a la entrada del receptor del radar</w:t>
      </w:r>
      <w:r w:rsidR="002A7259">
        <w:rPr>
          <w:lang w:val="es-ES"/>
        </w:rPr>
        <w:t> </w:t>
      </w:r>
      <w:r>
        <w:rPr>
          <w:lang w:val="es-ES"/>
        </w:rPr>
        <w:t>(dBm)</w:t>
      </w:r>
    </w:p>
    <w:p w:rsidR="00697F2E" w:rsidRDefault="00697F2E" w:rsidP="004F27EF">
      <w:pPr>
        <w:pStyle w:val="Equationlegend"/>
        <w:rPr>
          <w:lang w:val="es-ES"/>
        </w:rPr>
      </w:pPr>
      <w:r>
        <w:rPr>
          <w:lang w:val="es-ES"/>
        </w:rPr>
        <w:tab/>
      </w:r>
      <w:r>
        <w:rPr>
          <w:i/>
          <w:iCs/>
          <w:lang w:val="es-ES"/>
        </w:rPr>
        <w:t>P</w:t>
      </w:r>
      <w:r w:rsidRPr="00392E7E">
        <w:rPr>
          <w:i/>
          <w:iCs/>
          <w:vertAlign w:val="subscript"/>
          <w:lang w:val="es-ES_tradnl"/>
        </w:rPr>
        <w:t>T</w:t>
      </w:r>
      <w:r>
        <w:rPr>
          <w:lang w:val="es-ES"/>
        </w:rPr>
        <w:t>:</w:t>
      </w:r>
      <w:r>
        <w:rPr>
          <w:lang w:val="es-ES"/>
        </w:rPr>
        <w:tab/>
        <w:t>potencia de cresta del transmisor no deseado sometido a análisis (dBm)</w:t>
      </w:r>
    </w:p>
    <w:p w:rsidR="00697F2E" w:rsidRDefault="00697F2E" w:rsidP="00C872B8">
      <w:pPr>
        <w:pStyle w:val="Equationlegend"/>
        <w:rPr>
          <w:lang w:val="es-ES"/>
        </w:rPr>
      </w:pPr>
      <w:r>
        <w:rPr>
          <w:lang w:val="es-ES"/>
        </w:rPr>
        <w:tab/>
      </w:r>
      <w:r>
        <w:rPr>
          <w:i/>
          <w:iCs/>
          <w:lang w:val="es-ES"/>
        </w:rPr>
        <w:t>G</w:t>
      </w:r>
      <w:r w:rsidRPr="00392E7E">
        <w:rPr>
          <w:i/>
          <w:iCs/>
          <w:vertAlign w:val="subscript"/>
          <w:lang w:val="es-ES_tradnl"/>
        </w:rPr>
        <w:t>T</w:t>
      </w:r>
      <w:r>
        <w:rPr>
          <w:lang w:val="es-ES"/>
        </w:rPr>
        <w:t>:</w:t>
      </w:r>
      <w:r>
        <w:rPr>
          <w:lang w:val="es-ES"/>
        </w:rPr>
        <w:tab/>
        <w:t xml:space="preserve">ganancia de la antena del sistema no deseado en la dirección del radar sometido a </w:t>
      </w:r>
      <w:r>
        <w:rPr>
          <w:lang w:val="es-ES"/>
        </w:rPr>
        <w:tab/>
        <w:t>análisis (dBi)</w:t>
      </w:r>
    </w:p>
    <w:p w:rsidR="00697F2E" w:rsidRDefault="00697F2E" w:rsidP="00C872B8">
      <w:pPr>
        <w:pStyle w:val="Equationlegend"/>
        <w:rPr>
          <w:lang w:val="es-ES"/>
        </w:rPr>
      </w:pPr>
      <w:r>
        <w:rPr>
          <w:lang w:val="es-ES"/>
        </w:rPr>
        <w:tab/>
      </w:r>
      <w:r>
        <w:rPr>
          <w:i/>
          <w:iCs/>
          <w:lang w:val="es-ES"/>
        </w:rPr>
        <w:t>G</w:t>
      </w:r>
      <w:r w:rsidRPr="00392E7E">
        <w:rPr>
          <w:i/>
          <w:iCs/>
          <w:vertAlign w:val="subscript"/>
          <w:lang w:val="es-ES_tradnl"/>
        </w:rPr>
        <w:t>R</w:t>
      </w:r>
      <w:r>
        <w:rPr>
          <w:lang w:val="es-ES"/>
        </w:rPr>
        <w:t>:</w:t>
      </w:r>
      <w:r>
        <w:rPr>
          <w:lang w:val="es-ES"/>
        </w:rPr>
        <w:tab/>
        <w:t>ganancia de la antena de la estación de radar en la dirección del sistema sometido a análisis (véase la Nota 3) (dBi)</w:t>
      </w:r>
    </w:p>
    <w:p w:rsidR="00697F2E" w:rsidRDefault="00697F2E" w:rsidP="00C872B8">
      <w:pPr>
        <w:pStyle w:val="Equationlegend"/>
        <w:rPr>
          <w:lang w:val="es-ES"/>
        </w:rPr>
      </w:pPr>
      <w:r>
        <w:rPr>
          <w:lang w:val="es-ES"/>
        </w:rPr>
        <w:tab/>
      </w:r>
      <w:r>
        <w:rPr>
          <w:i/>
          <w:iCs/>
          <w:lang w:val="es-ES"/>
        </w:rPr>
        <w:t>L</w:t>
      </w:r>
      <w:r w:rsidRPr="00392E7E">
        <w:rPr>
          <w:i/>
          <w:iCs/>
          <w:vertAlign w:val="subscript"/>
          <w:lang w:val="es-ES_tradnl"/>
        </w:rPr>
        <w:t>T</w:t>
      </w:r>
      <w:r>
        <w:rPr>
          <w:lang w:val="es-ES"/>
        </w:rPr>
        <w:t>:</w:t>
      </w:r>
      <w:r>
        <w:rPr>
          <w:lang w:val="es-ES"/>
        </w:rPr>
        <w:tab/>
        <w:t>pérdidas de inserción en el transmisor (dB)</w:t>
      </w:r>
    </w:p>
    <w:p w:rsidR="00697F2E" w:rsidRDefault="00697F2E" w:rsidP="00C872B8">
      <w:pPr>
        <w:pStyle w:val="Equationlegend"/>
        <w:rPr>
          <w:lang w:val="es-ES"/>
        </w:rPr>
      </w:pPr>
      <w:r>
        <w:rPr>
          <w:lang w:val="es-ES"/>
        </w:rPr>
        <w:tab/>
      </w:r>
      <w:r>
        <w:rPr>
          <w:i/>
          <w:iCs/>
          <w:lang w:val="es-ES"/>
        </w:rPr>
        <w:t>L</w:t>
      </w:r>
      <w:r w:rsidRPr="00392E7E">
        <w:rPr>
          <w:i/>
          <w:iCs/>
          <w:vertAlign w:val="subscript"/>
          <w:lang w:val="es-ES_tradnl"/>
        </w:rPr>
        <w:t>R</w:t>
      </w:r>
      <w:r>
        <w:rPr>
          <w:lang w:val="es-ES"/>
        </w:rPr>
        <w:t>:</w:t>
      </w:r>
      <w:r>
        <w:rPr>
          <w:lang w:val="es-ES"/>
        </w:rPr>
        <w:tab/>
        <w:t>pérdidas de inserción en el receptor del radar (dB)</w:t>
      </w:r>
    </w:p>
    <w:p w:rsidR="00697F2E" w:rsidRDefault="00697F2E" w:rsidP="00C872B8">
      <w:pPr>
        <w:pStyle w:val="Equationlegend"/>
        <w:rPr>
          <w:lang w:val="es-ES"/>
        </w:rPr>
      </w:pPr>
      <w:r>
        <w:rPr>
          <w:lang w:val="es-ES"/>
        </w:rPr>
        <w:tab/>
      </w:r>
      <w:r>
        <w:rPr>
          <w:i/>
          <w:iCs/>
          <w:lang w:val="es-ES"/>
        </w:rPr>
        <w:t>L</w:t>
      </w:r>
      <w:r w:rsidRPr="00392E7E">
        <w:rPr>
          <w:i/>
          <w:iCs/>
          <w:vertAlign w:val="subscript"/>
          <w:lang w:val="es-ES_tradnl"/>
        </w:rPr>
        <w:t>P</w:t>
      </w:r>
      <w:r>
        <w:rPr>
          <w:lang w:val="es-ES"/>
        </w:rPr>
        <w:t>:</w:t>
      </w:r>
      <w:r>
        <w:rPr>
          <w:lang w:val="es-ES"/>
        </w:rPr>
        <w:tab/>
        <w:t>pérdidas en el trayecto de propagación entre las antenas transmisora y receptora (dB)</w:t>
      </w:r>
    </w:p>
    <w:p w:rsidR="00697F2E" w:rsidRDefault="00697F2E" w:rsidP="00C872B8">
      <w:pPr>
        <w:pStyle w:val="Equationlegend"/>
        <w:rPr>
          <w:lang w:val="es-ES"/>
        </w:rPr>
      </w:pPr>
      <w:r>
        <w:rPr>
          <w:lang w:val="es-ES"/>
        </w:rPr>
        <w:tab/>
      </w:r>
      <w:r>
        <w:rPr>
          <w:i/>
          <w:iCs/>
          <w:lang w:val="es-ES"/>
        </w:rPr>
        <w:t>FDR</w:t>
      </w:r>
      <w:r w:rsidRPr="00392E7E">
        <w:rPr>
          <w:i/>
          <w:iCs/>
          <w:vertAlign w:val="subscript"/>
          <w:lang w:val="es-ES_tradnl"/>
        </w:rPr>
        <w:t>IF</w:t>
      </w:r>
      <w:r>
        <w:rPr>
          <w:lang w:val="es-ES"/>
        </w:rPr>
        <w:t>:</w:t>
      </w:r>
      <w:r>
        <w:rPr>
          <w:lang w:val="es-ES"/>
        </w:rPr>
        <w:tab/>
        <w:t>rechazo dependiente de la frecuencia producido por la curva de selectividad FI del receptor en el espectro emitido por el transmisor no deseado (dB).</w:t>
      </w:r>
    </w:p>
    <w:p w:rsidR="00697F2E" w:rsidRDefault="00697F2E" w:rsidP="00A73A0B">
      <w:pPr>
        <w:pStyle w:val="Note"/>
        <w:rPr>
          <w:lang w:val="es-ES"/>
        </w:rPr>
      </w:pPr>
      <w:r>
        <w:rPr>
          <w:lang w:val="es-ES"/>
        </w:rPr>
        <w:t>NOTA 3 – La mayoría de las antenas de los radares de radiodeterminación barren 360</w:t>
      </w:r>
      <w:r w:rsidR="00A73A0B">
        <w:rPr>
          <w:lang w:val="es-ES"/>
        </w:rPr>
        <w:t>°</w:t>
      </w:r>
      <w:r>
        <w:rPr>
          <w:lang w:val="es-ES"/>
        </w:rPr>
        <w:t xml:space="preserve"> en acimut para ángulos importantes de elevación. Sin embargo, algunas antenas de sistemas de radar efectúan un barrido por sectores o aleatorio, aunque la plataforma del radar se puede normalmente orientar hacia cualquier acimut. La interferencia a sistemas de radar aparece generalmente cuando el haz principal de la antena del radar apunta hacia la señal no deseada. Por lo tanto, se debe utilizar normalmente el haz principal del radar en el análisis. En algunos casos particulares, el haz principal del radar puede no iluminar la estación que interactúa (por ejemplo, supresión de un sector), en cuyo caso se utilizará el nivel de lóbulo lateral de la antena correspondiente.</w:t>
      </w:r>
    </w:p>
    <w:p w:rsidR="00697F2E" w:rsidRDefault="00697F2E" w:rsidP="00530591">
      <w:pPr>
        <w:rPr>
          <w:lang w:val="es-ES"/>
        </w:rPr>
      </w:pPr>
      <w:r>
        <w:rPr>
          <w:lang w:val="es-ES"/>
        </w:rPr>
        <w:t>El valor FDR que debe utilizarse en la ecuación</w:t>
      </w:r>
      <w:r w:rsidR="003E2085">
        <w:rPr>
          <w:lang w:val="es-ES"/>
        </w:rPr>
        <w:t> </w:t>
      </w:r>
      <w:r>
        <w:rPr>
          <w:lang w:val="es-ES"/>
        </w:rPr>
        <w:t>(13) se puede determinar a partir de la Recomendación</w:t>
      </w:r>
      <w:r w:rsidR="00C872B8">
        <w:rPr>
          <w:lang w:val="es-ES"/>
        </w:rPr>
        <w:t xml:space="preserve"> </w:t>
      </w:r>
      <w:r>
        <w:rPr>
          <w:lang w:val="es-ES"/>
        </w:rPr>
        <w:t>UIT</w:t>
      </w:r>
      <w:r>
        <w:rPr>
          <w:lang w:val="es-ES"/>
        </w:rPr>
        <w:noBreakHyphen/>
        <w:t>R</w:t>
      </w:r>
      <w:r w:rsidR="00530591">
        <w:rPr>
          <w:lang w:val="es-ES"/>
        </w:rPr>
        <w:t> </w:t>
      </w:r>
      <w:r>
        <w:rPr>
          <w:lang w:val="es-ES"/>
        </w:rPr>
        <w:t>SM.337. El cálculo del</w:t>
      </w:r>
      <w:r w:rsidR="005D1C3B">
        <w:rPr>
          <w:lang w:val="es-ES"/>
        </w:rPr>
        <w:t xml:space="preserve"> </w:t>
      </w:r>
      <w:r>
        <w:rPr>
          <w:lang w:val="es-ES"/>
        </w:rPr>
        <w:t xml:space="preserve">FDR, necesita las características de la respuesta selectiva de FI del receptor y las del espectro emitido por el transmisor del radar. Si no se conoce la respuesta de </w:t>
      </w:r>
      <w:r w:rsidR="005D1C3B">
        <w:rPr>
          <w:lang w:val="es-ES"/>
        </w:rPr>
        <w:t xml:space="preserve">selectividad </w:t>
      </w:r>
      <w:r>
        <w:rPr>
          <w:lang w:val="es-ES"/>
        </w:rPr>
        <w:t>FI del receptor, se debe utilizar una caída de selectividad de</w:t>
      </w:r>
      <w:r w:rsidR="00C872B8">
        <w:rPr>
          <w:lang w:val="es-ES"/>
        </w:rPr>
        <w:t xml:space="preserve"> </w:t>
      </w:r>
      <w:r>
        <w:rPr>
          <w:lang w:val="es-ES"/>
        </w:rPr>
        <w:t>80 dB por década a partir de la frecuencia del borde del ancho de banda a</w:t>
      </w:r>
      <w:r w:rsidR="006461D1">
        <w:rPr>
          <w:lang w:val="es-ES"/>
        </w:rPr>
        <w:t xml:space="preserve"> </w:t>
      </w:r>
      <w:r>
        <w:rPr>
          <w:lang w:val="es-ES"/>
        </w:rPr>
        <w:t>3 dB hasta el umbral de selectividad de 70 dB que es el nivel de fondo.</w:t>
      </w:r>
    </w:p>
    <w:p w:rsidR="00697F2E" w:rsidRDefault="00697F2E" w:rsidP="00697F2E">
      <w:pPr>
        <w:pStyle w:val="Heading2"/>
        <w:rPr>
          <w:lang w:val="es-ES"/>
        </w:rPr>
      </w:pPr>
      <w:r>
        <w:rPr>
          <w:lang w:val="es-ES"/>
        </w:rPr>
        <w:t>3.3</w:t>
      </w:r>
      <w:r>
        <w:rPr>
          <w:lang w:val="es-ES"/>
        </w:rPr>
        <w:tab/>
        <w:t>Criterios de protección</w:t>
      </w:r>
    </w:p>
    <w:p w:rsidR="00697F2E" w:rsidRDefault="00697F2E" w:rsidP="004F27EF">
      <w:pPr>
        <w:rPr>
          <w:lang w:val="es-ES"/>
        </w:rPr>
      </w:pPr>
      <w:r>
        <w:rPr>
          <w:lang w:val="es-ES"/>
        </w:rPr>
        <w:t xml:space="preserve">En casos generales, una señal de otro servicio que resulta de una relación </w:t>
      </w:r>
      <w:r>
        <w:rPr>
          <w:i/>
          <w:iCs/>
          <w:lang w:val="es-ES"/>
        </w:rPr>
        <w:t>I</w:t>
      </w:r>
      <w:r>
        <w:rPr>
          <w:lang w:val="es-ES"/>
        </w:rPr>
        <w:t>/</w:t>
      </w:r>
      <w:r>
        <w:rPr>
          <w:i/>
          <w:iCs/>
          <w:lang w:val="es-ES"/>
        </w:rPr>
        <w:t>N</w:t>
      </w:r>
      <w:r>
        <w:rPr>
          <w:lang w:val="es-ES"/>
        </w:rPr>
        <w:t xml:space="preserve"> por debajo de –6 dB es aceptable por los usuarios de radares para señales del otro servicio con ciclo de trabajo alto (por ejemplo, onda continua, MDP</w:t>
      </w:r>
      <w:r>
        <w:rPr>
          <w:lang w:val="es-ES"/>
        </w:rPr>
        <w:noBreakHyphen/>
        <w:t>2, MDP</w:t>
      </w:r>
      <w:r>
        <w:rPr>
          <w:lang w:val="es-ES"/>
        </w:rPr>
        <w:noBreakHyphen/>
        <w:t xml:space="preserve">4, semejante a ruido, etc.). Una relación </w:t>
      </w:r>
      <w:r>
        <w:rPr>
          <w:i/>
          <w:iCs/>
          <w:lang w:val="es-ES"/>
        </w:rPr>
        <w:t>I</w:t>
      </w:r>
      <w:r>
        <w:rPr>
          <w:lang w:val="es-ES"/>
        </w:rPr>
        <w:t>/</w:t>
      </w:r>
      <w:r>
        <w:rPr>
          <w:i/>
          <w:iCs/>
          <w:lang w:val="es-ES"/>
        </w:rPr>
        <w:t>N</w:t>
      </w:r>
      <w:r>
        <w:rPr>
          <w:lang w:val="es-ES"/>
        </w:rPr>
        <w:t xml:space="preserve"> de –6</w:t>
      </w:r>
      <w:r w:rsidR="006461D1">
        <w:rPr>
          <w:lang w:val="es-ES"/>
        </w:rPr>
        <w:t> dB</w:t>
      </w:r>
      <w:r>
        <w:rPr>
          <w:lang w:val="es-ES"/>
        </w:rPr>
        <w:t xml:space="preserve"> resultante de una (</w:t>
      </w:r>
      <w:r>
        <w:rPr>
          <w:i/>
          <w:iCs/>
          <w:lang w:val="es-ES"/>
        </w:rPr>
        <w:t>I</w:t>
      </w:r>
      <w:r w:rsidR="004F27EF">
        <w:rPr>
          <w:lang w:val="es-ES"/>
        </w:rPr>
        <w:t> </w:t>
      </w:r>
      <w:r>
        <w:rPr>
          <w:lang w:val="es-ES"/>
        </w:rPr>
        <w:t>+</w:t>
      </w:r>
      <w:r w:rsidR="004F27EF">
        <w:rPr>
          <w:lang w:val="es-ES"/>
        </w:rPr>
        <w:t> </w:t>
      </w:r>
      <w:r>
        <w:rPr>
          <w:i/>
          <w:iCs/>
          <w:lang w:val="es-ES"/>
        </w:rPr>
        <w:t>N</w:t>
      </w:r>
      <w:r>
        <w:rPr>
          <w:lang w:val="es-ES"/>
        </w:rPr>
        <w:t>)/</w:t>
      </w:r>
      <w:r>
        <w:rPr>
          <w:i/>
          <w:iCs/>
          <w:lang w:val="es-ES"/>
        </w:rPr>
        <w:t>N</w:t>
      </w:r>
      <w:r>
        <w:rPr>
          <w:lang w:val="es-ES"/>
        </w:rPr>
        <w:t xml:space="preserve"> de 1,26, o aproximadamente un aumento de </w:t>
      </w:r>
      <w:r w:rsidR="006461D1">
        <w:rPr>
          <w:lang w:val="es-ES"/>
        </w:rPr>
        <w:t>1 dB</w:t>
      </w:r>
      <w:r>
        <w:rPr>
          <w:lang w:val="es-ES"/>
        </w:rPr>
        <w:t xml:space="preserve"> de la potencia de ruido del radar. En algunos casos, una relación </w:t>
      </w:r>
      <w:r>
        <w:rPr>
          <w:i/>
          <w:iCs/>
          <w:lang w:val="es-ES"/>
        </w:rPr>
        <w:t>I</w:t>
      </w:r>
      <w:r>
        <w:rPr>
          <w:lang w:val="es-ES"/>
        </w:rPr>
        <w:t>/</w:t>
      </w:r>
      <w:r>
        <w:rPr>
          <w:i/>
          <w:iCs/>
          <w:lang w:val="es-ES"/>
        </w:rPr>
        <w:t>N</w:t>
      </w:r>
      <w:r>
        <w:rPr>
          <w:lang w:val="es-ES"/>
        </w:rPr>
        <w:t xml:space="preserve"> de –6</w:t>
      </w:r>
      <w:r w:rsidR="006461D1">
        <w:rPr>
          <w:lang w:val="es-ES"/>
        </w:rPr>
        <w:t> dB</w:t>
      </w:r>
      <w:r>
        <w:rPr>
          <w:lang w:val="es-ES"/>
        </w:rPr>
        <w:t xml:space="preserve"> puede no ser apropiada, y pueden necesitarse estudios más detallados o mediciones de compatibilidad para evaluar la interferencia desde el punto de vista de la repercusión operacional en el funcionamiento del radar. En el caso de sistemas de radares que funcionan en banda de frecuencias, para los cuales existen Recomendaciones UIT-R sobre las características del radar y criterios de protección, se debe consultar la Recomendación</w:t>
      </w:r>
      <w:r>
        <w:rPr>
          <w:rStyle w:val="FootnoteReference"/>
          <w:lang w:val="es-ES"/>
        </w:rPr>
        <w:footnoteReference w:customMarkFollows="1" w:id="2"/>
        <w:t>1</w:t>
      </w:r>
      <w:r>
        <w:rPr>
          <w:lang w:val="es-ES"/>
        </w:rPr>
        <w:t xml:space="preserve"> pertinente para la orientación específica en relación con los criterios de protección.</w:t>
      </w:r>
    </w:p>
    <w:p w:rsidR="00697F2E" w:rsidRDefault="00697F2E" w:rsidP="00530591">
      <w:pPr>
        <w:rPr>
          <w:lang w:val="es-ES"/>
        </w:rPr>
      </w:pPr>
      <w:r>
        <w:rPr>
          <w:lang w:val="es-ES"/>
        </w:rPr>
        <w:t>El efecto de la interferencia por impulsos es más difícil de cuantificar y depende en gran medida del diseño del receptor/procesador y del modo de funcionamiento. En particular, las ganancias de procesamiento diferenciales para devolución de blancos válidos, con impulsos sincronizados e interferencia por impulsos, que suelen ser asíncronos, a menudo tienen efectos importantes en la recepción de niveles dados de interferencia por impulsos. Varias formas diferentes de degradación del funcionamiento pueden ser motivadas por esta desensibilización. Su evaluación será un objetivo para el análisis de las interacciones entre tipos de radares específicos. En general, cabe esperar que muchas características de los radares de radiodeterminación ayuden a suprimir la interferencia por impulsos de ciclos de trabajo bajos, especialmente unas pocas fuentes aisladas. Las</w:t>
      </w:r>
      <w:r w:rsidR="00530591">
        <w:rPr>
          <w:lang w:val="es-ES"/>
        </w:rPr>
        <w:t xml:space="preserve"> </w:t>
      </w:r>
      <w:r>
        <w:rPr>
          <w:lang w:val="es-ES"/>
        </w:rPr>
        <w:t>técnicas de supresión de esta interferencia figuran en la Recomendación UIT-R M.1372 – Utilización eficaz del espectro radioeléctrico por las estaciones del servicio de radiodeterminación.</w:t>
      </w:r>
    </w:p>
    <w:p w:rsidR="00697F2E" w:rsidRDefault="00697F2E" w:rsidP="00697F2E">
      <w:pPr>
        <w:rPr>
          <w:lang w:val="es-ES"/>
        </w:rPr>
      </w:pPr>
      <w:r>
        <w:rPr>
          <w:lang w:val="es-ES"/>
        </w:rPr>
        <w:t xml:space="preserve">Cuando están presentes múltiples fuentes de interferencia, no se modifican los criterios de protección de </w:t>
      </w:r>
      <w:r>
        <w:rPr>
          <w:i/>
          <w:iCs/>
          <w:lang w:val="es-ES"/>
        </w:rPr>
        <w:t>I</w:t>
      </w:r>
      <w:r>
        <w:rPr>
          <w:lang w:val="es-ES"/>
        </w:rPr>
        <w:t>/</w:t>
      </w:r>
      <w:r>
        <w:rPr>
          <w:i/>
          <w:iCs/>
          <w:lang w:val="es-ES"/>
        </w:rPr>
        <w:t>N</w:t>
      </w:r>
      <w:r>
        <w:rPr>
          <w:lang w:val="es-ES"/>
        </w:rPr>
        <w:t xml:space="preserve"> recomendados (porque dependen del tipo de receptor de radar y de sus características de procesamiento de la señal). Sin embargo, el nivel de interferencia total que llega al receptor del radar (que ha de ser comprobado contra los criterios de protección de </w:t>
      </w:r>
      <w:r>
        <w:rPr>
          <w:i/>
          <w:iCs/>
          <w:lang w:val="es-ES"/>
        </w:rPr>
        <w:t>I</w:t>
      </w:r>
      <w:r>
        <w:rPr>
          <w:lang w:val="es-ES"/>
        </w:rPr>
        <w:t>/</w:t>
      </w:r>
      <w:r>
        <w:rPr>
          <w:i/>
          <w:iCs/>
          <w:lang w:val="es-ES"/>
        </w:rPr>
        <w:t>N</w:t>
      </w:r>
      <w:r>
        <w:rPr>
          <w:lang w:val="es-ES"/>
        </w:rPr>
        <w:t xml:space="preserve"> recomendados), depende del número de fuentes de interferencia, de su distribución espacial y de su estructura de señal, y tiene que ser evaluado en un análisis de la combinación de un caso dado. Si se recibiese interferencia de varias direcciones en acimut, un análisis de agregación tiene que acumular las contribuciones simultáneas de todas estas direcciones, recibidas por el haz principal y/o los lóbulos laterales de la antena del radar, para llegar a los criterios de protección de </w:t>
      </w:r>
      <w:r>
        <w:rPr>
          <w:i/>
          <w:iCs/>
          <w:lang w:val="es-ES"/>
        </w:rPr>
        <w:t>I</w:t>
      </w:r>
      <w:r>
        <w:rPr>
          <w:lang w:val="es-ES"/>
        </w:rPr>
        <w:t>/</w:t>
      </w:r>
      <w:r>
        <w:rPr>
          <w:i/>
          <w:iCs/>
          <w:lang w:val="es-ES"/>
        </w:rPr>
        <w:t>N</w:t>
      </w:r>
      <w:r>
        <w:rPr>
          <w:lang w:val="es-ES"/>
        </w:rPr>
        <w:t xml:space="preserve"> reales.</w:t>
      </w:r>
    </w:p>
    <w:p w:rsidR="00697F2E" w:rsidRDefault="00697F2E" w:rsidP="00697F2E">
      <w:pPr>
        <w:pStyle w:val="Heading1"/>
        <w:rPr>
          <w:lang w:val="es-ES"/>
        </w:rPr>
      </w:pPr>
      <w:r>
        <w:rPr>
          <w:lang w:val="es-ES"/>
        </w:rPr>
        <w:t>4</w:t>
      </w:r>
      <w:r>
        <w:rPr>
          <w:lang w:val="es-ES"/>
        </w:rPr>
        <w:tab/>
        <w:t>Elección del modelo de propagación</w:t>
      </w:r>
    </w:p>
    <w:p w:rsidR="00697F2E" w:rsidRDefault="00697F2E" w:rsidP="00697F2E">
      <w:pPr>
        <w:rPr>
          <w:lang w:val="es-ES"/>
        </w:rPr>
      </w:pPr>
      <w:r>
        <w:rPr>
          <w:lang w:val="es-ES"/>
        </w:rPr>
        <w:t xml:space="preserve">Para determinar la pérdida en el trayecto de propagación, se utilizarán modelos de propagación adecuados y el posible acoplo indirecto, teniendo en cuenta las alturas de las antenas y el terreno, cuando sea necesario. En el caso general, no se ha de tener en cuenta el apantallamiento ofrecido por el terreno u obstrucciones industriales, En casos específicos de compartición, cuando se dispone de datos exactos, es posible efectuar un análisis del trayecto y cálculos de pérdida detallados, o cuando la pérdida de trayecto real entre el sitio fuente de interferencia y el radar víctima se ha determinado experimentalmente para todas las frecuencias de interés, esto puede ser aceptado. Si la potencia de cresta calculada de las fuentes de interferencia combinadas a la entrada del receptor del radar, </w:t>
      </w:r>
      <w:r>
        <w:rPr>
          <w:i/>
          <w:iCs/>
          <w:lang w:val="es-ES"/>
        </w:rPr>
        <w:t>I</w:t>
      </w:r>
      <w:r>
        <w:rPr>
          <w:lang w:val="es-ES"/>
        </w:rPr>
        <w:t xml:space="preserve">, rebasa el nivel umbral en el que se degradan las prestaciones del receptor, </w:t>
      </w:r>
      <w:r>
        <w:rPr>
          <w:i/>
          <w:iCs/>
          <w:lang w:val="es-ES"/>
        </w:rPr>
        <w:t>I</w:t>
      </w:r>
      <w:r w:rsidRPr="00392E7E">
        <w:rPr>
          <w:i/>
          <w:iCs/>
          <w:vertAlign w:val="subscript"/>
          <w:lang w:val="es-ES_tradnl"/>
        </w:rPr>
        <w:t>T</w:t>
      </w:r>
      <w:r>
        <w:rPr>
          <w:lang w:val="es-ES"/>
        </w:rPr>
        <w:t>, deben tomarse las medidas necesarias para asegurar la compatibilidad.</w:t>
      </w:r>
    </w:p>
    <w:p w:rsidR="00697F2E" w:rsidRPr="00392E7E" w:rsidRDefault="00697F2E" w:rsidP="004F27EF">
      <w:pPr>
        <w:rPr>
          <w:lang w:val="es-ES_tradnl"/>
        </w:rPr>
      </w:pPr>
      <w:r>
        <w:rPr>
          <w:lang w:val="es-ES"/>
        </w:rPr>
        <w:t>En el caso de radares utilizados para fines de seguridad, tales como la vigilancia del tráfico aéreo, el modelo de propagación debe tener en cuenta todos los fenómenos de potenciación que, incluso durante cortos periodos, puedan causar el rebasamiento del límite aceptable. Debido a sus requisitos operacionales, los sistemas de radar usados para fines de seguridad de la vida, por ejemplo, vigilancia de aeropuertos, tienen que estar protegidos contra la interferencia durante periodos tanto largos como cortos. Cuando la señal interferente puede ser originada sin que se pueda identificar la ubicación de la fuente en una zona y es de corta duración, se han de tomar precauciones especiales.</w:t>
      </w:r>
    </w:p>
    <w:p w:rsidR="00697F2E" w:rsidRPr="000D3D07" w:rsidRDefault="00697F2E" w:rsidP="00697F2E">
      <w:pPr>
        <w:rPr>
          <w:lang w:val="es-ES_tradnl"/>
        </w:rPr>
      </w:pPr>
    </w:p>
    <w:p w:rsidR="00697F2E" w:rsidRDefault="00697F2E">
      <w:pPr>
        <w:jc w:val="center"/>
      </w:pPr>
      <w:r>
        <w:t>______________</w:t>
      </w:r>
    </w:p>
    <w:sectPr w:rsidR="00697F2E" w:rsidSect="00697F2E">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F2E" w:rsidRDefault="00697F2E">
      <w:r>
        <w:separator/>
      </w:r>
    </w:p>
  </w:endnote>
  <w:endnote w:type="continuationSeparator" w:id="0">
    <w:p w:rsidR="00697F2E" w:rsidRDefault="00697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F2E" w:rsidRDefault="00697F2E">
      <w:r>
        <w:separator/>
      </w:r>
    </w:p>
  </w:footnote>
  <w:footnote w:type="continuationSeparator" w:id="0">
    <w:p w:rsidR="00697F2E" w:rsidRDefault="00697F2E">
      <w:r>
        <w:continuationSeparator/>
      </w:r>
    </w:p>
  </w:footnote>
  <w:footnote w:id="1">
    <w:p w:rsidR="00697F2E" w:rsidRDefault="00697F2E" w:rsidP="00697F2E">
      <w:pPr>
        <w:pStyle w:val="FootnoteText"/>
        <w:rPr>
          <w:lang w:val="es-ES"/>
        </w:rPr>
      </w:pPr>
      <w:r>
        <w:rPr>
          <w:rStyle w:val="FootnoteReference"/>
          <w:lang w:val="es-ES"/>
        </w:rPr>
        <w:t>*</w:t>
      </w:r>
      <w:r>
        <w:rPr>
          <w:lang w:val="es-ES"/>
        </w:rPr>
        <w:tab/>
        <w:t>Esta Recomendación debe señalarse a la atención de la Organización Marítima Internacional (OMI), la Organización de la Aviación Civil Internacional (OACI), el Comité Internacional Radiomarítimo (CIRM) y la Organización Meteorológica Mundial (OMM).</w:t>
      </w:r>
    </w:p>
  </w:footnote>
  <w:footnote w:id="2">
    <w:p w:rsidR="00697F2E" w:rsidRDefault="00697F2E" w:rsidP="005D1C3B">
      <w:pPr>
        <w:pStyle w:val="FootnoteText"/>
        <w:rPr>
          <w:lang w:val="es-ES"/>
        </w:rPr>
      </w:pPr>
      <w:r>
        <w:rPr>
          <w:rStyle w:val="FootnoteReference"/>
          <w:lang w:val="es-ES"/>
        </w:rPr>
        <w:t>1</w:t>
      </w:r>
      <w:r>
        <w:rPr>
          <w:lang w:val="es-ES"/>
        </w:rPr>
        <w:tab/>
        <w:t>Algunas Recomendaciones que contienen características técnicas y criterios de protección para bandas de frecuencias específicas son las siguientes Recomendaciones: UIT</w:t>
      </w:r>
      <w:r>
        <w:rPr>
          <w:lang w:val="es-ES"/>
        </w:rPr>
        <w:noBreakHyphen/>
        <w:t>R M.1460, UIT</w:t>
      </w:r>
      <w:r>
        <w:rPr>
          <w:lang w:val="es-ES"/>
        </w:rPr>
        <w:noBreakHyphen/>
        <w:t>R M.1462, UIT</w:t>
      </w:r>
      <w:r>
        <w:rPr>
          <w:lang w:val="es-ES"/>
        </w:rPr>
        <w:noBreakHyphen/>
        <w:t>R</w:t>
      </w:r>
      <w:r w:rsidR="005D1C3B">
        <w:rPr>
          <w:lang w:val="es-ES"/>
        </w:rPr>
        <w:t xml:space="preserve"> </w:t>
      </w:r>
      <w:r>
        <w:rPr>
          <w:lang w:val="es-ES"/>
        </w:rPr>
        <w:t>M.1463, UIT</w:t>
      </w:r>
      <w:r>
        <w:rPr>
          <w:lang w:val="es-ES"/>
        </w:rPr>
        <w:noBreakHyphen/>
        <w:t>R M.1464, UIT</w:t>
      </w:r>
      <w:r>
        <w:rPr>
          <w:lang w:val="es-ES"/>
        </w:rPr>
        <w:noBreakHyphen/>
        <w:t>R M.1465 y UIT</w:t>
      </w:r>
      <w:r>
        <w:rPr>
          <w:lang w:val="es-ES"/>
        </w:rPr>
        <w:noBreakHyphen/>
        <w:t>R M.1466.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F2E" w:rsidRDefault="00697F2E">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F2E" w:rsidRDefault="00697F2E" w:rsidP="00CB1354">
    <w:pPr>
      <w:ind w:right="360" w:firstLine="360"/>
    </w:pPr>
    <w:r>
      <w:rPr>
        <w:noProof/>
        <w:lang w:val="es-ES_tradnl" w:eastAsia="zh-CN"/>
      </w:rPr>
      <w:drawing>
        <wp:anchor distT="0" distB="0" distL="114300" distR="114300" simplePos="0" relativeHeight="251657216" behindDoc="1" locked="0" layoutInCell="1" allowOverlap="1" wp14:anchorId="72AAD114" wp14:editId="1E23D3BE">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F2E" w:rsidRDefault="00697F2E"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60272">
      <w:rPr>
        <w:rStyle w:val="PageNumber"/>
        <w:b/>
        <w:bCs/>
        <w:noProof/>
      </w:rPr>
      <w:t>ii</w:t>
    </w:r>
    <w:r>
      <w:rPr>
        <w:rStyle w:val="PageNumber"/>
        <w:b/>
        <w:bCs/>
      </w:rPr>
      <w:fldChar w:fldCharType="end"/>
    </w:r>
    <w:r>
      <w:tab/>
    </w:r>
    <w:fldSimple w:instr=" DOCPROPERTY &quot;Header&quot; \* MERGEFORMAT ">
      <w:r w:rsidR="003752C4" w:rsidRPr="003752C4">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60272">
      <w:rPr>
        <w:b/>
        <w:bCs/>
        <w:noProof/>
      </w:rPr>
      <w:t>UIT-R  M.1461-2</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F2E" w:rsidRDefault="00697F2E">
    <w:r>
      <w:tab/>
    </w:r>
    <w:fldSimple w:instr=" DOCPROPERTY &quot;Header&quot; \* MERGEFORMAT ">
      <w:r w:rsidR="003752C4" w:rsidRPr="003752C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752C4">
      <w:rPr>
        <w:b/>
        <w:bCs/>
        <w:noProof/>
      </w:rPr>
      <w:t>UIT-R  M.1461-2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60272">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3752C4" w:rsidRPr="003752C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60272">
      <w:rPr>
        <w:b/>
        <w:bCs/>
        <w:noProof/>
      </w:rPr>
      <w:t>UIT-R  M.1461-2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3752C4" w:rsidRPr="003752C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60272">
      <w:rPr>
        <w:b/>
        <w:bCs/>
        <w:noProof/>
      </w:rPr>
      <w:t>UIT-R  M.1461-2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60272">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F2E"/>
    <w:rsid w:val="000D3D07"/>
    <w:rsid w:val="001469A6"/>
    <w:rsid w:val="00217EBF"/>
    <w:rsid w:val="00242AEE"/>
    <w:rsid w:val="002A7259"/>
    <w:rsid w:val="002D76C4"/>
    <w:rsid w:val="003752C4"/>
    <w:rsid w:val="003A1F43"/>
    <w:rsid w:val="003E2085"/>
    <w:rsid w:val="00444721"/>
    <w:rsid w:val="00460272"/>
    <w:rsid w:val="004F27EF"/>
    <w:rsid w:val="004F56B1"/>
    <w:rsid w:val="00503D91"/>
    <w:rsid w:val="0052529D"/>
    <w:rsid w:val="00530591"/>
    <w:rsid w:val="00573078"/>
    <w:rsid w:val="005D1C3B"/>
    <w:rsid w:val="005D59A5"/>
    <w:rsid w:val="00607D68"/>
    <w:rsid w:val="006461D1"/>
    <w:rsid w:val="00697F2E"/>
    <w:rsid w:val="007468DA"/>
    <w:rsid w:val="009E00A8"/>
    <w:rsid w:val="00A45BB0"/>
    <w:rsid w:val="00A6617B"/>
    <w:rsid w:val="00A73A0B"/>
    <w:rsid w:val="00AB0DC8"/>
    <w:rsid w:val="00B44E24"/>
    <w:rsid w:val="00C872B8"/>
    <w:rsid w:val="00CA041A"/>
    <w:rsid w:val="00D81278"/>
    <w:rsid w:val="00DF4176"/>
    <w:rsid w:val="00E5799D"/>
    <w:rsid w:val="00EE23B8"/>
    <w:rsid w:val="00F06832"/>
    <w:rsid w:val="00F413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8325BA8-751D-4360-90A7-DDF617BC8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F2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5D59A5"/>
    <w:pPr>
      <w:spacing w:after="24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97F2E"/>
    <w:rPr>
      <w:b/>
      <w:sz w:val="24"/>
      <w:lang w:val="fr-FR" w:eastAsia="en-US"/>
    </w:rPr>
  </w:style>
  <w:style w:type="character" w:customStyle="1" w:styleId="HeaderChar">
    <w:name w:val="Header Char"/>
    <w:basedOn w:val="DefaultParagraphFont"/>
    <w:link w:val="Header"/>
    <w:rsid w:val="00697F2E"/>
    <w:rPr>
      <w:sz w:val="24"/>
      <w:lang w:val="fr-FR" w:eastAsia="en-US"/>
    </w:rPr>
  </w:style>
  <w:style w:type="character" w:styleId="Hyperlink">
    <w:name w:val="Hyperlink"/>
    <w:basedOn w:val="DefaultParagraphFont"/>
    <w:uiPriority w:val="99"/>
    <w:rsid w:val="00697F2E"/>
    <w:rPr>
      <w:color w:val="0000FF"/>
      <w:u w:val="single"/>
    </w:rPr>
  </w:style>
  <w:style w:type="character" w:customStyle="1" w:styleId="TableheadChar">
    <w:name w:val="Table_head Char"/>
    <w:basedOn w:val="DefaultParagraphFont"/>
    <w:link w:val="Tablehead"/>
    <w:locked/>
    <w:rsid w:val="00697F2E"/>
    <w:rPr>
      <w:b/>
      <w:sz w:val="22"/>
      <w:lang w:val="fr-FR" w:eastAsia="en-US"/>
    </w:rPr>
  </w:style>
  <w:style w:type="character" w:customStyle="1" w:styleId="TabletextChar">
    <w:name w:val="Table_text Char"/>
    <w:basedOn w:val="DefaultParagraphFont"/>
    <w:link w:val="Tabletext"/>
    <w:locked/>
    <w:rsid w:val="00697F2E"/>
    <w:rPr>
      <w:sz w:val="22"/>
      <w:lang w:val="fr-FR" w:eastAsia="en-US"/>
    </w:rPr>
  </w:style>
  <w:style w:type="character" w:customStyle="1" w:styleId="Heading2Char">
    <w:name w:val="Heading 2 Char"/>
    <w:basedOn w:val="DefaultParagraphFont"/>
    <w:link w:val="Heading2"/>
    <w:rsid w:val="00697F2E"/>
    <w:rPr>
      <w:b/>
      <w:sz w:val="24"/>
      <w:lang w:val="fr-FR" w:eastAsia="en-US"/>
    </w:rPr>
  </w:style>
  <w:style w:type="character" w:customStyle="1" w:styleId="Heading3Char">
    <w:name w:val="Heading 3 Char"/>
    <w:basedOn w:val="DefaultParagraphFont"/>
    <w:link w:val="Heading3"/>
    <w:rsid w:val="00697F2E"/>
    <w:rPr>
      <w:b/>
      <w:sz w:val="24"/>
      <w:lang w:val="fr-FR" w:eastAsia="en-US"/>
    </w:rPr>
  </w:style>
  <w:style w:type="character" w:customStyle="1" w:styleId="FootnoteTextChar">
    <w:name w:val="Footnote Text Char"/>
    <w:basedOn w:val="DefaultParagraphFont"/>
    <w:link w:val="FootnoteText"/>
    <w:semiHidden/>
    <w:rsid w:val="00697F2E"/>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152</TotalTime>
  <Pages>12</Pages>
  <Words>4815</Words>
  <Characters>26968</Characters>
  <Application>Microsoft Office Word</Application>
  <DocSecurity>0</DocSecurity>
  <Lines>749</Lines>
  <Paragraphs>756</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Template BR_Rec_2005.dot</vt:lpstr>
      <vt:lpstr>Política sobre Derechos de Propiedad Intelectual (IPR)</vt:lpstr>
      <vt:lpstr>1	Introducción</vt:lpstr>
      <vt:lpstr>2	Interferencia producida por los radares en sistemas de otros servicios</vt:lpstr>
      <vt:lpstr>    2.1	Sobrecarga en la etapa de entrada del receptor</vt:lpstr>
      <vt:lpstr>        2.1.1	Evaluación de la posibilidad de sobrecarga en la etapa de entrada del rece</vt:lpstr>
      <vt:lpstr>    2.2	Acoplamiento producido por la emisión del transmisor del radar</vt:lpstr>
      <vt:lpstr>        2.2.1	Evaluación de la posibilidad de interferencia para emisiones del transmiso</vt:lpstr>
      <vt:lpstr>3	Interferencia a radares proveniente de sistemas de otros servicios</vt:lpstr>
      <vt:lpstr>    3.1	Sobrecarga de la etapa de entrada del receptor</vt:lpstr>
      <vt:lpstr>        3.1.1	Saturación de la etapa de entrada</vt:lpstr>
      <vt:lpstr>        3.1.2	Intermodulación</vt:lpstr>
      <vt:lpstr>    3.2	Degradación de la sensibilidad</vt:lpstr>
      <vt:lpstr>    3.3	Criterios de protección</vt:lpstr>
      <vt:lpstr>4	Elección del modelo de propagación</vt:lpstr>
    </vt:vector>
  </TitlesOfParts>
  <Manager/>
  <Company>ITU</Company>
  <LinksUpToDate>false</LinksUpToDate>
  <CharactersWithSpaces>31027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26</cp:revision>
  <cp:lastPrinted>2005-02-10T15:54:00Z</cp:lastPrinted>
  <dcterms:created xsi:type="dcterms:W3CDTF">2018-05-21T13:51:00Z</dcterms:created>
  <dcterms:modified xsi:type="dcterms:W3CDTF">2018-05-22T10:09:00Z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